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media/image16.wmf" ContentType="image/x-wmf"/>
  <Override PartName="/word/media/image5.png" ContentType="image/png"/>
  <Override PartName="/word/media/image17.wmf" ContentType="image/x-wmf"/>
  <Override PartName="/word/media/image6.png" ContentType="image/png"/>
  <Override PartName="/word/media/image7.png" ContentType="image/png"/>
  <Override PartName="/word/media/image18.wmf" ContentType="image/x-wmf"/>
  <Override PartName="/word/media/image8.png" ContentType="image/png"/>
  <Override PartName="/word/media/image19.wmf" ContentType="image/x-wmf"/>
  <Override PartName="/word/media/image9.png" ContentType="image/png"/>
  <Override PartName="/word/media/image10.png" ContentType="image/png"/>
  <Override PartName="/word/media/image22.wmf" ContentType="image/x-wmf"/>
  <Override PartName="/word/media/image11.png" ContentType="image/png"/>
  <Override PartName="/word/media/image23.wmf" ContentType="image/x-wmf"/>
  <Override PartName="/word/media/image12.png" ContentType="image/png"/>
  <Override PartName="/word/media/image24.wmf" ContentType="image/x-wmf"/>
  <Override PartName="/word/media/image13.wmf" ContentType="image/x-wmf"/>
  <Override PartName="/word/media/image15.wmf" ContentType="image/x-wmf"/>
  <Override PartName="/word/media/image20.wmf" ContentType="image/x-wmf"/>
  <Override PartName="/word/media/image21.wmf" ContentType="image/x-wmf"/>
  <Override PartName="/word/media/image25.wmf" ContentType="image/x-wmf"/>
  <Override PartName="/word/media/image5.wmf" ContentType="image/x-wmf"/>
  <Override PartName="/word/media/image10.jpeg" ContentType="image/jpeg"/>
  <Override PartName="/word/media/image12.jpeg" ContentType="image/jpeg"/>
  <Override PartName="/word/media/image13.jpeg" ContentType="image/jpeg"/>
  <Override PartName="/word/media/image14.jpeg" ContentType="image/jpeg"/>
  <Override PartName="/word/media/image16.png" ContentType="image/png"/>
  <Override PartName="/word/media/image17.jpeg" ContentType="image/jpe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_rels/chart4.xml.rels" ContentType="application/vnd.openxmlformats-package.relationships+xml"/>
  <Override PartName="/word/embeddings/oleObject1.xlsx" ContentType="application/vnd.openxmlformats-officedocument.spreadsheetml.sheet"/>
  <Override PartName="/word/embeddings/oleObject4.bin" ContentType="application/vnd.openxmlformats-officedocument.oleObject"/>
  <Override PartName="/word/embeddings/oleObject2.xlsx" ContentType="application/vnd.openxmlformats-officedocument.spreadsheetml.sheet"/>
  <Override PartName="/word/embeddings/oleObject3.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xls" ContentType="application/vnd.ms-excel"/>
  <Override PartName="/word/embeddings/oleObject9.xlsx" ContentType="application/vnd.openxmlformats-officedocument.spreadsheetml.sheet"/>
  <Override PartName="/word/embeddings/oleObject10.doc" ContentType="application/msword"/>
  <Override PartName="/word/embeddings/oleObject11.bin" ContentType="application/vnd.openxmlformats-officedocument.oleObject"/>
  <Override PartName="/word/embeddings/oleObject12.bin" ContentType="application/vnd.openxmlformats-officedocument.oleObject"/>
  <Override PartName="/word/embeddings/oleObject13.docx" ContentType="application/vnd.openxmlformats-officedocument.wordprocessingml.document"/>
  <Override PartName="/word/embeddings/oleObject14.doc" ContentType="application/msword"/>
  <Override PartName="/word/embeddings/oleObject15.bin" ContentType="application/vnd.openxmlformats-officedocument.oleObject"/>
  <Override PartName="/word/embeddings/Microsoft_Excel_Worksheet3.xlsx" ContentType="application/vnd.openxmlformats-officedocument.spreadsheetml.sheet"/>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mc:AlternateContent>
          <mc:Choice Requires="wps">
            <w:drawing>
              <wp:anchor behindDoc="0" distT="0" distB="0" distL="0" distR="0" simplePos="0" locked="0" layoutInCell="0" allowOverlap="1" relativeHeight="24" wp14:anchorId="7DB854E3">
                <wp:simplePos x="0" y="0"/>
                <wp:positionH relativeFrom="column">
                  <wp:posOffset>231140</wp:posOffset>
                </wp:positionH>
                <wp:positionV relativeFrom="paragraph">
                  <wp:posOffset>3810</wp:posOffset>
                </wp:positionV>
                <wp:extent cx="5264785" cy="991235"/>
                <wp:effectExtent l="0" t="0" r="12700" b="38100"/>
                <wp:wrapNone/>
                <wp:docPr id="1" name="Text Box 11"/>
                <a:graphic xmlns:a="http://schemas.openxmlformats.org/drawingml/2006/main">
                  <a:graphicData uri="http://schemas.microsoft.com/office/word/2010/wordprocessingShape">
                    <wps:wsp>
                      <wps:cNvSpPr/>
                      <wps:spPr>
                        <a:xfrm>
                          <a:off x="0" y="0"/>
                          <a:ext cx="5264280" cy="99072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rPr>
                              <w:t>AGENDA SESIÓN  N° 05-2020</w:t>
                            </w:r>
                          </w:p>
                          <w:p>
                            <w:pPr>
                              <w:pStyle w:val="Contenidodelmarco"/>
                              <w:jc w:val="center"/>
                              <w:rPr>
                                <w:rFonts w:ascii="Cambria" w:hAnsi="Cambria"/>
                              </w:rPr>
                            </w:pPr>
                            <w:r>
                              <w:rPr>
                                <w:rFonts w:cs="Tahoma" w:ascii="Tahoma" w:hAnsi="Tahoma"/>
                                <w:b/>
                              </w:rPr>
                              <w:t xml:space="preserve">SUBCOMISIÓN ACCESO A LA JUSTICIA DE PUEBLOS INDÍGENAS </w:t>
                            </w:r>
                          </w:p>
                        </w:txbxContent>
                      </wps:txbx>
                      <wps:bodyPr>
                        <a:noAutofit/>
                      </wps:bodyPr>
                    </wps:wsp>
                  </a:graphicData>
                </a:graphic>
              </wp:anchor>
            </w:drawing>
          </mc:Choice>
          <mc:Fallback>
            <w:pict>
              <v:rect id="shape_0" ID="Text Box 11" stroked="t" style="position:absolute;margin-left:18.2pt;margin-top:0.3pt;width:414.45pt;height:77.95pt;mso-wrap-style:square;v-text-anchor:top" wp14:anchorId="7DB854E3">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rPr>
                        <w:t>AGENDA SESIÓN  N° 05-2020</w:t>
                      </w:r>
                    </w:p>
                    <w:p>
                      <w:pPr>
                        <w:pStyle w:val="Contenidodelmarco"/>
                        <w:jc w:val="center"/>
                        <w:rPr>
                          <w:rFonts w:ascii="Cambria" w:hAnsi="Cambria"/>
                        </w:rPr>
                      </w:pPr>
                      <w:r>
                        <w:rPr>
                          <w:rFonts w:cs="Tahoma" w:ascii="Tahoma" w:hAnsi="Tahoma"/>
                          <w:b/>
                        </w:rPr>
                        <w:t xml:space="preserve">SUBCOMISIÓN ACCESO A LA JUSTICIA DE PUEBLOS INDÍGENAS </w:t>
                      </w:r>
                    </w:p>
                  </w:txbxContent>
                </v:textbox>
                <w10:wrap type="none"/>
              </v:rect>
            </w:pict>
          </mc:Fallback>
        </mc:AlternateContent>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Ttulo2"/>
        <w:jc w:val="both"/>
        <w:rPr>
          <w:rFonts w:ascii="Bookman Old Style" w:hAnsi="Bookman Old Style" w:cs="Tahoma"/>
          <w:color w:val="000000" w:themeColor="text1"/>
          <w:sz w:val="20"/>
          <w:szCs w:val="20"/>
        </w:rPr>
      </w:pPr>
      <w:r>
        <w:rPr>
          <w:rFonts w:cs="Tahoma" w:ascii="Bookman Old Style" w:hAnsi="Bookman Old Style"/>
          <w:color w:val="000000" w:themeColor="text1"/>
          <w:sz w:val="20"/>
          <w:szCs w:val="20"/>
        </w:rPr>
      </w:r>
    </w:p>
    <w:p>
      <w:pPr>
        <w:pStyle w:val="Ttulo2"/>
        <w:jc w:val="both"/>
        <w:rPr>
          <w:rFonts w:ascii="Bookman Old Style" w:hAnsi="Bookman Old Style" w:cs="Tahoma"/>
          <w:color w:val="000000" w:themeColor="text1"/>
          <w:sz w:val="20"/>
          <w:szCs w:val="20"/>
        </w:rPr>
      </w:pPr>
      <w:r>
        <w:rPr>
          <w:rFonts w:cs="Tahoma" w:ascii="Bookman Old Style" w:hAnsi="Bookman Old Style"/>
          <w:color w:val="000000" w:themeColor="text1"/>
          <w:sz w:val="20"/>
          <w:szCs w:val="20"/>
        </w:rPr>
      </w:r>
    </w:p>
    <w:p>
      <w:pPr>
        <w:pStyle w:val="Ttulo2"/>
        <w:jc w:val="both"/>
        <w:rPr>
          <w:rFonts w:ascii="Bookman Old Style" w:hAnsi="Bookman Old Style" w:cs="Tahoma"/>
          <w:b w:val="false"/>
          <w:b w:val="false"/>
          <w:color w:val="000000" w:themeColor="text1"/>
          <w:sz w:val="20"/>
          <w:szCs w:val="20"/>
        </w:rPr>
      </w:pPr>
      <w:r>
        <w:rPr>
          <w:rFonts w:cs="Tahoma" w:ascii="Bookman Old Style" w:hAnsi="Bookman Old Style"/>
          <w:b w:val="false"/>
          <w:color w:val="000000" w:themeColor="text1"/>
          <w:sz w:val="20"/>
          <w:szCs w:val="20"/>
        </w:rPr>
      </w:r>
    </w:p>
    <w:p>
      <w:pPr>
        <w:pStyle w:val="Normal"/>
        <w:rPr>
          <w:rFonts w:ascii="Bookman Old Style" w:hAnsi="Bookman Old Style" w:cs="Arial"/>
          <w:color w:val="000000"/>
          <w:sz w:val="20"/>
          <w:szCs w:val="20"/>
          <w:lang w:val="en-US"/>
        </w:rPr>
      </w:pPr>
      <w:r>
        <w:rPr>
          <w:rFonts w:cs="Arial" w:ascii="Bookman Old Style" w:hAnsi="Bookman Old Style"/>
          <w:color w:val="000000"/>
          <w:sz w:val="20"/>
          <w:szCs w:val="20"/>
          <w:lang w:val="en-US"/>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9752"/>
      </w:tblGrid>
      <w:tr>
        <w:trPr>
          <w:trHeight w:val="373" w:hRule="atLeast"/>
          <w:cantSplit w:val="true"/>
        </w:trPr>
        <w:tc>
          <w:tcPr>
            <w:tcW w:w="9752"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jc w:val="both"/>
              <w:rPr>
                <w:rFonts w:ascii="Bookman Old Style" w:hAnsi="Bookman Old Style" w:cs="Arial"/>
                <w:b/>
                <w:b/>
                <w:bCs/>
                <w:color w:val="FFFFFF"/>
                <w:sz w:val="20"/>
                <w:szCs w:val="20"/>
              </w:rPr>
            </w:pPr>
            <w:r>
              <w:rPr>
                <w:rFonts w:cs="Arial" w:ascii="Bookman Old Style" w:hAnsi="Bookman Old Style"/>
                <w:b/>
                <w:bCs/>
                <w:color w:val="FFFFFF"/>
                <w:sz w:val="20"/>
                <w:szCs w:val="20"/>
              </w:rPr>
              <w:t>I. INFORMACIÓN GENERAL</w:t>
            </w:r>
          </w:p>
        </w:tc>
      </w:tr>
    </w:tbl>
    <w:p>
      <w:pPr>
        <w:pStyle w:val="Normal"/>
        <w:spacing w:before="40" w:after="40"/>
        <w:rPr>
          <w:rFonts w:ascii="Bookman Old Style" w:hAnsi="Bookman Old Style" w:cs="Arial"/>
          <w:color w:val="000000"/>
          <w:sz w:val="20"/>
          <w:szCs w:val="20"/>
          <w:lang w:val="es-AR"/>
        </w:rPr>
      </w:pPr>
      <w:r>
        <w:rPr>
          <w:rFonts w:cs="Arial" w:ascii="Bookman Old Style" w:hAnsi="Bookman Old Style"/>
          <w:color w:val="000000"/>
          <w:sz w:val="20"/>
          <w:szCs w:val="20"/>
          <w:lang w:val="es-AR"/>
        </w:rPr>
      </w:r>
    </w:p>
    <w:tbl>
      <w:tblPr>
        <w:tblW w:w="950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34"/>
        <w:gridCol w:w="2552"/>
        <w:gridCol w:w="1701"/>
        <w:gridCol w:w="3014"/>
      </w:tblGrid>
      <w:tr>
        <w:trPr>
          <w:trHeight w:val="397" w:hRule="atLeast"/>
        </w:trPr>
        <w:tc>
          <w:tcPr>
            <w:tcW w:w="223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Bookman Old Style" w:hAnsi="Bookman Old Style" w:cs="Arial"/>
                <w:color w:val="000000"/>
                <w:sz w:val="20"/>
                <w:szCs w:val="20"/>
                <w:lang w:val="es-AR"/>
              </w:rPr>
            </w:pPr>
            <w:r>
              <w:rPr>
                <w:rFonts w:cs="Arial" w:ascii="Bookman Old Style" w:hAnsi="Bookman Old Style"/>
                <w:b/>
                <w:sz w:val="20"/>
                <w:szCs w:val="20"/>
              </w:rPr>
              <w:t>Número del Acta:</w:t>
            </w:r>
          </w:p>
        </w:tc>
        <w:tc>
          <w:tcPr>
            <w:tcW w:w="726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Bookman Old Style" w:hAnsi="Bookman Old Style" w:cs="Arial"/>
                <w:sz w:val="20"/>
                <w:szCs w:val="20"/>
              </w:rPr>
            </w:pPr>
            <w:r>
              <w:rPr>
                <w:rFonts w:cs="Arial" w:ascii="Bookman Old Style" w:hAnsi="Bookman Old Style"/>
                <w:sz w:val="20"/>
                <w:szCs w:val="20"/>
              </w:rPr>
              <w:t>05-2020</w:t>
            </w:r>
          </w:p>
        </w:tc>
      </w:tr>
      <w:tr>
        <w:trPr>
          <w:trHeight w:val="397" w:hRule="atLeast"/>
        </w:trPr>
        <w:tc>
          <w:tcPr>
            <w:tcW w:w="223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Bookman Old Style" w:hAnsi="Bookman Old Style" w:cs="Arial"/>
                <w:color w:val="000000"/>
                <w:sz w:val="20"/>
                <w:szCs w:val="20"/>
                <w:lang w:val="es-AR"/>
              </w:rPr>
            </w:pPr>
            <w:r>
              <w:rPr>
                <w:rFonts w:cs="Arial" w:ascii="Bookman Old Style" w:hAnsi="Bookman Old Style"/>
                <w:b/>
                <w:sz w:val="20"/>
                <w:szCs w:val="20"/>
              </w:rPr>
              <w:t>Asunto de reunión:</w:t>
            </w:r>
          </w:p>
        </w:tc>
        <w:tc>
          <w:tcPr>
            <w:tcW w:w="726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Bookman Old Style" w:hAnsi="Bookman Old Style" w:cs="Arial"/>
                <w:sz w:val="20"/>
                <w:szCs w:val="20"/>
              </w:rPr>
            </w:pPr>
            <w:r>
              <w:rPr>
                <w:rFonts w:cs="Arial" w:ascii="Bookman Old Style" w:hAnsi="Bookman Old Style"/>
                <w:sz w:val="20"/>
                <w:szCs w:val="20"/>
              </w:rPr>
              <w:t xml:space="preserve">Sesión ordinaria Subcomisión Acceso a la Justicia de Pueblos Indígenas </w:t>
            </w:r>
          </w:p>
        </w:tc>
      </w:tr>
      <w:tr>
        <w:trPr>
          <w:trHeight w:val="397" w:hRule="atLeast"/>
        </w:trPr>
        <w:tc>
          <w:tcPr>
            <w:tcW w:w="223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Bookman Old Style" w:hAnsi="Bookman Old Style" w:cs="Arial"/>
                <w:b/>
                <w:b/>
                <w:sz w:val="20"/>
                <w:szCs w:val="20"/>
              </w:rPr>
            </w:pPr>
            <w:r>
              <w:rPr>
                <w:rFonts w:cs="Arial" w:ascii="Bookman Old Style" w:hAnsi="Bookman Old Style"/>
                <w:b/>
                <w:sz w:val="20"/>
                <w:szCs w:val="20"/>
                <w:lang w:val="es-AR"/>
              </w:rPr>
              <w:t>Lugar:</w:t>
            </w:r>
          </w:p>
        </w:tc>
        <w:tc>
          <w:tcPr>
            <w:tcW w:w="7267" w:type="dxa"/>
            <w:gridSpan w:val="3"/>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jc w:val="both"/>
              <w:outlineLvl w:val="0"/>
              <w:rPr>
                <w:rFonts w:ascii="Bookman Old Style" w:hAnsi="Bookman Old Style" w:cs="Arial"/>
                <w:sz w:val="20"/>
                <w:szCs w:val="20"/>
              </w:rPr>
            </w:pPr>
            <w:r>
              <w:rPr>
                <w:rFonts w:cs="Arial" w:ascii="Bookman Old Style" w:hAnsi="Bookman Old Style"/>
                <w:sz w:val="20"/>
                <w:szCs w:val="20"/>
              </w:rPr>
              <w:t>Virtual (Sistema Oficial Microsoft Teams)</w:t>
            </w:r>
          </w:p>
        </w:tc>
      </w:tr>
      <w:tr>
        <w:trPr>
          <w:trHeight w:val="397" w:hRule="atLeast"/>
        </w:trPr>
        <w:tc>
          <w:tcPr>
            <w:tcW w:w="223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Bookman Old Style" w:hAnsi="Bookman Old Style" w:cs="Arial"/>
                <w:b/>
                <w:b/>
                <w:sz w:val="20"/>
                <w:szCs w:val="20"/>
              </w:rPr>
            </w:pPr>
            <w:r>
              <w:rPr>
                <w:rFonts w:cs="Arial" w:ascii="Bookman Old Style" w:hAnsi="Bookman Old Style"/>
                <w:b/>
                <w:sz w:val="20"/>
                <w:szCs w:val="20"/>
                <w:lang w:val="es-AR"/>
              </w:rPr>
              <w:t>Fecha</w:t>
            </w:r>
          </w:p>
        </w:tc>
        <w:tc>
          <w:tcPr>
            <w:tcW w:w="7267" w:type="dxa"/>
            <w:gridSpan w:val="3"/>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jc w:val="both"/>
              <w:outlineLvl w:val="0"/>
              <w:rPr>
                <w:rFonts w:ascii="Bookman Old Style" w:hAnsi="Bookman Old Style" w:cs="Arial"/>
                <w:sz w:val="20"/>
                <w:szCs w:val="20"/>
              </w:rPr>
            </w:pPr>
            <w:r>
              <w:rPr>
                <w:rFonts w:cs="Arial" w:ascii="Bookman Old Style" w:hAnsi="Bookman Old Style"/>
                <w:sz w:val="20"/>
                <w:szCs w:val="20"/>
              </w:rPr>
              <w:t>08-05-2020</w:t>
            </w:r>
          </w:p>
        </w:tc>
      </w:tr>
      <w:tr>
        <w:trPr>
          <w:trHeight w:val="397" w:hRule="atLeast"/>
        </w:trPr>
        <w:tc>
          <w:tcPr>
            <w:tcW w:w="223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Bookman Old Style" w:hAnsi="Bookman Old Style" w:cs="Arial"/>
                <w:b/>
                <w:b/>
                <w:sz w:val="20"/>
                <w:szCs w:val="20"/>
                <w:lang w:val="es-AR"/>
              </w:rPr>
            </w:pPr>
            <w:r>
              <w:rPr>
                <w:rFonts w:cs="Arial" w:ascii="Bookman Old Style" w:hAnsi="Bookman Old Style"/>
                <w:b/>
                <w:sz w:val="20"/>
                <w:szCs w:val="20"/>
                <w:lang w:val="es-AR"/>
              </w:rPr>
              <w:t>Hora inicio:</w:t>
            </w:r>
          </w:p>
        </w:tc>
        <w:tc>
          <w:tcPr>
            <w:tcW w:w="2552" w:type="dxa"/>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jc w:val="both"/>
              <w:outlineLvl w:val="0"/>
              <w:rPr>
                <w:rFonts w:ascii="Bookman Old Style" w:hAnsi="Bookman Old Style" w:cs="Arial"/>
                <w:color w:val="000000"/>
                <w:sz w:val="20"/>
                <w:szCs w:val="20"/>
                <w:lang w:val="es-AR"/>
              </w:rPr>
            </w:pPr>
            <w:r>
              <w:rPr>
                <w:rFonts w:cs="Arial" w:ascii="Bookman Old Style" w:hAnsi="Bookman Old Style"/>
                <w:sz w:val="20"/>
                <w:szCs w:val="20"/>
              </w:rPr>
              <w:t>13:00 horas</w:t>
            </w:r>
            <w:r>
              <w:rPr>
                <w:rFonts w:cs="Arial" w:ascii="Bookman Old Style" w:hAnsi="Bookman Old Style"/>
                <w:color w:val="000000"/>
                <w:sz w:val="20"/>
                <w:szCs w:val="20"/>
                <w:lang w:val="es-AR"/>
              </w:rPr>
              <w:t xml:space="preserve">  </w:t>
            </w:r>
          </w:p>
        </w:tc>
        <w:tc>
          <w:tcPr>
            <w:tcW w:w="1701"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Cabecera"/>
              <w:widowControl w:val="false"/>
              <w:numPr>
                <w:ilvl w:val="0"/>
                <w:numId w:val="0"/>
              </w:numPr>
              <w:spacing w:lineRule="auto" w:line="276"/>
              <w:jc w:val="both"/>
              <w:outlineLvl w:val="0"/>
              <w:rPr>
                <w:rFonts w:ascii="Bookman Old Style" w:hAnsi="Bookman Old Style" w:cs="Arial"/>
                <w:color w:val="000000"/>
                <w:sz w:val="20"/>
                <w:szCs w:val="20"/>
                <w:lang w:val="es-AR"/>
              </w:rPr>
            </w:pPr>
            <w:r>
              <w:rPr>
                <w:rFonts w:cs="Arial" w:ascii="Bookman Old Style" w:hAnsi="Bookman Old Style"/>
                <w:b/>
                <w:sz w:val="20"/>
                <w:szCs w:val="20"/>
                <w:lang w:val="es-AR"/>
              </w:rPr>
              <w:t>Hora final:</w:t>
            </w:r>
          </w:p>
        </w:tc>
        <w:tc>
          <w:tcPr>
            <w:tcW w:w="3014" w:type="dxa"/>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outlineLvl w:val="0"/>
              <w:rPr>
                <w:rFonts w:ascii="Bookman Old Style" w:hAnsi="Bookman Old Style" w:cs="Arial"/>
                <w:color w:val="000000"/>
                <w:sz w:val="20"/>
                <w:szCs w:val="20"/>
                <w:lang w:val="es-AR"/>
              </w:rPr>
            </w:pPr>
            <w:r>
              <w:rPr>
                <w:rFonts w:cs="Arial" w:ascii="Bookman Old Style" w:hAnsi="Bookman Old Style"/>
                <w:color w:val="000000"/>
                <w:sz w:val="20"/>
                <w:szCs w:val="20"/>
                <w:lang w:val="es-AR"/>
              </w:rPr>
              <w:t>16:30 horas</w:t>
            </w:r>
          </w:p>
        </w:tc>
      </w:tr>
    </w:tbl>
    <w:p>
      <w:pPr>
        <w:pStyle w:val="Normal"/>
        <w:spacing w:before="40" w:after="40"/>
        <w:rPr>
          <w:rFonts w:ascii="Bookman Old Style" w:hAnsi="Bookman Old Style" w:cs="Arial"/>
          <w:color w:val="000000"/>
          <w:sz w:val="20"/>
          <w:szCs w:val="20"/>
          <w:lang w:val="es-AR"/>
        </w:rPr>
      </w:pPr>
      <w:r>
        <w:rPr>
          <w:rFonts w:cs="Arial" w:ascii="Bookman Old Style" w:hAnsi="Bookman Old Style"/>
          <w:color w:val="000000"/>
          <w:sz w:val="20"/>
          <w:szCs w:val="20"/>
          <w:lang w:val="es-AR"/>
        </w:rPr>
      </w:r>
    </w:p>
    <w:p>
      <w:pPr>
        <w:pStyle w:val="Normal"/>
        <w:rPr>
          <w:rFonts w:ascii="Bookman Old Style" w:hAnsi="Bookman Old Style" w:cs="Arial"/>
          <w:color w:val="000000"/>
          <w:sz w:val="20"/>
          <w:szCs w:val="20"/>
          <w:lang w:val="en-US"/>
        </w:rPr>
      </w:pPr>
      <w:r>
        <w:rPr>
          <w:rFonts w:cs="Arial" w:ascii="Bookman Old Style" w:hAnsi="Bookman Old Style"/>
          <w:color w:val="000000"/>
          <w:sz w:val="20"/>
          <w:szCs w:val="20"/>
          <w:lang w:val="en-US"/>
        </w:rPr>
      </w:r>
    </w:p>
    <w:p>
      <w:pPr>
        <w:pStyle w:val="Normal"/>
        <w:rPr>
          <w:rFonts w:ascii="Bookman Old Style" w:hAnsi="Bookman Old Style" w:cs="Arial"/>
          <w:color w:val="000000"/>
          <w:sz w:val="20"/>
          <w:szCs w:val="20"/>
          <w:lang w:val="en-US"/>
        </w:rPr>
      </w:pPr>
      <w:r>
        <w:rPr>
          <w:rFonts w:cs="Arial" w:ascii="Bookman Old Style" w:hAnsi="Bookman Old Style"/>
          <w:color w:val="000000"/>
          <w:sz w:val="20"/>
          <w:szCs w:val="20"/>
          <w:lang w:val="en-US"/>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9752"/>
      </w:tblGrid>
      <w:tr>
        <w:trPr>
          <w:trHeight w:val="373" w:hRule="atLeast"/>
          <w:cantSplit w:val="true"/>
        </w:trPr>
        <w:tc>
          <w:tcPr>
            <w:tcW w:w="9752"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jc w:val="both"/>
              <w:rPr>
                <w:rFonts w:ascii="Bookman Old Style" w:hAnsi="Bookman Old Style" w:cs="Arial"/>
                <w:b/>
                <w:b/>
                <w:bCs/>
                <w:color w:val="FFFFFF"/>
                <w:sz w:val="20"/>
                <w:szCs w:val="20"/>
              </w:rPr>
            </w:pPr>
            <w:r>
              <w:rPr>
                <w:rFonts w:cs="Arial" w:ascii="Bookman Old Style" w:hAnsi="Bookman Old Style"/>
                <w:b/>
                <w:bCs/>
                <w:color w:val="FFFFFF"/>
                <w:sz w:val="20"/>
                <w:szCs w:val="20"/>
              </w:rPr>
              <w:t xml:space="preserve">II. PARTICIPANTES </w:t>
            </w:r>
          </w:p>
        </w:tc>
      </w:tr>
    </w:tbl>
    <w:p>
      <w:pPr>
        <w:pStyle w:val="Normal"/>
        <w:rPr>
          <w:rFonts w:ascii="Bookman Old Style" w:hAnsi="Bookman Old Style"/>
          <w:sz w:val="20"/>
          <w:szCs w:val="20"/>
        </w:rPr>
      </w:pPr>
      <w:r>
        <w:rPr>
          <w:rFonts w:cs="Arial" w:ascii="Bookman Old Style" w:hAnsi="Bookman Old Style"/>
          <w:color w:val="000000"/>
          <w:sz w:val="20"/>
          <w:szCs w:val="20"/>
        </w:rPr>
        <w:t xml:space="preserve"> </w:t>
      </w:r>
    </w:p>
    <w:p>
      <w:pPr>
        <w:pStyle w:val="NoSpacing"/>
        <w:rPr>
          <w:rFonts w:ascii="Bookman Old Style" w:hAnsi="Bookman Old Style" w:cs="Tahoma"/>
          <w:b/>
          <w:b/>
          <w:i/>
          <w:i/>
          <w:iCs/>
          <w:color w:val="000000" w:themeColor="text1"/>
          <w:sz w:val="20"/>
          <w:szCs w:val="20"/>
        </w:rPr>
      </w:pPr>
      <w:r>
        <w:rPr>
          <w:rFonts w:cs="Tahoma" w:ascii="Bookman Old Style" w:hAnsi="Bookman Old Style"/>
          <w:b/>
          <w:i/>
          <w:iCs/>
          <w:color w:val="000000" w:themeColor="text1"/>
          <w:sz w:val="20"/>
          <w:szCs w:val="20"/>
        </w:rPr>
      </w:r>
    </w:p>
    <w:tbl>
      <w:tblPr>
        <w:tblW w:w="97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657"/>
        <w:gridCol w:w="3084"/>
      </w:tblGrid>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Style w:val="Ttulo3Car"/>
                <w:rFonts w:ascii="Bookman Old Style" w:hAnsi="Bookman Old Style" w:cs="Tahoma"/>
                <w:b w:val="false"/>
                <w:b w:val="false"/>
                <w:i/>
                <w:i/>
                <w:iCs/>
                <w:color w:val="000000" w:themeColor="text1"/>
                <w:sz w:val="20"/>
                <w:szCs w:val="20"/>
              </w:rPr>
            </w:pPr>
            <w:r>
              <w:rPr>
                <w:rStyle w:val="Ttulo3Car"/>
                <w:rFonts w:cs="Tahoma" w:ascii="Bookman Old Style" w:hAnsi="Bookman Old Style"/>
                <w:b w:val="false"/>
                <w:i/>
                <w:iCs/>
                <w:color w:val="000000" w:themeColor="text1"/>
                <w:sz w:val="20"/>
                <w:szCs w:val="20"/>
              </w:rPr>
              <w:t>Sr. Jorge Olaso Álvarez, Coordinador Comisión de Acceso a la Justicia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Style w:val="Ttulo3Car"/>
                <w:rFonts w:ascii="Bookman Old Style" w:hAnsi="Bookman Old Style" w:cs="Tahoma"/>
                <w:b w:val="false"/>
                <w:b w:val="false"/>
                <w:i/>
                <w:i/>
                <w:iCs/>
                <w:color w:val="000000" w:themeColor="text1"/>
                <w:sz w:val="20"/>
                <w:szCs w:val="20"/>
              </w:rPr>
            </w:pPr>
            <w:r>
              <w:rPr>
                <w:rStyle w:val="Ttulo3Car"/>
                <w:rFonts w:cs="Tahoma" w:ascii="Bookman Old Style" w:hAnsi="Bookman Old Style"/>
                <w:b w:val="false"/>
                <w:i/>
                <w:iCs/>
                <w:color w:val="000000" w:themeColor="text1"/>
                <w:sz w:val="20"/>
                <w:szCs w:val="20"/>
              </w:rPr>
              <w:t>En vacaciones</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Style w:val="Ttulo3Car"/>
                <w:rFonts w:ascii="Bookman Old Style" w:hAnsi="Bookman Old Style" w:cs="Tahoma"/>
                <w:bCs w:val="false"/>
                <w:i/>
                <w:i/>
                <w:iCs/>
                <w:color w:val="000000" w:themeColor="text1"/>
                <w:sz w:val="20"/>
                <w:szCs w:val="20"/>
              </w:rPr>
            </w:pPr>
            <w:r>
              <w:rPr>
                <w:rFonts w:cs="Tahoma" w:ascii="Bookman Old Style" w:hAnsi="Bookman Old Style"/>
                <w:bCs/>
                <w:i/>
                <w:iCs/>
                <w:color w:val="000000" w:themeColor="text1"/>
                <w:sz w:val="20"/>
                <w:szCs w:val="20"/>
              </w:rPr>
              <w:t>Sra. Damaris Vargas Vásquez, Coordinadora Subcomisión Acceso a la Justicia de Pueblos Indígenas</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w:t>
            </w:r>
            <w:r>
              <w:rPr>
                <w:rFonts w:cs="Tahoma" w:ascii="Bookman Old Style" w:hAnsi="Bookman Old Style"/>
                <w:i/>
                <w:iCs/>
                <w:color w:val="000000" w:themeColor="text1"/>
                <w:sz w:val="20"/>
                <w:szCs w:val="20"/>
              </w:rPr>
              <w:t>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Melissa Benavides Víquez, Coordinadora Unidad de Acceso a la Justicia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w:t>
            </w:r>
            <w:r>
              <w:rPr>
                <w:rFonts w:cs="Tahoma" w:ascii="Bookman Old Style" w:hAnsi="Bookman Old Style"/>
                <w:i/>
                <w:iCs/>
                <w:color w:val="000000" w:themeColor="text1"/>
                <w:sz w:val="20"/>
                <w:szCs w:val="20"/>
              </w:rPr>
              <w:t>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Sandra Pizarro, representante Consejo Superior</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w:t>
            </w:r>
            <w:r>
              <w:rPr>
                <w:rFonts w:cs="Tahoma" w:ascii="Bookman Old Style" w:hAnsi="Bookman Old Style"/>
                <w:i/>
                <w:iCs/>
                <w:color w:val="000000" w:themeColor="text1"/>
                <w:sz w:val="20"/>
                <w:szCs w:val="20"/>
              </w:rPr>
              <w:t>usente por motivos laborales</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Wilbert Kidd, Subdirector Ejecutivo del PJ</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w:t>
            </w:r>
            <w:r>
              <w:rPr>
                <w:rFonts w:cs="Tahoma" w:ascii="Bookman Old Style" w:hAnsi="Bookman Old Style"/>
                <w:i/>
                <w:iCs/>
                <w:color w:val="000000" w:themeColor="text1"/>
                <w:sz w:val="20"/>
                <w:szCs w:val="20"/>
              </w:rPr>
              <w:t>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Dixon Li, Subdirector de Planificación</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w:t>
            </w:r>
            <w:r>
              <w:rPr>
                <w:rFonts w:cs="Tahoma" w:ascii="Bookman Old Style" w:hAnsi="Bookman Old Style"/>
                <w:i/>
                <w:iCs/>
                <w:color w:val="000000" w:themeColor="text1"/>
                <w:sz w:val="20"/>
                <w:szCs w:val="20"/>
              </w:rPr>
              <w:t>usente por motivos laborales</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Marcos Guevara Berger, representante Escuela de Antropología de la UCR (Se reintegrará hasta el segundo semestre)</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 temporalmente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Flor Arroyo Morera, Escuela Judicial</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Jean Carlo Monge, Juez Penal II Circuito Judicial de San José</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Yolanda Alvarado Vargas, Jueza Penal de Bribri</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 por motivos laborales</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Geyner Blanco, Asesor de Casa Presidencial</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Valeria Varas, Asesora INAMU</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Alí García, Profesor UCR</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Vanessa Villalobos Montero, Departamento de Trabajo Social y Psicología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 xml:space="preserve">Sra. Carmen María Escoto Fernández, Sociedad Civil </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Ariana Céspedes, Fiscala Indígena</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Suplente: Sra. Tattiana García Chaves</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 con permiso institucional</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 xml:space="preserve">Presente </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Ligia Jeannette Jiménez, Defensora Indígena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Erick Alfaro, Contralor de Servicios Poder Judicial</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Suplente Sr. Carlos Romero, Contralor de Servicios del Primer Circuito Judicial de la Zona Sur</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Vivian Rímola Soto, Tecnología de la Información</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Marjorie Herrera, Defensoría de los Habitantes de la República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Yorleny Ferreto, Organismo de Investigación Judicial</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Hugo Hernández, Oficina de Control Interno</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Suplente: Señora Indira Alfaro</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Cheryl Bolaños Madrigal, Gestión Humana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Robert García González, Auditoría Judicial</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Suplente: Sr. Jeremy Eduarte Alemán</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William Vega, ONU</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Cristian Alberto Martínez Hernández: Centro de Apoyo, Coordinación y Mejoramiento de la Función Jurisdiccional</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Stephannie Phillips Asch, Departamento de Prensa y Comunicación Organizacional</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Patricia Bonilla Rodríguez, Centro de Información Jurisprudencial</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Roxana Arrieta Meléndez, Directora de Gestión Humana</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Suplente: Sr. Alex Guevara, jefe de UISA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Sra. Jovanna Calderón Altamirano, Dirección Nacional de Justicia Restaurativa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Presente</w:t>
            </w:r>
          </w:p>
        </w:tc>
      </w:tr>
      <w:tr>
        <w:trPr/>
        <w:tc>
          <w:tcPr>
            <w:tcW w:w="66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Sr. Franklin Paniagua, Ministerio de Justicia, DINARAC</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Suplente: Sra. Kathy Piedra Corella</w:t>
            </w:r>
          </w:p>
        </w:tc>
        <w:tc>
          <w:tcPr>
            <w:tcW w:w="3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r>
          </w:p>
          <w:p>
            <w:pPr>
              <w:pStyle w:val="Normal"/>
              <w:widowControl w:val="false"/>
              <w:jc w:val="both"/>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Ausente</w:t>
            </w:r>
          </w:p>
        </w:tc>
      </w:tr>
    </w:tbl>
    <w:p>
      <w:pPr>
        <w:pStyle w:val="NoSpacing"/>
        <w:jc w:val="center"/>
        <w:rPr>
          <w:rFonts w:ascii="Bookman Old Style" w:hAnsi="Bookman Old Style" w:cs="Tahoma"/>
          <w:b/>
          <w:b/>
          <w:color w:val="000000" w:themeColor="text1"/>
          <w:sz w:val="20"/>
          <w:szCs w:val="20"/>
        </w:rPr>
      </w:pPr>
      <w:r>
        <w:rPr>
          <w:rFonts w:cs="Tahoma" w:ascii="Bookman Old Style" w:hAnsi="Bookman Old Style"/>
          <w:b/>
          <w:color w:val="000000" w:themeColor="text1"/>
          <w:sz w:val="20"/>
          <w:szCs w:val="20"/>
        </w:rPr>
      </w:r>
    </w:p>
    <w:p>
      <w:pPr>
        <w:pStyle w:val="Cabecera"/>
        <w:jc w:val="both"/>
        <w:rPr>
          <w:rFonts w:ascii="Bookman Old Style" w:hAnsi="Bookman Old Style" w:cs="Arial"/>
          <w:b/>
          <w:b/>
          <w:bCs/>
          <w:color w:val="FFFFFF"/>
          <w:sz w:val="20"/>
          <w:szCs w:val="20"/>
        </w:rPr>
      </w:pPr>
      <w:r>
        <w:rPr>
          <w:rFonts w:cs="Arial" w:ascii="Bookman Old Style" w:hAnsi="Bookman Old Style"/>
          <w:b/>
          <w:bCs/>
          <w:color w:val="FFFFFF"/>
          <w:sz w:val="20"/>
          <w:szCs w:val="20"/>
        </w:rPr>
        <w:t xml:space="preserve">II. ASUNTOS </w:t>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9752"/>
      </w:tblGrid>
      <w:tr>
        <w:trPr>
          <w:trHeight w:val="373" w:hRule="atLeast"/>
          <w:cantSplit w:val="true"/>
        </w:trPr>
        <w:tc>
          <w:tcPr>
            <w:tcW w:w="9752"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rPr>
                <w:rFonts w:ascii="Bookman Old Style" w:hAnsi="Bookman Old Style" w:cs="Arial"/>
                <w:b/>
                <w:b/>
                <w:bCs/>
                <w:color w:val="FFFFFF"/>
                <w:sz w:val="20"/>
                <w:szCs w:val="20"/>
              </w:rPr>
            </w:pPr>
            <w:r>
              <w:rPr>
                <w:rFonts w:cs="Arial" w:ascii="Bookman Old Style" w:hAnsi="Bookman Old Style"/>
                <w:b/>
                <w:bCs/>
                <w:color w:val="FFFFFF"/>
                <w:sz w:val="20"/>
                <w:szCs w:val="20"/>
              </w:rPr>
              <w:t>III. ASUNTOS TRATADOS</w:t>
            </w:r>
          </w:p>
        </w:tc>
      </w:tr>
    </w:tbl>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I</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 xml:space="preserve">El Magistrado Jorge Olaso Álvarez, Coordinador de la Comisión de Acceso a la Justicia, traslado el 6 de mayo a la Subcomisión de Acceso a la Justicia de Pueblos Indígenas, el comunicado que le remitiera el Magistrado Gerardo Rubén Alfaro Vargas, Coordinador de la Comisión de Enlace Corte-OIJ sobre el acuerdo tomado por dicha Comisión en sesión N° 02-2020 de 19 de febrero pasado, Artículo IX, vinculada con el Oficio N° 825-DG-2019 formulado por la Dirección General del Organismo de Investigación Judicial. </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La solicitud enviada por la Comisión de Acceso a la Justicia se trasladó a las y los integrantes de la Subcomisión de Acceso a la Justicia de Pueblos Indígenas para su conocimiento, el 6 de mayo de 2020.</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Los comunicados señalan literalmente:</w:t>
      </w:r>
    </w:p>
    <w:p>
      <w:pPr>
        <w:pStyle w:val="Normal"/>
        <w:rPr>
          <w:rFonts w:ascii="Bookman Old Style" w:hAnsi="Bookman Old Style" w:cs="Calibri"/>
          <w:sz w:val="20"/>
          <w:szCs w:val="20"/>
          <w:lang w:val="es-ES"/>
        </w:rPr>
      </w:pPr>
      <w:r>
        <w:rPr>
          <w:rFonts w:cs="Calibri" w:ascii="Bookman Old Style" w:hAnsi="Bookman Old Style"/>
          <w:sz w:val="20"/>
          <w:szCs w:val="20"/>
          <w:lang w:val="es-ES"/>
        </w:rPr>
        <w:t>___________________________________</w:t>
        <w:br/>
      </w:r>
      <w:r>
        <w:rPr>
          <w:rFonts w:cs="Calibri" w:ascii="Bookman Old Style" w:hAnsi="Bookman Old Style"/>
          <w:b/>
          <w:bCs/>
          <w:sz w:val="20"/>
          <w:szCs w:val="20"/>
          <w:lang w:val="es-ES"/>
        </w:rPr>
        <w:t>De:</w:t>
      </w:r>
      <w:r>
        <w:rPr>
          <w:rFonts w:cs="Calibri" w:ascii="Bookman Old Style" w:hAnsi="Bookman Old Style"/>
          <w:sz w:val="20"/>
          <w:szCs w:val="20"/>
          <w:lang w:val="es-ES"/>
        </w:rPr>
        <w:t xml:space="preserve"> Yasmin Marchena Espinoza &lt;ymarchena@Poder-Judicial.go.cr&gt; </w:t>
        <w:br/>
      </w:r>
      <w:r>
        <w:rPr>
          <w:rFonts w:cs="Calibri" w:ascii="Bookman Old Style" w:hAnsi="Bookman Old Style"/>
          <w:b/>
          <w:bCs/>
          <w:sz w:val="20"/>
          <w:szCs w:val="20"/>
          <w:lang w:val="es-ES"/>
        </w:rPr>
        <w:t>Enviado el:</w:t>
      </w:r>
      <w:r>
        <w:rPr>
          <w:rFonts w:cs="Calibri" w:ascii="Bookman Old Style" w:hAnsi="Bookman Old Style"/>
          <w:sz w:val="20"/>
          <w:szCs w:val="20"/>
          <w:lang w:val="es-ES"/>
        </w:rPr>
        <w:t xml:space="preserve"> miércoles, 6 de mayo de 2020 11:31 a. m.</w:t>
        <w:br/>
      </w:r>
      <w:r>
        <w:rPr>
          <w:rFonts w:cs="Calibri" w:ascii="Bookman Old Style" w:hAnsi="Bookman Old Style"/>
          <w:b/>
          <w:bCs/>
          <w:sz w:val="20"/>
          <w:szCs w:val="20"/>
          <w:lang w:val="es-ES"/>
        </w:rPr>
        <w:t>Para:</w:t>
      </w:r>
      <w:r>
        <w:rPr>
          <w:rFonts w:cs="Calibri" w:ascii="Bookman Old Style" w:hAnsi="Bookman Old Style"/>
          <w:sz w:val="20"/>
          <w:szCs w:val="20"/>
          <w:lang w:val="es-ES"/>
        </w:rPr>
        <w:t xml:space="preserve"> Damaris Vargas Vásquez &lt;dvargas@Poder-Judicial.go.cr&gt;</w:t>
        <w:br/>
      </w:r>
      <w:r>
        <w:rPr>
          <w:rFonts w:cs="Calibri" w:ascii="Bookman Old Style" w:hAnsi="Bookman Old Style"/>
          <w:b/>
          <w:bCs/>
          <w:sz w:val="20"/>
          <w:szCs w:val="20"/>
          <w:lang w:val="es-ES"/>
        </w:rPr>
        <w:t>CC:</w:t>
      </w:r>
      <w:r>
        <w:rPr>
          <w:rFonts w:cs="Calibri" w:ascii="Bookman Old Style" w:hAnsi="Bookman Old Style"/>
          <w:sz w:val="20"/>
          <w:szCs w:val="20"/>
          <w:lang w:val="es-ES"/>
        </w:rPr>
        <w:t xml:space="preserve"> Jorge Olaso Alvarez &lt;jolaso@Poder-Judicial.go.cr&gt;</w:t>
        <w:br/>
      </w:r>
      <w:r>
        <w:rPr>
          <w:rFonts w:cs="Calibri" w:ascii="Bookman Old Style" w:hAnsi="Bookman Old Style"/>
          <w:b/>
          <w:bCs/>
          <w:sz w:val="20"/>
          <w:szCs w:val="20"/>
          <w:lang w:val="es-ES"/>
        </w:rPr>
        <w:t>Asunto:</w:t>
      </w:r>
      <w:r>
        <w:rPr>
          <w:rFonts w:cs="Calibri" w:ascii="Bookman Old Style" w:hAnsi="Bookman Old Style"/>
          <w:sz w:val="20"/>
          <w:szCs w:val="20"/>
          <w:lang w:val="es-ES"/>
        </w:rPr>
        <w:t xml:space="preserve"> RV: OFICIO N°007-702-2020</w:t>
      </w:r>
    </w:p>
    <w:p>
      <w:pPr>
        <w:pStyle w:val="Normal"/>
        <w:rPr>
          <w:rFonts w:ascii="Bookman Old Style" w:hAnsi="Bookman Old Style"/>
          <w:sz w:val="20"/>
          <w:szCs w:val="20"/>
          <w:lang w:eastAsia="en-US"/>
        </w:rPr>
      </w:pPr>
      <w:r>
        <w:rPr>
          <w:rFonts w:ascii="Bookman Old Style" w:hAnsi="Bookman Old Style"/>
          <w:sz w:val="20"/>
          <w:szCs w:val="20"/>
          <w:lang w:eastAsia="en-US"/>
        </w:rPr>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t>Buenos días, doña Damaris.</w:t>
      </w:r>
    </w:p>
    <w:p>
      <w:pPr>
        <w:pStyle w:val="Normal"/>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Con instrucciones del Magistrado Jorge Enrique Olaso Álvarez, me permito remitirle el correo adjunto para la atención de la SUBCOMISIÓN ACCESO A LA JUSTICIA DE PUEBLOS INDÍGENAS.</w:t>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t>Saludos cordiales,</w:t>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t>Yazmín Marchena Espinoza</w:t>
      </w:r>
    </w:p>
    <w:p>
      <w:pPr>
        <w:pStyle w:val="Normal"/>
        <w:rPr>
          <w:rFonts w:ascii="Bookman Old Style" w:hAnsi="Bookman Old Style"/>
          <w:sz w:val="20"/>
          <w:szCs w:val="20"/>
        </w:rPr>
      </w:pPr>
      <w:r>
        <w:rPr>
          <w:rFonts w:ascii="Bookman Old Style" w:hAnsi="Bookman Old Style"/>
          <w:sz w:val="20"/>
          <w:szCs w:val="20"/>
        </w:rPr>
        <w:t>Secretaria Ejecutiva</w:t>
      </w:r>
    </w:p>
    <w:p>
      <w:pPr>
        <w:pStyle w:val="Normal"/>
        <w:rPr>
          <w:rFonts w:ascii="Bookman Old Style" w:hAnsi="Bookman Old Style"/>
          <w:sz w:val="20"/>
          <w:szCs w:val="20"/>
        </w:rPr>
      </w:pPr>
      <w:r>
        <w:rPr>
          <w:rFonts w:ascii="Bookman Old Style" w:hAnsi="Bookman Old Style"/>
          <w:sz w:val="20"/>
          <w:szCs w:val="20"/>
        </w:rPr>
        <w:t>Despacho Magistrado Jorge Enrique Olaso Álvarez</w:t>
      </w:r>
    </w:p>
    <w:p>
      <w:pPr>
        <w:pStyle w:val="Normal"/>
        <w:rPr>
          <w:rFonts w:ascii="Bookman Old Style" w:hAnsi="Bookman Old Style"/>
          <w:sz w:val="20"/>
          <w:szCs w:val="20"/>
        </w:rPr>
      </w:pPr>
      <w:r>
        <w:rPr>
          <w:rFonts w:ascii="Bookman Old Style" w:hAnsi="Bookman Old Style"/>
          <w:sz w:val="20"/>
          <w:szCs w:val="20"/>
        </w:rPr>
        <w:t>Corte Suprema de Justicia</w:t>
      </w:r>
    </w:p>
    <w:p>
      <w:pPr>
        <w:pStyle w:val="Normal"/>
        <w:rPr>
          <w:rFonts w:ascii="Bookman Old Style" w:hAnsi="Bookman Old Style" w:cs="Calibri"/>
          <w:sz w:val="20"/>
          <w:szCs w:val="20"/>
        </w:rPr>
      </w:pPr>
      <w:r>
        <w:rPr>
          <w:rFonts w:cs="Calibri" w:ascii="Bookman Old Style" w:hAnsi="Bookman Old Style"/>
          <w:sz w:val="20"/>
          <w:szCs w:val="20"/>
        </w:rPr>
        <w:t>2295-4993</w:t>
      </w:r>
    </w:p>
    <w:p>
      <w:pPr>
        <w:pStyle w:val="Normal"/>
        <w:rPr>
          <w:rFonts w:ascii="Bookman Old Style" w:hAnsi="Bookman Old Style"/>
          <w:sz w:val="20"/>
          <w:szCs w:val="20"/>
        </w:rPr>
      </w:pPr>
      <w:r>
        <w:rPr>
          <w:rFonts w:cs="Calibri" w:ascii="Bookman Old Style" w:hAnsi="Bookman Old Style"/>
          <w:color w:val="1F497D"/>
          <w:sz w:val="20"/>
          <w:szCs w:val="20"/>
        </w:rPr>
        <w:t> </w:t>
      </w:r>
    </w:p>
    <w:p>
      <w:pPr>
        <w:pStyle w:val="Normal"/>
        <w:rPr>
          <w:rFonts w:ascii="Bookman Old Style" w:hAnsi="Bookman Old Style" w:cs="Calibri"/>
          <w:sz w:val="20"/>
          <w:szCs w:val="20"/>
          <w:lang w:val="es-ES"/>
        </w:rPr>
      </w:pPr>
      <w:r>
        <w:rPr>
          <w:rFonts w:cs="Calibri" w:ascii="Bookman Old Style" w:hAnsi="Bookman Old Style"/>
          <w:sz w:val="20"/>
          <w:szCs w:val="20"/>
          <w:lang w:val="es-ES"/>
        </w:rPr>
        <w:t>____________________________________________</w:t>
        <w:br/>
      </w:r>
      <w:r>
        <w:rPr>
          <w:rFonts w:cs="Calibri" w:ascii="Bookman Old Style" w:hAnsi="Bookman Old Style"/>
          <w:b/>
          <w:bCs/>
          <w:sz w:val="20"/>
          <w:szCs w:val="20"/>
          <w:lang w:val="es-ES"/>
        </w:rPr>
        <w:t>De:</w:t>
      </w:r>
      <w:r>
        <w:rPr>
          <w:rFonts w:cs="Calibri" w:ascii="Bookman Old Style" w:hAnsi="Bookman Old Style"/>
          <w:sz w:val="20"/>
          <w:szCs w:val="20"/>
          <w:lang w:val="es-ES"/>
        </w:rPr>
        <w:t xml:space="preserve"> Sandra Aguero Monge &lt;saguero@Poder-Judicial.go.cr&gt; </w:t>
        <w:br/>
      </w:r>
      <w:r>
        <w:rPr>
          <w:rFonts w:cs="Calibri" w:ascii="Bookman Old Style" w:hAnsi="Bookman Old Style"/>
          <w:b/>
          <w:bCs/>
          <w:sz w:val="20"/>
          <w:szCs w:val="20"/>
          <w:lang w:val="es-ES"/>
        </w:rPr>
        <w:t>Enviado el:</w:t>
      </w:r>
      <w:r>
        <w:rPr>
          <w:rFonts w:cs="Calibri" w:ascii="Bookman Old Style" w:hAnsi="Bookman Old Style"/>
          <w:sz w:val="20"/>
          <w:szCs w:val="20"/>
          <w:lang w:val="es-ES"/>
        </w:rPr>
        <w:t xml:space="preserve"> miércoles, 6 de mayo de 2020 10:19</w:t>
        <w:br/>
      </w:r>
      <w:r>
        <w:rPr>
          <w:rFonts w:cs="Calibri" w:ascii="Bookman Old Style" w:hAnsi="Bookman Old Style"/>
          <w:b/>
          <w:bCs/>
          <w:sz w:val="20"/>
          <w:szCs w:val="20"/>
          <w:lang w:val="es-ES"/>
        </w:rPr>
        <w:t>Para:</w:t>
      </w:r>
      <w:r>
        <w:rPr>
          <w:rFonts w:cs="Calibri" w:ascii="Bookman Old Style" w:hAnsi="Bookman Old Style"/>
          <w:sz w:val="20"/>
          <w:szCs w:val="20"/>
          <w:lang w:val="es-ES"/>
        </w:rPr>
        <w:t xml:space="preserve"> Acceso a la Justicia &lt;accesojusticia@Poder-Judicial.go.cr&gt;</w:t>
        <w:br/>
      </w:r>
      <w:r>
        <w:rPr>
          <w:rFonts w:cs="Calibri" w:ascii="Bookman Old Style" w:hAnsi="Bookman Old Style"/>
          <w:b/>
          <w:bCs/>
          <w:sz w:val="20"/>
          <w:szCs w:val="20"/>
          <w:lang w:val="es-ES"/>
        </w:rPr>
        <w:t>CC:</w:t>
      </w:r>
      <w:r>
        <w:rPr>
          <w:rFonts w:cs="Calibri" w:ascii="Bookman Old Style" w:hAnsi="Bookman Old Style"/>
          <w:sz w:val="20"/>
          <w:szCs w:val="20"/>
          <w:lang w:val="es-ES"/>
        </w:rPr>
        <w:t xml:space="preserve"> Jorge Olaso Alvarez &lt;jolaso@Poder-Judicial.go.cr&gt;; Yasmin Marchena Espinoza &lt;ymarchena@Poder-Judicial.go.cr&gt;; Yorleny Vargas Morales &lt;yvargasmo@Poder-Judicial.go.cr&gt;; Recepción Documentos Dirección General OIJ &lt;oij_rdd@Poder-Judicial.go.cr&gt;</w:t>
        <w:br/>
      </w:r>
      <w:r>
        <w:rPr>
          <w:rFonts w:cs="Calibri" w:ascii="Bookman Old Style" w:hAnsi="Bookman Old Style"/>
          <w:b/>
          <w:bCs/>
          <w:sz w:val="20"/>
          <w:szCs w:val="20"/>
          <w:lang w:val="es-ES"/>
        </w:rPr>
        <w:t>Asunto:</w:t>
      </w:r>
      <w:r>
        <w:rPr>
          <w:rFonts w:cs="Calibri" w:ascii="Bookman Old Style" w:hAnsi="Bookman Old Style"/>
          <w:sz w:val="20"/>
          <w:szCs w:val="20"/>
          <w:lang w:val="es-ES"/>
        </w:rPr>
        <w:t xml:space="preserve"> OFICIO N°007-702-2020</w:t>
      </w:r>
    </w:p>
    <w:p>
      <w:pPr>
        <w:pStyle w:val="Normal"/>
        <w:rPr>
          <w:rFonts w:ascii="Bookman Old Style" w:hAnsi="Bookman Old Style"/>
          <w:sz w:val="20"/>
          <w:szCs w:val="20"/>
          <w:lang w:eastAsia="en-US"/>
        </w:rPr>
      </w:pPr>
      <w:r>
        <w:rPr>
          <w:rFonts w:ascii="Bookman Old Style" w:hAnsi="Bookman Old Style"/>
          <w:sz w:val="20"/>
          <w:szCs w:val="20"/>
          <w:lang w:eastAsia="en-US"/>
        </w:rPr>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t xml:space="preserve">Buen día. </w:t>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t>Para conocimiento de la Comisión Acceso a la Justicia, remito los oficios Nos. 007-702-2020 y  el  825-DG-2019.</w:t>
      </w:r>
    </w:p>
    <w:p>
      <w:pPr>
        <w:pStyle w:val="Normal"/>
        <w:rPr>
          <w:rFonts w:ascii="Bookman Old Style" w:hAnsi="Bookman Old Style"/>
          <w:sz w:val="20"/>
          <w:szCs w:val="20"/>
        </w:rPr>
      </w:pPr>
      <w:r>
        <w:rPr>
          <w:rFonts w:ascii="Bookman Old Style" w:hAnsi="Bookman Old Style"/>
          <w:sz w:val="20"/>
          <w:szCs w:val="20"/>
        </w:rPr>
        <w:t xml:space="preserve"> </w:t>
      </w:r>
      <w:r>
        <w:rPr>
          <w:rFonts w:ascii="Bookman Old Style" w:hAnsi="Bookman Old Style"/>
          <w:sz w:val="20"/>
          <w:szCs w:val="20"/>
        </w:rPr>
        <w:t xml:space="preserve">&lt;Archivo: Oficio 007-702-2020011.pdf &gt;&gt;  &lt;Archivo: 825-DG-2019 Ref. 824-2019.doc &gt;&gt; </w:t>
      </w:r>
    </w:p>
    <w:p>
      <w:pPr>
        <w:pStyle w:val="Normal"/>
        <w:rPr>
          <w:rFonts w:ascii="Bookman Old Style" w:hAnsi="Bookman Old Style"/>
          <w:sz w:val="20"/>
          <w:szCs w:val="20"/>
        </w:rPr>
      </w:pPr>
      <w:r>
        <w:rPr>
          <w:rFonts w:ascii="Bookman Old Style" w:hAnsi="Bookman Old Style"/>
          <w:sz w:val="20"/>
          <w:szCs w:val="20"/>
        </w:rPr>
        <w:t xml:space="preserve">Atentamente, </w:t>
      </w:r>
    </w:p>
    <w:p>
      <w:pPr>
        <w:pStyle w:val="Normal"/>
        <w:jc w:val="center"/>
        <w:rPr>
          <w:rFonts w:ascii="Bookman Old Style" w:hAnsi="Bookman Old Style"/>
          <w:b/>
          <w:b/>
          <w:bCs/>
          <w:color w:val="365F91"/>
          <w:sz w:val="20"/>
          <w:szCs w:val="20"/>
          <w:lang w:val="pt-BR"/>
        </w:rPr>
      </w:pPr>
      <w:r>
        <w:rPr>
          <w:rFonts w:ascii="Bookman Old Style" w:hAnsi="Bookman Old Style"/>
          <w:b/>
          <w:bCs/>
          <w:color w:val="365F91"/>
          <w:sz w:val="20"/>
          <w:szCs w:val="20"/>
          <w:lang w:val="pt-BR"/>
        </w:rPr>
        <w:t>Sandra Agüero Monge</w:t>
      </w:r>
    </w:p>
    <w:p>
      <w:pPr>
        <w:pStyle w:val="Normal"/>
        <w:jc w:val="center"/>
        <w:rPr>
          <w:rFonts w:ascii="Bookman Old Style" w:hAnsi="Bookman Old Style"/>
          <w:color w:val="365F91"/>
          <w:sz w:val="20"/>
          <w:szCs w:val="20"/>
          <w:lang w:val="pt-BR"/>
        </w:rPr>
      </w:pPr>
      <w:r>
        <w:rPr>
          <w:rFonts w:ascii="Bookman Old Style" w:hAnsi="Bookman Old Style"/>
          <w:color w:val="365F91"/>
          <w:sz w:val="20"/>
          <w:szCs w:val="20"/>
          <w:lang w:val="pt-BR"/>
        </w:rPr>
        <w:t>Secretaria de Comisiones</w:t>
      </w:r>
    </w:p>
    <w:p>
      <w:pPr>
        <w:pStyle w:val="Normal"/>
        <w:jc w:val="center"/>
        <w:rPr>
          <w:rFonts w:ascii="Bookman Old Style" w:hAnsi="Bookman Old Style"/>
          <w:b/>
          <w:b/>
          <w:bCs/>
          <w:i/>
          <w:i/>
          <w:iCs/>
          <w:color w:val="548DD4"/>
          <w:sz w:val="20"/>
          <w:szCs w:val="20"/>
          <w:lang w:val="pt-BR"/>
        </w:rPr>
      </w:pPr>
      <w:hyperlink r:id="rId2">
        <w:r>
          <w:rPr>
            <w:rStyle w:val="EnlacedeInternet"/>
            <w:rFonts w:ascii="Bookman Old Style" w:hAnsi="Bookman Old Style"/>
            <w:sz w:val="20"/>
            <w:szCs w:val="20"/>
            <w:lang w:val="pt-BR"/>
          </w:rPr>
          <w:t>saguero@poder-judicial.go.cr</w:t>
        </w:r>
      </w:hyperlink>
    </w:p>
    <w:p>
      <w:pPr>
        <w:pStyle w:val="Normal"/>
        <w:jc w:val="center"/>
        <w:rPr>
          <w:rFonts w:ascii="Bookman Old Style" w:hAnsi="Bookman Old Style"/>
          <w:i/>
          <w:i/>
          <w:iCs/>
          <w:color w:val="365F91"/>
          <w:sz w:val="20"/>
          <w:szCs w:val="20"/>
          <w:lang w:val="pt-BR"/>
        </w:rPr>
      </w:pPr>
      <w:r>
        <w:rPr>
          <w:rFonts w:ascii="Bookman Old Style" w:hAnsi="Bookman Old Style"/>
          <w:i/>
          <w:iCs/>
          <w:color w:val="365F91"/>
          <w:sz w:val="20"/>
          <w:szCs w:val="20"/>
          <w:lang w:val="pt-BR"/>
        </w:rPr>
        <w:t>Tel. 2295-4291</w:t>
      </w:r>
    </w:p>
    <w:p>
      <w:pPr>
        <w:pStyle w:val="Normal"/>
        <w:jc w:val="center"/>
        <w:rPr>
          <w:rFonts w:ascii="Bookman Old Style" w:hAnsi="Bookman Old Style"/>
          <w:color w:val="365F91"/>
          <w:sz w:val="20"/>
          <w:szCs w:val="20"/>
          <w:lang w:val="es-ES"/>
        </w:rPr>
      </w:pPr>
      <w:r>
        <w:rPr>
          <w:rFonts w:ascii="Bookman Old Style" w:hAnsi="Bookman Old Style"/>
          <w:sz w:val="20"/>
          <w:szCs w:val="20"/>
        </w:rPr>
        <w:t xml:space="preserve"> </w:t>
      </w:r>
      <w:r>
        <w:rPr>
          <w:rFonts w:ascii="Bookman Old Style" w:hAnsi="Bookman Old Style"/>
          <w:sz w:val="20"/>
          <w:szCs w:val="20"/>
        </w:rPr>
        <w:t xml:space="preserve">&lt;Objeto OLE: Picture (Device Independent Bitmap) &gt;&gt; </w:t>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lang w:eastAsia="en-US"/>
        </w:rPr>
      </w:pPr>
      <w:r>
        <w:rPr/>
        <w:drawing>
          <wp:inline distT="0" distB="0" distL="0" distR="0">
            <wp:extent cx="6192520" cy="8748395"/>
            <wp:effectExtent l="0" t="0" r="0" b="0"/>
            <wp:docPr id="3"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5" descr=""/>
                    <pic:cNvPicPr>
                      <a:picLocks noChangeAspect="1" noChangeArrowheads="1"/>
                    </pic:cNvPicPr>
                  </pic:nvPicPr>
                  <pic:blipFill>
                    <a:blip r:embed="rId3"/>
                    <a:stretch>
                      <a:fillRect/>
                    </a:stretch>
                  </pic:blipFill>
                  <pic:spPr bwMode="auto">
                    <a:xfrm>
                      <a:off x="0" y="0"/>
                      <a:ext cx="6192520" cy="8748395"/>
                    </a:xfrm>
                    <a:prstGeom prst="rect">
                      <a:avLst/>
                    </a:prstGeom>
                  </pic:spPr>
                </pic:pic>
              </a:graphicData>
            </a:graphic>
          </wp:inline>
        </w:drawing>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rPr>
          <w:rFonts w:ascii="Bookman Old Style" w:hAnsi="Bookman Old Style" w:cs="Tahoma"/>
          <w:b/>
          <w:b/>
          <w:color w:val="000000" w:themeColor="text1"/>
          <w:sz w:val="20"/>
          <w:szCs w:val="20"/>
          <w:u w:val="single"/>
        </w:rPr>
      </w:pPr>
      <w:r>
        <w:rPr/>
        <w:drawing>
          <wp:inline distT="0" distB="0" distL="0" distR="0">
            <wp:extent cx="6192520" cy="8502650"/>
            <wp:effectExtent l="0" t="0" r="0" b="0"/>
            <wp:docPr id="4"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6" descr=""/>
                    <pic:cNvPicPr>
                      <a:picLocks noChangeAspect="1" noChangeArrowheads="1"/>
                    </pic:cNvPicPr>
                  </pic:nvPicPr>
                  <pic:blipFill>
                    <a:blip r:embed="rId4"/>
                    <a:stretch>
                      <a:fillRect/>
                    </a:stretch>
                  </pic:blipFill>
                  <pic:spPr bwMode="auto">
                    <a:xfrm>
                      <a:off x="0" y="0"/>
                      <a:ext cx="6192520" cy="8502650"/>
                    </a:xfrm>
                    <a:prstGeom prst="rect">
                      <a:avLst/>
                    </a:prstGeom>
                  </pic:spPr>
                </pic:pic>
              </a:graphicData>
            </a:graphic>
          </wp:inline>
        </w:drawing>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Default"/>
        <w:spacing w:lineRule="auto" w:line="360"/>
        <w:jc w:val="both"/>
        <w:rPr>
          <w:rFonts w:ascii="Bookman Old Style" w:hAnsi="Bookman Old Style" w:cs="Liberation Serif"/>
          <w:sz w:val="20"/>
          <w:szCs w:val="20"/>
          <w:lang w:eastAsia="es-CR"/>
        </w:rPr>
      </w:pPr>
      <w:r>
        <w:rPr>
          <w:rFonts w:cs="Liberation Serif" w:ascii="Bookman Old Style" w:hAnsi="Bookman Old Style"/>
          <w:sz w:val="20"/>
          <w:szCs w:val="20"/>
          <w:lang w:eastAsia="es-CR"/>
        </w:rPr>
        <w:t xml:space="preserve">solventar inconvenientes en estas poblaciones para acceder a los mecanismos de justicia, sean tomadas también tomando en consideración aspectos de seguridad y de cantidad de recursos con los que se cuenta, al menos, en el Organismo de Investigación Judicial. </w:t>
      </w:r>
    </w:p>
    <w:p>
      <w:pPr>
        <w:pStyle w:val="Default"/>
        <w:spacing w:lineRule="auto" w:line="360"/>
        <w:jc w:val="both"/>
        <w:rPr>
          <w:rFonts w:ascii="Bookman Old Style" w:hAnsi="Bookman Old Style" w:cs="Liberation Serif"/>
          <w:sz w:val="20"/>
          <w:szCs w:val="20"/>
          <w:lang w:eastAsia="es-CR"/>
        </w:rPr>
      </w:pPr>
      <w:r>
        <w:rPr>
          <w:rFonts w:cs="Liberation Serif" w:ascii="Bookman Old Style" w:hAnsi="Bookman Old Style"/>
          <w:sz w:val="20"/>
          <w:szCs w:val="20"/>
          <w:lang w:eastAsia="es-CR"/>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En este sentido, tal como queda en evidencia en el informe adjunto, la realización de audiencias en espacios públicos en estas zonas alejadas, representa un riesgo importante, el personal del Organismo de Investigación Judicial no podría responder de manera eficaz ante diferentes tipos de imprevistos que se prevén en estas diligencias judiciales, ya que al ser abiertos, los funcionarios se encuentran expuestos ante múltiples eventualidades, la zonas no cuentan con buenas señales telefónicas o de internet, el personal del OIJ es mínimo y aun con su traslado a estos juicios ya se deja sin personal a otra oficina, por lo que solamente dos custodios no podrían contener en caso de intervenciones de la población. Debe recodarse también que por la naturaleza de las culturas indígenas, en ocasiones cuentan con sus propias normas internas de convivencia, por lo que es necesario evitar todo tipo de conflictos en zonas abiertas.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Se trata de una situación de importancia, el Jefe de la Delegación de Limón me ha expuesto: </w:t>
      </w:r>
    </w:p>
    <w:p>
      <w:pPr>
        <w:pStyle w:val="Normal"/>
        <w:spacing w:lineRule="auto" w:line="360"/>
        <w:jc w:val="both"/>
        <w:rPr>
          <w:rFonts w:ascii="Bookman Old Style" w:hAnsi="Bookman Old Style" w:cs="Liberation Serif"/>
          <w:i/>
          <w:i/>
          <w:iCs/>
          <w:color w:val="000000"/>
          <w:sz w:val="20"/>
          <w:szCs w:val="20"/>
        </w:rPr>
      </w:pPr>
      <w:r>
        <w:rPr>
          <w:rFonts w:cs="Liberation Serif" w:ascii="Bookman Old Style" w:hAnsi="Bookman Old Style"/>
          <w:i/>
          <w:iCs/>
          <w:color w:val="000000"/>
          <w:sz w:val="20"/>
          <w:szCs w:val="20"/>
        </w:rPr>
        <w:t xml:space="preserve">“… </w:t>
      </w:r>
      <w:r>
        <w:rPr>
          <w:rFonts w:cs="Liberation Serif" w:ascii="Bookman Old Style" w:hAnsi="Bookman Old Style"/>
          <w:i/>
          <w:iCs/>
          <w:color w:val="000000"/>
          <w:sz w:val="20"/>
          <w:szCs w:val="20"/>
        </w:rPr>
        <w:t xml:space="preserve">mediante conversaciones que he sostenido con el Lic. Manuel Jiménez Steller, Fiscal Adjunto de esta competencia, se le ha hecho ver la necesidad y la urgencia de valorar el tema de los juicios que se realizan en zona indígena y que por competencia lo asume la Oficina de Bribri. Esta oficina adscrita y satélite de la Delegación de Limón solamente cuenta con recurso para atender estos asuntos únicamente con dos custodios que corresponden a plazas que están en forma de préstamo de Limón a esa oficina, sin embargo, mediante el citado estudio de marras y algunas situaciones que se han estado presentando como ejemplo;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i/>
          <w:iCs/>
          <w:color w:val="000000"/>
          <w:sz w:val="20"/>
          <w:szCs w:val="20"/>
        </w:rPr>
        <w:t xml:space="preserve">1. Ya se dio que el carro de la Fiscalía en uno de esos juicios fue ponchada sus llantas (clara advertencia de lo que a futuro se puede presentar),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before="0" w:after="169"/>
        <w:jc w:val="both"/>
        <w:rPr>
          <w:rFonts w:ascii="Bookman Old Style" w:hAnsi="Bookman Old Style" w:cs="Liberation Serif"/>
          <w:color w:val="000000"/>
          <w:sz w:val="20"/>
          <w:szCs w:val="20"/>
        </w:rPr>
      </w:pPr>
      <w:r>
        <w:rPr>
          <w:rFonts w:cs="Liberation Serif" w:ascii="Bookman Old Style" w:hAnsi="Bookman Old Style"/>
          <w:i/>
          <w:iCs/>
          <w:color w:val="000000"/>
          <w:sz w:val="20"/>
          <w:szCs w:val="20"/>
        </w:rPr>
        <w:t xml:space="preserve">2. Cuando el Tribunal requiere resolver alguna situación o se da un receso o resolución, los detenidos hay que sacarlos del salón del cual no reviste ninguna medida de seguridad e ingresarlos al cajón de la unidad policial (el lugar no cuenta con ningún sitio de contención mientras se resuelve) quedando los detenidos expuestos a las inclemencias del tiempo (calor) o actos vandálicos.- </w:t>
      </w:r>
    </w:p>
    <w:p>
      <w:pPr>
        <w:pStyle w:val="Normal"/>
        <w:spacing w:lineRule="auto" w:line="360"/>
        <w:jc w:val="both"/>
        <w:rPr>
          <w:rFonts w:ascii="Bookman Old Style" w:hAnsi="Bookman Old Style" w:cs="Liberation Serif"/>
          <w:i/>
          <w:i/>
          <w:iCs/>
          <w:color w:val="000000"/>
          <w:sz w:val="20"/>
          <w:szCs w:val="20"/>
        </w:rPr>
      </w:pPr>
      <w:r>
        <w:rPr>
          <w:rFonts w:cs="Liberation Serif" w:ascii="Bookman Old Style" w:hAnsi="Bookman Old Style"/>
          <w:i/>
          <w:iCs/>
          <w:color w:val="000000"/>
          <w:sz w:val="20"/>
          <w:szCs w:val="20"/>
        </w:rPr>
        <w:t xml:space="preserve">3. De darse una situación por el conflicto que genere la resolución del juicio, los custodios no tienen los medios necesarios que permitan asegurar la integridad o contención de las partes o de los mismos funcionarios judiciales; </w:t>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jc w:val="both"/>
        <w:rPr>
          <w:rFonts w:ascii="Bookman Old Style" w:hAnsi="Bookman Old Style" w:cs="Liberation Serif"/>
          <w:i/>
          <w:i/>
          <w:iCs/>
          <w:color w:val="000000"/>
          <w:sz w:val="20"/>
          <w:szCs w:val="20"/>
        </w:rPr>
      </w:pPr>
      <w:r>
        <w:rPr>
          <w:rFonts w:cs="Liberation Serif" w:ascii="Bookman Old Style" w:hAnsi="Bookman Old Style"/>
          <w:i/>
          <w:iCs/>
          <w:color w:val="000000"/>
          <w:sz w:val="20"/>
          <w:szCs w:val="20"/>
        </w:rPr>
        <w:t xml:space="preserve">De lo anterior podemos sumar que entre otras situaciones tenemos que la constante realización de estos juicios en esa zona permite que la Oficina Regional al desplazar a sus dos únicos funcionarios se quede sin custodios en la oficina, lo que demanda que el resto de las diligencias judiciales tales como las señaladas por el Juzgado Penal, y Fiscalía (detenidos que cuentan con plazos ya sea por acción de la misma policía judicial u otra policía administrativa), se tenga que utilizar al personal de Investigación de dicha sede, adicionalmente para ir declinando en las labores investigativas de esa Oficina, a futuro se prevé que la Fiscalía se va a desplazar al sector de Home Creeck (7 km de Bribri), aunado a ello, una de las secciones del Tribunal de Juicio se va a trasladar a esa zona de manera permanente con el fin de dar mayor continuidad de juicios, lo que a criterio de esta Jefatura no vamos a poder brindar una respuesta oportuna y más que ello me preocupa mucho la seguridad de nuestros colaboradores en la zona.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Cabecera"/>
        <w:spacing w:lineRule="auto" w:line="360"/>
        <w:jc w:val="both"/>
        <w:rPr>
          <w:rFonts w:ascii="Bookman Old Style" w:hAnsi="Bookman Old Style" w:cs="Liberation Serif"/>
          <w:b/>
          <w:b/>
          <w:bCs/>
          <w:color w:val="000000"/>
          <w:sz w:val="20"/>
          <w:szCs w:val="20"/>
        </w:rPr>
      </w:pPr>
      <w:r>
        <w:rPr>
          <w:rFonts w:cs="Liberation Serif" w:ascii="Bookman Old Style" w:hAnsi="Bookman Old Style"/>
          <w:b/>
          <w:bCs/>
          <w:color w:val="000000"/>
          <w:sz w:val="20"/>
          <w:szCs w:val="20"/>
        </w:rPr>
        <w:t>El Lic. Marlon Poyser Fiscal Coordinador de la Fiscalía de Bribri, ha sido uno de los precursores del tema de los juicios en la zona indígena, el cual señala, más que un tema de accesibilidad existe el compromiso con esas comunidades, todo esta situación se resume a dos vertientes, la primera que es la falta de seguridad donde se llevan a cabo los juicios que no reviste el mínimo de seguridad y en caso de una crisis, no tenemos un medio oportuno para brindar respuesta, debido a que el lugar no cuenta con señal de radio ni celular, las autoridades de apoyo y respuesta como Fuerza Pública y Cruz Roja dista en gran medida en caso de una atención, pese a que se prevé por parte del Jefe de Bribri realizar coordinaciones con Fuerza Pública, por parte de esta entidad policial no se cuenta con los recursos ni humanos ni de transporte en esa zona adecuados para brindar el apoyo necesario como forma de respuesta; segundo el uso de personal que no es suficiente y que se ha paleado haciendo uso de personal de Investigación lo que degenera en su función y en respuesta a la ciudadanía, como la operatividad, trámite de denuncias entre otros.”</w:t>
      </w:r>
    </w:p>
    <w:p>
      <w:pPr>
        <w:pStyle w:val="Cabecera"/>
        <w:spacing w:lineRule="auto" w:line="360"/>
        <w:jc w:val="both"/>
        <w:rPr>
          <w:rFonts w:ascii="Bookman Old Style" w:hAnsi="Bookman Old Style" w:cs="Liberation Serif"/>
          <w:b/>
          <w:b/>
          <w:bCs/>
          <w:color w:val="000000"/>
          <w:sz w:val="20"/>
          <w:szCs w:val="20"/>
        </w:rPr>
      </w:pPr>
      <w:r>
        <w:rPr>
          <w:rFonts w:cs="Liberation Serif" w:ascii="Bookman Old Style" w:hAnsi="Bookman Old Style"/>
          <w:b/>
          <w:bCs/>
          <w:color w:val="000000"/>
          <w:sz w:val="20"/>
          <w:szCs w:val="20"/>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Lo mismo ocurre en el sector de Battan, que si bien no se atiende zonas indígenas, se está realizando juicios, lo que requiere también personal para que se desplace sin que la oficina se quede sin personal a cargo, lo cual no se tiene en dicha oficina.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En el caso de Bribrí, incluso entendemos que se instalará una fiscalía y un tribunal en la zona para atender los señalamientos, no obstante, el Organismo de Investigación Judicial no cuenta con los custodios o el personal necesario, y la infraestructura de las zonas donde se realizarían estas diligencias no son las necesarias en temas de seguridad, por lo que el OIJ no podría asumir la responsabilidad ante eventualidades para las cuales no tengan capacidad de responder; incluso el hecho de tener que resguardar a privados de libertad dentro del vehículo policial, bajo esas temperaturas, no conlleva un trato digno ni humano, por lo que la solución a temas de acceso a la justicia, consideramos, debería ser integral y evitar este tipo de situaciones.</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Un tema que para esta Dirección es indispensable resaltar, es el de la falta de recursos, el traslado de los únicos dos custodios de detenidos que se mantienen en condición de préstamo en la zona de Bribrí, a las zonas indígenas donde se realizan las audiencias, no solo implica dejar sin personal a la oficina durante el tiempo en el que se realiza la diligencia, si no que también se trata del tiempo que duran los traslados, que implica muchas horas en las que en definitiva, la oficina pierde el personal para las labores propias, lo cual está afectando de manera sistemática las diligencias de la oficina.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Default"/>
        <w:spacing w:lineRule="auto" w:line="360"/>
        <w:jc w:val="both"/>
        <w:rPr>
          <w:rFonts w:ascii="Bookman Old Style" w:hAnsi="Bookman Old Style" w:cs="Liberation Serif"/>
          <w:sz w:val="20"/>
          <w:szCs w:val="20"/>
          <w:lang w:eastAsia="es-CR"/>
        </w:rPr>
      </w:pPr>
      <w:r>
        <w:rPr>
          <w:rFonts w:cs="Liberation Serif" w:ascii="Bookman Old Style" w:hAnsi="Bookman Old Style"/>
          <w:sz w:val="20"/>
          <w:szCs w:val="20"/>
          <w:lang w:eastAsia="es-CR"/>
        </w:rPr>
        <w:t xml:space="preserve">Por lo anterior, pusimos este informe en conocimiento del Consejo Superior del Poder Judicial, con la expectativa de que la situación se comprendiera y se tomaran decisiones en torno al tema, analizando los riesgos descritos, así como la imposibilidad pornuestra parte de seguir cubriendo estas diligencias con el poco personal asignado en la zona, pues debe tenerse claro que se están desatendiendo otras labores con esto, al utilizarse por varias horas funcionarios asignados a otras oficinas que también requieren del personal asignado. Es necesario que las audiencias se realicen en la oficina destinada a ese fin, con la cercanía de los órganos necesarios para atender eventualidades, por lo que se solicitó atender las recomendaciones emitidas en el informe 009-UPRO/OPO-2019. </w:t>
      </w:r>
    </w:p>
    <w:p>
      <w:pPr>
        <w:pStyle w:val="Default"/>
        <w:spacing w:lineRule="auto" w:line="360"/>
        <w:jc w:val="both"/>
        <w:rPr>
          <w:rFonts w:ascii="Bookman Old Style" w:hAnsi="Bookman Old Style" w:cs="Liberation Serif"/>
          <w:sz w:val="20"/>
          <w:szCs w:val="20"/>
          <w:lang w:eastAsia="es-CR"/>
        </w:rPr>
      </w:pPr>
      <w:r>
        <w:rPr>
          <w:rFonts w:cs="Liberation Serif" w:ascii="Bookman Old Style" w:hAnsi="Bookman Old Style"/>
          <w:sz w:val="20"/>
          <w:szCs w:val="20"/>
          <w:lang w:eastAsia="es-CR"/>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No obstante, lo anterior, el Consejo Superior, mediante oficio No. 6805-2019, comunicó lo resuelto en torno al tema, en sesión N°56-19 celebrada el 19 de junio del 2019, artículo XLIX, oportunidad en la que se resolvió: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i/>
          <w:iCs/>
          <w:color w:val="000000"/>
          <w:sz w:val="20"/>
          <w:szCs w:val="20"/>
        </w:rPr>
        <w:t>“</w:t>
      </w:r>
      <w:r>
        <w:rPr>
          <w:rFonts w:cs="Liberation Serif" w:ascii="Bookman Old Style" w:hAnsi="Bookman Old Style"/>
          <w:i/>
          <w:iCs/>
          <w:color w:val="000000"/>
          <w:sz w:val="20"/>
          <w:szCs w:val="20"/>
        </w:rPr>
        <w:t xml:space="preserve">Se acordó: 1.) Comunicar al máster Walter Espinoza Espinoza, Director General del Organismo de Investigación Judicial, que en relación al oficio N° 686-DG-2019 de 10 de junio de 2019, sobre las medidas de seguridad en la realización de audiencias o juicios en las zonas de Bribrí y Batán, es un tema que atañe a la labor jurisdiccional, de manera que será el juez o jueza quien determine la complejidad de la causa para el posterior señalamiento, considerando cuáles instalaciones son las apropiadas para la ejecución del debate y si se debe tomar alguna medida de precaución, a esos efectos; pese a que este Consejo tiene conocimiento de las condiciones que se presentan en las zonas indicadas, el acceso a la justicia debe apremiar a dicha población, por lo que este órgano carece de competencia para atender la solicitud planteada. 2.) Hacer este acuerdo de conocimiento de la Delegación Regional del Primer Circuito Judicial de la Zona Atlántica. La Dirección General del Organismo de Investigación Judicial tomará nota para lo que corresponda.” </w:t>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Default"/>
        <w:spacing w:lineRule="auto" w:line="360"/>
        <w:jc w:val="both"/>
        <w:rPr>
          <w:rFonts w:ascii="Bookman Old Style" w:hAnsi="Bookman Old Style" w:cs="Liberation Serif"/>
          <w:sz w:val="20"/>
          <w:szCs w:val="20"/>
          <w:lang w:eastAsia="es-CR"/>
        </w:rPr>
      </w:pPr>
      <w:r>
        <w:rPr>
          <w:rFonts w:cs="Liberation Serif" w:ascii="Bookman Old Style" w:hAnsi="Bookman Old Style"/>
          <w:sz w:val="20"/>
          <w:szCs w:val="20"/>
          <w:lang w:eastAsia="es-CR"/>
        </w:rPr>
        <w:t xml:space="preserve">Como fue indicado por nuestra parte, este órgano comprende y apoya las medidas que se consideren necesarias para mejorar el acceso a la justicia de personas en condición de vulnerabilidad, sin embargo, en este caso este tipo de disposiciones también ponen en riesgo a esos grupos vulnerables, al realizar audiencias sin la suficiente seguridad y sin la posibilidad por nuestra parte de responder ante eventuales eventos o alteraciones al orden en este tipo de diligencias. Es nuestra responsabilidad como policía judicial, informar sobreestos peligros y nuestra imposibilidad de responder de manera adecuada ante motines u otro tipo de altercados que se presenten; asimismo, la afectación se presenta al utilizar para estos fines recursos destinados a otras diligencias que también los requieren y que se están viendo directamente deterioradas por el traslado de nuestro personal de la zona para estas audiencias. </w:t>
      </w:r>
    </w:p>
    <w:p>
      <w:pPr>
        <w:pStyle w:val="Default"/>
        <w:spacing w:lineRule="auto" w:line="360"/>
        <w:jc w:val="both"/>
        <w:rPr>
          <w:rFonts w:ascii="Bookman Old Style" w:hAnsi="Bookman Old Style" w:cs="Liberation Serif"/>
          <w:sz w:val="20"/>
          <w:szCs w:val="20"/>
          <w:lang w:eastAsia="es-CR"/>
        </w:rPr>
      </w:pPr>
      <w:r>
        <w:rPr>
          <w:rFonts w:cs="Liberation Serif" w:ascii="Bookman Old Style" w:hAnsi="Bookman Old Style"/>
          <w:sz w:val="20"/>
          <w:szCs w:val="20"/>
          <w:lang w:eastAsia="es-CR"/>
        </w:rPr>
      </w:r>
    </w:p>
    <w:p>
      <w:pPr>
        <w:pStyle w:val="Normal"/>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Por lo expuesto, consideramos importante hacer de su conocimiento esta situación, a la espera también de que se valore lo señalado, se emitan pronunciamientos y se adopten medidas tendientes a buscar soluciones en conjunto, de manera que las disposiciones contemplen todos los aspectos necesarios cuando se trata de administración de justicia penal. Debe recordarse que en materia de seguridad el criterio técnico es fundamental y en el caso del Poder Judicial y la realización de audiencias con privados de libertad, ese criterio recae sobre nuestros órganos especiales como la Oficina de Planes y Operaciones, y con estas disposiciones no solo se pone en riesgo la labor de los jueces, fiscales o defensores, sino de los privados de libertad y de nuestros compañeros, en zonas que no cumplen las medidas mínimas de seguridad y donde se podrían dar hechos lamentables sino trasladamos este asunto a una instancia superior y esta, a su vez, resuelve de manera seria el tema. </w:t>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De forma atenta, </w:t>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b/>
          <w:bCs/>
          <w:color w:val="000000"/>
          <w:sz w:val="20"/>
          <w:szCs w:val="20"/>
        </w:rPr>
        <w:t xml:space="preserve">MSc. Gerald Campos Valverde </w:t>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b/>
          <w:bCs/>
          <w:color w:val="000000"/>
          <w:sz w:val="20"/>
          <w:szCs w:val="20"/>
        </w:rPr>
        <w:t xml:space="preserve">Sub Director General </w:t>
      </w:r>
    </w:p>
    <w:p>
      <w:pPr>
        <w:pStyle w:val="Normal"/>
        <w:spacing w:lineRule="auto" w:line="360"/>
        <w:rPr>
          <w:rFonts w:ascii="Bookman Old Style" w:hAnsi="Bookman Old Style" w:cs="Liberation Serif"/>
          <w:b/>
          <w:b/>
          <w:bCs/>
          <w:color w:val="000000"/>
          <w:sz w:val="20"/>
          <w:szCs w:val="20"/>
        </w:rPr>
      </w:pPr>
      <w:r>
        <w:rPr>
          <w:rFonts w:cs="Liberation Serif" w:ascii="Bookman Old Style" w:hAnsi="Bookman Old Style"/>
          <w:b/>
          <w:bCs/>
          <w:color w:val="000000"/>
          <w:sz w:val="20"/>
          <w:szCs w:val="20"/>
        </w:rPr>
        <w:t xml:space="preserve">Organismo de Investigación Judicial </w:t>
      </w:r>
    </w:p>
    <w:p>
      <w:pPr>
        <w:pStyle w:val="Normal"/>
        <w:spacing w:lineRule="auto" w:line="360"/>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Cabecera"/>
        <w:spacing w:lineRule="auto" w:line="360"/>
        <w:jc w:val="both"/>
        <w:rPr>
          <w:rFonts w:ascii="Bookman Old Style" w:hAnsi="Bookman Old Style" w:cs="Liberation Serif"/>
          <w:b/>
          <w:b/>
          <w:bCs/>
          <w:i/>
          <w:i/>
          <w:iCs/>
          <w:color w:val="000000"/>
          <w:sz w:val="20"/>
          <w:szCs w:val="20"/>
        </w:rPr>
      </w:pPr>
      <w:r>
        <w:rPr>
          <w:rFonts w:cs="Liberation Serif" w:ascii="Bookman Old Style" w:hAnsi="Bookman Old Style"/>
          <w:b/>
          <w:bCs/>
          <w:i/>
          <w:iCs/>
          <w:color w:val="000000"/>
          <w:sz w:val="20"/>
          <w:szCs w:val="20"/>
        </w:rPr>
        <w:t>cc: Consecutivo/Archivo/lsanchezmo</w:t>
      </w:r>
    </w:p>
    <w:p>
      <w:pPr>
        <w:pStyle w:val="Cabecera"/>
        <w:spacing w:lineRule="auto" w:line="360"/>
        <w:jc w:val="both"/>
        <w:rPr>
          <w:rFonts w:ascii="Bookman Old Style" w:hAnsi="Bookman Old Style" w:cs="Liberation Serif"/>
          <w:b/>
          <w:b/>
          <w:bCs/>
          <w:i/>
          <w:i/>
          <w:iCs/>
          <w:color w:val="000000"/>
          <w:sz w:val="20"/>
          <w:szCs w:val="20"/>
        </w:rPr>
      </w:pPr>
      <w:r>
        <w:rPr>
          <w:rFonts w:cs="Liberation Serif" w:ascii="Bookman Old Style" w:hAnsi="Bookman Old Style"/>
          <w:b/>
          <w:bCs/>
          <w:i/>
          <w:iCs/>
          <w:color w:val="000000"/>
          <w:sz w:val="20"/>
          <w:szCs w:val="20"/>
        </w:rPr>
      </w:r>
    </w:p>
    <w:p>
      <w:pPr>
        <w:pStyle w:val="Cabecera"/>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t xml:space="preserve">Se analiza la gestión planteada y luego de una amplia deliberación: </w:t>
      </w:r>
    </w:p>
    <w:p>
      <w:pPr>
        <w:pStyle w:val="Cabecera"/>
        <w:spacing w:lineRule="auto" w:line="360"/>
        <w:jc w:val="both"/>
        <w:rPr>
          <w:rFonts w:ascii="Bookman Old Style" w:hAnsi="Bookman Old Style" w:cs="Liberation Serif"/>
          <w:color w:val="000000"/>
          <w:sz w:val="20"/>
          <w:szCs w:val="20"/>
        </w:rPr>
      </w:pPr>
      <w:r>
        <w:rPr>
          <w:rFonts w:cs="Liberation Serif" w:ascii="Bookman Old Style" w:hAnsi="Bookman Old Style"/>
          <w:color w:val="000000"/>
          <w:sz w:val="20"/>
          <w:szCs w:val="20"/>
        </w:rPr>
      </w:r>
    </w:p>
    <w:p>
      <w:pPr>
        <w:pStyle w:val="Normal"/>
        <w:spacing w:lineRule="auto" w:line="360"/>
        <w:jc w:val="both"/>
        <w:rPr>
          <w:rFonts w:ascii="Bookman Old Style" w:hAnsi="Bookman Old Style" w:cs="Liberation Serif"/>
          <w:color w:val="000000"/>
        </w:rPr>
      </w:pPr>
      <w:r>
        <w:rPr>
          <w:rFonts w:cs="Tahoma" w:ascii="Bookman Old Style" w:hAnsi="Bookman Old Style"/>
          <w:b/>
          <w:color w:val="000000" w:themeColor="text1"/>
          <w:u w:val="single"/>
        </w:rPr>
        <w:t>SE ACUERDA</w:t>
      </w:r>
      <w:r>
        <w:rPr>
          <w:rFonts w:cs="Tahoma" w:ascii="Bookman Old Style" w:hAnsi="Bookman Old Style"/>
          <w:bCs/>
          <w:color w:val="000000" w:themeColor="text1"/>
        </w:rPr>
        <w:t xml:space="preserve">: Se toma nota del comunicado enviado el 6 de mayo pasado por el Magistrado Jorge Olaso Álvarez, Coordinador de la Comisión de Acceso a la Justicia, en el que traslada para conocimiento de la Subcomisión de Acceso a la Justicia de Pueblos Indígenas, el oficio que le remitiera el Magistrado Gerardo Rubén Alfaro Vargas, Coordinador de la Comisión de Enlace Corte-OIJ sobre el acuerdo tomado por dicha Comisión en sesión N° 02-2020 de 19 de febrero pasado, Artículo IX, vinculada con el Oficio N° 825-DG-2019 formulado por la Dirección General del Organismo de Investigación Judicial. Se dispone trasladar a las Comisiones Jurisdiccionales de Penal, Agrario, Contencioso Administrativo, Laboral, Civil y de Familia el Oficio N° 825-DG-2019 formulado por la Dirección General del Organismo de Investigación Judicial, para lo de su cargo en relación con lo planteado y lo dispuesto por el Consejo Superior </w:t>
      </w:r>
      <w:r>
        <w:rPr>
          <w:rFonts w:cs="Liberation Serif" w:ascii="Bookman Old Style" w:hAnsi="Bookman Old Style"/>
          <w:color w:val="000000"/>
        </w:rPr>
        <w:t xml:space="preserve">en sesión N°56-19 celebrada el 19 de junio del 2019, artículo XLIX, comunicado mediante oficio No. 6805-2019, a efecto de que tomen en consideración la situación planteada por el OIJ para la administración de los riesgos expuestos en las materias a su cargo. Instar a las oficinas judiciales para que cuando realicen audiencias en territorios indígenas, coordinen previamente con los Comités de Salud de los diferentes territorios en seguimiento del </w:t>
      </w:r>
      <w:r>
        <w:rPr>
          <w:rFonts w:ascii="Bookman Old Style" w:hAnsi="Bookman Old Style"/>
          <w:color w:val="000000"/>
          <w:lang w:val="es-ES"/>
        </w:rPr>
        <w:t>Plan de Trabajo: Abordaje de la emergencia del virus COVID-19 en territorios indígenas, conforme a lo dispuesto</w:t>
      </w:r>
      <w:r>
        <w:rPr>
          <w:rFonts w:ascii="Bookman Old Style" w:hAnsi="Bookman Old Style"/>
          <w:lang w:val="es-ES"/>
        </w:rPr>
        <w:t xml:space="preserve"> por Corte Plena, en sesión N° 21-2020 celebrada el 20 de abril del 2020, Artículo XVIII, a solicitud de la Subcomisión de Acceso a la Justicia de Pueblos Indígenas, y lo dispuesto por la Comisión Interamericana de Derechos Humanos en la resolución 01-2020, en la parte que vincula a la población indígena. Instar para que en la programación de audiencias se consideren las previsiones para la seguridad de las mujeres que participan en las audiencias judiciales que se realizan en los territorios indígenas. </w:t>
      </w:r>
      <w:r>
        <w:rPr>
          <w:rFonts w:cs="Liberation Serif" w:ascii="Bookman Old Style" w:hAnsi="Bookman Old Style"/>
          <w:color w:val="000000"/>
        </w:rPr>
        <w:t xml:space="preserve">Solicitar a la Dirección de Gestión Humana y Contraloría de Servicios colaboración para hacer una encuesta en los despachos judiciales que realizan audiencias en territorios indígenas a fin de que informen las barreras o limitaciones que se les presentan, así como las oportunidades de mejora, con el objetivo de construir un protocolo en coordinación con las oficinas involucradas para la programación de audiencias en territorios indígenas que incluya aspectos de seguridad y de logística, además de los lineamientos expuestos relacionados con la pandemia Covid-19, la seguridad de las mujeres indígenas, logística para maximizar el aprovechamiento de los recursos institucionales, seguridad de las personas servidoras judiciales, usuarios y demás participantes en las audiencias que se realizan en el sitio. Por su trascendencia, se declara firme este acuerdo por unanimidad para su ejecución. Comuníquese este acuerdo a la Dirección del Organismo de Investigación Judicial, Comisión de Enlace Corte/OIJ, Comisión de Acceso a la Justicia y Comisiones Jurisdiccionales de </w:t>
      </w:r>
      <w:r>
        <w:rPr>
          <w:rFonts w:cs="Tahoma" w:ascii="Bookman Old Style" w:hAnsi="Bookman Old Style"/>
          <w:bCs/>
          <w:color w:val="000000" w:themeColor="text1"/>
        </w:rPr>
        <w:t>Penal, Agrario, Contencioso Administrativo, Laboral, Civil y de Familia.-</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ARTICULO II</w:t>
      </w:r>
    </w:p>
    <w:p>
      <w:pPr>
        <w:pStyle w:val="Normal"/>
        <w:spacing w:lineRule="auto" w:line="360"/>
        <w:jc w:val="both"/>
        <w:rPr>
          <w:rFonts w:ascii="Bookman Old Style" w:hAnsi="Bookman Old Style" w:cs="Tahoma"/>
          <w:bCs/>
          <w:i/>
          <w:i/>
          <w:iCs/>
          <w:color w:val="000000" w:themeColor="text1"/>
          <w:sz w:val="20"/>
          <w:szCs w:val="20"/>
        </w:rPr>
      </w:pPr>
      <w:r>
        <w:rPr>
          <w:rFonts w:cs="Tahoma" w:ascii="Bookman Old Style" w:hAnsi="Bookman Old Style"/>
          <w:bCs/>
          <w:color w:val="000000" w:themeColor="text1"/>
          <w:sz w:val="20"/>
          <w:szCs w:val="20"/>
        </w:rPr>
        <w:t>La Subcomisión de Acceso a la Justicia de Pueblos Indígenas en sesión N° 04-20 de 3 de abril de 2020, Artículo XIV, tomó el acuerdo que literalmente indica:</w:t>
      </w:r>
    </w:p>
    <w:p>
      <w:pPr>
        <w:pStyle w:val="Xmsolistparagraph"/>
        <w:spacing w:lineRule="auto" w:line="276" w:before="280" w:after="280"/>
        <w:ind w:left="708" w:hanging="0"/>
        <w:jc w:val="both"/>
        <w:rPr>
          <w:rFonts w:ascii="Bookman Old Style" w:hAnsi="Bookman Old Style" w:cs="Tahoma"/>
          <w:i/>
          <w:i/>
          <w:iCs/>
          <w:color w:val="000000" w:themeColor="text1"/>
          <w:sz w:val="20"/>
          <w:szCs w:val="20"/>
        </w:rPr>
      </w:pPr>
      <w:r>
        <w:rPr>
          <w:rFonts w:cs="Tahoma" w:ascii="Bookman Old Style" w:hAnsi="Bookman Old Style"/>
          <w:b/>
          <w:bCs/>
          <w:i/>
          <w:iCs/>
          <w:color w:val="000000" w:themeColor="text1"/>
          <w:sz w:val="20"/>
          <w:szCs w:val="20"/>
          <w:u w:val="single"/>
        </w:rPr>
        <w:t>“</w:t>
      </w:r>
      <w:r>
        <w:rPr>
          <w:rFonts w:cs="Tahoma" w:ascii="Bookman Old Style" w:hAnsi="Bookman Old Style"/>
          <w:b/>
          <w:bCs/>
          <w:i/>
          <w:iCs/>
          <w:color w:val="000000" w:themeColor="text1"/>
          <w:sz w:val="20"/>
          <w:szCs w:val="20"/>
          <w:u w:val="single"/>
        </w:rPr>
        <w:t>SE ACUERDA:</w:t>
      </w:r>
      <w:r>
        <w:rPr>
          <w:rFonts w:cs="Tahoma" w:ascii="Bookman Old Style" w:hAnsi="Bookman Old Style"/>
          <w:i/>
          <w:iCs/>
          <w:color w:val="000000" w:themeColor="text1"/>
          <w:sz w:val="20"/>
          <w:szCs w:val="20"/>
        </w:rPr>
        <w:t xml:space="preserve"> </w:t>
      </w:r>
      <w:r>
        <w:rPr>
          <w:rFonts w:cs="Tahoma" w:ascii="Bookman Old Style" w:hAnsi="Bookman Old Style"/>
          <w:b/>
          <w:bCs/>
          <w:i/>
          <w:iCs/>
          <w:color w:val="000000" w:themeColor="text1"/>
          <w:sz w:val="20"/>
          <w:szCs w:val="20"/>
        </w:rPr>
        <w:t>1°</w:t>
      </w:r>
      <w:r>
        <w:rPr>
          <w:rFonts w:cs="Tahoma" w:ascii="Bookman Old Style" w:hAnsi="Bookman Old Style"/>
          <w:i/>
          <w:iCs/>
          <w:color w:val="000000" w:themeColor="text1"/>
          <w:sz w:val="20"/>
          <w:szCs w:val="20"/>
        </w:rPr>
        <w:t xml:space="preserve"> Se toma nota del Oficio 048-DNJR-20/Mag. Gerardo Rubén Alfaro de 9 de marzo de 2020, dirigido por la Dirección Nacional de Justicia Restaurativa y de la integrante Ligia Jiménez, Defensora Pública Indígena, el señor Jean Carlos Monge, juez penal y el señor Carlos Romero, Contralor de Servicios del Primer Circuito Judicial de la Zona Sur. </w:t>
      </w:r>
      <w:r>
        <w:rPr>
          <w:rFonts w:cs="Tahoma" w:ascii="Bookman Old Style" w:hAnsi="Bookman Old Style"/>
          <w:b/>
          <w:bCs/>
          <w:i/>
          <w:iCs/>
          <w:color w:val="000000" w:themeColor="text1"/>
          <w:sz w:val="20"/>
          <w:szCs w:val="20"/>
        </w:rPr>
        <w:t>2°</w:t>
      </w:r>
      <w:r>
        <w:rPr>
          <w:rFonts w:cs="Tahoma" w:ascii="Bookman Old Style" w:hAnsi="Bookman Old Style"/>
          <w:i/>
          <w:iCs/>
          <w:color w:val="000000" w:themeColor="text1"/>
          <w:sz w:val="20"/>
          <w:szCs w:val="20"/>
        </w:rPr>
        <w:t xml:space="preserve"> Solicitar a las Unidades de Capacitación y a la DNJR incluir en el proceso de construcción de los diseños de capacitación a personas indígenas, mujeres y hombres, representantes de pueblos indígenas, con el objetivo de que participen activamente en su elaboración en cumplimiento de la Circular 188-19 de Corte Plena, quienes cuenten con el perfil específico que se construya para esa población, luego de la propuesta formulada por la señora Marisol Barboza Rodríguez, especialista en métodos de enseñanza. De igual forma, instar a la DNJR incorpore población indígena para que participe en el proceso de construcción del Protocolo de Justicia Penal Restaurativa. Tomando en consideración que en los territorios indígenas hay diferentes tipos de liderazgos de la población indígena, lo ideal es contar con personas que puedan aportar sustancialmente e incidir en la construcción de ambos procesos, no en forma accesoria. Con el objetivo de que la participación no sea impuesta desde el Poder Judicial, y garantizar que la designación se realice desde los pueblos indígenas, se dispone a solicitar a la Defensoría de los Habitantes de la República colaboración para que, en forma coordinada con la Contraloría de Servicios del Poder Judicial, se pueda tener contacto con las diferentes organizaciones de personas indígenas y los listados. En tanto se superan las limitaciones generadas por la Pandemia Covid-19, y para mayor celeridad, instar a la Defensoría de los Habitantes de la República colaboración para poder contactar al Grupo de Peticionarios de las Medidas Cautelares 321-12 de la CIDH que cubre a los pueblos de Salitre y Térraba, el Foro Nacional de Mujeres Indígenas; además, al Tribunal de Derecho Propio de Boruca, Tribunal de Derecho Propio de Cabagra y el Tribunal Indígena de Bribri Talamanca, a fin de que designen una persona por cada organización que colabore con el diseño y la ejecución de las actividades de capacitación. Para hacer efectiva la participación de las personas indígenas, remitir solicitud a la Escuela Judicial acerca de la posibilidad de contar con recursos institucionales para cubrir la alimentación, viáticos y demás requerimientos de las personas indígenas; así como a las y los representantes ante la Subcomisión del INAMU, la DHR y el Viceministerio de Diálogo Ciudadano, entre otros, a efecto de informen si hay opciones de colaboración. Las personas indígenas seleccionadas se integrarán al Comité de Capacitación de la Subcomisión de Acceso a la Justicia de Pueblos Indígenas previamente seleccionado al que se incorporan además la señora Marjorie Herrera por la DHR y la señora Jovanna Calderón por la DNJR. </w:t>
      </w:r>
      <w:r>
        <w:rPr>
          <w:rFonts w:cs="Tahoma" w:ascii="Bookman Old Style" w:hAnsi="Bookman Old Style"/>
          <w:b/>
          <w:bCs/>
          <w:i/>
          <w:iCs/>
          <w:color w:val="000000" w:themeColor="text1"/>
          <w:sz w:val="20"/>
          <w:szCs w:val="20"/>
        </w:rPr>
        <w:t>3°</w:t>
      </w:r>
      <w:r>
        <w:rPr>
          <w:rFonts w:cs="Tahoma" w:ascii="Bookman Old Style" w:hAnsi="Bookman Old Style"/>
          <w:i/>
          <w:iCs/>
          <w:color w:val="000000" w:themeColor="text1"/>
          <w:sz w:val="20"/>
          <w:szCs w:val="20"/>
        </w:rPr>
        <w:t xml:space="preserve"> Se designa al juez Jean Carlos Monge para que coordine con la licenciada Ligia Jiménez, Defensora Pública Indígena y la señora Ariana Céspedes, Fiscala Indígena o a su suplente, la Fiscala Tatiana García, a efecto de que preparen una propuesta de capacitación integral que sirva de base al Comité de Capacitación para su análisis, previo a ser sometida a aprobación de la Subcomisión en pleno. </w:t>
      </w:r>
      <w:r>
        <w:rPr>
          <w:rFonts w:cs="Tahoma" w:ascii="Bookman Old Style" w:hAnsi="Bookman Old Style"/>
          <w:b/>
          <w:bCs/>
          <w:i/>
          <w:iCs/>
          <w:color w:val="000000" w:themeColor="text1"/>
          <w:sz w:val="20"/>
          <w:szCs w:val="20"/>
        </w:rPr>
        <w:t>4°</w:t>
      </w:r>
      <w:r>
        <w:rPr>
          <w:rFonts w:cs="Tahoma" w:ascii="Bookman Old Style" w:hAnsi="Bookman Old Style"/>
          <w:i/>
          <w:iCs/>
          <w:color w:val="000000" w:themeColor="text1"/>
          <w:sz w:val="20"/>
          <w:szCs w:val="20"/>
        </w:rPr>
        <w:t xml:space="preserve"> Se tiene por planteado el perfil de las personas indígenas que participarán en el proceso de construcción de la capacitación, propuesto por la señora Marisol Barboza Rodríguez, especialista en métodos de enseñanza de la Escuela Judicial, en el que se señala debe tratarse de personas indígenas: a) líder o lideresa de un pueblo indígena, b) persona conocedora de la labor del Poder Judicial, c) persona conocedora de los procesos de acuerdo dentro de los pueblos indígenas, d) que hable español o en su defecto se le asignará una persona traductora, y con disposición para colaborar. </w:t>
      </w:r>
      <w:r>
        <w:rPr>
          <w:rFonts w:cs="Tahoma" w:ascii="Bookman Old Style" w:hAnsi="Bookman Old Style"/>
          <w:b/>
          <w:bCs/>
          <w:i/>
          <w:iCs/>
          <w:color w:val="000000" w:themeColor="text1"/>
          <w:sz w:val="20"/>
          <w:szCs w:val="20"/>
        </w:rPr>
        <w:t xml:space="preserve">5° </w:t>
      </w:r>
      <w:r>
        <w:rPr>
          <w:rFonts w:cs="Tahoma" w:ascii="Bookman Old Style" w:hAnsi="Bookman Old Style"/>
          <w:i/>
          <w:iCs/>
          <w:color w:val="000000" w:themeColor="text1"/>
          <w:sz w:val="20"/>
          <w:szCs w:val="20"/>
        </w:rPr>
        <w:t>Se declara firme este acuerdo por unanimidad para su ejecución. Comuníquese integralmente a la DNJR, la DHR, la Escuela Judicial y Unidades de Capacitación del Poder Judicial; además, a las y los integrantes del Comité de Capacitación de la Subcomisión de Acceso a la Justicia de Pueblos Indígenas; para lo que se solicitará colaboración a la Unidad de Acceso a la Justicia.”</w:t>
      </w:r>
      <w:bookmarkStart w:id="0" w:name="_Hlk38014872"/>
      <w:bookmarkEnd w:id="0"/>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La señora Ligia Jiménez, representante de la Defensa Pública, remitió comunicado electrónico del 27 de abril de 2020, en el que interpuso recurso de revocatoria contra el acuerdo tomado por la Subcomisión de Acceso a la Justicia de Pueblos Indígenas. El comunicado señala literalmente:</w:t>
      </w:r>
    </w:p>
    <w:p>
      <w:pPr>
        <w:pStyle w:val="Normal"/>
        <w:rPr>
          <w:rFonts w:ascii="Bookman Old Style" w:hAnsi="Bookman Old Style" w:eastAsia="Calibri" w:cs="" w:cstheme="minorBidi" w:eastAsiaTheme="minorHAnsi"/>
          <w:sz w:val="20"/>
          <w:szCs w:val="20"/>
          <w:lang w:eastAsia="en-US"/>
        </w:rPr>
      </w:pPr>
      <w:r>
        <w:rPr>
          <w:rFonts w:eastAsia="Calibri" w:cs="" w:cstheme="minorBidi" w:eastAsiaTheme="minorHAnsi" w:ascii="Bookman Old Style" w:hAnsi="Bookman Old Style"/>
          <w:sz w:val="20"/>
          <w:szCs w:val="20"/>
          <w:lang w:eastAsia="en-US"/>
        </w:rPr>
      </w:r>
    </w:p>
    <w:p>
      <w:pPr>
        <w:pStyle w:val="Normal"/>
        <w:rPr>
          <w:rFonts w:ascii="Bookman Old Style" w:hAnsi="Bookman Old Style" w:cs="Calibri"/>
          <w:i/>
          <w:i/>
          <w:iCs/>
          <w:sz w:val="20"/>
          <w:szCs w:val="20"/>
          <w:lang w:val="es-ES"/>
        </w:rPr>
      </w:pPr>
      <w:r>
        <w:rPr>
          <w:rFonts w:ascii="Bookman Old Style" w:hAnsi="Bookman Old Style"/>
          <w:b/>
          <w:bCs/>
          <w:i/>
          <w:iCs/>
          <w:sz w:val="20"/>
          <w:szCs w:val="20"/>
          <w:lang w:val="es-ES"/>
        </w:rPr>
        <w:t>De:</w:t>
      </w:r>
      <w:r>
        <w:rPr>
          <w:rFonts w:ascii="Bookman Old Style" w:hAnsi="Bookman Old Style"/>
          <w:i/>
          <w:iCs/>
          <w:sz w:val="20"/>
          <w:szCs w:val="20"/>
          <w:lang w:val="es-ES"/>
        </w:rPr>
        <w:t xml:space="preserve"> Ligia Jeannette Jiménez Zamora &lt;ljimenezz@Poder-Judicial.go.cr&gt; </w:t>
        <w:br/>
      </w:r>
      <w:r>
        <w:rPr>
          <w:rFonts w:ascii="Bookman Old Style" w:hAnsi="Bookman Old Style"/>
          <w:b/>
          <w:bCs/>
          <w:i/>
          <w:iCs/>
          <w:sz w:val="20"/>
          <w:szCs w:val="20"/>
          <w:lang w:val="es-ES"/>
        </w:rPr>
        <w:t>Enviado el:</w:t>
      </w:r>
      <w:r>
        <w:rPr>
          <w:rFonts w:ascii="Bookman Old Style" w:hAnsi="Bookman Old Style"/>
          <w:i/>
          <w:iCs/>
          <w:sz w:val="20"/>
          <w:szCs w:val="20"/>
          <w:lang w:val="es-ES"/>
        </w:rPr>
        <w:t xml:space="preserve"> lunes, 27 de abril de 2020 7:21 a. m.</w:t>
        <w:br/>
      </w:r>
      <w:r>
        <w:rPr>
          <w:rFonts w:ascii="Bookman Old Style" w:hAnsi="Bookman Old Style"/>
          <w:b/>
          <w:bCs/>
          <w:i/>
          <w:iCs/>
          <w:sz w:val="20"/>
          <w:szCs w:val="20"/>
          <w:lang w:val="es-ES"/>
        </w:rPr>
        <w:t>Para:</w:t>
      </w:r>
      <w:r>
        <w:rPr>
          <w:rFonts w:ascii="Bookman Old Style" w:hAnsi="Bookman Old Style"/>
          <w:i/>
          <w:iCs/>
          <w:sz w:val="20"/>
          <w:szCs w:val="20"/>
          <w:lang w:val="es-ES"/>
        </w:rPr>
        <w:t xml:space="preserve"> Katherine Salazar Duarte &lt;ksalazard@Poder-Judicial.go.cr&gt;; fpaniagua@mj.go.cr; kpiedrac@mj.go.cr; Wilbert Kidd Alvarado &lt;wkidd@Poder-Judicial.go.cr&gt;; Miguel Ovares Chavarría &lt;movares@Poder-Judicial.go.cr&gt;; Roman Bresciani Quirós &lt;rbresciani@Poder-Judicial.go.cr&gt;; Francia Leon Gonzalez &lt;fleong@poder-judicial.go.cr&gt;; Daniel Villalobos Araya &lt;dvillalobosa@Poder-Judicial.go.cr&gt;; Vivian Rímola Soto &lt;vrimola@Poder-Judicial.go.cr&gt;; Dixon Li Morales &lt;dlim@Poder-Judicial.go.cr&gt;; Jeannette Durán Alemán &lt;jduranal@Poder-Judicial.go.cr&gt;; Roberth García González &lt;rgarciag@Poder-Judicial.go.cr&gt;; Jeremy Eduarte Aleman &lt;jeduarte@Poder-Judicial.go.cr&gt;; william.vega@one.un.org; Cristian Alberto Martínez Hernández &lt;cmartinezh@Poder-Judicial.go.cr&gt;; Rocío Rivera Cascante &lt;rriveraca@Poder-Judicial.go.cr&gt;; Patricia Bonilla Rodríguez &lt;pbonilla@Poder-Judicial.go.cr&gt;; Roxana Arrieta Meléndez &lt;rarrieta@Poder-Judicial.go.cr&gt;; Alex Guevara Meza &lt;aguevarame@Poder-Judicial.go.cr&gt;; cescotofer@gmail.com; Tattiana Garcia Chaves &lt;tgarciach@Poder-Judicial.go.cr&gt;; Ariana Céspedes López &lt;acespedesl@Poder-Judicial.go.cr&gt;; ali.garcia@ucr.ac.cr; Alba Gutiérrez Villalobos &lt;agutierrezv@poder-judicial.go.cr&gt;; Carlos Romero Rivera &lt;cromero@poder-judicial.go.cr&gt;; Ericka Chavarría Astorga &lt;echavarriaa@Poder-Judicial.go.cr&gt;; Erick Alfaro Romero &lt;ealfaror@Poder-Judicial.go.cr&gt;; geyner.blanco@presidencia.go.cr; vvaras@inamu.go.cr; Jean Carlo Monge Madrigal &lt;jmongema@Poder-Judicial.go.cr&gt;; marcos.guevara@ucr.ac.cr; mherrera@dhr.go.cr; Sandra Pizarro Gutiérrez &lt;spizarro@Poder-Judicial.go.cr&gt;; Vanessa Villalobos Montero &lt;vvillalobos@Poder-Judicial.go.cr&gt;; Yorleny Ferreto Solano &lt;yferreto@Poder-Judicial.go.cr&gt;; CONAMAJ - Participación Ciudadana &lt;conamaj-pciudadana@Poder-Judicial.go.cr&gt;; Jorge Olaso Alvarez &lt;jolaso@Poder-Judicial.go.cr&gt;; Jovanna Calderón Altamirano &lt;jcalderona@Poder-Judicial.go.cr&gt;; Melissa Benavides Víquez &lt;mbenavidesv@Poder-Judicial.go.cr&gt;</w:t>
        <w:br/>
      </w:r>
      <w:r>
        <w:rPr>
          <w:rFonts w:ascii="Bookman Old Style" w:hAnsi="Bookman Old Style"/>
          <w:b/>
          <w:bCs/>
          <w:i/>
          <w:iCs/>
          <w:sz w:val="20"/>
          <w:szCs w:val="20"/>
          <w:lang w:val="es-ES"/>
        </w:rPr>
        <w:t>CC:</w:t>
      </w:r>
      <w:r>
        <w:rPr>
          <w:rFonts w:ascii="Bookman Old Style" w:hAnsi="Bookman Old Style"/>
          <w:i/>
          <w:iCs/>
          <w:sz w:val="20"/>
          <w:szCs w:val="20"/>
          <w:lang w:val="es-ES"/>
        </w:rPr>
        <w:t xml:space="preserve"> Damaris Vargas Vásquez &lt;dvargas@Poder-Judicial.go.cr&gt;; Lizeth Orozco Bolaños &lt;lorozcob@Poder-Judicial.go.cr&gt;; Marianela Campos Soto &lt;mcamposs@Poder-Judicial.go.cr&gt;</w:t>
        <w:br/>
      </w:r>
      <w:r>
        <w:rPr>
          <w:rFonts w:ascii="Bookman Old Style" w:hAnsi="Bookman Old Style"/>
          <w:b/>
          <w:bCs/>
          <w:i/>
          <w:iCs/>
          <w:sz w:val="20"/>
          <w:szCs w:val="20"/>
          <w:lang w:val="es-ES"/>
        </w:rPr>
        <w:t>Asunto:</w:t>
      </w:r>
      <w:r>
        <w:rPr>
          <w:rFonts w:ascii="Bookman Old Style" w:hAnsi="Bookman Old Style"/>
          <w:i/>
          <w:iCs/>
          <w:sz w:val="20"/>
          <w:szCs w:val="20"/>
          <w:lang w:val="es-ES"/>
        </w:rPr>
        <w:t xml:space="preserve"> RE: Oficio CACC-148-2020 Personas Integrantes la Subcomisión de Acceso a la Justicia de Pueblos Indígenas y del Comite de Capacitación en Temática Indígena</w:t>
      </w:r>
    </w:p>
    <w:p>
      <w:pPr>
        <w:pStyle w:val="Normal"/>
        <w:rPr>
          <w:rFonts w:ascii="Bookman Old Style" w:hAnsi="Bookman Old Style" w:eastAsia="Calibri" w:eastAsiaTheme="minorHAnsi"/>
          <w:i/>
          <w:i/>
          <w:iCs/>
          <w:sz w:val="20"/>
          <w:szCs w:val="20"/>
        </w:rPr>
      </w:pPr>
      <w:r>
        <w:rPr>
          <w:rFonts w:eastAsia="Calibri" w:eastAsiaTheme="minorHAnsi" w:ascii="Bookman Old Style" w:hAnsi="Bookman Old Style"/>
          <w:i/>
          <w:iCs/>
          <w:sz w:val="20"/>
          <w:szCs w:val="20"/>
        </w:rPr>
      </w:r>
    </w:p>
    <w:p>
      <w:pPr>
        <w:pStyle w:val="Normal"/>
        <w:rPr>
          <w:rFonts w:ascii="Bookman Old Style" w:hAnsi="Bookman Old Style"/>
          <w:i/>
          <w:i/>
          <w:iCs/>
          <w:color w:val="000000"/>
          <w:sz w:val="20"/>
          <w:szCs w:val="20"/>
        </w:rPr>
      </w:pPr>
      <w:r>
        <w:rPr>
          <w:rFonts w:ascii="Bookman Old Style" w:hAnsi="Bookman Old Style"/>
          <w:i/>
          <w:iCs/>
          <w:color w:val="000000"/>
          <w:sz w:val="20"/>
          <w:szCs w:val="20"/>
        </w:rPr>
        <w:t>Buenos días estimados y estimadas señoras. Reciban un cordial saludo.</w:t>
      </w:r>
    </w:p>
    <w:p>
      <w:pPr>
        <w:pStyle w:val="Normal"/>
        <w:rPr>
          <w:rFonts w:ascii="Bookman Old Style" w:hAnsi="Bookman Old Style"/>
          <w:i/>
          <w:i/>
          <w:iCs/>
          <w:color w:val="000000"/>
          <w:sz w:val="20"/>
          <w:szCs w:val="20"/>
        </w:rPr>
      </w:pPr>
      <w:r>
        <w:rPr>
          <w:rFonts w:ascii="Bookman Old Style" w:hAnsi="Bookman Old Style"/>
          <w:i/>
          <w:iCs/>
          <w:color w:val="000000"/>
          <w:sz w:val="20"/>
          <w:szCs w:val="20"/>
        </w:rPr>
      </w:r>
    </w:p>
    <w:p>
      <w:pPr>
        <w:pStyle w:val="Normal"/>
        <w:jc w:val="both"/>
        <w:rPr>
          <w:rFonts w:ascii="Bookman Old Style" w:hAnsi="Bookman Old Style" w:eastAsia="Calibri" w:eastAsiaTheme="minorHAnsi"/>
          <w:i/>
          <w:i/>
          <w:iCs/>
          <w:color w:val="000000"/>
          <w:sz w:val="20"/>
          <w:szCs w:val="20"/>
        </w:rPr>
      </w:pPr>
      <w:r>
        <w:rPr>
          <w:rFonts w:ascii="Bookman Old Style" w:hAnsi="Bookman Old Style"/>
          <w:i/>
          <w:iCs/>
          <w:color w:val="000000"/>
          <w:sz w:val="20"/>
          <w:szCs w:val="20"/>
        </w:rPr>
        <w:t>Sobre el documento remitido, en el acuerdo 4 se indica: "4° Se tiene por planteado el perfil de las personas indígenas que participarán en el proceso de construcción de la capacitación, propuesto por la señora Marisol Barboza Rodríguez, especialista en métodos de enseñanza de la Escuela Judicial, en el que se señala debe tratarse de personas indígenas: a) líder o lideresa de un pueblo indígena, b) persona conocedora de la labor del Poder Judicial, c) persona conocedora de los procesos de acuerdo dentro de los pueblos indígenas, d) que hable español o en su defecto se le asignará una persona traductora, y con disposición para colaborar."</w:t>
      </w:r>
    </w:p>
    <w:p>
      <w:pPr>
        <w:pStyle w:val="NormalWeb"/>
        <w:spacing w:before="280" w:after="280"/>
        <w:jc w:val="both"/>
        <w:rPr>
          <w:rFonts w:ascii="Bookman Old Style" w:hAnsi="Bookman Old Style"/>
          <w:i/>
          <w:i/>
          <w:iCs/>
          <w:color w:val="000000"/>
          <w:sz w:val="20"/>
          <w:szCs w:val="20"/>
        </w:rPr>
      </w:pPr>
      <w:r>
        <w:rPr>
          <w:rFonts w:ascii="Bookman Old Style" w:hAnsi="Bookman Old Style"/>
          <w:i/>
          <w:iCs/>
          <w:color w:val="000000"/>
          <w:sz w:val="20"/>
          <w:szCs w:val="20"/>
        </w:rPr>
        <w:t>Con el mayor de los respetos, solicito se reconsidere este acuerdo, y lo someto a la consideración de las otras personas integrantes, ya que de forma amplia previamente en otro correo expliqué los motivos por lo que los puntos b) y d) no son interculturales, e incluso podrían ser valorados como irrespetuosos y discriminatorios por parte de las personas indígenas. A los puntos que señalé se sumó Jean Carlo, Cheryl, y creo que Marjorie.</w:t>
      </w:r>
    </w:p>
    <w:p>
      <w:pPr>
        <w:pStyle w:val="NormalWeb"/>
        <w:spacing w:before="280" w:after="280"/>
        <w:jc w:val="both"/>
        <w:rPr>
          <w:rFonts w:ascii="Bookman Old Style" w:hAnsi="Bookman Old Style"/>
          <w:i/>
          <w:i/>
          <w:iCs/>
          <w:color w:val="000000"/>
          <w:sz w:val="20"/>
          <w:szCs w:val="20"/>
        </w:rPr>
      </w:pPr>
      <w:r>
        <w:rPr>
          <w:rFonts w:ascii="Bookman Old Style" w:hAnsi="Bookman Old Style"/>
          <w:i/>
          <w:iCs/>
          <w:color w:val="000000"/>
          <w:sz w:val="20"/>
          <w:szCs w:val="20"/>
        </w:rPr>
        <w:t>En el correo del 30 de marzo señalé:</w:t>
      </w:r>
    </w:p>
    <w:p>
      <w:pPr>
        <w:pStyle w:val="NormalWeb"/>
        <w:spacing w:before="280" w:after="280"/>
        <w:jc w:val="both"/>
        <w:rPr>
          <w:rFonts w:ascii="Bookman Old Style" w:hAnsi="Bookman Old Style"/>
          <w:i/>
          <w:i/>
          <w:iCs/>
          <w:color w:val="000000"/>
          <w:sz w:val="20"/>
          <w:szCs w:val="20"/>
        </w:rPr>
      </w:pPr>
      <w:r>
        <w:rPr>
          <w:rFonts w:ascii="Bookman Old Style" w:hAnsi="Bookman Old Style"/>
          <w:i/>
          <w:iCs/>
          <w:color w:val="000000"/>
          <w:sz w:val="20"/>
          <w:szCs w:val="20"/>
        </w:rPr>
        <w:t>"Buenos días estimados señores y señoras, reciban un cordial saludo.</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En atención a la propuesta del perfil de persona indígenas para participar como facilitadores en procesos de capacitación del Poder Judicial, con el mayor de los respetos, considero que si lo tienen a bien, podríamos valorar algunas sugerencias. No se qué piensan las otras compañeras y compañeros:</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jc w:val="both"/>
        <w:rPr>
          <w:rFonts w:ascii="Bookman Old Style" w:hAnsi="Bookman Old Style"/>
          <w:i/>
          <w:i/>
          <w:iCs/>
          <w:color w:val="000000"/>
          <w:sz w:val="20"/>
          <w:szCs w:val="20"/>
        </w:rPr>
      </w:pPr>
      <w:r>
        <w:rPr>
          <w:rStyle w:val="Strong"/>
          <w:rFonts w:ascii="Bookman Old Style" w:hAnsi="Bookman Old Style"/>
          <w:i/>
          <w:iCs/>
          <w:color w:val="000000"/>
          <w:sz w:val="20"/>
          <w:szCs w:val="20"/>
        </w:rPr>
        <w:t>-líder o líderesa de un pueblo indígena</w:t>
      </w:r>
      <w:r>
        <w:rPr>
          <w:rFonts w:ascii="Bookman Old Style" w:hAnsi="Bookman Old Style"/>
          <w:i/>
          <w:iCs/>
          <w:color w:val="000000"/>
          <w:sz w:val="20"/>
          <w:szCs w:val="20"/>
        </w:rPr>
        <w:t>: Me parece que para ser más respetuosos con las personas indígenas facilitadoras, podríamos proponer: Persona que se autoidentifique como persona indígena, y tenga el reconocimiento de un grupo comunal. Hay líderes y lideresas, pero también estudiantes, o cualquier persona de la comunidad que podrían participar, aportar y acercarse al Poder Judicial</w:t>
      </w:r>
      <w:r>
        <w:rPr>
          <w:rStyle w:val="Strong"/>
          <w:rFonts w:ascii="Bookman Old Style" w:hAnsi="Bookman Old Style"/>
          <w:i/>
          <w:iCs/>
          <w:color w:val="000000"/>
          <w:sz w:val="20"/>
          <w:szCs w:val="20"/>
        </w:rPr>
        <w:t>.</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 </w:t>
      </w:r>
      <w:r>
        <w:rPr>
          <w:rFonts w:ascii="Bookman Old Style" w:hAnsi="Bookman Old Style"/>
          <w:i/>
          <w:iCs/>
          <w:color w:val="000000"/>
          <w:sz w:val="20"/>
          <w:szCs w:val="20"/>
        </w:rPr>
        <w:t xml:space="preserve">Pienso en el joven que nunca había tenido relación alguna con el Poder Judicial, pero quería trabajar en el Poder Judicial, y en un taller de la Defensa se acercó para pedir información, tiempo después empezó como facilitador judicial, luego intérprete y ahora auxiliar judicial, pero en este proceso pasaron varios años y requirió ayuda de varias personas. </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 xml:space="preserve">·  </w:t>
      </w:r>
      <w:r>
        <w:rPr>
          <w:rStyle w:val="Strong"/>
          <w:rFonts w:ascii="Bookman Old Style" w:hAnsi="Bookman Old Style"/>
          <w:i/>
          <w:iCs/>
          <w:color w:val="000000"/>
          <w:sz w:val="20"/>
          <w:szCs w:val="20"/>
        </w:rPr>
        <w:t>-persona conocedora de la labor del Poder Judicial:</w:t>
      </w:r>
      <w:r>
        <w:rPr>
          <w:rFonts w:ascii="Bookman Old Style" w:hAnsi="Bookman Old Style"/>
          <w:i/>
          <w:iCs/>
          <w:color w:val="000000"/>
          <w:sz w:val="20"/>
          <w:szCs w:val="20"/>
        </w:rPr>
        <w:t xml:space="preserve"> Con todo respeto este aspecto me parece que no se debería de indicar, ya que le estamos trasladando una necesidad del Poder Judicial a una persona indígena. Pueden haber personas muy valiosas, que por diferentes situaciones, entre ellas no requerirlo, no tienen conocimiento de la labor del Poder Judicial, pienso en personas mayores, mujeres, estudiantes, que han resuelto sus conflictos a lo interno de su pueblo por ejemplo. Resulta una limitante, y está destinado para un pequeño grupo. </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  Más bien me parece que esa  sería una labor del Poder Judicial para con las personas indígenas, explicarles qué es lo que hacemos. Sugiero: persona indígena conocedora de sus costumbres y la cosmovisión de su pueblo</w:t>
      </w:r>
      <w:r>
        <w:rPr>
          <w:rStyle w:val="Strong"/>
          <w:rFonts w:ascii="Bookman Old Style" w:hAnsi="Bookman Old Style"/>
          <w:i/>
          <w:iCs/>
          <w:color w:val="000000"/>
          <w:sz w:val="20"/>
          <w:szCs w:val="20"/>
        </w:rPr>
        <w:t>.</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t xml:space="preserve">·  </w:t>
      </w:r>
      <w:r>
        <w:rPr>
          <w:rStyle w:val="Strong"/>
          <w:rFonts w:ascii="Bookman Old Style" w:hAnsi="Bookman Old Style"/>
          <w:i/>
          <w:iCs/>
          <w:color w:val="000000"/>
          <w:sz w:val="20"/>
          <w:szCs w:val="20"/>
        </w:rPr>
        <w:t xml:space="preserve">-persona conocedora de los procesos de acuerdo dentro de los pueblos indígenas.  </w:t>
      </w:r>
      <w:r>
        <w:rPr>
          <w:rFonts w:ascii="Bookman Old Style" w:hAnsi="Bookman Old Style"/>
          <w:i/>
          <w:iCs/>
          <w:color w:val="000000"/>
          <w:sz w:val="20"/>
          <w:szCs w:val="20"/>
        </w:rPr>
        <w:t>De repente, si lo tienen a bien, podría considerarse: Persona indígena conocedora de las formas de resolver conflictos y llegar a acuerdos en su territorio. Véase que cada pueblo y territorio es diferente, así que cada persona puede referirse al que pertenece</w:t>
      </w:r>
      <w:r>
        <w:rPr>
          <w:rStyle w:val="Strong"/>
          <w:rFonts w:ascii="Bookman Old Style" w:hAnsi="Bookman Old Style"/>
          <w:i/>
          <w:iCs/>
          <w:color w:val="000000"/>
          <w:sz w:val="20"/>
          <w:szCs w:val="20"/>
        </w:rPr>
        <w:t>.</w:t>
      </w:r>
    </w:p>
    <w:p>
      <w:pPr>
        <w:pStyle w:val="Normal"/>
        <w:jc w:val="both"/>
        <w:rPr>
          <w:rFonts w:ascii="Bookman Old Style" w:hAnsi="Bookman Old Style"/>
          <w:i/>
          <w:i/>
          <w:iCs/>
          <w:sz w:val="20"/>
          <w:szCs w:val="20"/>
        </w:rPr>
      </w:pPr>
      <w:r>
        <w:rPr>
          <w:rFonts w:ascii="Bookman Old Style" w:hAnsi="Bookman Old Style"/>
          <w:i/>
          <w:iCs/>
          <w:sz w:val="20"/>
          <w:szCs w:val="20"/>
        </w:rPr>
        <w:t xml:space="preserve">  </w:t>
      </w:r>
      <w:r>
        <w:rPr>
          <w:rStyle w:val="Strong"/>
          <w:rFonts w:ascii="Bookman Old Style" w:hAnsi="Bookman Old Style"/>
          <w:i/>
          <w:iCs/>
          <w:color w:val="000000"/>
          <w:sz w:val="20"/>
          <w:szCs w:val="20"/>
        </w:rPr>
        <w:t> </w:t>
      </w:r>
    </w:p>
    <w:p>
      <w:pPr>
        <w:pStyle w:val="Normal"/>
        <w:jc w:val="both"/>
        <w:rPr>
          <w:rFonts w:ascii="Bookman Old Style" w:hAnsi="Bookman Old Style"/>
          <w:i/>
          <w:i/>
          <w:iCs/>
          <w:sz w:val="20"/>
          <w:szCs w:val="20"/>
        </w:rPr>
      </w:pPr>
      <w:r>
        <w:rPr>
          <w:rFonts w:ascii="Bookman Old Style" w:hAnsi="Bookman Old Style"/>
          <w:i/>
          <w:iCs/>
          <w:sz w:val="20"/>
          <w:szCs w:val="20"/>
        </w:rPr>
        <w:t xml:space="preserve">·  </w:t>
      </w:r>
      <w:r>
        <w:rPr>
          <w:rStyle w:val="Strong"/>
          <w:rFonts w:ascii="Bookman Old Style" w:hAnsi="Bookman Old Style"/>
          <w:i/>
          <w:iCs/>
          <w:color w:val="000000"/>
          <w:sz w:val="20"/>
          <w:szCs w:val="20"/>
        </w:rPr>
        <w:t>-que hable español, (esto puede resolverse con una persona traductora).</w:t>
      </w:r>
      <w:r>
        <w:rPr>
          <w:rFonts w:ascii="Bookman Old Style" w:hAnsi="Bookman Old Style"/>
          <w:i/>
          <w:iCs/>
          <w:color w:val="000000"/>
          <w:sz w:val="20"/>
          <w:szCs w:val="20"/>
        </w:rPr>
        <w:t xml:space="preserve"> Me parece que este punto no habría que indicarlo. Es una forma de imposición del idioma y de la visión de este idioma</w:t>
      </w:r>
      <w:r>
        <w:rPr>
          <w:rStyle w:val="Strong"/>
          <w:rFonts w:ascii="Bookman Old Style" w:hAnsi="Bookman Old Style"/>
          <w:i/>
          <w:iCs/>
          <w:color w:val="000000"/>
          <w:sz w:val="20"/>
          <w:szCs w:val="20"/>
        </w:rPr>
        <w:t xml:space="preserve">. </w:t>
      </w:r>
      <w:r>
        <w:rPr>
          <w:rFonts w:ascii="Bookman Old Style" w:hAnsi="Bookman Old Style"/>
          <w:i/>
          <w:iCs/>
          <w:color w:val="000000"/>
          <w:sz w:val="20"/>
          <w:szCs w:val="20"/>
        </w:rPr>
        <w:t>L</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t xml:space="preserve">·  </w:t>
      </w:r>
      <w:r>
        <w:rPr>
          <w:rFonts w:ascii="Bookman Old Style" w:hAnsi="Bookman Old Style"/>
          <w:i/>
          <w:iCs/>
          <w:color w:val="000000"/>
          <w:sz w:val="20"/>
          <w:szCs w:val="20"/>
        </w:rPr>
        <w:t>La palabra más apropiada es intérprete</w:t>
      </w:r>
      <w:r>
        <w:rPr>
          <w:rStyle w:val="Strong"/>
          <w:rFonts w:ascii="Bookman Old Style" w:hAnsi="Bookman Old Style"/>
          <w:i/>
          <w:iCs/>
          <w:color w:val="000000"/>
          <w:sz w:val="20"/>
          <w:szCs w:val="20"/>
        </w:rPr>
        <w:t>.</w:t>
      </w:r>
    </w:p>
    <w:p>
      <w:pPr>
        <w:pStyle w:val="Normal"/>
        <w:jc w:val="both"/>
        <w:rPr>
          <w:rFonts w:ascii="Bookman Old Style" w:hAnsi="Bookman Old Style"/>
          <w:i/>
          <w:i/>
          <w:iCs/>
          <w:sz w:val="20"/>
          <w:szCs w:val="20"/>
        </w:rPr>
      </w:pPr>
      <w:r>
        <w:rPr>
          <w:rFonts w:ascii="Bookman Old Style" w:hAnsi="Bookman Old Style"/>
          <w:i/>
          <w:iCs/>
          <w:sz w:val="20"/>
          <w:szCs w:val="20"/>
        </w:rPr>
        <w:t xml:space="preserve">  </w:t>
      </w:r>
    </w:p>
    <w:p>
      <w:pPr>
        <w:pStyle w:val="Normal"/>
        <w:jc w:val="both"/>
        <w:rPr>
          <w:rFonts w:ascii="Bookman Old Style" w:hAnsi="Bookman Old Style"/>
          <w:i/>
          <w:i/>
          <w:iCs/>
          <w:sz w:val="20"/>
          <w:szCs w:val="20"/>
        </w:rPr>
      </w:pPr>
      <w:r>
        <w:rPr>
          <w:rFonts w:ascii="Bookman Old Style" w:hAnsi="Bookman Old Style"/>
          <w:i/>
          <w:iCs/>
          <w:sz w:val="20"/>
          <w:szCs w:val="20"/>
        </w:rPr>
        <w:t xml:space="preserve">·  </w:t>
      </w:r>
      <w:r>
        <w:rPr>
          <w:rStyle w:val="Strong"/>
          <w:rFonts w:ascii="Bookman Old Style" w:hAnsi="Bookman Old Style"/>
          <w:i/>
          <w:iCs/>
          <w:color w:val="000000"/>
          <w:sz w:val="20"/>
          <w:szCs w:val="20"/>
        </w:rPr>
        <w:t>-con disposición para colaborar.</w:t>
      </w:r>
      <w:r>
        <w:rPr>
          <w:rFonts w:ascii="Bookman Old Style" w:hAnsi="Bookman Old Style"/>
          <w:i/>
          <w:iCs/>
          <w:color w:val="000000"/>
          <w:sz w:val="20"/>
          <w:szCs w:val="20"/>
        </w:rPr>
        <w:t xml:space="preserve"> Esto me parece muy bien."</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Propongo con el mayor de los respetos que por favor valoremos las condiciones que estamos señalando. En cada uno de los puntos se realizó una sugerencia de cómo podrían ser esas condiciones.</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Es por lo anterior, que solicito que por favor varémos las condiciones.</w:t>
      </w:r>
    </w:p>
    <w:p>
      <w:pPr>
        <w:pStyle w:val="Normal"/>
        <w:jc w:val="both"/>
        <w:rPr>
          <w:rFonts w:ascii="Bookman Old Style" w:hAnsi="Bookman Old Style" w:cs="Tahoma"/>
          <w:bCs/>
          <w:i/>
          <w:i/>
          <w:iCs/>
          <w:color w:val="000000" w:themeColor="text1"/>
          <w:sz w:val="20"/>
          <w:szCs w:val="20"/>
        </w:rPr>
      </w:pPr>
      <w:r>
        <w:rPr>
          <w:rFonts w:ascii="Bookman Old Style" w:hAnsi="Bookman Old Style"/>
          <w:i/>
          <w:iCs/>
          <w:color w:val="000000"/>
          <w:sz w:val="20"/>
          <w:szCs w:val="20"/>
        </w:rPr>
        <w:t xml:space="preserve">Gracias. </w:t>
      </w:r>
      <w:r>
        <w:rPr>
          <w:rFonts w:ascii="Bookman Old Style" w:hAnsi="Bookman Old Style"/>
          <w:b/>
          <w:bCs/>
          <w:i/>
          <w:iCs/>
          <w:color w:val="1F497D"/>
          <w:sz w:val="20"/>
          <w:szCs w:val="20"/>
        </w:rPr>
        <w:t>Ligia Jiménez Zamora, Defensa Pública”</w:t>
      </w:r>
    </w:p>
    <w:p>
      <w:pPr>
        <w:pStyle w:val="Normal"/>
        <w:spacing w:lineRule="auto" w:line="360"/>
        <w:jc w:val="center"/>
        <w:rPr>
          <w:rFonts w:ascii="Bookman Old Style" w:hAnsi="Bookman Old Style" w:cs="Tahoma"/>
          <w:bCs/>
          <w:color w:val="000000" w:themeColor="text1"/>
          <w:u w:val="single"/>
        </w:rPr>
      </w:pPr>
      <w:r>
        <w:rPr>
          <w:rFonts w:cs="Tahoma" w:ascii="Bookman Old Style" w:hAnsi="Bookman Old Style"/>
          <w:bCs/>
          <w:color w:val="000000" w:themeColor="text1"/>
          <w:u w:val="single"/>
        </w:rPr>
      </w:r>
    </w:p>
    <w:p>
      <w:pPr>
        <w:pStyle w:val="Normal"/>
        <w:spacing w:lineRule="auto" w:line="360"/>
        <w:jc w:val="both"/>
        <w:rPr>
          <w:rStyle w:val="Strong"/>
          <w:rFonts w:ascii="Bookman Old Style" w:hAnsi="Bookman Old Style"/>
          <w:b w:val="false"/>
          <w:b w:val="false"/>
          <w:color w:val="000000"/>
        </w:rPr>
      </w:pPr>
      <w:r>
        <w:rPr>
          <w:rFonts w:cs="Tahoma" w:ascii="Bookman Old Style" w:hAnsi="Bookman Old Style"/>
          <w:b/>
          <w:color w:val="000000" w:themeColor="text1"/>
          <w:u w:val="single"/>
        </w:rPr>
        <w:t>SE ACUERDA:</w:t>
      </w:r>
      <w:r>
        <w:rPr>
          <w:rFonts w:cs="Tahoma" w:ascii="Bookman Old Style" w:hAnsi="Bookman Old Style"/>
          <w:bCs/>
          <w:color w:val="000000" w:themeColor="text1"/>
        </w:rPr>
        <w:t xml:space="preserve"> Se adiciona al acuerdo 4 del Artículo XIV del Acta N° 04-20 de 3 de abril de 2020, lo siguiente: Se dispone comunicar a la señora Marisol Barboza Rodríguez y a la señora Flor Arroyo de la Escuela Judicial que el perfil aprobado por la Subcomisión de Acceso a la Justicia de Pueblos Indígenas, atendiendo las propuesta remitidas por la integrante Ligia Jiménez, representante de la Defensa Pública, es el siguiente:  1. </w:t>
      </w:r>
      <w:r>
        <w:rPr>
          <w:rFonts w:ascii="Bookman Old Style" w:hAnsi="Bookman Old Style"/>
          <w:bCs/>
          <w:color w:val="000000"/>
        </w:rPr>
        <w:t>Persona que se autoidentifique como persona indígena, y tenga el reconocimiento como tal del pueblo indígena a que pertenece. 2. Conocedora y defensora de sus costumbres y la cosmovisión de su pueblo y de las formas de resolver conflictos y llegar a acuerdos en su territorio. 3. Con disposición para colaborar. Lo anterior, en el entendido de que, si la persona indígena no conoce el español, se le designará una intérprete</w:t>
      </w:r>
      <w:r>
        <w:rPr>
          <w:rStyle w:val="Strong"/>
          <w:rFonts w:ascii="Bookman Old Style" w:hAnsi="Bookman Old Style"/>
          <w:b w:val="false"/>
          <w:color w:val="000000"/>
        </w:rPr>
        <w:t xml:space="preserve">. Por la relevancia de lo decidido se declara firme este acuerdo por unanimidad y se dispone su comunicación con la colaboración de la Unidad de Acceso a la Justicia a las señoras Marisol Barboza Rodríguez y Flor Arroyo de la Escuela Judicial y a la Dirección Nacional de Justicia Restaurativa. </w:t>
      </w:r>
    </w:p>
    <w:p>
      <w:pPr>
        <w:pStyle w:val="Normal"/>
        <w:spacing w:lineRule="auto" w:line="360"/>
        <w:jc w:val="both"/>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ARTICULO II</w:t>
      </w:r>
      <w:r>
        <w:rPr>
          <w:rFonts w:cs="Tahoma" w:ascii="Bookman Old Style" w:hAnsi="Bookman Old Style"/>
          <w:b/>
          <w:color w:val="000000" w:themeColor="text1"/>
          <w:sz w:val="20"/>
          <w:szCs w:val="20"/>
          <w:u w:val="single"/>
        </w:rPr>
        <w:t>I</w:t>
      </w:r>
    </w:p>
    <w:p>
      <w:pPr>
        <w:pStyle w:val="Normal"/>
        <w:spacing w:lineRule="auto" w:line="360"/>
        <w:jc w:val="both"/>
        <w:rPr>
          <w:rFonts w:ascii="Bookman Old Style" w:hAnsi="Bookman Old Style" w:cs="Tahoma"/>
          <w:b/>
          <w:b/>
          <w:color w:val="000000" w:themeColor="text1"/>
          <w:sz w:val="20"/>
          <w:szCs w:val="20"/>
          <w:u w:val="single"/>
        </w:rPr>
      </w:pPr>
      <w:r>
        <w:rPr>
          <w:rFonts w:cs="Tahoma" w:ascii="Bookman Old Style" w:hAnsi="Bookman Old Style"/>
          <w:color w:val="000000" w:themeColor="text1"/>
          <w:sz w:val="20"/>
          <w:szCs w:val="20"/>
        </w:rPr>
        <w:t>La Unidad de Acceso a la Justicia comunicó mediante el Oficio CACC-11-2020 a las personas que integran la Subcomisión de Acceso a la Justicia de Pueblos Indígenas, las sugerencias realizadas por la Licenciada Ligia Jiménez a la Circular No. 10-09, cuyo contenido es el siguiente:</w:t>
      </w:r>
    </w:p>
    <w:p>
      <w:pPr>
        <w:pStyle w:val="Standard"/>
        <w:jc w:val="center"/>
        <w:rPr>
          <w:rFonts w:ascii="Bookman Old Style" w:hAnsi="Bookman Old Style" w:cs="Tahoma"/>
          <w:b/>
          <w:b/>
          <w:i/>
          <w:i/>
          <w:color w:val="000000" w:themeColor="text1"/>
          <w:sz w:val="20"/>
          <w:szCs w:val="20"/>
          <w:u w:val="single"/>
        </w:rPr>
      </w:pPr>
      <w:r>
        <w:rPr>
          <w:rFonts w:cs="Tahoma" w:ascii="Bookman Old Style" w:hAnsi="Bookman Old Style"/>
          <w:b/>
          <w:i/>
          <w:color w:val="000000" w:themeColor="text1"/>
          <w:sz w:val="20"/>
          <w:szCs w:val="20"/>
          <w:u w:val="single"/>
        </w:rPr>
        <w:t>CIRCULAR No. 10-09</w:t>
      </w:r>
    </w:p>
    <w:p>
      <w:pPr>
        <w:pStyle w:val="Standard"/>
        <w:jc w:val="both"/>
        <w:rPr>
          <w:rFonts w:ascii="Bookman Old Style" w:hAnsi="Bookman Old Style" w:cs="Tahoma"/>
          <w:b/>
          <w:b/>
          <w:i/>
          <w:i/>
          <w:color w:val="000000" w:themeColor="text1"/>
          <w:sz w:val="20"/>
          <w:szCs w:val="20"/>
          <w:u w:val="single"/>
        </w:rPr>
      </w:pPr>
      <w:r>
        <w:rPr>
          <w:rFonts w:cs="Tahoma" w:ascii="Bookman Old Style" w:hAnsi="Bookman Old Style"/>
          <w:b/>
          <w:i/>
          <w:color w:val="000000" w:themeColor="text1"/>
          <w:sz w:val="20"/>
          <w:szCs w:val="20"/>
          <w:u w:val="single"/>
        </w:rPr>
      </w:r>
    </w:p>
    <w:p>
      <w:pPr>
        <w:pStyle w:val="Standard"/>
        <w:jc w:val="both"/>
        <w:rPr>
          <w:rFonts w:ascii="Bookman Old Style" w:hAnsi="Bookman Old Style" w:cs="Tahoma"/>
          <w:i/>
          <w:i/>
          <w:color w:val="000000" w:themeColor="text1"/>
          <w:sz w:val="20"/>
          <w:szCs w:val="20"/>
        </w:rPr>
      </w:pPr>
      <w:r>
        <w:rPr>
          <w:rFonts w:cs="Tahoma" w:ascii="Bookman Old Style" w:hAnsi="Bookman Old Style"/>
          <w:b/>
          <w:i/>
          <w:color w:val="000000" w:themeColor="text1"/>
          <w:sz w:val="20"/>
          <w:szCs w:val="20"/>
        </w:rPr>
        <w:t>Asunto</w:t>
      </w:r>
      <w:r>
        <w:rPr>
          <w:rFonts w:cs="Tahoma" w:ascii="Bookman Old Style" w:hAnsi="Bookman Old Style"/>
          <w:i/>
          <w:color w:val="000000" w:themeColor="text1"/>
          <w:sz w:val="20"/>
          <w:szCs w:val="20"/>
        </w:rPr>
        <w:t>: Reglas Prácticas para facilitar el acceso a la justicia de las Poblaciones Indígenas.</w:t>
      </w:r>
    </w:p>
    <w:p>
      <w:pPr>
        <w:pStyle w:val="Standard"/>
        <w:jc w:val="both"/>
        <w:rPr>
          <w:rFonts w:ascii="Bookman Old Style" w:hAnsi="Bookman Old Style" w:cs="Tahoma"/>
          <w:i/>
          <w:i/>
          <w:color w:val="000000" w:themeColor="text1"/>
          <w:sz w:val="20"/>
          <w:szCs w:val="20"/>
        </w:rPr>
      </w:pPr>
      <w:r>
        <w:rPr>
          <w:rFonts w:cs="Tahoma" w:ascii="Bookman Old Style" w:hAnsi="Bookman Old Style"/>
          <w:b/>
          <w:i/>
          <w:color w:val="000000" w:themeColor="text1"/>
          <w:sz w:val="20"/>
          <w:szCs w:val="20"/>
        </w:rPr>
        <w:t>A los despachos judiciales Se les hace saber que:</w:t>
      </w:r>
    </w:p>
    <w:p>
      <w:pPr>
        <w:pStyle w:val="Standard"/>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Standard"/>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t xml:space="preserve">El Consejo Superior en sesión 77-08, celebrada el 14 de octubre de 2008, artículo XLI, a solicitud de la Comisión de Accesibilidad y de la Subcomisión vinculada con los Grupos Indígenas, acordó comunicarles las siguientes </w:t>
      </w:r>
      <w:r>
        <w:rPr>
          <w:rFonts w:cs="Tahoma" w:ascii="Bookman Old Style" w:hAnsi="Bookman Old Style"/>
          <w:b/>
          <w:i/>
          <w:color w:val="000000" w:themeColor="text1"/>
          <w:sz w:val="20"/>
          <w:szCs w:val="20"/>
        </w:rPr>
        <w:t>Reglas Prácticas para facilitar el acceso a la justicia de las Poblaciones Indígenas:</w:t>
      </w:r>
    </w:p>
    <w:p>
      <w:pPr>
        <w:pStyle w:val="Standard"/>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i/>
          <w:color w:val="000000" w:themeColor="text1"/>
          <w:sz w:val="20"/>
          <w:szCs w:val="20"/>
        </w:rPr>
        <w:t xml:space="preserve">Las </w:t>
      </w:r>
      <w:r>
        <w:rPr>
          <w:rFonts w:cs="Tahoma" w:ascii="Bookman Old Style" w:hAnsi="Bookman Old Style"/>
          <w:b/>
          <w:i/>
          <w:color w:val="000000" w:themeColor="text1"/>
          <w:sz w:val="20"/>
          <w:szCs w:val="20"/>
        </w:rPr>
        <w:t>autoridades judiciales</w:t>
      </w:r>
      <w:r>
        <w:rPr>
          <w:rFonts w:cs="Tahoma" w:ascii="Bookman Old Style" w:hAnsi="Bookman Old Style"/>
          <w:i/>
          <w:color w:val="000000" w:themeColor="text1"/>
          <w:sz w:val="20"/>
          <w:szCs w:val="20"/>
        </w:rPr>
        <w:t xml:space="preserve"> promoverán la realización de diligencias </w:t>
      </w:r>
      <w:r>
        <w:rPr>
          <w:rFonts w:cs="Tahoma" w:ascii="Bookman Old Style" w:hAnsi="Bookman Old Style"/>
          <w:b/>
          <w:i/>
          <w:color w:val="000000" w:themeColor="text1"/>
          <w:sz w:val="20"/>
          <w:szCs w:val="20"/>
        </w:rPr>
        <w:t>in situ</w:t>
      </w:r>
      <w:r>
        <w:rPr>
          <w:rFonts w:cs="Tahoma" w:ascii="Bookman Old Style" w:hAnsi="Bookman Old Style"/>
          <w:i/>
          <w:color w:val="000000" w:themeColor="text1"/>
          <w:sz w:val="20"/>
          <w:szCs w:val="20"/>
        </w:rPr>
        <w:t>, en aquellos lugares donde existan territorios indígenas.</w:t>
      </w:r>
    </w:p>
    <w:p>
      <w:pPr>
        <w:pStyle w:val="Standard"/>
        <w:ind w:left="720" w:hanging="0"/>
        <w:jc w:val="both"/>
        <w:rPr>
          <w:rFonts w:ascii="Bookman Old Style" w:hAnsi="Bookman Old Style" w:cs="Tahoma"/>
          <w:b/>
          <w:b/>
          <w:i/>
          <w:i/>
          <w:color w:val="000000" w:themeColor="text1"/>
          <w:sz w:val="20"/>
          <w:szCs w:val="20"/>
        </w:rPr>
      </w:pPr>
      <w:r>
        <w:rPr>
          <w:rFonts w:cs="Tahoma" w:ascii="Bookman Old Style" w:hAnsi="Bookman Old Style"/>
          <w:b/>
          <w:i/>
          <w:color w:val="000000" w:themeColor="text1"/>
          <w:sz w:val="20"/>
          <w:szCs w:val="20"/>
        </w:rPr>
        <w:t xml:space="preserve"> </w:t>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b/>
          <w:i/>
          <w:color w:val="000000" w:themeColor="text1"/>
          <w:sz w:val="20"/>
          <w:szCs w:val="20"/>
        </w:rPr>
        <w:t xml:space="preserve"> </w:t>
      </w:r>
      <w:r>
        <w:rPr>
          <w:rFonts w:cs="Tahoma" w:ascii="Bookman Old Style" w:hAnsi="Bookman Old Style"/>
          <w:i/>
          <w:color w:val="000000" w:themeColor="text1"/>
          <w:sz w:val="20"/>
          <w:szCs w:val="20"/>
        </w:rPr>
        <w:t xml:space="preserve">Dentro de cada presupuesto de los distintos programas se contemplará un rubro para brindar ayuda económica a las personas usuarias indígenas que la requieran, para cubrir algunos gastos que origine su traslado a los despachos judiciales, y otro de viáticos para las y los funcionarios que participen en las diligencias in situ Los y las jueces, así como cualquier autoridad judicial establecerán como práctica la atención de las y los usuarios indígenas. </w:t>
      </w:r>
      <w:r>
        <w:rPr>
          <w:rFonts w:cs="Tahoma" w:ascii="Bookman Old Style" w:hAnsi="Bookman Old Style"/>
          <w:b/>
          <w:i/>
          <w:color w:val="000000" w:themeColor="text1"/>
          <w:sz w:val="20"/>
          <w:szCs w:val="20"/>
        </w:rPr>
        <w:t>(Modificado por el Consejo Superior en sesión Nº 104-09 del 17 de noviembre de 2009, artículo XLVII)</w:t>
      </w:r>
    </w:p>
    <w:p>
      <w:pPr>
        <w:pStyle w:val="Standard"/>
        <w:jc w:val="both"/>
        <w:rPr>
          <w:rFonts w:ascii="Bookman Old Style" w:hAnsi="Bookman Old Style" w:cs="Tahoma"/>
          <w:b/>
          <w:b/>
          <w:i/>
          <w:i/>
          <w:color w:val="000000" w:themeColor="text1"/>
          <w:sz w:val="20"/>
          <w:szCs w:val="20"/>
        </w:rPr>
      </w:pPr>
      <w:r>
        <w:rPr>
          <w:rFonts w:cs="Tahoma" w:ascii="Bookman Old Style" w:hAnsi="Bookman Old Style"/>
          <w:b/>
          <w:i/>
          <w:color w:val="000000" w:themeColor="text1"/>
          <w:sz w:val="20"/>
          <w:szCs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i/>
          <w:color w:val="000000" w:themeColor="text1"/>
          <w:sz w:val="20"/>
          <w:szCs w:val="20"/>
        </w:rPr>
        <w:t>Las personas juzgadoras, así como los y las funcionarios (as) judiciales darán prioridad de trato a las personas indígenas que se apersonen a los despachos judiciales.</w:t>
      </w:r>
    </w:p>
    <w:p>
      <w:pPr>
        <w:pStyle w:val="ListParagraph"/>
        <w:rPr>
          <w:rFonts w:ascii="Bookman Old Style" w:hAnsi="Bookman Old Style" w:cs="Tahoma"/>
          <w:b/>
          <w:b/>
          <w:bCs/>
          <w:i/>
          <w:i/>
          <w:iCs/>
          <w:color w:val="000000" w:themeColor="text1"/>
          <w:sz w:val="20"/>
        </w:rPr>
      </w:pPr>
      <w:r>
        <w:rPr>
          <w:rFonts w:cs="Tahoma" w:ascii="Bookman Old Style" w:hAnsi="Bookman Old Style"/>
          <w:b/>
          <w:bCs/>
          <w:i/>
          <w:iCs/>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b/>
          <w:bCs/>
          <w:i/>
          <w:iCs/>
          <w:color w:val="000000" w:themeColor="text1"/>
          <w:sz w:val="20"/>
          <w:szCs w:val="20"/>
        </w:rPr>
        <w:t>Las personas juzgadoras deberán fijar los señalamientos de las audiencias y de los juicios dentro de un horario accesible, contemplando</w:t>
      </w:r>
      <w:r>
        <w:rPr>
          <w:rFonts w:cs="Tahoma" w:ascii="Bookman Old Style" w:hAnsi="Bookman Old Style"/>
          <w:i/>
          <w:color w:val="000000" w:themeColor="text1"/>
          <w:sz w:val="20"/>
          <w:szCs w:val="20"/>
        </w:rPr>
        <w:t xml:space="preserve"> las particularidades de cada zona. </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b/>
          <w:bCs/>
          <w:i/>
          <w:iCs/>
          <w:color w:val="000000" w:themeColor="text1"/>
          <w:sz w:val="20"/>
          <w:szCs w:val="20"/>
        </w:rPr>
        <w:t>Las personas juzgadoras, así como las autoridades que requieran documentos de otras entidades en este tipo de asuntos, establecerán los canales de comunicación y coordinación necesarios para hacerlos llegar al caso concreto y a la brevedad posible;</w:t>
      </w:r>
      <w:r>
        <w:rPr>
          <w:rFonts w:cs="Tahoma" w:ascii="Bookman Old Style" w:hAnsi="Bookman Old Style"/>
          <w:b/>
          <w:i/>
          <w:color w:val="000000" w:themeColor="text1"/>
          <w:sz w:val="20"/>
          <w:szCs w:val="20"/>
        </w:rPr>
        <w:t xml:space="preserve"> </w:t>
      </w:r>
      <w:r>
        <w:rPr>
          <w:rFonts w:cs="Tahoma" w:ascii="Bookman Old Style" w:hAnsi="Bookman Old Style"/>
          <w:i/>
          <w:color w:val="000000" w:themeColor="text1"/>
          <w:sz w:val="20"/>
          <w:szCs w:val="20"/>
        </w:rPr>
        <w:t xml:space="preserve">y comunicarán a </w:t>
      </w:r>
      <w:r>
        <w:rPr>
          <w:rFonts w:cs="Tahoma" w:ascii="Bookman Old Style" w:hAnsi="Bookman Old Style"/>
          <w:i/>
          <w:color w:val="000000" w:themeColor="text1"/>
          <w:sz w:val="20"/>
          <w:szCs w:val="20"/>
          <w:u w:val="single"/>
        </w:rPr>
        <w:t xml:space="preserve">la Comisión de Acceso a la Justicia </w:t>
      </w:r>
      <w:r>
        <w:rPr>
          <w:rFonts w:cs="Tahoma" w:ascii="Bookman Old Style" w:hAnsi="Bookman Old Style"/>
          <w:i/>
          <w:color w:val="000000" w:themeColor="text1"/>
          <w:sz w:val="20"/>
          <w:szCs w:val="20"/>
        </w:rPr>
        <w:t>los obstáculos que se les presenten para el cumplimiento efectivo de las recomendaciones.</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b/>
          <w:bCs/>
          <w:i/>
          <w:iCs/>
          <w:color w:val="000000" w:themeColor="text1"/>
          <w:sz w:val="20"/>
          <w:szCs w:val="20"/>
        </w:rPr>
        <w:t>Se deberán aplicar las directrices de no revictimización, en aquellos casos donde una de las partes del proceso es una persona indígena, especialmente mujeres, niños, niñas y adolescentes.) </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i/>
          <w:color w:val="000000" w:themeColor="text1"/>
          <w:sz w:val="20"/>
          <w:szCs w:val="20"/>
        </w:rPr>
        <w:t xml:space="preserve">La Contraloría de Servicios será la encargada de </w:t>
      </w:r>
      <w:r>
        <w:rPr>
          <w:rFonts w:cs="Tahoma" w:ascii="Bookman Old Style" w:hAnsi="Bookman Old Style"/>
          <w:b/>
          <w:bCs/>
          <w:i/>
          <w:iCs/>
          <w:color w:val="000000" w:themeColor="text1"/>
          <w:sz w:val="20"/>
          <w:szCs w:val="20"/>
        </w:rPr>
        <w:t>velar por el cumplimiento de las recomendaciones propuestas)</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i/>
          <w:color w:val="000000" w:themeColor="text1"/>
          <w:sz w:val="20"/>
          <w:szCs w:val="20"/>
        </w:rPr>
        <w:t xml:space="preserve">Colocar distintivos en los expedientes </w:t>
      </w:r>
      <w:r>
        <w:rPr>
          <w:rFonts w:cs="Tahoma" w:ascii="Bookman Old Style" w:hAnsi="Bookman Old Style"/>
          <w:b/>
          <w:bCs/>
          <w:i/>
          <w:iCs/>
          <w:color w:val="000000" w:themeColor="text1"/>
          <w:sz w:val="20"/>
          <w:szCs w:val="20"/>
        </w:rPr>
        <w:t>en caso de que una de las partes del proceso sea una persona indígena, se deberá colocar el distintivo correspondiente en el expediente.)</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i/>
          <w:color w:val="000000" w:themeColor="text1"/>
          <w:sz w:val="20"/>
          <w:szCs w:val="20"/>
        </w:rPr>
        <w:t>Las personas servidoras judiciales propiciarán y colaborarán, junto con otras instituciones públicas, la incorporación de las personas indígenas a los procesos de enseñanza secundaria y universitaria, que faciliten su participación en la solución de sus asuntos a partir de su propia perspectiva</w:t>
      </w:r>
      <w:r>
        <w:rPr>
          <w:rFonts w:cs="Tahoma" w:ascii="Bookman Old Style" w:hAnsi="Bookman Old Style"/>
          <w:b/>
          <w:bCs/>
          <w:i/>
          <w:iCs/>
          <w:color w:val="000000" w:themeColor="text1"/>
          <w:sz w:val="20"/>
          <w:szCs w:val="20"/>
        </w:rPr>
        <w:t>.</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b/>
          <w:bCs/>
          <w:i/>
          <w:iCs/>
          <w:color w:val="000000" w:themeColor="text1"/>
          <w:sz w:val="20"/>
          <w:szCs w:val="20"/>
        </w:rPr>
        <w:t xml:space="preserve"> </w:t>
      </w:r>
      <w:r>
        <w:rPr>
          <w:rFonts w:cs="Tahoma" w:ascii="Bookman Old Style" w:hAnsi="Bookman Old Style"/>
          <w:b/>
          <w:bCs/>
          <w:i/>
          <w:iCs/>
          <w:color w:val="000000" w:themeColor="text1"/>
          <w:sz w:val="20"/>
          <w:szCs w:val="20"/>
        </w:rPr>
        <w:t>Derecho a una persona intérprete o traductora</w:t>
      </w:r>
      <w:r>
        <w:rPr>
          <w:rFonts w:cs="Tahoma" w:ascii="Bookman Old Style" w:hAnsi="Bookman Old Style"/>
          <w:i/>
          <w:color w:val="000000" w:themeColor="text1"/>
          <w:sz w:val="20"/>
          <w:szCs w:val="20"/>
        </w:rPr>
        <w:t>: La Administración de Justicia procederá a nombrar siempre a toda persona indígena intérprete y traductor en la lengua materna, con cargo al presupuesto del Poder Judicial,</w:t>
      </w:r>
      <w:r>
        <w:rPr>
          <w:rFonts w:cs="Tahoma" w:ascii="Bookman Old Style" w:hAnsi="Bookman Old Style"/>
          <w:b/>
          <w:i/>
          <w:color w:val="000000" w:themeColor="text1"/>
          <w:sz w:val="20"/>
          <w:szCs w:val="20"/>
        </w:rPr>
        <w:t xml:space="preserve"> salvo que hable y comprenda el idioma español. </w:t>
      </w:r>
      <w:r>
        <w:rPr>
          <w:rFonts w:cs="Tahoma" w:ascii="Bookman Old Style" w:hAnsi="Bookman Old Style"/>
          <w:i/>
          <w:color w:val="000000" w:themeColor="text1"/>
          <w:sz w:val="20"/>
          <w:szCs w:val="20"/>
        </w:rPr>
        <w:t>El intérprete y o traductor será nombrado dentro de la lista oficial, sin embargo, de modo excepcional, podrá nombrarse por inopia. En tal supuesto, la autoridad respectiva verificará que sea una persona idónea, considerando las particularidades de la situación concreta. Lo anterior sin perjuicio de que dicha persona nombre uno de su confianza, conforme lo establece el artículo 14 del Código Procesal Penal.</w:t>
      </w:r>
      <w:r>
        <w:rPr>
          <w:rFonts w:cs="Tahoma" w:ascii="Bookman Old Style" w:hAnsi="Bookman Old Style"/>
          <w:b/>
          <w:i/>
          <w:color w:val="000000" w:themeColor="text1"/>
          <w:sz w:val="20"/>
          <w:szCs w:val="20"/>
        </w:rPr>
        <w:t xml:space="preserve"> </w:t>
      </w:r>
    </w:p>
    <w:p>
      <w:pPr>
        <w:pStyle w:val="ListParagraph"/>
        <w:rPr>
          <w:rFonts w:ascii="Bookman Old Style" w:hAnsi="Bookman Old Style" w:cs="Tahoma"/>
          <w:b/>
          <w:b/>
          <w:i/>
          <w:i/>
          <w:color w:val="000000" w:themeColor="text1"/>
          <w:sz w:val="20"/>
        </w:rPr>
      </w:pPr>
      <w:r>
        <w:rPr>
          <w:rFonts w:cs="Tahoma" w:ascii="Bookman Old Style" w:hAnsi="Bookman Old Style"/>
          <w:b/>
          <w:i/>
          <w:color w:val="000000" w:themeColor="text1"/>
          <w:sz w:val="20"/>
        </w:rPr>
      </w:r>
    </w:p>
    <w:p>
      <w:pPr>
        <w:pStyle w:val="Standard"/>
        <w:widowControl w:val="false"/>
        <w:numPr>
          <w:ilvl w:val="0"/>
          <w:numId w:val="33"/>
        </w:numPr>
        <w:jc w:val="both"/>
        <w:textAlignment w:val="auto"/>
        <w:rPr>
          <w:rFonts w:ascii="Bookman Old Style" w:hAnsi="Bookman Old Style" w:cs="Tahoma"/>
          <w:b/>
          <w:b/>
          <w:i/>
          <w:i/>
          <w:color w:val="000000" w:themeColor="text1"/>
          <w:sz w:val="20"/>
          <w:szCs w:val="20"/>
        </w:rPr>
      </w:pPr>
      <w:r>
        <w:rPr>
          <w:rFonts w:cs="Tahoma" w:ascii="Bookman Old Style" w:hAnsi="Bookman Old Style"/>
          <w:b/>
          <w:i/>
          <w:color w:val="000000" w:themeColor="text1"/>
          <w:sz w:val="20"/>
          <w:szCs w:val="20"/>
        </w:rPr>
        <w:t xml:space="preserve"> </w:t>
      </w:r>
      <w:r>
        <w:rPr>
          <w:rFonts w:cs="Tahoma" w:ascii="Bookman Old Style" w:hAnsi="Bookman Old Style"/>
          <w:i/>
          <w:color w:val="000000" w:themeColor="text1"/>
          <w:sz w:val="20"/>
          <w:szCs w:val="20"/>
        </w:rPr>
        <w:t>Respeto a la diversidad cultural: obligación del peritaje antropológico/cultural: Cuando se juzgue a una persona indígena, la persona juzgadora que conoce del caso dispondrá, cuando ello sea necesario para resolverlo, de oficio o a petición de parte y costeado por el Estado, el peritaje antropológico y/o cultural, con el fin de conocer las normas culturales particulares, la personalidad, vida del imputado, entre otras, vinculadas con el hecho atribuido, lo anterior de conformidad con el artículo 339 del Código Procesal Penal.</w:t>
      </w:r>
    </w:p>
    <w:p>
      <w:pPr>
        <w:pStyle w:val="ListParagraph"/>
        <w:rPr>
          <w:rFonts w:ascii="Bookman Old Style" w:hAnsi="Bookman Old Style" w:cs="Tahoma"/>
          <w:i/>
          <w:i/>
          <w:color w:val="000000" w:themeColor="text1"/>
          <w:sz w:val="20"/>
        </w:rPr>
      </w:pPr>
      <w:r>
        <w:rPr>
          <w:rFonts w:cs="Tahoma" w:ascii="Bookman Old Style" w:hAnsi="Bookman Old Style"/>
          <w:i/>
          <w:color w:val="000000" w:themeColor="text1"/>
          <w:sz w:val="20"/>
        </w:rPr>
      </w:r>
    </w:p>
    <w:p>
      <w:pPr>
        <w:pStyle w:val="Standard"/>
        <w:widowControl w:val="false"/>
        <w:ind w:left="720" w:hanging="0"/>
        <w:jc w:val="both"/>
        <w:textAlignment w:val="auto"/>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t xml:space="preserve">La administración de justicia procederá a elaborar una lista de peritos conocedores de las diferentes culturas indígenas, quienes tendrán por función efectuar, individual o conjuntamente, el peritaje requerido. </w:t>
      </w:r>
    </w:p>
    <w:p>
      <w:pPr>
        <w:pStyle w:val="Standard"/>
        <w:widowControl w:val="false"/>
        <w:jc w:val="both"/>
        <w:textAlignment w:val="auto"/>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Standard"/>
        <w:widowControl w:val="false"/>
        <w:jc w:val="both"/>
        <w:textAlignment w:val="auto"/>
        <w:rPr>
          <w:rFonts w:ascii="Bookman Old Style" w:hAnsi="Bookman Old Style" w:cs="Tahoma"/>
          <w:b/>
          <w:b/>
          <w:iCs/>
          <w:color w:val="000000" w:themeColor="text1"/>
          <w:sz w:val="20"/>
          <w:szCs w:val="20"/>
        </w:rPr>
      </w:pPr>
      <w:r>
        <w:rPr>
          <w:rFonts w:cs="Tahoma" w:ascii="Bookman Old Style" w:hAnsi="Bookman Old Style"/>
          <w:iCs/>
          <w:color w:val="000000" w:themeColor="text1"/>
          <w:sz w:val="20"/>
          <w:szCs w:val="20"/>
        </w:rPr>
        <w:t>Se analiza la propuesta, la cual fue trasladada con anticipación a las personas integrantes de la Subcomisión, sin que se recibieran observaciones.</w:t>
      </w:r>
    </w:p>
    <w:p>
      <w:pPr>
        <w:pStyle w:val="Standard"/>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
          <w:color w:val="000000" w:themeColor="text1"/>
          <w:sz w:val="20"/>
          <w:szCs w:val="20"/>
          <w:u w:val="single"/>
        </w:rPr>
        <w:t xml:space="preserve">SE ACUERDA: </w:t>
      </w:r>
      <w:r>
        <w:rPr>
          <w:rFonts w:cs="Tahoma" w:ascii="Bookman Old Style" w:hAnsi="Bookman Old Style"/>
          <w:bCs/>
          <w:color w:val="000000" w:themeColor="text1"/>
          <w:sz w:val="20"/>
          <w:szCs w:val="20"/>
        </w:rPr>
        <w:t>Se toma nota de las propuestas planteadas por la señora Ligia Jiménez, representante de la Defensa Pública ante la Subcomisión de Acceso a la Justicia de Pueblos Indígenas. Se aprueba la propuesta y se dispone comunicar al Consejo Superior para su valoración y eventual aprobación. Por la importancia que reviste la propuesta se declara firme este acuerdo y se dispone comunicarlo por medio de la Unidad de Acceso a la Justicia al Consejo Superior.-</w:t>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ARTICULO I</w:t>
      </w:r>
      <w:r>
        <w:rPr>
          <w:rFonts w:cs="Tahoma" w:ascii="Bookman Old Style" w:hAnsi="Bookman Old Style"/>
          <w:b/>
          <w:color w:val="000000" w:themeColor="text1"/>
          <w:sz w:val="20"/>
          <w:szCs w:val="20"/>
          <w:u w:val="single"/>
        </w:rPr>
        <w:t>V</w:t>
      </w:r>
    </w:p>
    <w:p>
      <w:pPr>
        <w:pStyle w:val="Normal"/>
        <w:spacing w:lineRule="auto" w:line="360"/>
        <w:jc w:val="both"/>
        <w:rPr>
          <w:rFonts w:ascii="Bookman Old Style" w:hAnsi="Bookman Old Style" w:cs="Tahoma"/>
          <w:i/>
          <w:i/>
          <w:color w:val="000000" w:themeColor="text1"/>
          <w:sz w:val="20"/>
          <w:szCs w:val="20"/>
        </w:rPr>
      </w:pPr>
      <w:r>
        <w:rPr>
          <w:rFonts w:cs="Tahoma" w:ascii="Bookman Old Style" w:hAnsi="Bookman Old Style"/>
          <w:color w:val="000000" w:themeColor="text1"/>
          <w:sz w:val="20"/>
          <w:szCs w:val="20"/>
        </w:rPr>
        <w:t xml:space="preserve">La Licenciada Ligia Jiménez Zamora, Defensora Pública Indígena, comunico vía correo electrónico el jueves 05 de marzo de 2020 a la Unidad de Acceso a la Justicia, </w:t>
      </w:r>
      <w:r>
        <w:rPr>
          <w:rFonts w:cs="Tahoma" w:ascii="Bookman Old Style" w:hAnsi="Bookman Old Style"/>
          <w:i/>
          <w:color w:val="000000" w:themeColor="text1"/>
          <w:sz w:val="20"/>
          <w:szCs w:val="20"/>
        </w:rPr>
        <w:t xml:space="preserve">Subcomisión de Pueblos Indígenas, Damaris Vargas Vásquez y Melissa Benavides Víquez, con copia a Katherine Salazar Duarte, lo siguiente: </w:t>
      </w:r>
    </w:p>
    <w:p>
      <w:pPr>
        <w:pStyle w:val="Normal"/>
        <w:spacing w:lineRule="auto" w:line="360"/>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Normal"/>
        <w:spacing w:lineRule="auto" w:line="360"/>
        <w:ind w:left="708" w:hanging="0"/>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t xml:space="preserve">“… </w:t>
      </w:r>
      <w:r>
        <w:rPr>
          <w:rFonts w:cs="Tahoma" w:ascii="Bookman Old Style" w:hAnsi="Bookman Old Style"/>
          <w:i/>
          <w:color w:val="000000" w:themeColor="text1"/>
          <w:sz w:val="20"/>
          <w:szCs w:val="20"/>
        </w:rPr>
        <w:t>En virtud de la entrada en vigencia de la Ley de Acceso a la Justicia para pueblos indígenas de Costa Rica, desde el 28 de setiembre de 2019, y considerando lo que se establece en el numeral 7 en el párrafo segundo: "El Poder Judicial deberá asumir el costo de las pruebas y las pericias requeridas en un proceso judicial, cuando la persona indígena no tenga medios para hacerlo por su cuenta. Para tal efecto, las universidades estatales deberán dar colaboración especializada y gratuita al Poder Judicial, a fin de tener un listado de personas idóneas que puedan elaborar esos peritajes culturales. El presupuesto que se apruebe a dichas instituciones deberá contener un rubro expreso para cubrir los costos de la citada colaboración. ARTÍCULO 8- Peritaje cultural. El juez deberá solicitar peritajes culturales en aquellos procesos judiciales que requieran un peritaje especial de las costumbres, las tradiciones y los conceptos normativos de los pueblos indígenas.” Con el mayor de los respetos, sugiero que podamos valorar parámetros para elaborar una circular desde la Dirección Ejecutiva, o Consejo Superior, para todas las personas funcionarias públicas, en la que se establezcan los procedimientos para hacer efectivos estos peritajes en las cuatro Universidades Públicas.”</w:t>
      </w:r>
    </w:p>
    <w:p>
      <w:pPr>
        <w:pStyle w:val="Normal"/>
        <w:spacing w:lineRule="auto" w:line="360"/>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Normal"/>
        <w:spacing w:lineRule="auto" w:line="360"/>
        <w:jc w:val="both"/>
        <w:rPr>
          <w:rFonts w:ascii="Bookman Old Style" w:hAnsi="Bookman Old Style" w:cs="Tahoma"/>
          <w:iCs/>
          <w:color w:val="000000" w:themeColor="text1"/>
          <w:sz w:val="20"/>
          <w:szCs w:val="20"/>
        </w:rPr>
      </w:pPr>
      <w:r>
        <w:rPr>
          <w:rFonts w:cs="Tahoma" w:ascii="Bookman Old Style" w:hAnsi="Bookman Old Style"/>
          <w:iCs/>
          <w:color w:val="000000" w:themeColor="text1"/>
          <w:sz w:val="20"/>
          <w:szCs w:val="20"/>
        </w:rPr>
        <w:t xml:space="preserve">Luego se deliberar ampliamente sobre la propuesta, </w:t>
      </w:r>
    </w:p>
    <w:p>
      <w:pPr>
        <w:pStyle w:val="Normal"/>
        <w:spacing w:lineRule="auto" w:line="360"/>
        <w:jc w:val="both"/>
        <w:rPr>
          <w:rFonts w:ascii="Bookman Old Style" w:hAnsi="Bookman Old Style" w:cs="Tahoma"/>
          <w:b/>
          <w:b/>
          <w:color w:val="000000" w:themeColor="text1"/>
          <w:sz w:val="20"/>
          <w:szCs w:val="20"/>
        </w:rPr>
      </w:pPr>
      <w:r>
        <w:rPr>
          <w:rFonts w:cs="Tahoma" w:ascii="Bookman Old Style" w:hAnsi="Bookman Old Style"/>
          <w:b/>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
          <w:color w:val="000000" w:themeColor="text1"/>
          <w:sz w:val="20"/>
          <w:szCs w:val="20"/>
          <w:u w:val="single"/>
        </w:rPr>
        <w:t>SE ACUERDA</w:t>
      </w:r>
      <w:r>
        <w:rPr>
          <w:rFonts w:cs="Tahoma" w:ascii="Bookman Old Style" w:hAnsi="Bookman Old Style"/>
          <w:bCs/>
          <w:color w:val="000000" w:themeColor="text1"/>
          <w:sz w:val="20"/>
          <w:szCs w:val="20"/>
        </w:rPr>
        <w:t>: Elaborar una propuesta de circular, con la participación de las y los representantes ante esta Subcomisión de la Dirección Ejecutiva, Judicatura, Fiscalía, Defensa Pública y Organismo de Investigación Judicial, acerca del procedimiento a seguir por los despachos y oficinas institucionales de requerir ordenar un peritaje cultural y gestionar su designación mediante un procedimiento expedito, para que sea valorada por la Subcomisión y en caso de aprobarse, someterla a conocimiento del Consejo Superior. Además, valorar la posibilidad de construir un perfil de las personas que elaborarán los peritajes culturales. Solicitar a la Presidencia de la Corte Suprema de Justicia remitir un comunicado a las personas representantes de las Universidades Estatales solicitándoles concertar posiciones para la colaboración en relación con lo señalado por la Ley de Acceso a la Justicia de Pueblos Indígenas de Costa Rica con el objetivo de que el procedimiento de designación de personas expertas que realicen peritajes culturales sea más expedito atendiendo la priorización que debe dar a los procesos vinculados con personas indígenas y los expedientes judiciales en espera de una solución efectiva a este requerimiento en las diferentes materias y la necesidad de lograr acuerdos permanentes mediante cartas de entendimiento. Por la importancia que reviste este acuerdo se declara firme por unanimidad y se dispone comunicarlo por medio de la Unidad de Acceso a la Justicia a la Presidencia de la Corte Suprema de Justicia y a las y los representantes ante esta Subcomisión de la Judicatura, Defensa Pública, Fiscalía General, Organismo de Investigación Judicial y Dirección Ejecutiva.-</w:t>
      </w:r>
    </w:p>
    <w:p>
      <w:pPr>
        <w:pStyle w:val="Normal"/>
        <w:spacing w:lineRule="auto" w:line="360"/>
        <w:jc w:val="both"/>
        <w:rPr>
          <w:rFonts w:ascii="Bookman Old Style" w:hAnsi="Bookman Old Style" w:cs="Tahoma"/>
          <w:i/>
          <w:i/>
          <w:color w:val="000000" w:themeColor="text1"/>
          <w:sz w:val="20"/>
          <w:szCs w:val="20"/>
        </w:rPr>
      </w:pPr>
      <w:r>
        <w:rPr>
          <w:rFonts w:cs="Tahoma" w:ascii="Bookman Old Style" w:hAnsi="Bookman Old Style"/>
          <w:i/>
          <w:color w:val="000000" w:themeColor="text1"/>
          <w:sz w:val="20"/>
          <w:szCs w:val="20"/>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V</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Comunica la señora Damaris Vargas Vásquez, Coordinadora de la Subcomisión de Acceso a la Justicia de Pueblos Indígenas que remitió solicitud a la Dirección de Tecnología de la Información que se le incluya en el sistema SICE con el objetivo de que el control y seguimiento de acuerdos se realice mediante esta herramienta institucional. Lo anterior, en cumplimiento de la Circular 188-19 de Corte Plena que establece la necesidad de contar con un sistema de gestión documental institucional vinculado con la temática indígena. Por lo anterior, insta a aprobar la solicitud planteada y se remita atento recordatorio a la DTI para la aprobación y ejecución de ese seguimiento lo antes posible.</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Luego de deliberar ampliamente sobre el planteamiento,</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
          <w:color w:val="000000" w:themeColor="text1"/>
          <w:sz w:val="20"/>
          <w:szCs w:val="20"/>
          <w:u w:val="single"/>
        </w:rPr>
        <w:t xml:space="preserve">SE ACUERDA: </w:t>
      </w:r>
      <w:r>
        <w:rPr>
          <w:rFonts w:cs="Tahoma" w:ascii="Bookman Old Style" w:hAnsi="Bookman Old Style"/>
          <w:bCs/>
          <w:color w:val="000000" w:themeColor="text1"/>
          <w:sz w:val="20"/>
          <w:szCs w:val="20"/>
        </w:rPr>
        <w:t>Se toma nota de la gestión planteada por la Coordinadora de la Subcomisión de Acceso a la Justicia de Pueblos Indígenas a la Dirección de Tecnología de la Información para que la Subcomisión realice la gestión documental mediante el sistema SICE. En seguimiento del planteamiento de la señora Melissa Benavides Víquez, Coordinadora de la Unidad de Acceso a la Justicia, remitir consulta al Magistrado Jorge Olaso Álvarez en la condición de Coordinador de la Comisión de Acceso a la Justicia y Jefe de la Unidad de Acceso a la Justicia. Por la importancia que reviste este acuerdo se declara firme por unanimidad y se dispone comunicarlo por medio de la Unidad de Acceso al Magistrado Jorge Olaso Álvarez, Coordinador de la Justicia a la Comisión de Acceso a la Justicia.-</w:t>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V</w:t>
      </w:r>
      <w:r>
        <w:rPr>
          <w:rFonts w:cs="Tahoma" w:ascii="Bookman Old Style" w:hAnsi="Bookman Old Style"/>
          <w:b/>
          <w:color w:val="000000" w:themeColor="text1"/>
          <w:sz w:val="20"/>
          <w:szCs w:val="20"/>
          <w:u w:val="single"/>
        </w:rPr>
        <w:t>I</w:t>
      </w:r>
    </w:p>
    <w:p>
      <w:pPr>
        <w:pStyle w:val="Normal"/>
        <w:spacing w:lineRule="auto" w:line="360"/>
        <w:jc w:val="both"/>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t xml:space="preserve">Comunica la señora Damaris Vargas Vásquez, Coordinadora de la Subcomisión de Acceso a la Justicia de Pueblos Indígenas que remitió solicitud a la Dirección de Tecnología de la Información para que en SIGMA se emita un reporte vinculado con las estadísticas asociadas a procesos en los que intervengan personas indígenas a efecto de que esos datos contribuyan con la toma de decisiones institucionales. Para tal efecto, ya se están realizando las sesiones de trabajo respectivas con el objetivo de que en las siguientes sesiones se conozcan datos con mayor detalle y se expongan a la Subcomisión y demás oficinas involucradas, en cumplimiento de la Circular 188-19 de Corte Plena que establece la necesidad de contar con un sistema de gestión documental institucional vinculado con la temática indígena. </w:t>
      </w:r>
    </w:p>
    <w:p>
      <w:pPr>
        <w:pStyle w:val="Normal"/>
        <w:spacing w:lineRule="auto" w:line="360"/>
        <w:jc w:val="both"/>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t>SE ACUERDA</w:t>
      </w:r>
      <w:r>
        <w:rPr>
          <w:rFonts w:cs="Tahoma" w:ascii="Bookman Old Style" w:hAnsi="Bookman Old Style"/>
          <w:bCs/>
          <w:color w:val="000000" w:themeColor="text1"/>
          <w:sz w:val="20"/>
          <w:szCs w:val="20"/>
        </w:rPr>
        <w:t>: Se toma nota de la propuesta y acciones realizadas.</w:t>
      </w:r>
    </w:p>
    <w:p>
      <w:pPr>
        <w:pStyle w:val="Normal"/>
        <w:spacing w:lineRule="auto" w:line="360"/>
        <w:jc w:val="center"/>
        <w:rPr>
          <w:rFonts w:ascii="Bookman Old Style" w:hAnsi="Bookman Old Style" w:cs="Tahoma"/>
          <w:b/>
          <w:b/>
          <w:sz w:val="20"/>
          <w:szCs w:val="20"/>
          <w:highlight w:val="yellow"/>
          <w:u w:val="single"/>
          <w:lang w:val="es-ES"/>
        </w:rPr>
      </w:pPr>
      <w:r>
        <w:rPr>
          <w:rFonts w:cs="Tahoma" w:ascii="Bookman Old Style" w:hAnsi="Bookman Old Style"/>
          <w:b/>
          <w:sz w:val="20"/>
          <w:szCs w:val="20"/>
          <w:highlight w:val="yellow"/>
          <w:u w:val="single"/>
          <w:lang w:val="es-ES"/>
        </w:rPr>
      </w:r>
    </w:p>
    <w:p>
      <w:pPr>
        <w:pStyle w:val="Normal"/>
        <w:spacing w:lineRule="auto" w:line="360"/>
        <w:jc w:val="center"/>
        <w:rPr>
          <w:rFonts w:ascii="Bookman Old Style" w:hAnsi="Bookman Old Style" w:cs="Tahoma"/>
          <w:b/>
          <w:b/>
          <w:sz w:val="20"/>
          <w:szCs w:val="20"/>
          <w:u w:val="single"/>
          <w:lang w:val="es-ES"/>
        </w:rPr>
      </w:pPr>
      <w:r>
        <w:rPr>
          <w:rFonts w:cs="Tahoma" w:ascii="Bookman Old Style" w:hAnsi="Bookman Old Style"/>
          <w:b/>
          <w:sz w:val="20"/>
          <w:szCs w:val="20"/>
          <w:highlight w:val="yellow"/>
          <w:u w:val="single"/>
          <w:lang w:val="es-ES"/>
        </w:rPr>
        <w:t>ARTICULO VI</w:t>
      </w:r>
      <w:r>
        <w:rPr>
          <w:rFonts w:cs="Tahoma" w:ascii="Bookman Old Style" w:hAnsi="Bookman Old Style"/>
          <w:b/>
          <w:sz w:val="20"/>
          <w:szCs w:val="20"/>
          <w:u w:val="single"/>
          <w:lang w:val="es-ES"/>
        </w:rPr>
        <w:t>I</w:t>
      </w:r>
    </w:p>
    <w:p>
      <w:pPr>
        <w:pStyle w:val="Normal"/>
        <w:spacing w:before="0" w:after="29"/>
        <w:ind w:right="-518" w:hanging="0"/>
        <w:jc w:val="both"/>
        <w:rPr>
          <w:rFonts w:ascii="Bookman Old Style" w:hAnsi="Bookman Old Style" w:cs="Tahoma"/>
          <w:bCs/>
          <w:sz w:val="20"/>
          <w:szCs w:val="20"/>
          <w:lang w:val="es-ES"/>
        </w:rPr>
      </w:pPr>
      <w:r>
        <w:rPr>
          <w:rFonts w:cs="Tahoma" w:ascii="Bookman Old Style" w:hAnsi="Bookman Old Style"/>
          <w:sz w:val="20"/>
          <w:szCs w:val="20"/>
        </w:rPr>
        <w:t xml:space="preserve">La señora Damaris Vargas Vásquez, </w:t>
      </w:r>
      <w:r>
        <w:rPr>
          <w:rFonts w:cs="Tahoma" w:ascii="Bookman Old Style" w:hAnsi="Bookman Old Style"/>
          <w:bCs/>
          <w:sz w:val="20"/>
          <w:szCs w:val="20"/>
          <w:lang w:val="es-ES"/>
        </w:rPr>
        <w:t>Coordinadora Subcomisión Acceso a la Justicia de Pueblos Indígenas</w:t>
      </w:r>
      <w:r>
        <w:rPr>
          <w:rFonts w:cs="Tahoma" w:ascii="Bookman Old Style" w:hAnsi="Bookman Old Style"/>
          <w:sz w:val="20"/>
          <w:szCs w:val="20"/>
        </w:rPr>
        <w:t xml:space="preserve"> comunicó mediante el Oficio </w:t>
      </w:r>
      <w:r>
        <w:rPr>
          <w:rFonts w:cs="Tahoma" w:ascii="Bookman Old Style" w:hAnsi="Bookman Old Style"/>
          <w:sz w:val="20"/>
          <w:szCs w:val="20"/>
          <w:lang w:val="es-ES"/>
        </w:rPr>
        <w:t xml:space="preserve">DVV-SI-0050-2020 </w:t>
      </w:r>
      <w:r>
        <w:rPr>
          <w:rFonts w:cs="Tahoma" w:ascii="Bookman Old Style" w:hAnsi="Bookman Old Style"/>
          <w:sz w:val="20"/>
          <w:szCs w:val="20"/>
        </w:rPr>
        <w:t xml:space="preserve">a las presidencias de la Corte Suprema de Justicia y la Comisión de Emergencias del Poder Judicial, </w:t>
      </w:r>
      <w:r>
        <w:rPr>
          <w:rFonts w:cs="Tahoma" w:ascii="Bookman Old Style" w:hAnsi="Bookman Old Style"/>
          <w:bCs/>
          <w:sz w:val="20"/>
          <w:szCs w:val="20"/>
          <w:lang w:val="es-ES"/>
        </w:rPr>
        <w:t xml:space="preserve">los lineamientos establecidos en el </w:t>
      </w:r>
      <w:r>
        <w:rPr>
          <w:rFonts w:cs="Tahoma" w:ascii="Bookman Old Style" w:hAnsi="Bookman Old Style"/>
          <w:bCs/>
          <w:i/>
          <w:iCs/>
          <w:sz w:val="20"/>
          <w:szCs w:val="20"/>
          <w:lang w:val="es-ES"/>
        </w:rPr>
        <w:t>“Plan de Trabajo: Abordaje de la emergencia del virus COVID - 19 en territorios indígenas”</w:t>
      </w:r>
      <w:r>
        <w:rPr>
          <w:rFonts w:cs="Tahoma" w:ascii="Bookman Old Style" w:hAnsi="Bookman Old Style"/>
          <w:bCs/>
          <w:sz w:val="20"/>
          <w:szCs w:val="20"/>
          <w:lang w:val="es-ES"/>
        </w:rPr>
        <w:t xml:space="preserve"> diseñado por el Viceministerio de la Presidencia en Asuntos Políticos y Diálogo Ciudadano, el Ministerio de Salud y otras instituciones, en el que solicita a Corte Plena y Consejo Superior tomar en consideración esas directrices en la emisión de circulares institucionales asociadas a la atención de la pandemia Covid-19. </w:t>
      </w:r>
    </w:p>
    <w:p>
      <w:pPr>
        <w:pStyle w:val="Normal"/>
        <w:spacing w:before="0" w:after="29"/>
        <w:ind w:right="-518" w:hanging="0"/>
        <w:jc w:val="both"/>
        <w:rPr>
          <w:rFonts w:ascii="Bookman Old Style" w:hAnsi="Bookman Old Style" w:cs="Tahoma"/>
          <w:bCs/>
          <w:sz w:val="20"/>
          <w:szCs w:val="20"/>
          <w:lang w:val="es-ES"/>
        </w:rPr>
      </w:pPr>
      <w:r>
        <w:rPr>
          <w:rFonts w:cs="Tahoma" w:ascii="Bookman Old Style" w:hAnsi="Bookman Old Style"/>
          <w:bCs/>
          <w:sz w:val="20"/>
          <w:szCs w:val="20"/>
          <w:lang w:val="es-ES"/>
        </w:rPr>
        <w:t xml:space="preserve"> </w:t>
      </w:r>
    </w:p>
    <w:p>
      <w:pPr>
        <w:pStyle w:val="Normal"/>
        <w:spacing w:before="0" w:after="29"/>
        <w:ind w:right="-518" w:hanging="0"/>
        <w:jc w:val="both"/>
        <w:rPr>
          <w:rFonts w:ascii="Bookman Old Style" w:hAnsi="Bookman Old Style" w:cs="Tahoma"/>
          <w:sz w:val="20"/>
          <w:szCs w:val="20"/>
        </w:rPr>
      </w:pPr>
      <w:r>
        <w:rPr>
          <w:rFonts w:cs="Tahoma" w:ascii="Bookman Old Style" w:hAnsi="Bookman Old Style"/>
          <w:sz w:val="20"/>
          <w:szCs w:val="20"/>
        </w:rPr>
        <w:t>El contenido del Oficio DVV-S1-0050-2020 es el siguiente:</w:t>
      </w:r>
    </w:p>
    <w:p>
      <w:pPr>
        <w:pStyle w:val="Normal"/>
        <w:spacing w:before="0" w:after="29"/>
        <w:ind w:right="-518" w:hanging="0"/>
        <w:rPr>
          <w:rFonts w:ascii="Bookman Old Style" w:hAnsi="Bookman Old Style" w:cs="Tahoma"/>
          <w:b/>
          <w:b/>
          <w:sz w:val="20"/>
          <w:szCs w:val="20"/>
          <w:lang w:val="es-ES"/>
        </w:rPr>
      </w:pPr>
      <w:r>
        <w:rPr>
          <w:rFonts w:cs="Tahoma" w:ascii="Bookman Old Style" w:hAnsi="Bookman Old Style"/>
          <w:b/>
          <w:sz w:val="20"/>
          <w:szCs w:val="20"/>
          <w:lang w:val="es-ES"/>
        </w:rPr>
      </w:r>
    </w:p>
    <w:p>
      <w:pPr>
        <w:pStyle w:val="Normal"/>
        <w:spacing w:before="0" w:after="29"/>
        <w:ind w:right="-518" w:hanging="0"/>
        <w:jc w:val="right"/>
        <w:rPr>
          <w:rFonts w:ascii="Bookman Old Style" w:hAnsi="Bookman Old Style" w:cs="Tahoma"/>
          <w:b/>
          <w:b/>
          <w:i/>
          <w:i/>
          <w:iCs/>
          <w:sz w:val="20"/>
          <w:szCs w:val="20"/>
          <w:lang w:val="es-ES"/>
        </w:rPr>
      </w:pPr>
      <w:r>
        <w:rPr>
          <w:rFonts w:cs="Tahoma" w:ascii="Bookman Old Style" w:hAnsi="Bookman Old Style"/>
          <w:b/>
          <w:i/>
          <w:iCs/>
          <w:sz w:val="20"/>
          <w:szCs w:val="20"/>
          <w:lang w:val="es-ES"/>
        </w:rPr>
        <w:t>“</w:t>
      </w:r>
      <w:r>
        <w:rPr>
          <w:rFonts w:cs="Tahoma" w:ascii="Bookman Old Style" w:hAnsi="Bookman Old Style"/>
          <w:b/>
          <w:i/>
          <w:iCs/>
          <w:sz w:val="20"/>
          <w:szCs w:val="20"/>
          <w:lang w:val="es-ES"/>
        </w:rPr>
        <w:t xml:space="preserve">San José, 3 de abril de 2020 </w:t>
      </w:r>
    </w:p>
    <w:p>
      <w:pPr>
        <w:pStyle w:val="Normal"/>
        <w:spacing w:before="0" w:after="29"/>
        <w:ind w:right="-518" w:hanging="0"/>
        <w:jc w:val="right"/>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Oficio DVV-SI-0050-2020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Señor Dr. Fernando Cruz Castro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Presidente</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Corte Suprema de Justicia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Señor Magistrado Luis Guillermo Rivas Loáiciga</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Presidente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Comisión de Emergencias Poder Judicial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left="4956" w:right="-518" w:hanging="0"/>
        <w:rPr>
          <w:rFonts w:ascii="Bookman Old Style" w:hAnsi="Bookman Old Style" w:cs="Tahoma"/>
          <w:b/>
          <w:b/>
          <w:i/>
          <w:i/>
          <w:iCs/>
          <w:sz w:val="20"/>
          <w:szCs w:val="20"/>
          <w:lang w:val="es-ES"/>
        </w:rPr>
      </w:pPr>
      <w:r>
        <w:rPr>
          <w:rFonts w:cs="Tahoma" w:ascii="Bookman Old Style" w:hAnsi="Bookman Old Style"/>
          <w:b/>
          <w:i/>
          <w:iCs/>
          <w:sz w:val="20"/>
          <w:szCs w:val="20"/>
          <w:u w:val="single"/>
          <w:lang w:val="es-ES"/>
        </w:rPr>
        <w:t>Asunto:</w:t>
      </w:r>
      <w:r>
        <w:rPr>
          <w:rFonts w:cs="Tahoma" w:ascii="Bookman Old Style" w:hAnsi="Bookman Old Style"/>
          <w:b/>
          <w:i/>
          <w:iCs/>
          <w:sz w:val="20"/>
          <w:szCs w:val="20"/>
          <w:lang w:val="es-ES"/>
        </w:rPr>
        <w:t xml:space="preserve">  </w:t>
      </w:r>
      <w:r>
        <w:rPr>
          <w:rFonts w:cs="Tahoma" w:ascii="Bookman Old Style" w:hAnsi="Bookman Old Style"/>
          <w:bCs/>
          <w:i/>
          <w:iCs/>
          <w:sz w:val="20"/>
          <w:szCs w:val="20"/>
          <w:lang w:val="es-ES"/>
        </w:rPr>
        <w:t xml:space="preserve">Atención de  procesos  judiciales  y audiencias vinculadas con población indígenas en territorios indígenas.  </w:t>
      </w:r>
      <w:r>
        <w:rPr>
          <w:rFonts w:cs="Tahoma" w:ascii="Bookman Old Style" w:hAnsi="Bookman Old Style"/>
          <w:b/>
          <w:i/>
          <w:iCs/>
          <w:sz w:val="20"/>
          <w:szCs w:val="20"/>
          <w:lang w:val="es-ES"/>
        </w:rPr>
        <w:t xml:space="preserve"> </w:t>
      </w:r>
    </w:p>
    <w:p>
      <w:pPr>
        <w:pStyle w:val="Normal"/>
        <w:spacing w:before="0" w:after="29"/>
        <w:ind w:left="4248" w:right="-518" w:hanging="0"/>
        <w:jc w:val="both"/>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Estimados Señores: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Reciban un atento saludo. Tengo el honor de dirigirme a ustedes en mi condición de Coordinadora de la Subcomisión de Acceso a la Justicia de Pueblos Indígenas para solicitarles que tanto Corte Plena como el Consejo Superior, en las directrices que emitan en relación con la realización de audiencias judiciales en territorios indígenas, consideren los lineamientos establecidos en el “Plan de Trabajo: Abordaje de la emergencia del virus COVID - 19 en territorios indígenas” diseñado por el Viceministerio de la Presidencia en Asuntos Políticos y Diálogo Ciudadano y el Ministerio de Salud.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La realización de audiencias en territorios indígenas por parte de las personas servidoras judiciales deben ser coordinadas previamente con los Comités de Salud Comunitarios, activos en cada uno de los 24 territorios indígenas, cuyos contactos constan en el “Plan de Trabajo: Abordaje de la emergencia del virus COVID - 19 en territorios indígenas”.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Para tal efecto, solicito se socialice lo antes posible el Plan en referencia con todas las personas servidoras judiciales.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 </w:t>
      </w:r>
    </w:p>
    <w:p>
      <w:pPr>
        <w:pStyle w:val="Normal"/>
        <w:spacing w:before="0" w:after="29"/>
        <w:ind w:right="-518"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Estoy a su disposición de requerir información adicional. </w:t>
      </w:r>
    </w:p>
    <w:p>
      <w:pPr>
        <w:pStyle w:val="Normal"/>
        <w:spacing w:before="0" w:after="29"/>
        <w:ind w:right="-518" w:hanging="0"/>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 </w:t>
      </w:r>
    </w:p>
    <w:p>
      <w:pPr>
        <w:pStyle w:val="Normal"/>
        <w:spacing w:before="0" w:after="29"/>
        <w:ind w:right="-518" w:hanging="0"/>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De ustedes atentamente,  </w:t>
      </w:r>
    </w:p>
    <w:p>
      <w:pPr>
        <w:pStyle w:val="Normal"/>
        <w:spacing w:before="0" w:after="29"/>
        <w:ind w:right="-518" w:hanging="0"/>
        <w:rPr>
          <w:rFonts w:ascii="Bookman Old Style" w:hAnsi="Bookman Old Style" w:cs="Tahoma"/>
          <w:bCs/>
          <w:i/>
          <w:i/>
          <w:iCs/>
          <w:sz w:val="20"/>
          <w:szCs w:val="20"/>
          <w:lang w:val="es-ES"/>
        </w:rPr>
      </w:pPr>
      <w:r>
        <w:rPr>
          <w:rFonts w:cs="Tahoma" w:ascii="Bookman Old Style" w:hAnsi="Bookman Old Style"/>
          <w:bCs/>
          <w:i/>
          <w:iCs/>
          <w:sz w:val="20"/>
          <w:szCs w:val="20"/>
          <w:lang w:val="es-ES"/>
        </w:rPr>
        <w:t xml:space="preserve"> </w:t>
      </w:r>
    </w:p>
    <w:p>
      <w:pPr>
        <w:pStyle w:val="Normal"/>
        <w:spacing w:before="0" w:after="29"/>
        <w:ind w:right="-518" w:hanging="0"/>
        <w:rPr>
          <w:rFonts w:ascii="Bookman Old Style" w:hAnsi="Bookman Old Style" w:cs="Tahoma"/>
          <w:b/>
          <w:b/>
          <w:i/>
          <w:i/>
          <w:iCs/>
          <w:sz w:val="20"/>
          <w:szCs w:val="20"/>
          <w:lang w:val="es-ES"/>
        </w:rPr>
      </w:pPr>
      <w:r>
        <w:rPr>
          <w:rFonts w:cs="Tahoma" w:ascii="Bookman Old Style" w:hAnsi="Bookman Old Style"/>
          <w:b/>
          <w:i/>
          <w:iCs/>
          <w:sz w:val="20"/>
          <w:szCs w:val="20"/>
          <w:lang w:val="es-ES"/>
        </w:rPr>
        <w:t xml:space="preserve"> </w:t>
      </w:r>
    </w:p>
    <w:p>
      <w:pPr>
        <w:pStyle w:val="Normal"/>
        <w:spacing w:before="0" w:after="29"/>
        <w:ind w:right="-518" w:hanging="0"/>
        <w:jc w:val="center"/>
        <w:rPr>
          <w:rFonts w:ascii="Bookman Old Style" w:hAnsi="Bookman Old Style" w:cs="Tahoma"/>
          <w:b/>
          <w:b/>
          <w:i/>
          <w:i/>
          <w:iCs/>
          <w:sz w:val="20"/>
          <w:szCs w:val="20"/>
          <w:lang w:val="es-ES"/>
        </w:rPr>
      </w:pPr>
      <w:r>
        <w:rPr>
          <w:rFonts w:cs="Tahoma" w:ascii="Bookman Old Style" w:hAnsi="Bookman Old Style"/>
          <w:b/>
          <w:i/>
          <w:iCs/>
          <w:sz w:val="20"/>
          <w:szCs w:val="20"/>
          <w:lang w:val="es-ES"/>
        </w:rPr>
        <w:t>Subcomisión Acceso a la Justicia de Pueblos Indígenas</w:t>
      </w:r>
    </w:p>
    <w:p>
      <w:pPr>
        <w:pStyle w:val="Normal"/>
        <w:spacing w:before="0" w:after="29"/>
        <w:ind w:right="-518" w:hanging="0"/>
        <w:jc w:val="center"/>
        <w:rPr>
          <w:rFonts w:ascii="Bookman Old Style" w:hAnsi="Bookman Old Style" w:cs="Tahoma"/>
          <w:b/>
          <w:b/>
          <w:i/>
          <w:i/>
          <w:iCs/>
          <w:sz w:val="20"/>
          <w:szCs w:val="20"/>
          <w:lang w:val="es-ES"/>
        </w:rPr>
      </w:pPr>
      <w:r>
        <w:rPr>
          <w:rFonts w:cs="Tahoma" w:ascii="Bookman Old Style" w:hAnsi="Bookman Old Style"/>
          <w:b/>
          <w:i/>
          <w:iCs/>
          <w:sz w:val="20"/>
          <w:szCs w:val="20"/>
          <w:lang w:val="es-ES"/>
        </w:rPr>
        <w:t>Sala Primera de la Corte Suprema de Justicia”</w:t>
      </w:r>
    </w:p>
    <w:p>
      <w:pPr>
        <w:pStyle w:val="Normal"/>
        <w:spacing w:before="0" w:after="29"/>
        <w:ind w:right="-518" w:hanging="0"/>
        <w:jc w:val="center"/>
        <w:rPr>
          <w:rFonts w:ascii="Bookman Old Style" w:hAnsi="Bookman Old Style" w:cs="Tahoma"/>
          <w:b/>
          <w:b/>
          <w:i/>
          <w:i/>
          <w:iCs/>
          <w:sz w:val="20"/>
          <w:szCs w:val="20"/>
          <w:lang w:val="es-ES"/>
        </w:rPr>
      </w:pPr>
      <w:r>
        <w:rPr>
          <w:rFonts w:cs="Tahoma" w:ascii="Bookman Old Style" w:hAnsi="Bookman Old Style"/>
          <w:b/>
          <w:i/>
          <w:iCs/>
          <w:sz w:val="20"/>
          <w:szCs w:val="20"/>
          <w:lang w:val="es-ES"/>
        </w:rPr>
      </w:r>
    </w:p>
    <w:p>
      <w:pPr>
        <w:pStyle w:val="Normal"/>
        <w:spacing w:before="0" w:after="29"/>
        <w:ind w:right="-518" w:hanging="0"/>
        <w:rPr>
          <w:rFonts w:ascii="Bookman Old Style" w:hAnsi="Bookman Old Style" w:cs="Tahoma"/>
          <w:b/>
          <w:b/>
          <w:sz w:val="20"/>
          <w:szCs w:val="20"/>
          <w:lang w:val="es-ES"/>
        </w:rPr>
      </w:pPr>
      <w:r>
        <w:rPr>
          <w:rFonts w:cs="Tahoma" w:ascii="Bookman Old Style" w:hAnsi="Bookman Old Style"/>
          <w:b/>
          <w:i/>
          <w:iCs/>
          <w:sz w:val="20"/>
          <w:szCs w:val="20"/>
          <w:lang w:val="es-ES"/>
        </w:rPr>
        <w:t xml:space="preserve"> </w:t>
      </w:r>
    </w:p>
    <w:p>
      <w:pPr>
        <w:pStyle w:val="Sinespaciado1"/>
        <w:spacing w:lineRule="auto" w:line="360"/>
        <w:ind w:right="-510" w:hanging="0"/>
        <w:jc w:val="both"/>
        <w:rPr>
          <w:rFonts w:ascii="Bookman Old Style" w:hAnsi="Bookman Old Style" w:cs="Tahoma"/>
          <w:bCs/>
          <w:sz w:val="20"/>
          <w:szCs w:val="20"/>
          <w:lang w:val="es-ES"/>
        </w:rPr>
      </w:pPr>
      <w:r>
        <w:rPr>
          <w:rFonts w:cs="Tahoma" w:ascii="Bookman Old Style" w:hAnsi="Bookman Old Style"/>
          <w:bCs/>
          <w:sz w:val="20"/>
          <w:szCs w:val="20"/>
          <w:lang w:val="es-ES"/>
        </w:rPr>
        <w:t>Se informa que esta gestión fue conocida por Corte Plena, cuyo comunicado fue puesto en conocimiento de las personas integrantes de la Subcomisión el 7 de mayo pasado. El comunicado de la Secretaría General de la Corte Suprema de Justicia señala:</w:t>
      </w:r>
    </w:p>
    <w:p>
      <w:pPr>
        <w:pStyle w:val="Sinespaciado1"/>
        <w:spacing w:lineRule="auto" w:line="360"/>
        <w:ind w:right="-510" w:hanging="0"/>
        <w:jc w:val="both"/>
        <w:rPr>
          <w:rFonts w:ascii="Bookman Old Style" w:hAnsi="Bookman Old Style" w:cs="Tahoma"/>
          <w:bCs/>
          <w:i/>
          <w:i/>
          <w:iCs/>
          <w:sz w:val="20"/>
          <w:szCs w:val="20"/>
          <w:lang w:val="es-ES"/>
        </w:rPr>
      </w:pPr>
      <w:r>
        <w:rPr>
          <w:rFonts w:cs="Tahoma" w:ascii="Bookman Old Style" w:hAnsi="Bookman Old Style"/>
          <w:bCs/>
          <w:i/>
          <w:iCs/>
          <w:sz w:val="20"/>
          <w:szCs w:val="20"/>
          <w:lang w:val="es-ES"/>
        </w:rPr>
      </w:r>
    </w:p>
    <w:p>
      <w:pPr>
        <w:pStyle w:val="Normal"/>
        <w:rPr>
          <w:rFonts w:ascii="Calibri" w:hAnsi="Calibri" w:cs="" w:asciiTheme="minorHAnsi" w:cstheme="minorBidi" w:hAnsiTheme="minorHAnsi"/>
          <w:i/>
          <w:i/>
          <w:iCs/>
          <w:sz w:val="22"/>
          <w:szCs w:val="22"/>
          <w:lang w:eastAsia="en-US"/>
        </w:rPr>
      </w:pPr>
      <w:r>
        <w:rPr>
          <w:rFonts w:cs="" w:cstheme="minorBidi" w:ascii="Calibri" w:hAnsi="Calibri"/>
          <w:i/>
          <w:iCs/>
          <w:sz w:val="22"/>
          <w:szCs w:val="22"/>
          <w:lang w:eastAsia="en-US"/>
        </w:rPr>
      </w:r>
    </w:p>
    <w:p>
      <w:pPr>
        <w:pStyle w:val="Normal"/>
        <w:rPr>
          <w:rFonts w:ascii="Calibri" w:hAnsi="Calibri" w:cs="Calibri"/>
          <w:i/>
          <w:i/>
          <w:iCs/>
          <w:sz w:val="22"/>
          <w:szCs w:val="22"/>
          <w:lang w:val="es-ES"/>
        </w:rPr>
      </w:pPr>
      <w:r>
        <w:rPr>
          <w:rFonts w:cs="Calibri" w:ascii="Calibri" w:hAnsi="Calibri"/>
          <w:b/>
          <w:bCs/>
          <w:i/>
          <w:iCs/>
          <w:sz w:val="22"/>
          <w:szCs w:val="22"/>
          <w:lang w:val="es-ES"/>
        </w:rPr>
        <w:t>De:</w:t>
      </w:r>
      <w:r>
        <w:rPr>
          <w:rFonts w:cs="Calibri" w:ascii="Calibri" w:hAnsi="Calibri"/>
          <w:i/>
          <w:iCs/>
          <w:sz w:val="22"/>
          <w:szCs w:val="22"/>
          <w:lang w:val="es-ES"/>
        </w:rPr>
        <w:t xml:space="preserve"> Secretaría General de la Corte - Comunicaciones - Isidro Quesada Castillo &lt;iquesadac@Poder-Judicial.go.cr&gt; </w:t>
        <w:br/>
      </w:r>
      <w:r>
        <w:rPr>
          <w:rFonts w:cs="Calibri" w:ascii="Calibri" w:hAnsi="Calibri"/>
          <w:b/>
          <w:bCs/>
          <w:i/>
          <w:iCs/>
          <w:sz w:val="22"/>
          <w:szCs w:val="22"/>
          <w:lang w:val="es-ES"/>
        </w:rPr>
        <w:t>Enviado el:</w:t>
      </w:r>
      <w:r>
        <w:rPr>
          <w:rFonts w:cs="Calibri" w:ascii="Calibri" w:hAnsi="Calibri"/>
          <w:i/>
          <w:iCs/>
          <w:sz w:val="22"/>
          <w:szCs w:val="22"/>
          <w:lang w:val="es-ES"/>
        </w:rPr>
        <w:t xml:space="preserve"> jueves, 7 de mayo de 2020 3:29 p. m.</w:t>
        <w:br/>
      </w:r>
      <w:r>
        <w:rPr>
          <w:rFonts w:cs="Calibri" w:ascii="Calibri" w:hAnsi="Calibri"/>
          <w:b/>
          <w:bCs/>
          <w:i/>
          <w:iCs/>
          <w:sz w:val="22"/>
          <w:szCs w:val="22"/>
          <w:lang w:val="es-ES"/>
        </w:rPr>
        <w:t>Para:</w:t>
      </w:r>
      <w:r>
        <w:rPr>
          <w:rFonts w:cs="Calibri" w:ascii="Calibri" w:hAnsi="Calibri"/>
          <w:i/>
          <w:iCs/>
          <w:sz w:val="22"/>
          <w:szCs w:val="22"/>
          <w:lang w:val="es-ES"/>
        </w:rPr>
        <w:t xml:space="preserve"> Damaris Vargas Vásquez &lt;dvargas@Poder-Judicial.go.cr&gt;; Subcomisión de Pueblos Indígenas &lt;spindigenas@Poder-Judicial.go.cr&gt;</w:t>
        <w:br/>
      </w:r>
      <w:r>
        <w:rPr>
          <w:rFonts w:cs="Calibri" w:ascii="Calibri" w:hAnsi="Calibri"/>
          <w:b/>
          <w:bCs/>
          <w:i/>
          <w:iCs/>
          <w:sz w:val="22"/>
          <w:szCs w:val="22"/>
          <w:lang w:val="es-ES"/>
        </w:rPr>
        <w:t>CC:</w:t>
      </w:r>
      <w:r>
        <w:rPr>
          <w:rFonts w:cs="Calibri" w:ascii="Calibri" w:hAnsi="Calibri"/>
          <w:i/>
          <w:iCs/>
          <w:sz w:val="22"/>
          <w:szCs w:val="22"/>
          <w:lang w:val="es-ES"/>
        </w:rPr>
        <w:t xml:space="preserve"> Melissa Benavides Víquez &lt;mbenavidesv@Poder-Judicial.go.cr&gt;; Acceso a la Justicia &lt;accesojusticia@Poder-Judicial.go.cr&gt;; Alejandra Mena Cárdenas &lt;amenac@Poder-Judicial.go.cr&gt;</w:t>
        <w:br/>
      </w:r>
      <w:r>
        <w:rPr>
          <w:rFonts w:cs="Calibri" w:ascii="Calibri" w:hAnsi="Calibri"/>
          <w:b/>
          <w:bCs/>
          <w:i/>
          <w:iCs/>
          <w:sz w:val="22"/>
          <w:szCs w:val="22"/>
          <w:lang w:val="es-ES"/>
        </w:rPr>
        <w:t>Asunto:</w:t>
      </w:r>
      <w:r>
        <w:rPr>
          <w:rFonts w:cs="Calibri" w:ascii="Calibri" w:hAnsi="Calibri"/>
          <w:i/>
          <w:iCs/>
          <w:sz w:val="22"/>
          <w:szCs w:val="22"/>
          <w:lang w:val="es-ES"/>
        </w:rPr>
        <w:t xml:space="preserve"> OFICIO N° 4269-2020</w:t>
      </w:r>
    </w:p>
    <w:p>
      <w:pPr>
        <w:pStyle w:val="Normal"/>
        <w:rPr>
          <w:rFonts w:eastAsia="Calibri" w:eastAsiaTheme="minorHAnsi"/>
          <w:i/>
          <w:i/>
          <w:iCs/>
          <w:lang w:eastAsia="ar-SA"/>
        </w:rPr>
      </w:pPr>
      <w:r>
        <w:rPr>
          <w:rFonts w:eastAsia="Calibri" w:eastAsiaTheme="minorHAnsi"/>
          <w:i/>
          <w:iCs/>
          <w:lang w:eastAsia="ar-SA"/>
        </w:rPr>
      </w:r>
    </w:p>
    <w:p>
      <w:pPr>
        <w:pStyle w:val="Ttulo7"/>
        <w:keepLines w:val="false"/>
        <w:numPr>
          <w:ilvl w:val="0"/>
          <w:numId w:val="0"/>
        </w:numPr>
        <w:shd w:val="clear" w:color="auto" w:fill="FFFFFF"/>
        <w:tabs>
          <w:tab w:val="clear" w:pos="708"/>
          <w:tab w:val="left" w:pos="0" w:leader="none"/>
        </w:tabs>
        <w:spacing w:before="0" w:after="0"/>
        <w:ind w:left="4248" w:hanging="0"/>
        <w:jc w:val="both"/>
        <w:rPr>
          <w:rFonts w:ascii="Times New Roman" w:hAnsi="Times New Roman" w:cs="Times New Roman"/>
          <w:sz w:val="21"/>
          <w:szCs w:val="21"/>
          <w:lang w:val="es-ES_tradnl"/>
        </w:rPr>
      </w:pPr>
      <w:r>
        <w:rPr>
          <w:rFonts w:cs="Times New Roman" w:ascii="Times New Roman" w:hAnsi="Times New Roman"/>
          <w:color w:val="000000"/>
          <w:sz w:val="21"/>
          <w:szCs w:val="21"/>
          <w:lang w:val="es-ES_tradnl"/>
        </w:rPr>
        <w:t>San José, 7 de mayo de 2020</w:t>
      </w:r>
    </w:p>
    <w:p>
      <w:pPr>
        <w:pStyle w:val="Ttulo7"/>
        <w:keepLines w:val="false"/>
        <w:numPr>
          <w:ilvl w:val="0"/>
          <w:numId w:val="0"/>
        </w:numPr>
        <w:shd w:val="clear" w:color="auto" w:fill="FFFFFF"/>
        <w:tabs>
          <w:tab w:val="clear" w:pos="708"/>
          <w:tab w:val="left" w:pos="0" w:leader="none"/>
        </w:tabs>
        <w:spacing w:before="0" w:after="0"/>
        <w:ind w:left="4248" w:hanging="0"/>
        <w:jc w:val="both"/>
        <w:rPr>
          <w:rFonts w:ascii="Times New Roman" w:hAnsi="Times New Roman" w:cs="Times New Roman"/>
          <w:sz w:val="21"/>
          <w:szCs w:val="21"/>
          <w:lang w:val="es-ES_tradnl"/>
        </w:rPr>
      </w:pPr>
      <w:r>
        <w:rPr>
          <w:rFonts w:cs="Times New Roman" w:ascii="Times New Roman" w:hAnsi="Times New Roman"/>
          <w:color w:val="000000"/>
          <w:sz w:val="21"/>
          <w:szCs w:val="21"/>
          <w:lang w:val="es-ES_tradnl"/>
        </w:rPr>
        <w:t>N° 4269-2020</w:t>
      </w:r>
    </w:p>
    <w:p>
      <w:pPr>
        <w:pStyle w:val="Ttulo7"/>
        <w:keepLines w:val="false"/>
        <w:numPr>
          <w:ilvl w:val="0"/>
          <w:numId w:val="0"/>
        </w:numPr>
        <w:shd w:val="clear" w:color="auto" w:fill="FFFFFF"/>
        <w:tabs>
          <w:tab w:val="clear" w:pos="708"/>
          <w:tab w:val="left" w:pos="0" w:leader="none"/>
        </w:tabs>
        <w:spacing w:before="0" w:after="0"/>
        <w:ind w:left="4248" w:hanging="0"/>
        <w:jc w:val="both"/>
        <w:rPr>
          <w:rFonts w:ascii="Times New Roman" w:hAnsi="Times New Roman" w:cs="Times New Roman"/>
          <w:sz w:val="21"/>
          <w:szCs w:val="21"/>
        </w:rPr>
      </w:pPr>
      <w:r>
        <w:rPr>
          <w:rFonts w:cs="Times New Roman" w:ascii="Times New Roman" w:hAnsi="Times New Roman"/>
          <w:color w:val="000000"/>
          <w:sz w:val="21"/>
          <w:szCs w:val="21"/>
        </w:rPr>
        <w:t>Al contestar refiérase a este # de oficio</w:t>
      </w:r>
    </w:p>
    <w:p>
      <w:pPr>
        <w:pStyle w:val="Normal"/>
        <w:jc w:val="both"/>
        <w:rPr>
          <w:b/>
          <w:b/>
          <w:bCs/>
          <w:i/>
          <w:i/>
          <w:iCs/>
          <w:sz w:val="21"/>
          <w:szCs w:val="21"/>
          <w:lang w:val="es-ES"/>
        </w:rPr>
      </w:pPr>
      <w:r>
        <w:rPr>
          <w:b/>
          <w:bCs/>
          <w:i/>
          <w:iCs/>
          <w:sz w:val="21"/>
          <w:szCs w:val="21"/>
          <w:lang w:val="es-ES"/>
        </w:rPr>
      </w:r>
    </w:p>
    <w:p>
      <w:pPr>
        <w:pStyle w:val="Normal"/>
        <w:jc w:val="both"/>
        <w:rPr>
          <w:b/>
          <w:b/>
          <w:bCs/>
          <w:i/>
          <w:i/>
          <w:iCs/>
          <w:sz w:val="21"/>
          <w:szCs w:val="21"/>
          <w:lang w:eastAsia="hi-IN"/>
        </w:rPr>
      </w:pPr>
      <w:r>
        <w:rPr>
          <w:b/>
          <w:bCs/>
          <w:i/>
          <w:iCs/>
          <w:sz w:val="21"/>
          <w:szCs w:val="21"/>
          <w:lang w:eastAsia="hi-IN"/>
        </w:rPr>
      </w:r>
    </w:p>
    <w:p>
      <w:pPr>
        <w:pStyle w:val="Normal"/>
        <w:jc w:val="both"/>
        <w:rPr>
          <w:b/>
          <w:b/>
          <w:bCs/>
          <w:i/>
          <w:i/>
          <w:iCs/>
          <w:sz w:val="21"/>
          <w:szCs w:val="21"/>
          <w:lang w:eastAsia="hi-IN"/>
        </w:rPr>
      </w:pPr>
      <w:r>
        <w:rPr>
          <w:b/>
          <w:bCs/>
          <w:i/>
          <w:iCs/>
          <w:sz w:val="21"/>
          <w:szCs w:val="21"/>
          <w:lang w:eastAsia="hi-IN"/>
        </w:rPr>
        <w:t>Señora Magistrada</w:t>
      </w:r>
    </w:p>
    <w:p>
      <w:pPr>
        <w:pStyle w:val="Normal"/>
        <w:jc w:val="both"/>
        <w:rPr>
          <w:b/>
          <w:b/>
          <w:bCs/>
          <w:i/>
          <w:i/>
          <w:iCs/>
          <w:sz w:val="22"/>
          <w:szCs w:val="22"/>
          <w:lang w:val="es-ES" w:eastAsia="ar-SA"/>
        </w:rPr>
      </w:pPr>
      <w:r>
        <w:rPr>
          <w:b/>
          <w:bCs/>
          <w:i/>
          <w:iCs/>
          <w:sz w:val="22"/>
          <w:szCs w:val="22"/>
          <w:lang w:val="es-ES"/>
        </w:rPr>
        <w:t xml:space="preserve">Dra. Damaris Vargas Vásquez, Coordinadora </w:t>
      </w:r>
    </w:p>
    <w:p>
      <w:pPr>
        <w:pStyle w:val="Normal"/>
        <w:jc w:val="both"/>
        <w:rPr>
          <w:b/>
          <w:b/>
          <w:bCs/>
          <w:i/>
          <w:i/>
          <w:iCs/>
          <w:sz w:val="21"/>
          <w:szCs w:val="21"/>
          <w:lang w:eastAsia="hi-IN"/>
        </w:rPr>
      </w:pPr>
      <w:r>
        <w:rPr>
          <w:b/>
          <w:bCs/>
          <w:i/>
          <w:iCs/>
          <w:sz w:val="22"/>
          <w:szCs w:val="22"/>
          <w:lang w:val="es-ES"/>
        </w:rPr>
        <w:t>Subcomisión Acceso a la Justicia de Pueblos Indígenas</w:t>
      </w:r>
      <w:r>
        <w:rPr>
          <w:b/>
          <w:bCs/>
          <w:i/>
          <w:iCs/>
          <w:sz w:val="21"/>
          <w:szCs w:val="21"/>
          <w:lang w:eastAsia="hi-IN"/>
        </w:rPr>
        <w:t xml:space="preserve">           </w:t>
      </w:r>
    </w:p>
    <w:p>
      <w:pPr>
        <w:pStyle w:val="Normal"/>
        <w:jc w:val="both"/>
        <w:rPr>
          <w:b/>
          <w:b/>
          <w:bCs/>
          <w:i/>
          <w:i/>
          <w:iCs/>
          <w:sz w:val="21"/>
          <w:szCs w:val="21"/>
          <w:lang w:eastAsia="hi-IN"/>
        </w:rPr>
      </w:pPr>
      <w:r>
        <w:rPr>
          <w:b/>
          <w:bCs/>
          <w:i/>
          <w:iCs/>
          <w:sz w:val="21"/>
          <w:szCs w:val="21"/>
          <w:lang w:eastAsia="hi-IN"/>
        </w:rPr>
      </w:r>
    </w:p>
    <w:p>
      <w:pPr>
        <w:pStyle w:val="Normal"/>
        <w:jc w:val="both"/>
        <w:rPr>
          <w:b/>
          <w:b/>
          <w:bCs/>
          <w:i/>
          <w:i/>
          <w:iCs/>
          <w:sz w:val="21"/>
          <w:szCs w:val="21"/>
          <w:lang w:eastAsia="hi-IN"/>
        </w:rPr>
      </w:pPr>
      <w:r>
        <w:rPr>
          <w:b/>
          <w:bCs/>
          <w:i/>
          <w:iCs/>
          <w:sz w:val="21"/>
          <w:szCs w:val="21"/>
          <w:lang w:eastAsia="hi-IN"/>
        </w:rPr>
        <w:t>Estimada señora:</w:t>
      </w:r>
    </w:p>
    <w:p>
      <w:pPr>
        <w:pStyle w:val="Normal"/>
        <w:jc w:val="both"/>
        <w:rPr>
          <w:b/>
          <w:b/>
          <w:bCs/>
          <w:i/>
          <w:i/>
          <w:iCs/>
          <w:sz w:val="21"/>
          <w:szCs w:val="21"/>
          <w:lang w:eastAsia="hi-IN"/>
        </w:rPr>
      </w:pPr>
      <w:r>
        <w:rPr>
          <w:b/>
          <w:bCs/>
          <w:i/>
          <w:iCs/>
          <w:sz w:val="21"/>
          <w:szCs w:val="21"/>
          <w:lang w:eastAsia="hi-IN"/>
        </w:rPr>
      </w:r>
    </w:p>
    <w:p>
      <w:pPr>
        <w:pStyle w:val="Normal"/>
        <w:jc w:val="both"/>
        <w:rPr>
          <w:b/>
          <w:b/>
          <w:bCs/>
          <w:i/>
          <w:i/>
          <w:iCs/>
          <w:sz w:val="21"/>
          <w:szCs w:val="21"/>
          <w:lang w:eastAsia="ar-SA"/>
        </w:rPr>
      </w:pPr>
      <w:r>
        <w:rPr>
          <w:b/>
          <w:bCs/>
          <w:i/>
          <w:iCs/>
          <w:sz w:val="21"/>
          <w:szCs w:val="21"/>
          <w:lang w:eastAsia="ar-SA"/>
        </w:rPr>
      </w:r>
    </w:p>
    <w:p>
      <w:pPr>
        <w:pStyle w:val="Normal"/>
        <w:ind w:firstLine="708"/>
        <w:jc w:val="both"/>
        <w:rPr>
          <w:i/>
          <w:i/>
          <w:iCs/>
          <w:sz w:val="21"/>
          <w:szCs w:val="21"/>
          <w:lang w:val="es-ES"/>
        </w:rPr>
      </w:pPr>
      <w:r>
        <w:rPr>
          <w:i/>
          <w:iCs/>
          <w:sz w:val="21"/>
          <w:szCs w:val="21"/>
          <w:lang w:val="es-ES"/>
        </w:rPr>
        <w:t xml:space="preserve">Muy respetuosamente, le transcribo el acuerdo tomado por la Corte Plena, en sesión </w:t>
      </w:r>
      <w:r>
        <w:rPr>
          <w:b/>
          <w:bCs/>
          <w:i/>
          <w:iCs/>
          <w:sz w:val="21"/>
          <w:szCs w:val="21"/>
          <w:lang w:val="es-ES"/>
        </w:rPr>
        <w:t xml:space="preserve">N° 21-2020 </w:t>
      </w:r>
      <w:r>
        <w:rPr>
          <w:i/>
          <w:iCs/>
          <w:sz w:val="21"/>
          <w:szCs w:val="21"/>
          <w:lang w:val="es-ES"/>
        </w:rPr>
        <w:t xml:space="preserve">celebrada el </w:t>
      </w:r>
      <w:r>
        <w:rPr>
          <w:b/>
          <w:bCs/>
          <w:i/>
          <w:iCs/>
          <w:sz w:val="21"/>
          <w:szCs w:val="21"/>
          <w:lang w:val="es-ES"/>
        </w:rPr>
        <w:t>20 de abril del 2020,</w:t>
      </w:r>
      <w:r>
        <w:rPr>
          <w:i/>
          <w:iCs/>
          <w:sz w:val="21"/>
          <w:szCs w:val="21"/>
          <w:lang w:val="es-ES"/>
        </w:rPr>
        <w:t xml:space="preserve"> que literalmente dice:</w:t>
      </w:r>
    </w:p>
    <w:p>
      <w:pPr>
        <w:pStyle w:val="Normal"/>
        <w:ind w:firstLine="15"/>
        <w:jc w:val="both"/>
        <w:rPr>
          <w:i/>
          <w:i/>
          <w:iCs/>
          <w:sz w:val="21"/>
          <w:szCs w:val="21"/>
          <w:lang w:val="es-ES"/>
        </w:rPr>
      </w:pPr>
      <w:r>
        <w:rPr>
          <w:i/>
          <w:iCs/>
          <w:sz w:val="21"/>
          <w:szCs w:val="21"/>
          <w:lang w:val="es-ES"/>
        </w:rPr>
      </w:r>
    </w:p>
    <w:p>
      <w:pPr>
        <w:pStyle w:val="Ttulo2"/>
        <w:spacing w:before="0" w:after="0"/>
        <w:jc w:val="center"/>
        <w:rPr>
          <w:rFonts w:ascii="Times New Roman" w:hAnsi="Times New Roman" w:eastAsia="Times New Roman" w:cs="Times New Roman"/>
          <w:i/>
          <w:i/>
          <w:iCs/>
          <w:sz w:val="21"/>
          <w:szCs w:val="21"/>
          <w:u w:val="single"/>
          <w:lang w:val="es-ES"/>
        </w:rPr>
      </w:pPr>
      <w:r>
        <w:rPr>
          <w:rFonts w:eastAsia="Times New Roman" w:cs="Times New Roman" w:ascii="Times New Roman" w:hAnsi="Times New Roman"/>
          <w:b w:val="false"/>
          <w:bCs w:val="false"/>
          <w:i/>
          <w:iCs/>
          <w:sz w:val="21"/>
          <w:szCs w:val="21"/>
          <w:lang w:val="es-ES"/>
        </w:rPr>
        <w:t>“</w:t>
      </w:r>
      <w:r>
        <w:rPr>
          <w:rFonts w:eastAsia="Times New Roman" w:cs="Times New Roman" w:ascii="Times New Roman" w:hAnsi="Times New Roman"/>
          <w:b w:val="false"/>
          <w:bCs w:val="false"/>
          <w:i/>
          <w:iCs/>
          <w:sz w:val="21"/>
          <w:szCs w:val="21"/>
          <w:u w:val="single"/>
          <w:lang w:val="es-ES"/>
        </w:rPr>
        <w:t>ARTÍCULO XVIII</w:t>
      </w:r>
    </w:p>
    <w:p>
      <w:pPr>
        <w:pStyle w:val="Normal"/>
        <w:rPr>
          <w:rFonts w:eastAsia="Calibri" w:eastAsiaTheme="minorHAnsi"/>
          <w:i/>
          <w:i/>
          <w:iCs/>
          <w:sz w:val="21"/>
          <w:szCs w:val="21"/>
          <w:lang w:val="es-ES"/>
        </w:rPr>
      </w:pPr>
      <w:r>
        <w:rPr>
          <w:rFonts w:eastAsia="Calibri" w:eastAsiaTheme="minorHAnsi"/>
          <w:i/>
          <w:iCs/>
          <w:sz w:val="21"/>
          <w:szCs w:val="21"/>
          <w:lang w:val="es-ES"/>
        </w:rPr>
      </w:r>
    </w:p>
    <w:p>
      <w:pPr>
        <w:pStyle w:val="Normal"/>
        <w:jc w:val="both"/>
        <w:rPr>
          <w:b/>
          <w:b/>
          <w:bCs/>
          <w:i/>
          <w:i/>
          <w:iCs/>
          <w:sz w:val="21"/>
          <w:szCs w:val="21"/>
          <w:lang w:val="es-ES"/>
        </w:rPr>
      </w:pPr>
      <w:r>
        <w:rPr>
          <w:b/>
          <w:bCs/>
          <w:i/>
          <w:iCs/>
          <w:sz w:val="21"/>
          <w:szCs w:val="21"/>
          <w:lang w:val="es-ES"/>
        </w:rPr>
        <w:t>Documento N° 4225, 4587-2020</w:t>
      </w:r>
    </w:p>
    <w:p>
      <w:pPr>
        <w:pStyle w:val="Normal"/>
        <w:jc w:val="both"/>
        <w:rPr>
          <w:b/>
          <w:b/>
          <w:bCs/>
          <w:i/>
          <w:i/>
          <w:iCs/>
          <w:sz w:val="21"/>
          <w:szCs w:val="21"/>
          <w:lang w:val="es-ES"/>
        </w:rPr>
      </w:pPr>
      <w:r>
        <w:rPr>
          <w:b/>
          <w:bCs/>
          <w:i/>
          <w:iCs/>
          <w:sz w:val="21"/>
          <w:szCs w:val="21"/>
          <w:lang w:val="es-ES"/>
        </w:rPr>
      </w:r>
    </w:p>
    <w:p>
      <w:pPr>
        <w:pStyle w:val="Normal"/>
        <w:ind w:firstLine="709"/>
        <w:jc w:val="both"/>
        <w:rPr>
          <w:i/>
          <w:i/>
          <w:iCs/>
          <w:sz w:val="21"/>
          <w:szCs w:val="21"/>
          <w:lang w:val="es-ES"/>
        </w:rPr>
      </w:pPr>
      <w:r>
        <w:rPr>
          <w:i/>
          <w:iCs/>
          <w:sz w:val="21"/>
          <w:szCs w:val="21"/>
          <w:lang w:val="es-ES"/>
        </w:rPr>
        <w:t>La magistrada Vargas en su condición de Coordinadora de la Subcomisión Acceso a la Justicia de Pueblos Indígenas, en oficio DVV-SI-0050-2020 de 3 de abril en curso, manifestó:</w:t>
      </w:r>
    </w:p>
    <w:p>
      <w:pPr>
        <w:pStyle w:val="Normal"/>
        <w:ind w:firstLine="709"/>
        <w:jc w:val="both"/>
        <w:rPr>
          <w:i/>
          <w:i/>
          <w:iCs/>
          <w:sz w:val="21"/>
          <w:szCs w:val="21"/>
          <w:lang w:val="es-ES"/>
        </w:rPr>
      </w:pPr>
      <w:r>
        <w:rPr>
          <w:i/>
          <w:iCs/>
          <w:sz w:val="21"/>
          <w:szCs w:val="21"/>
          <w:lang w:val="es-ES"/>
        </w:rPr>
      </w:r>
    </w:p>
    <w:p>
      <w:pPr>
        <w:pStyle w:val="Normal"/>
        <w:ind w:left="850" w:right="850" w:firstLine="566"/>
        <w:jc w:val="both"/>
        <w:rPr>
          <w:i/>
          <w:i/>
          <w:iCs/>
          <w:sz w:val="21"/>
          <w:szCs w:val="21"/>
          <w:lang w:val="es-ES"/>
        </w:rPr>
      </w:pPr>
      <w:r>
        <w:rPr>
          <w:i/>
          <w:iCs/>
          <w:sz w:val="21"/>
          <w:szCs w:val="21"/>
          <w:lang w:val="es-ES"/>
        </w:rPr>
        <w:t>“</w:t>
      </w:r>
      <w:r>
        <w:rPr>
          <w:i/>
          <w:iCs/>
          <w:sz w:val="21"/>
          <w:szCs w:val="21"/>
          <w:lang w:val="es-ES"/>
        </w:rPr>
        <w:t>Tengo el honor de dirigirme a ustedes en mi condición de Coordinadora de la Subcomisión de Acceso a la Justicia de Pueblos Indígenas para solicitarles que tanto Corte Plena como el Consejo Superior, en las directrices que emitan en relación con la realización de audiencias judiciales en territorios indígenas, consideren los lineamientos establecidos en el “Plan de Trabajo: Abordaje de la emergencia del virus COVID-19 en territorios indígenas” diseñado por el Viceministerio de la Presidencia en Asuntos Políticos y Diálogo Ciudadano y el Ministerio de Salud.</w:t>
      </w:r>
    </w:p>
    <w:p>
      <w:pPr>
        <w:pStyle w:val="Normal"/>
        <w:ind w:left="850" w:right="850" w:hanging="0"/>
        <w:jc w:val="both"/>
        <w:rPr>
          <w:i/>
          <w:i/>
          <w:iCs/>
          <w:sz w:val="21"/>
          <w:szCs w:val="21"/>
          <w:lang w:val="es-ES"/>
        </w:rPr>
      </w:pPr>
      <w:r>
        <w:rPr>
          <w:i/>
          <w:iCs/>
          <w:sz w:val="21"/>
          <w:szCs w:val="21"/>
          <w:lang w:val="es-ES"/>
        </w:rPr>
      </w:r>
    </w:p>
    <w:p>
      <w:pPr>
        <w:pStyle w:val="Normal"/>
        <w:ind w:left="850" w:right="850" w:firstLine="566"/>
        <w:jc w:val="both"/>
        <w:rPr>
          <w:i/>
          <w:i/>
          <w:iCs/>
          <w:sz w:val="21"/>
          <w:szCs w:val="21"/>
          <w:lang w:val="es-ES"/>
        </w:rPr>
      </w:pPr>
      <w:r>
        <w:rPr>
          <w:i/>
          <w:iCs/>
          <w:sz w:val="21"/>
          <w:szCs w:val="21"/>
          <w:lang w:val="es-ES"/>
        </w:rPr>
        <w:t xml:space="preserve">La realización de audiencias en territorios indígenas por parte de las personas servidoras judiciales deben ser coordinadas previamente con los Comités de Salud Comunitarios, activos en cada uno de los 24 territorios indígenas, cuyos contactos constan en el “Plan de Trabajo: Abordaje de la emergencia del virus COVID-19 en territorios indígenas”. </w:t>
      </w:r>
    </w:p>
    <w:p>
      <w:pPr>
        <w:pStyle w:val="Normal"/>
        <w:ind w:left="850" w:right="850" w:hanging="0"/>
        <w:jc w:val="both"/>
        <w:rPr>
          <w:i/>
          <w:i/>
          <w:iCs/>
          <w:sz w:val="21"/>
          <w:szCs w:val="21"/>
          <w:lang w:val="es-ES"/>
        </w:rPr>
      </w:pPr>
      <w:r>
        <w:rPr>
          <w:i/>
          <w:iCs/>
          <w:sz w:val="21"/>
          <w:szCs w:val="21"/>
          <w:lang w:val="es-ES"/>
        </w:rPr>
      </w:r>
    </w:p>
    <w:p>
      <w:pPr>
        <w:pStyle w:val="Normal"/>
        <w:ind w:left="850" w:right="850" w:firstLine="566"/>
        <w:jc w:val="both"/>
        <w:rPr>
          <w:i/>
          <w:i/>
          <w:iCs/>
          <w:sz w:val="21"/>
          <w:szCs w:val="21"/>
          <w:lang w:val="es-ES"/>
        </w:rPr>
      </w:pPr>
      <w:r>
        <w:rPr>
          <w:i/>
          <w:iCs/>
          <w:sz w:val="21"/>
          <w:szCs w:val="21"/>
          <w:lang w:val="es-ES"/>
        </w:rPr>
        <w:t>Para tal efecto, solicito se socialice lo antes posible el Plan en referencia con todas las personas servidoras judiciales.</w:t>
      </w:r>
    </w:p>
    <w:p>
      <w:pPr>
        <w:pStyle w:val="Normal"/>
        <w:ind w:left="850" w:right="850" w:hanging="0"/>
        <w:jc w:val="both"/>
        <w:rPr>
          <w:i/>
          <w:i/>
          <w:iCs/>
          <w:sz w:val="21"/>
          <w:szCs w:val="21"/>
          <w:lang w:val="es-ES"/>
        </w:rPr>
      </w:pPr>
      <w:r>
        <w:rPr>
          <w:i/>
          <w:iCs/>
          <w:sz w:val="21"/>
          <w:szCs w:val="21"/>
          <w:lang w:val="es-ES"/>
        </w:rPr>
      </w:r>
    </w:p>
    <w:p>
      <w:pPr>
        <w:pStyle w:val="Normal"/>
        <w:ind w:left="850" w:right="850" w:firstLine="566"/>
        <w:jc w:val="both"/>
        <w:rPr>
          <w:i/>
          <w:i/>
          <w:iCs/>
          <w:sz w:val="21"/>
          <w:szCs w:val="21"/>
          <w:lang w:val="es-ES"/>
        </w:rPr>
      </w:pPr>
      <w:r>
        <w:rPr>
          <w:i/>
          <w:iCs/>
          <w:sz w:val="21"/>
          <w:szCs w:val="21"/>
          <w:lang w:val="es-ES"/>
        </w:rPr>
        <w:t>Estoy a su disposición de requerir información adicional.”</w:t>
      </w:r>
    </w:p>
    <w:p>
      <w:pPr>
        <w:pStyle w:val="Normal"/>
        <w:ind w:firstLine="709"/>
        <w:jc w:val="both"/>
        <w:rPr>
          <w:b/>
          <w:b/>
          <w:bCs/>
          <w:i/>
          <w:i/>
          <w:iCs/>
          <w:sz w:val="21"/>
          <w:szCs w:val="21"/>
          <w:lang w:val="es-ES"/>
        </w:rPr>
      </w:pPr>
      <w:r>
        <w:rPr>
          <w:b/>
          <w:bCs/>
          <w:i/>
          <w:iCs/>
          <w:sz w:val="21"/>
          <w:szCs w:val="21"/>
          <w:lang w:val="es-ES"/>
        </w:rPr>
      </w:r>
    </w:p>
    <w:p>
      <w:pPr>
        <w:pStyle w:val="Normal"/>
        <w:jc w:val="center"/>
        <w:rPr>
          <w:i/>
          <w:i/>
          <w:iCs/>
          <w:sz w:val="21"/>
          <w:szCs w:val="21"/>
          <w:lang w:val="es-ES"/>
        </w:rPr>
      </w:pPr>
      <w:r>
        <w:rPr>
          <w:i/>
          <w:iCs/>
          <w:sz w:val="21"/>
          <w:szCs w:val="21"/>
          <w:lang w:val="es-ES"/>
        </w:rPr>
        <w:t>- 0 –</w:t>
      </w:r>
    </w:p>
    <w:p>
      <w:pPr>
        <w:pStyle w:val="Normal"/>
        <w:jc w:val="center"/>
        <w:rPr>
          <w:i/>
          <w:i/>
          <w:iCs/>
          <w:sz w:val="21"/>
          <w:szCs w:val="21"/>
          <w:lang w:val="es-ES"/>
        </w:rPr>
      </w:pPr>
      <w:r>
        <w:rPr>
          <w:i/>
          <w:iCs/>
          <w:sz w:val="21"/>
          <w:szCs w:val="21"/>
          <w:lang w:val="es-ES"/>
        </w:rPr>
      </w:r>
    </w:p>
    <w:p>
      <w:pPr>
        <w:pStyle w:val="Normal"/>
        <w:ind w:firstLine="708"/>
        <w:jc w:val="both"/>
        <w:rPr>
          <w:i/>
          <w:i/>
          <w:iCs/>
          <w:sz w:val="21"/>
          <w:szCs w:val="21"/>
          <w:lang w:val="es-ES"/>
        </w:rPr>
      </w:pPr>
      <w:r>
        <w:rPr>
          <w:i/>
          <w:iCs/>
          <w:sz w:val="21"/>
          <w:szCs w:val="21"/>
          <w:lang w:val="es-ES"/>
        </w:rPr>
        <w:t xml:space="preserve">Por su parte el licenciado Roger Mata Brenes, Director del Despacho de la Presidencia, mediante oficio Nº DP-193-2020, de 16 de abril de 2020, comunicó lo siguiente: </w:t>
      </w:r>
    </w:p>
    <w:p>
      <w:pPr>
        <w:pStyle w:val="Normal"/>
        <w:jc w:val="right"/>
        <w:rPr>
          <w:i/>
          <w:i/>
          <w:iCs/>
          <w:sz w:val="21"/>
          <w:szCs w:val="21"/>
          <w:lang w:val="es-ES"/>
        </w:rPr>
      </w:pPr>
      <w:r>
        <w:rPr>
          <w:i/>
          <w:iCs/>
          <w:sz w:val="21"/>
          <w:szCs w:val="21"/>
          <w:lang w:val="es-ES"/>
        </w:rPr>
      </w:r>
    </w:p>
    <w:p>
      <w:pPr>
        <w:pStyle w:val="Normal"/>
        <w:ind w:left="851" w:right="851" w:firstLine="565"/>
        <w:jc w:val="both"/>
        <w:rPr>
          <w:i/>
          <w:i/>
          <w:iCs/>
          <w:sz w:val="21"/>
          <w:szCs w:val="21"/>
          <w:lang w:val="es-ES"/>
        </w:rPr>
      </w:pPr>
      <w:r>
        <w:rPr>
          <w:i/>
          <w:iCs/>
          <w:sz w:val="21"/>
          <w:szCs w:val="21"/>
          <w:lang w:val="es-ES"/>
        </w:rPr>
        <w:t>“</w:t>
      </w:r>
      <w:r>
        <w:rPr>
          <w:i/>
          <w:iCs/>
          <w:sz w:val="21"/>
          <w:szCs w:val="21"/>
          <w:lang w:val="es-ES"/>
        </w:rPr>
        <w:t xml:space="preserve">Me dirijo a ustedes en seguimiento a las acciones en el marco de la circular No. 72-2020, aprobada mediante acuerdo de Corte Plena, en Sesión N° 20-2020 del 15 de abril de 2020, en relación con la declaratoria de emergencia nacional, debido a la situación de emergencia sanitaria provocada por la enfermedad COVID-19. </w:t>
      </w:r>
    </w:p>
    <w:p>
      <w:pPr>
        <w:pStyle w:val="Normal"/>
        <w:ind w:left="851" w:right="851" w:hanging="0"/>
        <w:jc w:val="both"/>
        <w:rPr>
          <w:i/>
          <w:i/>
          <w:iCs/>
          <w:sz w:val="21"/>
          <w:szCs w:val="21"/>
          <w:lang w:val="es-ES"/>
        </w:rPr>
      </w:pPr>
      <w:r>
        <w:rPr>
          <w:i/>
          <w:iCs/>
          <w:sz w:val="21"/>
          <w:szCs w:val="21"/>
          <w:lang w:val="es-ES"/>
        </w:rPr>
      </w:r>
    </w:p>
    <w:p>
      <w:pPr>
        <w:pStyle w:val="Normal"/>
        <w:ind w:left="851" w:right="851" w:firstLine="283"/>
        <w:jc w:val="both"/>
        <w:rPr>
          <w:i/>
          <w:i/>
          <w:iCs/>
          <w:sz w:val="21"/>
          <w:szCs w:val="21"/>
          <w:lang w:val="es-ES"/>
        </w:rPr>
      </w:pPr>
      <w:r>
        <w:rPr>
          <w:i/>
          <w:iCs/>
          <w:sz w:val="21"/>
          <w:szCs w:val="21"/>
          <w:lang w:val="es-ES"/>
        </w:rPr>
        <w:t>Se hace de su estimable conocimiento y fines consiguientes, el oficio DVV-SI-0050-2020, suscrito por la señora Magistrada Damaris Vargas Vásquez en su calidad de Coordinadora de la Subcomisión de Acceso a la Justicia de Pueblos Indígenas, donde solicita expresamente lo siguiente:</w:t>
      </w:r>
    </w:p>
    <w:p>
      <w:pPr>
        <w:pStyle w:val="Normal"/>
        <w:jc w:val="both"/>
        <w:rPr>
          <w:i/>
          <w:i/>
          <w:iCs/>
          <w:sz w:val="21"/>
          <w:szCs w:val="21"/>
          <w:lang w:val="es-ES"/>
        </w:rPr>
      </w:pPr>
      <w:r>
        <w:rPr>
          <w:i/>
          <w:iCs/>
          <w:sz w:val="21"/>
          <w:szCs w:val="21"/>
          <w:lang w:val="es-ES"/>
        </w:rPr>
      </w:r>
    </w:p>
    <w:p>
      <w:pPr>
        <w:pStyle w:val="Normal"/>
        <w:ind w:left="1134" w:right="1134" w:hanging="0"/>
        <w:jc w:val="both"/>
        <w:rPr>
          <w:i/>
          <w:i/>
          <w:iCs/>
          <w:sz w:val="21"/>
          <w:szCs w:val="21"/>
          <w:lang w:val="es-ES"/>
        </w:rPr>
      </w:pPr>
      <w:r>
        <w:rPr>
          <w:i/>
          <w:iCs/>
          <w:sz w:val="21"/>
          <w:szCs w:val="21"/>
          <w:lang w:val="es-ES"/>
        </w:rPr>
        <w:t>[..] “</w:t>
      </w:r>
      <w:r>
        <w:rPr>
          <w:b/>
          <w:bCs/>
          <w:i/>
          <w:iCs/>
          <w:sz w:val="21"/>
          <w:szCs w:val="21"/>
          <w:lang w:val="es-ES"/>
        </w:rPr>
        <w:t>solicitarles que tanto Corte Plena como el Consejo Superior, en las directrices que emitan en relación con la realización de audiencias judiciales en territorios indígenas, consideren los lineamientos establecidos en el “Plan de Trabajo: Abordaje de la emergencia del virus COVID-19 en territorios indígenas”</w:t>
      </w:r>
      <w:r>
        <w:rPr>
          <w:i/>
          <w:iCs/>
          <w:sz w:val="21"/>
          <w:szCs w:val="21"/>
          <w:lang w:val="es-ES"/>
        </w:rPr>
        <w:t xml:space="preserve"> diseñado por el Viceministerio de la Presidencia en Asuntos Políticos y Diálogo Ciudadano y el Ministerio de Salud.</w:t>
      </w:r>
    </w:p>
    <w:p>
      <w:pPr>
        <w:pStyle w:val="Normal"/>
        <w:ind w:left="1134" w:right="1134" w:hanging="0"/>
        <w:jc w:val="both"/>
        <w:rPr>
          <w:i/>
          <w:i/>
          <w:iCs/>
          <w:sz w:val="21"/>
          <w:szCs w:val="21"/>
          <w:lang w:val="es-ES"/>
        </w:rPr>
      </w:pPr>
      <w:r>
        <w:rPr>
          <w:i/>
          <w:iCs/>
          <w:sz w:val="21"/>
          <w:szCs w:val="21"/>
          <w:lang w:val="es-ES"/>
        </w:rPr>
      </w:r>
    </w:p>
    <w:p>
      <w:pPr>
        <w:pStyle w:val="Normal"/>
        <w:ind w:left="1134" w:right="1134" w:hanging="0"/>
        <w:jc w:val="both"/>
        <w:rPr>
          <w:i/>
          <w:i/>
          <w:iCs/>
          <w:sz w:val="21"/>
          <w:szCs w:val="21"/>
          <w:lang w:val="es-ES"/>
        </w:rPr>
      </w:pPr>
      <w:r>
        <w:rPr>
          <w:i/>
          <w:iCs/>
          <w:sz w:val="21"/>
          <w:szCs w:val="21"/>
          <w:lang w:val="es-ES"/>
        </w:rPr>
        <w:t xml:space="preserve">La realización de audiencias en territorios indígenas por parte de las personas servidoras judiciales deben ser coordinadas previamente con los Comités de Salud Comunitarios, activos en cada uno de los 24 territorios indígenas, cuyos contactos constan en el “Plan de Trabajo: Abordaje de la emergencia del virus COVID-19 en territorios indígenas”. </w:t>
      </w:r>
    </w:p>
    <w:p>
      <w:pPr>
        <w:pStyle w:val="Normal"/>
        <w:ind w:left="1134" w:right="1134" w:hanging="0"/>
        <w:jc w:val="both"/>
        <w:rPr>
          <w:i/>
          <w:i/>
          <w:iCs/>
          <w:sz w:val="21"/>
          <w:szCs w:val="21"/>
          <w:lang w:val="es-ES"/>
        </w:rPr>
      </w:pPr>
      <w:r>
        <w:rPr>
          <w:i/>
          <w:iCs/>
          <w:sz w:val="21"/>
          <w:szCs w:val="21"/>
          <w:lang w:val="es-ES"/>
        </w:rPr>
      </w:r>
    </w:p>
    <w:p>
      <w:pPr>
        <w:pStyle w:val="Normal"/>
        <w:ind w:left="1134" w:right="1134" w:hanging="0"/>
        <w:jc w:val="both"/>
        <w:rPr>
          <w:i/>
          <w:i/>
          <w:iCs/>
          <w:sz w:val="21"/>
          <w:szCs w:val="21"/>
          <w:lang w:val="es-ES"/>
        </w:rPr>
      </w:pPr>
      <w:r>
        <w:rPr>
          <w:i/>
          <w:iCs/>
          <w:sz w:val="21"/>
          <w:szCs w:val="21"/>
          <w:lang w:val="es-ES"/>
        </w:rPr>
        <w:t xml:space="preserve">Para tal efecto, solicito se socialice lo antes posible el Plan en referencia con todas las personas servidoras judiciales.” </w:t>
      </w:r>
      <w:r>
        <w:rPr>
          <w:b/>
          <w:bCs/>
          <w:i/>
          <w:iCs/>
          <w:sz w:val="21"/>
          <w:szCs w:val="21"/>
          <w:lang w:val="es-ES"/>
        </w:rPr>
        <w:t>(Resaltado no es del original)</w:t>
      </w:r>
    </w:p>
    <w:p>
      <w:pPr>
        <w:pStyle w:val="Normal"/>
        <w:ind w:right="1134" w:hanging="0"/>
        <w:jc w:val="both"/>
        <w:rPr>
          <w:i/>
          <w:i/>
          <w:iCs/>
          <w:sz w:val="21"/>
          <w:szCs w:val="21"/>
          <w:lang w:val="es-ES"/>
        </w:rPr>
      </w:pPr>
      <w:r>
        <w:rPr>
          <w:i/>
          <w:iCs/>
          <w:sz w:val="21"/>
          <w:szCs w:val="21"/>
          <w:lang w:val="es-ES"/>
        </w:rPr>
      </w:r>
    </w:p>
    <w:p>
      <w:pPr>
        <w:pStyle w:val="Normal"/>
        <w:ind w:left="851" w:right="851" w:firstLine="283"/>
        <w:jc w:val="both"/>
        <w:rPr>
          <w:i/>
          <w:i/>
          <w:iCs/>
          <w:sz w:val="21"/>
          <w:szCs w:val="21"/>
          <w:lang w:val="es-ES"/>
        </w:rPr>
      </w:pPr>
      <w:r>
        <w:rPr>
          <w:i/>
          <w:iCs/>
          <w:sz w:val="21"/>
          <w:szCs w:val="21"/>
          <w:lang w:val="es-ES"/>
        </w:rPr>
        <w:t>Se anexan documentos relacionados con la solicitud de la Magistrada Vargas Vásquez.”</w:t>
      </w:r>
    </w:p>
    <w:p>
      <w:pPr>
        <w:pStyle w:val="Normal"/>
        <w:rPr>
          <w:b/>
          <w:b/>
          <w:bCs/>
          <w:i/>
          <w:i/>
          <w:iCs/>
          <w:sz w:val="21"/>
          <w:szCs w:val="21"/>
          <w:lang w:val="es-ES"/>
        </w:rPr>
      </w:pPr>
      <w:r>
        <w:rPr>
          <w:b/>
          <w:bCs/>
          <w:i/>
          <w:iCs/>
          <w:sz w:val="21"/>
          <w:szCs w:val="21"/>
          <w:lang w:val="es-ES"/>
        </w:rPr>
      </w:r>
    </w:p>
    <w:p>
      <w:pPr>
        <w:pStyle w:val="Normal"/>
        <w:jc w:val="center"/>
        <w:rPr>
          <w:i/>
          <w:i/>
          <w:iCs/>
          <w:sz w:val="21"/>
          <w:szCs w:val="21"/>
          <w:lang w:val="es-ES"/>
        </w:rPr>
      </w:pPr>
      <w:r>
        <w:rPr/>
        <w:drawing>
          <wp:inline distT="0" distB="0" distL="0" distR="0">
            <wp:extent cx="596900" cy="381000"/>
            <wp:effectExtent l="0" t="0" r="0" b="0"/>
            <wp:docPr id="5"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8" descr=""/>
                    <pic:cNvPicPr>
                      <a:picLocks noChangeAspect="1" noChangeArrowheads="1"/>
                    </pic:cNvPicPr>
                  </pic:nvPicPr>
                  <pic:blipFill>
                    <a:blip r:embed="rId5"/>
                    <a:stretch>
                      <a:fillRect/>
                    </a:stretch>
                  </pic:blipFill>
                  <pic:spPr bwMode="auto">
                    <a:xfrm>
                      <a:off x="0" y="0"/>
                      <a:ext cx="596900" cy="381000"/>
                    </a:xfrm>
                    <a:prstGeom prst="rect">
                      <a:avLst/>
                    </a:prstGeom>
                  </pic:spPr>
                </pic:pic>
              </a:graphicData>
            </a:graphic>
          </wp:inline>
        </w:drawing>
      </w:r>
      <w:r>
        <w:rPr/>
        <w:drawing>
          <wp:inline distT="0" distB="0" distL="0" distR="0">
            <wp:extent cx="596900" cy="381000"/>
            <wp:effectExtent l="0" t="0" r="0" b="0"/>
            <wp:docPr id="6"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 descr=""/>
                    <pic:cNvPicPr>
                      <a:picLocks noChangeAspect="1" noChangeArrowheads="1"/>
                    </pic:cNvPicPr>
                  </pic:nvPicPr>
                  <pic:blipFill>
                    <a:blip r:embed="rId6"/>
                    <a:stretch>
                      <a:fillRect/>
                    </a:stretch>
                  </pic:blipFill>
                  <pic:spPr bwMode="auto">
                    <a:xfrm>
                      <a:off x="0" y="0"/>
                      <a:ext cx="596900" cy="381000"/>
                    </a:xfrm>
                    <a:prstGeom prst="rect">
                      <a:avLst/>
                    </a:prstGeom>
                  </pic:spPr>
                </pic:pic>
              </a:graphicData>
            </a:graphic>
          </wp:inline>
        </w:drawing>
      </w:r>
    </w:p>
    <w:p>
      <w:pPr>
        <w:pStyle w:val="Normal"/>
        <w:jc w:val="center"/>
        <w:rPr>
          <w:i/>
          <w:i/>
          <w:iCs/>
          <w:sz w:val="21"/>
          <w:szCs w:val="21"/>
          <w:lang w:val="es-ES"/>
        </w:rPr>
      </w:pPr>
      <w:r>
        <w:rPr>
          <w:i/>
          <w:iCs/>
          <w:sz w:val="21"/>
          <w:szCs w:val="21"/>
          <w:lang w:val="es-ES"/>
        </w:rPr>
      </w:r>
    </w:p>
    <w:p>
      <w:pPr>
        <w:pStyle w:val="ListParagraph"/>
        <w:numPr>
          <w:ilvl w:val="0"/>
          <w:numId w:val="34"/>
        </w:numPr>
        <w:spacing w:before="0" w:after="0"/>
        <w:jc w:val="center"/>
        <w:rPr>
          <w:i/>
          <w:i/>
          <w:iCs/>
          <w:sz w:val="21"/>
          <w:szCs w:val="21"/>
        </w:rPr>
      </w:pPr>
      <w:r>
        <w:rPr>
          <w:i/>
          <w:iCs/>
          <w:sz w:val="21"/>
          <w:szCs w:val="21"/>
        </w:rPr>
        <w:t>0 –</w:t>
      </w:r>
    </w:p>
    <w:p>
      <w:pPr>
        <w:pStyle w:val="ListParagraph"/>
        <w:rPr>
          <w:rFonts w:eastAsia="Calibri" w:eastAsiaTheme="minorHAnsi"/>
          <w:i/>
          <w:i/>
          <w:iCs/>
          <w:sz w:val="21"/>
          <w:szCs w:val="21"/>
        </w:rPr>
      </w:pPr>
      <w:r>
        <w:rPr>
          <w:rFonts w:eastAsia="Calibri" w:eastAsiaTheme="minorHAnsi"/>
          <w:i/>
          <w:iCs/>
          <w:sz w:val="21"/>
          <w:szCs w:val="21"/>
        </w:rPr>
      </w:r>
    </w:p>
    <w:p>
      <w:pPr>
        <w:pStyle w:val="Normal"/>
        <w:shd w:val="clear" w:color="auto" w:fill="FFFFFF"/>
        <w:ind w:firstLine="360"/>
        <w:jc w:val="both"/>
        <w:rPr>
          <w:i/>
          <w:i/>
          <w:iCs/>
          <w:sz w:val="21"/>
          <w:szCs w:val="21"/>
          <w:lang w:val="es-ES" w:eastAsia="es-ES"/>
        </w:rPr>
      </w:pPr>
      <w:r>
        <w:rPr>
          <w:i/>
          <w:iCs/>
          <w:color w:val="000000"/>
          <w:sz w:val="21"/>
          <w:szCs w:val="21"/>
          <w:lang w:val="es-ES" w:eastAsia="es-ES"/>
        </w:rPr>
        <w:t>Expresa el Presidente, magistrado Cruz: "Este asunto es sobre una petición de la magistrada Vargas y solicita que la Corte Plena como el Consejo Superior en directrices que emitan en relación a la realización de audiencias judiciales en territorios indígenas, consideren los lineamientos establecidos en el Plan de Trabajo abordaje a la emergencia del virus Covid-19 en territorios indígenas, diseñado por el Viceministerio de la Presidencia de asuntos políticos y diálogos ciudadanos y el Ministerio de Salud".</w:t>
      </w:r>
    </w:p>
    <w:p>
      <w:pPr>
        <w:pStyle w:val="Normal"/>
        <w:shd w:val="clear" w:color="auto" w:fill="FFFFFF"/>
        <w:ind w:firstLine="360"/>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Se concede el uso de la palabra a la magistrada Vargas, quien expone: “Esta gestión se está planteando porque el abordaje a la población indígena se está trabajando de manera interinstitucional. Inclusive el Poder Judicial se ha sumado a eso con ocasión del cumplimiento de la Ley de Acceso a la Justicia de Pueblos Indígenas de Costa Rica. Entonces, el Ministerio de Salud ha emitido algunas órdenes, en este caso vinculadas con la población indígena, en forma coordinada con el Ministerio de Justicia, el Ministerio de Diálogo Ciudadano, la Comisión Nacional de Asuntos Indígenas, la Caja Costarricense del Seguro Social, el Ministerio de Justicia y Paz, la Comisión Nacional de Emergencias y Acueductos y Alcantarillados.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El objetivo de esto es el lineamiento sobre el ingreso a los territorios indígenas, por eso es que se solicita se haga de conocimiento de las personas servidoras judiciales estos lineamientos del Ministerio de Salud en primer orden. En segundo lugar, es instarles a que en forma previa a ejecutar audiencias en territorios indígenas, en el eventual caso que tengan que realizarse, porque estamos haciendo por vía de excepción, que se coordine previamente con los Comités de Salud Comunitaria de cada uno de los 24 territorios indígenas del país.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En el documento que se adjunta a la propuesta, están incluidas las personas responsables y los sitios donde contactarles para poder hacer la articulación de acciones respectivas. A esto se le suma de más, la reciente resolución que emitió la Comisión Interamericana de Derechos Humanos que es la 01-2020 del 10 de abril pasado, denominado: Pandemia y Derechos Humanos en las Américas.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En este último documento, la Comisión Interamericana emite lineamientos de cuál tiene que ser el abordaje que se tome en las diferentes poblaciones en situación de vulnerabilidad. En el caso de la población indígena señala, entre otras cosas, que tiene que respectarse de forma irrestricta el no contacto con los pueblos y segmentos de pueblos indígenas en aislamiento voluntario, dado los graves impactos que el contagio del virus podría representar para su subsistencia y la sobrevivencia como pueblo. Además, extremar las medidas de protección, respetando siempre la pertinencia cultura y la cosmovisión de esa población.</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En el caso de Costa Rica, nosotros en los términos propiamente dichos, no tenemos población indígena en aislamiento voluntarios, pero sí tenemos algunos territorios indígenas que han emitido lineamientos restrictivos al acceso a la población para que no se generen contaminaciones, lo cual se está coordinando con el Ministerio de Salud.</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El objetivo de la propuesta es que, no solamente se haga esto de conocimiento de las personas servidoras judiciales, sino que, también se inste como le señalé para que se coordinen previamente a realizar cualquier eventual audiencia que haya que hacerse con los Comités de Salud de cada uno de los territorios, el ingreso a estas diferentes áreas".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Señala el Presidente, magistrado Cruz: "A mí en principio me parece una propuesta muy razonable y pertinente, porque es necesario e indispensable señalar esas particularidades y que sean tomadas en cuenta al hacerlo en la forma en la que usted lo propone.</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Yo le propondría a Corte que lo aprobemos, pero no sé si hay algún compañero que tiene alguna observación sobre el tema o compañera. ¿Están de acuerdo?"</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Indica la magistrada Rojas: "No me da la palabra, pero yo quería hacer una pregunta a la magistrada Vargas.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Entiendo la orden de la Corte es una gran preocupación en términos de que un contagio del Covid-19 para esta población, podría inclusive provocar su desaparición, sobre todo, tomando en cuenta las escasas posibilidades de equipos especializado como de cuidados intensivos en esa zona, no creo que haya suficientes si tenemos una situación de este tipo.</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Estimo que la primera norma de la disposición de la Corte es que estos son pueblos que hay que protegerlos de unos virus que no son propios de ellos, que los tenemos nosotros lo que ellos llaman: "blancos" y que podríamos hacerle mucho daño al punto casi que de aniquilación.</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Mi pregunta es, si de acuerdo con las reglas de la técnica, teniendo ya este mandato o esta instrucción de la Corte, es conveniente realizar juicios, si todos, cuáles, si no sería más conveniente precisamente para garantizar que el virus no se propague sobre todo porque vi en televisión, no todas, pero algunos de estos grupos inclusive tienen cerrado el acceso a sus territorios y que con respecto a ello se dice no se quede en casa, quédese en su territorio.</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Ellos han sido sensibilizados en términos que tienen que quedarse en su territorio, no salir que en este momento hay peligro, al menos eso dijo el Presidente Ejecutivo de la Caja Costarricense del Seguro Social. Entonces, yo diría que, para hacer un juicio en estas condiciones con presencia de ellos, habría que especificar muy bien cuál es la necesidad y por qué no esperar hasta el 30 de abril, que es cuando la Corte dio las medidas para por lo menos las cautelares para los procesos orales, ver qué pasa entonces, y tomar un acuerdo con respecto a que pueden continuar, pero solo aquellos aspectos que podrían no causarles daño, porque ahora la primera prioridad es proteger su vida y la existencia de la etnia.</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A mí me preocupa que por continuar algunos juicios que tal vez pueden esperar, es decir, en el balance de los bienes jurídicos yo prefiero la vida y la protección del grupo.</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No sé hasta dónde pueda ser una buena idea en este momento continuar con los juicios en esa zona sin un criterio técnico.</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Yo no lo tengo, no soy técnica, soy abogada, por el 16 de Ley General me rijo por las reglas de la técnica y salvo que algún médico o el Ministerio de Salud me dijera que no hay posibilidad, a mí me daría literalmente mucho temor de arriesgar estos grupos.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Esa es la pregunta, si hay algún criterio técnico, si hay alguna urgencia o si hay alguna propuesta para que esto se pueda hacer, ¿a partir de qué fecha? Esa es la inquietud, todo en aras de que lo hagamos de la mejor forma posible".</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Refiere la magistrada Vargas: "Ese planteamiento de la magistrada Rojas, es precisamente lo que da fundamento al planteamiento que se está haciendo en el documento que hago de su conocimiento, porque está basado no solamente en el convenio 169 de la OIT (Organización Internacional del Trabajo), sino también, en pronunciamientos que ha emitido Naciones Unidas sobre el tema Covid-19 en la población indígena.</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El planteamiento que hace el Ministerio de Salud para esta población se dio antes de que saliera esta resolución de la Comisión Interamericana de Derechos Humanos, que se emitió el 10 de abril del 2020. Es decir, días antes ya nosotros íbamos con lineamientos similares, que precisamente lo que está señalando el Ministerio de Salud son restricciones bastante fuertes para el acceso a los territorios indígenas, porque hay que proteger a esa población para su supervivencia.</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Si nosotros nos remontamos a la circular y al acuerdo que emitió Corte Plena el viernes antes de Semana Santa y que hace poco lo extendimos hasta el 30 de abril del 2020, eso lo ejecutó el Consejo Superior ya más específicamente con las diferentes comisiones jurisdiccionales y emitió nuevas circulares que iban dirigidas a cada una de las jurisdicciones.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Muchas de las jurisdicciones ordenaron la apertura de realizar audiencias de manera bastantes restrictiva, pero siempre quedó la opción de hacerlas. Por ejemplo: en medidas cautelares, en sumarios de río, en casos interdictales para definirles un poco en relación con la materia agraria y que se están ejecutando pero de manera excepcional, pero a pesar de las restricciones que ya nosotros planteamos en Corte Plena y que también planteó el Consejo Superior en las circulares vinculadas, debe tomarse en consideración lo que indica este documento, no podemos irnos a meter a un territorio indígena, hasta tanto no hayamos coordinado previamente con este Comité que se está organizando de salud comunitaria, que están las personas respectivas.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De manera tal, que si pretende un ingreso a un territorio indígena tiene que hacerse coordinado con todos los lineamientos del Ministerio de Salud, no puede ser de otra manera, que son más rígidos que en el resto de la población de este país.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Eso más bien nos da una tranquilidad, si se ejecuta que no vamos a generar desde el Poder Judicial algún nivel de contaminación a la población indígena.</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Las audiencias que eventualmente se puedan realizar son bastante restrictivas, aún más, con ocasión de este lineamiento que se está dando. Lo que pasa es que es urgente que las personas servidoras judiciales conozcan de este documento que ya se hizo de conocimiento de la Presidencia de la Corte y de la Comisión de Emergencias y ahora se está socializando con los señores magistrados y magistradas.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En el caso del Consejo Superior agregó esto en la parte de las audiencias en materia agraria. Sin embargo, recordemos que los procesos vinculados con población indígena se ven en las diferentes jurisdicciones y hay lineamientos por ejemplo: en materia penal de las audiencias que ellos están realizando y en algunas otras materias que pueden involucrar población indígena y necesariamente tienen que tomar en consideración esto, en esta coyuntura de la pandemia".</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b/>
          <w:bCs/>
          <w:i/>
          <w:iCs/>
          <w:color w:val="000000"/>
          <w:sz w:val="21"/>
          <w:szCs w:val="21"/>
          <w:lang w:val="es-ES" w:eastAsia="es-ES"/>
        </w:rPr>
        <w:t>          </w:t>
      </w:r>
      <w:r>
        <w:rPr>
          <w:i/>
          <w:iCs/>
          <w:color w:val="000000"/>
          <w:sz w:val="21"/>
          <w:szCs w:val="21"/>
          <w:lang w:val="es-ES" w:eastAsia="es-ES"/>
        </w:rPr>
        <w:t>Manifiesta el magistrado Castillo: "Como a este tema están vinculados los acuerdos de Corte y ya tengo conformado el Tribunal de Sala Constitucional por lo menos en seis asuntos y hay tres que está por conformarse el Tribunal para ver todos estos amparos y habeas corpus que vienen contra los acuerdos de Corte, yo prefiero abstenerme porque están vinculados con los temas que ustedes han venido resolviendo.</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Dejar constancia que sobre todo ya en seis asuntos está conformado el Tribunal y espero en Dios que en tres que quedan pendientes en las próximas semanas se conforme el Tribunal".</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Refiere el Presidente, magistrado Cruz: "Vamos a votar la propuesta de la magistrada Vargas, creo que no habría objeción".</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Indica la magistrada Rojas: "No, no habría objeción. Yo no la estaba objetando, lo que quería era que quedara absolutamente claro cuál era la intención o el propósito, porque me preocupan mucho las comunidades.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Sí quisiera plantear si es absolutamente necesario que se hagan audiencias en este momento, porque me parece que salvo en materia penal, para efectos eventualmente de recoger indicios que permitan determinar presuntos autores responsables de un delito, y cumpliendo con todos los campos, las otras medidas no deberían aplicarse a la población indígena, yo la protegería a un rango mayor en el sentido este, me parece que dándolo solo a penal, pero más bien el espíritu mío es todavía más restrictivo, no sé qué necesidad hay en este momento de exponerlos por un interdicto o por estas cosas, creo que salvo la investigación delictiva, que por su supuesto eso es lo que nos tiene acusados, que no somos capaces de resolver los conflictos y los delitos que se cometen en ese territorio y no podemos desatendernos de eso, o si hay una acción, etcétera, no se puede dejar de entrar para tomar muestras, etcétera, o un homicidio, creo que salvo materia Penal, no debería mientras el COVID-19 esté, nadie ingresar a estos territorios. Más bien sería que fuera todavía más restrictivo para estos territorios.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ind w:firstLine="851"/>
        <w:jc w:val="both"/>
        <w:rPr>
          <w:i/>
          <w:i/>
          <w:iCs/>
          <w:sz w:val="21"/>
          <w:szCs w:val="21"/>
          <w:lang w:val="es-ES" w:eastAsia="es-ES"/>
        </w:rPr>
      </w:pPr>
      <w:r>
        <w:rPr>
          <w:i/>
          <w:iCs/>
          <w:color w:val="000000"/>
          <w:sz w:val="21"/>
          <w:szCs w:val="21"/>
          <w:lang w:val="es-ES" w:eastAsia="es-ES"/>
        </w:rPr>
        <w:t>Estoy totalmente de acuerdo con la magistrada Vargas, más bien me gustaría que todavía estuviera más ampliado, pero tal vez ella tiene más elementos, por lo demás estoy totalmente de acuerdo”.</w:t>
      </w:r>
    </w:p>
    <w:p>
      <w:pPr>
        <w:pStyle w:val="Normal"/>
        <w:shd w:val="clear" w:color="auto" w:fill="FFFFFF"/>
        <w:ind w:firstLine="851"/>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Dice la magistrada Vargas: “En relación con la preocupación de la magistrada Rojas absolutamente razonable, le comento para su tranquilidad que en muchos de los territorios indígenas de Costa Rica se ha organizado la población indígena, y han colocado obstrucciones para que las personas no indígenas no puedan ingresar a sus territorios para no contaminarlos.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Inclusive la apertura se ha dado para el gobierno, por la asistencia que se está dando con alimentos o con medicinas, pero ya ellos tomaron esa decisión, inclusive un análisis que se está haciendo a nivel Latinoamericano de la reacción de la población indígena, lo que se ha señalado es que esto ha fortalecido más bien la autonomía de la población indígena, porque se han unido con ocasión de la pandemia, pero esto va a tener sus repercusiones a futuro, luego que termine este periodo”.</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Consulta el Presidente, magistrado Cruz: “¿Están de acuerdo con la propuesta de la magistrada Vargas? Creo que va en un sentido muy razonable ¿Están de acuerdo en aprobarlos?”.</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Refiere el magistrado Aguirre: “Estamos de acuerdo”.</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Añade la magistrada Varela: “Sí señor”.</w:t>
      </w:r>
    </w:p>
    <w:p>
      <w:pPr>
        <w:pStyle w:val="Normal"/>
        <w:shd w:val="clear" w:color="auto" w:fill="FFFFFF"/>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Sin objeción alguna de las señoras magistradas y los señores magistrados presentes, </w:t>
      </w:r>
      <w:r>
        <w:rPr>
          <w:b/>
          <w:bCs/>
          <w:i/>
          <w:iCs/>
          <w:color w:val="000000"/>
          <w:sz w:val="21"/>
          <w:szCs w:val="21"/>
          <w:lang w:val="es-ES" w:eastAsia="es-ES"/>
        </w:rPr>
        <w:t>se acordó: </w:t>
      </w:r>
      <w:r>
        <w:rPr>
          <w:i/>
          <w:iCs/>
          <w:color w:val="000000"/>
          <w:sz w:val="21"/>
          <w:szCs w:val="21"/>
          <w:lang w:val="es-ES" w:eastAsia="es-ES"/>
        </w:rPr>
        <w:t>Acoger la solicitud planteada por la magistrada Vargas, en su condición de Coordinadora de la Subcomisión Acceso a la Justicia de Pueblos Indígenas, por ende, tanto esta Corte como el Consejo Superior en las directrices que emitan en relación con la realización de audiencias judiciales en territorios indígenas en atención a la declaratoria de emergencia nacional, debido a la situación de emergencia sanitaria provocada por la enfermedad COVID-19, considerará los lineamientos establecidos en el “Plan de Trabajo: Abordaje de la emergencia del virus COVID-19 en territorios indígenas” diseñado por el Viceministerio de la Presidencia en Asuntos Políticos y Diálogo Ciudadano y el Ministerio de Salud. Lo anterior, en el entendido de que los despachos judiciales de país coordinarán previamente a realizar cualquier eventual audiencia que haya que hacerse con los Comités de Salud de cada uno de los territorios, el ingreso a estas diferentes áreas.</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ind w:firstLine="708"/>
        <w:jc w:val="both"/>
        <w:rPr>
          <w:i/>
          <w:i/>
          <w:iCs/>
          <w:sz w:val="21"/>
          <w:szCs w:val="21"/>
          <w:lang w:val="es-ES" w:eastAsia="es-ES"/>
        </w:rPr>
      </w:pPr>
      <w:r>
        <w:rPr>
          <w:i/>
          <w:iCs/>
          <w:color w:val="000000"/>
          <w:sz w:val="21"/>
          <w:szCs w:val="21"/>
          <w:lang w:val="es-ES" w:eastAsia="es-ES"/>
        </w:rPr>
        <w:t>La Secretaría General de la Corte tomará nota para lo de su cargo, a fin de que mediante circular se haga de conocimiento de los despachos judiciales del país, el Plan de Trabajo que se da cuenta.  </w:t>
      </w:r>
    </w:p>
    <w:p>
      <w:pPr>
        <w:pStyle w:val="Normal"/>
        <w:shd w:val="clear" w:color="auto" w:fill="FFFFFF"/>
        <w:ind w:firstLine="708"/>
        <w:jc w:val="both"/>
        <w:rPr>
          <w:i/>
          <w:i/>
          <w:iCs/>
          <w:sz w:val="21"/>
          <w:szCs w:val="21"/>
          <w:lang w:val="es-ES" w:eastAsia="es-ES"/>
        </w:rPr>
      </w:pPr>
      <w:r>
        <w:rPr>
          <w:i/>
          <w:iCs/>
          <w:sz w:val="21"/>
          <w:szCs w:val="21"/>
          <w:lang w:val="es-ES" w:eastAsia="es-ES"/>
        </w:rPr>
      </w:r>
    </w:p>
    <w:p>
      <w:pPr>
        <w:pStyle w:val="Normal"/>
        <w:shd w:val="clear" w:color="auto" w:fill="FFFFFF"/>
        <w:jc w:val="both"/>
        <w:rPr>
          <w:i/>
          <w:i/>
          <w:iCs/>
          <w:sz w:val="21"/>
          <w:szCs w:val="21"/>
          <w:lang w:val="es-ES" w:eastAsia="es-ES"/>
        </w:rPr>
      </w:pPr>
      <w:r>
        <w:rPr>
          <w:i/>
          <w:iCs/>
          <w:color w:val="000000"/>
          <w:sz w:val="21"/>
          <w:szCs w:val="21"/>
          <w:lang w:val="es-ES" w:eastAsia="es-ES"/>
        </w:rPr>
        <w:t xml:space="preserve">          </w:t>
      </w:r>
      <w:r>
        <w:rPr>
          <w:i/>
          <w:iCs/>
          <w:color w:val="000000"/>
          <w:sz w:val="21"/>
          <w:szCs w:val="21"/>
          <w:lang w:val="es-ES" w:eastAsia="es-ES"/>
        </w:rPr>
        <w:t>El magistrado Castillo se abstuvo de votar.</w:t>
      </w:r>
      <w:r>
        <w:rPr>
          <w:i/>
          <w:iCs/>
          <w:color w:val="000000"/>
          <w:sz w:val="21"/>
          <w:szCs w:val="21"/>
          <w:lang w:val="es-ES"/>
        </w:rPr>
        <w:t>”</w:t>
      </w:r>
    </w:p>
    <w:p>
      <w:pPr>
        <w:pStyle w:val="Normal"/>
        <w:ind w:right="851" w:hanging="0"/>
        <w:jc w:val="both"/>
        <w:rPr>
          <w:i/>
          <w:i/>
          <w:iCs/>
          <w:sz w:val="21"/>
          <w:szCs w:val="21"/>
          <w:lang w:val="es-ES" w:eastAsia="ar-SA"/>
        </w:rPr>
      </w:pPr>
      <w:r>
        <w:rPr>
          <w:i/>
          <w:iCs/>
          <w:sz w:val="21"/>
          <w:szCs w:val="21"/>
          <w:lang w:val="es-ES" w:eastAsia="ar-SA"/>
        </w:rPr>
      </w:r>
    </w:p>
    <w:p>
      <w:pPr>
        <w:pStyle w:val="Normal"/>
        <w:ind w:left="4248" w:hanging="0"/>
        <w:jc w:val="both"/>
        <w:rPr>
          <w:b/>
          <w:b/>
          <w:bCs/>
          <w:i/>
          <w:i/>
          <w:iCs/>
          <w:sz w:val="21"/>
          <w:szCs w:val="21"/>
          <w:lang w:val="es-ES"/>
        </w:rPr>
      </w:pPr>
      <w:r>
        <w:rPr>
          <w:b/>
          <w:bCs/>
          <w:i/>
          <w:iCs/>
          <w:sz w:val="21"/>
          <w:szCs w:val="21"/>
          <w:lang w:val="es-ES"/>
        </w:rPr>
        <w:t xml:space="preserve">Atentamente, </w:t>
      </w:r>
    </w:p>
    <w:p>
      <w:pPr>
        <w:pStyle w:val="Normal"/>
        <w:jc w:val="both"/>
        <w:rPr>
          <w:b/>
          <w:b/>
          <w:bCs/>
          <w:i/>
          <w:i/>
          <w:iCs/>
          <w:sz w:val="21"/>
          <w:szCs w:val="21"/>
          <w:lang w:val="es-ES"/>
        </w:rPr>
      </w:pPr>
      <w:r>
        <w:rPr>
          <w:b/>
          <w:bCs/>
          <w:i/>
          <w:iCs/>
          <w:sz w:val="21"/>
          <w:szCs w:val="21"/>
          <w:lang w:val="es-ES"/>
        </w:rPr>
      </w:r>
    </w:p>
    <w:p>
      <w:pPr>
        <w:pStyle w:val="Normal"/>
        <w:jc w:val="both"/>
        <w:rPr>
          <w:b/>
          <w:b/>
          <w:bCs/>
          <w:i/>
          <w:i/>
          <w:iCs/>
          <w:sz w:val="21"/>
          <w:szCs w:val="21"/>
          <w:lang w:val="es-ES"/>
        </w:rPr>
      </w:pPr>
      <w:r>
        <w:rPr>
          <w:b/>
          <w:bCs/>
          <w:i/>
          <w:iCs/>
          <w:sz w:val="21"/>
          <w:szCs w:val="21"/>
          <w:lang w:val="es-ES"/>
        </w:rPr>
      </w:r>
    </w:p>
    <w:p>
      <w:pPr>
        <w:pStyle w:val="Normal"/>
        <w:ind w:left="708" w:hanging="0"/>
        <w:jc w:val="both"/>
        <w:rPr>
          <w:b/>
          <w:b/>
          <w:bCs/>
          <w:i/>
          <w:i/>
          <w:iCs/>
          <w:sz w:val="21"/>
          <w:szCs w:val="21"/>
          <w:lang w:val="es-ES_tradnl"/>
        </w:rPr>
      </w:pPr>
      <w:r>
        <w:rPr>
          <w:b/>
          <w:bCs/>
          <w:i/>
          <w:iCs/>
          <w:sz w:val="21"/>
          <w:szCs w:val="21"/>
          <w:lang w:val="es-ES_tradnl"/>
        </w:rPr>
      </w:r>
    </w:p>
    <w:p>
      <w:pPr>
        <w:pStyle w:val="Normal"/>
        <w:ind w:left="708" w:hanging="0"/>
        <w:jc w:val="both"/>
        <w:rPr>
          <w:b/>
          <w:b/>
          <w:bCs/>
          <w:i/>
          <w:i/>
          <w:iCs/>
          <w:sz w:val="21"/>
          <w:szCs w:val="21"/>
          <w:lang w:val="es-ES_tradnl"/>
        </w:rPr>
      </w:pPr>
      <w:r>
        <w:rPr>
          <w:b/>
          <w:bCs/>
          <w:i/>
          <w:iCs/>
          <w:sz w:val="21"/>
          <w:szCs w:val="21"/>
          <w:lang w:val="es-ES_tradnl"/>
        </w:rPr>
      </w:r>
    </w:p>
    <w:p>
      <w:pPr>
        <w:pStyle w:val="Ttulo54"/>
        <w:keepNext w:val="false"/>
        <w:ind w:left="4248" w:hanging="0"/>
        <w:jc w:val="left"/>
        <w:rPr>
          <w:sz w:val="21"/>
          <w:szCs w:val="21"/>
          <w:u w:val="none"/>
          <w:lang w:val="es-CR"/>
        </w:rPr>
      </w:pPr>
      <w:r>
        <w:rPr>
          <w:color w:val="000000"/>
          <w:sz w:val="21"/>
          <w:szCs w:val="21"/>
          <w:u w:val="none"/>
        </w:rPr>
        <w:t>Licda. Silvia Navarro Romanini</w:t>
      </w:r>
    </w:p>
    <w:p>
      <w:pPr>
        <w:pStyle w:val="Ttulo54"/>
        <w:keepNext w:val="false"/>
        <w:ind w:left="4248" w:hanging="0"/>
        <w:jc w:val="left"/>
        <w:rPr>
          <w:sz w:val="21"/>
          <w:szCs w:val="21"/>
          <w:u w:val="none"/>
        </w:rPr>
      </w:pPr>
      <w:r>
        <w:rPr>
          <w:color w:val="000000"/>
          <w:sz w:val="21"/>
          <w:szCs w:val="21"/>
          <w:u w:val="none"/>
        </w:rPr>
        <w:t>Secretaria General</w:t>
      </w:r>
    </w:p>
    <w:p>
      <w:pPr>
        <w:pStyle w:val="Normal"/>
        <w:rPr>
          <w:b/>
          <w:b/>
          <w:bCs/>
          <w:i/>
          <w:i/>
          <w:iCs/>
          <w:sz w:val="21"/>
          <w:szCs w:val="21"/>
        </w:rPr>
      </w:pPr>
      <w:r>
        <w:rPr>
          <w:i/>
          <w:iCs/>
          <w:sz w:val="21"/>
          <w:szCs w:val="21"/>
        </w:rPr>
        <w:t xml:space="preserve">                                                                                     </w:t>
      </w:r>
      <w:r>
        <w:rPr>
          <w:b/>
          <w:bCs/>
          <w:i/>
          <w:iCs/>
          <w:sz w:val="21"/>
          <w:szCs w:val="21"/>
        </w:rPr>
        <w:t>Corte Suprema de Justicia</w:t>
      </w:r>
    </w:p>
    <w:p>
      <w:pPr>
        <w:pStyle w:val="Ttulo51"/>
        <w:keepNext w:val="false"/>
        <w:jc w:val="both"/>
        <w:rPr>
          <w:sz w:val="21"/>
          <w:szCs w:val="21"/>
          <w:u w:val="none"/>
        </w:rPr>
      </w:pPr>
      <w:r>
        <w:rPr>
          <w:sz w:val="21"/>
          <w:szCs w:val="21"/>
          <w:u w:val="none"/>
        </w:rPr>
      </w:r>
    </w:p>
    <w:p>
      <w:pPr>
        <w:pStyle w:val="Ttulo51"/>
        <w:keepNext w:val="false"/>
        <w:ind w:left="4248" w:hanging="0"/>
        <w:jc w:val="both"/>
        <w:rPr>
          <w:sz w:val="21"/>
          <w:szCs w:val="21"/>
          <w:u w:val="none"/>
        </w:rPr>
      </w:pPr>
      <w:r>
        <w:rPr>
          <w:sz w:val="21"/>
          <w:szCs w:val="21"/>
          <w:u w:val="none"/>
        </w:rPr>
      </w:r>
    </w:p>
    <w:p>
      <w:pPr>
        <w:pStyle w:val="Ttulo51"/>
        <w:keepNext w:val="false"/>
        <w:ind w:left="4248" w:hanging="0"/>
        <w:jc w:val="both"/>
        <w:rPr>
          <w:sz w:val="21"/>
          <w:szCs w:val="21"/>
          <w:u w:val="none"/>
        </w:rPr>
      </w:pPr>
      <w:r>
        <w:rPr>
          <w:sz w:val="21"/>
          <w:szCs w:val="21"/>
          <w:u w:val="none"/>
        </w:rPr>
      </w:r>
    </w:p>
    <w:p>
      <w:pPr>
        <w:pStyle w:val="Normal"/>
        <w:jc w:val="both"/>
        <w:rPr>
          <w:i/>
          <w:i/>
          <w:iCs/>
          <w:sz w:val="21"/>
          <w:szCs w:val="21"/>
          <w:lang w:val="es-ES"/>
        </w:rPr>
      </w:pPr>
      <w:r>
        <w:rPr>
          <w:i/>
          <w:iCs/>
          <w:sz w:val="21"/>
          <w:szCs w:val="21"/>
          <w:lang w:val="es-ES"/>
        </w:rPr>
        <w:t>c:           Diligencias / Refs: (</w:t>
      </w:r>
      <w:r>
        <w:rPr>
          <w:b/>
          <w:bCs/>
          <w:i/>
          <w:iCs/>
          <w:sz w:val="21"/>
          <w:szCs w:val="21"/>
          <w:lang w:val="es-ES"/>
        </w:rPr>
        <w:t>4225, 4587-2020</w:t>
      </w:r>
      <w:r>
        <w:rPr>
          <w:i/>
          <w:iCs/>
          <w:sz w:val="21"/>
          <w:szCs w:val="21"/>
          <w:lang w:val="es-ES"/>
        </w:rPr>
        <w:t xml:space="preserve">) </w:t>
      </w:r>
    </w:p>
    <w:p>
      <w:pPr>
        <w:pStyle w:val="Normal"/>
        <w:rPr>
          <w:i/>
          <w:i/>
          <w:iCs/>
          <w:color w:val="7F7F7F"/>
          <w:sz w:val="21"/>
          <w:szCs w:val="21"/>
          <w:lang w:val="es-ES"/>
        </w:rPr>
      </w:pPr>
      <w:r>
        <w:rPr>
          <w:i/>
          <w:iCs/>
          <w:color w:val="7F7F7F"/>
          <w:sz w:val="21"/>
          <w:szCs w:val="21"/>
          <w:lang w:val="es-ES"/>
        </w:rPr>
        <w:t xml:space="preserve">              </w:t>
      </w:r>
      <w:r>
        <w:rPr>
          <w:i/>
          <w:iCs/>
          <w:color w:val="7F7F7F"/>
          <w:sz w:val="21"/>
          <w:szCs w:val="21"/>
          <w:lang w:val="es-ES"/>
        </w:rPr>
        <w:t>Iquesadac</w:t>
      </w:r>
    </w:p>
    <w:p>
      <w:pPr>
        <w:pStyle w:val="Normal"/>
        <w:rPr>
          <w:rFonts w:ascii="Calibri" w:hAnsi="Calibri" w:cs="Calibri"/>
          <w:sz w:val="22"/>
          <w:szCs w:val="22"/>
          <w:lang w:val="es-ES"/>
        </w:rPr>
      </w:pPr>
      <w:r>
        <w:rPr>
          <w:rFonts w:cs="Calibri" w:ascii="Calibri" w:hAnsi="Calibri"/>
          <w:sz w:val="22"/>
          <w:szCs w:val="22"/>
          <w:lang w:val="es-ES"/>
        </w:rPr>
      </w:r>
    </w:p>
    <w:p>
      <w:pPr>
        <w:pStyle w:val="Sinespaciado1"/>
        <w:spacing w:lineRule="auto" w:line="360"/>
        <w:ind w:right="-510" w:hanging="0"/>
        <w:jc w:val="both"/>
        <w:rPr>
          <w:rFonts w:ascii="Bookman Old Style" w:hAnsi="Bookman Old Style" w:cs="Tahoma"/>
          <w:bCs/>
          <w:sz w:val="20"/>
          <w:szCs w:val="20"/>
          <w:lang w:val="es-ES"/>
        </w:rPr>
      </w:pPr>
      <w:r>
        <w:rPr>
          <w:rFonts w:cs="Tahoma" w:ascii="Bookman Old Style" w:hAnsi="Bookman Old Style"/>
          <w:bCs/>
          <w:sz w:val="20"/>
          <w:szCs w:val="20"/>
          <w:lang w:val="es-ES"/>
        </w:rPr>
      </w:r>
    </w:p>
    <w:p>
      <w:pPr>
        <w:pStyle w:val="Sinespaciado1"/>
        <w:spacing w:lineRule="auto" w:line="360"/>
        <w:ind w:right="-510" w:hanging="0"/>
        <w:jc w:val="both"/>
        <w:rPr>
          <w:rFonts w:ascii="Bookman Old Style" w:hAnsi="Bookman Old Style" w:cs="Tahoma"/>
          <w:bCs/>
          <w:sz w:val="20"/>
          <w:szCs w:val="20"/>
          <w:lang w:val="es-ES"/>
        </w:rPr>
      </w:pPr>
      <w:r>
        <w:rPr>
          <w:rFonts w:cs="Tahoma" w:ascii="Bookman Old Style" w:hAnsi="Bookman Old Style"/>
          <w:bCs/>
          <w:sz w:val="20"/>
          <w:szCs w:val="20"/>
          <w:lang w:val="es-ES"/>
        </w:rPr>
        <w:t>Se comunica que se está coordinando con el Departamento de Prensa y Comunicación Organizacional para que se desarrolle una campaña de divulgación del acuerdo tomado por Corte Plena a efecto de que sea ejecutado por las personas servidoras judiciales de manera oportuna.</w:t>
      </w:r>
    </w:p>
    <w:p>
      <w:pPr>
        <w:pStyle w:val="Sinespaciado1"/>
        <w:spacing w:lineRule="auto" w:line="360"/>
        <w:ind w:right="-510" w:hanging="0"/>
        <w:jc w:val="both"/>
        <w:rPr>
          <w:rFonts w:ascii="Bookman Old Style" w:hAnsi="Bookman Old Style" w:cs="Tahoma"/>
          <w:bCs/>
          <w:sz w:val="20"/>
          <w:szCs w:val="20"/>
          <w:lang w:val="es-ES"/>
        </w:rPr>
      </w:pPr>
      <w:r>
        <w:rPr>
          <w:rFonts w:cs="Tahoma" w:ascii="Bookman Old Style" w:hAnsi="Bookman Old Style"/>
          <w:bCs/>
          <w:sz w:val="20"/>
          <w:szCs w:val="20"/>
          <w:lang w:val="es-ES"/>
        </w:rPr>
      </w:r>
    </w:p>
    <w:p>
      <w:pPr>
        <w:pStyle w:val="Normal"/>
        <w:jc w:val="both"/>
        <w:rPr>
          <w:rFonts w:ascii="Bookman Old Style" w:hAnsi="Bookman Old Style" w:cs="Tahoma"/>
          <w:bCs/>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w:t>
      </w:r>
    </w:p>
    <w:p>
      <w:pPr>
        <w:pStyle w:val="Normal"/>
        <w:jc w:val="both"/>
        <w:rPr>
          <w:rFonts w:ascii="Bookman Old Style" w:hAnsi="Bookman Old Style" w:cs="Tahoma"/>
          <w:bCs/>
          <w:sz w:val="20"/>
          <w:szCs w:val="20"/>
          <w:lang w:val="es-ES"/>
        </w:rPr>
      </w:pPr>
      <w:r>
        <w:rPr>
          <w:rFonts w:cs="Tahoma" w:ascii="Bookman Old Style" w:hAnsi="Bookman Old Style"/>
          <w:bCs/>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VII</w:t>
      </w:r>
      <w:r>
        <w:rPr>
          <w:rFonts w:cs="Tahoma" w:ascii="Bookman Old Style" w:hAnsi="Bookman Old Style"/>
          <w:b/>
          <w:color w:val="000000" w:themeColor="text1"/>
          <w:sz w:val="20"/>
          <w:szCs w:val="20"/>
          <w:u w:val="single"/>
        </w:rPr>
        <w:t>I</w:t>
      </w:r>
    </w:p>
    <w:p>
      <w:pPr>
        <w:pStyle w:val="Normal"/>
        <w:spacing w:before="0" w:after="29"/>
        <w:ind w:right="-518" w:hanging="0"/>
        <w:jc w:val="both"/>
        <w:rPr>
          <w:rFonts w:ascii="Bookman Old Style" w:hAnsi="Bookman Old Style" w:cs="Arial"/>
          <w:sz w:val="20"/>
          <w:szCs w:val="20"/>
          <w:lang w:val="es-ES"/>
        </w:rPr>
      </w:pPr>
      <w:r>
        <w:rPr>
          <w:rFonts w:cs="Tahoma" w:ascii="Bookman Old Style" w:hAnsi="Bookman Old Style"/>
          <w:sz w:val="20"/>
          <w:szCs w:val="20"/>
        </w:rPr>
        <w:t xml:space="preserve">La señora Damaris Vargas Vásquez, </w:t>
      </w:r>
      <w:r>
        <w:rPr>
          <w:rFonts w:cs="Tahoma" w:ascii="Bookman Old Style" w:hAnsi="Bookman Old Style"/>
          <w:bCs/>
          <w:sz w:val="20"/>
          <w:szCs w:val="20"/>
          <w:lang w:val="es-ES"/>
        </w:rPr>
        <w:t>Coordinadora de la Subcomisión de Acceso a la Justicia de Pueblos Indígenas</w:t>
      </w:r>
      <w:r>
        <w:rPr>
          <w:rFonts w:cs="Tahoma" w:ascii="Bookman Old Style" w:hAnsi="Bookman Old Style"/>
          <w:sz w:val="20"/>
          <w:szCs w:val="20"/>
        </w:rPr>
        <w:t xml:space="preserve"> comunicó mediante el Oficio </w:t>
      </w:r>
      <w:r>
        <w:rPr>
          <w:rFonts w:cs="Tahoma" w:ascii="Bookman Old Style" w:hAnsi="Bookman Old Style"/>
          <w:sz w:val="20"/>
          <w:szCs w:val="20"/>
          <w:lang w:val="es-ES"/>
        </w:rPr>
        <w:t xml:space="preserve">DVV-SI-0051-2020 </w:t>
      </w:r>
      <w:r>
        <w:rPr>
          <w:rFonts w:cs="Tahoma" w:ascii="Bookman Old Style" w:hAnsi="Bookman Old Style"/>
          <w:sz w:val="20"/>
          <w:szCs w:val="20"/>
        </w:rPr>
        <w:t xml:space="preserve">a la Presidencia de la Corte Suprema de Justicia y la Comisión de Emergencias del Poder Judicial, la resolución N° 01-2020 de la Comisión Interamericana de Derechos Humanos, denominada </w:t>
      </w:r>
      <w:r>
        <w:rPr>
          <w:rFonts w:cs="Tahoma" w:ascii="Bookman Old Style" w:hAnsi="Bookman Old Style"/>
          <w:i/>
          <w:iCs/>
          <w:sz w:val="20"/>
          <w:szCs w:val="20"/>
        </w:rPr>
        <w:t>“Pandemia y Derechos Humanos de Las Américas”</w:t>
      </w:r>
      <w:r>
        <w:rPr>
          <w:rFonts w:cs="Tahoma" w:ascii="Bookman Old Style" w:hAnsi="Bookman Old Style"/>
          <w:sz w:val="20"/>
          <w:szCs w:val="20"/>
        </w:rPr>
        <w:t xml:space="preserve">, en lo tocante al no contacto con </w:t>
      </w:r>
      <w:r>
        <w:rPr>
          <w:rFonts w:cs="Tahoma" w:ascii="Bookman Old Style" w:hAnsi="Bookman Old Style"/>
          <w:color w:val="000000"/>
          <w:sz w:val="20"/>
          <w:szCs w:val="20"/>
        </w:rPr>
        <w:t xml:space="preserve">los pueblos y segmentos de pueblos indígenas en aislamiento voluntario; en el cual les </w:t>
      </w:r>
      <w:r>
        <w:rPr>
          <w:rFonts w:cs="Tahoma" w:ascii="Bookman Old Style" w:hAnsi="Bookman Old Style"/>
          <w:sz w:val="20"/>
          <w:szCs w:val="20"/>
        </w:rPr>
        <w:t xml:space="preserve">insta a comunicar a las personas servidoras judiciales el contenido de dicha resolución a efecto de que procedan con su ejecución e inclusión en las </w:t>
      </w:r>
      <w:r>
        <w:rPr>
          <w:rFonts w:cs="Tahoma" w:ascii="Bookman Old Style" w:hAnsi="Bookman Old Style"/>
          <w:color w:val="000000"/>
          <w:sz w:val="20"/>
          <w:szCs w:val="20"/>
        </w:rPr>
        <w:t>decisiones tomas por el Poder Judicial con ocasión de la pandemia Covid-19 que vinculen a personas indígenas parte de los procesos judiciales; y de requerirlo, les sean informadas en sus idiomas.</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t>El contenido literal del Oficio DVV-S1-0051-2020, es el siguiente:</w:t>
      </w:r>
    </w:p>
    <w:p>
      <w:pPr>
        <w:pStyle w:val="Normal"/>
        <w:widowControl w:val="false"/>
        <w:jc w:val="right"/>
        <w:rPr>
          <w:rFonts w:ascii="Bookman Old Style" w:hAnsi="Bookman Old Style" w:cs="Arial"/>
          <w:b/>
          <w:b/>
          <w:bCs/>
          <w:i/>
          <w:i/>
          <w:iCs/>
          <w:sz w:val="20"/>
          <w:szCs w:val="20"/>
        </w:rPr>
      </w:pPr>
      <w:r>
        <w:rPr>
          <w:rFonts w:cs="Arial" w:ascii="Bookman Old Style" w:hAnsi="Bookman Old Style"/>
          <w:b/>
          <w:bCs/>
          <w:i/>
          <w:iCs/>
          <w:sz w:val="20"/>
          <w:szCs w:val="20"/>
        </w:rPr>
        <w:t>“</w:t>
      </w:r>
      <w:r>
        <w:rPr>
          <w:rFonts w:cs="Arial" w:ascii="Bookman Old Style" w:hAnsi="Bookman Old Style"/>
          <w:b/>
          <w:bCs/>
          <w:i/>
          <w:iCs/>
          <w:sz w:val="20"/>
          <w:szCs w:val="20"/>
        </w:rPr>
        <w:t>San José, 13 de abril de 2020</w:t>
      </w:r>
    </w:p>
    <w:p>
      <w:pPr>
        <w:pStyle w:val="Normal"/>
        <w:widowControl w:val="false"/>
        <w:jc w:val="right"/>
        <w:rPr>
          <w:rFonts w:ascii="Bookman Old Style" w:hAnsi="Bookman Old Style" w:cs="Arial"/>
          <w:b/>
          <w:b/>
          <w:bCs/>
          <w:i/>
          <w:i/>
          <w:iCs/>
          <w:sz w:val="20"/>
          <w:szCs w:val="20"/>
        </w:rPr>
      </w:pPr>
      <w:r>
        <w:rPr>
          <w:rFonts w:cs="Arial" w:ascii="Bookman Old Style" w:hAnsi="Bookman Old Style"/>
          <w:b/>
          <w:bCs/>
          <w:i/>
          <w:iCs/>
          <w:sz w:val="20"/>
          <w:szCs w:val="20"/>
        </w:rPr>
        <w:t>Oficio DVV-SI-0051-2020</w:t>
      </w:r>
    </w:p>
    <w:p>
      <w:pPr>
        <w:pStyle w:val="Normal"/>
        <w:rPr>
          <w:rFonts w:ascii="Bookman Old Style" w:hAnsi="Bookman Old Style" w:cs="Arial"/>
          <w:b/>
          <w:b/>
          <w:bCs/>
          <w:i/>
          <w:i/>
          <w:iCs/>
          <w:sz w:val="20"/>
          <w:szCs w:val="20"/>
          <w:lang w:val="es-ES"/>
        </w:rPr>
      </w:pPr>
      <w:r>
        <w:rPr>
          <w:rFonts w:cs="Arial" w:ascii="Bookman Old Style" w:hAnsi="Bookman Old Style"/>
          <w:b/>
          <w:bCs/>
          <w:i/>
          <w:iCs/>
          <w:sz w:val="20"/>
          <w:szCs w:val="20"/>
          <w:lang w:val="es-ES"/>
        </w:rPr>
      </w:r>
    </w:p>
    <w:p>
      <w:pPr>
        <w:pStyle w:val="Normal"/>
        <w:rPr>
          <w:rFonts w:ascii="Bookman Old Style" w:hAnsi="Bookman Old Style" w:cs="Arial"/>
          <w:b/>
          <w:b/>
          <w:bCs/>
          <w:i/>
          <w:i/>
          <w:iCs/>
          <w:sz w:val="20"/>
          <w:szCs w:val="20"/>
          <w:lang w:val="es-ES"/>
        </w:rPr>
      </w:pPr>
      <w:r>
        <w:rPr>
          <w:rFonts w:cs="Arial" w:ascii="Bookman Old Style" w:hAnsi="Bookman Old Style"/>
          <w:b/>
          <w:bCs/>
          <w:i/>
          <w:iCs/>
          <w:sz w:val="20"/>
          <w:szCs w:val="20"/>
          <w:lang w:val="es-ES"/>
        </w:rPr>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Señor</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Dr. Fernando Cruz Castro</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Presidente</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Corte Suprema de Justicia</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Señor</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Magistrado Luis Guillermo Rivas Loáiciga</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 xml:space="preserve">Presidente Comisión de Emergencias </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Poder Judicial</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r>
    </w:p>
    <w:p>
      <w:pPr>
        <w:pStyle w:val="Normal"/>
        <w:ind w:left="4248" w:hanging="0"/>
        <w:jc w:val="both"/>
        <w:rPr>
          <w:rFonts w:ascii="Bookman Old Style" w:hAnsi="Bookman Old Style" w:cs="Arial"/>
          <w:i/>
          <w:i/>
          <w:iCs/>
          <w:sz w:val="20"/>
          <w:szCs w:val="20"/>
          <w:lang w:val="es-ES"/>
        </w:rPr>
      </w:pPr>
      <w:r>
        <w:rPr>
          <w:rFonts w:cs="Arial" w:ascii="Bookman Old Style" w:hAnsi="Bookman Old Style"/>
          <w:b/>
          <w:bCs/>
          <w:i/>
          <w:iCs/>
          <w:sz w:val="20"/>
          <w:szCs w:val="20"/>
          <w:u w:val="single"/>
          <w:lang w:val="es-ES"/>
        </w:rPr>
        <w:t>Asunto</w:t>
      </w:r>
      <w:r>
        <w:rPr>
          <w:rFonts w:cs="Arial" w:ascii="Bookman Old Style" w:hAnsi="Bookman Old Style"/>
          <w:b/>
          <w:bCs/>
          <w:i/>
          <w:iCs/>
          <w:sz w:val="20"/>
          <w:szCs w:val="20"/>
          <w:lang w:val="es-ES"/>
        </w:rPr>
        <w:t>:</w:t>
      </w:r>
      <w:r>
        <w:rPr>
          <w:rFonts w:cs="Arial" w:ascii="Bookman Old Style" w:hAnsi="Bookman Old Style"/>
          <w:i/>
          <w:iCs/>
          <w:sz w:val="20"/>
          <w:szCs w:val="20"/>
          <w:lang w:val="es-ES"/>
        </w:rPr>
        <w:t xml:space="preserve"> Ejecución de resolución N° 01-2020 dictada por la Comisión Interamericana de Derechos Humanos, denominada “Pandemia y derechos humanos de las Américas”, en lo relacionado con pueblos indígenas.</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t>Estimados Señores:</w:t>
      </w:r>
    </w:p>
    <w:p>
      <w:pPr>
        <w:pStyle w:val="Normal"/>
        <w:jc w:val="both"/>
        <w:rPr>
          <w:rFonts w:ascii="Bookman Old Style" w:hAnsi="Bookman Old Style" w:cs="Arial"/>
          <w:b/>
          <w:b/>
          <w:bCs/>
          <w:i/>
          <w:i/>
          <w:iCs/>
          <w:sz w:val="20"/>
          <w:szCs w:val="20"/>
          <w:lang w:val="es-ES"/>
        </w:rPr>
      </w:pPr>
      <w:r>
        <w:rPr>
          <w:rFonts w:cs="Arial" w:ascii="Bookman Old Style" w:hAnsi="Bookman Old Style"/>
          <w:b/>
          <w:bCs/>
          <w:i/>
          <w:iCs/>
          <w:sz w:val="20"/>
          <w:szCs w:val="20"/>
          <w:lang w:val="es-ES"/>
        </w:rPr>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t>Reciban un atento saludo. A la vez, en mi condición de Coordinadora de la Subcomisión de Acceso a la Justicia de Pueblos Indígenas, en adición al Oficio DVV-S1-050-2020 de 3 de abril pasado, en el que se solicita que en las directrices que emitan en relación con la realización de audiencias judiciales en territorios indígenas, consideren los lineamientos establecidos en el “Plan de Trabajo: Abordaje de la emergencia del virus COVID-19 en territorios indígenas” diseñado por el Ministerio de Salud, y se comunique a las personas servidoras judiciales el contenido del Plan y la necesidad de coordinar  previamente con los Comités de Salud Comunitarios, activos en cada uno de los 24 territorios indígenas, se les solicita:</w:t>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t xml:space="preserve">En cumplimiento de la resolución N° 01-2020 dictada el 10 de abril de 2020 por la Comisión Interamericana de Derechos Humanos, denominada “Pandemia y derechos humanos de las Américas”, se les insta para que comuniquen a las personas servidoras judiciales el contenido de dicha resolución a fin de que, en lo que respecta a los procesos que tramiten vinculados con pueblos indígenas consideren lo dispuesto en la misma, relacionado con </w:t>
      </w:r>
      <w:r>
        <w:rPr>
          <w:rFonts w:cs="Arial" w:ascii="Bookman Old Style" w:hAnsi="Bookman Old Style"/>
          <w:i/>
          <w:iCs/>
          <w:color w:val="000000"/>
          <w:sz w:val="20"/>
          <w:szCs w:val="20"/>
        </w:rPr>
        <w:t>el no contacto con los pueblos y segmentos de pueblos indígenas en aislamiento voluntario, dados los gravísimos impactos que el contagio del virus podría representar para su subsistencia y sobrevivencia como pueblo. Aunado a ello, que las decisiones del Poder Judicial tomadas con ocasión de la pandemia Covid-19 que vincule a las personas indígenas que sean parte de procesos judiciales, les sean informadas en sus idiomas en caso de requerirlo, y se extremen las medidas de protección de los derechos humanos de los pueblos indígenas en el marco de la pandemia del COVID-19. Lo anterior, en el marco de las competencias del Poder Judicial.</w:t>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t>Se anexa contenido literal de la resolución, la cual, en lo de interés, señala:</w:t>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r>
    </w:p>
    <w:p>
      <w:pPr>
        <w:pStyle w:val="Normal"/>
        <w:ind w:left="708" w:hanging="0"/>
        <w:jc w:val="both"/>
        <w:rPr>
          <w:rFonts w:ascii="Bookman Old Style" w:hAnsi="Bookman Old Style" w:cs="Arial"/>
          <w:i/>
          <w:i/>
          <w:iCs/>
          <w:color w:val="000000"/>
          <w:sz w:val="20"/>
          <w:szCs w:val="20"/>
        </w:rPr>
      </w:pPr>
      <w:r>
        <w:rPr>
          <w:rFonts w:cs="Arial" w:ascii="Bookman Old Style" w:hAnsi="Bookman Old Style"/>
          <w:i/>
          <w:iCs/>
          <w:sz w:val="20"/>
          <w:szCs w:val="20"/>
          <w:lang w:val="es-ES"/>
        </w:rPr>
        <w:t>“</w:t>
      </w:r>
      <w:r>
        <w:rPr>
          <w:rFonts w:cs="Arial" w:ascii="Bookman Old Style" w:hAnsi="Bookman Old Style"/>
          <w:b/>
          <w:bCs/>
          <w:i/>
          <w:iCs/>
          <w:color w:val="000000"/>
          <w:sz w:val="20"/>
          <w:szCs w:val="20"/>
        </w:rPr>
        <w:t xml:space="preserve">C. PARTE RESOLUTIVA: </w:t>
      </w:r>
      <w:r>
        <w:rPr>
          <w:rFonts w:cs="Arial" w:ascii="Bookman Old Style" w:hAnsi="Bookman Old Style"/>
          <w:i/>
          <w:iCs/>
          <w:color w:val="000000"/>
          <w:sz w:val="20"/>
          <w:szCs w:val="20"/>
        </w:rPr>
        <w:t>En virtud de lo anterior, en ejercicio de las funciones que le son conferidas por el artículo 106 de la Carta de la Organización de los Estados Americanos y en aplicación del artículo 41.b de la Convención Americana sobre Derechos Humanos y el artículo 18.b de su Estatuto, la Comisión Interamericana sobre Derechos Humanos formula las siguientes recomendaciones a los gobiernos de los Estados miembros: …</w:t>
      </w:r>
    </w:p>
    <w:p>
      <w:pPr>
        <w:pStyle w:val="Normal"/>
        <w:ind w:left="708" w:hanging="0"/>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Grupos en especial situación de vulnerabilidad</w:t>
      </w:r>
    </w:p>
    <w:p>
      <w:pPr>
        <w:pStyle w:val="Normal"/>
        <w:ind w:left="708" w:hanging="0"/>
        <w:jc w:val="both"/>
        <w:rPr>
          <w:rFonts w:ascii="Bookman Old Style" w:hAnsi="Bookman Old Style" w:cs="Arial"/>
          <w:i/>
          <w:i/>
          <w:iCs/>
          <w:color w:val="000000"/>
          <w:sz w:val="20"/>
          <w:szCs w:val="20"/>
        </w:rPr>
      </w:pPr>
      <w:r>
        <w:rPr>
          <w:rFonts w:cs="Arial" w:ascii="Bookman Old Style" w:hAnsi="Bookman Old Style"/>
          <w:i/>
          <w:iCs/>
          <w:color w:val="000000"/>
          <w:sz w:val="20"/>
          <w:szCs w:val="20"/>
        </w:rPr>
        <w:t>39. Considerar los enfoques diferenciados requeridos al momento de adoptar las medidas necesarias para garantizar los derechos de los grupos en situación de especial vulnerabilidad al momento de adoptar medidas de atención, tratamiento y contención de la pandemia del COVID-19; así como para mitigar los impactos diferenciados que dichas medidas puedan generar.</w:t>
      </w:r>
    </w:p>
    <w:p>
      <w:pPr>
        <w:pStyle w:val="Normal"/>
        <w:ind w:left="708" w:hanging="0"/>
        <w:jc w:val="both"/>
        <w:rPr>
          <w:rFonts w:ascii="Bookman Old Style" w:hAnsi="Bookman Old Style" w:cs="Arial"/>
          <w:b/>
          <w:b/>
          <w:bCs/>
          <w:i/>
          <w:i/>
          <w:iCs/>
          <w:color w:val="000000"/>
          <w:sz w:val="20"/>
          <w:szCs w:val="20"/>
        </w:rPr>
      </w:pPr>
      <w:r>
        <w:rPr>
          <w:rFonts w:cs="Arial" w:ascii="Bookman Old Style" w:hAnsi="Bookman Old Style"/>
          <w:i/>
          <w:iCs/>
          <w:color w:val="000000"/>
          <w:sz w:val="20"/>
          <w:szCs w:val="20"/>
        </w:rPr>
        <w:t xml:space="preserve">40. Promover desde las más altas autoridades la eliminación de estigmas y estereotipos negativos que puedan surgir sobre ciertos grupos de personas a partir del contexto de pandemia. </w:t>
      </w:r>
      <w:r>
        <w:rPr>
          <w:rFonts w:cs="Arial" w:ascii="Bookman Old Style" w:hAnsi="Bookman Old Style"/>
          <w:b/>
          <w:bCs/>
          <w:i/>
          <w:iCs/>
          <w:color w:val="000000"/>
          <w:sz w:val="20"/>
          <w:szCs w:val="20"/>
        </w:rPr>
        <w:t>…</w:t>
      </w:r>
    </w:p>
    <w:p>
      <w:pPr>
        <w:pStyle w:val="Normal"/>
        <w:ind w:left="708" w:hanging="0"/>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Pueblos indígenas</w:t>
      </w:r>
    </w:p>
    <w:p>
      <w:pPr>
        <w:pStyle w:val="Normal"/>
        <w:ind w:left="708" w:hanging="0"/>
        <w:jc w:val="both"/>
        <w:rPr>
          <w:rFonts w:ascii="Bookman Old Style" w:hAnsi="Bookman Old Style" w:cs="Arial"/>
          <w:i/>
          <w:i/>
          <w:iCs/>
          <w:color w:val="000000"/>
          <w:sz w:val="20"/>
          <w:szCs w:val="20"/>
        </w:rPr>
      </w:pPr>
      <w:r>
        <w:rPr>
          <w:rFonts w:cs="Arial" w:ascii="Bookman Old Style" w:hAnsi="Bookman Old Style"/>
          <w:i/>
          <w:iCs/>
          <w:color w:val="000000"/>
          <w:sz w:val="20"/>
          <w:szCs w:val="20"/>
        </w:rPr>
        <w:t>55. Proporcionar información sobre la pandemia de forma en su idioma tradicional, estableciendo cuando sea posible facilitadores interculturales que les permita comprender de manera clara las medidas adoptadas por el Estado y los efectos de la pandemia.</w:t>
      </w:r>
    </w:p>
    <w:p>
      <w:pPr>
        <w:pStyle w:val="Normal"/>
        <w:ind w:left="708" w:hanging="0"/>
        <w:jc w:val="both"/>
        <w:rPr>
          <w:rFonts w:ascii="Bookman Old Style" w:hAnsi="Bookman Old Style" w:cs="Arial"/>
          <w:i/>
          <w:i/>
          <w:iCs/>
          <w:color w:val="000000"/>
          <w:sz w:val="20"/>
          <w:szCs w:val="20"/>
        </w:rPr>
      </w:pPr>
      <w:r>
        <w:rPr>
          <w:rFonts w:cs="Arial" w:ascii="Bookman Old Style" w:hAnsi="Bookman Old Style"/>
          <w:i/>
          <w:iCs/>
          <w:color w:val="000000"/>
          <w:sz w:val="20"/>
          <w:szCs w:val="20"/>
        </w:rPr>
        <w:t>56. Respetar de forma irrestricta el no contacto con los pueblos y segmentos de pueblos indígenas en aislamiento voluntario, dados los gravísimos impactos que el contagio del virus podría representar para su subsistencia y sobrevivencia como pueblo.</w:t>
      </w:r>
    </w:p>
    <w:p>
      <w:pPr>
        <w:pStyle w:val="Normal"/>
        <w:ind w:left="708" w:hanging="0"/>
        <w:jc w:val="both"/>
        <w:rPr>
          <w:rFonts w:ascii="Bookman Old Style" w:hAnsi="Bookman Old Style" w:cs="Arial"/>
          <w:i/>
          <w:i/>
          <w:iCs/>
          <w:color w:val="000000"/>
          <w:sz w:val="20"/>
          <w:szCs w:val="20"/>
        </w:rPr>
      </w:pPr>
      <w:r>
        <w:rPr>
          <w:rFonts w:cs="Arial" w:ascii="Bookman Old Style" w:hAnsi="Bookman Old Style"/>
          <w:i/>
          <w:iCs/>
          <w:color w:val="000000"/>
          <w:sz w:val="20"/>
          <w:szCs w:val="20"/>
        </w:rPr>
        <w:t>57. Extremar las medidas de protección de los derechos humanos de los pueblos indígenas en el marco de la pandemia del COVID-19, tomando en consideración que estos colectivos tienen derecho a recibir una atención de salud con pertinencia cultural, que tome en cuenta los cuidados preventivos, las prácticas curativas y las medicinas tradicionales. …”</w:t>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t xml:space="preserve">De ustedes atentamente, </w:t>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r>
    </w:p>
    <w:p>
      <w:pPr>
        <w:pStyle w:val="Normal"/>
        <w:jc w:val="both"/>
        <w:rPr>
          <w:rFonts w:ascii="Bookman Old Style" w:hAnsi="Bookman Old Style" w:cs="Arial"/>
          <w:i/>
          <w:i/>
          <w:iCs/>
          <w:sz w:val="20"/>
          <w:szCs w:val="20"/>
          <w:lang w:val="es-ES"/>
        </w:rPr>
      </w:pPr>
      <w:r>
        <w:rPr>
          <w:rFonts w:cs="Arial" w:ascii="Bookman Old Style" w:hAnsi="Bookman Old Style"/>
          <w:i/>
          <w:iCs/>
          <w:sz w:val="20"/>
          <w:szCs w:val="20"/>
          <w:lang w:val="es-ES"/>
        </w:rPr>
      </w:r>
    </w:p>
    <w:p>
      <w:pPr>
        <w:pStyle w:val="Default"/>
        <w:jc w:val="center"/>
        <w:rPr>
          <w:rFonts w:ascii="Bookman Old Style" w:hAnsi="Bookman Old Style"/>
          <w:i/>
          <w:i/>
          <w:iCs/>
          <w:sz w:val="20"/>
          <w:szCs w:val="20"/>
        </w:rPr>
      </w:pPr>
      <w:r>
        <w:rPr>
          <w:rFonts w:ascii="Bookman Old Style" w:hAnsi="Bookman Old Style"/>
          <w:i/>
          <w:iCs/>
          <w:sz w:val="20"/>
          <w:szCs w:val="20"/>
        </w:rPr>
      </w:r>
    </w:p>
    <w:p>
      <w:pPr>
        <w:pStyle w:val="Default"/>
        <w:jc w:val="center"/>
        <w:rPr>
          <w:rFonts w:ascii="Bookman Old Style" w:hAnsi="Bookman Old Style"/>
          <w:b/>
          <w:b/>
          <w:bCs/>
          <w:i/>
          <w:i/>
          <w:iCs/>
          <w:sz w:val="20"/>
          <w:szCs w:val="20"/>
        </w:rPr>
      </w:pPr>
      <w:r>
        <w:rPr>
          <w:rFonts w:ascii="Bookman Old Style" w:hAnsi="Bookman Old Style"/>
          <w:b/>
          <w:bCs/>
          <w:i/>
          <w:iCs/>
          <w:sz w:val="20"/>
          <w:szCs w:val="20"/>
        </w:rPr>
        <w:t>Magistrada Damaris Vargas Vásquez</w:t>
      </w:r>
    </w:p>
    <w:p>
      <w:pPr>
        <w:pStyle w:val="Default"/>
        <w:jc w:val="center"/>
        <w:rPr>
          <w:rFonts w:ascii="Bookman Old Style" w:hAnsi="Bookman Old Style"/>
          <w:b/>
          <w:b/>
          <w:bCs/>
          <w:i/>
          <w:i/>
          <w:iCs/>
          <w:color w:val="auto"/>
          <w:sz w:val="20"/>
          <w:szCs w:val="20"/>
        </w:rPr>
      </w:pPr>
      <w:r>
        <w:rPr>
          <w:rFonts w:ascii="Bookman Old Style" w:hAnsi="Bookman Old Style"/>
          <w:b/>
          <w:bCs/>
          <w:i/>
          <w:iCs/>
          <w:sz w:val="20"/>
          <w:szCs w:val="20"/>
        </w:rPr>
        <w:t>Coordinadora Subcomisión Acceso a la Justicia de Pueblos Indígenas</w:t>
      </w:r>
    </w:p>
    <w:p>
      <w:pPr>
        <w:pStyle w:val="Normal"/>
        <w:jc w:val="center"/>
        <w:rPr>
          <w:rFonts w:ascii="Bookman Old Style" w:hAnsi="Bookman Old Style" w:cs="Arial"/>
          <w:b/>
          <w:b/>
          <w:bCs/>
          <w:i/>
          <w:i/>
          <w:iCs/>
          <w:sz w:val="20"/>
          <w:szCs w:val="20"/>
        </w:rPr>
      </w:pPr>
      <w:r>
        <w:rPr>
          <w:rFonts w:cs="Arial" w:ascii="Bookman Old Style" w:hAnsi="Bookman Old Style"/>
          <w:b/>
          <w:bCs/>
          <w:i/>
          <w:iCs/>
          <w:sz w:val="20"/>
          <w:szCs w:val="20"/>
        </w:rPr>
        <w:t>Sala Primera de la Corte Suprema de Justicia</w:t>
      </w:r>
    </w:p>
    <w:p>
      <w:pPr>
        <w:pStyle w:val="Normal"/>
        <w:jc w:val="center"/>
        <w:rPr>
          <w:rFonts w:ascii="Bookman Old Style" w:hAnsi="Bookman Old Style" w:cs="Arial"/>
          <w:b/>
          <w:b/>
          <w:bCs/>
          <w:i/>
          <w:i/>
          <w:iCs/>
          <w:sz w:val="20"/>
          <w:szCs w:val="20"/>
        </w:rPr>
      </w:pPr>
      <w:r>
        <w:rPr>
          <w:rFonts w:cs="Arial" w:ascii="Bookman Old Style" w:hAnsi="Bookman Old Style"/>
          <w:b/>
          <w:bCs/>
          <w:i/>
          <w:iCs/>
          <w:sz w:val="20"/>
          <w:szCs w:val="20"/>
        </w:rPr>
      </w:r>
    </w:p>
    <w:p>
      <w:pPr>
        <w:pStyle w:val="Normal"/>
        <w:rPr>
          <w:rFonts w:ascii="Bookman Old Style" w:hAnsi="Bookman Old Style" w:cs="Arial"/>
          <w:b/>
          <w:b/>
          <w:bCs/>
          <w:i/>
          <w:i/>
          <w:iCs/>
          <w:sz w:val="20"/>
          <w:szCs w:val="20"/>
        </w:rPr>
      </w:pPr>
      <w:r>
        <w:rPr>
          <w:rFonts w:cs="Arial" w:ascii="Bookman Old Style" w:hAnsi="Bookman Old Style"/>
          <w:b/>
          <w:bCs/>
          <w:i/>
          <w:iCs/>
          <w:sz w:val="20"/>
          <w:szCs w:val="20"/>
        </w:rPr>
      </w:r>
      <w:bookmarkStart w:id="1" w:name="_MailOriginal"/>
      <w:bookmarkStart w:id="2" w:name="_Hlk33692223"/>
      <w:bookmarkStart w:id="3" w:name="_Hlk35846983"/>
      <w:bookmarkStart w:id="4" w:name="_MailOriginal"/>
      <w:bookmarkStart w:id="5" w:name="_Hlk33692223"/>
      <w:bookmarkStart w:id="6" w:name="_Hlk35846983"/>
      <w:bookmarkEnd w:id="4"/>
      <w:bookmarkEnd w:id="5"/>
      <w:bookmarkEnd w:id="6"/>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 y se está a la espera de la respuesta.-</w:t>
      </w:r>
    </w:p>
    <w:p>
      <w:pPr>
        <w:pStyle w:val="Normal"/>
        <w:jc w:val="both"/>
        <w:rPr>
          <w:rFonts w:ascii="Bookman Old Style" w:hAnsi="Bookman Old Style" w:cs="Arial"/>
          <w:sz w:val="20"/>
          <w:szCs w:val="20"/>
          <w:lang w:val="es-ES"/>
        </w:rPr>
      </w:pPr>
      <w:r>
        <w:rPr>
          <w:rFonts w:cs="Arial" w:ascii="Bookman Old Style" w:hAnsi="Bookman Old Style"/>
          <w:sz w:val="20"/>
          <w:szCs w:val="20"/>
          <w:lang w:val="es-ES"/>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 xml:space="preserve">ARTÍCULO </w:t>
      </w:r>
      <w:r>
        <w:rPr>
          <w:rFonts w:cs="Tahoma" w:ascii="Bookman Old Style" w:hAnsi="Bookman Old Style"/>
          <w:b/>
          <w:color w:val="000000" w:themeColor="text1"/>
          <w:sz w:val="20"/>
          <w:szCs w:val="20"/>
          <w:u w:val="single"/>
        </w:rPr>
        <w:t>IX</w:t>
      </w:r>
    </w:p>
    <w:p>
      <w:pPr>
        <w:pStyle w:val="Normal"/>
        <w:widowControl w:val="false"/>
        <w:jc w:val="both"/>
        <w:rPr>
          <w:rFonts w:ascii="Bookman Old Style" w:hAnsi="Bookman Old Style" w:cs="Book Antiqua"/>
          <w:sz w:val="20"/>
          <w:szCs w:val="20"/>
          <w:lang w:eastAsia="es-ES"/>
        </w:rPr>
      </w:pPr>
      <w:r>
        <w:rPr>
          <w:rFonts w:cs="Book Antiqua" w:ascii="Bookman Old Style" w:hAnsi="Bookman Old Style"/>
          <w:sz w:val="20"/>
          <w:szCs w:val="20"/>
          <w:lang w:eastAsia="es-ES"/>
        </w:rPr>
        <w:t xml:space="preserve">La Dirección de Planificación remitió a la Defensa Pública y a la Comisión de Acceso a la Justicia el Oficio 507-PLA-RH-MI-2020 de 30 de marzo de 2020, concediendo el plazo de 8 días para emitir pronunciamiento. En el Oficio se señala: </w:t>
      </w:r>
    </w:p>
    <w:p>
      <w:pPr>
        <w:pStyle w:val="Normal"/>
        <w:widowControl w:val="false"/>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r>
    </w:p>
    <w:p>
      <w:pPr>
        <w:pStyle w:val="Normal"/>
        <w:widowControl w:val="false"/>
        <w:jc w:val="right"/>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w:t>
      </w:r>
      <w:r>
        <w:rPr>
          <w:rFonts w:cs="Book Antiqua" w:ascii="Bookman Old Style" w:hAnsi="Bookman Old Style"/>
          <w:i/>
          <w:iCs/>
          <w:sz w:val="20"/>
          <w:szCs w:val="20"/>
          <w:lang w:eastAsia="es-ES"/>
        </w:rPr>
        <w:t>507-PLA-RH-MI-2020</w:t>
      </w:r>
    </w:p>
    <w:p>
      <w:pPr>
        <w:pStyle w:val="Normal"/>
        <w:widowControl w:val="false"/>
        <w:jc w:val="right"/>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Ref.SICE 1692-18</w:t>
      </w:r>
    </w:p>
    <w:p>
      <w:pPr>
        <w:pStyle w:val="Normal"/>
        <w:jc w:val="right"/>
        <w:rPr>
          <w:rFonts w:ascii="Bookman Old Style" w:hAnsi="Bookman Old Style" w:cs="Book Antiqua"/>
          <w:i/>
          <w:i/>
          <w:iCs/>
          <w:sz w:val="20"/>
          <w:szCs w:val="20"/>
          <w:lang w:val="pt-BR"/>
        </w:rPr>
      </w:pPr>
      <w:r>
        <w:rPr>
          <w:rFonts w:cs="Book Antiqua" w:ascii="Bookman Old Style" w:hAnsi="Bookman Old Style"/>
          <w:i/>
          <w:iCs/>
          <w:sz w:val="20"/>
          <w:szCs w:val="20"/>
          <w:lang w:val="pt-BR"/>
        </w:rPr>
        <w:t>30 de marzo de 2020</w:t>
      </w:r>
    </w:p>
    <w:p>
      <w:pPr>
        <w:pStyle w:val="Normal"/>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 xml:space="preserve">Magistrado </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Jorge Olaso Álvarez, Coordinador</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Comisión de Acceso a la Justicia</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Máster</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Diana Montero Montero, Directora a.i.</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Defensa Pública</w:t>
      </w:r>
    </w:p>
    <w:p>
      <w:pPr>
        <w:pStyle w:val="Normal"/>
        <w:jc w:val="both"/>
        <w:rPr>
          <w:rFonts w:ascii="Bookman Old Style" w:hAnsi="Bookman Old Style" w:cs="Book Antiqua"/>
          <w:i/>
          <w:i/>
          <w:iCs/>
          <w:color w:val="FF0000"/>
          <w:sz w:val="20"/>
          <w:szCs w:val="20"/>
          <w:lang w:eastAsia="es-ES"/>
        </w:rPr>
      </w:pPr>
      <w:r>
        <w:rPr>
          <w:rFonts w:cs="Book Antiqua" w:ascii="Bookman Old Style" w:hAnsi="Bookman Old Style"/>
          <w:i/>
          <w:iCs/>
          <w:color w:val="FF0000"/>
          <w:sz w:val="20"/>
          <w:szCs w:val="20"/>
          <w:lang w:eastAsia="es-ES"/>
        </w:rPr>
      </w:r>
    </w:p>
    <w:p>
      <w:pPr>
        <w:pStyle w:val="Normal"/>
        <w:jc w:val="both"/>
        <w:rPr>
          <w:rFonts w:ascii="Bookman Old Style" w:hAnsi="Bookman Old Style" w:cs="Book Antiqua"/>
          <w:i/>
          <w:i/>
          <w:iCs/>
          <w:color w:val="FF0000"/>
          <w:sz w:val="20"/>
          <w:szCs w:val="20"/>
          <w:lang w:eastAsia="es-ES"/>
        </w:rPr>
      </w:pPr>
      <w:r>
        <w:rPr>
          <w:rFonts w:cs="Book Antiqua" w:ascii="Bookman Old Style" w:hAnsi="Bookman Old Style"/>
          <w:i/>
          <w:iCs/>
          <w:color w:val="FF0000"/>
          <w:sz w:val="20"/>
          <w:szCs w:val="20"/>
          <w:lang w:eastAsia="es-ES"/>
        </w:rPr>
      </w:r>
    </w:p>
    <w:p>
      <w:pPr>
        <w:pStyle w:val="Normal"/>
        <w:widowControl w:val="false"/>
        <w:jc w:val="both"/>
        <w:rPr>
          <w:rFonts w:ascii="Bookman Old Style" w:hAnsi="Bookman Old Style" w:cs="Book Antiqua"/>
          <w:i/>
          <w:i/>
          <w:iCs/>
          <w:color w:val="000000"/>
          <w:sz w:val="20"/>
          <w:szCs w:val="20"/>
          <w:lang w:eastAsia="es-ES"/>
        </w:rPr>
      </w:pPr>
      <w:r>
        <w:rPr>
          <w:rFonts w:cs="Book Antiqua" w:ascii="Bookman Old Style" w:hAnsi="Bookman Old Style"/>
          <w:i/>
          <w:iCs/>
          <w:color w:val="000000"/>
          <w:sz w:val="20"/>
          <w:szCs w:val="20"/>
          <w:lang w:eastAsia="es-ES"/>
        </w:rPr>
        <w:t>Estimado señor:</w:t>
      </w:r>
    </w:p>
    <w:p>
      <w:pPr>
        <w:pStyle w:val="Normal"/>
        <w:widowControl w:val="false"/>
        <w:jc w:val="both"/>
        <w:rPr>
          <w:rFonts w:ascii="Bookman Old Style" w:hAnsi="Bookman Old Style" w:cs="Book Antiqua"/>
          <w:i/>
          <w:i/>
          <w:iCs/>
          <w:color w:val="000000"/>
          <w:sz w:val="20"/>
          <w:szCs w:val="20"/>
          <w:lang w:eastAsia="es-ES"/>
        </w:rPr>
      </w:pPr>
      <w:r>
        <w:rPr>
          <w:rFonts w:cs="Book Antiqua" w:ascii="Bookman Old Style" w:hAnsi="Bookman Old Style"/>
          <w:i/>
          <w:iCs/>
          <w:color w:val="000000"/>
          <w:sz w:val="20"/>
          <w:szCs w:val="20"/>
          <w:lang w:eastAsia="es-ES"/>
        </w:rPr>
        <w:t>Estimada señora:</w:t>
      </w:r>
    </w:p>
    <w:p>
      <w:pPr>
        <w:pStyle w:val="Normal"/>
        <w:widowControl w:val="false"/>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r>
    </w:p>
    <w:p>
      <w:pPr>
        <w:pStyle w:val="Normal"/>
        <w:ind w:firstLine="709"/>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 xml:space="preserve">En atención al oficio 10880-18, donde se transcribe el acuerdo tomado por el Consejo Superior en sesión celebrada el 2 de octubre del 2018, artículo LXVI, les remito el informe suscrito por la Inga. Elena Gabriela Picado González, Jefa del Subproceso de Modernización Institucional, relacionado con el Impacto organizacional y presupuestario en el Poder Judicial, (Defensa Pública) a partir de la promulgación de la Ley 9593 de Acceso la Justicia de los Pueblos Indígenas. </w:t>
      </w:r>
    </w:p>
    <w:p>
      <w:pPr>
        <w:pStyle w:val="Normal"/>
        <w:jc w:val="both"/>
        <w:rPr>
          <w:rFonts w:ascii="Bookman Old Style" w:hAnsi="Bookman Old Style" w:cs="Book Antiqua"/>
          <w:i/>
          <w:i/>
          <w:iCs/>
          <w:color w:val="0000FF"/>
          <w:sz w:val="20"/>
          <w:szCs w:val="20"/>
          <w:u w:val="single"/>
          <w:lang w:eastAsia="es-ES"/>
        </w:rPr>
      </w:pPr>
      <w:r>
        <w:rPr>
          <w:rFonts w:cs="Book Antiqua" w:ascii="Bookman Old Style" w:hAnsi="Bookman Old Style"/>
          <w:i/>
          <w:iCs/>
          <w:color w:val="0000FF"/>
          <w:sz w:val="20"/>
          <w:szCs w:val="20"/>
          <w:u w:val="single"/>
          <w:lang w:eastAsia="es-ES"/>
        </w:rPr>
      </w:r>
    </w:p>
    <w:p>
      <w:pPr>
        <w:pStyle w:val="Normal"/>
        <w:ind w:firstLine="708"/>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Les solicito respetuosamente analizar este documento y enviar las observaciones que estimen pertinente en un plazo de 8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r>
    </w:p>
    <w:p>
      <w:pPr>
        <w:pStyle w:val="Normal"/>
        <w:ind w:firstLine="708"/>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La respuesta debe ser enviada al correo electrónico oficial de la Dirección de Planificación:</w:t>
      </w:r>
    </w:p>
    <w:p>
      <w:pPr>
        <w:pStyle w:val="Normal"/>
        <w:jc w:val="both"/>
        <w:rPr>
          <w:rFonts w:ascii="Bookman Old Style" w:hAnsi="Bookman Old Style" w:cs="Book Antiqua"/>
          <w:i/>
          <w:i/>
          <w:iCs/>
          <w:color w:val="0000FF"/>
          <w:sz w:val="20"/>
          <w:szCs w:val="20"/>
          <w:lang w:eastAsia="es-ES"/>
        </w:rPr>
      </w:pPr>
      <w:hyperlink r:id="rId7">
        <w:r>
          <w:rPr>
            <w:rFonts w:cs="Book Antiqua" w:ascii="Bookman Old Style" w:hAnsi="Bookman Old Style"/>
            <w:i/>
            <w:iCs/>
            <w:color w:val="0000FF"/>
            <w:sz w:val="20"/>
            <w:szCs w:val="20"/>
            <w:lang w:eastAsia="es-ES"/>
          </w:rPr>
          <w:t>planificacion@poder-judicial.go.cr</w:t>
        </w:r>
      </w:hyperlink>
    </w:p>
    <w:p>
      <w:pPr>
        <w:pStyle w:val="Normal"/>
        <w:jc w:val="both"/>
        <w:rPr>
          <w:rFonts w:ascii="Bookman Old Style" w:hAnsi="Bookman Old Style" w:cs="Book Antiqua"/>
          <w:i/>
          <w:i/>
          <w:iCs/>
          <w:color w:val="0000FF"/>
          <w:sz w:val="20"/>
          <w:szCs w:val="20"/>
          <w:lang w:eastAsia="es-ES"/>
        </w:rPr>
      </w:pPr>
      <w:r>
        <w:rPr>
          <w:rFonts w:cs="Book Antiqua" w:ascii="Bookman Old Style" w:hAnsi="Bookman Old Style"/>
          <w:i/>
          <w:iCs/>
          <w:color w:val="0000FF"/>
          <w:sz w:val="20"/>
          <w:szCs w:val="20"/>
          <w:lang w:eastAsia="es-ES"/>
        </w:rPr>
      </w:r>
    </w:p>
    <w:p>
      <w:pPr>
        <w:pStyle w:val="Normal"/>
        <w:ind w:firstLine="708"/>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 xml:space="preserve">De no recibirse respuesta en el plazo concedido, se entenderá que no se tienen observaciones y se seguirá el trámite indicado en el segundo párrafo de este oficio. </w:t>
      </w:r>
    </w:p>
    <w:p>
      <w:pPr>
        <w:pStyle w:val="Normal"/>
        <w:widowControl w:val="false"/>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r>
    </w:p>
    <w:p>
      <w:pPr>
        <w:pStyle w:val="Normal"/>
        <w:widowControl w:val="false"/>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r>
    </w:p>
    <w:p>
      <w:pPr>
        <w:pStyle w:val="Normal"/>
        <w:widowControl w:val="false"/>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t>Atentamente,</w:t>
      </w:r>
    </w:p>
    <w:p>
      <w:pPr>
        <w:pStyle w:val="Normal"/>
        <w:widowControl w:val="false"/>
        <w:jc w:val="both"/>
        <w:rPr>
          <w:rFonts w:ascii="Bookman Old Style" w:hAnsi="Bookman Old Style" w:cs="Book Antiqua"/>
          <w:b/>
          <w:b/>
          <w:bCs/>
          <w:i/>
          <w:i/>
          <w:iCs/>
          <w:sz w:val="20"/>
          <w:szCs w:val="20"/>
          <w:lang w:val="pt-BR" w:eastAsia="es-ES"/>
        </w:rPr>
      </w:pPr>
      <w:r>
        <w:rPr>
          <w:rFonts w:cs="Book Antiqua" w:ascii="Bookman Old Style" w:hAnsi="Bookman Old Style"/>
          <w:b/>
          <w:bCs/>
          <w:i/>
          <w:iCs/>
          <w:sz w:val="20"/>
          <w:szCs w:val="20"/>
          <w:lang w:val="pt-BR" w:eastAsia="es-ES"/>
        </w:rPr>
      </w:r>
    </w:p>
    <w:p>
      <w:pPr>
        <w:pStyle w:val="Normal"/>
        <w:widowControl w:val="false"/>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r>
    </w:p>
    <w:p>
      <w:pPr>
        <w:pStyle w:val="Normal"/>
        <w:widowControl w:val="false"/>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r>
    </w:p>
    <w:p>
      <w:pPr>
        <w:pStyle w:val="Normal"/>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t>Nacira Valverde Bermúdez</w:t>
      </w:r>
    </w:p>
    <w:p>
      <w:pPr>
        <w:pStyle w:val="Normal"/>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t>Directora a.i. de Planificación</w:t>
      </w:r>
    </w:p>
    <w:p>
      <w:pPr>
        <w:pStyle w:val="Normal"/>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r>
    </w:p>
    <w:p>
      <w:pPr>
        <w:pStyle w:val="Normal"/>
        <w:jc w:val="both"/>
        <w:rPr>
          <w:rFonts w:ascii="Bookman Old Style" w:hAnsi="Bookman Old Style" w:cs="Book Antiqua"/>
          <w:i/>
          <w:i/>
          <w:iCs/>
          <w:sz w:val="20"/>
          <w:szCs w:val="20"/>
          <w:lang w:val="pt-BR" w:eastAsia="es-ES"/>
        </w:rPr>
      </w:pPr>
      <w:r>
        <w:rPr>
          <w:rFonts w:cs="Book Antiqua" w:ascii="Bookman Old Style" w:hAnsi="Bookman Old Style"/>
          <w:i/>
          <w:iCs/>
          <w:sz w:val="20"/>
          <w:szCs w:val="20"/>
          <w:lang w:val="pt-BR" w:eastAsia="es-ES"/>
        </w:rPr>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t xml:space="preserve">Copias: </w:t>
      </w:r>
    </w:p>
    <w:p>
      <w:pPr>
        <w:pStyle w:val="Normal"/>
        <w:jc w:val="both"/>
        <w:rPr>
          <w:rFonts w:ascii="Bookman Old Style" w:hAnsi="Bookman Old Style" w:cs="Book Antiqua"/>
          <w:i/>
          <w:i/>
          <w:iCs/>
          <w:sz w:val="20"/>
          <w:szCs w:val="20"/>
          <w:lang w:eastAsia="es-ES"/>
        </w:rPr>
      </w:pPr>
      <w:r>
        <w:rPr>
          <w:rFonts w:cs="Book Antiqua" w:ascii="Bookman Old Style" w:hAnsi="Bookman Old Style"/>
          <w:i/>
          <w:iCs/>
          <w:sz w:val="20"/>
          <w:szCs w:val="20"/>
          <w:lang w:eastAsia="es-ES"/>
        </w:rPr>
      </w:r>
    </w:p>
    <w:p>
      <w:pPr>
        <w:pStyle w:val="ListParagraph"/>
        <w:numPr>
          <w:ilvl w:val="0"/>
          <w:numId w:val="24"/>
        </w:numPr>
        <w:spacing w:before="0" w:after="0"/>
        <w:jc w:val="both"/>
        <w:rPr>
          <w:rFonts w:ascii="Bookman Old Style" w:hAnsi="Bookman Old Style" w:cs="Book Antiqua"/>
          <w:i/>
          <w:i/>
          <w:iCs/>
          <w:sz w:val="20"/>
        </w:rPr>
      </w:pPr>
      <w:r>
        <w:rPr>
          <w:rFonts w:cs="Book Antiqua" w:ascii="Bookman Old Style" w:hAnsi="Bookman Old Style"/>
          <w:i/>
          <w:iCs/>
          <w:sz w:val="20"/>
        </w:rPr>
        <w:t>Dirección de Tecnología de la Información</w:t>
      </w:r>
    </w:p>
    <w:p>
      <w:pPr>
        <w:pStyle w:val="ListParagraph"/>
        <w:numPr>
          <w:ilvl w:val="0"/>
          <w:numId w:val="24"/>
        </w:numPr>
        <w:spacing w:before="0" w:after="0"/>
        <w:jc w:val="both"/>
        <w:rPr>
          <w:rFonts w:ascii="Bookman Old Style" w:hAnsi="Bookman Old Style" w:cs="Book Antiqua"/>
          <w:i/>
          <w:i/>
          <w:iCs/>
          <w:sz w:val="20"/>
        </w:rPr>
      </w:pPr>
      <w:r>
        <w:rPr>
          <w:rFonts w:cs="Book Antiqua" w:ascii="Bookman Old Style" w:hAnsi="Bookman Old Style"/>
          <w:i/>
          <w:iCs/>
          <w:sz w:val="20"/>
        </w:rPr>
        <w:t>Dirección de Gestión Humana</w:t>
      </w:r>
    </w:p>
    <w:p>
      <w:pPr>
        <w:pStyle w:val="ListParagraph"/>
        <w:numPr>
          <w:ilvl w:val="0"/>
          <w:numId w:val="24"/>
        </w:numPr>
        <w:spacing w:before="0" w:after="0"/>
        <w:jc w:val="both"/>
        <w:rPr>
          <w:rFonts w:ascii="Bookman Old Style" w:hAnsi="Bookman Old Style" w:cs="Book Antiqua"/>
          <w:i/>
          <w:i/>
          <w:iCs/>
          <w:sz w:val="20"/>
        </w:rPr>
      </w:pPr>
      <w:r>
        <w:rPr>
          <w:rFonts w:cs="Book Antiqua" w:ascii="Bookman Old Style" w:hAnsi="Bookman Old Style"/>
          <w:i/>
          <w:iCs/>
          <w:sz w:val="20"/>
        </w:rPr>
        <w:t>Archivo</w:t>
      </w:r>
    </w:p>
    <w:p>
      <w:pPr>
        <w:pStyle w:val="Normal"/>
        <w:jc w:val="both"/>
        <w:rPr>
          <w:rFonts w:ascii="Bookman Old Style" w:hAnsi="Bookman Old Style" w:cs="Book Antiqua"/>
          <w:i/>
          <w:i/>
          <w:iCs/>
          <w:sz w:val="20"/>
          <w:szCs w:val="20"/>
          <w:lang w:val="es-ES" w:eastAsia="es-ES"/>
        </w:rPr>
      </w:pPr>
      <w:r>
        <w:rPr>
          <w:rFonts w:cs="Book Antiqua" w:ascii="Bookman Old Style" w:hAnsi="Bookman Old Style"/>
          <w:i/>
          <w:iCs/>
          <w:sz w:val="20"/>
          <w:szCs w:val="20"/>
          <w:lang w:val="es-ES" w:eastAsia="es-ES"/>
        </w:rPr>
      </w:r>
    </w:p>
    <w:p>
      <w:pPr>
        <w:pStyle w:val="Normal"/>
        <w:jc w:val="both"/>
        <w:rPr>
          <w:rFonts w:ascii="Bookman Old Style" w:hAnsi="Bookman Old Style" w:cs="Book Antiqua"/>
          <w:i/>
          <w:i/>
          <w:iCs/>
          <w:sz w:val="20"/>
          <w:szCs w:val="20"/>
          <w:lang w:val="es-ES" w:eastAsia="es-ES"/>
        </w:rPr>
      </w:pPr>
      <w:r>
        <w:rPr>
          <w:rFonts w:cs="Book Antiqua" w:ascii="Bookman Old Style" w:hAnsi="Bookman Old Style"/>
          <w:i/>
          <w:iCs/>
          <w:sz w:val="20"/>
          <w:szCs w:val="20"/>
          <w:lang w:val="es-ES" w:eastAsia="es-ES"/>
        </w:rPr>
        <w:t>NVB/EGPG/bls</w:t>
      </w:r>
    </w:p>
    <w:p>
      <w:pPr>
        <w:pStyle w:val="Normal"/>
        <w:jc w:val="both"/>
        <w:rPr>
          <w:rFonts w:ascii="Bookman Old Style" w:hAnsi="Bookman Old Style" w:cs="Arial"/>
          <w:i/>
          <w:i/>
          <w:iCs/>
          <w:sz w:val="20"/>
          <w:szCs w:val="20"/>
        </w:rPr>
      </w:pPr>
      <w:r>
        <w:rPr>
          <w:rFonts w:cs="Book Antiqua" w:ascii="Bookman Old Style" w:hAnsi="Bookman Old Style"/>
          <w:i/>
          <w:iCs/>
          <w:sz w:val="20"/>
          <w:szCs w:val="20"/>
          <w:lang w:val="es-ES_tradnl" w:eastAsia="es-ES"/>
        </w:rPr>
        <w:t>Ref.</w:t>
      </w:r>
      <w:r>
        <w:rPr>
          <w:rFonts w:cs="Bookman Old Style" w:ascii="Bookman Old Style" w:hAnsi="Bookman Old Style"/>
          <w:b/>
          <w:bCs/>
          <w:i/>
          <w:iCs/>
          <w:sz w:val="20"/>
          <w:szCs w:val="20"/>
          <w:lang w:val="es-ES_tradnl" w:eastAsia="es-ES"/>
        </w:rPr>
        <w:t xml:space="preserve"> </w:t>
      </w:r>
      <w:r>
        <w:rPr>
          <w:rFonts w:cs="Bookman Old Style" w:ascii="Bookman Old Style" w:hAnsi="Bookman Old Style"/>
          <w:b/>
          <w:bCs/>
          <w:i/>
          <w:iCs/>
          <w:sz w:val="20"/>
          <w:szCs w:val="20"/>
          <w:u w:val="single"/>
          <w:lang w:val="es-ES_tradnl" w:eastAsia="es-ES"/>
        </w:rPr>
        <w:t>1692-18</w:t>
      </w:r>
      <w:r>
        <w:rPr>
          <w:rFonts w:cs="Bookman Old Style" w:ascii="Bookman Old Style" w:hAnsi="Bookman Old Style"/>
          <w:bCs/>
          <w:i/>
          <w:iCs/>
          <w:sz w:val="20"/>
          <w:szCs w:val="20"/>
          <w:lang w:val="es-ES_tradnl" w:eastAsia="es-ES"/>
        </w:rPr>
        <w:t>/1610-18/1859-18/150-18</w:t>
      </w:r>
      <w:r>
        <w:br w:type="page"/>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i/>
          <w:i/>
          <w:iCs/>
          <w:sz w:val="20"/>
          <w:szCs w:val="20"/>
          <w:lang w:eastAsia="es-ES"/>
        </w:rPr>
      </w:pPr>
      <w:r>
        <w:rPr>
          <w:rFonts w:cs="Arial" w:ascii="Bookman Old Style" w:hAnsi="Bookman Old Style"/>
          <w:i/>
          <w:iCs/>
          <w:sz w:val="20"/>
          <w:szCs w:val="20"/>
        </w:rPr>
        <w:tab/>
        <w:tab/>
        <w:tab/>
        <w:tab/>
        <w:tab/>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Normal"/>
        <w:jc w:val="both"/>
        <w:rPr>
          <w:rFonts w:ascii="Bookman Old Style" w:hAnsi="Bookman Old Style" w:eastAsia="Arial" w:cs="Arial"/>
          <w:b/>
          <w:b/>
          <w:bCs/>
          <w:i/>
          <w:i/>
          <w:iCs/>
          <w:color w:val="0070C0"/>
          <w:sz w:val="20"/>
          <w:szCs w:val="20"/>
        </w:rPr>
      </w:pPr>
      <w:r>
        <w:rPr>
          <w:rFonts w:eastAsia="Arial" w:cs="Arial" w:ascii="Bookman Old Style" w:hAnsi="Bookman Old Style"/>
          <w:b/>
          <w:bCs/>
          <w:i/>
          <w:iCs/>
          <w:color w:val="0070C0"/>
          <w:sz w:val="20"/>
          <w:szCs w:val="20"/>
        </w:rPr>
        <w:t>Subproceso de Modernización Institucional</w:t>
      </w:r>
    </w:p>
    <w:p>
      <w:pPr>
        <w:pStyle w:val="Normal"/>
        <w:jc w:val="both"/>
        <w:rPr>
          <w:rFonts w:ascii="Bookman Old Style" w:hAnsi="Bookman Old Style" w:eastAsia="Arial" w:cs="Arial"/>
          <w:b/>
          <w:b/>
          <w:bCs/>
          <w:i/>
          <w:i/>
          <w:iCs/>
          <w:color w:val="0070C0"/>
          <w:sz w:val="20"/>
          <w:szCs w:val="20"/>
        </w:rPr>
      </w:pPr>
      <w:r>
        <w:rPr>
          <w:rFonts w:eastAsia="Arial" w:cs="Arial" w:ascii="Bookman Old Style" w:hAnsi="Bookman Old Style"/>
          <w:b/>
          <w:bCs/>
          <w:i/>
          <w:iCs/>
          <w:color w:val="0070C0"/>
          <w:sz w:val="20"/>
          <w:szCs w:val="20"/>
        </w:rPr>
        <w:t>Proceso de Ejecución de las Operaciones</w:t>
      </w:r>
    </w:p>
    <w:p>
      <w:pPr>
        <w:pStyle w:val="Normal"/>
        <w:jc w:val="both"/>
        <w:rPr>
          <w:rFonts w:ascii="Bookman Old Style" w:hAnsi="Bookman Old Style" w:eastAsia="Arial" w:cs="Arial"/>
          <w:b/>
          <w:b/>
          <w:bCs/>
          <w:i/>
          <w:i/>
          <w:iCs/>
          <w:color w:val="0070C0"/>
          <w:sz w:val="20"/>
          <w:szCs w:val="20"/>
        </w:rPr>
      </w:pPr>
      <w:r>
        <w:rPr>
          <w:rFonts w:eastAsia="Arial" w:cs="Arial" w:ascii="Bookman Old Style" w:hAnsi="Bookman Old Style"/>
          <w:b/>
          <w:bCs/>
          <w:i/>
          <w:iCs/>
          <w:color w:val="0070C0"/>
          <w:sz w:val="20"/>
          <w:szCs w:val="20"/>
        </w:rPr>
        <w:t xml:space="preserve"> </w:t>
      </w:r>
      <w:r>
        <w:rPr>
          <w:rFonts w:eastAsia="Arial" w:cs="Arial" w:ascii="Bookman Old Style" w:hAnsi="Bookman Old Style"/>
          <w:b/>
          <w:bCs/>
          <w:i/>
          <w:iCs/>
          <w:color w:val="0070C0"/>
          <w:sz w:val="20"/>
          <w:szCs w:val="20"/>
        </w:rPr>
        <w:t>Dirección de Planificación</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Normal"/>
        <w:jc w:val="both"/>
        <w:rPr>
          <w:rFonts w:ascii="Bookman Old Style" w:hAnsi="Bookman Old Style" w:eastAsia="Arial" w:cs="Arial"/>
          <w:b/>
          <w:b/>
          <w:bCs/>
          <w:i/>
          <w:i/>
          <w:iCs/>
          <w:sz w:val="20"/>
          <w:szCs w:val="20"/>
          <w:highlight w:val="red"/>
        </w:rPr>
      </w:pPr>
      <w:r>
        <w:rPr>
          <w:rFonts w:eastAsia="Arial" w:cs="Arial" w:ascii="Bookman Old Style" w:hAnsi="Bookman Old Style"/>
          <w:b/>
          <w:bCs/>
          <w:i/>
          <w:iCs/>
          <w:sz w:val="20"/>
          <w:szCs w:val="20"/>
        </w:rPr>
        <w:t xml:space="preserve">Impacto organizacional y presupuestario en el Poder Judicial, (Defensa Pública) a partir de la promulgación de la Ley 9593 de Acceso a la Justicia de los Pueblos Indígenas </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Normal"/>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Elaborado por:</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Inga. Hazel Calderón Mata</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Lic. Eder Arias Vargas</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89"/>
        <w:gridCol w:w="4312"/>
        <w:gridCol w:w="3951"/>
      </w:tblGrid>
      <w:tr>
        <w:trPr>
          <w:trHeight w:val="332" w:hRule="atLeast"/>
        </w:trPr>
        <w:tc>
          <w:tcPr>
            <w:tcW w:w="1489" w:type="dxa"/>
            <w:tcBorders>
              <w:top w:val="single" w:sz="4" w:space="0" w:color="FFFFFF"/>
              <w:left w:val="single" w:sz="4" w:space="0" w:color="FFFFFF"/>
              <w:bottom w:val="single" w:sz="4" w:space="0" w:color="000000"/>
              <w:right w:val="single" w:sz="4" w:space="0" w:color="000000"/>
            </w:tcBorders>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r>
          </w:p>
        </w:tc>
        <w:tc>
          <w:tcPr>
            <w:tcW w:w="4312"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
              <w:widowControl w:val="false"/>
              <w:jc w:val="both"/>
              <w:rPr>
                <w:rFonts w:ascii="Bookman Old Style" w:hAnsi="Bookman Old Style" w:eastAsia="Arial" w:cs="Arial"/>
                <w:b/>
                <w:b/>
                <w:bCs/>
                <w:i/>
                <w:i/>
                <w:iCs/>
                <w:color w:val="FFFFFF"/>
                <w:sz w:val="20"/>
                <w:szCs w:val="20"/>
              </w:rPr>
            </w:pPr>
            <w:r>
              <w:rPr>
                <w:rFonts w:eastAsia="Arial" w:cs="Arial" w:ascii="Bookman Old Style" w:hAnsi="Bookman Old Style"/>
                <w:b/>
                <w:bCs/>
                <w:i/>
                <w:iCs/>
                <w:color w:val="FFFFFF"/>
                <w:sz w:val="20"/>
                <w:szCs w:val="20"/>
              </w:rPr>
              <w:t>NOMBRE</w:t>
            </w:r>
          </w:p>
        </w:tc>
        <w:tc>
          <w:tcPr>
            <w:tcW w:w="3951"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
              <w:widowControl w:val="false"/>
              <w:jc w:val="both"/>
              <w:rPr>
                <w:rFonts w:ascii="Bookman Old Style" w:hAnsi="Bookman Old Style" w:eastAsia="Arial" w:cs="Arial"/>
                <w:b/>
                <w:b/>
                <w:bCs/>
                <w:i/>
                <w:i/>
                <w:iCs/>
                <w:color w:val="FFFFFF"/>
                <w:sz w:val="20"/>
                <w:szCs w:val="20"/>
              </w:rPr>
            </w:pPr>
            <w:r>
              <w:rPr>
                <w:rFonts w:eastAsia="Arial" w:cs="Arial" w:ascii="Bookman Old Style" w:hAnsi="Bookman Old Style"/>
                <w:b/>
                <w:bCs/>
                <w:i/>
                <w:iCs/>
                <w:color w:val="FFFFFF"/>
                <w:sz w:val="20"/>
                <w:szCs w:val="20"/>
              </w:rPr>
              <w:t>Puesto</w:t>
            </w:r>
          </w:p>
        </w:tc>
      </w:tr>
      <w:tr>
        <w:trPr>
          <w:trHeight w:val="632" w:hRule="atLeast"/>
        </w:trPr>
        <w:tc>
          <w:tcPr>
            <w:tcW w:w="1489"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both"/>
              <w:rPr>
                <w:rFonts w:ascii="Bookman Old Style" w:hAnsi="Bookman Old Style" w:eastAsia="Arial" w:cs="Arial"/>
                <w:b/>
                <w:b/>
                <w:bCs/>
                <w:i/>
                <w:i/>
                <w:iCs/>
                <w:color w:val="000000"/>
                <w:sz w:val="20"/>
                <w:szCs w:val="20"/>
              </w:rPr>
            </w:pPr>
            <w:r>
              <w:rPr>
                <w:rFonts w:eastAsia="Arial" w:cs="Arial" w:ascii="Bookman Old Style" w:hAnsi="Bookman Old Style"/>
                <w:b/>
                <w:bCs/>
                <w:i/>
                <w:iCs/>
                <w:color w:val="000000"/>
                <w:sz w:val="20"/>
                <w:szCs w:val="20"/>
              </w:rPr>
              <w:t>Aprobado por:</w:t>
            </w:r>
          </w:p>
        </w:tc>
        <w:tc>
          <w:tcPr>
            <w:tcW w:w="4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eastAsia="Arial" w:cs="Arial"/>
                <w:i/>
                <w:i/>
                <w:iCs/>
                <w:color w:val="000000"/>
                <w:sz w:val="20"/>
                <w:szCs w:val="20"/>
              </w:rPr>
            </w:pPr>
            <w:r>
              <w:rPr>
                <w:rFonts w:eastAsia="Arial" w:cs="Arial" w:ascii="Bookman Old Style" w:hAnsi="Bookman Old Style"/>
                <w:i/>
                <w:iCs/>
                <w:color w:val="000000"/>
                <w:sz w:val="20"/>
                <w:szCs w:val="20"/>
              </w:rPr>
              <w:t>Inga. Elena Gabriela Picado González</w:t>
            </w:r>
          </w:p>
        </w:tc>
        <w:tc>
          <w:tcPr>
            <w:tcW w:w="39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eastAsia="Arial" w:cs="Arial"/>
                <w:i/>
                <w:i/>
                <w:iCs/>
                <w:color w:val="000000"/>
                <w:sz w:val="20"/>
                <w:szCs w:val="20"/>
                <w:highlight w:val="lightGray"/>
              </w:rPr>
            </w:pPr>
            <w:r>
              <w:rPr>
                <w:rFonts w:eastAsia="Arial" w:cs="Arial" w:ascii="Bookman Old Style" w:hAnsi="Bookman Old Style"/>
                <w:i/>
                <w:iCs/>
                <w:color w:val="000000"/>
                <w:sz w:val="20"/>
                <w:szCs w:val="20"/>
              </w:rPr>
              <w:t>Jefa a.i. Subproceso Modernización Institucional</w:t>
            </w:r>
          </w:p>
        </w:tc>
      </w:tr>
      <w:tr>
        <w:trPr>
          <w:trHeight w:val="488" w:hRule="atLeast"/>
        </w:trPr>
        <w:tc>
          <w:tcPr>
            <w:tcW w:w="1489"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both"/>
              <w:rPr>
                <w:rFonts w:ascii="Bookman Old Style" w:hAnsi="Bookman Old Style" w:eastAsia="Arial" w:cs="Arial"/>
                <w:b/>
                <w:b/>
                <w:bCs/>
                <w:i/>
                <w:i/>
                <w:iCs/>
                <w:color w:val="000000"/>
                <w:sz w:val="20"/>
                <w:szCs w:val="20"/>
              </w:rPr>
            </w:pPr>
            <w:r>
              <w:rPr>
                <w:rFonts w:eastAsia="Arial" w:cs="Arial" w:ascii="Bookman Old Style" w:hAnsi="Bookman Old Style"/>
                <w:b/>
                <w:bCs/>
                <w:i/>
                <w:iCs/>
                <w:color w:val="000000"/>
                <w:sz w:val="20"/>
                <w:szCs w:val="20"/>
              </w:rPr>
              <w:t>Visto Bueno</w:t>
            </w:r>
          </w:p>
        </w:tc>
        <w:tc>
          <w:tcPr>
            <w:tcW w:w="4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Lic. Nacira Valverde Bermúdez</w:t>
            </w:r>
          </w:p>
        </w:tc>
        <w:tc>
          <w:tcPr>
            <w:tcW w:w="39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eastAsia="Arial" w:cs="Arial"/>
                <w:i/>
                <w:i/>
                <w:iCs/>
                <w:color w:val="000000"/>
                <w:sz w:val="20"/>
                <w:szCs w:val="20"/>
                <w:highlight w:val="lightGray"/>
              </w:rPr>
            </w:pPr>
            <w:r>
              <w:rPr>
                <w:rFonts w:eastAsia="Arial" w:cs="Arial" w:ascii="Bookman Old Style" w:hAnsi="Bookman Old Style"/>
                <w:i/>
                <w:iCs/>
                <w:sz w:val="20"/>
                <w:szCs w:val="20"/>
              </w:rPr>
              <w:t>Directora de Planificación</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Marzo, 2020</w:t>
      </w:r>
    </w:p>
    <w:p>
      <w:pPr>
        <w:pStyle w:val="Ttulo1"/>
        <w:keepLines w:val="false"/>
        <w:numPr>
          <w:ilvl w:val="0"/>
          <w:numId w:val="7"/>
        </w:numPr>
        <w:spacing w:lineRule="auto" w:line="360" w:before="0" w:after="240"/>
        <w:jc w:val="both"/>
        <w:rPr>
          <w:rFonts w:ascii="Bookman Old Style" w:hAnsi="Bookman Old Style"/>
          <w:i/>
          <w:i/>
          <w:iCs/>
          <w:sz w:val="20"/>
          <w:szCs w:val="20"/>
        </w:rPr>
      </w:pPr>
      <w:r>
        <w:rPr>
          <w:rStyle w:val="Ttulo1Car"/>
          <w:rFonts w:ascii="Bookman Old Style" w:hAnsi="Bookman Old Style"/>
          <w:b/>
          <w:bCs/>
          <w:i/>
          <w:iCs/>
          <w:sz w:val="20"/>
          <w:szCs w:val="20"/>
        </w:rPr>
        <w:t>Oficios y referencias</w:t>
      </w:r>
    </w:p>
    <w:p>
      <w:pPr>
        <w:pStyle w:val="Normal"/>
        <w:jc w:val="both"/>
        <w:rPr>
          <w:rFonts w:ascii="Bookman Old Style" w:hAnsi="Bookman Old Style"/>
          <w:i/>
          <w:i/>
          <w:iCs/>
          <w:sz w:val="20"/>
          <w:szCs w:val="20"/>
        </w:rPr>
      </w:pPr>
      <w:r>
        <w:rPr>
          <w:rFonts w:ascii="Bookman Old Style" w:hAnsi="Bookman Old Style"/>
          <w:i/>
          <w:iCs/>
          <w:sz w:val="20"/>
          <w:szCs w:val="20"/>
        </w:rPr>
        <w:t xml:space="preserve">En el siguiente cuadro se detalla los números de oficios de la Secretaría General de la Corte que corresponden a las referencias internas de la Dirección de Planificación: </w:t>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88"/>
        <w:gridCol w:w="1875"/>
        <w:gridCol w:w="5889"/>
      </w:tblGrid>
      <w:tr>
        <w:trPr>
          <w:trHeight w:val="637" w:hRule="atLeast"/>
        </w:trPr>
        <w:tc>
          <w:tcPr>
            <w:tcW w:w="198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No. Referencia Interna</w:t>
            </w:r>
          </w:p>
        </w:tc>
        <w:tc>
          <w:tcPr>
            <w:tcW w:w="187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No. Oficio de la Secretaría</w:t>
            </w:r>
          </w:p>
        </w:tc>
        <w:tc>
          <w:tcPr>
            <w:tcW w:w="588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Oficios Relacionados</w:t>
            </w:r>
          </w:p>
        </w:tc>
      </w:tr>
      <w:tr>
        <w:trPr>
          <w:trHeight w:val="420" w:hRule="atLeast"/>
        </w:trPr>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1610-18</w:t>
            </w:r>
          </w:p>
        </w:tc>
        <w:tc>
          <w:tcPr>
            <w:tcW w:w="1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10473-18</w:t>
            </w:r>
          </w:p>
        </w:tc>
        <w:tc>
          <w:tcPr>
            <w:tcW w:w="58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w:t>
            </w:r>
          </w:p>
        </w:tc>
      </w:tr>
      <w:tr>
        <w:trPr>
          <w:trHeight w:val="420" w:hRule="atLeast"/>
        </w:trPr>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1692-18</w:t>
            </w:r>
          </w:p>
        </w:tc>
        <w:tc>
          <w:tcPr>
            <w:tcW w:w="1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10880-18</w:t>
            </w:r>
          </w:p>
        </w:tc>
        <w:tc>
          <w:tcPr>
            <w:tcW w:w="58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w:t>
            </w:r>
          </w:p>
        </w:tc>
      </w:tr>
      <w:tr>
        <w:trPr>
          <w:trHeight w:val="976" w:hRule="atLeast"/>
        </w:trPr>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1859-18</w:t>
            </w:r>
          </w:p>
        </w:tc>
        <w:tc>
          <w:tcPr>
            <w:tcW w:w="1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w:t>
            </w:r>
          </w:p>
        </w:tc>
        <w:tc>
          <w:tcPr>
            <w:tcW w:w="58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Correo del 13-nov-18 de la Dirección de la Defensa Pública, sobre cantidad de usuarios indígenas</w:t>
            </w:r>
          </w:p>
        </w:tc>
      </w:tr>
      <w:tr>
        <w:trPr>
          <w:trHeight w:val="420" w:hRule="atLeast"/>
        </w:trPr>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150-19</w:t>
            </w:r>
          </w:p>
        </w:tc>
        <w:tc>
          <w:tcPr>
            <w:tcW w:w="1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951-19</w:t>
            </w:r>
          </w:p>
        </w:tc>
        <w:tc>
          <w:tcPr>
            <w:tcW w:w="58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w:t>
            </w:r>
          </w:p>
        </w:tc>
      </w:tr>
      <w:tr>
        <w:trPr>
          <w:trHeight w:val="420" w:hRule="atLeast"/>
        </w:trPr>
        <w:tc>
          <w:tcPr>
            <w:tcW w:w="1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384-19</w:t>
            </w:r>
          </w:p>
        </w:tc>
        <w:tc>
          <w:tcPr>
            <w:tcW w:w="1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2339-19</w:t>
            </w:r>
          </w:p>
        </w:tc>
        <w:tc>
          <w:tcPr>
            <w:tcW w:w="58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Proyecto u oficinas analizadas</w:t>
      </w:r>
    </w:p>
    <w:p>
      <w:pPr>
        <w:pStyle w:val="Normal"/>
        <w:jc w:val="both"/>
        <w:rPr>
          <w:rFonts w:ascii="Bookman Old Style" w:hAnsi="Bookman Old Style"/>
          <w:i/>
          <w:i/>
          <w:iCs/>
          <w:sz w:val="20"/>
          <w:szCs w:val="20"/>
          <w:highlight w:val="red"/>
        </w:rPr>
      </w:pPr>
      <w:r>
        <w:rPr>
          <w:rFonts w:ascii="Bookman Old Style" w:hAnsi="Bookman Old Style"/>
          <w:i/>
          <w:iCs/>
          <w:sz w:val="20"/>
          <w:szCs w:val="20"/>
        </w:rPr>
        <w:t>Impacto organizacional y presupuestario en el Poder Judicial a partir de la promulgación de la Ley 9593 de Acceso a la Justicia de los Pueblos Indígenas.</w:t>
      </w:r>
      <w:r>
        <w:br w:type="page"/>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Antecedentes</w:t>
      </w:r>
    </w:p>
    <w:p>
      <w:pPr>
        <w:pStyle w:val="Normal"/>
        <w:jc w:val="both"/>
        <w:rPr>
          <w:rFonts w:ascii="Bookman Old Style" w:hAnsi="Bookman Old Style"/>
          <w:i/>
          <w:i/>
          <w:iCs/>
          <w:sz w:val="20"/>
          <w:szCs w:val="20"/>
        </w:rPr>
      </w:pPr>
      <w:r>
        <w:rPr>
          <w:rFonts w:ascii="Bookman Old Style" w:hAnsi="Bookman Old Style"/>
          <w:i/>
          <w:iCs/>
          <w:sz w:val="20"/>
          <w:szCs w:val="20"/>
        </w:rPr>
        <w:t>Mediante oficio 37-CSP-18 del 9 de abril, de la Secretaría General de la Corte, se remite el acuerdo del Consejo Superior, sesión extraordinaria 25-18 del 4 de abril, donde se aprobó el informe 20-PLA-OI-2018, presentado por la Dirección de Planificación y sus recomendaciones, entre las que se destaca asignar siete plazas extraordinarias de Defensor Público para la atención de materia Agraria, por todo el período 2018 en apoyo del plan de descongestionamiento del Tribunal Agrario, y se estima la continuidad de las plazas de defensores para el período 2019.</w:t>
      </w:r>
    </w:p>
    <w:p>
      <w:pPr>
        <w:pStyle w:val="Normal"/>
        <w:jc w:val="both"/>
        <w:rPr>
          <w:rFonts w:ascii="Bookman Old Style" w:hAnsi="Bookman Old Style"/>
          <w:i/>
          <w:i/>
          <w:iCs/>
          <w:sz w:val="20"/>
          <w:szCs w:val="20"/>
        </w:rPr>
      </w:pPr>
      <w:r>
        <w:rPr>
          <w:rFonts w:ascii="Bookman Old Style" w:hAnsi="Bookman Old Style"/>
          <w:i/>
          <w:iCs/>
          <w:sz w:val="20"/>
          <w:szCs w:val="20"/>
        </w:rPr>
        <w:t xml:space="preserve">Por otra parte, en relación con el Proyecto de Ley denominado: “Carta de derechos sobre acceso a la justicia de los pueblos indígenas”, expediente 17805; mediante oficio 10880-18 del 22 de agosto de 2018, de la Secretaría General de la Corte, se remite el acuerdo del Consejo Superior, en sesión 86-18, del 2 de octubre, artículo LXVI donde  se acoge la solicitud presentada por la Jefatura de la Defensa Pública mediante oficio JEFDP-1123-2018 del 17 de setiembre de 2018 y se hace de conocimiento del acuerdo a la Dirección de Planificación con la finalidad que realice el análisis de todos los aspectos que implique el cambio por la entrada en vigencia de lo que ese entonces era el proyecto de Ley. En este particular, se resalta que la Ley 9593 de Acceso a la justicia de los pueblos indígenas de Costa Rica, entró en vigencia a partir de su publicación, la cual fue realizada en la Gaceta 179 (Alcance 174) del 28 de setiembre de 2018. </w:t>
      </w:r>
    </w:p>
    <w:p>
      <w:pPr>
        <w:pStyle w:val="Normal"/>
        <w:jc w:val="both"/>
        <w:rPr>
          <w:rFonts w:ascii="Bookman Old Style" w:hAnsi="Bookman Old Style"/>
          <w:i/>
          <w:i/>
          <w:iCs/>
          <w:sz w:val="20"/>
          <w:szCs w:val="20"/>
        </w:rPr>
      </w:pPr>
      <w:r>
        <w:rPr>
          <w:rFonts w:ascii="Bookman Old Style" w:hAnsi="Bookman Old Style"/>
          <w:i/>
          <w:iCs/>
          <w:sz w:val="20"/>
          <w:szCs w:val="20"/>
        </w:rPr>
        <w:t xml:space="preserve">Además, mediante oficio JEFDP-1244-2018 del 1 de octubre de 2018, de la Dirección de la Defensa Pública señala que: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Dentro del estudio que realiza la Dirección de Planificación sobre las cargas de trabajo de plazas asignadas a la jurisdicción de Flagrancia, se valore la posibilidad de que algunas de estas plazas sean reasignadas a la atención de la población indígena para garantizar su acceso a la justicia (…)”</w:t>
      </w:r>
    </w:p>
    <w:p>
      <w:pPr>
        <w:pStyle w:val="Normal"/>
        <w:jc w:val="both"/>
        <w:rPr>
          <w:rFonts w:ascii="Bookman Old Style" w:hAnsi="Bookman Old Style"/>
          <w:i/>
          <w:i/>
          <w:iCs/>
          <w:sz w:val="20"/>
          <w:szCs w:val="20"/>
        </w:rPr>
      </w:pPr>
      <w:r>
        <w:rPr>
          <w:rFonts w:ascii="Bookman Old Style" w:hAnsi="Bookman Old Style"/>
          <w:i/>
          <w:iCs/>
          <w:sz w:val="20"/>
          <w:szCs w:val="20"/>
        </w:rPr>
        <w:t>En razón de lo anterior, mediante oficio 10473-18, del 9 de octubre de 2018, de la Secretaría General de la Corte, se remite el acuerdo del Consejo Superior, en sesión 87-18 del 4 de octubre de 2018, artículo LXXXIV, donde se considera trasladar la gestión presentada por la máster Diana Montero Montero, Jefa a.i. de la Defensa Pública, mediante oficio JEFDP-1244-2018 del 1 de octubre de 2018, a estudio de la Dirección de Planificación, e informe a este Consejo lo que corresponde.</w:t>
      </w:r>
    </w:p>
    <w:p>
      <w:pPr>
        <w:pStyle w:val="Normal"/>
        <w:jc w:val="both"/>
        <w:rPr>
          <w:rFonts w:ascii="Bookman Old Style" w:hAnsi="Bookman Old Style"/>
          <w:i/>
          <w:i/>
          <w:iCs/>
          <w:sz w:val="20"/>
          <w:szCs w:val="20"/>
        </w:rPr>
      </w:pPr>
      <w:r>
        <w:rPr>
          <w:rFonts w:ascii="Bookman Old Style" w:hAnsi="Bookman Old Style"/>
          <w:i/>
          <w:iCs/>
          <w:sz w:val="20"/>
          <w:szCs w:val="20"/>
        </w:rPr>
        <w:t xml:space="preserve">Por otro lado, en lo referente al patrocinio letrado de los servidores judiciales legalmente encomendado a la Jefatura de la Defensa Pública (artículo 152 de la Ley Orgánica del Poder Judicial), en la sesión 43-2019 del Consejo Superior artículo XL del 14 de mayo 2019, se acordó trasladar una plaza de persona defensora de la Secretaría Técnica de Género y Acceso a la Justicia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ya que se detectó la necesidad de reforzar estas funciones, pero no ha sido posible su asignación por la escases de recursos institucionales”. </w:t>
      </w:r>
    </w:p>
    <w:p>
      <w:pPr>
        <w:pStyle w:val="Normal"/>
        <w:jc w:val="both"/>
        <w:rPr>
          <w:rFonts w:ascii="Bookman Old Style" w:hAnsi="Bookman Old Style"/>
          <w:i/>
          <w:i/>
          <w:iCs/>
          <w:sz w:val="20"/>
          <w:szCs w:val="20"/>
        </w:rPr>
      </w:pPr>
      <w:r>
        <w:rPr>
          <w:rFonts w:ascii="Bookman Old Style" w:hAnsi="Bookman Old Style"/>
          <w:i/>
          <w:iCs/>
          <w:sz w:val="20"/>
          <w:szCs w:val="20"/>
        </w:rPr>
        <w:t xml:space="preserve">Por otro lado, mediante oficio 2339-19 del 6 de marzo de 2019, de la Secretaría de la Corte, se transcribe el acuerdo del Consejo Superior del Poder Judicial en sesión 13-19 del 15 de febrero de 2019, que literalmente dice: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Acoger la gestión anterior, en consecuencia: Autorizar al doctor Roberto Montero García, Defensor Público Supervisor, para que como recargo asuma en codefensa con las y los defensores públicos agrarios la representación de las personas usuarias que requieran de servicios contenciosos administrativos; además, la defensa de los dos funcionarios de Gestión Humana que deben ser representados y que a su vez funja como capacitador de la Defensa Pública en litigio Contencioso Administrativo en aras de poder  asumir con responsabilidad  la competencia creada en la  Ley N°9530.”</w:t>
      </w:r>
    </w:p>
    <w:p>
      <w:pPr>
        <w:pStyle w:val="Normal"/>
        <w:jc w:val="both"/>
        <w:rPr>
          <w:rFonts w:ascii="Bookman Old Style" w:hAnsi="Bookman Old Style"/>
          <w:i/>
          <w:i/>
          <w:iCs/>
          <w:sz w:val="20"/>
          <w:szCs w:val="20"/>
        </w:rPr>
      </w:pPr>
      <w:r>
        <w:rPr>
          <w:rFonts w:ascii="Bookman Old Style" w:hAnsi="Bookman Old Style"/>
          <w:i/>
          <w:iCs/>
          <w:sz w:val="20"/>
          <w:szCs w:val="20"/>
        </w:rPr>
        <w:t xml:space="preserve">En otro orden de ideas, es relevante hacer mención que mediante el informe 34-PLA-EV-2017 de la Dirección de Planificación, sobre el Impacto organizacional y presupuestario para el Poder Judicial en caso de aprobarse el proyecto de Ley denominado “Código Procesal de Familia”; se analizó lo referente a la Defensa Pública en la atención de asuntos en materia de Familia, Violencia Doméstica y Pensión Alimentaria; donde, se consideró entre otros asuntos crear un total de 33 plazas de Defensor Público para la defensa de la parte actora en asuntos de Pensión Alimentaria. El citado informe fue conocido por el Consejo Superior en sesión extraordinaria de presupuesto 43-17, del 5 de mayo del 2017, artículo XXIV y por Corte Plena en sesión 16-2017, del 1 de junio del 2017, artículo II, durante las sesiones de trabajo para analizar el proyecto del Presupuesto de Poder Judicial para el 2018, y se acordó lo siguiente: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Sometido el asunto a votación, por unanimidad, se dispuso: Acoger la propuesta planteada por la magistrada Arias y el magistrado Salazar Alvarado, en consecuencia, los presupuestos actualizados de impacto de Justicia Restaurativa y de las Reformas Procesal de Familia y Agrario se conocerán en el momento en que sean Leyes de la República.”</w:t>
      </w:r>
    </w:p>
    <w:p>
      <w:pPr>
        <w:pStyle w:val="Normal"/>
        <w:jc w:val="both"/>
        <w:rPr>
          <w:rFonts w:ascii="Bookman Old Style" w:hAnsi="Bookman Old Style"/>
          <w:i/>
          <w:i/>
          <w:iCs/>
          <w:sz w:val="20"/>
          <w:szCs w:val="20"/>
        </w:rPr>
      </w:pPr>
      <w:r>
        <w:rPr>
          <w:rFonts w:ascii="Bookman Old Style" w:hAnsi="Bookman Old Style"/>
          <w:i/>
          <w:iCs/>
          <w:sz w:val="20"/>
          <w:szCs w:val="20"/>
        </w:rPr>
        <w:t>Seguido, la Dirección de Planificación da a conocer, por medio del oficio 1285-PLA-2019 del 16 de agosto de 2019 que, mediante correo electrónico del 13 de agosto del 2019, la Magistrada de la Sala Segunda Sra. Julia Varela Araya solicitó a la Dirección de Planificación modificar las estimaciones del impacto presupuestario que tendría la implementación del proyecto de Lay del Código Procesal de Familia que se tramita en el expediente 19455 de la Asamblea Legislativa. Donde, textualmente se expone lo siguiente:</w:t>
      </w:r>
    </w:p>
    <w:p>
      <w:pPr>
        <w:pStyle w:val="Normal"/>
        <w:tabs>
          <w:tab w:val="clear" w:pos="708"/>
          <w:tab w:val="left" w:pos="8505" w:leader="none"/>
        </w:tabs>
        <w:ind w:left="567" w:right="616"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con la finalidad de disminuir el impacto económico de la implementación del referido código, se eliminaron tres temas importantes que contenían el mayor peso desde el punto de vista económico, para esta importantísima y necesaria reforma. Lo eliminado se refiere a: Los equipos interdisciplinarios, para los despachos de Familia que lo requerían</w:t>
      </w:r>
    </w:p>
    <w:p>
      <w:pPr>
        <w:pStyle w:val="ListParagraph"/>
        <w:numPr>
          <w:ilvl w:val="0"/>
          <w:numId w:val="36"/>
        </w:numPr>
        <w:spacing w:lineRule="auto" w:line="360" w:before="0" w:after="0"/>
        <w:ind w:left="567" w:right="616" w:hanging="360"/>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Los juzgados sumarios que se creaban</w:t>
      </w:r>
    </w:p>
    <w:p>
      <w:pPr>
        <w:pStyle w:val="ListParagraph"/>
        <w:numPr>
          <w:ilvl w:val="0"/>
          <w:numId w:val="20"/>
        </w:numPr>
        <w:spacing w:lineRule="auto" w:line="360" w:before="0" w:after="0"/>
        <w:ind w:left="567" w:right="616" w:hanging="360"/>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La Defensa Pública para atender en todos los casos de familia, donde se dieran intereses contrapuestos</w:t>
      </w:r>
    </w:p>
    <w:p>
      <w:pPr>
        <w:pStyle w:val="Normal"/>
        <w:tabs>
          <w:tab w:val="clear" w:pos="708"/>
          <w:tab w:val="left" w:pos="8505" w:leader="none"/>
        </w:tabs>
        <w:ind w:left="567" w:right="616" w:hanging="0"/>
        <w:jc w:val="both"/>
        <w:rPr>
          <w:rFonts w:ascii="Bookman Old Style" w:hAnsi="Bookman Old Style"/>
          <w:i/>
          <w:i/>
          <w:iCs/>
          <w:sz w:val="20"/>
          <w:szCs w:val="20"/>
        </w:rPr>
      </w:pPr>
      <w:r>
        <w:rPr>
          <w:rFonts w:ascii="Bookman Old Style" w:hAnsi="Bookman Old Style"/>
          <w:i/>
          <w:iCs/>
          <w:sz w:val="20"/>
          <w:szCs w:val="20"/>
        </w:rPr>
        <w:t xml:space="preserve">Como consecuencia de lo anterior, en el tema de la Defensa Pública, el contenido del artículo 56, del proyecto de Ley consultado a Corte, cuyo informe se rindió el pasado lunes 12 de agosto, </w:t>
      </w:r>
      <w:bookmarkStart w:id="7" w:name="_Hlk16599132"/>
      <w:r>
        <w:rPr>
          <w:rFonts w:ascii="Bookman Old Style" w:hAnsi="Bookman Old Style"/>
          <w:i/>
          <w:iCs/>
          <w:sz w:val="20"/>
          <w:szCs w:val="20"/>
        </w:rPr>
        <w:t>solo refleja lo que actualmente está dentro la Ley de Pensiones Alimentarias vigente; por lo que no debe de interpretarse que se están creando obligaciones nuevas de plazas para Defensa Pública, para atender casos de pensiones alimentarias.</w:t>
      </w:r>
      <w:bookmarkEnd w:id="7"/>
    </w:p>
    <w:p>
      <w:pPr>
        <w:pStyle w:val="Normal"/>
        <w:tabs>
          <w:tab w:val="clear" w:pos="708"/>
          <w:tab w:val="left" w:pos="8505" w:leader="none"/>
        </w:tabs>
        <w:ind w:left="567" w:right="616" w:hanging="0"/>
        <w:jc w:val="both"/>
        <w:rPr>
          <w:rFonts w:ascii="Bookman Old Style" w:hAnsi="Bookman Old Style"/>
          <w:i/>
          <w:i/>
          <w:iCs/>
          <w:sz w:val="20"/>
          <w:szCs w:val="20"/>
        </w:rPr>
      </w:pPr>
      <w:r>
        <w:rPr>
          <w:rFonts w:ascii="Bookman Old Style" w:hAnsi="Bookman Old Style"/>
          <w:i/>
          <w:iCs/>
          <w:sz w:val="20"/>
          <w:szCs w:val="20"/>
        </w:rPr>
        <w:t>En consecuencia, dentro de los costos del proyecto del Código Procesal de Familia, no debe existir ninguna suma para la creación de plazas de asistencia letrada de la Defensa Pública, tal y como lo expliqué ayer en Corte Plena, en el informe rendido.” (…)</w:t>
      </w:r>
    </w:p>
    <w:p>
      <w:pPr>
        <w:pStyle w:val="Normal"/>
        <w:jc w:val="both"/>
        <w:rPr>
          <w:rFonts w:ascii="Bookman Old Style" w:hAnsi="Bookman Old Style"/>
          <w:i/>
          <w:i/>
          <w:iCs/>
          <w:sz w:val="20"/>
          <w:szCs w:val="20"/>
        </w:rPr>
      </w:pPr>
      <w:r>
        <w:rPr>
          <w:rFonts w:ascii="Bookman Old Style" w:hAnsi="Bookman Old Style"/>
          <w:i/>
          <w:iCs/>
          <w:sz w:val="20"/>
          <w:szCs w:val="20"/>
        </w:rPr>
        <w:t>Por lo mencionado anteriormente, es importante indicar que, este nuevo planteamiento solicitado por la Magistrada Varela Araya, difiere del presentado ante la Comisión de Asuntos Jurídicos en el 2017, propiamente en cuanto a la exclusión de 33 plazas de Defensora o Defensor Público, que se requerirían para dar cobertura nacional a la atención en pensión alimentaria a la parte beneficiaria que no cuente recursos económicos para contratar patrocinio letrado conforme al artículo 56 del proyecto de este proyecto de Ley, donde no se debe interpretar que se están creando nuevas obligaciones de plazas para la Defensa Pública para atender casos de pensiones alimentarias.</w:t>
      </w:r>
    </w:p>
    <w:p>
      <w:pPr>
        <w:pStyle w:val="Normal"/>
        <w:jc w:val="both"/>
        <w:rPr>
          <w:rFonts w:ascii="Bookman Old Style" w:hAnsi="Bookman Old Style"/>
          <w:i/>
          <w:i/>
          <w:iCs/>
          <w:sz w:val="20"/>
          <w:szCs w:val="20"/>
        </w:rPr>
      </w:pPr>
      <w:r>
        <w:rPr>
          <w:rFonts w:ascii="Bookman Old Style" w:hAnsi="Bookman Old Style"/>
          <w:i/>
          <w:iCs/>
          <w:sz w:val="20"/>
          <w:szCs w:val="20"/>
        </w:rPr>
        <w:t xml:space="preserve">El proyecto de Ley del “Código Procesal de Familia” fue aprobado en primer debate por la Asamblea Legislativa el 6 de febrero 2018. </w:t>
      </w:r>
    </w:p>
    <w:p>
      <w:pPr>
        <w:pStyle w:val="Normal"/>
        <w:jc w:val="both"/>
        <w:rPr>
          <w:rFonts w:ascii="Bookman Old Style" w:hAnsi="Bookman Old Style"/>
          <w:i/>
          <w:i/>
          <w:iCs/>
          <w:sz w:val="20"/>
          <w:szCs w:val="20"/>
        </w:rPr>
      </w:pPr>
      <w:r>
        <w:rPr>
          <w:rFonts w:ascii="Bookman Old Style" w:hAnsi="Bookman Old Style"/>
          <w:i/>
          <w:iCs/>
          <w:sz w:val="20"/>
          <w:szCs w:val="20"/>
        </w:rPr>
        <w:t xml:space="preserve">En sesión 34-18 del 25 de abril de 2018 del Consejo Superior, se dispuso: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xml:space="preserve">1) Aprobar el informe 33-PLA-MI-2018 presentado por la Dirección de Planificación y sus recomendaciones, de acuerdo al escenario planteado en la recomendación 5.1.2.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 xml:space="preserve">2) </w:t>
      </w:r>
      <w:r>
        <w:rPr>
          <w:rFonts w:ascii="Bookman Old Style" w:hAnsi="Bookman Old Style"/>
          <w:b/>
          <w:bCs/>
          <w:i/>
          <w:iCs/>
          <w:sz w:val="20"/>
          <w:szCs w:val="20"/>
        </w:rPr>
        <w:t>Siguiendo los lineamientos de la Corte Plena no se deberán incluir los recursos en el anteproyecto 2019 hasta que se apruebe la Reforma Legal como Ley de la República</w:t>
      </w:r>
      <w:r>
        <w:rPr>
          <w:rFonts w:ascii="Bookman Old Style" w:hAnsi="Bookman Old Style"/>
          <w:i/>
          <w:iCs/>
          <w:sz w:val="20"/>
          <w:szCs w:val="20"/>
        </w:rPr>
        <w:t>” (la negrita no es original del texto).</w:t>
      </w:r>
    </w:p>
    <w:p>
      <w:pPr>
        <w:pStyle w:val="Normal"/>
        <w:jc w:val="both"/>
        <w:rPr>
          <w:rFonts w:ascii="Bookman Old Style" w:hAnsi="Bookman Old Style"/>
          <w:i/>
          <w:i/>
          <w:iCs/>
          <w:color w:val="000000"/>
          <w:sz w:val="20"/>
          <w:szCs w:val="20"/>
        </w:rPr>
      </w:pPr>
      <w:r>
        <w:rPr>
          <w:rFonts w:ascii="Bookman Old Style" w:hAnsi="Bookman Old Style"/>
          <w:i/>
          <w:iCs/>
          <w:sz w:val="20"/>
          <w:szCs w:val="20"/>
        </w:rPr>
        <w:t>El Consejo Superior del Poder Judicial en la sesión extraordinaria 44-19 (Presupuesto 2020) artículo II, del 16 de mayo de 2019 acordó aprobar el informe 634-PLA-RH-MI-2019 de la Dirección de Planificación, sobre el Impacto organizacional y presupuestario en el Poder Judicial (Defensa Pública) a partir de la promulgación de la Ley 9593 de Acceso a la Justicia de los Pueblos Indígenas (incluye materia disciplinaria, agraria y pensión alimentaria); donde se mantiene una plaza de persona Defensora por Oficina que cubre el tema de interés contrapuestos en materia agraria; y además, deben asumir la defensa técnica de aquellos asuntos Contenciosos Administrativos donde figure como parte actora o demandada una o más personas indígenas.</w:t>
      </w:r>
    </w:p>
    <w:p>
      <w:pPr>
        <w:pStyle w:val="Normal"/>
        <w:jc w:val="both"/>
        <w:rPr>
          <w:rFonts w:ascii="Bookman Old Style" w:hAnsi="Bookman Old Style"/>
          <w:i/>
          <w:i/>
          <w:iCs/>
          <w:sz w:val="20"/>
          <w:szCs w:val="20"/>
        </w:rPr>
      </w:pPr>
      <w:r>
        <w:rPr>
          <w:rFonts w:ascii="Bookman Old Style" w:hAnsi="Bookman Old Style"/>
          <w:i/>
          <w:iCs/>
          <w:sz w:val="20"/>
          <w:szCs w:val="20"/>
        </w:rPr>
        <w:t xml:space="preserve">Posterior, el Consejo Superior del Poder Judicial, en sesión extraordinaria 47-19 (Presupuesto 2020) artículo XV, del 23 de mayo de 2019, dispuso de manera textual lo siguiente: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Aprobar las recomendaciones de la Dirección de Planificación, por tanto, mantener lo dispuesto por el Consejo Superior, se aclara a la Defensa Pública que precisamente por las razones expuestas en esta reconsideración, en el informe inicial se asignó un recurso humano para la zona de Buenos Aires por el impacto que representa en la prestación del servicio público”</w:t>
      </w:r>
    </w:p>
    <w:p>
      <w:pPr>
        <w:pStyle w:val="Normal"/>
        <w:jc w:val="both"/>
        <w:rPr>
          <w:rFonts w:ascii="Bookman Old Style" w:hAnsi="Bookman Old Style"/>
          <w:i/>
          <w:i/>
          <w:iCs/>
          <w:sz w:val="20"/>
          <w:szCs w:val="20"/>
        </w:rPr>
      </w:pPr>
      <w:r>
        <w:rPr>
          <w:rFonts w:ascii="Bookman Old Style" w:hAnsi="Bookman Old Style"/>
          <w:i/>
          <w:iCs/>
          <w:sz w:val="20"/>
          <w:szCs w:val="20"/>
        </w:rPr>
        <w:t>Este informe fue conocido y aprobado en la Sesión 22-19 de Corte Plena (Presupuesto 2020) celebrada el 6 de junio de 2019, Artículo IV; en el cual, se dispuso de manera textual:</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Aprobar por separado del Presupuesto Ordinario del Poder Judicial, los requerimientos correspondientes a la “Ley 9593. Acceso a la Justicia de los Pueblos Indígenas de Costa Rica” en la forma indicada. Así votaron las magistradas y los magistrados Cruz, Solís, Molinari, Aguirre, Sánchez, Olaso, Chacón, Ramírez, Solano, Hernández, Salazar Alvarado, Araya, las Suplentes y los Suplentes León Díaz, Aragón Cambronero, Blanco González, Zúñiga Morales, Segura Bonilla, Alfaro Vargas y Chacón Jiménez.”</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t xml:space="preserve">Adicionalmente, en el informe definitivo 490-PLA-EV-2019, fue conocido en sesión 43-19, artículo XL del Consejo Superior 43-19, del 14 de mayo de 2019. En este caso el Consejo Superior, dispuso tener por rendido el informe definitivo; además, recomendó de manera textual: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se reasignará esta plaza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Del análisis y seguimiento efectuado a las cargas de trabajo de los puestos de Defensora o Defensor Público, se recomienda mantener solo una de las dos plazas ordinarias, reconociendo la labor tan importante que desarrollan estas personas, sin embargo, se evidenció que estas labores pueden ser asumidas por uno de esos recursos.</w:t>
      </w:r>
    </w:p>
    <w:p>
      <w:pPr>
        <w:pStyle w:val="Normal"/>
        <w:jc w:val="both"/>
        <w:rPr>
          <w:rFonts w:ascii="Bookman Old Style" w:hAnsi="Bookman Old Style"/>
          <w:i/>
          <w:i/>
          <w:iCs/>
          <w:sz w:val="20"/>
          <w:szCs w:val="20"/>
        </w:rPr>
      </w:pPr>
      <w:r>
        <w:rPr>
          <w:rFonts w:ascii="Bookman Old Style" w:hAnsi="Bookman Old Style"/>
          <w:i/>
          <w:iCs/>
          <w:sz w:val="20"/>
          <w:szCs w:val="20"/>
        </w:rPr>
        <w:t>De esta forma y a partir de labores conexas que viene desarrollando la Dirección de Planificación en la Defensa Pública, se considera oportuno reasignar esta plaza de Defensora o Defensor Público para la atención de la nueva legislación que entró en vigencia a partir del 2018, para tender personas indígenas en los procesos Agrarios, Civiles, Contenciosos prioritariamente, así como defensa a  personas funcionarias judiciales que son denunciadas atendiendo las funciones inherentes a los cargos que desarrollan en el Poder Judicial (…)”</w:t>
      </w:r>
    </w:p>
    <w:p>
      <w:pPr>
        <w:pStyle w:val="Normal"/>
        <w:jc w:val="both"/>
        <w:rPr>
          <w:rFonts w:ascii="Bookman Old Style" w:hAnsi="Bookman Old Style"/>
          <w:i/>
          <w:i/>
          <w:iCs/>
          <w:sz w:val="20"/>
          <w:szCs w:val="20"/>
        </w:rPr>
      </w:pPr>
      <w:r>
        <w:rPr>
          <w:rFonts w:ascii="Bookman Old Style" w:hAnsi="Bookman Old Style"/>
          <w:i/>
          <w:iCs/>
          <w:sz w:val="20"/>
          <w:szCs w:val="20"/>
        </w:rPr>
        <w:t xml:space="preserve">En oficio 101-P-2019, de fecha 17 de mayo de 2019 y dirigido a la Ministra de Hacienda, el Presidente de la Corte y en alusión al oficio  DM-0466-2019, mediante el cual se informó de la aplicación de la Regla Fiscal en el presupuesto 2020, entre otras ideas al referirse al monto máximo autorizado al Poder Judicial, se indicó: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Es importante señalar que estos datos no incorporan los requerimientos asociados a las nuevas obligaciones impuestas por la Asamblea Legislativa por aprobación de leyes, los cuales será necesario solicitar ante el Ministerio de Hacienda de forma complementaria al presupuesto ordinario.”</w:t>
      </w:r>
    </w:p>
    <w:p>
      <w:pPr>
        <w:pStyle w:val="Normal"/>
        <w:jc w:val="both"/>
        <w:rPr>
          <w:rFonts w:ascii="Bookman Old Style" w:hAnsi="Bookman Old Style"/>
          <w:i/>
          <w:i/>
          <w:iCs/>
          <w:sz w:val="20"/>
          <w:szCs w:val="20"/>
        </w:rPr>
      </w:pPr>
      <w:r>
        <w:rPr>
          <w:rFonts w:ascii="Bookman Old Style" w:hAnsi="Bookman Old Style"/>
          <w:i/>
          <w:iCs/>
          <w:sz w:val="20"/>
          <w:szCs w:val="20"/>
        </w:rPr>
        <w:t xml:space="preserve">Posteriormente mediante oficio DM-0945-2019, de fecha 11 de junio del 2019, la señora Ministra de Hacienda y en alusión a lo indicado en el oficio 101-P-2019, comunica al presidente de la Corte Suprema de Justicia lo siguiente: </w:t>
      </w:r>
    </w:p>
    <w:p>
      <w:pPr>
        <w:pStyle w:val="Normal"/>
        <w:ind w:left="709"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Finalmente, en relación con las solicitudes complementarias al Anteproyecto de presupuesto de la institución a que se hace alusión en su oficio, le informo que el cumplimiento de la regla fiscal no da espacio para el financiamiento de nuevos gastos”.</w:t>
      </w:r>
    </w:p>
    <w:p>
      <w:pPr>
        <w:pStyle w:val="Normal"/>
        <w:jc w:val="both"/>
        <w:rPr>
          <w:rFonts w:ascii="Bookman Old Style" w:hAnsi="Bookman Old Style"/>
          <w:i/>
          <w:i/>
          <w:iCs/>
          <w:sz w:val="20"/>
          <w:szCs w:val="20"/>
        </w:rPr>
      </w:pPr>
      <w:r>
        <w:rPr>
          <w:rFonts w:ascii="Bookman Old Style" w:hAnsi="Bookman Old Style"/>
          <w:i/>
          <w:iCs/>
          <w:sz w:val="20"/>
          <w:szCs w:val="20"/>
        </w:rPr>
        <w:t>En el oficio  118-P-2019 del 14 de junio de 2019, el presidente de la Corte solicitó a la Ministra de Hacienda se valorara la posibilidad de contar con financiamiento adicional al gasto ordinario para atender esta y cinco nuevas obligaciones más encomendadas por la Asamblea Legislativa.</w:t>
      </w:r>
    </w:p>
    <w:p>
      <w:pPr>
        <w:pStyle w:val="Normal"/>
        <w:jc w:val="both"/>
        <w:rPr>
          <w:rFonts w:ascii="Bookman Old Style" w:hAnsi="Bookman Old Style"/>
          <w:i/>
          <w:i/>
          <w:iCs/>
          <w:sz w:val="20"/>
          <w:szCs w:val="20"/>
        </w:rPr>
      </w:pPr>
      <w:r>
        <w:rPr>
          <w:rFonts w:ascii="Bookman Old Style" w:hAnsi="Bookman Old Style"/>
          <w:i/>
          <w:iCs/>
          <w:sz w:val="20"/>
          <w:szCs w:val="20"/>
        </w:rPr>
        <w:t xml:space="preserve">Mediante oficio 1538-PLA-PP-2019, de fecha 20 de setiembre de 2019, la Dirección de Planificación al revisar el Proyecto de Presupuesto 2020 trasladado por el Ministerio de Hacienda a la Asamblea Legislativa y en relación directa con los recursos adicionales solicitados por el Poder Judicial para la atención de nuevas obligaciones, en el apartado A.1. se indicó lo siguiente: </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No fueron incorporados por el Ministerio de Hacienda al presupuesto ordinario, ni tampoco se remitieron como requerimiento adicional a la Asamblea Legislativa”.</w:t>
      </w:r>
    </w:p>
    <w:p>
      <w:pPr>
        <w:pStyle w:val="Normal"/>
        <w:jc w:val="both"/>
        <w:rPr>
          <w:rFonts w:ascii="Bookman Old Style" w:hAnsi="Bookman Old Style"/>
          <w:i/>
          <w:i/>
          <w:iCs/>
          <w:sz w:val="20"/>
          <w:szCs w:val="20"/>
        </w:rPr>
      </w:pPr>
      <w:r>
        <w:rPr>
          <w:rFonts w:ascii="Bookman Old Style" w:hAnsi="Bookman Old Style"/>
          <w:i/>
          <w:iCs/>
          <w:sz w:val="20"/>
          <w:szCs w:val="20"/>
        </w:rPr>
        <w:t>Este oficio mencionado anteriormente fue conocido por Corte Plena en sesión 41-2019, de fecha 30 de setiembre de 2019, artículo XV.</w:t>
      </w:r>
    </w:p>
    <w:p>
      <w:pPr>
        <w:pStyle w:val="Normal"/>
        <w:jc w:val="both"/>
        <w:rPr>
          <w:rFonts w:ascii="Bookman Old Style" w:hAnsi="Bookman Old Style" w:eastAsia="Arial"/>
          <w:i/>
          <w:i/>
          <w:iCs/>
          <w:sz w:val="20"/>
          <w:szCs w:val="20"/>
        </w:rPr>
      </w:pPr>
      <w:r>
        <w:rPr>
          <w:rFonts w:eastAsia="Arial" w:ascii="Bookman Old Style" w:hAnsi="Bookman Old Style"/>
          <w:i/>
          <w:iCs/>
          <w:sz w:val="20"/>
          <w:szCs w:val="20"/>
        </w:rPr>
        <w:t>Finalmente, de acuerdo con la Ley No. 9791 Presupuesto Ordinario y Extraordinario de la República para el ejercicio económico del 2020, aprobada por la Asamblea Legislativa, se comprobó que los recursos para la Ley 9593 de Acceso a la Justicia a Pueblos Indígenas no fueron incorporados durante la etapa de análisis y discusión por parte de la Asamblea Legislativa, esto según informe 1932-PLA-PP-2019 relacionado con el seguimiento realizado al Expediente 21.568 “Ley de Presupuesto Ordinario y Extraordinario de la República para el Ejercicio Económica del 2020” en la Comisión de Asuntos Hacendarios.</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Justificación</w:t>
      </w:r>
    </w:p>
    <w:p>
      <w:pPr>
        <w:pStyle w:val="Normal"/>
        <w:jc w:val="both"/>
        <w:rPr>
          <w:rFonts w:ascii="Bookman Old Style" w:hAnsi="Bookman Old Style"/>
          <w:i/>
          <w:i/>
          <w:iCs/>
          <w:sz w:val="20"/>
          <w:szCs w:val="20"/>
        </w:rPr>
      </w:pPr>
      <w:r>
        <w:rPr>
          <w:rFonts w:ascii="Bookman Old Style" w:hAnsi="Bookman Old Style"/>
          <w:i/>
          <w:iCs/>
          <w:sz w:val="20"/>
          <w:szCs w:val="20"/>
        </w:rPr>
        <w:t>El siguiente informe responde a la actualización del análisis presentado para el presupuesto 2020 que contempla los cambios de entrada en vigencia de la Ley 9593 de Acceso a la Justicia de los Pueblos Indígenas, ya que en el presupuesto 2020 no se brindaron recursos para cubrir esta nueva legislación, por lo que nuevamente se revisa y actualiza el informe para conocimiento del Consejo Superior y Corte Plena.</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Metodología de trabajo</w:t>
      </w:r>
    </w:p>
    <w:p>
      <w:pPr>
        <w:pStyle w:val="Normal"/>
        <w:jc w:val="both"/>
        <w:rPr>
          <w:rFonts w:ascii="Bookman Old Style" w:hAnsi="Bookman Old Style"/>
          <w:i/>
          <w:i/>
          <w:iCs/>
          <w:sz w:val="20"/>
          <w:szCs w:val="20"/>
        </w:rPr>
      </w:pPr>
      <w:r>
        <w:rPr>
          <w:rFonts w:ascii="Bookman Old Style" w:hAnsi="Bookman Old Style"/>
          <w:i/>
          <w:iCs/>
          <w:sz w:val="20"/>
          <w:szCs w:val="20"/>
        </w:rPr>
        <w:t>A continuación, se detallan las principales actividades realizadas:</w:t>
      </w:r>
    </w:p>
    <w:p>
      <w:pPr>
        <w:pStyle w:val="Normal"/>
        <w:jc w:val="both"/>
        <w:rPr>
          <w:rFonts w:ascii="Bookman Old Style" w:hAnsi="Bookman Old Style"/>
          <w:i/>
          <w:i/>
          <w:iCs/>
          <w:sz w:val="20"/>
          <w:szCs w:val="20"/>
        </w:rPr>
      </w:pPr>
      <w:r>
        <w:rPr>
          <w:rFonts w:ascii="Bookman Old Style" w:hAnsi="Bookman Old Style"/>
          <w:i/>
          <w:iCs/>
          <w:sz w:val="20"/>
          <w:szCs w:val="20"/>
        </w:rPr>
        <w:t>De conformidad al informe 634-PLA-RH-MI-2019 de la Dirección de Planificación sobre el Impacto organizacional y presupuestario en el Poder Judicial (Defensa Pública) a partir de la promulgación de la Ley 9593 de Acceso a la Justicia de los Pueblos Indígenas en todas las materias, aprobado por el Consejo Superior del Poder Judicial en la sesión extraordinaria 44-19 (Presupuesto 2020) artículo II, del 16 de mayo de 2019 y aprobado por Corte Plena mediante acuerdo del acta 022-2019 del 06 de junio de 2019; se da seguimiento a las recomendaciones expresas en dicho informe, con el propósito de determinar su cumplimiento.</w:t>
      </w:r>
    </w:p>
    <w:p>
      <w:pPr>
        <w:pStyle w:val="Normal"/>
        <w:jc w:val="both"/>
        <w:rPr>
          <w:rFonts w:ascii="Bookman Old Style" w:hAnsi="Bookman Old Style"/>
          <w:i/>
          <w:i/>
          <w:iCs/>
          <w:sz w:val="20"/>
          <w:szCs w:val="20"/>
        </w:rPr>
      </w:pPr>
      <w:r>
        <w:rPr>
          <w:rFonts w:ascii="Bookman Old Style" w:hAnsi="Bookman Old Style"/>
          <w:i/>
          <w:iCs/>
          <w:sz w:val="20"/>
          <w:szCs w:val="20"/>
        </w:rPr>
        <w:t>Seguidamente, mediante correo electrónico, el 27 de enero de 2020, se le solicita a la Licda. Ligia Jiménez Zamora, Supervisora de Personas Indígenas, la información estadística relacionada con asuntos atendidos por la Defensa Pública que contengan intervinientes de población indígena durante el año 2019, con la finalidad de analizar el comportamiento de la atención de los asuntos a nivel nacional.</w:t>
      </w:r>
    </w:p>
    <w:p>
      <w:pPr>
        <w:pStyle w:val="Normal"/>
        <w:jc w:val="both"/>
        <w:rPr>
          <w:rFonts w:ascii="Bookman Old Style" w:hAnsi="Bookman Old Style"/>
          <w:i/>
          <w:i/>
          <w:iCs/>
          <w:sz w:val="20"/>
          <w:szCs w:val="20"/>
        </w:rPr>
      </w:pPr>
      <w:r>
        <w:rPr>
          <w:rFonts w:ascii="Bookman Old Style" w:hAnsi="Bookman Old Style"/>
          <w:i/>
          <w:iCs/>
          <w:sz w:val="20"/>
          <w:szCs w:val="20"/>
        </w:rPr>
        <w:t>Así mismo, mediante el correo electrónico enviado el 03 de febrero de 2020, se le solicita al Tribunal Contencioso Administrativo, los datos estadísticos referentes a asuntos donde figuran como intervinientes personas servidoras judiciales e indígenas, sea como Asociación Integral de Desarrollo o como persona física. De ahí que, el día 04 de febrero de 2020, se recibe correo electrónico de respuesta con el listado de asuntos que lleva el Tribunal e indicando que, únicamente se pueden filtrar los asuntos activos, en los cuales se encuentran como parte una asociación indígena o la Comisión Nacional de Asuntos Indígenas, no así, como persona física o persona servidora judicial.</w:t>
      </w:r>
    </w:p>
    <w:p>
      <w:pPr>
        <w:pStyle w:val="Normal"/>
        <w:jc w:val="both"/>
        <w:rPr>
          <w:rFonts w:ascii="Bookman Old Style" w:hAnsi="Bookman Old Style"/>
          <w:i/>
          <w:i/>
          <w:iCs/>
          <w:sz w:val="20"/>
          <w:szCs w:val="20"/>
        </w:rPr>
      </w:pPr>
      <w:r>
        <w:rPr>
          <w:rFonts w:ascii="Bookman Old Style" w:hAnsi="Bookman Old Style"/>
          <w:i/>
          <w:iCs/>
          <w:sz w:val="20"/>
          <w:szCs w:val="20"/>
        </w:rPr>
        <w:t>Adicionalmente, el 03 de febrero de 2020 se coordina una sesión de trabajo con la Administración de la Defensa Pública, respaldada en la minuta 29-PLA-MI-MNTA-2020; con el propósito de identificar el impacto dado en la Defensa Pública a partir de la implementación de la Ley 9593 de Acceso a la Justicia de los Pueblos Indígenas y, recibir retroalimentación de la manera de trabajo optada por la administración para solventar las necesidades de la población en mención.</w:t>
      </w:r>
    </w:p>
    <w:p>
      <w:pPr>
        <w:pStyle w:val="Normal"/>
        <w:jc w:val="both"/>
        <w:rPr>
          <w:rFonts w:ascii="Bookman Old Style" w:hAnsi="Bookman Old Style"/>
          <w:i/>
          <w:i/>
          <w:iCs/>
          <w:sz w:val="20"/>
          <w:szCs w:val="20"/>
        </w:rPr>
      </w:pPr>
      <w:r>
        <w:rPr>
          <w:rFonts w:ascii="Bookman Old Style" w:hAnsi="Bookman Old Style"/>
          <w:i/>
          <w:iCs/>
          <w:sz w:val="20"/>
          <w:szCs w:val="20"/>
        </w:rPr>
        <w:t>Con base en la información recolectada en reunión mencionada en el párrafo anterior y, con la información estadística enviada por la Administración de la Defensa Pública; se procede a analizar las cargas de trabajo de las plazas de Defensora o Defensor Público responsables de la tramitación de asuntos con interviniente persona usuaria indígena.</w:t>
      </w:r>
    </w:p>
    <w:p>
      <w:pPr>
        <w:pStyle w:val="Normal"/>
        <w:jc w:val="both"/>
        <w:rPr>
          <w:rFonts w:ascii="Bookman Old Style" w:hAnsi="Bookman Old Style"/>
          <w:i/>
          <w:i/>
          <w:iCs/>
          <w:sz w:val="20"/>
          <w:szCs w:val="20"/>
        </w:rPr>
      </w:pPr>
      <w:r>
        <w:rPr>
          <w:rFonts w:ascii="Bookman Old Style" w:hAnsi="Bookman Old Style"/>
          <w:i/>
          <w:iCs/>
          <w:sz w:val="20"/>
          <w:szCs w:val="20"/>
        </w:rPr>
        <w:t>Seguido, se consultó a Unidad de Capacitación de la Defensa Pública sobre los lineamientos establecidos por parte de la Jefatura de la Defensa Pública para cubrir el tema de capacitación del personal de la Defensa Pública en la tramitación de asuntos con interviniente persona usuaria indígena.</w:t>
      </w:r>
    </w:p>
    <w:p>
      <w:pPr>
        <w:pStyle w:val="Normal"/>
        <w:jc w:val="both"/>
        <w:rPr>
          <w:rFonts w:ascii="Bookman Old Style" w:hAnsi="Bookman Old Style"/>
          <w:i/>
          <w:i/>
          <w:iCs/>
          <w:sz w:val="20"/>
          <w:szCs w:val="20"/>
        </w:rPr>
      </w:pPr>
      <w:r>
        <w:rPr>
          <w:rFonts w:ascii="Bookman Old Style" w:hAnsi="Bookman Old Style"/>
          <w:i/>
          <w:iCs/>
          <w:sz w:val="20"/>
          <w:szCs w:val="20"/>
        </w:rPr>
        <w:t>Finalmente, se realizan consultas al Instituto Nacional de Estadística y Censo (INEC) para obtener estadísticas de la población indígena, a la Comisión Nacional de Asuntos Indígenas (CONAI) para segmentar la población por territorio según etnia y Defensas Públicas regionales de las zonas donde se concentra la mayor densidad de personas indígenas, para obtener particularidades de las poblaciones.</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Información relevante</w:t>
      </w:r>
    </w:p>
    <w:p>
      <w:pPr>
        <w:pStyle w:val="Ttulo2"/>
        <w:keepLines w:val="false"/>
        <w:numPr>
          <w:ilvl w:val="1"/>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Aspectos demográficos a considerar</w:t>
      </w:r>
    </w:p>
    <w:p>
      <w:pPr>
        <w:pStyle w:val="Normal"/>
        <w:jc w:val="both"/>
        <w:rPr>
          <w:rFonts w:ascii="Bookman Old Style" w:hAnsi="Bookman Old Style"/>
          <w:i/>
          <w:i/>
          <w:iCs/>
          <w:sz w:val="20"/>
          <w:szCs w:val="20"/>
        </w:rPr>
      </w:pPr>
      <w:r>
        <w:rPr>
          <w:rFonts w:ascii="Bookman Old Style" w:hAnsi="Bookman Old Style"/>
          <w:i/>
          <w:iCs/>
          <w:sz w:val="20"/>
          <w:szCs w:val="20"/>
        </w:rPr>
        <w:t xml:space="preserve">Con base en la consulta realizada al </w:t>
      </w:r>
      <w:r>
        <w:rPr>
          <w:rFonts w:eastAsia="Arial" w:ascii="Bookman Old Style" w:hAnsi="Bookman Old Style"/>
          <w:i/>
          <w:iCs/>
          <w:sz w:val="20"/>
          <w:szCs w:val="20"/>
        </w:rPr>
        <w:t>Instituto Nacional de Estadística y Censo (INEC), l</w:t>
      </w:r>
      <w:r>
        <w:rPr>
          <w:rFonts w:ascii="Bookman Old Style" w:hAnsi="Bookman Old Style"/>
          <w:i/>
          <w:iCs/>
          <w:sz w:val="20"/>
          <w:szCs w:val="20"/>
        </w:rPr>
        <w:t>a población indígena, según el censo 2011, es de 104 143 personas, las cuales están distribuidas a lo largo del territorio nacional, segmentada en ocho etnias:</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Bribrí</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Brunca</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Teribe</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Gnobe o Guaymí</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Huetar</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Maleku (Región Norte)</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Chorotega</w:t>
      </w:r>
    </w:p>
    <w:p>
      <w:pPr>
        <w:pStyle w:val="Normal"/>
        <w:numPr>
          <w:ilvl w:val="0"/>
          <w:numId w:val="9"/>
        </w:numPr>
        <w:spacing w:lineRule="auto" w:line="360"/>
        <w:jc w:val="both"/>
        <w:rPr>
          <w:rFonts w:ascii="Bookman Old Style" w:hAnsi="Bookman Old Style" w:cs="Arial"/>
          <w:i/>
          <w:i/>
          <w:iCs/>
          <w:sz w:val="20"/>
          <w:szCs w:val="20"/>
        </w:rPr>
      </w:pPr>
      <w:r>
        <w:rPr>
          <w:rFonts w:cs="Arial" w:ascii="Bookman Old Style" w:hAnsi="Bookman Old Style"/>
          <w:i/>
          <w:iCs/>
          <w:sz w:val="20"/>
          <w:szCs w:val="20"/>
        </w:rPr>
        <w:t>Cabécar</w:t>
      </w:r>
    </w:p>
    <w:p>
      <w:pPr>
        <w:pStyle w:val="Normal"/>
        <w:jc w:val="both"/>
        <w:rPr>
          <w:rFonts w:ascii="Bookman Old Style" w:hAnsi="Bookman Old Style"/>
          <w:i/>
          <w:i/>
          <w:iCs/>
          <w:sz w:val="20"/>
          <w:szCs w:val="20"/>
        </w:rPr>
      </w:pPr>
      <w:r>
        <w:rPr>
          <w:rFonts w:ascii="Bookman Old Style" w:hAnsi="Bookman Old Style"/>
          <w:i/>
          <w:iCs/>
          <w:sz w:val="20"/>
          <w:szCs w:val="20"/>
        </w:rPr>
        <w:t>Las etnias que agrupan la mayor cantidad de población son los Bribris con un 35% y los Cabécar con 29%. Estas dos etnias representan un 64% sobre el total de la población indígena en Costa Rica.</w:t>
      </w:r>
    </w:p>
    <w:p>
      <w:pPr>
        <w:pStyle w:val="Normal"/>
        <w:jc w:val="both"/>
        <w:rPr>
          <w:rFonts w:ascii="Bookman Old Style" w:hAnsi="Bookman Old Style"/>
          <w:i/>
          <w:i/>
          <w:iCs/>
          <w:sz w:val="20"/>
          <w:szCs w:val="20"/>
        </w:rPr>
      </w:pPr>
      <w:r>
        <w:rPr>
          <w:rFonts w:ascii="Bookman Old Style" w:hAnsi="Bookman Old Style"/>
          <w:i/>
          <w:iCs/>
          <w:sz w:val="20"/>
          <w:szCs w:val="20"/>
        </w:rPr>
        <w:t xml:space="preserve">En la siguiente figura se muestra la concentración de territorios indígenas de Costa Rica, según el Sistema Georeferencial del Poder Judicial. </w:t>
      </w:r>
    </w:p>
    <w:p>
      <w:pPr>
        <w:pStyle w:val="Caption"/>
        <w:keepNext w:val="true"/>
        <w:spacing w:before="0" w:after="0"/>
        <w:rPr>
          <w:rFonts w:ascii="Bookman Old Style" w:hAnsi="Bookman Old Style" w:cs="Arial"/>
          <w:i/>
          <w:i/>
          <w:iCs/>
        </w:rPr>
      </w:pPr>
      <w:r>
        <w:rPr>
          <w:rFonts w:cs="Arial" w:ascii="Bookman Old Style" w:hAnsi="Bookman Old Style"/>
          <w:i/>
          <w:iCs/>
        </w:rPr>
        <w:t xml:space="preserve">Figura </w:t>
      </w:r>
      <w:r>
        <w:rPr>
          <w:rFonts w:cs="Arial" w:ascii="Bookman Old Style" w:hAnsi="Bookman Old Style"/>
          <w:i/>
          <w:iCs/>
        </w:rPr>
        <w:fldChar w:fldCharType="begin"/>
      </w:r>
      <w:r>
        <w:rPr>
          <w:i/>
          <w:iCs/>
          <w:rFonts w:cs="Arial" w:ascii="Bookman Old Style" w:hAnsi="Bookman Old Style"/>
        </w:rPr>
        <w:instrText> SEQ Figura \* ARABIC </w:instrText>
      </w:r>
      <w:r>
        <w:rPr>
          <w:i/>
          <w:iCs/>
          <w:rFonts w:cs="Arial" w:ascii="Bookman Old Style" w:hAnsi="Bookman Old Style"/>
        </w:rPr>
        <w:fldChar w:fldCharType="separate"/>
      </w:r>
      <w:r>
        <w:rPr>
          <w:i/>
          <w:iCs/>
          <w:rFonts w:cs="Arial" w:ascii="Bookman Old Style" w:hAnsi="Bookman Old Style"/>
        </w:rPr>
        <w:t>1</w:t>
      </w:r>
      <w:r>
        <w:rPr>
          <w:i/>
          <w:iCs/>
          <w:rFonts w:cs="Arial" w:ascii="Bookman Old Style" w:hAnsi="Bookman Old Style"/>
        </w:rPr>
        <w:fldChar w:fldCharType="end"/>
      </w:r>
      <w:r>
        <w:rPr>
          <w:rFonts w:cs="Arial" w:ascii="Bookman Old Style" w:hAnsi="Bookman Old Style"/>
          <w:i/>
          <w:iCs/>
        </w:rPr>
        <w:t xml:space="preserve"> Mapa de territorios indígenas de Costa Rica</w:t>
      </w:r>
    </w:p>
    <w:p>
      <w:pPr>
        <w:pStyle w:val="Normal"/>
        <w:keepNext w:val="true"/>
        <w:jc w:val="both"/>
        <w:rPr>
          <w:rFonts w:ascii="Bookman Old Style" w:hAnsi="Bookman Old Style" w:cs="Arial"/>
          <w:i/>
          <w:i/>
          <w:iCs/>
          <w:sz w:val="20"/>
          <w:szCs w:val="20"/>
        </w:rPr>
      </w:pPr>
      <w:r>
        <w:rPr/>
        <w:drawing>
          <wp:inline distT="0" distB="0" distL="0" distR="0">
            <wp:extent cx="4572000" cy="3634105"/>
            <wp:effectExtent l="0" t="0" r="0" b="0"/>
            <wp:docPr id="7"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4" descr=""/>
                    <pic:cNvPicPr>
                      <a:picLocks noChangeAspect="1" noChangeArrowheads="1"/>
                    </pic:cNvPicPr>
                  </pic:nvPicPr>
                  <pic:blipFill>
                    <a:blip r:embed="rId8"/>
                    <a:stretch>
                      <a:fillRect/>
                    </a:stretch>
                  </pic:blipFill>
                  <pic:spPr bwMode="auto">
                    <a:xfrm>
                      <a:off x="0" y="0"/>
                      <a:ext cx="4572000" cy="3634105"/>
                    </a:xfrm>
                    <a:prstGeom prst="rect">
                      <a:avLst/>
                    </a:prstGeom>
                  </pic:spPr>
                </pic:pic>
              </a:graphicData>
            </a:graphic>
          </wp:inline>
        </w:drawing>
      </w:r>
    </w:p>
    <w:p>
      <w:pPr>
        <w:pStyle w:val="Normal"/>
        <w:jc w:val="both"/>
        <w:rPr>
          <w:rFonts w:ascii="Bookman Old Style" w:hAnsi="Bookman Old Style" w:cs="Arial"/>
          <w:i/>
          <w:i/>
          <w:iCs/>
          <w:sz w:val="20"/>
          <w:szCs w:val="20"/>
        </w:rPr>
      </w:pPr>
      <w:r>
        <w:rPr>
          <w:rFonts w:cs="Arial" w:ascii="Bookman Old Style" w:hAnsi="Bookman Old Style"/>
          <w:b/>
          <w:bCs/>
          <w:i/>
          <w:iCs/>
          <w:sz w:val="20"/>
          <w:szCs w:val="20"/>
        </w:rPr>
        <w:t>Fuente</w:t>
      </w:r>
      <w:r>
        <w:rPr>
          <w:rFonts w:cs="Arial" w:ascii="Bookman Old Style" w:hAnsi="Bookman Old Style"/>
          <w:i/>
          <w:iCs/>
          <w:sz w:val="20"/>
          <w:szCs w:val="20"/>
        </w:rPr>
        <w:t xml:space="preserve">: </w:t>
      </w:r>
      <w:r>
        <w:rPr>
          <w:rFonts w:eastAsia="Arial" w:cs="Arial" w:ascii="Bookman Old Style" w:hAnsi="Bookman Old Style"/>
          <w:i/>
          <w:iCs/>
          <w:sz w:val="20"/>
          <w:szCs w:val="20"/>
        </w:rPr>
        <w:t xml:space="preserve">Subproceso de Modernización Institucional, de la Dirección de Planificación, con datos tomados del </w:t>
      </w:r>
      <w:r>
        <w:rPr>
          <w:rFonts w:cs="Arial" w:ascii="Bookman Old Style" w:hAnsi="Bookman Old Style"/>
          <w:i/>
          <w:iCs/>
          <w:sz w:val="20"/>
          <w:szCs w:val="20"/>
        </w:rPr>
        <w:t xml:space="preserve">Sistema Georeferencial del Poder Judicial. </w:t>
      </w:r>
    </w:p>
    <w:p>
      <w:pPr>
        <w:pStyle w:val="Normal"/>
        <w:jc w:val="both"/>
        <w:rPr>
          <w:rFonts w:ascii="Bookman Old Style" w:hAnsi="Bookman Old Style"/>
          <w:i/>
          <w:i/>
          <w:iCs/>
          <w:sz w:val="20"/>
          <w:szCs w:val="20"/>
        </w:rPr>
      </w:pPr>
      <w:r>
        <w:rPr>
          <w:rFonts w:ascii="Bookman Old Style" w:hAnsi="Bookman Old Style"/>
          <w:i/>
          <w:iCs/>
          <w:sz w:val="20"/>
          <w:szCs w:val="20"/>
        </w:rPr>
        <w:t>Con datos estadísticos del INEC y según la distribución de territorios, se puede determinar que un 78% de los pueblos indígenas se encuentran en las zonas ubicadas al sur del país, viviendo en las provincias de Limón 26%, Puntarenas 24%, San José (zona sur) 19% y Cartago 8%. El restante 22% se encuentra distribuido en Guanacaste 10%, Alajuela 8% y Heredia 4%. Por tal motivo, se considera atender de forma prioritaria las zonas con mayor densidad de población indígena ubicadas en el sur.</w:t>
      </w:r>
    </w:p>
    <w:p>
      <w:pPr>
        <w:pStyle w:val="Normal"/>
        <w:jc w:val="both"/>
        <w:rPr>
          <w:rFonts w:ascii="Bookman Old Style" w:hAnsi="Bookman Old Style"/>
          <w:i/>
          <w:i/>
          <w:iCs/>
          <w:sz w:val="20"/>
          <w:szCs w:val="20"/>
        </w:rPr>
      </w:pPr>
      <w:r>
        <w:rPr>
          <w:rFonts w:ascii="Bookman Old Style" w:hAnsi="Bookman Old Style"/>
          <w:i/>
          <w:iCs/>
          <w:sz w:val="20"/>
          <w:szCs w:val="20"/>
        </w:rPr>
        <w:t>En virtud de los datos anteriores y, con los obtenidos de la distribución de poblaciones indígenas del CONAI, se realiza una estimación de la posible afluencia de personas indígenas según las defensas públicas más cercanas.</w:t>
      </w:r>
    </w:p>
    <w:p>
      <w:pPr>
        <w:pStyle w:val="Caption"/>
        <w:keepNext w:val="true"/>
        <w:spacing w:before="0" w:after="0"/>
        <w:rPr>
          <w:rFonts w:ascii="Bookman Old Style" w:hAnsi="Bookman Old Style" w:cs="Arial"/>
          <w:i/>
          <w:i/>
          <w:iCs/>
        </w:rPr>
      </w:pPr>
      <w:r>
        <w:rPr>
          <w:rFonts w:cs="Arial" w:ascii="Bookman Old Style" w:hAnsi="Bookman Old Style"/>
          <w:i/>
          <w:iCs/>
        </w:rPr>
        <w:t xml:space="preserve">Figura </w:t>
      </w:r>
      <w:r>
        <w:rPr>
          <w:rFonts w:cs="Arial" w:ascii="Bookman Old Style" w:hAnsi="Bookman Old Style"/>
          <w:i/>
          <w:iCs/>
        </w:rPr>
        <w:fldChar w:fldCharType="begin"/>
      </w:r>
      <w:r>
        <w:rPr>
          <w:i/>
          <w:iCs/>
          <w:rFonts w:cs="Arial" w:ascii="Bookman Old Style" w:hAnsi="Bookman Old Style"/>
        </w:rPr>
        <w:instrText> SEQ Figura \* ARABIC </w:instrText>
      </w:r>
      <w:r>
        <w:rPr>
          <w:i/>
          <w:iCs/>
          <w:rFonts w:cs="Arial" w:ascii="Bookman Old Style" w:hAnsi="Bookman Old Style"/>
        </w:rPr>
        <w:fldChar w:fldCharType="separate"/>
      </w:r>
      <w:r>
        <w:rPr>
          <w:i/>
          <w:iCs/>
          <w:rFonts w:cs="Arial" w:ascii="Bookman Old Style" w:hAnsi="Bookman Old Style"/>
        </w:rPr>
        <w:t>2</w:t>
      </w:r>
      <w:r>
        <w:rPr>
          <w:i/>
          <w:iCs/>
          <w:rFonts w:cs="Arial" w:ascii="Bookman Old Style" w:hAnsi="Bookman Old Style"/>
        </w:rPr>
        <w:fldChar w:fldCharType="end"/>
      </w:r>
      <w:r>
        <w:rPr>
          <w:rFonts w:cs="Arial" w:ascii="Bookman Old Style" w:hAnsi="Bookman Old Style"/>
          <w:i/>
          <w:iCs/>
        </w:rPr>
        <w:t xml:space="preserve"> Distribución porcentual de posible atención de persona indígena, según territorios y ubicaciones de la Defensas Públicas del país</w:t>
      </w:r>
    </w:p>
    <w:p>
      <w:pPr>
        <w:pStyle w:val="Normal"/>
        <w:jc w:val="both"/>
        <w:rPr>
          <w:rFonts w:ascii="Bookman Old Style" w:hAnsi="Bookman Old Style" w:cs="Arial"/>
          <w:i/>
          <w:i/>
          <w:iCs/>
          <w:sz w:val="20"/>
          <w:szCs w:val="20"/>
        </w:rPr>
      </w:pPr>
      <w:r>
        <w:rPr/>
        <w:drawing>
          <wp:inline distT="0" distB="0" distL="0" distR="0">
            <wp:extent cx="5614670" cy="3086100"/>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 xml:space="preserve">Como resultado se obtuvo que Bribri (29%), Buenos Aires (26%), Limón (12%) y Turrialba (8%), son las zonas que pueden tener mayor demanda en la atención de asuntos indígenas según su ubicación geográfica, densidad de población indígena y la presunta movilización de personas; pues, en conjunto agrupan el 75% de la posible afluencia. </w:t>
      </w:r>
    </w:p>
    <w:p>
      <w:pPr>
        <w:pStyle w:val="Normal"/>
        <w:jc w:val="both"/>
        <w:rPr>
          <w:rFonts w:ascii="Bookman Old Style" w:hAnsi="Bookman Old Style"/>
          <w:i/>
          <w:i/>
          <w:iCs/>
          <w:sz w:val="20"/>
          <w:szCs w:val="20"/>
        </w:rPr>
      </w:pPr>
      <w:r>
        <w:rPr>
          <w:rFonts w:ascii="Bookman Old Style" w:hAnsi="Bookman Old Style"/>
          <w:i/>
          <w:iCs/>
          <w:sz w:val="20"/>
          <w:szCs w:val="20"/>
        </w:rPr>
        <w:t>En síntesis, según los datos demográficos obtenidos del INEC y según la competencia de las defensas públicas del país ante la presunta movilización de personas indígenas, se puede ver que las zonas de Bribri y Buenos Aires en conjunto poseen el 55% de la posible demanda, ubicadas muy por encima de las otras defensas públicas del país.</w:t>
      </w:r>
    </w:p>
    <w:p>
      <w:pPr>
        <w:pStyle w:val="Normal"/>
        <w:jc w:val="both"/>
        <w:rPr>
          <w:rFonts w:ascii="Bookman Old Style" w:hAnsi="Bookman Old Style"/>
          <w:i/>
          <w:i/>
          <w:iCs/>
          <w:sz w:val="20"/>
          <w:szCs w:val="20"/>
        </w:rPr>
      </w:pPr>
      <w:r>
        <w:rPr>
          <w:rFonts w:ascii="Bookman Old Style" w:hAnsi="Bookman Old Style"/>
          <w:i/>
          <w:iCs/>
          <w:sz w:val="20"/>
          <w:szCs w:val="20"/>
        </w:rPr>
        <w:t>Por otro lado, el 30 de abril de 2015 la Comisión Interamericana de Derechos Humanos, emitió la resolución 16/15 con la medida cautelar 321-12 donde solicita al Gobierno de Costa Rica, adoptar las medidas necesarias para garantizar la vida y la integridad personal de los miembros del pueblo indígena Teribe y del pueblo indígena Bribri de Salitre, quienes se encuentran en el sureste del Puntarenas; importante mencionar que esta zona es competencia de la Defensa Pública de Buenos Aires.</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2"/>
        <w:keepLines w:val="false"/>
        <w:numPr>
          <w:ilvl w:val="1"/>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Análisis de datos estadísticos de la Defensa Pública</w:t>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Representación de la Defensa Pública en asuntos con personas usuarias indígenas</w:t>
      </w:r>
    </w:p>
    <w:p>
      <w:pPr>
        <w:pStyle w:val="Normal"/>
        <w:jc w:val="both"/>
        <w:rPr>
          <w:rFonts w:ascii="Bookman Old Style" w:hAnsi="Bookman Old Style"/>
          <w:i/>
          <w:i/>
          <w:iCs/>
          <w:sz w:val="20"/>
          <w:szCs w:val="20"/>
        </w:rPr>
      </w:pPr>
      <w:r>
        <w:rPr>
          <w:rFonts w:ascii="Bookman Old Style" w:hAnsi="Bookman Old Style"/>
          <w:i/>
          <w:iCs/>
          <w:sz w:val="20"/>
          <w:szCs w:val="20"/>
        </w:rPr>
        <w:t>Como parte del proceso de recopilación de datos estadísticos, se solicita al Lic. Esteban Arguedas Madrigal, Coordinador de la Unidad Estadística de la Defensa Pública, y a la Licda. Ligia Jiménez Zamora, Supervisora de Asuntos de Pueblos Indígenas; la información estadística de la cantidad de personas usuarias indígenas representadas por la Defensa Pública en asuntos nuevos, de octubre de 2018 a setiembre de 2019; así como también, la cantidad de procesos activos (circulante) y asuntos terminados al cierre de setiembre de 2019 por cada una de las oficinas a nivel nacional.</w:t>
      </w:r>
    </w:p>
    <w:p>
      <w:pPr>
        <w:pStyle w:val="Normal"/>
        <w:jc w:val="both"/>
        <w:rPr>
          <w:rFonts w:ascii="Bookman Old Style" w:hAnsi="Bookman Old Style"/>
          <w:i/>
          <w:i/>
          <w:iCs/>
          <w:sz w:val="20"/>
          <w:szCs w:val="20"/>
        </w:rPr>
      </w:pPr>
      <w:r>
        <w:rPr>
          <w:rFonts w:ascii="Bookman Old Style" w:hAnsi="Bookman Old Style"/>
          <w:i/>
          <w:iCs/>
          <w:sz w:val="20"/>
          <w:szCs w:val="20"/>
        </w:rPr>
        <w:t xml:space="preserve">En cuanto a los datos suministrados por la Defensa Pública, se encuentra la cantidad de procesos (expedientes) activos al cierre de setiembre de 2019, así como la cantidad de expedientes que ingresaron de octubre 2018 a setiembre 2019 y la cantidad de personas usuarias indígenas representadas en dichos asuntos. </w:t>
      </w:r>
    </w:p>
    <w:p>
      <w:pPr>
        <w:pStyle w:val="Normal"/>
        <w:jc w:val="both"/>
        <w:rPr>
          <w:rFonts w:ascii="Bookman Old Style" w:hAnsi="Bookman Old Style"/>
          <w:i/>
          <w:i/>
          <w:iCs/>
          <w:sz w:val="20"/>
          <w:szCs w:val="20"/>
        </w:rPr>
      </w:pPr>
      <w:r>
        <w:rPr>
          <w:rFonts w:ascii="Bookman Old Style" w:hAnsi="Bookman Old Style"/>
          <w:i/>
          <w:iCs/>
          <w:sz w:val="20"/>
          <w:szCs w:val="20"/>
        </w:rPr>
        <w:t>Es importante aclarar que, según indica el Lic. Esteban Arguedas Madrigal, Coordinador de la Unidad Estadística de la Defensa Pública; por orden se contabilizan por separado las representaciones y expedientes con interviniente persona usuaria indígena de la competencia antigua y la actual, en cumplimiento de la Ley de Acceso a la Justicia a los Pueblos Indígenas, donde se le amplía la competencia a la Defensa Pública.</w:t>
      </w:r>
    </w:p>
    <w:p>
      <w:pPr>
        <w:pStyle w:val="Normal"/>
        <w:jc w:val="both"/>
        <w:rPr>
          <w:rFonts w:ascii="Bookman Old Style" w:hAnsi="Bookman Old Style"/>
          <w:i/>
          <w:i/>
          <w:iCs/>
          <w:sz w:val="20"/>
          <w:szCs w:val="20"/>
        </w:rPr>
      </w:pPr>
      <w:r>
        <w:rPr>
          <w:rFonts w:ascii="Bookman Old Style" w:hAnsi="Bookman Old Style"/>
          <w:i/>
          <w:iCs/>
          <w:sz w:val="20"/>
          <w:szCs w:val="20"/>
        </w:rPr>
        <w:t>En la siguiente figura se muestra la representación por materia de los expedientes, donde se cuenta como interviniente una persona usuaria indígena y, que ingresaron de octubre 2018 a setiembre 2019:</w:t>
      </w:r>
    </w:p>
    <w:p>
      <w:pPr>
        <w:pStyle w:val="Caption"/>
        <w:keepNext w:val="true"/>
        <w:spacing w:before="0" w:after="0"/>
        <w:rPr>
          <w:rFonts w:ascii="Bookman Old Style" w:hAnsi="Bookman Old Style" w:cs="Arial"/>
          <w:i/>
          <w:i/>
          <w:iCs/>
        </w:rPr>
      </w:pPr>
      <w:bookmarkStart w:id="8" w:name="_Ref32912805"/>
      <w:r>
        <w:rPr>
          <w:rFonts w:cs="Arial" w:ascii="Bookman Old Style" w:hAnsi="Bookman Old Style"/>
          <w:i/>
          <w:iCs/>
        </w:rPr>
        <w:t xml:space="preserve">Figura </w:t>
      </w:r>
      <w:r>
        <w:rPr>
          <w:rFonts w:cs="Arial" w:ascii="Bookman Old Style" w:hAnsi="Bookman Old Style"/>
          <w:i/>
          <w:iCs/>
        </w:rPr>
        <w:fldChar w:fldCharType="begin"/>
      </w:r>
      <w:r>
        <w:rPr>
          <w:i/>
          <w:iCs/>
          <w:rFonts w:cs="Arial" w:ascii="Bookman Old Style" w:hAnsi="Bookman Old Style"/>
        </w:rPr>
        <w:instrText> SEQ Figura \* ARABIC </w:instrText>
      </w:r>
      <w:r>
        <w:rPr>
          <w:i/>
          <w:iCs/>
          <w:rFonts w:cs="Arial" w:ascii="Bookman Old Style" w:hAnsi="Bookman Old Style"/>
        </w:rPr>
        <w:fldChar w:fldCharType="separate"/>
      </w:r>
      <w:r>
        <w:rPr>
          <w:i/>
          <w:iCs/>
          <w:rFonts w:cs="Arial" w:ascii="Bookman Old Style" w:hAnsi="Bookman Old Style"/>
        </w:rPr>
        <w:t>3</w:t>
      </w:r>
      <w:r>
        <w:rPr>
          <w:i/>
          <w:iCs/>
          <w:rFonts w:cs="Arial" w:ascii="Bookman Old Style" w:hAnsi="Bookman Old Style"/>
        </w:rPr>
        <w:fldChar w:fldCharType="end"/>
      </w:r>
      <w:r>
        <w:rPr>
          <w:rFonts w:cs="Arial" w:ascii="Bookman Old Style" w:hAnsi="Bookman Old Style"/>
          <w:i/>
          <w:iCs/>
        </w:rPr>
        <w:t xml:space="preserve"> Representación por materia de los asuntos ingresados, donde intervienen personas usuarias indígenas, de octubre 2018 a setiembre 2019</w:t>
      </w:r>
      <w:bookmarkEnd w:id="8"/>
    </w:p>
    <w:p>
      <w:pPr>
        <w:pStyle w:val="Normal"/>
        <w:jc w:val="both"/>
        <w:rPr>
          <w:rFonts w:ascii="Bookman Old Style" w:hAnsi="Bookman Old Style" w:eastAsia="Arial" w:cs="Arial"/>
          <w:i/>
          <w:i/>
          <w:iCs/>
          <w:sz w:val="20"/>
          <w:szCs w:val="20"/>
        </w:rPr>
      </w:pPr>
      <w:r>
        <w:rPr/>
        <w:drawing>
          <wp:inline distT="0" distB="0" distL="0" distR="0">
            <wp:extent cx="5640070" cy="2616200"/>
            <wp:effectExtent l="0" t="0" r="0" b="0"/>
            <wp:docPr id="9"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6" descr=""/>
                    <pic:cNvPicPr>
                      <a:picLocks noChangeAspect="1" noChangeArrowheads="1"/>
                    </pic:cNvPicPr>
                  </pic:nvPicPr>
                  <pic:blipFill>
                    <a:blip r:embed="rId10"/>
                    <a:srcRect l="0" t="0" r="0" b="18212"/>
                    <a:stretch>
                      <a:fillRect/>
                    </a:stretch>
                  </pic:blipFill>
                  <pic:spPr bwMode="auto">
                    <a:xfrm>
                      <a:off x="0" y="0"/>
                      <a:ext cx="5640070" cy="2616200"/>
                    </a:xfrm>
                    <a:prstGeom prst="rect">
                      <a:avLst/>
                    </a:prstGeom>
                  </pic:spPr>
                </pic:pic>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Con base en la información mostrada en la figura anterior, se puede inferir que, el 80% de la cantidad de expedientes, de octubre 2018 a setiembre 2019, responden a personas indígenas en calidad de intervinientes en asuntos de Pensiones Alimentarias (36%), Penal ordinario (25%), Penalización de violencia contra mujer (11%) y Agrario (8%). El restante 20% de los asuntos entrados es en Laboral, Penal Juvenil, Familia, Ejecución de la Pena, Contravencional, Revisión y Ejecución Penal Juvenil.</w:t>
      </w:r>
    </w:p>
    <w:p>
      <w:pPr>
        <w:pStyle w:val="Normal"/>
        <w:jc w:val="both"/>
        <w:rPr>
          <w:rFonts w:ascii="Bookman Old Style" w:hAnsi="Bookman Old Style"/>
          <w:i/>
          <w:i/>
          <w:iCs/>
          <w:sz w:val="20"/>
          <w:szCs w:val="20"/>
        </w:rPr>
      </w:pPr>
      <w:r>
        <w:rPr>
          <w:rFonts w:ascii="Bookman Old Style" w:hAnsi="Bookman Old Style"/>
          <w:i/>
          <w:iCs/>
          <w:sz w:val="20"/>
          <w:szCs w:val="20"/>
        </w:rPr>
        <w:t xml:space="preserve">Dicho lo anterior, en la siguiente tabla se evidencia la proporción de procesos entrados (expedientes), respecto a la cantidad de personas usuarias indígenas representadas en dichos procesos. </w:t>
      </w:r>
    </w:p>
    <w:p>
      <w:pPr>
        <w:pStyle w:val="Caption"/>
        <w:keepNext w:val="true"/>
        <w:spacing w:before="0" w:after="0"/>
        <w:rPr>
          <w:rFonts w:ascii="Bookman Old Style" w:hAnsi="Bookman Old Style" w:cs="Arial"/>
          <w:i/>
          <w:i/>
          <w:iCs/>
        </w:rPr>
      </w:pPr>
      <w:bookmarkStart w:id="9" w:name="_Ref32905285"/>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1</w:t>
      </w:r>
      <w:r>
        <w:rPr>
          <w:i/>
          <w:iCs/>
          <w:rFonts w:cs="Arial" w:ascii="Bookman Old Style" w:hAnsi="Bookman Old Style"/>
        </w:rPr>
        <w:fldChar w:fldCharType="end"/>
      </w:r>
      <w:r>
        <w:rPr>
          <w:rFonts w:cs="Arial" w:ascii="Bookman Old Style" w:hAnsi="Bookman Old Style"/>
          <w:i/>
          <w:iCs/>
        </w:rPr>
        <w:t xml:space="preserve"> Cantidad de asuntos entrados, de octubre 2018 a setiembre 2019, y la cantidad de personas usuarias indígenas intervinientes</w:t>
      </w:r>
      <w:bookmarkEnd w:id="9"/>
    </w:p>
    <w:tbl>
      <w:tblPr>
        <w:tblW w:w="9320"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3279"/>
        <w:gridCol w:w="1480"/>
        <w:gridCol w:w="1340"/>
        <w:gridCol w:w="1660"/>
        <w:gridCol w:w="1561"/>
      </w:tblGrid>
      <w:tr>
        <w:trPr>
          <w:trHeight w:val="840" w:hRule="atLeast"/>
        </w:trPr>
        <w:tc>
          <w:tcPr>
            <w:tcW w:w="327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Materia</w:t>
            </w:r>
          </w:p>
        </w:tc>
        <w:tc>
          <w:tcPr>
            <w:tcW w:w="1480"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Cantidad de expedientes</w:t>
            </w:r>
          </w:p>
        </w:tc>
        <w:tc>
          <w:tcPr>
            <w:tcW w:w="1340"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Personas indígenas</w:t>
            </w:r>
          </w:p>
        </w:tc>
        <w:tc>
          <w:tcPr>
            <w:tcW w:w="1660"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Promedio de personas indígenas por expediente</w:t>
            </w:r>
          </w:p>
        </w:tc>
        <w:tc>
          <w:tcPr>
            <w:tcW w:w="1561"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Diferencia</w:t>
            </w:r>
          </w:p>
        </w:tc>
      </w:tr>
      <w:tr>
        <w:trPr>
          <w:trHeight w:val="310" w:hRule="atLeast"/>
        </w:trPr>
        <w:tc>
          <w:tcPr>
            <w:tcW w:w="32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Pensiones Alimentarias</w:t>
            </w:r>
          </w:p>
        </w:tc>
        <w:tc>
          <w:tcPr>
            <w:tcW w:w="148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412</w:t>
            </w:r>
          </w:p>
        </w:tc>
        <w:tc>
          <w:tcPr>
            <w:tcW w:w="134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438</w:t>
            </w:r>
          </w:p>
        </w:tc>
        <w:tc>
          <w:tcPr>
            <w:tcW w:w="166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1,06</w:t>
            </w:r>
          </w:p>
        </w:tc>
        <w:tc>
          <w:tcPr>
            <w:tcW w:w="156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26</w:t>
            </w:r>
          </w:p>
        </w:tc>
      </w:tr>
      <w:tr>
        <w:trPr>
          <w:trHeight w:val="310" w:hRule="atLeast"/>
        </w:trPr>
        <w:tc>
          <w:tcPr>
            <w:tcW w:w="32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Penal</w:t>
            </w:r>
          </w:p>
        </w:tc>
        <w:tc>
          <w:tcPr>
            <w:tcW w:w="148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295</w:t>
            </w:r>
          </w:p>
        </w:tc>
        <w:tc>
          <w:tcPr>
            <w:tcW w:w="134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369</w:t>
            </w:r>
          </w:p>
        </w:tc>
        <w:tc>
          <w:tcPr>
            <w:tcW w:w="166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1,25</w:t>
            </w:r>
          </w:p>
        </w:tc>
        <w:tc>
          <w:tcPr>
            <w:tcW w:w="156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74</w:t>
            </w:r>
          </w:p>
        </w:tc>
      </w:tr>
      <w:tr>
        <w:trPr>
          <w:trHeight w:val="280" w:hRule="atLeast"/>
        </w:trPr>
        <w:tc>
          <w:tcPr>
            <w:tcW w:w="32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Penalización Contra Mujer</w:t>
            </w:r>
          </w:p>
        </w:tc>
        <w:tc>
          <w:tcPr>
            <w:tcW w:w="148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132</w:t>
            </w:r>
          </w:p>
        </w:tc>
        <w:tc>
          <w:tcPr>
            <w:tcW w:w="134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150</w:t>
            </w:r>
          </w:p>
        </w:tc>
        <w:tc>
          <w:tcPr>
            <w:tcW w:w="166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1,14</w:t>
            </w:r>
          </w:p>
        </w:tc>
        <w:tc>
          <w:tcPr>
            <w:tcW w:w="156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w:t>
            </w:r>
          </w:p>
        </w:tc>
      </w:tr>
      <w:tr>
        <w:trPr>
          <w:trHeight w:val="280" w:hRule="atLeast"/>
        </w:trPr>
        <w:tc>
          <w:tcPr>
            <w:tcW w:w="32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Agraria</w:t>
            </w:r>
          </w:p>
        </w:tc>
        <w:tc>
          <w:tcPr>
            <w:tcW w:w="148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91</w:t>
            </w:r>
          </w:p>
        </w:tc>
        <w:tc>
          <w:tcPr>
            <w:tcW w:w="134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102</w:t>
            </w:r>
          </w:p>
        </w:tc>
        <w:tc>
          <w:tcPr>
            <w:tcW w:w="166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1,12</w:t>
            </w:r>
          </w:p>
        </w:tc>
        <w:tc>
          <w:tcPr>
            <w:tcW w:w="156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w:t>
            </w:r>
          </w:p>
        </w:tc>
      </w:tr>
      <w:tr>
        <w:trPr>
          <w:trHeight w:val="280" w:hRule="atLeast"/>
        </w:trPr>
        <w:tc>
          <w:tcPr>
            <w:tcW w:w="3279" w:type="dxa"/>
            <w:tcBorders>
              <w:top w:val="single" w:sz="4" w:space="0" w:color="000000"/>
              <w:left w:val="single" w:sz="4" w:space="0" w:color="000000"/>
              <w:bottom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Demás materias</w:t>
            </w:r>
          </w:p>
        </w:tc>
        <w:tc>
          <w:tcPr>
            <w:tcW w:w="148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227</w:t>
            </w:r>
          </w:p>
        </w:tc>
        <w:tc>
          <w:tcPr>
            <w:tcW w:w="134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241</w:t>
            </w:r>
          </w:p>
        </w:tc>
        <w:tc>
          <w:tcPr>
            <w:tcW w:w="1660"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1,06</w:t>
            </w:r>
          </w:p>
        </w:tc>
        <w:tc>
          <w:tcPr>
            <w:tcW w:w="156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14</w:t>
            </w:r>
          </w:p>
        </w:tc>
      </w:tr>
      <w:tr>
        <w:trPr>
          <w:trHeight w:val="280" w:hRule="atLeast"/>
        </w:trPr>
        <w:tc>
          <w:tcPr>
            <w:tcW w:w="3279"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Total</w:t>
            </w:r>
          </w:p>
        </w:tc>
        <w:tc>
          <w:tcPr>
            <w:tcW w:w="1480" w:type="dxa"/>
            <w:tcBorders>
              <w:top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1157</w:t>
            </w:r>
          </w:p>
        </w:tc>
        <w:tc>
          <w:tcPr>
            <w:tcW w:w="1340" w:type="dxa"/>
            <w:tcBorders>
              <w:top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1300</w:t>
            </w:r>
          </w:p>
        </w:tc>
        <w:tc>
          <w:tcPr>
            <w:tcW w:w="1660" w:type="dxa"/>
            <w:tcBorders>
              <w:top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1,12</w:t>
            </w:r>
          </w:p>
        </w:tc>
        <w:tc>
          <w:tcPr>
            <w:tcW w:w="1561" w:type="dxa"/>
            <w:tcBorders>
              <w:top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143</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 xml:space="preserve">Con base en la tabla anterior, se puede observar que, un proceso (expediente) mantiene en promedio 1,12 personas usuarias indígenas como intervinientes, en los cuales hay 143 personas usuarias indígenas en calidad de interviniente en asuntos donde hay dos o más personas indígenas intervinientes. </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 xml:space="preserve">Haciendo la segregación por materia, se evidencia que, de los asuntos que ingresaron de octubre de 2018 a setiembre 2019, la materia penal mantiene la mayor proporción de cantidad de personas usuarias indígenas por expediente (1,25); es decir, hay 74 personas usuarias indígenas que se mantienen en procesos con dos o más intervinientes. Aunado a lo anterior, materia agraria mantiene un promedio de 1,12 personas usuarias indígenas por proceso, pero 11 personas se mantienen en asuntos con dos o más intervinientes. Las demás materias mantienen en promedio 1,06 personas indígenas intervinientes por cada expediente, lo anterior equivale a que solo 6 de cada 100 personas indígenas, en los asuntos ingresados, sean partícipes en asuntos con dos o más intervinientes. </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 xml:space="preserve">Ahora bien, se tiene como excepción algunos asuntos conocidos dentro de la Defensa Pública, donde la Supervisora de Asuntos Indígenas indica que intervienen gran cantidad de personas usuarias indígenas y por ello, se toma en consideración dentro del análisis actual. </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Sin embargo, con base en el informe 634-PLA-RH-MI-2019 “Impacto organizacional y presupuestario en el Poder Judicial, (Defensa Pública) a partir de la promulgación de la Ley 9593 de Acceso a la Justicia de los Pueblos Indígenas (incluye materia disciplinaria, agraria y pensión alimentaria)” y el presente análisis estadístico, se infiere técnicamente que dichos expedientes responden a casos aislados y se encuentran fuera de los límites de control, debido a que en el amplio periodo de tiempo de estudio no se refleja el comportamiento descrito.</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 xml:space="preserve">Además, de la </w:t>
      </w:r>
      <w:r>
        <w:rPr>
          <w:rFonts w:eastAsia="Arial" w:cs="Arial" w:ascii="Bookman Old Style" w:hAnsi="Bookman Old Style"/>
          <w:b/>
          <w:bCs/>
          <w:i/>
          <w:iCs/>
          <w:sz w:val="20"/>
          <w:szCs w:val="20"/>
        </w:rPr>
        <w:fldChar w:fldCharType="begin"/>
      </w:r>
      <w:r>
        <w:rPr>
          <w:sz w:val="20"/>
          <w:i/>
          <w:b/>
          <w:szCs w:val="20"/>
          <w:iCs/>
          <w:bCs/>
          <w:rFonts w:eastAsia="Arial" w:cs="Arial" w:ascii="Bookman Old Style" w:hAnsi="Bookman Old Style"/>
        </w:rPr>
        <w:instrText> REF _Ref32905285 \h </w:instrText>
      </w:r>
      <w:r>
        <w:rPr>
          <w:sz w:val="20"/>
          <w:i/>
          <w:b/>
          <w:szCs w:val="20"/>
          <w:iCs/>
          <w:bCs/>
          <w:rFonts w:eastAsia="Arial" w:cs="Arial" w:ascii="Bookman Old Style" w:hAnsi="Bookman Old Style"/>
        </w:rPr>
        <w:fldChar w:fldCharType="separate"/>
      </w:r>
      <w:r>
        <w:rPr>
          <w:sz w:val="20"/>
          <w:i/>
          <w:b/>
          <w:szCs w:val="20"/>
          <w:iCs/>
          <w:bCs/>
          <w:rFonts w:eastAsia="Arial" w:cs="Arial" w:ascii="Bookman Old Style" w:hAnsi="Bookman Old Style"/>
        </w:rPr>
        <w:t>Tabla 1 Cantidad de asuntos entrados, de octubre 2018 a setiembre 2019, y la cantidad de personas usuarias indígenas intervinientes</w:t>
      </w:r>
      <w:r>
        <w:rPr>
          <w:sz w:val="20"/>
          <w:i/>
          <w:b/>
          <w:szCs w:val="20"/>
          <w:iCs/>
          <w:bCs/>
          <w:rFonts w:eastAsia="Arial" w:cs="Arial" w:ascii="Bookman Old Style" w:hAnsi="Bookman Old Style"/>
        </w:rPr>
        <w:fldChar w:fldCharType="end"/>
      </w:r>
      <w:r>
        <w:rPr>
          <w:rFonts w:eastAsia="Arial" w:cs="Arial" w:ascii="Bookman Old Style" w:hAnsi="Bookman Old Style"/>
          <w:i/>
          <w:iCs/>
          <w:sz w:val="20"/>
          <w:szCs w:val="20"/>
        </w:rPr>
        <w:t>; se puede inferir que la entrada promedio mensual de asuntos, a nivel nacional, es de 103, con 116 personas usuarias indígenas intervinientes. De esos 103 asuntos nuevos a nivel nacional, en promedio 37 son de Pensiones Alimentarias, 26 de Penal Ordinario, 12 de Penalización de Violencia contra Mujer, 8 de materia agraria y, las restantes 20 causas son Laboral, Familia, Penal Juvenil, Ejecución de la Pena, Contravencional, Revisiones y Ejecución de la Pena en Penal Juvenil.</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 xml:space="preserve">Ahora, en la siguiente figura se evidencia la concentración mensual por oficina de la Defensa Pública, de la cantidad de asuntos entrados con personas usuarias indígenas durante octubre 2018 hasta setiembre 2019. </w:t>
      </w:r>
    </w:p>
    <w:p>
      <w:pPr>
        <w:pStyle w:val="Caption"/>
        <w:keepNext w:val="true"/>
        <w:spacing w:before="0" w:after="0"/>
        <w:rPr>
          <w:rFonts w:ascii="Bookman Old Style" w:hAnsi="Bookman Old Style" w:cs="Arial"/>
          <w:i/>
          <w:i/>
          <w:iCs/>
        </w:rPr>
      </w:pPr>
      <w:r>
        <w:rPr>
          <w:rFonts w:cs="Arial" w:ascii="Bookman Old Style" w:hAnsi="Bookman Old Style"/>
          <w:i/>
          <w:iCs/>
        </w:rPr>
        <w:t xml:space="preserve">Figura </w:t>
      </w:r>
      <w:r>
        <w:rPr>
          <w:rFonts w:cs="Arial" w:ascii="Bookman Old Style" w:hAnsi="Bookman Old Style"/>
          <w:i/>
          <w:iCs/>
        </w:rPr>
        <w:fldChar w:fldCharType="begin"/>
      </w:r>
      <w:r>
        <w:rPr>
          <w:i/>
          <w:iCs/>
          <w:rFonts w:cs="Arial" w:ascii="Bookman Old Style" w:hAnsi="Bookman Old Style"/>
        </w:rPr>
        <w:instrText> SEQ Figura \* ARABIC </w:instrText>
      </w:r>
      <w:r>
        <w:rPr>
          <w:i/>
          <w:iCs/>
          <w:rFonts w:cs="Arial" w:ascii="Bookman Old Style" w:hAnsi="Bookman Old Style"/>
        </w:rPr>
        <w:fldChar w:fldCharType="separate"/>
      </w:r>
      <w:r>
        <w:rPr>
          <w:i/>
          <w:iCs/>
          <w:rFonts w:cs="Arial" w:ascii="Bookman Old Style" w:hAnsi="Bookman Old Style"/>
        </w:rPr>
        <w:t>4</w:t>
      </w:r>
      <w:r>
        <w:rPr>
          <w:i/>
          <w:iCs/>
          <w:rFonts w:cs="Arial" w:ascii="Bookman Old Style" w:hAnsi="Bookman Old Style"/>
        </w:rPr>
        <w:fldChar w:fldCharType="end"/>
      </w:r>
      <w:r>
        <w:rPr>
          <w:rFonts w:cs="Arial" w:ascii="Bookman Old Style" w:hAnsi="Bookman Old Style"/>
          <w:i/>
          <w:iCs/>
        </w:rPr>
        <w:t xml:space="preserve"> </w:t>
      </w:r>
      <w:r>
        <w:rPr>
          <w:rFonts w:eastAsia="Arial" w:cs="Arial" w:ascii="Bookman Old Style" w:hAnsi="Bookman Old Style"/>
          <w:i/>
          <w:iCs/>
        </w:rPr>
        <w:t>Cantidad de asuntos entrados de octubre 2018 a setiembre 2019, con personas indígenas representadas por la Defensa Pública</w:t>
      </w:r>
    </w:p>
    <w:p>
      <w:pPr>
        <w:pStyle w:val="Normal"/>
        <w:jc w:val="both"/>
        <w:rPr>
          <w:rFonts w:ascii="Bookman Old Style" w:hAnsi="Bookman Old Style" w:cs="Arial"/>
          <w:i/>
          <w:i/>
          <w:iCs/>
          <w:sz w:val="20"/>
          <w:szCs w:val="20"/>
        </w:rPr>
      </w:pPr>
      <w:r>
        <w:rPr/>
        <w:drawing>
          <wp:inline distT="0" distB="0" distL="0" distR="0">
            <wp:extent cx="5937885" cy="3211830"/>
            <wp:effectExtent l="0" t="0" r="0" b="0"/>
            <wp:docPr id="10"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
                    <pic:cNvPicPr>
                      <a:picLocks noChangeAspect="1" noChangeArrowheads="1"/>
                    </pic:cNvPicPr>
                  </pic:nvPicPr>
                  <pic:blipFill>
                    <a:blip r:embed="rId11"/>
                    <a:stretch>
                      <a:fillRect/>
                    </a:stretch>
                  </pic:blipFill>
                  <pic:spPr bwMode="auto">
                    <a:xfrm>
                      <a:off x="0" y="0"/>
                      <a:ext cx="5937885" cy="3211830"/>
                    </a:xfrm>
                    <a:prstGeom prst="rect">
                      <a:avLst/>
                    </a:prstGeom>
                  </pic:spPr>
                </pic:pic>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 xml:space="preserve">Con base en la información mostrada en la figura anterior, en un primer bloque se puede inferir que la mayor concentración de asuntos con personas usuarias indígenas se encuentra en la Defensa Pública de Buenos Aires, con un promedio de ingreso mensual de 30 expedientes; seguido de la Defensa Pública de Bribri, con un promedio de ingreso mensual de 29 asuntos. Las dos oficinas de la Defensa Pública mencionadas anteriormente responden al 58% del total de asuntos entrados a nivel nacional. </w:t>
      </w:r>
    </w:p>
    <w:p>
      <w:pPr>
        <w:pStyle w:val="Normal"/>
        <w:jc w:val="both"/>
        <w:rPr>
          <w:rFonts w:ascii="Bookman Old Style" w:hAnsi="Bookman Old Style"/>
          <w:i/>
          <w:i/>
          <w:iCs/>
          <w:sz w:val="20"/>
          <w:szCs w:val="20"/>
        </w:rPr>
      </w:pPr>
      <w:r>
        <w:rPr>
          <w:rFonts w:ascii="Bookman Old Style" w:hAnsi="Bookman Old Style"/>
          <w:i/>
          <w:iCs/>
          <w:sz w:val="20"/>
          <w:szCs w:val="20"/>
        </w:rPr>
        <w:t xml:space="preserve">Lo anterior, es congruente con la cantidad de población indígena en las zonas, según los datos demográficos detallados en el apartado anterior. </w:t>
      </w:r>
    </w:p>
    <w:p>
      <w:pPr>
        <w:pStyle w:val="Normal"/>
        <w:jc w:val="both"/>
        <w:rPr>
          <w:rFonts w:ascii="Bookman Old Style" w:hAnsi="Bookman Old Style"/>
          <w:i/>
          <w:i/>
          <w:iCs/>
          <w:sz w:val="20"/>
          <w:szCs w:val="20"/>
        </w:rPr>
      </w:pPr>
      <w:r>
        <w:rPr>
          <w:rFonts w:ascii="Bookman Old Style" w:hAnsi="Bookman Old Style"/>
          <w:i/>
          <w:iCs/>
          <w:sz w:val="20"/>
          <w:szCs w:val="20"/>
        </w:rPr>
        <w:t xml:space="preserve">Ahora bien, en la figura anterior, como un segundo bloque, podemos observar que las oficinas de la Defensa Pública de Turrialba, Pérez Zeledón, Limón, Coto Brus, Cartago y Corredores mantienen un promedio de ingreso mensual entre cuatro y siete representaciones. </w:t>
      </w:r>
    </w:p>
    <w:p>
      <w:pPr>
        <w:pStyle w:val="Normal"/>
        <w:jc w:val="both"/>
        <w:rPr>
          <w:rFonts w:ascii="Bookman Old Style" w:hAnsi="Bookman Old Style"/>
          <w:i/>
          <w:i/>
          <w:iCs/>
          <w:sz w:val="20"/>
          <w:szCs w:val="20"/>
        </w:rPr>
      </w:pPr>
      <w:r>
        <w:rPr>
          <w:rFonts w:ascii="Bookman Old Style" w:hAnsi="Bookman Old Style"/>
          <w:i/>
          <w:iCs/>
          <w:sz w:val="20"/>
          <w:szCs w:val="20"/>
        </w:rPr>
        <w:t xml:space="preserve">Estas oficinas representan un 31% del total de representaciones mensuales, el equivalente a 32 personas usuarias indígenas. Haciendo la aclaración que, según explica la Licda. Ligia Jiménez Zamora, Supervisora de Pueblos Indígenas, debido a la necesidad particular de cada oficina, se ha optado por que personas defensoras se trasladen una o dos veces por semana a brindar soporte a otras oficinas; tal es el caso de Pérez Zeledón que brinda soporte a Buenos Aires, Cartago a Turrialba, Limón a Bribri y Corredores a Coto Brus. </w:t>
      </w:r>
    </w:p>
    <w:p>
      <w:pPr>
        <w:pStyle w:val="Normal"/>
        <w:jc w:val="both"/>
        <w:rPr>
          <w:rFonts w:ascii="Bookman Old Style" w:hAnsi="Bookman Old Style"/>
          <w:i/>
          <w:i/>
          <w:iCs/>
          <w:sz w:val="20"/>
          <w:szCs w:val="20"/>
        </w:rPr>
      </w:pPr>
      <w:r>
        <w:rPr>
          <w:rFonts w:ascii="Bookman Old Style" w:hAnsi="Bookman Old Style"/>
          <w:i/>
          <w:iCs/>
          <w:sz w:val="20"/>
          <w:szCs w:val="20"/>
        </w:rPr>
        <w:t xml:space="preserve">De lo anterior y, considerando que el control de asuntos se realiza por el Libro de Registro de la Defensa Pública por persona defensora, se podría reportar expedientes de personas usuarias indígenas en las oficinas que brindan el soporte, cuando la persona indígena es atendida en la oficina a la que se le brinda dicha colaboración. </w:t>
      </w:r>
    </w:p>
    <w:p>
      <w:pPr>
        <w:pStyle w:val="Normal"/>
        <w:jc w:val="both"/>
        <w:rPr>
          <w:rFonts w:ascii="Bookman Old Style" w:hAnsi="Bookman Old Style"/>
          <w:i/>
          <w:i/>
          <w:iCs/>
          <w:sz w:val="20"/>
          <w:szCs w:val="20"/>
        </w:rPr>
      </w:pPr>
      <w:r>
        <w:rPr>
          <w:rFonts w:ascii="Bookman Old Style" w:hAnsi="Bookman Old Style"/>
          <w:i/>
          <w:iCs/>
          <w:sz w:val="20"/>
          <w:szCs w:val="20"/>
        </w:rPr>
        <w:t>Finalmente, en un tercer bloque, el restante 11% del ingreso mensual de representaciones a personas indígenas, equivale a un promedio de 11 personas y, estas se distribuyen en el resto del país en las diferentes materias.</w:t>
      </w:r>
    </w:p>
    <w:p>
      <w:pPr>
        <w:pStyle w:val="Normal"/>
        <w:jc w:val="both"/>
        <w:rPr>
          <w:rFonts w:ascii="Bookman Old Style" w:hAnsi="Bookman Old Style"/>
          <w:i/>
          <w:i/>
          <w:iCs/>
          <w:sz w:val="20"/>
          <w:szCs w:val="20"/>
        </w:rPr>
      </w:pPr>
      <w:r>
        <w:rPr>
          <w:rFonts w:ascii="Bookman Old Style" w:hAnsi="Bookman Old Style"/>
          <w:i/>
          <w:iCs/>
          <w:sz w:val="20"/>
          <w:szCs w:val="20"/>
        </w:rPr>
        <w:t xml:space="preserve">Dicho lo anterior, la siguiente tabla muestra la cantidad de personas representadas en asuntos nuevos en promedio por mes, en las oficinas que representan el 89% de las representaciones de la Defensa Pública a nivel nacional. </w:t>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2</w:t>
      </w:r>
      <w:r>
        <w:rPr>
          <w:i/>
          <w:iCs/>
          <w:rFonts w:cs="Arial" w:ascii="Bookman Old Style" w:hAnsi="Bookman Old Style"/>
        </w:rPr>
        <w:fldChar w:fldCharType="end"/>
      </w:r>
      <w:r>
        <w:rPr>
          <w:rFonts w:eastAsia="Arial" w:cs="Arial" w:ascii="Bookman Old Style" w:hAnsi="Bookman Old Style"/>
          <w:i/>
          <w:iCs/>
        </w:rPr>
        <w:t xml:space="preserve"> Promedio de asuntos mensuales entrados en las oficinas que representan el 89% del ingreso mensual a nivel nacional</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950"/>
        <w:gridCol w:w="1522"/>
        <w:gridCol w:w="1269"/>
        <w:gridCol w:w="1796"/>
        <w:gridCol w:w="1133"/>
        <w:gridCol w:w="1216"/>
        <w:gridCol w:w="865"/>
      </w:tblGrid>
      <w:tr>
        <w:trPr>
          <w:trHeight w:val="560" w:hRule="atLeast"/>
        </w:trPr>
        <w:tc>
          <w:tcPr>
            <w:tcW w:w="195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Oficina</w:t>
            </w:r>
          </w:p>
        </w:tc>
        <w:tc>
          <w:tcPr>
            <w:tcW w:w="1522"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Pensiones Alimentarias</w:t>
            </w:r>
          </w:p>
        </w:tc>
        <w:tc>
          <w:tcPr>
            <w:tcW w:w="1269"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Penal</w:t>
            </w:r>
          </w:p>
        </w:tc>
        <w:tc>
          <w:tcPr>
            <w:tcW w:w="1796"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Penalización Contra Mujer</w:t>
            </w:r>
          </w:p>
        </w:tc>
        <w:tc>
          <w:tcPr>
            <w:tcW w:w="1133"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Agraria</w:t>
            </w:r>
          </w:p>
        </w:tc>
        <w:tc>
          <w:tcPr>
            <w:tcW w:w="1216"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Demás materias</w:t>
            </w:r>
          </w:p>
        </w:tc>
        <w:tc>
          <w:tcPr>
            <w:tcW w:w="865"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Total</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Bribrí</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14</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8</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30</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Buenos Aires</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29</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Turrialba</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Pérez Zeledón</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Limón</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Coto Brus</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Cartago</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Corredores</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w:t>
            </w:r>
          </w:p>
        </w:tc>
      </w:tr>
      <w:tr>
        <w:trPr>
          <w:trHeight w:val="280" w:hRule="atLeast"/>
        </w:trPr>
        <w:tc>
          <w:tcPr>
            <w:tcW w:w="195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Demás oficinas</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269"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79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13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21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w:t>
            </w:r>
          </w:p>
        </w:tc>
        <w:tc>
          <w:tcPr>
            <w:tcW w:w="86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w:t>
            </w:r>
          </w:p>
        </w:tc>
      </w:tr>
      <w:tr>
        <w:trPr>
          <w:trHeight w:val="280" w:hRule="atLeast"/>
        </w:trPr>
        <w:tc>
          <w:tcPr>
            <w:tcW w:w="1950" w:type="dxa"/>
            <w:tcBorders>
              <w:left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Total</w:t>
            </w:r>
          </w:p>
        </w:tc>
        <w:tc>
          <w:tcPr>
            <w:tcW w:w="1522"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37</w:t>
            </w:r>
          </w:p>
        </w:tc>
        <w:tc>
          <w:tcPr>
            <w:tcW w:w="1269"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26</w:t>
            </w:r>
          </w:p>
        </w:tc>
        <w:tc>
          <w:tcPr>
            <w:tcW w:w="1796"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12</w:t>
            </w:r>
          </w:p>
        </w:tc>
        <w:tc>
          <w:tcPr>
            <w:tcW w:w="1133"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8</w:t>
            </w:r>
          </w:p>
        </w:tc>
        <w:tc>
          <w:tcPr>
            <w:tcW w:w="1216"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20</w:t>
            </w:r>
          </w:p>
        </w:tc>
        <w:tc>
          <w:tcPr>
            <w:tcW w:w="865"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103</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cs="Arial"/>
          <w:i/>
          <w:i/>
          <w:iCs/>
          <w:sz w:val="20"/>
          <w:szCs w:val="20"/>
        </w:rPr>
      </w:pPr>
      <w:r>
        <w:rPr>
          <w:rFonts w:cs="Arial" w:ascii="Bookman Old Style" w:hAnsi="Bookman Old Style"/>
          <w:i/>
          <w:iCs/>
          <w:sz w:val="20"/>
          <w:szCs w:val="20"/>
        </w:rPr>
        <w:t>Nota: La Defensa Pública reporta, de octubre 2018 a setiembre 2019, asuntos entrados con persona usuaria indígena en 34 oficinas; por lo que la fila “Demás oficinas” contempla un total de 26 oficinas.</w:t>
      </w:r>
    </w:p>
    <w:p>
      <w:pPr>
        <w:pStyle w:val="Normal"/>
        <w:jc w:val="both"/>
        <w:rPr>
          <w:rFonts w:ascii="Bookman Old Style" w:hAnsi="Bookman Old Style"/>
          <w:i/>
          <w:i/>
          <w:iCs/>
          <w:sz w:val="20"/>
          <w:szCs w:val="20"/>
        </w:rPr>
      </w:pPr>
      <w:r>
        <w:rPr>
          <w:rFonts w:ascii="Bookman Old Style" w:hAnsi="Bookman Old Style"/>
          <w:i/>
          <w:iCs/>
          <w:sz w:val="20"/>
          <w:szCs w:val="20"/>
        </w:rPr>
        <w:t>De la tabla anterior se puede extraer que, el promedio de ingreso mensual de asuntos mensuales es similar para la Defensa Pública de Bribri (30) y Buenos Aires (29). No obstante, la segmentación de asuntos entrados por materia varía en su comportamiento, debido a que en Bribri el 46% de los asuntos entrados son de Pensiones Alimentarias (14), mientras que, en Buenos Aires el 34% de los asuntos entrados son Penales Ordinarios (10).</w:t>
      </w:r>
    </w:p>
    <w:p>
      <w:pPr>
        <w:pStyle w:val="Normal"/>
        <w:jc w:val="both"/>
        <w:rPr>
          <w:rFonts w:ascii="Bookman Old Style" w:hAnsi="Bookman Old Style"/>
          <w:i/>
          <w:i/>
          <w:iCs/>
          <w:sz w:val="20"/>
          <w:szCs w:val="20"/>
        </w:rPr>
      </w:pPr>
      <w:r>
        <w:rPr>
          <w:rFonts w:ascii="Bookman Old Style" w:hAnsi="Bookman Old Style"/>
          <w:i/>
          <w:iCs/>
          <w:sz w:val="20"/>
          <w:szCs w:val="20"/>
        </w:rPr>
        <w:t>Las oficinas de Turrialba, Pérez Zeledón, Limón, Coto Brus, Cartago y Corredores mantienen una representación mensual entre uno y tres asuntos en Pensiones Alimentarias y, entre uno y dos asuntos en Penal Ordinario.</w:t>
      </w:r>
    </w:p>
    <w:p>
      <w:pPr>
        <w:pStyle w:val="Normal"/>
        <w:jc w:val="both"/>
        <w:rPr>
          <w:rFonts w:ascii="Bookman Old Style" w:hAnsi="Bookman Old Style"/>
          <w:i/>
          <w:i/>
          <w:iCs/>
          <w:sz w:val="20"/>
          <w:szCs w:val="20"/>
        </w:rPr>
      </w:pPr>
      <w:r>
        <w:rPr>
          <w:rFonts w:ascii="Bookman Old Style" w:hAnsi="Bookman Old Style"/>
          <w:i/>
          <w:iCs/>
          <w:sz w:val="20"/>
          <w:szCs w:val="20"/>
        </w:rPr>
        <w:t>Respecto a Penalización de Violencia contra la Mujer, se observa que las oficinas de Bribri y Buenos Aires presentan una entrada mensual promedio de seis y cuatro, respectivamente. Las demás oficinas de la Defensa Pública a nivel nacional mantienen un ingreso promedio mensual igual o inferior a uno, por lo que se puede decir que hay meses que ingresa un asunto nuevo y meses donde no hay un ingreso.</w:t>
      </w:r>
    </w:p>
    <w:p>
      <w:pPr>
        <w:pStyle w:val="Normal"/>
        <w:jc w:val="both"/>
        <w:rPr>
          <w:rFonts w:ascii="Bookman Old Style" w:hAnsi="Bookman Old Style"/>
          <w:i/>
          <w:i/>
          <w:iCs/>
          <w:sz w:val="20"/>
          <w:szCs w:val="20"/>
        </w:rPr>
      </w:pPr>
      <w:r>
        <w:rPr>
          <w:rFonts w:ascii="Bookman Old Style" w:hAnsi="Bookman Old Style"/>
          <w:i/>
          <w:iCs/>
          <w:sz w:val="20"/>
          <w:szCs w:val="20"/>
        </w:rPr>
        <w:t>Respecto a las causas entradas en materia agraria, en la tabla anterior se evidencia que, la Defensa Pública de Buenos Aires, Pérez Zeledón y Cartago mantienen un promedio mensual de dos asuntos; en las demás oficinas hay meses que ingresa un asunto y meses en los que la entrada es nula.</w:t>
      </w:r>
    </w:p>
    <w:p>
      <w:pPr>
        <w:pStyle w:val="Normal"/>
        <w:jc w:val="both"/>
        <w:rPr>
          <w:rFonts w:ascii="Bookman Old Style" w:hAnsi="Bookman Old Style"/>
          <w:i/>
          <w:i/>
          <w:iCs/>
          <w:sz w:val="20"/>
          <w:szCs w:val="20"/>
        </w:rPr>
      </w:pPr>
      <w:r>
        <w:rPr>
          <w:rFonts w:ascii="Bookman Old Style" w:hAnsi="Bookman Old Style"/>
          <w:i/>
          <w:iCs/>
          <w:sz w:val="20"/>
          <w:szCs w:val="20"/>
        </w:rPr>
        <w:t xml:space="preserve">Es importante recordar que la Defensa Pública de Pérez Zeledón le brinda soporte a la Defensa Pública de Buenos Aires y, en ese sentido, se puede inferir que la mayor cantidad de asuntos agrarios entrados se encuentran en el Primer Circuito Judicial de la Zona Sur. </w:t>
      </w:r>
    </w:p>
    <w:p>
      <w:pPr>
        <w:pStyle w:val="Normal"/>
        <w:jc w:val="both"/>
        <w:rPr>
          <w:rFonts w:ascii="Bookman Old Style" w:hAnsi="Bookman Old Style"/>
          <w:i/>
          <w:i/>
          <w:iCs/>
          <w:sz w:val="20"/>
          <w:szCs w:val="20"/>
        </w:rPr>
      </w:pPr>
      <w:r>
        <w:rPr>
          <w:rFonts w:ascii="Bookman Old Style" w:hAnsi="Bookman Old Style"/>
          <w:i/>
          <w:iCs/>
          <w:sz w:val="20"/>
          <w:szCs w:val="20"/>
        </w:rPr>
        <w:t>En los expedientes contabilizadas en “Otras materias”, la Defensa Pública de Buenos Aires presenta el ingreso del 37% de las representaciones nuevas por mes; por lo que es importante mencionar que dichos asuntos se concentran en Laboral (un asunto mensual), Penal Juvenil (3 asuntos mensuales), Familia (2 asuntos mensuales) y Contravencional (2 asuntos mensuales). Además, la Defensa Pública de Bribri el promedio de “Otras materias” se mantiene en tres causas nuevas por mes, concentradas principalmente en materia Laboral.</w:t>
      </w:r>
    </w:p>
    <w:p>
      <w:pPr>
        <w:pStyle w:val="Normal"/>
        <w:jc w:val="both"/>
        <w:rPr>
          <w:rFonts w:ascii="Bookman Old Style" w:hAnsi="Bookman Old Style"/>
          <w:i/>
          <w:i/>
          <w:iCs/>
          <w:sz w:val="20"/>
          <w:szCs w:val="20"/>
        </w:rPr>
      </w:pPr>
      <w:r>
        <w:rPr>
          <w:rFonts w:ascii="Bookman Old Style" w:hAnsi="Bookman Old Style"/>
          <w:i/>
          <w:iCs/>
          <w:sz w:val="20"/>
          <w:szCs w:val="20"/>
        </w:rPr>
        <w:t>Finalmente, cabe manifestar que la representación en materias como Penal, Laboral, Agrario, Pensiones, Penalización contra la mujer y Penal juvenil, se atiende por la Defensa Pública, desde antes de la entrada en vigencia de la Ley 9593 de Acceso a la Justicia de los Pueblos Indígenas.</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 xml:space="preserve">Circulante de asuntos con interviniente persona usuaria indígena, antes y después de la promulgación de la Ley 9593 de Acceso a la Justicia a los Pueblos Indígenas </w:t>
      </w:r>
    </w:p>
    <w:p>
      <w:pPr>
        <w:pStyle w:val="Normal"/>
        <w:jc w:val="both"/>
        <w:rPr>
          <w:rFonts w:ascii="Bookman Old Style" w:hAnsi="Bookman Old Style"/>
          <w:i/>
          <w:i/>
          <w:iCs/>
          <w:sz w:val="20"/>
          <w:szCs w:val="20"/>
        </w:rPr>
      </w:pPr>
      <w:r>
        <w:rPr>
          <w:rFonts w:ascii="Bookman Old Style" w:hAnsi="Bookman Old Style"/>
          <w:i/>
          <w:iCs/>
          <w:sz w:val="20"/>
          <w:szCs w:val="20"/>
        </w:rPr>
        <w:t>Con base en los datos estadísticos facilitados por el Lic. Esteban Arguedas Madrigal, Coordinador de la Unidad Estadística de la Defensa Pública; se tiene que, con base en la competencia de la Defensa Pública antes de la promulgación de la Ley 9593 de Acceso a la Justicia a Pueblos Indígenas, al cierre del mes de setiembre de 2019, el circulante a nivel nacional de asuntos con persona usuaria indígena en calidad de interviniente es el siguiente:</w:t>
      </w:r>
    </w:p>
    <w:p>
      <w:pPr>
        <w:pStyle w:val="Caption"/>
        <w:keepNext w:val="true"/>
        <w:spacing w:before="0" w:after="0"/>
        <w:rPr>
          <w:rFonts w:ascii="Bookman Old Style" w:hAnsi="Bookman Old Style" w:cs="Arial"/>
          <w:i/>
          <w:i/>
          <w:iCs/>
        </w:rPr>
      </w:pPr>
      <w:bookmarkStart w:id="10" w:name="_Ref32912823"/>
      <w:r>
        <w:rPr>
          <w:rFonts w:cs="Arial" w:ascii="Bookman Old Style" w:hAnsi="Bookman Old Style"/>
          <w:i/>
          <w:iCs/>
        </w:rPr>
        <w:t xml:space="preserve">Figura </w:t>
      </w:r>
      <w:r>
        <w:rPr>
          <w:rFonts w:cs="Arial" w:ascii="Bookman Old Style" w:hAnsi="Bookman Old Style"/>
          <w:i/>
          <w:iCs/>
        </w:rPr>
        <w:fldChar w:fldCharType="begin"/>
      </w:r>
      <w:r>
        <w:rPr>
          <w:i/>
          <w:iCs/>
          <w:rFonts w:cs="Arial" w:ascii="Bookman Old Style" w:hAnsi="Bookman Old Style"/>
        </w:rPr>
        <w:instrText> SEQ Figura \* ARABIC </w:instrText>
      </w:r>
      <w:r>
        <w:rPr>
          <w:i/>
          <w:iCs/>
          <w:rFonts w:cs="Arial" w:ascii="Bookman Old Style" w:hAnsi="Bookman Old Style"/>
        </w:rPr>
        <w:fldChar w:fldCharType="separate"/>
      </w:r>
      <w:r>
        <w:rPr>
          <w:i/>
          <w:iCs/>
          <w:rFonts w:cs="Arial" w:ascii="Bookman Old Style" w:hAnsi="Bookman Old Style"/>
        </w:rPr>
        <w:t>5</w:t>
      </w:r>
      <w:r>
        <w:rPr>
          <w:i/>
          <w:iCs/>
          <w:rFonts w:cs="Arial" w:ascii="Bookman Old Style" w:hAnsi="Bookman Old Style"/>
        </w:rPr>
        <w:fldChar w:fldCharType="end"/>
      </w:r>
      <w:r>
        <w:rPr>
          <w:rFonts w:cs="Arial" w:ascii="Bookman Old Style" w:hAnsi="Bookman Old Style"/>
          <w:i/>
          <w:iCs/>
        </w:rPr>
        <w:t xml:space="preserve"> Circulante activo con la competencia antes de la promulgación de la Ley 9593, con interviniente persona indígena, al cierre de setiembre de 2019</w:t>
      </w:r>
      <w:bookmarkEnd w:id="10"/>
    </w:p>
    <w:p>
      <w:pPr>
        <w:pStyle w:val="Normal"/>
        <w:jc w:val="both"/>
        <w:rPr>
          <w:rFonts w:ascii="Bookman Old Style" w:hAnsi="Bookman Old Style" w:cs="Arial"/>
          <w:i/>
          <w:i/>
          <w:iCs/>
          <w:sz w:val="20"/>
          <w:szCs w:val="20"/>
        </w:rPr>
      </w:pPr>
      <w:r>
        <w:rPr/>
        <w:drawing>
          <wp:inline distT="0" distB="0" distL="0" distR="0">
            <wp:extent cx="4951730" cy="3159125"/>
            <wp:effectExtent l="0" t="0" r="0" b="0"/>
            <wp:docPr id="11"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8" descr=""/>
                    <pic:cNvPicPr>
                      <a:picLocks noChangeAspect="1" noChangeArrowheads="1"/>
                    </pic:cNvPicPr>
                  </pic:nvPicPr>
                  <pic:blipFill>
                    <a:blip r:embed="rId12"/>
                    <a:srcRect l="18418" t="0" r="15674" b="-31"/>
                    <a:stretch>
                      <a:fillRect/>
                    </a:stretch>
                  </pic:blipFill>
                  <pic:spPr bwMode="auto">
                    <a:xfrm>
                      <a:off x="0" y="0"/>
                      <a:ext cx="4951730" cy="3159125"/>
                    </a:xfrm>
                    <a:prstGeom prst="rect">
                      <a:avLst/>
                    </a:prstGeom>
                  </pic:spPr>
                </pic:pic>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El gráfico anterior segmenta las materias que representan el 80% del circulante, con la competencia antes de la promulgación de la Ley 9593, de la población indígena a nivel nacional, donde se puede observar que el 40% de los asuntos activos se concentran en materia penal (615 expedientes), el 20% en Pensiones Alimentarias (300 expedientes), el 13% en materia agraria (196 expedientes), el 8% en Penalización de Violencia contra Mujer (126 expedientes) y, el restante 20% se concentra en las demás materias (283 expedientes).</w:t>
      </w:r>
    </w:p>
    <w:p>
      <w:pPr>
        <w:pStyle w:val="Normal"/>
        <w:jc w:val="both"/>
        <w:rPr>
          <w:rFonts w:ascii="Bookman Old Style" w:hAnsi="Bookman Old Style"/>
          <w:i/>
          <w:i/>
          <w:iCs/>
          <w:sz w:val="20"/>
          <w:szCs w:val="20"/>
        </w:rPr>
      </w:pPr>
      <w:r>
        <w:rPr>
          <w:rFonts w:ascii="Bookman Old Style" w:hAnsi="Bookman Old Style"/>
          <w:i/>
          <w:iCs/>
          <w:sz w:val="20"/>
          <w:szCs w:val="20"/>
        </w:rPr>
        <w:t xml:space="preserve">Haciendo la comparación entre la </w:t>
      </w:r>
      <w:r>
        <w:rPr>
          <w:rFonts w:ascii="Bookman Old Style" w:hAnsi="Bookman Old Style"/>
          <w:b/>
          <w:bCs/>
          <w:i/>
          <w:iCs/>
          <w:sz w:val="20"/>
          <w:szCs w:val="20"/>
        </w:rPr>
        <w:fldChar w:fldCharType="begin"/>
      </w:r>
      <w:r>
        <w:rPr>
          <w:sz w:val="20"/>
          <w:i/>
          <w:b/>
          <w:szCs w:val="20"/>
          <w:iCs/>
          <w:bCs/>
          <w:rFonts w:ascii="Bookman Old Style" w:hAnsi="Bookman Old Style"/>
        </w:rPr>
        <w:instrText> REF _Ref32912805 \h </w:instrText>
      </w:r>
      <w:r>
        <w:rPr>
          <w:sz w:val="20"/>
          <w:i/>
          <w:b/>
          <w:szCs w:val="20"/>
          <w:iCs/>
          <w:bCs/>
          <w:rFonts w:ascii="Bookman Old Style" w:hAnsi="Bookman Old Style"/>
        </w:rPr>
        <w:fldChar w:fldCharType="separate"/>
      </w:r>
      <w:r>
        <w:rPr>
          <w:sz w:val="20"/>
          <w:i/>
          <w:b/>
          <w:szCs w:val="20"/>
          <w:iCs/>
          <w:bCs/>
          <w:rFonts w:ascii="Bookman Old Style" w:hAnsi="Bookman Old Style"/>
        </w:rPr>
        <w:t>Figura 3 Representación por materia de los asuntos ingresados, donde intervienen personas usuarias indígenas, de octubre 2018 a setiembre 2019</w:t>
      </w:r>
      <w:r>
        <w:rPr>
          <w:sz w:val="20"/>
          <w:i/>
          <w:b/>
          <w:szCs w:val="20"/>
          <w:iCs/>
          <w:bCs/>
          <w:rFonts w:ascii="Bookman Old Style" w:hAnsi="Bookman Old Style"/>
        </w:rPr>
        <w:fldChar w:fldCharType="end"/>
      </w:r>
      <w:r>
        <w:rPr>
          <w:rFonts w:ascii="Bookman Old Style" w:hAnsi="Bookman Old Style"/>
          <w:i/>
          <w:iCs/>
          <w:sz w:val="20"/>
          <w:szCs w:val="20"/>
        </w:rPr>
        <w:t xml:space="preserve"> y la </w:t>
      </w:r>
      <w:r>
        <w:rPr>
          <w:rFonts w:ascii="Bookman Old Style" w:hAnsi="Bookman Old Style"/>
          <w:b/>
          <w:bCs/>
          <w:i/>
          <w:iCs/>
          <w:sz w:val="20"/>
          <w:szCs w:val="20"/>
        </w:rPr>
        <w:fldChar w:fldCharType="begin"/>
      </w:r>
      <w:r>
        <w:rPr>
          <w:sz w:val="20"/>
          <w:i/>
          <w:b/>
          <w:szCs w:val="20"/>
          <w:iCs/>
          <w:bCs/>
          <w:rFonts w:ascii="Bookman Old Style" w:hAnsi="Bookman Old Style"/>
        </w:rPr>
        <w:instrText> REF _Ref32912823 \h </w:instrText>
      </w:r>
      <w:r>
        <w:rPr>
          <w:sz w:val="20"/>
          <w:i/>
          <w:b/>
          <w:szCs w:val="20"/>
          <w:iCs/>
          <w:bCs/>
          <w:rFonts w:ascii="Bookman Old Style" w:hAnsi="Bookman Old Style"/>
        </w:rPr>
        <w:fldChar w:fldCharType="separate"/>
      </w:r>
      <w:r>
        <w:rPr>
          <w:sz w:val="20"/>
          <w:i/>
          <w:b/>
          <w:szCs w:val="20"/>
          <w:iCs/>
          <w:bCs/>
          <w:rFonts w:ascii="Bookman Old Style" w:hAnsi="Bookman Old Style"/>
        </w:rPr>
        <w:t>Figura 5 Circulante activo con la competencia antes de la promulgación de la Ley 9593, con interviniente persona indígena, al cierre de setiembre de 2019</w:t>
      </w:r>
      <w:r>
        <w:rPr>
          <w:sz w:val="20"/>
          <w:i/>
          <w:b/>
          <w:szCs w:val="20"/>
          <w:iCs/>
          <w:bCs/>
          <w:rFonts w:ascii="Bookman Old Style" w:hAnsi="Bookman Old Style"/>
        </w:rPr>
        <w:fldChar w:fldCharType="end"/>
      </w:r>
      <w:r>
        <w:rPr>
          <w:rFonts w:ascii="Bookman Old Style" w:hAnsi="Bookman Old Style"/>
          <w:i/>
          <w:iCs/>
          <w:sz w:val="20"/>
          <w:szCs w:val="20"/>
        </w:rPr>
        <w:t xml:space="preserve">, se tiene que, a pesar que el mayor ingreso mensual se encuentra en Pensiones Alimentarias, el circulante demuestra se concentra principalmente en materia penal. De conformidad con lo anterior, se puede concluir el tiempo de tramitación de asuntos de Pensiones Alimentarias es menor al tiempo de tramitación de asuntos Penales. </w:t>
      </w:r>
    </w:p>
    <w:p>
      <w:pPr>
        <w:pStyle w:val="Normal"/>
        <w:jc w:val="both"/>
        <w:rPr>
          <w:rFonts w:ascii="Bookman Old Style" w:hAnsi="Bookman Old Style"/>
          <w:i/>
          <w:i/>
          <w:iCs/>
          <w:sz w:val="20"/>
          <w:szCs w:val="20"/>
        </w:rPr>
      </w:pPr>
      <w:r>
        <w:rPr>
          <w:rFonts w:ascii="Bookman Old Style" w:hAnsi="Bookman Old Style"/>
          <w:i/>
          <w:iCs/>
          <w:sz w:val="20"/>
          <w:szCs w:val="20"/>
        </w:rPr>
        <w:t>Ahora, en la siguiente tabla se muestra la concentración de asuntos activos, con persona usuaria indígena en calidad de interviniente y, con la competencia antes de la promulgación de la Ley 9593 de Acceso a la Justicia a Pueblos Indígenas, por oficina de la Defensa Pública y materia, al cierre de setiembre de 2019.</w:t>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3</w:t>
      </w:r>
      <w:r>
        <w:rPr>
          <w:i/>
          <w:iCs/>
          <w:rFonts w:cs="Arial" w:ascii="Bookman Old Style" w:hAnsi="Bookman Old Style"/>
        </w:rPr>
        <w:fldChar w:fldCharType="end"/>
      </w:r>
      <w:r>
        <w:rPr>
          <w:rFonts w:cs="Arial" w:ascii="Bookman Old Style" w:hAnsi="Bookman Old Style"/>
          <w:i/>
          <w:iCs/>
        </w:rPr>
        <w:t xml:space="preserve"> Asuntos activos con persona indígena conforme a la competencia de la Defensa Pública antes de la promulgación de la Ley 9593, al cierre de setiembre de 2019, segregado por materia y oficina</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800"/>
        <w:gridCol w:w="1293"/>
        <w:gridCol w:w="1522"/>
        <w:gridCol w:w="1275"/>
        <w:gridCol w:w="1855"/>
        <w:gridCol w:w="1091"/>
        <w:gridCol w:w="915"/>
      </w:tblGrid>
      <w:tr>
        <w:trPr>
          <w:trHeight w:val="560" w:hRule="atLeast"/>
        </w:trPr>
        <w:tc>
          <w:tcPr>
            <w:tcW w:w="180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Oficina</w:t>
            </w:r>
          </w:p>
        </w:tc>
        <w:tc>
          <w:tcPr>
            <w:tcW w:w="1293"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Penal</w:t>
            </w:r>
          </w:p>
        </w:tc>
        <w:tc>
          <w:tcPr>
            <w:tcW w:w="1522"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Pensiones Alimentarias</w:t>
            </w:r>
          </w:p>
        </w:tc>
        <w:tc>
          <w:tcPr>
            <w:tcW w:w="1275"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Agraria</w:t>
            </w:r>
          </w:p>
        </w:tc>
        <w:tc>
          <w:tcPr>
            <w:tcW w:w="1855"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Penalización Contra Mujer</w:t>
            </w:r>
          </w:p>
        </w:tc>
        <w:tc>
          <w:tcPr>
            <w:tcW w:w="1091"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Demás materias</w:t>
            </w:r>
          </w:p>
        </w:tc>
        <w:tc>
          <w:tcPr>
            <w:tcW w:w="915"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Total</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Bribrí</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302</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102</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57</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32</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493</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Buenos Aires</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163</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102</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44</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30</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111</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450</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Limón</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23</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25</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8</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32</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106</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Coto Brus</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54</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22</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90</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Pérez Zeledón</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21</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32</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0</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19</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75</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San José</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22</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31</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66</w:t>
            </w:r>
          </w:p>
        </w:tc>
      </w:tr>
      <w:tr>
        <w:trPr>
          <w:trHeight w:val="31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Corredores</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20</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14</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61</w:t>
            </w:r>
          </w:p>
        </w:tc>
      </w:tr>
      <w:tr>
        <w:trPr>
          <w:trHeight w:val="280" w:hRule="atLeast"/>
        </w:trPr>
        <w:tc>
          <w:tcPr>
            <w:tcW w:w="18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Demás oficinas</w:t>
            </w:r>
          </w:p>
        </w:tc>
        <w:tc>
          <w:tcPr>
            <w:tcW w:w="1293"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40</w:t>
            </w:r>
          </w:p>
        </w:tc>
        <w:tc>
          <w:tcPr>
            <w:tcW w:w="1522"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34</w:t>
            </w:r>
          </w:p>
        </w:tc>
        <w:tc>
          <w:tcPr>
            <w:tcW w:w="127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61</w:t>
            </w:r>
          </w:p>
        </w:tc>
        <w:tc>
          <w:tcPr>
            <w:tcW w:w="185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w:t>
            </w:r>
          </w:p>
        </w:tc>
        <w:tc>
          <w:tcPr>
            <w:tcW w:w="1091"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39</w:t>
            </w:r>
          </w:p>
        </w:tc>
        <w:tc>
          <w:tcPr>
            <w:tcW w:w="915"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179</w:t>
            </w:r>
          </w:p>
        </w:tc>
      </w:tr>
      <w:tr>
        <w:trPr>
          <w:trHeight w:val="280" w:hRule="atLeast"/>
        </w:trPr>
        <w:tc>
          <w:tcPr>
            <w:tcW w:w="1800" w:type="dxa"/>
            <w:tcBorders>
              <w:left w:val="single" w:sz="4" w:space="0" w:color="000000"/>
              <w:bottom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Total</w:t>
            </w:r>
          </w:p>
        </w:tc>
        <w:tc>
          <w:tcPr>
            <w:tcW w:w="1293" w:type="dxa"/>
            <w:tcBorders>
              <w:left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615</w:t>
            </w:r>
          </w:p>
        </w:tc>
        <w:tc>
          <w:tcPr>
            <w:tcW w:w="1522"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300</w:t>
            </w:r>
          </w:p>
        </w:tc>
        <w:tc>
          <w:tcPr>
            <w:tcW w:w="1275"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196</w:t>
            </w:r>
          </w:p>
        </w:tc>
        <w:tc>
          <w:tcPr>
            <w:tcW w:w="1855"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126</w:t>
            </w:r>
          </w:p>
        </w:tc>
        <w:tc>
          <w:tcPr>
            <w:tcW w:w="1091"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283</w:t>
            </w:r>
          </w:p>
        </w:tc>
        <w:tc>
          <w:tcPr>
            <w:tcW w:w="915" w:type="dxa"/>
            <w:tcBorders>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1520</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 xml:space="preserve">Considerando la información mostrada en la tabla anterior, con la competencia de la Defensa Pública antes de la promulgación de la Ley 9593 de Acceso a la Justicia a Pueblos Indígenas; la Defensa Pública de Bribri es la que mantiene, al cierre de setiembre de 2019, la mayor cantidad de procesos activos (493 expedientes), seguido de la Defensa Pública de Buenos Aires (450 expedientes). Estas dos oficinas mantienen el 62% del total de causas activas a nivel nacional. </w:t>
      </w:r>
    </w:p>
    <w:p>
      <w:pPr>
        <w:pStyle w:val="Normal"/>
        <w:jc w:val="both"/>
        <w:rPr>
          <w:rFonts w:ascii="Bookman Old Style" w:hAnsi="Bookman Old Style"/>
          <w:i/>
          <w:i/>
          <w:iCs/>
          <w:sz w:val="20"/>
          <w:szCs w:val="20"/>
        </w:rPr>
      </w:pPr>
      <w:r>
        <w:rPr>
          <w:rFonts w:ascii="Bookman Old Style" w:hAnsi="Bookman Old Style"/>
          <w:i/>
          <w:iCs/>
          <w:sz w:val="20"/>
          <w:szCs w:val="20"/>
        </w:rPr>
        <w:t>Es importante resaltar que, la Defensa Pública de San José mantiene, al cierre de setiembre de 2019, un total de 66 asuntos activos, donde 22 son de materia agraria, 10 de materia penal, 2 de Pensiones Alimentarias, 1 de Penalización de Violencia contra Mujer y hay 31 expedientes que se encuentran contabilizados en “Demás materias”. Importante mencionar que esas 31 causas son de Ejecución de la Pena (13), Laboral (9), Ejecución de la Pena en Penal Juvenil (7) y Revisión (2).</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t>Finalmente, es importante hacer mención que, como se explicó anteriormente, la Administración de la Defensa Pública contabiliza dentro de sus datos estadísticos los asuntos en los que se representan personas usuarias indígenas producto de la entrada en vigencia de la Ley 9593 de Acceso a la Justicia a Pueblos Indígenas y por tal, en la siguiente tabla se muestra la cantidad de personas indígenas representadas en razón de la ampliación de la competencia de la Defensa Pública, al cierre del mes de diciembre de 2019.</w:t>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4</w:t>
      </w:r>
      <w:r>
        <w:rPr>
          <w:i/>
          <w:iCs/>
          <w:rFonts w:cs="Arial" w:ascii="Bookman Old Style" w:hAnsi="Bookman Old Style"/>
        </w:rPr>
        <w:fldChar w:fldCharType="end"/>
      </w:r>
      <w:r>
        <w:rPr>
          <w:rFonts w:cs="Arial" w:ascii="Bookman Old Style" w:hAnsi="Bookman Old Style"/>
          <w:i/>
          <w:iCs/>
        </w:rPr>
        <w:t xml:space="preserve"> Personas Indígenas que mantienen procesos en trámite en la Defensa Pública en razón del cumplimiento de la Ley 9593, al 31 de diciembre 2019</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236"/>
        <w:gridCol w:w="1310"/>
        <w:gridCol w:w="1018"/>
        <w:gridCol w:w="1602"/>
        <w:gridCol w:w="1308"/>
        <w:gridCol w:w="1018"/>
        <w:gridCol w:w="730"/>
        <w:gridCol w:w="728"/>
        <w:gridCol w:w="801"/>
      </w:tblGrid>
      <w:tr>
        <w:trPr>
          <w:trHeight w:val="630" w:hRule="atLeast"/>
        </w:trPr>
        <w:tc>
          <w:tcPr>
            <w:tcW w:w="1236"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Oficina</w:t>
            </w:r>
          </w:p>
        </w:tc>
        <w:tc>
          <w:tcPr>
            <w:tcW w:w="131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Pensiones Alimen-tarias</w:t>
            </w:r>
          </w:p>
        </w:tc>
        <w:tc>
          <w:tcPr>
            <w:tcW w:w="101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Familia</w:t>
            </w:r>
          </w:p>
        </w:tc>
        <w:tc>
          <w:tcPr>
            <w:tcW w:w="1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Contencioso Administrativo</w:t>
            </w:r>
          </w:p>
        </w:tc>
        <w:tc>
          <w:tcPr>
            <w:tcW w:w="13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Violencia Doméstica</w:t>
            </w:r>
          </w:p>
        </w:tc>
        <w:tc>
          <w:tcPr>
            <w:tcW w:w="101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Contravencional</w:t>
            </w:r>
          </w:p>
        </w:tc>
        <w:tc>
          <w:tcPr>
            <w:tcW w:w="73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Civil</w:t>
            </w:r>
          </w:p>
        </w:tc>
        <w:tc>
          <w:tcPr>
            <w:tcW w:w="72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Otro</w:t>
            </w:r>
          </w:p>
        </w:tc>
        <w:tc>
          <w:tcPr>
            <w:tcW w:w="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Total</w:t>
            </w:r>
          </w:p>
        </w:tc>
      </w:tr>
      <w:tr>
        <w:trPr>
          <w:trHeight w:val="37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 xml:space="preserve">Buenos Aires </w:t>
            </w:r>
            <w:r>
              <w:rPr>
                <w:rFonts w:cs="Arial" w:ascii="Bookman Old Style" w:hAnsi="Bookman Old Style"/>
                <w:i/>
                <w:iCs/>
                <w:color w:val="000000"/>
                <w:sz w:val="20"/>
                <w:szCs w:val="20"/>
                <w:vertAlign w:val="superscript"/>
              </w:rPr>
              <w:t>(2)</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23</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32</w:t>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66</w:t>
            </w:r>
          </w:p>
        </w:tc>
      </w:tr>
      <w:tr>
        <w:trPr>
          <w:trHeight w:val="37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 xml:space="preserve">Bribrí </w:t>
            </w:r>
            <w:r>
              <w:rPr>
                <w:rFonts w:cs="Arial" w:ascii="Bookman Old Style" w:hAnsi="Bookman Old Style"/>
                <w:i/>
                <w:iCs/>
                <w:color w:val="000000"/>
                <w:sz w:val="20"/>
                <w:szCs w:val="20"/>
                <w:vertAlign w:val="superscript"/>
              </w:rPr>
              <w:t>(3)</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29</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w:t>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50</w:t>
            </w:r>
          </w:p>
        </w:tc>
      </w:tr>
      <w:tr>
        <w:trPr>
          <w:trHeight w:val="37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San José</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38</w:t>
            </w:r>
            <w:r>
              <w:rPr>
                <w:rFonts w:cs="Arial" w:ascii="Bookman Old Style" w:hAnsi="Bookman Old Style"/>
                <w:i/>
                <w:iCs/>
                <w:color w:val="000000"/>
                <w:sz w:val="20"/>
                <w:szCs w:val="20"/>
                <w:vertAlign w:val="superscript"/>
              </w:rPr>
              <w:t>(1)</w:t>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39</w:t>
            </w:r>
          </w:p>
        </w:tc>
      </w:tr>
      <w:tr>
        <w:trPr>
          <w:trHeight w:val="31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Turrialba</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11</w:t>
            </w:r>
          </w:p>
        </w:tc>
      </w:tr>
      <w:tr>
        <w:trPr>
          <w:trHeight w:val="31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Corre-dores</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w:t>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11</w:t>
            </w:r>
          </w:p>
        </w:tc>
      </w:tr>
      <w:tr>
        <w:trPr>
          <w:trHeight w:val="31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Golfito</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8</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10</w:t>
            </w:r>
          </w:p>
        </w:tc>
      </w:tr>
      <w:tr>
        <w:trPr>
          <w:trHeight w:val="31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Alajuela</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2</w:t>
            </w:r>
          </w:p>
        </w:tc>
      </w:tr>
      <w:tr>
        <w:trPr>
          <w:trHeight w:val="31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Brus</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2</w:t>
            </w:r>
          </w:p>
        </w:tc>
      </w:tr>
      <w:tr>
        <w:trPr>
          <w:trHeight w:val="320" w:hRule="atLeast"/>
        </w:trPr>
        <w:tc>
          <w:tcPr>
            <w:tcW w:w="12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Puriscal</w:t>
            </w:r>
          </w:p>
        </w:tc>
        <w:tc>
          <w:tcPr>
            <w:tcW w:w="1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c>
          <w:tcPr>
            <w:tcW w:w="1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3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7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w:t>
            </w:r>
          </w:p>
        </w:tc>
      </w:tr>
      <w:tr>
        <w:trPr>
          <w:trHeight w:val="310" w:hRule="atLeast"/>
        </w:trPr>
        <w:tc>
          <w:tcPr>
            <w:tcW w:w="1236" w:type="dxa"/>
            <w:tcBorders>
              <w:top w:val="single" w:sz="4" w:space="0" w:color="000000"/>
              <w:left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Total</w:t>
            </w:r>
          </w:p>
        </w:tc>
        <w:tc>
          <w:tcPr>
            <w:tcW w:w="131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65</w:t>
            </w:r>
          </w:p>
        </w:tc>
        <w:tc>
          <w:tcPr>
            <w:tcW w:w="101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57</w:t>
            </w:r>
          </w:p>
        </w:tc>
        <w:tc>
          <w:tcPr>
            <w:tcW w:w="1602"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39</w:t>
            </w:r>
          </w:p>
        </w:tc>
        <w:tc>
          <w:tcPr>
            <w:tcW w:w="130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19</w:t>
            </w:r>
          </w:p>
        </w:tc>
        <w:tc>
          <w:tcPr>
            <w:tcW w:w="101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5</w:t>
            </w:r>
          </w:p>
        </w:tc>
        <w:tc>
          <w:tcPr>
            <w:tcW w:w="73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4</w:t>
            </w:r>
          </w:p>
        </w:tc>
        <w:tc>
          <w:tcPr>
            <w:tcW w:w="72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3</w:t>
            </w:r>
          </w:p>
        </w:tc>
        <w:tc>
          <w:tcPr>
            <w:tcW w:w="801"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192</w:t>
            </w:r>
          </w:p>
        </w:tc>
      </w:tr>
    </w:tbl>
    <w:p>
      <w:pPr>
        <w:pStyle w:val="Normal"/>
        <w:jc w:val="both"/>
        <w:rPr>
          <w:rFonts w:ascii="Bookman Old Style" w:hAnsi="Bookman Old Style" w:cs="Arial"/>
          <w:i/>
          <w:i/>
          <w:iCs/>
          <w:color w:val="000000"/>
          <w:sz w:val="20"/>
          <w:szCs w:val="20"/>
        </w:rPr>
      </w:pPr>
      <w:r>
        <w:rPr>
          <w:rFonts w:cs="Arial" w:ascii="Bookman Old Style" w:hAnsi="Bookman Old Style"/>
          <w:i/>
          <w:iCs/>
          <w:color w:val="000000"/>
          <w:sz w:val="20"/>
          <w:szCs w:val="20"/>
        </w:rPr>
        <w:t>*1 Estos procesos llevan codefensa, por lo que es requerida la asignación de dos profesionales</w:t>
      </w:r>
    </w:p>
    <w:p>
      <w:pPr>
        <w:pStyle w:val="Normal"/>
        <w:jc w:val="both"/>
        <w:rPr>
          <w:rFonts w:ascii="Bookman Old Style" w:hAnsi="Bookman Old Style" w:cs="Arial"/>
          <w:i/>
          <w:i/>
          <w:iCs/>
          <w:color w:val="000000"/>
          <w:sz w:val="20"/>
          <w:szCs w:val="20"/>
        </w:rPr>
      </w:pPr>
      <w:r>
        <w:rPr>
          <w:rFonts w:cs="Arial" w:ascii="Bookman Old Style" w:hAnsi="Bookman Old Style"/>
          <w:i/>
          <w:iCs/>
          <w:color w:val="000000"/>
          <w:sz w:val="20"/>
          <w:szCs w:val="20"/>
        </w:rPr>
        <w:t>*2 Estos procesos son atendidos por profesionales de la oficina de Pérez Zeledón</w:t>
      </w:r>
    </w:p>
    <w:p>
      <w:pPr>
        <w:pStyle w:val="Normal"/>
        <w:jc w:val="both"/>
        <w:rPr>
          <w:rFonts w:ascii="Bookman Old Style" w:hAnsi="Bookman Old Style" w:cs="Arial"/>
          <w:i/>
          <w:i/>
          <w:iCs/>
          <w:sz w:val="20"/>
          <w:szCs w:val="20"/>
        </w:rPr>
      </w:pPr>
      <w:r>
        <w:rPr>
          <w:rFonts w:cs="Arial" w:ascii="Bookman Old Style" w:hAnsi="Bookman Old Style"/>
          <w:i/>
          <w:iCs/>
          <w:color w:val="000000"/>
          <w:sz w:val="20"/>
          <w:szCs w:val="20"/>
        </w:rPr>
        <w:t>*3 Estos procesos son atendidos por profesionales de la oficina de Limón</w:t>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 xml:space="preserve">Las representaciones mostradas en la tabla anterior responden a </w:t>
      </w:r>
      <w:r>
        <w:rPr>
          <w:rFonts w:ascii="Bookman Old Style" w:hAnsi="Bookman Old Style"/>
          <w:i/>
          <w:iCs/>
          <w:sz w:val="20"/>
          <w:szCs w:val="20"/>
          <w:u w:val="single"/>
        </w:rPr>
        <w:t>asuntos que iniciaron en razón del cumplimiento de la Ley 9593 de Acceso a la Justicia</w:t>
      </w:r>
      <w:r>
        <w:rPr>
          <w:rFonts w:ascii="Bookman Old Style" w:hAnsi="Bookman Old Style"/>
          <w:i/>
          <w:iCs/>
          <w:sz w:val="20"/>
          <w:szCs w:val="20"/>
        </w:rPr>
        <w:t xml:space="preserve"> a las personas indígenas, esto debido a que, por ejemplo, en Pensiones Alimentarias, esas 65 personas representadas están en calidad de demandadas. Y, es importante aclarar que los asuntos presentados en la tabla anterior no se encuentran contabilizados dentro del análisis expuesto anteriormente, debido al orden de tabulación de la información por parte de la Administración de la Defensa Pública. Por lo que, lo que se encuentra establecido en la tabla anterior es lo que realmente corresponde al incremento en las cargas de trabajo a partir de la promulgación de la Ley 9593.</w:t>
      </w:r>
    </w:p>
    <w:p>
      <w:pPr>
        <w:pStyle w:val="Normal"/>
        <w:jc w:val="both"/>
        <w:rPr>
          <w:rFonts w:ascii="Bookman Old Style" w:hAnsi="Bookman Old Style"/>
          <w:i/>
          <w:i/>
          <w:iCs/>
          <w:sz w:val="20"/>
          <w:szCs w:val="20"/>
        </w:rPr>
      </w:pPr>
      <w:r>
        <w:rPr>
          <w:rFonts w:ascii="Bookman Old Style" w:hAnsi="Bookman Old Style"/>
          <w:i/>
          <w:iCs/>
          <w:sz w:val="20"/>
          <w:szCs w:val="20"/>
        </w:rPr>
        <w:t xml:space="preserve">Respecto a los asuntos Contenciosos Administrativos, es importante hace énfasis de que se reportan 39 representaciones al cierre de diciembre de 2019.Estos asuntos mantienen la particularidad de que requieren codefensa, por lo que al menos deben participar dos Defensoras o Defensores en su tramitación. </w:t>
      </w:r>
    </w:p>
    <w:p>
      <w:pPr>
        <w:pStyle w:val="Normal"/>
        <w:jc w:val="both"/>
        <w:rPr>
          <w:rFonts w:ascii="Bookman Old Style" w:hAnsi="Bookman Old Style"/>
          <w:i/>
          <w:i/>
          <w:iCs/>
          <w:sz w:val="20"/>
          <w:szCs w:val="20"/>
        </w:rPr>
      </w:pPr>
      <w:r>
        <w:rPr>
          <w:rFonts w:ascii="Bookman Old Style" w:hAnsi="Bookman Old Style"/>
          <w:i/>
          <w:iCs/>
          <w:sz w:val="20"/>
          <w:szCs w:val="20"/>
        </w:rPr>
        <w:t>En consulta con la Coordinación de la Defensa Pública de Buenos Aires, el Licenciado Andrey Fuentes Gamboa, se expone que, por indicación de la Jefatura de la Defensa Pública, los asuntos contenciosos administrativos con interviniente persona indígena se asignan como recargo a las personas defensoras agrarias y por tal, desde que recibió la indicación, el único asunto que ha ingresado a la oficina es el que tiene asignado dentro de su circulante la persona defensora de materia agraria.</w:t>
      </w:r>
    </w:p>
    <w:p>
      <w:pPr>
        <w:pStyle w:val="Normal"/>
        <w:jc w:val="both"/>
        <w:rPr>
          <w:rFonts w:ascii="Bookman Old Style" w:hAnsi="Bookman Old Style"/>
          <w:i/>
          <w:i/>
          <w:iCs/>
          <w:sz w:val="20"/>
          <w:szCs w:val="20"/>
        </w:rPr>
      </w:pPr>
      <w:r>
        <w:rPr>
          <w:rFonts w:ascii="Bookman Old Style" w:hAnsi="Bookman Old Style"/>
          <w:i/>
          <w:iCs/>
          <w:sz w:val="20"/>
          <w:szCs w:val="20"/>
        </w:rPr>
        <w:t>Adicionalmente, como se ha hecho mención, la Defensa Pública de Pérez Zeledón le brinda soporte a la oficina de Buenos Aires y la Defensa Pública de Limón le brinda soporte a la oficina de Bribri, tanto para la tramitación de asuntos ordinarios, como para la tramitación de asuntos donde se requiera representar a ambas partes del proceso.</w:t>
      </w:r>
    </w:p>
    <w:p>
      <w:pPr>
        <w:pStyle w:val="Normal"/>
        <w:jc w:val="both"/>
        <w:rPr>
          <w:rFonts w:ascii="Bookman Old Style" w:hAnsi="Bookman Old Style"/>
          <w:i/>
          <w:i/>
          <w:iCs/>
          <w:sz w:val="20"/>
          <w:szCs w:val="20"/>
        </w:rPr>
      </w:pPr>
      <w:r>
        <w:rPr>
          <w:rFonts w:ascii="Bookman Old Style" w:hAnsi="Bookman Old Style"/>
          <w:i/>
          <w:iCs/>
          <w:sz w:val="20"/>
          <w:szCs w:val="20"/>
        </w:rPr>
        <w:t>Por último, en consulta al Lic. Esteban Arguedas Madrigal, Coordinador de la Unidad Estadística de la Defensa Pública; las tres representaciones contabilizadas en otras materias responden a una Querella y representaciones en materia de Tránsito.</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t>Por otra parte, según lo expuesto por la Licda. Ligia Jiménez Zamora, Supervisora de Personas Indígenas de la Dirección de la Defensa Pública, a partir de la promulgación de la Ley 9593 de Acceso a la Justicia a Pueblos Indígenas; y de una manera muy proactiva por parte de la Defensa Pública, los asuntos en materia de Familia forman parte del circulante de las personas defensoras que atienden Pensiones Alimentarias, los asuntos de Contencioso Administrativo en el circulante de las personas defensoras de Agrario, y los asuntos en materia de Violencia Doméstica</w:t>
      </w:r>
      <w:r>
        <w:rPr>
          <w:rStyle w:val="FootnoteCharacters"/>
          <w:rFonts w:ascii="Bookman Old Style" w:hAnsi="Bookman Old Style"/>
          <w:i/>
          <w:iCs/>
          <w:sz w:val="20"/>
          <w:szCs w:val="20"/>
        </w:rPr>
        <w:t xml:space="preserve"> </w:t>
      </w:r>
      <w:r>
        <w:rPr>
          <w:rFonts w:ascii="Bookman Old Style" w:hAnsi="Bookman Old Style"/>
          <w:i/>
          <w:iCs/>
          <w:sz w:val="20"/>
          <w:szCs w:val="20"/>
        </w:rPr>
        <w:t>pasan a formar parte del circulante de las Defensoras y Defensores que atienden materia penal.</w:t>
      </w:r>
    </w:p>
    <w:p>
      <w:pPr>
        <w:pStyle w:val="Normal"/>
        <w:jc w:val="both"/>
        <w:rPr>
          <w:rFonts w:ascii="Bookman Old Style" w:hAnsi="Bookman Old Style"/>
          <w:i/>
          <w:i/>
          <w:iCs/>
          <w:sz w:val="20"/>
          <w:szCs w:val="20"/>
        </w:rPr>
      </w:pPr>
      <w:r>
        <w:rPr>
          <w:rFonts w:ascii="Bookman Old Style" w:hAnsi="Bookman Old Style"/>
          <w:i/>
          <w:iCs/>
          <w:sz w:val="20"/>
          <w:szCs w:val="20"/>
        </w:rPr>
        <w:t>Además, señala que dentro del análisis de los procesos que consideren población indígena, a parte de la cantidad de personas usuarias y cantidad de causas, debe contemplarse factores cualitativos tales como, la calidad de atención a partir de un acceso de justicia efectivo, y reconocer las necesidades de atención diferenciada; respetando las distancias, las condiciones de pobreza, medios de transporte, los horarios de visitas en situ, idiomas; así como, las pericias culturales.</w:t>
      </w:r>
    </w:p>
    <w:p>
      <w:pPr>
        <w:pStyle w:val="Normal"/>
        <w:jc w:val="both"/>
        <w:rPr>
          <w:rFonts w:ascii="Bookman Old Style" w:hAnsi="Bookman Old Style"/>
          <w:i/>
          <w:i/>
          <w:iCs/>
          <w:sz w:val="20"/>
          <w:szCs w:val="20"/>
        </w:rPr>
      </w:pPr>
      <w:r>
        <w:rPr>
          <w:rFonts w:ascii="Bookman Old Style" w:hAnsi="Bookman Old Style"/>
          <w:i/>
          <w:iCs/>
          <w:sz w:val="20"/>
          <w:szCs w:val="20"/>
        </w:rPr>
        <w:t xml:space="preserve">Relevante resaltar que, para la atención de aquellos asuntos ordinarios de la materia de Penal y Pensión Alimentaria, en los cuales; además, forma parte del circulante activo asuntos con intervinientes de asuntos indígenas, las Oficinas de la Defensa Pública de Bribrí, Buenos Aires, Turrialba, Limón y Coto Brus mantiene la siguiente estructura: </w:t>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5</w:t>
      </w:r>
      <w:r>
        <w:rPr>
          <w:i/>
          <w:iCs/>
          <w:rFonts w:cs="Arial" w:ascii="Bookman Old Style" w:hAnsi="Bookman Old Style"/>
        </w:rPr>
        <w:fldChar w:fldCharType="end"/>
      </w:r>
      <w:r>
        <w:rPr>
          <w:rFonts w:cs="Arial" w:ascii="Bookman Old Style" w:hAnsi="Bookman Old Style"/>
          <w:i/>
          <w:iCs/>
        </w:rPr>
        <w:t xml:space="preserve"> Estructura para la atención de asuntos en materia Penal y Pensión Alimentaria, de las Oficinas que atienden asuntos indígenas, a marzo de 2020</w:t>
      </w:r>
    </w:p>
    <w:tbl>
      <w:tblPr>
        <w:tblStyle w:val="Tablaconcuadrcula"/>
        <w:tblW w:w="662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688"/>
        <w:gridCol w:w="1985"/>
        <w:gridCol w:w="1948"/>
      </w:tblGrid>
      <w:tr>
        <w:trPr/>
        <w:tc>
          <w:tcPr>
            <w:tcW w:w="2688" w:type="dxa"/>
            <w:tcBorders/>
            <w:shd w:color="auto" w:fill="244061" w:themeFill="accent1" w:themeFillShade="80" w:val="clear"/>
            <w:vAlign w:val="center"/>
          </w:tcPr>
          <w:p>
            <w:pPr>
              <w:pStyle w:val="Normal"/>
              <w:widowControl/>
              <w:spacing w:before="0" w:after="0"/>
              <w:jc w:val="both"/>
              <w:rPr>
                <w:rFonts w:ascii="Bookman Old Style" w:hAnsi="Bookman Old Style" w:cs="Arial"/>
                <w:b/>
                <w:b/>
                <w:bCs/>
                <w:i/>
                <w:i/>
                <w:iCs/>
                <w:color w:val="FFFFFF" w:themeColor="background1"/>
                <w:sz w:val="20"/>
                <w:szCs w:val="20"/>
              </w:rPr>
            </w:pPr>
            <w:r>
              <w:rPr>
                <w:rFonts w:cs="Arial" w:ascii="Bookman Old Style" w:hAnsi="Bookman Old Style"/>
                <w:b/>
                <w:bCs/>
                <w:i/>
                <w:iCs/>
                <w:color w:val="FFFFFF" w:themeColor="background1"/>
                <w:kern w:val="0"/>
                <w:sz w:val="20"/>
                <w:szCs w:val="20"/>
                <w:lang w:val="es-CR" w:bidi="ar-SA"/>
              </w:rPr>
              <w:t>Cantidad de recurso Defensor por materia</w:t>
            </w:r>
          </w:p>
        </w:tc>
        <w:tc>
          <w:tcPr>
            <w:tcW w:w="1985" w:type="dxa"/>
            <w:tcBorders/>
            <w:shd w:color="auto" w:fill="244061" w:themeFill="accent1" w:themeFillShade="80" w:val="clear"/>
            <w:vAlign w:val="center"/>
          </w:tcPr>
          <w:p>
            <w:pPr>
              <w:pStyle w:val="Normal"/>
              <w:widowControl/>
              <w:spacing w:before="0" w:after="0"/>
              <w:jc w:val="both"/>
              <w:rPr>
                <w:rFonts w:ascii="Bookman Old Style" w:hAnsi="Bookman Old Style" w:cs="Arial"/>
                <w:b/>
                <w:b/>
                <w:bCs/>
                <w:i/>
                <w:i/>
                <w:iCs/>
                <w:color w:val="FFFFFF" w:themeColor="background1"/>
                <w:sz w:val="20"/>
                <w:szCs w:val="20"/>
              </w:rPr>
            </w:pPr>
            <w:r>
              <w:rPr>
                <w:rFonts w:cs="Arial" w:ascii="Bookman Old Style" w:hAnsi="Bookman Old Style"/>
                <w:b/>
                <w:bCs/>
                <w:i/>
                <w:iCs/>
                <w:color w:val="FFFFFF" w:themeColor="background1"/>
                <w:kern w:val="0"/>
                <w:sz w:val="20"/>
                <w:szCs w:val="20"/>
                <w:lang w:val="es-CR" w:bidi="ar-SA"/>
              </w:rPr>
              <w:t>Penal</w:t>
            </w:r>
          </w:p>
        </w:tc>
        <w:tc>
          <w:tcPr>
            <w:tcW w:w="1948" w:type="dxa"/>
            <w:tcBorders/>
            <w:shd w:color="auto" w:fill="244061" w:themeFill="accent1" w:themeFillShade="80" w:val="clear"/>
            <w:vAlign w:val="center"/>
          </w:tcPr>
          <w:p>
            <w:pPr>
              <w:pStyle w:val="Normal"/>
              <w:widowControl/>
              <w:spacing w:before="0" w:after="0"/>
              <w:jc w:val="both"/>
              <w:rPr>
                <w:rFonts w:ascii="Bookman Old Style" w:hAnsi="Bookman Old Style" w:cs="Arial"/>
                <w:b/>
                <w:b/>
                <w:bCs/>
                <w:i/>
                <w:i/>
                <w:iCs/>
                <w:color w:val="FFFFFF" w:themeColor="background1"/>
                <w:sz w:val="20"/>
                <w:szCs w:val="20"/>
              </w:rPr>
            </w:pPr>
            <w:r>
              <w:rPr>
                <w:rFonts w:cs="Arial" w:ascii="Bookman Old Style" w:hAnsi="Bookman Old Style"/>
                <w:b/>
                <w:bCs/>
                <w:i/>
                <w:iCs/>
                <w:color w:val="FFFFFF" w:themeColor="background1"/>
                <w:kern w:val="0"/>
                <w:sz w:val="20"/>
                <w:szCs w:val="20"/>
                <w:lang w:val="es-CR" w:bidi="ar-SA"/>
              </w:rPr>
              <w:t>Pensiones alimentarias</w:t>
            </w:r>
          </w:p>
        </w:tc>
      </w:tr>
      <w:tr>
        <w:trPr/>
        <w:tc>
          <w:tcPr>
            <w:tcW w:w="268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 xml:space="preserve">Bribri </w:t>
            </w:r>
          </w:p>
        </w:tc>
        <w:tc>
          <w:tcPr>
            <w:tcW w:w="1985"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4</w:t>
            </w:r>
          </w:p>
        </w:tc>
        <w:tc>
          <w:tcPr>
            <w:tcW w:w="194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1</w:t>
            </w:r>
          </w:p>
        </w:tc>
      </w:tr>
      <w:tr>
        <w:trPr/>
        <w:tc>
          <w:tcPr>
            <w:tcW w:w="268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Buenos Aires</w:t>
            </w:r>
          </w:p>
        </w:tc>
        <w:tc>
          <w:tcPr>
            <w:tcW w:w="1985"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3</w:t>
            </w:r>
          </w:p>
        </w:tc>
        <w:tc>
          <w:tcPr>
            <w:tcW w:w="194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w:t>
            </w:r>
          </w:p>
        </w:tc>
      </w:tr>
      <w:tr>
        <w:trPr/>
        <w:tc>
          <w:tcPr>
            <w:tcW w:w="268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 xml:space="preserve">Turrialba </w:t>
            </w:r>
          </w:p>
        </w:tc>
        <w:tc>
          <w:tcPr>
            <w:tcW w:w="1985"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5</w:t>
            </w:r>
          </w:p>
        </w:tc>
        <w:tc>
          <w:tcPr>
            <w:tcW w:w="194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1</w:t>
            </w:r>
          </w:p>
        </w:tc>
      </w:tr>
      <w:tr>
        <w:trPr/>
        <w:tc>
          <w:tcPr>
            <w:tcW w:w="268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 xml:space="preserve">Limón </w:t>
            </w:r>
          </w:p>
        </w:tc>
        <w:tc>
          <w:tcPr>
            <w:tcW w:w="1985"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12</w:t>
            </w:r>
          </w:p>
        </w:tc>
        <w:tc>
          <w:tcPr>
            <w:tcW w:w="194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3</w:t>
            </w:r>
          </w:p>
        </w:tc>
      </w:tr>
      <w:tr>
        <w:trPr/>
        <w:tc>
          <w:tcPr>
            <w:tcW w:w="268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 xml:space="preserve">Coto Brus </w:t>
            </w:r>
          </w:p>
        </w:tc>
        <w:tc>
          <w:tcPr>
            <w:tcW w:w="1985"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2</w:t>
            </w:r>
          </w:p>
        </w:tc>
        <w:tc>
          <w:tcPr>
            <w:tcW w:w="1948" w:type="dxa"/>
            <w:tcBorders/>
          </w:tcPr>
          <w:p>
            <w:pPr>
              <w:pStyle w:val="Normal"/>
              <w:widowControl/>
              <w:spacing w:before="0" w:after="0"/>
              <w:jc w:val="both"/>
              <w:rPr>
                <w:rFonts w:ascii="Bookman Old Style" w:hAnsi="Bookman Old Style"/>
                <w:i/>
                <w:i/>
                <w:iCs/>
                <w:sz w:val="20"/>
                <w:szCs w:val="20"/>
              </w:rPr>
            </w:pPr>
            <w:r>
              <w:rPr>
                <w:rFonts w:ascii="Bookman Old Style" w:hAnsi="Bookman Old Style"/>
                <w:i/>
                <w:iCs/>
                <w:kern w:val="0"/>
                <w:sz w:val="20"/>
                <w:szCs w:val="20"/>
                <w:lang w:val="es-CR" w:bidi="ar-SA"/>
              </w:rPr>
              <w:t>-</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las oficinas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Haciendo la comparación de la estructura organizacional con la que contaba cada una de las oficinas mencionadas en la tabla anterior, con base en el informe 634-PLA-RH-MI-2019 y la minuta 48-PLA-MI-MNTA-2019, se infiere que la Jefatura de la Defensa Pública reforzó el personal defensor para la tramitación de asuntos penales, haciendo traslado de recursos de Defensora o Defensor Público, como fue el caso de la Defensa Pública de Bribri y Buenos Aires.</w:t>
      </w:r>
    </w:p>
    <w:p>
      <w:pPr>
        <w:pStyle w:val="Normal"/>
        <w:jc w:val="both"/>
        <w:rPr>
          <w:rFonts w:ascii="Bookman Old Style" w:hAnsi="Bookman Old Style"/>
          <w:i/>
          <w:i/>
          <w:iCs/>
          <w:sz w:val="20"/>
          <w:szCs w:val="20"/>
        </w:rPr>
      </w:pPr>
      <w:r>
        <w:rPr>
          <w:rFonts w:ascii="Bookman Old Style" w:hAnsi="Bookman Old Style"/>
          <w:i/>
          <w:iCs/>
          <w:sz w:val="20"/>
          <w:szCs w:val="20"/>
        </w:rPr>
        <w:t xml:space="preserve">Por último, es importante aclarar que, a pesar de que en la tabla anterior se evidencie que algunas oficinas no cuentan con recursos de Defensora o Defensor Público en materia de Pensiones Alimentarias, para poder tramitar adecuadamente estos asuntos, reciben colaboración de oficinas cercanas. Tal es el caso de la Defensa Pública de Bribri, que recibe colaboración de la oficina de Limón; así como, la Defensa Pública de Buenos Aires mantiene colaboración de Pérez Zeledón </w:t>
      </w:r>
    </w:p>
    <w:p>
      <w:pPr>
        <w:pStyle w:val="Normal"/>
        <w:jc w:val="both"/>
        <w:rPr>
          <w:rFonts w:ascii="Bookman Old Style" w:hAnsi="Bookman Old Style"/>
          <w:i/>
          <w:i/>
          <w:iCs/>
          <w:sz w:val="20"/>
          <w:szCs w:val="20"/>
        </w:rPr>
      </w:pPr>
      <w:r>
        <w:rPr>
          <w:rFonts w:ascii="Bookman Old Style" w:hAnsi="Bookman Old Style"/>
          <w:i/>
          <w:iCs/>
          <w:sz w:val="20"/>
          <w:szCs w:val="20"/>
        </w:rPr>
        <w:t xml:space="preserve">Para la tramitación de asuntos de Pensiones Alimentarias, la Defensa Pública de Limón le brinda colaboración a la oficina de Bribri para la representación de las personas usuarias indígenas demandadas. Así como, la Defensa Pública de Pérez Zeledón le brinda colaboración a Buenos Aires, siendo dos profesionales los que se trasladan a la oficina para poder representar a las personas usuarias indígenas ofendidas y demandas. </w:t>
      </w:r>
    </w:p>
    <w:p>
      <w:pPr>
        <w:pStyle w:val="Normal"/>
        <w:jc w:val="both"/>
        <w:rPr>
          <w:rFonts w:ascii="Bookman Old Style" w:hAnsi="Bookman Old Style"/>
          <w:i/>
          <w:i/>
          <w:iCs/>
          <w:sz w:val="20"/>
          <w:szCs w:val="20"/>
        </w:rPr>
      </w:pPr>
      <w:r>
        <w:rPr>
          <w:rFonts w:ascii="Bookman Old Style" w:hAnsi="Bookman Old Style"/>
          <w:i/>
          <w:iCs/>
          <w:sz w:val="20"/>
          <w:szCs w:val="20"/>
        </w:rPr>
        <w:t xml:space="preserve">Además, la Defensa Pública de Turrialba recibe colaboración de Cartago (un día por semana) y,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Atención de asuntos con persona usuaria indígena en el Tribunal Contenciosos Administrativo</w:t>
      </w:r>
    </w:p>
    <w:p>
      <w:pPr>
        <w:pStyle w:val="Normal"/>
        <w:jc w:val="both"/>
        <w:rPr>
          <w:rFonts w:ascii="Bookman Old Style" w:hAnsi="Bookman Old Style"/>
          <w:i/>
          <w:i/>
          <w:iCs/>
          <w:sz w:val="20"/>
          <w:szCs w:val="20"/>
        </w:rPr>
      </w:pPr>
      <w:r>
        <w:rPr>
          <w:rFonts w:ascii="Bookman Old Style" w:hAnsi="Bookman Old Style"/>
          <w:i/>
          <w:iCs/>
          <w:sz w:val="20"/>
          <w:szCs w:val="20"/>
        </w:rPr>
        <w:t>En consulta a los servidores judiciales del Tribunal Contencioso Administrativo, mediante el correo enviado a la cuenta oficial del despacho el 03 de febrero de 2020, se indica literalmente que:</w:t>
      </w:r>
    </w:p>
    <w:p>
      <w:pPr>
        <w:pStyle w:val="Normal"/>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 En este despacho se continúa trabajando con los filtros que se indican en el Sistema de Gestión, aún no contamos con mejoras para determinar la cantidad de procesos de personas servidoras judiciales y en el caso de las personas indígenas, al igual que hace un año se pueden filtrar únicamente los procesos en los cuales se encuentran como parte alguna asociación indígena o la Comisión Nacional de Asuntos Indígenas, como se muestra en cuadro adjunto.”</w:t>
      </w:r>
    </w:p>
    <w:p>
      <w:pPr>
        <w:pStyle w:val="Normal"/>
        <w:jc w:val="both"/>
        <w:rPr>
          <w:rFonts w:ascii="Bookman Old Style" w:hAnsi="Bookman Old Style"/>
          <w:i/>
          <w:i/>
          <w:iCs/>
          <w:sz w:val="20"/>
          <w:szCs w:val="20"/>
        </w:rPr>
      </w:pPr>
      <w:r>
        <w:rPr>
          <w:rFonts w:ascii="Bookman Old Style" w:hAnsi="Bookman Old Style"/>
          <w:i/>
          <w:iCs/>
          <w:sz w:val="20"/>
          <w:szCs w:val="20"/>
        </w:rPr>
        <w:t xml:space="preserve">En razón de lo anterior, se puede decir que, al 03 de febrero de 2020, los filtros con los que cuentan los sistemas informáticos del Tribunal Contencioso Administrativo no permiten determinar la cantidad de procesos donde intervenga al menos una persona usuaria indígena o una persona servidora judicial, según las recomendaciones emitidas en el informe </w:t>
      </w:r>
      <w:r>
        <w:rPr>
          <w:rFonts w:cs="Arial" w:ascii="Bookman Old Style" w:hAnsi="Bookman Old Style"/>
          <w:b/>
          <w:bCs/>
          <w:i/>
          <w:iCs/>
          <w:sz w:val="20"/>
          <w:szCs w:val="20"/>
        </w:rPr>
        <w:t>634-PLA-RH-MI-2019 “Impacto organizacional y presupuestario en el Poder Judicial, (Defensa Pública) a partir de la promulgación de la Ley 9593 de Acceso a la Justicia de los Pueblos Indígenas (incluye materia disciplinaria, agraria y pensión alimentaria)”</w:t>
      </w:r>
      <w:r>
        <w:rPr>
          <w:rFonts w:cs="Arial" w:ascii="Bookman Old Style" w:hAnsi="Bookman Old Style"/>
          <w:i/>
          <w:iCs/>
          <w:sz w:val="20"/>
          <w:szCs w:val="20"/>
        </w:rPr>
        <w:t>.</w:t>
      </w:r>
    </w:p>
    <w:p>
      <w:pPr>
        <w:pStyle w:val="Normal"/>
        <w:jc w:val="both"/>
        <w:rPr>
          <w:rFonts w:ascii="Bookman Old Style" w:hAnsi="Bookman Old Style"/>
          <w:i/>
          <w:i/>
          <w:iCs/>
          <w:sz w:val="20"/>
          <w:szCs w:val="20"/>
        </w:rPr>
      </w:pPr>
      <w:r>
        <w:rPr>
          <w:rFonts w:ascii="Bookman Old Style" w:hAnsi="Bookman Old Style"/>
          <w:i/>
          <w:iCs/>
          <w:sz w:val="20"/>
          <w:szCs w:val="20"/>
        </w:rPr>
        <w:t>Seguido, se procede al análisis del archivo suministrado, entendiendo las observaciones señaladas por el personal judicial del despacho, donde se registran 257 números de expedientes atendidos por el Tribunal Contencioso Administrativo. Mientras que, al cierre de enero 2019, en el informe</w:t>
      </w:r>
      <w:r>
        <w:rPr>
          <w:rFonts w:eastAsia="Arial" w:cs="Arial" w:ascii="Bookman Old Style" w:hAnsi="Bookman Old Style"/>
          <w:i/>
          <w:iCs/>
          <w:sz w:val="20"/>
          <w:szCs w:val="20"/>
        </w:rPr>
        <w:t xml:space="preserve"> </w:t>
      </w:r>
      <w:r>
        <w:rPr>
          <w:rFonts w:cs="Arial" w:ascii="Bookman Old Style" w:hAnsi="Bookman Old Style"/>
          <w:b/>
          <w:bCs/>
          <w:i/>
          <w:iCs/>
          <w:sz w:val="20"/>
          <w:szCs w:val="20"/>
        </w:rPr>
        <w:t>634-PLA-RH-MI-2019 “Impacto organizacional y presupuestario en el Poder Judicial, (Defensa Pública) a partir de la promulgación de la Ley 9593 de Acceso a la Justicia de los Pueblos Indígenas (incluye materia disciplinaria, agraria y pensión alimentaria)”</w:t>
      </w:r>
      <w:r>
        <w:rPr>
          <w:rFonts w:cs="Arial" w:ascii="Bookman Old Style" w:hAnsi="Bookman Old Style"/>
          <w:i/>
          <w:iCs/>
          <w:sz w:val="20"/>
          <w:szCs w:val="20"/>
        </w:rPr>
        <w:t xml:space="preserve">, </w:t>
      </w:r>
      <w:r>
        <w:rPr>
          <w:rFonts w:ascii="Bookman Old Style" w:hAnsi="Bookman Old Style"/>
          <w:i/>
          <w:iCs/>
          <w:sz w:val="20"/>
          <w:szCs w:val="20"/>
        </w:rPr>
        <w:t xml:space="preserve">se reportan 240 expedientes. Por lo que, se puede inferir que, en el año 2019 ingresaron 17 asuntos, el equivalente a 1,41 asuntos por mes. </w:t>
      </w:r>
    </w:p>
    <w:p>
      <w:pPr>
        <w:pStyle w:val="Normal"/>
        <w:jc w:val="both"/>
        <w:rPr>
          <w:rFonts w:ascii="Bookman Old Style" w:hAnsi="Bookman Old Style"/>
          <w:i/>
          <w:i/>
          <w:iCs/>
          <w:sz w:val="20"/>
          <w:szCs w:val="20"/>
        </w:rPr>
      </w:pPr>
      <w:r>
        <w:rPr>
          <w:rFonts w:ascii="Bookman Old Style" w:hAnsi="Bookman Old Style"/>
          <w:i/>
          <w:iCs/>
          <w:sz w:val="20"/>
          <w:szCs w:val="20"/>
        </w:rPr>
        <w:t xml:space="preserve">Es importante aclarar que, los expedientes reportados por el Tribunal Contencioso en los cuales se incluye como parte una asociación de personas indígenas o la Comisión Nacional de Asuntos Indígenas, contabiliza la totalidad de expedientes ingresados al Sistema de Gestión del despacho, inclusive los archivados, pasivos o los que se encuentran asignados a alguna persona servidora del despacho. Por lo anterior, para determinar el análisis de expedientes activos al 04 de febrero de 2020, se excluyen los asuntos en ubicación pasiva y, por ende, se tiene un total de 97 expedientes activos. En la siguiente tabla se muestra la segregación de expedientes activos, del Tribunal Contencioso Administrativo, figura como intervinientes una asociación de personas indígenas. </w:t>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6</w:t>
      </w:r>
      <w:r>
        <w:rPr>
          <w:i/>
          <w:iCs/>
          <w:rFonts w:cs="Arial" w:ascii="Bookman Old Style" w:hAnsi="Bookman Old Style"/>
        </w:rPr>
        <w:fldChar w:fldCharType="end"/>
      </w:r>
      <w:r>
        <w:rPr>
          <w:rFonts w:eastAsia="Arial" w:cs="Arial" w:ascii="Bookman Old Style" w:hAnsi="Bookman Old Style"/>
          <w:i/>
          <w:iCs/>
        </w:rPr>
        <w:t xml:space="preserve"> Circulante del Tribunal Contencioso Administrativo como parte se encuentra una asociación de personas indígenas, al febrero de 2020</w:t>
      </w:r>
    </w:p>
    <w:tbl>
      <w:tblPr>
        <w:tblW w:w="8978"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7724"/>
        <w:gridCol w:w="1253"/>
      </w:tblGrid>
      <w:tr>
        <w:trPr>
          <w:trHeight w:val="420" w:hRule="atLeast"/>
        </w:trPr>
        <w:tc>
          <w:tcPr>
            <w:tcW w:w="772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Parte (interviniente)</w:t>
            </w:r>
          </w:p>
        </w:tc>
        <w:tc>
          <w:tcPr>
            <w:tcW w:w="1253" w:type="dxa"/>
            <w:tcBorders>
              <w:top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Bookman Old Style" w:hAnsi="Bookman Old Style" w:cs="Arial"/>
                <w:b/>
                <w:b/>
                <w:bCs/>
                <w:i/>
                <w:i/>
                <w:iCs/>
                <w:color w:val="FFFFFF"/>
                <w:sz w:val="20"/>
                <w:szCs w:val="20"/>
              </w:rPr>
            </w:pPr>
            <w:r>
              <w:rPr>
                <w:rFonts w:cs="Arial" w:ascii="Bookman Old Style" w:hAnsi="Bookman Old Style"/>
                <w:b/>
                <w:bCs/>
                <w:i/>
                <w:iCs/>
                <w:color w:val="FFFFFF"/>
                <w:sz w:val="20"/>
                <w:szCs w:val="20"/>
              </w:rPr>
              <w:t>Cantidad</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Comisión Nacional de Asuntos Indígenas</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62</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del Territorio Indígena de Kekoldi</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de la Reserva Indígena de Salitre</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Indígena Huetar de Zapatón de Puriscal</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de la Reserva Indígena Bri-Bri De Talamanca</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Indígena de Rey Curré Boruca</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Indígena Altos de San Antonio</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de Reserva Indígena San Rafael De Cabagra</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Indígena de Quit</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De La Reserva Indígena Chirripó</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Asociación de Desarrollo Integral Indígena de Térraba</w:t>
            </w:r>
          </w:p>
        </w:tc>
        <w:tc>
          <w:tcPr>
            <w:tcW w:w="1253"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D9D9D9"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Total, de expedientes</w:t>
            </w:r>
          </w:p>
        </w:tc>
        <w:tc>
          <w:tcPr>
            <w:tcW w:w="1253" w:type="dxa"/>
            <w:tcBorders>
              <w:bottom w:val="single" w:sz="4" w:space="0" w:color="000000"/>
              <w:right w:val="single" w:sz="4" w:space="0" w:color="000000"/>
            </w:tcBorders>
            <w:shd w:color="auto" w:fill="D9D9D9"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97</w:t>
            </w:r>
          </w:p>
        </w:tc>
      </w:tr>
    </w:tbl>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el Tribunal Contencioso Administrativo.</w:t>
      </w:r>
    </w:p>
    <w:p>
      <w:pPr>
        <w:pStyle w:val="Normal"/>
        <w:jc w:val="both"/>
        <w:rPr>
          <w:rFonts w:ascii="Bookman Old Style" w:hAnsi="Bookman Old Style"/>
          <w:i/>
          <w:i/>
          <w:iCs/>
          <w:sz w:val="20"/>
          <w:szCs w:val="20"/>
        </w:rPr>
      </w:pPr>
      <w:r>
        <w:rPr>
          <w:rFonts w:ascii="Bookman Old Style" w:hAnsi="Bookman Old Style"/>
          <w:i/>
          <w:iCs/>
          <w:sz w:val="20"/>
          <w:szCs w:val="20"/>
        </w:rPr>
        <w:t>En este partícular, tal como se hizo mención en líneas anteriores, únicamente se identifica la intervención de personas indígenas cuando participan en asociaciones u organizaciones; es decir, la cantidad de asuntos donde se participa como parte demandada o actora sin la representación de una asoción y/u organización presenta una limitante estadísitica en los sistemas actuales, para determinar la cantidad de asuntos Contenciosos Administrativos donde intervinen personas indígenas y así estimar la proyección de la demanda del proceso.</w:t>
      </w:r>
    </w:p>
    <w:p>
      <w:pPr>
        <w:pStyle w:val="Normal"/>
        <w:jc w:val="both"/>
        <w:rPr>
          <w:rFonts w:ascii="Bookman Old Style" w:hAnsi="Bookman Old Style" w:eastAsia="Arial"/>
          <w:i/>
          <w:i/>
          <w:iCs/>
          <w:sz w:val="20"/>
          <w:szCs w:val="20"/>
        </w:rPr>
      </w:pPr>
      <w:r>
        <w:rPr>
          <w:rFonts w:eastAsia="Arial" w:ascii="Bookman Old Style" w:hAnsi="Bookman Old Style"/>
          <w:i/>
          <w:iCs/>
          <w:sz w:val="20"/>
          <w:szCs w:val="20"/>
        </w:rPr>
        <w:t>De igual manera, se puede observar en la tabla anterior que, de los 97 expedientes activos, 62 mantienen como intervinientes a la Comisión Nacional de Asuntos Indígenas, mientras que la Asociación de Desarrollo Integral del Territorio Indígena de Kelkoldi mantiene 12 expedientes activos. Las dos asociaciones mencionadas anteriormente representan el 76% de la totalidad de causas activas. Es importante mencionar que el terrorio Kelkoldi pertenece a la Cordillera de Talamanca, donde prevalece la etnia Bribri.</w:t>
      </w:r>
    </w:p>
    <w:p>
      <w:pPr>
        <w:pStyle w:val="Normal"/>
        <w:jc w:val="both"/>
        <w:rPr>
          <w:rFonts w:ascii="Bookman Old Style" w:hAnsi="Bookman Old Style" w:eastAsia="Arial"/>
          <w:i/>
          <w:i/>
          <w:iCs/>
          <w:sz w:val="20"/>
          <w:szCs w:val="20"/>
          <w:highlight w:val="yellow"/>
        </w:rPr>
      </w:pPr>
      <w:r>
        <w:rPr>
          <w:rFonts w:eastAsia="Arial" w:ascii="Bookman Old Style" w:hAnsi="Bookman Old Style"/>
          <w:i/>
          <w:iCs/>
          <w:sz w:val="20"/>
          <w:szCs w:val="20"/>
        </w:rPr>
        <w:t xml:space="preserve">Por lo tanto, es importante destacar lo acordado sesión del Consejo Superior 43-19 del 14 de mayo del 2019, artículo XL, donde aprobó trasladar de la Secretería Técnica de Género la plaza de Defensor Público (369766) ocupada por el Lic. Jorge Sánchez Solano hacia la Defensa Pública de San José,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w:t>
      </w:r>
    </w:p>
    <w:p>
      <w:pPr>
        <w:pStyle w:val="Normal"/>
        <w:jc w:val="both"/>
        <w:rPr>
          <w:rFonts w:ascii="Bookman Old Style" w:hAnsi="Bookman Old Style" w:eastAsia="Arial"/>
          <w:i/>
          <w:i/>
          <w:iCs/>
          <w:sz w:val="20"/>
          <w:szCs w:val="20"/>
        </w:rPr>
      </w:pPr>
      <w:r>
        <w:rPr>
          <w:rFonts w:eastAsia="Arial" w:ascii="Bookman Old Style" w:hAnsi="Bookman Old Style"/>
          <w:i/>
          <w:iCs/>
          <w:sz w:val="20"/>
          <w:szCs w:val="20"/>
        </w:rPr>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Atención de asuntos agrarios</w:t>
      </w:r>
    </w:p>
    <w:p>
      <w:pPr>
        <w:pStyle w:val="Normal"/>
        <w:jc w:val="both"/>
        <w:rPr>
          <w:rFonts w:ascii="Bookman Old Style" w:hAnsi="Bookman Old Style"/>
          <w:i/>
          <w:i/>
          <w:iCs/>
          <w:sz w:val="20"/>
          <w:szCs w:val="20"/>
        </w:rPr>
      </w:pPr>
      <w:r>
        <w:rPr>
          <w:rFonts w:ascii="Bookman Old Style" w:hAnsi="Bookman Old Style"/>
          <w:i/>
          <w:iCs/>
          <w:sz w:val="20"/>
          <w:szCs w:val="20"/>
        </w:rPr>
        <w:t>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en el mismo se aprueba cambiar la condición de siete plazas de recurso defensor que se encontraban extraordinarias para la atención de materia agraria, a condición ordinarias; asumiendo además de materia agraria la defensa técnica de aquellos asuntos Contenciosos Administrativos donde figure como parte actora o demandada una o más personas indígenas. En el caso de aquellas plazas, donde la carga de trabajo no alcance la cuota establecida, se le asignará asuntos de otras jurisdicciones para completar su carga de trabajo.</w:t>
      </w:r>
    </w:p>
    <w:p>
      <w:pPr>
        <w:pStyle w:val="Normal"/>
        <w:jc w:val="both"/>
        <w:rPr>
          <w:rFonts w:ascii="Bookman Old Style" w:hAnsi="Bookman Old Style"/>
          <w:i/>
          <w:i/>
          <w:iCs/>
          <w:sz w:val="20"/>
          <w:szCs w:val="20"/>
        </w:rPr>
      </w:pPr>
      <w:r>
        <w:rPr>
          <w:rFonts w:ascii="Bookman Old Style" w:hAnsi="Bookman Old Style"/>
          <w:i/>
          <w:iCs/>
          <w:sz w:val="20"/>
          <w:szCs w:val="20"/>
        </w:rPr>
        <w:t>De tal manera, se considera que con la aprobación e implementación de la recomendación planteada en el informe 634-PLA-RH-MI-2019, fue solventada la necesidad en materia agraria y la defensa técnica en materia contenciosa administrativa.</w:t>
      </w:r>
    </w:p>
    <w:p>
      <w:pPr>
        <w:pStyle w:val="Normal"/>
        <w:jc w:val="both"/>
        <w:rPr>
          <w:rFonts w:ascii="Bookman Old Style" w:hAnsi="Bookman Old Style"/>
          <w:i/>
          <w:i/>
          <w:iCs/>
          <w:sz w:val="20"/>
          <w:szCs w:val="20"/>
        </w:rPr>
      </w:pPr>
      <w:r>
        <w:rPr>
          <w:rFonts w:ascii="Bookman Old Style" w:hAnsi="Bookman Old Style"/>
          <w:i/>
          <w:iCs/>
          <w:sz w:val="20"/>
          <w:szCs w:val="20"/>
        </w:rPr>
        <w:t>Seguidamente, se realizó un balance general de la materia agrario de los primeros tres trimestres del 2019:</w:t>
      </w:r>
    </w:p>
    <w:p>
      <w:pPr>
        <w:pStyle w:val="Caption"/>
        <w:keepNext w:val="true"/>
        <w:rPr>
          <w:rFonts w:ascii="Bookman Old Style" w:hAnsi="Bookman Old Style"/>
          <w:i/>
          <w:i/>
          <w:iCs/>
        </w:rPr>
      </w:pPr>
      <w:r>
        <w:rPr>
          <w:rFonts w:ascii="Bookman Old Style" w:hAnsi="Bookman Old Style"/>
          <w:i/>
          <w:iCs/>
        </w:rPr>
        <w:t xml:space="preserve">Figura </w:t>
      </w:r>
      <w:r>
        <w:rPr>
          <w:rFonts w:ascii="Bookman Old Style" w:hAnsi="Bookman Old Style"/>
          <w:i/>
          <w:iCs/>
        </w:rPr>
        <w:fldChar w:fldCharType="begin"/>
      </w:r>
      <w:r>
        <w:rPr>
          <w:i/>
          <w:iCs/>
          <w:rFonts w:ascii="Bookman Old Style" w:hAnsi="Bookman Old Style"/>
        </w:rPr>
        <w:instrText> SEQ Figura \* ARABIC </w:instrText>
      </w:r>
      <w:r>
        <w:rPr>
          <w:i/>
          <w:iCs/>
          <w:rFonts w:ascii="Bookman Old Style" w:hAnsi="Bookman Old Style"/>
        </w:rPr>
        <w:fldChar w:fldCharType="separate"/>
      </w:r>
      <w:r>
        <w:rPr>
          <w:i/>
          <w:iCs/>
          <w:rFonts w:ascii="Bookman Old Style" w:hAnsi="Bookman Old Style"/>
        </w:rPr>
        <w:t>6</w:t>
      </w:r>
      <w:r>
        <w:rPr>
          <w:i/>
          <w:iCs/>
          <w:rFonts w:ascii="Bookman Old Style" w:hAnsi="Bookman Old Style"/>
        </w:rPr>
        <w:fldChar w:fldCharType="end"/>
      </w:r>
      <w:r>
        <w:rPr>
          <w:rFonts w:ascii="Bookman Old Style" w:hAnsi="Bookman Old Style"/>
          <w:i/>
          <w:iCs/>
        </w:rPr>
        <w:t xml:space="preserve"> Balance general de los procesos de materia agraria a nivel nacional en la Defensa Pública del primer semestre de 2019</w:t>
      </w:r>
    </w:p>
    <w:p>
      <w:pPr>
        <w:pStyle w:val="Normal"/>
        <w:jc w:val="both"/>
        <w:rPr>
          <w:rFonts w:ascii="Bookman Old Style" w:hAnsi="Bookman Old Style"/>
          <w:i/>
          <w:i/>
          <w:iCs/>
          <w:sz w:val="20"/>
          <w:szCs w:val="20"/>
        </w:rPr>
      </w:pPr>
      <w:r>
        <w:rPr/>
        <w:drawing>
          <wp:inline distT="0" distB="0" distL="0" distR="0">
            <wp:extent cx="5612130" cy="262890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Normal"/>
        <w:jc w:val="both"/>
        <w:rPr>
          <w:rFonts w:ascii="Bookman Old Style" w:hAnsi="Bookman Old Style"/>
          <w:i/>
          <w:i/>
          <w:iCs/>
          <w:sz w:val="20"/>
          <w:szCs w:val="20"/>
        </w:rPr>
      </w:pPr>
      <w:r>
        <w:rPr>
          <w:rFonts w:ascii="Bookman Old Style" w:hAnsi="Bookman Old Style"/>
          <w:i/>
          <w:iCs/>
          <w:sz w:val="20"/>
          <w:szCs w:val="20"/>
        </w:rPr>
        <w:t>Durante los primeros tres trimestres de 2019 se finalizaron 975 asuntos, de 1317 que ingresaron, logrando una efectividad de 74%, acumulando un 26% (342) en el circulante, lo que muestra un incremento en el circulante al finalizar de un 25%.</w:t>
      </w:r>
    </w:p>
    <w:p>
      <w:pPr>
        <w:pStyle w:val="Normal"/>
        <w:jc w:val="both"/>
        <w:rPr>
          <w:rFonts w:ascii="Bookman Old Style" w:hAnsi="Bookman Old Style"/>
          <w:i/>
          <w:i/>
          <w:iCs/>
          <w:sz w:val="20"/>
          <w:szCs w:val="20"/>
        </w:rPr>
      </w:pPr>
      <w:r>
        <w:rPr>
          <w:rFonts w:ascii="Bookman Old Style" w:hAnsi="Bookman Old Style"/>
          <w:i/>
          <w:iCs/>
          <w:sz w:val="20"/>
          <w:szCs w:val="20"/>
        </w:rPr>
        <w:t>Seguidamente se realizó una comparación de los asuntos terminados en los Juzgados Agrarios y los asuntos terminados por las Defensas Públicas en Materia Agraria a nivel nacional al tercer trimestre del 2019.</w:t>
      </w:r>
    </w:p>
    <w:p>
      <w:pPr>
        <w:pStyle w:val="Normal"/>
        <w:jc w:val="both"/>
        <w:rPr>
          <w:rFonts w:ascii="Bookman Old Style" w:hAnsi="Bookman Old Style"/>
          <w:i/>
          <w:i/>
          <w:iCs/>
          <w:sz w:val="20"/>
          <w:szCs w:val="20"/>
          <w:highlight w:val="yellow"/>
        </w:rPr>
      </w:pPr>
      <w:r>
        <w:rPr>
          <w:rFonts w:ascii="Bookman Old Style" w:hAnsi="Bookman Old Style"/>
          <w:i/>
          <w:iCs/>
          <w:sz w:val="20"/>
          <w:szCs w:val="20"/>
          <w:highlight w:val="yellow"/>
        </w:rPr>
      </w:r>
    </w:p>
    <w:p>
      <w:pPr>
        <w:pStyle w:val="Caption"/>
        <w:keepNext w:val="true"/>
        <w:rPr>
          <w:rFonts w:ascii="Bookman Old Style" w:hAnsi="Bookman Old Style"/>
          <w:i/>
          <w:i/>
          <w:iCs/>
        </w:rPr>
      </w:pPr>
      <w:r>
        <w:rPr>
          <w:rFonts w:ascii="Bookman Old Style" w:hAnsi="Bookman Old Style"/>
          <w:i/>
          <w:iCs/>
        </w:rPr>
        <w:t xml:space="preserve">Figura </w:t>
      </w:r>
      <w:r>
        <w:rPr>
          <w:rFonts w:ascii="Bookman Old Style" w:hAnsi="Bookman Old Style"/>
          <w:i/>
          <w:iCs/>
        </w:rPr>
        <w:fldChar w:fldCharType="begin"/>
      </w:r>
      <w:r>
        <w:rPr>
          <w:i/>
          <w:iCs/>
          <w:rFonts w:ascii="Bookman Old Style" w:hAnsi="Bookman Old Style"/>
        </w:rPr>
        <w:instrText> SEQ Figura \* ARABIC </w:instrText>
      </w:r>
      <w:r>
        <w:rPr>
          <w:i/>
          <w:iCs/>
          <w:rFonts w:ascii="Bookman Old Style" w:hAnsi="Bookman Old Style"/>
        </w:rPr>
        <w:fldChar w:fldCharType="separate"/>
      </w:r>
      <w:r>
        <w:rPr>
          <w:i/>
          <w:iCs/>
          <w:rFonts w:ascii="Bookman Old Style" w:hAnsi="Bookman Old Style"/>
        </w:rPr>
        <w:t>7</w:t>
      </w:r>
      <w:r>
        <w:rPr>
          <w:i/>
          <w:iCs/>
          <w:rFonts w:ascii="Bookman Old Style" w:hAnsi="Bookman Old Style"/>
        </w:rPr>
        <w:fldChar w:fldCharType="end"/>
      </w:r>
      <w:r>
        <w:rPr>
          <w:rFonts w:ascii="Bookman Old Style" w:hAnsi="Bookman Old Style"/>
          <w:i/>
          <w:iCs/>
        </w:rPr>
        <w:t xml:space="preserve"> Comparativa entre asuntos terminados en los Juzgados Agrarios y las Defensas Públicas en materia Agraria, al tercer trimestre de 2019</w:t>
      </w:r>
    </w:p>
    <w:p>
      <w:pPr>
        <w:pStyle w:val="Normal"/>
        <w:jc w:val="both"/>
        <w:rPr>
          <w:rFonts w:ascii="Bookman Old Style" w:hAnsi="Bookman Old Style"/>
          <w:i/>
          <w:i/>
          <w:iCs/>
          <w:sz w:val="20"/>
          <w:szCs w:val="20"/>
          <w:highlight w:val="yellow"/>
        </w:rPr>
      </w:pPr>
      <w:r>
        <w:rPr/>
        <w:drawing>
          <wp:inline distT="0" distB="0" distL="0" distR="0">
            <wp:extent cx="4197350" cy="2263775"/>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jc w:val="both"/>
        <w:rPr>
          <w:rFonts w:ascii="Bookman Old Style" w:hAnsi="Bookman Old Style"/>
          <w:i/>
          <w:i/>
          <w:iCs/>
          <w:sz w:val="20"/>
          <w:szCs w:val="20"/>
        </w:rPr>
      </w:pPr>
      <w:r>
        <w:rPr>
          <w:rFonts w:ascii="Bookman Old Style" w:hAnsi="Bookman Old Style"/>
          <w:i/>
          <w:iCs/>
          <w:sz w:val="20"/>
          <w:szCs w:val="20"/>
        </w:rPr>
        <w:t>Nota: En lo referente a la información de la Defensa Pública los datos del primer y segundo trimestre fueron facilitados por el Subproceso de Estadística, en lo que respecta al tercer trimestre son datos preliminares facilitados por la Administración de la Defensa Pública.</w:t>
      </w:r>
    </w:p>
    <w:p>
      <w:pPr>
        <w:pStyle w:val="Normal"/>
        <w:spacing w:before="120" w:after="0"/>
        <w:jc w:val="both"/>
        <w:rPr>
          <w:rFonts w:ascii="Bookman Old Style" w:hAnsi="Bookman Old Style"/>
          <w:i/>
          <w:i/>
          <w:iCs/>
          <w:sz w:val="20"/>
          <w:szCs w:val="20"/>
        </w:rPr>
      </w:pPr>
      <w:r>
        <w:rPr>
          <w:rFonts w:ascii="Bookman Old Style" w:hAnsi="Bookman Old Style"/>
          <w:i/>
          <w:iCs/>
          <w:sz w:val="20"/>
          <w:szCs w:val="20"/>
        </w:rPr>
        <w:t>Fuente: Elaboración propia, con datos suministrados por el Subproceso de Estadística y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El total de 975 asuntos terminados por la Unidad Agraria de la Defensa Pública representa un 35% del total de 2 822 asuntos terminados en los Juzgados Agrarios a nivel nacional. El restante de 1847 (65%) asuntos terminados pueden estar asociados a la representación de abogado particular; así como, causas que se presentaron ante los Juzgados Agrarios sin patrocinio letrado.</w:t>
      </w:r>
    </w:p>
    <w:p>
      <w:pPr>
        <w:pStyle w:val="Normal"/>
        <w:spacing w:before="120" w:after="0"/>
        <w:jc w:val="both"/>
        <w:rPr>
          <w:rFonts w:ascii="Bookman Old Style" w:hAnsi="Bookman Old Style"/>
          <w:i/>
          <w:i/>
          <w:iCs/>
          <w:sz w:val="20"/>
          <w:szCs w:val="20"/>
        </w:rPr>
      </w:pPr>
      <w:r>
        <w:rPr>
          <w:rFonts w:ascii="Bookman Old Style" w:hAnsi="Bookman Old Style"/>
          <w:i/>
          <w:iCs/>
          <w:sz w:val="20"/>
          <w:szCs w:val="20"/>
        </w:rPr>
        <w:t xml:space="preserve">Por otra parte, en consulta realizada el 5 de marzo de 2019 al Lic. Mario Alberto Rosales Vargas, Coordinador a.i de la Unidad de Agrario sobre la cuota de circulante por plaza de Defensor Público Agrario a nivel nacional, señala que una cuota máxima que puede llevar un Defensor es de 150 a 180 procesos o expedientes, dado a la complejidad de la materia, por factores cualitativos como el tiempo de traslado, visitas previas a campo, atención de poblaciones vulnerables y la atención de contrapartes. </w:t>
      </w:r>
    </w:p>
    <w:p>
      <w:pPr>
        <w:pStyle w:val="Normal"/>
        <w:spacing w:before="120" w:after="0"/>
        <w:jc w:val="both"/>
        <w:rPr>
          <w:rFonts w:ascii="Bookman Old Style" w:hAnsi="Bookman Old Style"/>
          <w:i/>
          <w:i/>
          <w:iCs/>
          <w:sz w:val="20"/>
          <w:szCs w:val="20"/>
        </w:rPr>
      </w:pPr>
      <w:r>
        <w:rPr>
          <w:rFonts w:ascii="Bookman Old Style" w:hAnsi="Bookman Old Style"/>
          <w:i/>
          <w:iCs/>
          <w:sz w:val="20"/>
          <w:szCs w:val="20"/>
        </w:rPr>
        <w:t xml:space="preserve">El Consejo Superior del Poder Judicial, mediante el acta N° 023-2018 del 21 de marzo de 2018 en el artículo LVI, se acordó tener por rendido el informe presentado por la máster Damaris Vargas Vásquez, en calidad de Gestora del Proyecto de Implementación de la Reforma Procesal Agraria e Integrante de la Comisión de la Jurisdicción Agraria; el cual contiene el oficio N° 1284-213-AUO-2014 de Auditoría Judicial denominado “Estudio Operativo del proceso Agrario (Primera Instancia)”, donde se dispuso establecer como cuotas mínima de señalamientos a realizarse por semana, por cada persona juzgadora agraria, al menos tres audiencias en el despacho y dos fuera de la sede de éste. Esta cuota de trabajo por persona juzgadora se mantiene según el informe </w:t>
      </w:r>
      <w:r>
        <w:rPr>
          <w:rFonts w:ascii="Bookman Old Style" w:hAnsi="Bookman Old Style"/>
          <w:b/>
          <w:bCs/>
          <w:i/>
          <w:iCs/>
          <w:sz w:val="20"/>
          <w:szCs w:val="20"/>
        </w:rPr>
        <w:t>630-PLA-RH-MI-2019</w:t>
      </w:r>
      <w:r>
        <w:rPr>
          <w:rFonts w:ascii="Bookman Old Style" w:hAnsi="Bookman Old Style"/>
          <w:i/>
          <w:iCs/>
          <w:sz w:val="20"/>
          <w:szCs w:val="20"/>
        </w:rPr>
        <w:t xml:space="preserve"> </w:t>
      </w:r>
      <w:r>
        <w:rPr>
          <w:rFonts w:ascii="Bookman Old Style" w:hAnsi="Bookman Old Style"/>
          <w:b/>
          <w:bCs/>
          <w:i/>
          <w:iCs/>
          <w:sz w:val="20"/>
          <w:szCs w:val="20"/>
        </w:rPr>
        <w:t>“Impacto organizacional y presupuestario en el Poder Judicial a partir de la promulgación del Nuevo Código Procesal Agrario para el 2020”</w:t>
      </w:r>
      <w:r>
        <w:rPr>
          <w:rFonts w:ascii="Bookman Old Style" w:hAnsi="Bookman Old Style"/>
          <w:i/>
          <w:iCs/>
          <w:sz w:val="20"/>
          <w:szCs w:val="20"/>
        </w:rPr>
        <w:t xml:space="preserve">, el cual fue aprobado por el Consejo Superior en la sesión extraordinaria 44-19 (Presupuesto 2019) el 16 de mayo de 2019 y, aprobado por Corte Plena el 06 de junio de 2019 en la sesión 47-19, artículo VI. Para el informe de informe de impacto organizacional y presupuestario en el Poder Judicial a partir de la promulgación del nuevo Código Procesal Agrario para el 2021, la Dirección de Planificación mantiene la cuota de trabajo descrita anteriormente. </w:t>
      </w:r>
    </w:p>
    <w:p>
      <w:pPr>
        <w:pStyle w:val="Normal"/>
        <w:jc w:val="both"/>
        <w:rPr>
          <w:rFonts w:ascii="Bookman Old Style" w:hAnsi="Bookman Old Style"/>
          <w:i/>
          <w:i/>
          <w:iCs/>
          <w:sz w:val="20"/>
          <w:szCs w:val="20"/>
        </w:rPr>
      </w:pPr>
      <w:r>
        <w:rPr>
          <w:rFonts w:ascii="Bookman Old Style" w:hAnsi="Bookman Old Style"/>
          <w:i/>
          <w:iCs/>
          <w:sz w:val="20"/>
          <w:szCs w:val="20"/>
        </w:rPr>
        <w:t>En este particular, con la finalidad de determinar la carga de trabajo por Oficina, en el siguiente cuadro se detalla el circulante y cantidad de asuntos entrados por recurso Defensor Público.</w:t>
      </w:r>
    </w:p>
    <w:p>
      <w:pPr>
        <w:pStyle w:val="Caption"/>
        <w:keepNext w:val="true"/>
        <w:spacing w:lineRule="auto" w:line="240"/>
        <w:rPr>
          <w:rFonts w:ascii="Bookman Old Style" w:hAnsi="Bookman Old Style"/>
          <w:i/>
          <w:i/>
          <w:iCs/>
        </w:rPr>
      </w:pPr>
      <w:r>
        <w:rPr>
          <w:rFonts w:ascii="Bookman Old Style" w:hAnsi="Bookman Old Style"/>
          <w:i/>
          <w:iCs/>
        </w:rPr>
        <w:t xml:space="preserve">Tabla </w:t>
      </w:r>
      <w:r>
        <w:rPr>
          <w:rFonts w:ascii="Bookman Old Style" w:hAnsi="Bookman Old Style"/>
          <w:i/>
          <w:iCs/>
        </w:rPr>
        <w:fldChar w:fldCharType="begin"/>
      </w:r>
      <w:r>
        <w:rPr>
          <w:i/>
          <w:iCs/>
          <w:rFonts w:ascii="Bookman Old Style" w:hAnsi="Bookman Old Style"/>
        </w:rPr>
        <w:instrText> SEQ Tabla \* ARABIC </w:instrText>
      </w:r>
      <w:r>
        <w:rPr>
          <w:i/>
          <w:iCs/>
          <w:rFonts w:ascii="Bookman Old Style" w:hAnsi="Bookman Old Style"/>
        </w:rPr>
        <w:fldChar w:fldCharType="separate"/>
      </w:r>
      <w:r>
        <w:rPr>
          <w:i/>
          <w:iCs/>
          <w:rFonts w:ascii="Bookman Old Style" w:hAnsi="Bookman Old Style"/>
        </w:rPr>
        <w:t>7</w:t>
      </w:r>
      <w:r>
        <w:rPr>
          <w:i/>
          <w:iCs/>
          <w:rFonts w:ascii="Bookman Old Style" w:hAnsi="Bookman Old Style"/>
        </w:rPr>
        <w:fldChar w:fldCharType="end"/>
      </w:r>
      <w:r>
        <w:rPr>
          <w:rFonts w:ascii="Bookman Old Style" w:hAnsi="Bookman Old Style"/>
          <w:i/>
          <w:iCs/>
        </w:rPr>
        <w:t xml:space="preserve"> Relación de asuntos entrados y circulante por recurso Defensor Público, </w:t>
      </w:r>
    </w:p>
    <w:p>
      <w:pPr>
        <w:pStyle w:val="Caption"/>
        <w:keepNext w:val="true"/>
        <w:spacing w:lineRule="auto" w:line="240"/>
        <w:rPr>
          <w:rFonts w:ascii="Bookman Old Style" w:hAnsi="Bookman Old Style"/>
          <w:i/>
          <w:i/>
          <w:iCs/>
        </w:rPr>
      </w:pPr>
      <w:r>
        <w:rPr>
          <w:rFonts w:ascii="Bookman Old Style" w:hAnsi="Bookman Old Style"/>
          <w:i/>
          <w:iCs/>
        </w:rPr>
        <w:t xml:space="preserve">al tercer trimestre del 2019 </w:t>
      </w:r>
    </w:p>
    <w:tbl>
      <w:tblPr>
        <w:tblW w:w="9776"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877"/>
        <w:gridCol w:w="1174"/>
        <w:gridCol w:w="1078"/>
        <w:gridCol w:w="1178"/>
        <w:gridCol w:w="1156"/>
        <w:gridCol w:w="1156"/>
        <w:gridCol w:w="1156"/>
      </w:tblGrid>
      <w:tr>
        <w:trPr>
          <w:trHeight w:val="280" w:hRule="atLeast"/>
        </w:trPr>
        <w:tc>
          <w:tcPr>
            <w:tcW w:w="28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Oficinas de la Defensa Pública</w:t>
            </w:r>
          </w:p>
        </w:tc>
        <w:tc>
          <w:tcPr>
            <w:tcW w:w="11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Cantidad de Recurso Defensor</w:t>
            </w:r>
          </w:p>
        </w:tc>
        <w:tc>
          <w:tcPr>
            <w:tcW w:w="10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Entrada al III Trimestre 2019</w:t>
            </w:r>
          </w:p>
        </w:tc>
        <w:tc>
          <w:tcPr>
            <w:tcW w:w="117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Entrada mensual, por Defensor</w:t>
            </w:r>
          </w:p>
        </w:tc>
        <w:tc>
          <w:tcPr>
            <w:tcW w:w="115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 xml:space="preserve">Circulante activo </w:t>
            </w:r>
          </w:p>
        </w:tc>
        <w:tc>
          <w:tcPr>
            <w:tcW w:w="1156"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Circulante</w:t>
            </w:r>
          </w:p>
        </w:tc>
        <w:tc>
          <w:tcPr>
            <w:tcW w:w="115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Promedio de entrada + Circulante</w:t>
            </w:r>
          </w:p>
        </w:tc>
      </w:tr>
      <w:tr>
        <w:trPr>
          <w:trHeight w:val="280" w:hRule="atLeast"/>
        </w:trPr>
        <w:tc>
          <w:tcPr>
            <w:tcW w:w="28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r>
          </w:p>
        </w:tc>
        <w:tc>
          <w:tcPr>
            <w:tcW w:w="11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r>
          </w:p>
        </w:tc>
        <w:tc>
          <w:tcPr>
            <w:tcW w:w="10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r>
          </w:p>
        </w:tc>
        <w:tc>
          <w:tcPr>
            <w:tcW w:w="11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r>
          </w:p>
        </w:tc>
        <w:tc>
          <w:tcPr>
            <w:tcW w:w="11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r>
          </w:p>
        </w:tc>
        <w:tc>
          <w:tcPr>
            <w:tcW w:w="1156" w:type="dxa"/>
            <w:tcBorders>
              <w:bottom w:val="single" w:sz="4" w:space="0" w:color="000000"/>
              <w:right w:val="single" w:sz="4" w:space="0" w:color="000000"/>
            </w:tcBorders>
            <w:shd w:color="000000" w:fill="FFFFFF" w:val="clear"/>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por Defensor</w:t>
            </w:r>
          </w:p>
        </w:tc>
        <w:tc>
          <w:tcPr>
            <w:tcW w:w="11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San José</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2</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23</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74</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37</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45</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 xml:space="preserve">Defensa Pública I Circuito Judicial Zona Sur   </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45</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121</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121</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129</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II Circuito Judicial Zona Sur (Corredores)</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65</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127</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Buenos Aires</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45</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106</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 xml:space="preserve">Defensa Pública I Circuito Judicial Alajuela   </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77</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114</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114</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122</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 xml:space="preserve">Defensa Pública III Circuito Judicial Alajuela (San Ramón)  </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148</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16</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147</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 xml:space="preserve">Defensa Pública II Circuito Judicial Alajuela   </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85</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178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178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186</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 xml:space="preserve">Defensa Pública Upala   </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123</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14</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193</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Cartago</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77</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152</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152</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160</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Turrialba</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113</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127</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I Circuito Judicial Guanacaste (Liberia)</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62</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7</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125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133</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Santa Cruz</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88</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199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199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207</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Puntarenas</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87</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10</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175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175</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183</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I Circuito Judicial Zona Atlántica (Limón)</w:t>
            </w:r>
          </w:p>
        </w:tc>
        <w:tc>
          <w:tcPr>
            <w:tcW w:w="1174" w:type="dxa"/>
            <w:tcBorders>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2</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166</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438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219</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227</w:t>
            </w:r>
          </w:p>
        </w:tc>
      </w:tr>
      <w:tr>
        <w:trPr>
          <w:trHeight w:val="280" w:hRule="atLeast"/>
        </w:trPr>
        <w:tc>
          <w:tcPr>
            <w:tcW w:w="28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Defensa Pública II Circuito Judicial Zona Atlántica (Pococí)</w:t>
            </w:r>
          </w:p>
        </w:tc>
        <w:tc>
          <w:tcPr>
            <w:tcW w:w="1174" w:type="dxa"/>
            <w:tcBorders>
              <w:bottom w:val="single" w:sz="4" w:space="0" w:color="000000"/>
              <w:right w:val="single" w:sz="4" w:space="0" w:color="000000"/>
            </w:tcBorders>
            <w:shd w:color="000000" w:fill="F2F2F2"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1</w:t>
            </w:r>
          </w:p>
        </w:tc>
        <w:tc>
          <w:tcPr>
            <w:tcW w:w="10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113</w:t>
            </w:r>
          </w:p>
        </w:tc>
        <w:tc>
          <w:tcPr>
            <w:tcW w:w="1178"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218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218</w:t>
            </w:r>
          </w:p>
        </w:tc>
        <w:tc>
          <w:tcPr>
            <w:tcW w:w="1156" w:type="dxa"/>
            <w:tcBorders>
              <w:bottom w:val="single" w:sz="4" w:space="0" w:color="000000"/>
              <w:right w:val="single" w:sz="4" w:space="0" w:color="000000"/>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226</w:t>
            </w:r>
          </w:p>
        </w:tc>
      </w:tr>
      <w:tr>
        <w:trPr>
          <w:trHeight w:val="280" w:hRule="atLeast"/>
        </w:trPr>
        <w:tc>
          <w:tcPr>
            <w:tcW w:w="2877"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Total</w:t>
            </w:r>
          </w:p>
        </w:tc>
        <w:tc>
          <w:tcPr>
            <w:tcW w:w="1174"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17</w:t>
            </w:r>
          </w:p>
        </w:tc>
        <w:tc>
          <w:tcPr>
            <w:tcW w:w="1078"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1317</w:t>
            </w:r>
          </w:p>
        </w:tc>
        <w:tc>
          <w:tcPr>
            <w:tcW w:w="1178"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tc>
        <w:tc>
          <w:tcPr>
            <w:tcW w:w="1156"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2454</w:t>
            </w:r>
          </w:p>
        </w:tc>
        <w:tc>
          <w:tcPr>
            <w:tcW w:w="1156"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 </w:t>
            </w:r>
          </w:p>
        </w:tc>
        <w:tc>
          <w:tcPr>
            <w:tcW w:w="1156" w:type="dxa"/>
            <w:tcBorders/>
            <w:shd w:color="auto" w:fill="auto" w:val="clear"/>
            <w:vAlign w:val="bottom"/>
          </w:tcPr>
          <w:p>
            <w:pPr>
              <w:pStyle w:val="Normal"/>
              <w:widowControl w:val="false"/>
              <w:jc w:val="both"/>
              <w:rPr>
                <w:rFonts w:ascii="Bookman Old Style" w:hAnsi="Bookman Old Style" w:cs="Arial"/>
                <w:i/>
                <w:i/>
                <w:iCs/>
                <w:color w:val="000000"/>
                <w:sz w:val="20"/>
                <w:szCs w:val="20"/>
              </w:rPr>
            </w:pPr>
            <w:r>
              <w:rPr>
                <w:rFonts w:cs="Arial" w:ascii="Bookman Old Style" w:hAnsi="Bookman Old Style"/>
                <w:i/>
                <w:iCs/>
                <w:color w:val="000000"/>
                <w:sz w:val="20"/>
                <w:szCs w:val="20"/>
              </w:rPr>
              <w:t> </w:t>
            </w:r>
          </w:p>
        </w:tc>
      </w:tr>
      <w:tr>
        <w:trPr>
          <w:trHeight w:val="280" w:hRule="atLeast"/>
        </w:trPr>
        <w:tc>
          <w:tcPr>
            <w:tcW w:w="2877"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Promedio Nacional</w:t>
            </w:r>
          </w:p>
        </w:tc>
        <w:tc>
          <w:tcPr>
            <w:tcW w:w="1174"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 xml:space="preserve"> </w:t>
            </w:r>
            <w:r>
              <w:rPr>
                <w:rFonts w:cs="Arial" w:ascii="Bookman Old Style" w:hAnsi="Bookman Old Style"/>
                <w:b/>
                <w:bCs/>
                <w:i/>
                <w:iCs/>
                <w:color w:val="000000"/>
                <w:sz w:val="20"/>
                <w:szCs w:val="20"/>
              </w:rPr>
              <w:t>-</w:t>
            </w:r>
          </w:p>
        </w:tc>
        <w:tc>
          <w:tcPr>
            <w:tcW w:w="1078"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 xml:space="preserve"> </w:t>
            </w:r>
            <w:r>
              <w:rPr>
                <w:rFonts w:cs="Arial" w:ascii="Bookman Old Style" w:hAnsi="Bookman Old Style"/>
                <w:b/>
                <w:bCs/>
                <w:i/>
                <w:iCs/>
                <w:color w:val="000000"/>
                <w:sz w:val="20"/>
                <w:szCs w:val="20"/>
              </w:rPr>
              <w:t>-</w:t>
            </w:r>
          </w:p>
        </w:tc>
        <w:tc>
          <w:tcPr>
            <w:tcW w:w="1178"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8</w:t>
            </w:r>
          </w:p>
        </w:tc>
        <w:tc>
          <w:tcPr>
            <w:tcW w:w="1156"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 xml:space="preserve"> </w:t>
            </w:r>
            <w:r>
              <w:rPr>
                <w:rFonts w:cs="Arial" w:ascii="Bookman Old Style" w:hAnsi="Bookman Old Style"/>
                <w:b/>
                <w:bCs/>
                <w:i/>
                <w:iCs/>
                <w:color w:val="000000"/>
                <w:sz w:val="20"/>
                <w:szCs w:val="20"/>
              </w:rPr>
              <w:t>-</w:t>
            </w:r>
          </w:p>
        </w:tc>
        <w:tc>
          <w:tcPr>
            <w:tcW w:w="1156"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129</w:t>
            </w:r>
          </w:p>
        </w:tc>
        <w:tc>
          <w:tcPr>
            <w:tcW w:w="1156" w:type="dxa"/>
            <w:tcBorders/>
            <w:shd w:color="auto" w:fill="auto" w:val="clear"/>
            <w:vAlign w:val="bottom"/>
          </w:tcPr>
          <w:p>
            <w:pPr>
              <w:pStyle w:val="Normal"/>
              <w:widowControl w:val="false"/>
              <w:jc w:val="both"/>
              <w:rPr>
                <w:rFonts w:ascii="Bookman Old Style" w:hAnsi="Bookman Old Style" w:cs="Arial"/>
                <w:b/>
                <w:b/>
                <w:bCs/>
                <w:i/>
                <w:i/>
                <w:iCs/>
                <w:color w:val="000000"/>
                <w:sz w:val="20"/>
                <w:szCs w:val="20"/>
              </w:rPr>
            </w:pPr>
            <w:r>
              <w:rPr>
                <w:rFonts w:cs="Arial" w:ascii="Bookman Old Style" w:hAnsi="Bookman Old Style"/>
                <w:b/>
                <w:bCs/>
                <w:i/>
                <w:iCs/>
                <w:color w:val="000000"/>
                <w:sz w:val="20"/>
                <w:szCs w:val="20"/>
              </w:rPr>
              <w:t xml:space="preserve"> </w:t>
            </w:r>
            <w:r>
              <w:rPr>
                <w:rFonts w:cs="Arial" w:ascii="Bookman Old Style" w:hAnsi="Bookman Old Style"/>
                <w:b/>
                <w:bCs/>
                <w:i/>
                <w:iCs/>
                <w:color w:val="000000"/>
                <w:sz w:val="20"/>
                <w:szCs w:val="20"/>
              </w:rPr>
              <w:t>-</w:t>
            </w:r>
          </w:p>
        </w:tc>
      </w:tr>
    </w:tbl>
    <w:p>
      <w:pPr>
        <w:pStyle w:val="Normal"/>
        <w:jc w:val="both"/>
        <w:rPr>
          <w:rFonts w:ascii="Bookman Old Style" w:hAnsi="Bookman Old Style"/>
          <w:i/>
          <w:i/>
          <w:iCs/>
          <w:sz w:val="20"/>
          <w:szCs w:val="20"/>
        </w:rPr>
      </w:pPr>
      <w:r>
        <w:rPr>
          <w:rFonts w:ascii="Bookman Old Style" w:hAnsi="Bookman Old Style"/>
          <w:i/>
          <w:iCs/>
          <w:sz w:val="20"/>
          <w:szCs w:val="20"/>
        </w:rPr>
        <w:t>Nota: Los datos del primer y segundo trimestre fueron facilitados por el Subproceso de Estadística, en lo que respecta al tercer trimestre son datos preliminares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Fuente: Elaboración propia, con datos suministrados por el Subproceso de Estadística.</w:t>
      </w:r>
    </w:p>
    <w:p>
      <w:pPr>
        <w:pStyle w:val="Normal"/>
        <w:jc w:val="both"/>
        <w:rPr>
          <w:rFonts w:ascii="Bookman Old Style" w:hAnsi="Bookman Old Style"/>
          <w:i/>
          <w:i/>
          <w:iCs/>
          <w:sz w:val="20"/>
          <w:szCs w:val="20"/>
        </w:rPr>
      </w:pPr>
      <w:r>
        <w:rPr>
          <w:rFonts w:ascii="Bookman Old Style" w:hAnsi="Bookman Old Style"/>
          <w:i/>
          <w:iCs/>
          <w:sz w:val="20"/>
          <w:szCs w:val="20"/>
        </w:rPr>
        <w:t>En análisis de los datos proyectados de la Defensa Pública en materia Agraria, se estima una entrada promedio de 8 asuntos por recurso Defensor Público a nivel nacional; así como, un circulante promedio de 129 asuntos por cada plaza de Defensor.</w:t>
      </w:r>
    </w:p>
    <w:p>
      <w:pPr>
        <w:pStyle w:val="Normal"/>
        <w:jc w:val="both"/>
        <w:rPr>
          <w:rFonts w:ascii="Bookman Old Style" w:hAnsi="Bookman Old Style"/>
          <w:i/>
          <w:i/>
          <w:iCs/>
          <w:sz w:val="20"/>
          <w:szCs w:val="20"/>
        </w:rPr>
      </w:pPr>
      <w:r>
        <w:rPr>
          <w:rFonts w:ascii="Bookman Old Style" w:hAnsi="Bookman Old Style"/>
          <w:i/>
          <w:iCs/>
          <w:sz w:val="20"/>
          <w:szCs w:val="20"/>
        </w:rPr>
        <w:t>De considerar la entrada promedio de 8 asuntos a nivel nacional más el circulante por cada plaza a diciembre de 2018, se estima un circulante proyectado de aproximadamente 137 asuntos por cada recurso Defensor Público; estando por debajo en 43 procesos (24%) de la cuota establecida de 180 asuntos de circulante por cada plaza de Defensora o Defensor Público.</w:t>
      </w:r>
    </w:p>
    <w:p>
      <w:pPr>
        <w:pStyle w:val="Normal"/>
        <w:jc w:val="both"/>
        <w:rPr>
          <w:rFonts w:ascii="Bookman Old Style" w:hAnsi="Bookman Old Style"/>
          <w:b/>
          <w:b/>
          <w:bCs/>
          <w:i/>
          <w:i/>
          <w:iCs/>
          <w:sz w:val="20"/>
          <w:szCs w:val="20"/>
        </w:rPr>
      </w:pPr>
      <w:r>
        <w:rPr>
          <w:rFonts w:ascii="Bookman Old Style" w:hAnsi="Bookman Old Style"/>
          <w:b/>
          <w:bCs/>
          <w:i/>
          <w:iCs/>
          <w:sz w:val="20"/>
          <w:szCs w:val="20"/>
        </w:rPr>
        <w:t>En consideración de la carga de trabajo de los recursos defensores a nivel nacional, se estima conveniente mantener la recomendación planteada en el informe 634-PLA-RH-MI-2019 donde se establece que las plazas de Agrario asuman como carga ordinaria aquellos asuntos en materia Contenciosa Administrativa donde figure como parte actora o demandada una o más personas indígenas. Tal y como lo recomendó la Dirección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Atención de asuntos de Pensión Alimentaria</w:t>
      </w:r>
    </w:p>
    <w:p>
      <w:pPr>
        <w:pStyle w:val="Normal"/>
        <w:jc w:val="both"/>
        <w:rPr>
          <w:rFonts w:ascii="Bookman Old Style" w:hAnsi="Bookman Old Style"/>
          <w:i/>
          <w:i/>
          <w:iCs/>
          <w:sz w:val="20"/>
          <w:szCs w:val="20"/>
        </w:rPr>
      </w:pPr>
      <w:r>
        <w:rPr>
          <w:rFonts w:ascii="Bookman Old Style" w:hAnsi="Bookman Old Style"/>
          <w:i/>
          <w:iCs/>
          <w:sz w:val="20"/>
          <w:szCs w:val="20"/>
        </w:rPr>
        <w:t>Con el fin de establecer las Defensa Públicas del país con mayor afluencia de personas indígenas en materia de pensiones alimentarias, se adjunta el siguiente gráfico:</w:t>
      </w:r>
    </w:p>
    <w:p>
      <w:pPr>
        <w:pStyle w:val="Caption"/>
        <w:keepNext w:val="true"/>
        <w:spacing w:before="240" w:after="0"/>
        <w:rPr>
          <w:rFonts w:ascii="Bookman Old Style" w:hAnsi="Bookman Old Style"/>
          <w:i/>
          <w:i/>
          <w:iCs/>
        </w:rPr>
      </w:pPr>
      <w:r>
        <w:rPr>
          <w:rFonts w:ascii="Bookman Old Style" w:hAnsi="Bookman Old Style"/>
          <w:i/>
          <w:iCs/>
        </w:rPr>
        <w:t xml:space="preserve">Figura </w:t>
      </w:r>
      <w:r>
        <w:rPr>
          <w:rFonts w:ascii="Bookman Old Style" w:hAnsi="Bookman Old Style"/>
          <w:i/>
          <w:iCs/>
        </w:rPr>
        <w:fldChar w:fldCharType="begin"/>
      </w:r>
      <w:r>
        <w:rPr>
          <w:i/>
          <w:iCs/>
          <w:rFonts w:ascii="Bookman Old Style" w:hAnsi="Bookman Old Style"/>
        </w:rPr>
        <w:instrText> SEQ Figura \* ARABIC </w:instrText>
      </w:r>
      <w:r>
        <w:rPr>
          <w:i/>
          <w:iCs/>
          <w:rFonts w:ascii="Bookman Old Style" w:hAnsi="Bookman Old Style"/>
        </w:rPr>
        <w:fldChar w:fldCharType="separate"/>
      </w:r>
      <w:r>
        <w:rPr>
          <w:i/>
          <w:iCs/>
          <w:rFonts w:ascii="Bookman Old Style" w:hAnsi="Bookman Old Style"/>
        </w:rPr>
        <w:t>8</w:t>
      </w:r>
      <w:r>
        <w:rPr>
          <w:i/>
          <w:iCs/>
          <w:rFonts w:ascii="Bookman Old Style" w:hAnsi="Bookman Old Style"/>
        </w:rPr>
        <w:fldChar w:fldCharType="end"/>
      </w:r>
      <w:r>
        <w:rPr>
          <w:rFonts w:ascii="Bookman Old Style" w:hAnsi="Bookman Old Style"/>
          <w:i/>
          <w:iCs/>
        </w:rPr>
        <w:t xml:space="preserve"> Cantidad de asuntos en trámite de Pensiones Alimentarias con uno o varios intervinientes de población indígena, por ofídica de la Defensa Pública al 30 de setiembre de 2019</w:t>
      </w:r>
    </w:p>
    <w:p>
      <w:pPr>
        <w:pStyle w:val="Normal"/>
        <w:jc w:val="both"/>
        <w:rPr>
          <w:rFonts w:ascii="Bookman Old Style" w:hAnsi="Bookman Old Style" w:cs="Arial"/>
          <w:i/>
          <w:i/>
          <w:iCs/>
          <w:sz w:val="20"/>
          <w:szCs w:val="20"/>
        </w:rPr>
      </w:pPr>
      <w:r>
        <w:rPr/>
        <w:drawing>
          <wp:inline distT="0" distB="0" distL="0" distR="0">
            <wp:extent cx="5700395" cy="3384550"/>
            <wp:effectExtent l="0" t="0" r="0" b="0"/>
            <wp:docPr id="14"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8" descr=""/>
                    <pic:cNvPicPr>
                      <a:picLocks noChangeAspect="1" noChangeArrowheads="1"/>
                    </pic:cNvPicPr>
                  </pic:nvPicPr>
                  <pic:blipFill>
                    <a:blip r:embed="rId15"/>
                    <a:srcRect l="1109" t="21959" r="1491" b="5412"/>
                    <a:stretch>
                      <a:fillRect/>
                    </a:stretch>
                  </pic:blipFill>
                  <pic:spPr bwMode="auto">
                    <a:xfrm>
                      <a:off x="0" y="0"/>
                      <a:ext cx="5700395" cy="3384550"/>
                    </a:xfrm>
                    <a:prstGeom prst="rect">
                      <a:avLst/>
                    </a:prstGeom>
                  </pic:spPr>
                </pic:pic>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 xml:space="preserve">Al tercer trimestre del 2019 existían 306 asuntos en trámite en la Defensa Pública, en los que figuraba una o varias personas pertenecientes a poblaciones indígenas, del total de asuntos un 68% esta centralizado en las oficinas de Bribri y Buenos Aires, con un 34% cada una; seguidos de Pérez Zeledón con un 7% y Limón con un 6%. </w:t>
      </w:r>
    </w:p>
    <w:p>
      <w:pPr>
        <w:pStyle w:val="Normal"/>
        <w:jc w:val="both"/>
        <w:rPr>
          <w:rFonts w:ascii="Bookman Old Style" w:hAnsi="Bookman Old Style"/>
          <w:i/>
          <w:i/>
          <w:iCs/>
          <w:sz w:val="20"/>
          <w:szCs w:val="20"/>
        </w:rPr>
      </w:pPr>
      <w:r>
        <w:rPr>
          <w:rFonts w:ascii="Bookman Old Style" w:hAnsi="Bookman Old Style"/>
          <w:i/>
          <w:iCs/>
          <w:sz w:val="20"/>
          <w:szCs w:val="20"/>
        </w:rPr>
        <w:t>De tal modo, es posible determinar que los asuntos en trámite en Bribri y Buenos Aires de forma separada, superan en un 80% a los casos en trámite en la Defensa Pública con el tercer lugar, en materia de Pensiones Alimentarias.</w:t>
      </w:r>
    </w:p>
    <w:p>
      <w:pPr>
        <w:pStyle w:val="Normal"/>
        <w:jc w:val="both"/>
        <w:rPr>
          <w:rFonts w:ascii="Bookman Old Style" w:hAnsi="Bookman Old Style"/>
          <w:i/>
          <w:i/>
          <w:iCs/>
          <w:sz w:val="20"/>
          <w:szCs w:val="20"/>
        </w:rPr>
      </w:pPr>
      <w:r>
        <w:rPr>
          <w:rFonts w:ascii="Bookman Old Style" w:hAnsi="Bookman Old Style"/>
          <w:i/>
          <w:iCs/>
          <w:sz w:val="20"/>
          <w:szCs w:val="20"/>
        </w:rPr>
        <w:t>Por otro lado, tomando como insumo lo establecido en la tabla 1 del presente informe, donde se determinó que la relación de asuntos entrados e intervinientes en Pensiones Alimentarias es de uno a uno; seguidamente, se procede a analizar los asuntos en trámite por cantidad de personas indígenas.</w:t>
      </w:r>
    </w:p>
    <w:p>
      <w:pPr>
        <w:pStyle w:val="Caption"/>
        <w:keepNext w:val="true"/>
        <w:spacing w:before="240" w:after="0"/>
        <w:rPr>
          <w:rFonts w:ascii="Bookman Old Style" w:hAnsi="Bookman Old Style"/>
          <w:i/>
          <w:i/>
          <w:iCs/>
        </w:rPr>
      </w:pPr>
      <w:r>
        <w:rPr>
          <w:rFonts w:ascii="Bookman Old Style" w:hAnsi="Bookman Old Style"/>
          <w:i/>
          <w:iCs/>
        </w:rPr>
        <w:t xml:space="preserve">Figura </w:t>
      </w:r>
      <w:r>
        <w:rPr>
          <w:rFonts w:ascii="Bookman Old Style" w:hAnsi="Bookman Old Style"/>
          <w:i/>
          <w:iCs/>
        </w:rPr>
        <w:fldChar w:fldCharType="begin"/>
      </w:r>
      <w:r>
        <w:rPr>
          <w:i/>
          <w:iCs/>
          <w:rFonts w:ascii="Bookman Old Style" w:hAnsi="Bookman Old Style"/>
        </w:rPr>
        <w:instrText> SEQ Figura \* ARABIC </w:instrText>
      </w:r>
      <w:r>
        <w:rPr>
          <w:i/>
          <w:iCs/>
          <w:rFonts w:ascii="Bookman Old Style" w:hAnsi="Bookman Old Style"/>
        </w:rPr>
        <w:fldChar w:fldCharType="separate"/>
      </w:r>
      <w:r>
        <w:rPr>
          <w:i/>
          <w:iCs/>
          <w:rFonts w:ascii="Bookman Old Style" w:hAnsi="Bookman Old Style"/>
        </w:rPr>
        <w:t>9</w:t>
      </w:r>
      <w:r>
        <w:rPr>
          <w:i/>
          <w:iCs/>
          <w:rFonts w:ascii="Bookman Old Style" w:hAnsi="Bookman Old Style"/>
        </w:rPr>
        <w:fldChar w:fldCharType="end"/>
      </w:r>
      <w:r>
        <w:rPr>
          <w:rFonts w:ascii="Bookman Old Style" w:hAnsi="Bookman Old Style"/>
          <w:i/>
          <w:iCs/>
        </w:rPr>
        <w:t xml:space="preserve"> Cantidad de asuntos con interviniente persona usuaria indígena ingresados en materia de Pensiones Alimentarias, de octubre 2018 a setiembre 2019</w:t>
      </w:r>
    </w:p>
    <w:p>
      <w:pPr>
        <w:pStyle w:val="Normal"/>
        <w:jc w:val="both"/>
        <w:rPr>
          <w:rFonts w:ascii="Bookman Old Style" w:hAnsi="Bookman Old Style"/>
          <w:i/>
          <w:i/>
          <w:iCs/>
          <w:sz w:val="20"/>
          <w:szCs w:val="20"/>
        </w:rPr>
      </w:pPr>
      <w:r>
        <w:rPr/>
        <w:drawing>
          <wp:inline distT="0" distB="0" distL="0" distR="0">
            <wp:extent cx="5546090" cy="4144645"/>
            <wp:effectExtent l="0" t="0" r="0" b="0"/>
            <wp:docPr id="15"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 descr=""/>
                    <pic:cNvPicPr>
                      <a:picLocks noChangeAspect="1" noChangeArrowheads="1"/>
                    </pic:cNvPicPr>
                  </pic:nvPicPr>
                  <pic:blipFill>
                    <a:blip r:embed="rId16"/>
                    <a:srcRect l="7440" t="15745" r="2032" b="4749"/>
                    <a:stretch>
                      <a:fillRect/>
                    </a:stretch>
                  </pic:blipFill>
                  <pic:spPr bwMode="auto">
                    <a:xfrm>
                      <a:off x="0" y="0"/>
                      <a:ext cx="5546090" cy="4144645"/>
                    </a:xfrm>
                    <a:prstGeom prst="rect">
                      <a:avLst/>
                    </a:prstGeom>
                  </pic:spPr>
                </pic:pic>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Del gráfico anterior, se señalan las siguientes conclusiones como principales:</w:t>
      </w:r>
    </w:p>
    <w:p>
      <w:pPr>
        <w:pStyle w:val="Normal"/>
        <w:numPr>
          <w:ilvl w:val="0"/>
          <w:numId w:val="17"/>
        </w:numPr>
        <w:spacing w:before="240" w:after="240"/>
        <w:ind w:left="714" w:hanging="357"/>
        <w:jc w:val="both"/>
        <w:rPr>
          <w:rFonts w:ascii="Bookman Old Style" w:hAnsi="Bookman Old Style"/>
          <w:i/>
          <w:i/>
          <w:iCs/>
          <w:sz w:val="20"/>
          <w:szCs w:val="20"/>
        </w:rPr>
      </w:pPr>
      <w:r>
        <w:rPr>
          <w:rFonts w:ascii="Bookman Old Style" w:hAnsi="Bookman Old Style"/>
          <w:i/>
          <w:iCs/>
          <w:sz w:val="20"/>
          <w:szCs w:val="20"/>
        </w:rPr>
        <w:t>De las 19 defensas públicas en las que ingresaron asuntos con intervinientes indígenas, se vislumbra que el 83% de los asuntos ingresan en 6 oficinas, encabezadas por Bribri con 163 (37%) asuntos y Buenos Aires con 72 (16%), luego Turrialba y Pérez Zeledón con 35 (8%) cada una; y finalmente, Limón con 32 (7%) y Coto Brus con 28 (6%) asuntos. El restante 17% de los asuntos ingresados está distribuido en las otras 13 oficinas.</w:t>
      </w:r>
    </w:p>
    <w:p>
      <w:pPr>
        <w:pStyle w:val="Normal"/>
        <w:numPr>
          <w:ilvl w:val="0"/>
          <w:numId w:val="17"/>
        </w:numPr>
        <w:spacing w:before="240" w:after="240"/>
        <w:ind w:left="714" w:hanging="357"/>
        <w:jc w:val="both"/>
        <w:rPr>
          <w:rFonts w:ascii="Bookman Old Style" w:hAnsi="Bookman Old Style"/>
          <w:i/>
          <w:i/>
          <w:iCs/>
          <w:sz w:val="20"/>
          <w:szCs w:val="20"/>
        </w:rPr>
      </w:pPr>
      <w:r>
        <w:rPr>
          <w:rFonts w:ascii="Bookman Old Style" w:hAnsi="Bookman Old Style"/>
          <w:i/>
          <w:iCs/>
          <w:sz w:val="20"/>
          <w:szCs w:val="20"/>
        </w:rPr>
        <w:t>En Bribri ingresaron más del doble de asuntos que en Buenos Aires y más del cuádruple de asuntos que en Turrialba y Pérez Zeledón.</w:t>
      </w:r>
    </w:p>
    <w:p>
      <w:pPr>
        <w:pStyle w:val="Normal"/>
        <w:numPr>
          <w:ilvl w:val="0"/>
          <w:numId w:val="17"/>
        </w:numPr>
        <w:spacing w:before="240" w:after="240"/>
        <w:ind w:left="714" w:hanging="357"/>
        <w:jc w:val="both"/>
        <w:rPr>
          <w:rFonts w:ascii="Bookman Old Style" w:hAnsi="Bookman Old Style"/>
          <w:i/>
          <w:i/>
          <w:iCs/>
          <w:sz w:val="20"/>
          <w:szCs w:val="20"/>
        </w:rPr>
      </w:pPr>
      <w:r>
        <w:rPr>
          <w:rFonts w:ascii="Bookman Old Style" w:hAnsi="Bookman Old Style"/>
          <w:i/>
          <w:iCs/>
          <w:sz w:val="20"/>
          <w:szCs w:val="20"/>
        </w:rPr>
        <w:t>En Buenos Aires se atendieron el doble de asuntos que en las oficinas de Turrialba y Pérez Zeledón.</w:t>
      </w:r>
    </w:p>
    <w:p>
      <w:pPr>
        <w:pStyle w:val="Normal"/>
        <w:numPr>
          <w:ilvl w:val="0"/>
          <w:numId w:val="17"/>
        </w:numPr>
        <w:spacing w:before="240" w:after="240"/>
        <w:ind w:left="714" w:hanging="357"/>
        <w:jc w:val="both"/>
        <w:rPr>
          <w:rFonts w:ascii="Bookman Old Style" w:hAnsi="Bookman Old Style"/>
          <w:i/>
          <w:i/>
          <w:iCs/>
          <w:sz w:val="20"/>
          <w:szCs w:val="20"/>
        </w:rPr>
      </w:pPr>
      <w:r>
        <w:rPr>
          <w:rFonts w:ascii="Bookman Old Style" w:hAnsi="Bookman Old Style"/>
          <w:i/>
          <w:iCs/>
          <w:sz w:val="20"/>
          <w:szCs w:val="20"/>
        </w:rPr>
        <w:t>Los datos estadísticos de la Defensa Pública poseen una concordancia lógica con la información tomada del INEC, en relación a la densidad de población indígena según territorio.</w:t>
      </w:r>
    </w:p>
    <w:p>
      <w:pPr>
        <w:pStyle w:val="Normal"/>
        <w:jc w:val="both"/>
        <w:rPr>
          <w:rFonts w:ascii="Bookman Old Style" w:hAnsi="Bookman Old Style"/>
          <w:i/>
          <w:i/>
          <w:iCs/>
          <w:sz w:val="20"/>
          <w:szCs w:val="20"/>
        </w:rPr>
      </w:pPr>
      <w:r>
        <w:rPr>
          <w:rFonts w:ascii="Bookman Old Style" w:hAnsi="Bookman Old Style"/>
          <w:i/>
          <w:iCs/>
          <w:sz w:val="20"/>
          <w:szCs w:val="20"/>
        </w:rPr>
        <w:t>Por otro lado, anteriormente se le consultó a la Licda. Sandra Mora Venegas, Supervisora en Pensiones Alimentarias de la Defensa Pública, sobre la estructura funcional para la atención de pensiones alimentarias de las oficinas de Bribri y Buenos Aires, manifestando:</w:t>
      </w:r>
    </w:p>
    <w:p>
      <w:pPr>
        <w:pStyle w:val="Ttulo3"/>
        <w:keepLines w:val="false"/>
        <w:numPr>
          <w:ilvl w:val="0"/>
          <w:numId w:val="37"/>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Defensa Pública de Buenos Aires:</w:t>
      </w:r>
    </w:p>
    <w:p>
      <w:pPr>
        <w:pStyle w:val="Normal"/>
        <w:jc w:val="both"/>
        <w:rPr>
          <w:rFonts w:ascii="Bookman Old Style" w:hAnsi="Bookman Old Style"/>
          <w:i/>
          <w:i/>
          <w:iCs/>
          <w:sz w:val="20"/>
          <w:szCs w:val="20"/>
        </w:rPr>
      </w:pPr>
      <w:r>
        <w:rPr>
          <w:rFonts w:ascii="Bookman Old Style" w:hAnsi="Bookman Old Style"/>
          <w:i/>
          <w:iCs/>
          <w:sz w:val="20"/>
          <w:szCs w:val="20"/>
        </w:rPr>
        <w:t xml:space="preserve">Una plaza de Defensor Público de la Oficina de Pérez Zeledón, se desplaza los martes y miércoles a la zona de Buenos Aires, para atender los asuntos en materia de Pensión Alimentaria. El tiempo de traslado de ida y regreso entre una Oficina a otra es de aproximadamente de dos horas. </w:t>
      </w:r>
    </w:p>
    <w:p>
      <w:pPr>
        <w:pStyle w:val="Ttulo3"/>
        <w:keepLines w:val="false"/>
        <w:numPr>
          <w:ilvl w:val="0"/>
          <w:numId w:val="38"/>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Defensa Pública de Bribrí</w:t>
      </w:r>
    </w:p>
    <w:p>
      <w:pPr>
        <w:pStyle w:val="Normal"/>
        <w:jc w:val="both"/>
        <w:rPr>
          <w:rFonts w:ascii="Bookman Old Style" w:hAnsi="Bookman Old Style"/>
          <w:i/>
          <w:i/>
          <w:iCs/>
          <w:sz w:val="20"/>
          <w:szCs w:val="20"/>
        </w:rPr>
      </w:pPr>
      <w:r>
        <w:rPr>
          <w:rFonts w:ascii="Bookman Old Style" w:hAnsi="Bookman Old Style"/>
          <w:i/>
          <w:iCs/>
          <w:sz w:val="20"/>
          <w:szCs w:val="20"/>
        </w:rPr>
        <w:t>Cuenta con una plaza de Defensor Público para la atención de Pensiones Alimentarias. En los casos donde figure una persona indígena como parte demandada, son atendidos por una plaza de Defensor Público de Limón los miércoles de cada semana.</w:t>
      </w:r>
    </w:p>
    <w:p>
      <w:pPr>
        <w:pStyle w:val="Normal"/>
        <w:jc w:val="both"/>
        <w:rPr>
          <w:rFonts w:ascii="Bookman Old Style" w:hAnsi="Bookman Old Style"/>
          <w:i/>
          <w:i/>
          <w:iCs/>
          <w:sz w:val="20"/>
          <w:szCs w:val="20"/>
        </w:rPr>
      </w:pPr>
      <w:r>
        <w:rPr>
          <w:rFonts w:ascii="Bookman Old Style" w:hAnsi="Bookman Old Style"/>
          <w:i/>
          <w:iCs/>
          <w:sz w:val="20"/>
          <w:szCs w:val="20"/>
        </w:rPr>
        <w:t>Aunado a lo anterior, es relevante resaltar que la Defensa Pública de Limón, a parte de la colaboración facilitada a Bribrí; además, colabora con un recurso de Defensor Público cada 15 días para asistir el Valle de la Estrella, y con otro recurso se apoya en la toma de demanda de la Defensa Pública de Matina los lunes de cada semana.</w:t>
      </w:r>
    </w:p>
    <w:p>
      <w:pPr>
        <w:pStyle w:val="Normal"/>
        <w:jc w:val="both"/>
        <w:rPr>
          <w:rFonts w:ascii="Bookman Old Style" w:hAnsi="Bookman Old Style"/>
          <w:i/>
          <w:i/>
          <w:iCs/>
          <w:sz w:val="20"/>
          <w:szCs w:val="20"/>
        </w:rPr>
      </w:pPr>
      <w:r>
        <w:rPr>
          <w:rFonts w:ascii="Bookman Old Style" w:hAnsi="Bookman Old Style"/>
          <w:i/>
          <w:iCs/>
          <w:sz w:val="20"/>
          <w:szCs w:val="20"/>
        </w:rPr>
        <w:t>Seguidamente se adjunta un cuadro donde se analiza la carga ordinaria de trabajo según los asuntos en trámite y entrados en relación con la cantidad de recurso defensor que hay actualmente en las oficinas de Buenos Aires y Bribri  (ver apéndice 2), así como, el escenario aprobado por el Consejo Superior propuesto en el informe 634-PLA-RH-MI-2019.</w:t>
      </w:r>
    </w:p>
    <w:p>
      <w:pPr>
        <w:pStyle w:val="Caption"/>
        <w:keepNext w:val="true"/>
        <w:rPr>
          <w:rFonts w:ascii="Bookman Old Style" w:hAnsi="Bookman Old Style"/>
          <w:i/>
          <w:i/>
          <w:iCs/>
        </w:rPr>
      </w:pPr>
      <w:r>
        <w:rPr>
          <w:rFonts w:ascii="Bookman Old Style" w:hAnsi="Bookman Old Style"/>
          <w:i/>
          <w:iCs/>
        </w:rPr>
        <w:t xml:space="preserve">Tabla </w:t>
      </w:r>
      <w:r>
        <w:rPr>
          <w:rFonts w:ascii="Bookman Old Style" w:hAnsi="Bookman Old Style"/>
          <w:i/>
          <w:iCs/>
        </w:rPr>
        <w:fldChar w:fldCharType="begin"/>
      </w:r>
      <w:r>
        <w:rPr>
          <w:i/>
          <w:iCs/>
          <w:rFonts w:ascii="Bookman Old Style" w:hAnsi="Bookman Old Style"/>
        </w:rPr>
        <w:instrText> SEQ Tabla \* ARABIC </w:instrText>
      </w:r>
      <w:r>
        <w:rPr>
          <w:i/>
          <w:iCs/>
          <w:rFonts w:ascii="Bookman Old Style" w:hAnsi="Bookman Old Style"/>
        </w:rPr>
        <w:fldChar w:fldCharType="separate"/>
      </w:r>
      <w:r>
        <w:rPr>
          <w:i/>
          <w:iCs/>
          <w:rFonts w:ascii="Bookman Old Style" w:hAnsi="Bookman Old Style"/>
        </w:rPr>
        <w:t>8</w:t>
      </w:r>
      <w:r>
        <w:rPr>
          <w:i/>
          <w:iCs/>
          <w:rFonts w:ascii="Bookman Old Style" w:hAnsi="Bookman Old Style"/>
        </w:rPr>
        <w:fldChar w:fldCharType="end"/>
      </w:r>
      <w:r>
        <w:rPr>
          <w:rFonts w:ascii="Bookman Old Style" w:hAnsi="Bookman Old Style"/>
          <w:i/>
          <w:iCs/>
        </w:rPr>
        <w:t xml:space="preserve"> Carga de trabajo estimada en asuntos de población indígena, según relación de entrada de octubre 2018 a setiembre 2019 (12 meses) y el circulante activo al cierre de setiembre 2019</w:t>
      </w:r>
    </w:p>
    <w:p>
      <w:pPr>
        <w:pStyle w:val="Normal"/>
        <w:jc w:val="both"/>
        <w:rPr>
          <w:rFonts w:ascii="Bookman Old Style" w:hAnsi="Bookman Old Style" w:cs="Arial"/>
          <w:i/>
          <w:i/>
          <w:iCs/>
          <w:sz w:val="20"/>
          <w:szCs w:val="20"/>
        </w:rPr>
      </w:pPr>
      <w:r>
        <w:rPr/>
        <w:drawing>
          <wp:inline distT="0" distB="0" distL="0" distR="0">
            <wp:extent cx="6044565" cy="1650365"/>
            <wp:effectExtent l="0" t="0" r="0" b="0"/>
            <wp:docPr id="16"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0" descr=""/>
                    <pic:cNvPicPr>
                      <a:picLocks noChangeAspect="1" noChangeArrowheads="1"/>
                    </pic:cNvPicPr>
                  </pic:nvPicPr>
                  <pic:blipFill>
                    <a:blip r:embed="rId17"/>
                    <a:srcRect l="0" t="14032" r="0" b="7339"/>
                    <a:stretch>
                      <a:fillRect/>
                    </a:stretch>
                  </pic:blipFill>
                  <pic:spPr bwMode="auto">
                    <a:xfrm>
                      <a:off x="0" y="0"/>
                      <a:ext cx="6044565" cy="1650365"/>
                    </a:xfrm>
                    <a:prstGeom prst="rect">
                      <a:avLst/>
                    </a:prstGeom>
                  </pic:spPr>
                </pic:pic>
              </a:graphicData>
            </a:graphic>
          </wp:inline>
        </w:drawing>
      </w:r>
    </w:p>
    <w:p>
      <w:pPr>
        <w:pStyle w:val="Normal"/>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Subproceso de Modernización Institucional, de la Dirección de Planificación con datos facilitados por la Administración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En virtud del cuadro anterior, se proyecta que en el escenario propuesto el circulante mensual por persona defensora en Buenos Aires rondará los 109 asunto, donde 103 asuntos corresponderán el circulante y alrededor de 6 asuntos ingresarían mensualmente. En el caso de Bribri, se estima que el circulante mensual por persona defensora será de 59 asuntos, de los cuales 52 corresponderán a circulante y 7 a la entrada mensual.</w:t>
      </w:r>
    </w:p>
    <w:p>
      <w:pPr>
        <w:pStyle w:val="Normal"/>
        <w:jc w:val="both"/>
        <w:rPr>
          <w:rFonts w:ascii="Bookman Old Style" w:hAnsi="Bookman Old Style"/>
          <w:i/>
          <w:i/>
          <w:iCs/>
          <w:sz w:val="20"/>
          <w:szCs w:val="20"/>
        </w:rPr>
      </w:pPr>
      <w:r>
        <w:rPr>
          <w:rFonts w:ascii="Bookman Old Style" w:hAnsi="Bookman Old Style"/>
          <w:i/>
          <w:iCs/>
          <w:sz w:val="20"/>
          <w:szCs w:val="20"/>
        </w:rPr>
        <w:t>Ahora bien, según los datos estadísticos del primer semestre del 2019, es importante destacar que la plaza de persona defensora en Bribri para atención de materia de Pensiones Alimentarias posee un promedio mensual de casos entrados totales de 30 asuntos y la plaza de que da apoyo en Buenos Aires tiene una entrada mensual promedio total de 19 asuntos.</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En consecuencia, resulta importante resaltar y mantener los aspectos planteados en el informe 634-PLA-RH-MI-2019, en lo que respecta a la estructura funcional que deberán seguir para un máximo aprovechamiento del recurso:</w:t>
      </w:r>
    </w:p>
    <w:p>
      <w:pPr>
        <w:pStyle w:val="Normal"/>
        <w:numPr>
          <w:ilvl w:val="0"/>
          <w:numId w:val="19"/>
        </w:numPr>
        <w:spacing w:before="240" w:after="240"/>
        <w:jc w:val="both"/>
        <w:rPr>
          <w:rFonts w:ascii="Bookman Old Style" w:hAnsi="Bookman Old Style"/>
          <w:i/>
          <w:i/>
          <w:iCs/>
          <w:sz w:val="20"/>
          <w:szCs w:val="20"/>
        </w:rPr>
      </w:pPr>
      <w:r>
        <w:rPr>
          <w:rFonts w:ascii="Bookman Old Style" w:hAnsi="Bookman Old Style"/>
          <w:i/>
          <w:iCs/>
          <w:sz w:val="20"/>
          <w:szCs w:val="20"/>
        </w:rPr>
        <w:t>Que la Jefatura de la Defensa Pública mantenga la colaboración que presta actualmente por medio una plaza de Defensor Público proveniente de la Oficina de Pérez Zeledón para la atención de intereses contrapuestos en Buenos Aires. La Defensa Pública de Bribri, en caso de aprobarse el contenido presupuestario contará con dos plazas de Pensión Alimentaria, tendrá la capacidad de atender los asuntos de intereses contrapuestos; de manera que la plaza de la Defensa Pública de Limón, que brinda la colaboración los miércoles de cada semana, se podrá avocar a asuntos propios de la Oficina de Limón.</w:t>
      </w:r>
    </w:p>
    <w:p>
      <w:pPr>
        <w:pStyle w:val="ListParagraph"/>
        <w:jc w:val="both"/>
        <w:rPr>
          <w:rFonts w:ascii="Bookman Old Style" w:hAnsi="Bookman Old Style"/>
          <w:i/>
          <w:i/>
          <w:iCs/>
          <w:sz w:val="20"/>
        </w:rPr>
      </w:pPr>
      <w:r>
        <w:rPr>
          <w:rFonts w:eastAsia="Calibri" w:ascii="Bookman Old Style" w:hAnsi="Bookman Old Style"/>
          <w:i/>
          <w:iCs/>
          <w:sz w:val="20"/>
          <w:lang w:val="es-CR" w:eastAsia="en-US"/>
        </w:rPr>
        <w:t>En razón a lo expuesto, y en consideración de factores cualitativos tales como, la calidad de atención a partir de un acceso de justicia efectivo, y reconocer las necesidades de atención diferenciada, se propone establecer una plaza de Defensor Público con la modalidad a tiempo completo, el cual se estima que tendrá una entrada mensual de 7 asuntos de Pensión Alimentaria; además, deberá asumir la competencia de asuntos en materia de Familia.</w:t>
      </w:r>
    </w:p>
    <w:p>
      <w:pPr>
        <w:pStyle w:val="Normal"/>
        <w:numPr>
          <w:ilvl w:val="0"/>
          <w:numId w:val="19"/>
        </w:numPr>
        <w:spacing w:before="240" w:after="240"/>
        <w:jc w:val="both"/>
        <w:rPr>
          <w:rFonts w:ascii="Bookman Old Style" w:hAnsi="Bookman Old Style"/>
          <w:i/>
          <w:i/>
          <w:iCs/>
          <w:sz w:val="20"/>
          <w:szCs w:val="20"/>
        </w:rPr>
      </w:pPr>
      <w:r>
        <w:rPr>
          <w:rFonts w:ascii="Bookman Old Style" w:hAnsi="Bookman Old Style"/>
          <w:i/>
          <w:iCs/>
          <w:sz w:val="20"/>
          <w:szCs w:val="20"/>
        </w:rPr>
        <w:t>En el caso de que la carga de trabajo este por debajo de su capacidad instalada , para las personas defensoras públicas asignadas a la atención de pensión Alimentaria de las Oficinas de Bribrí y Buenos Aires, se le asignen asuntos de materia Penal; siempre, en el entendido de que será predomina este la atención de asuntos de Pensión Alimentaria.</w:t>
      </w:r>
    </w:p>
    <w:p>
      <w:pPr>
        <w:pStyle w:val="Normal"/>
        <w:numPr>
          <w:ilvl w:val="0"/>
          <w:numId w:val="19"/>
        </w:numPr>
        <w:spacing w:before="240" w:after="240"/>
        <w:jc w:val="both"/>
        <w:rPr>
          <w:rFonts w:ascii="Bookman Old Style" w:hAnsi="Bookman Old Style"/>
          <w:i/>
          <w:i/>
          <w:iCs/>
          <w:sz w:val="20"/>
          <w:szCs w:val="20"/>
        </w:rPr>
      </w:pPr>
      <w:r>
        <w:rPr>
          <w:rFonts w:ascii="Bookman Old Style" w:hAnsi="Bookman Old Style"/>
          <w:i/>
          <w:iCs/>
          <w:sz w:val="20"/>
          <w:szCs w:val="20"/>
        </w:rPr>
        <w:t>Mantener la dinámica planteada por la Dirección de la Defensa Pública, a partir de la promulgación de la Ley 9593 de Acceso a la Justicia de los Pueblos Indígenas, donde los asuntos en materia de Familia forman parte del circulante de la Unidad de la Defensa Pública que atiende Pensiones Alimentarias, y en materia de Violencia Doméstica pasan hacer parte del circulante de la Unidad de la Defensa Pública que atiende Penal.</w:t>
      </w:r>
    </w:p>
    <w:p>
      <w:pPr>
        <w:pStyle w:val="ListParagraph"/>
        <w:numPr>
          <w:ilvl w:val="0"/>
          <w:numId w:val="19"/>
        </w:numPr>
        <w:spacing w:before="240" w:after="0"/>
        <w:ind w:left="714" w:hanging="357"/>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Por otro lado, en lo referente a materia contravencional, según los datos estadísticos suministrados por la Defensa Pública, en la oficina de Bribri al 30 de setiembre de 2019 existían 3 asuntos que contaban con intervinientes indígenas, lo que representa un 1% del circulante (276) que poseía el Juzgado Contravencional de Bribri al finalizar el tercer trimestre de 2019. En lo referente a la oficina de la Defensa Pública de Buenos Aires el circulante correspondía a 43 asuntos, lo que representa un 7% en relación con el circulante (650) que posee el Juzgado Contravencional de Buenos Aires al 30 de setiembre de 2019.</w:t>
      </w:r>
    </w:p>
    <w:p>
      <w:pPr>
        <w:pStyle w:val="Normal"/>
        <w:jc w:val="both"/>
        <w:rPr>
          <w:rFonts w:ascii="Bookman Old Style" w:hAnsi="Bookman Old Style"/>
          <w:i/>
          <w:i/>
          <w:iCs/>
          <w:sz w:val="20"/>
          <w:szCs w:val="20"/>
        </w:rPr>
      </w:pPr>
      <w:r>
        <w:rPr>
          <w:rFonts w:ascii="Bookman Old Style" w:hAnsi="Bookman Old Style"/>
          <w:i/>
          <w:iCs/>
          <w:sz w:val="20"/>
          <w:szCs w:val="20"/>
        </w:rPr>
        <w:t>Lo anterior sustentado en que para el 2018 el 85% del circulante activo en Pensiones Alimentarias con interviniente indígena se encontraba en las oficinas de Bribri y Buenos Aires, y para el tercer trimestre del 2019 este dato corresponde a un 70% distribuido en 36% para Bribri y 34% para Buenos Aires, mostrando que si bien es cierto el porcentaje disminuyó contra el año anterior, la tendencia es la misma; ya que, el restante 30% del circulante se diluye entre 15 oficinas.</w:t>
      </w:r>
      <w:r>
        <w:br w:type="page"/>
      </w:r>
    </w:p>
    <w:p>
      <w:pPr>
        <w:pStyle w:val="Ttulo2"/>
        <w:keepLines w:val="false"/>
        <w:numPr>
          <w:ilvl w:val="1"/>
          <w:numId w:val="7"/>
        </w:numPr>
        <w:spacing w:before="0" w:after="240"/>
        <w:jc w:val="both"/>
        <w:rPr>
          <w:rFonts w:ascii="Bookman Old Style" w:hAnsi="Bookman Old Style"/>
          <w:i/>
          <w:i/>
          <w:iCs/>
          <w:sz w:val="20"/>
          <w:szCs w:val="20"/>
        </w:rPr>
      </w:pPr>
      <w:r>
        <w:rPr>
          <w:rFonts w:ascii="Bookman Old Style" w:hAnsi="Bookman Old Style"/>
          <w:i/>
          <w:iCs/>
          <w:sz w:val="20"/>
          <w:szCs w:val="20"/>
        </w:rPr>
        <w:t xml:space="preserve">Seguimiento a las recomendaciones emitidas en el informe 634-PLA-RH-MI-2019 de la Dirección de Planificación </w:t>
      </w:r>
    </w:p>
    <w:p>
      <w:pPr>
        <w:pStyle w:val="Normal"/>
        <w:jc w:val="both"/>
        <w:rPr>
          <w:rFonts w:ascii="Bookman Old Style" w:hAnsi="Bookman Old Style"/>
          <w:i/>
          <w:i/>
          <w:iCs/>
          <w:sz w:val="20"/>
          <w:szCs w:val="20"/>
        </w:rPr>
      </w:pPr>
      <w:r>
        <w:rPr>
          <w:rFonts w:ascii="Bookman Old Style" w:hAnsi="Bookman Old Style"/>
          <w:i/>
          <w:iCs/>
          <w:sz w:val="20"/>
          <w:szCs w:val="20"/>
        </w:rPr>
        <w:t>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y remite a la Dirección de Gestión Humana el acuerdo tomado donde se aprueba cambiar a condición ordinaria siete plazas extraordinarias de Defensora o Defensor Público que mantiene asignada la Unidad Agraria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Además, mediante la minuta 29-PLA-MNTA-2020 del 03 de febrero del 2020, la Sub Jefatura de la Defensa Pública expone dichas plazas de Defensora o Defensor Público se encuentran condición ordinaria a partir del presente año.</w:t>
      </w:r>
    </w:p>
    <w:p>
      <w:pPr>
        <w:pStyle w:val="Normal"/>
        <w:jc w:val="both"/>
        <w:rPr>
          <w:rFonts w:ascii="Bookman Old Style" w:hAnsi="Bookman Old Style"/>
          <w:i/>
          <w:i/>
          <w:iCs/>
          <w:sz w:val="20"/>
          <w:szCs w:val="20"/>
        </w:rPr>
      </w:pPr>
      <w:r>
        <w:rPr>
          <w:rFonts w:ascii="Bookman Old Style" w:hAnsi="Bookman Old Style"/>
          <w:i/>
          <w:iCs/>
          <w:sz w:val="20"/>
          <w:szCs w:val="20"/>
        </w:rPr>
        <w:t xml:space="preserve">Por otro lado, de acuerdo con la consulta realizada al Tribunal Contencioso Administrativo, en el correo electrónico enviado el 03 de febrero de 2020; se menciona que el despacho continúa trabajando con los filtros que se indican en el Sistema de Gestión, por lo que se tiene la limitación para diferenciar los asuntos con interviniente persona usuaria indígena o persona servidora judicial. Los asuntos que se pueden diferenciar y, por ende, filtrar, son los que mantienen como interviniente una asociación indígena o la Comisión Nacional de Asuntos Indígenas. </w:t>
      </w:r>
    </w:p>
    <w:p>
      <w:pPr>
        <w:pStyle w:val="Normal"/>
        <w:jc w:val="both"/>
        <w:rPr>
          <w:rFonts w:ascii="Bookman Old Style" w:hAnsi="Bookman Old Style"/>
          <w:i/>
          <w:i/>
          <w:iCs/>
          <w:sz w:val="20"/>
          <w:szCs w:val="20"/>
        </w:rPr>
      </w:pPr>
      <w:r>
        <w:rPr>
          <w:rFonts w:ascii="Bookman Old Style" w:hAnsi="Bookman Old Style"/>
          <w:i/>
          <w:iCs/>
          <w:sz w:val="20"/>
          <w:szCs w:val="20"/>
        </w:rPr>
        <w:t xml:space="preserve">Aunado al párrafo anterior, se consulta al Subproceso de Estadística de la Dirección de Planificación, mediante el correo enviado el 03 de febrero de 2020, sí se ha incorporado una fórmula para contabilizar los procesos judiciales que mantengan como interviniente una persona usuaria indígena o persona servidora judicial. Es así que, el 04 de febrero de 2020, el Subproceso de Estadística de la Dirección de Planificación indica que ha sido incorporado dentro de las bases de datos la variable “etnia” y que, para los Anuarios Judiciales del 2019, se visualizará dicha variable en los cuadros estadísticos. Adicionalmente, se consulta vía telefónica, y la identificación de los asuntos que donde una persona judicial esté en condición de interviniente, a la fecha no ha sido implementada.   </w:t>
      </w:r>
    </w:p>
    <w:p>
      <w:pPr>
        <w:pStyle w:val="Normal"/>
        <w:jc w:val="both"/>
        <w:rPr>
          <w:rFonts w:ascii="Bookman Old Style" w:hAnsi="Bookman Old Style"/>
          <w:i/>
          <w:i/>
          <w:iCs/>
          <w:sz w:val="20"/>
          <w:szCs w:val="20"/>
        </w:rPr>
      </w:pPr>
      <w:r>
        <w:rPr>
          <w:rFonts w:ascii="Bookman Old Style" w:hAnsi="Bookman Old Style"/>
          <w:i/>
          <w:iCs/>
          <w:sz w:val="20"/>
          <w:szCs w:val="20"/>
        </w:rPr>
        <w:t xml:space="preserve">Con respecto a la implementación del Sistema de Seguimiento de Casos (SSC) en materia agraria en la Defensa Pública, se consultó al Lic. Roberto Montero García, quién se encontraba al día 10 de febrero de 2020 como responsable de la implementación del SSC en la Defensa Pública, quien indica que la Dirección de Tecnología de la Información se encuentra realizando los ajustes indicados por el Lic. Mario Rosales Vargas, Coordinador de Agrario, de manera que el sistema se adecúe a la materia en gestión. Una vez que los ajustes se encuentren realizados y aprobados por el Lic. Rosales Vargas, se procederá con la implementación a nivel nacional.   </w:t>
      </w:r>
    </w:p>
    <w:p>
      <w:pPr>
        <w:pStyle w:val="Normal"/>
        <w:numPr>
          <w:ilvl w:val="0"/>
          <w:numId w:val="8"/>
        </w:numPr>
        <w:spacing w:lineRule="auto" w:line="360" w:before="240" w:after="240"/>
        <w:jc w:val="both"/>
        <w:rPr>
          <w:rFonts w:ascii="Bookman Old Style" w:hAnsi="Bookman Old Style"/>
          <w:b/>
          <w:b/>
          <w:bCs/>
          <w:i/>
          <w:i/>
          <w:iCs/>
          <w:sz w:val="20"/>
          <w:szCs w:val="20"/>
        </w:rPr>
      </w:pPr>
      <w:r>
        <w:rPr>
          <w:rFonts w:ascii="Bookman Old Style" w:hAnsi="Bookman Old Style"/>
          <w:b/>
          <w:bCs/>
          <w:i/>
          <w:iCs/>
          <w:sz w:val="20"/>
          <w:szCs w:val="20"/>
        </w:rPr>
        <w:t>Recomendaciones a la Dirección de Tecnología de Información</w:t>
      </w:r>
    </w:p>
    <w:p>
      <w:pPr>
        <w:pStyle w:val="Normal"/>
        <w:jc w:val="both"/>
        <w:rPr>
          <w:rFonts w:ascii="Bookman Old Style" w:hAnsi="Bookman Old Style"/>
          <w:i/>
          <w:i/>
          <w:iCs/>
          <w:sz w:val="20"/>
          <w:szCs w:val="20"/>
        </w:rPr>
      </w:pPr>
      <w:r>
        <w:rPr>
          <w:rFonts w:ascii="Bookman Old Style" w:hAnsi="Bookman Old Style"/>
          <w:i/>
          <w:iCs/>
          <w:sz w:val="20"/>
          <w:szCs w:val="20"/>
        </w:rPr>
        <w:t>En lo referente a las recomendaciones emitidas por en el informe 634-PLA-RH-MI-2020 hacia la Dirección de Tecnología de Información se plantearon las siguientes:</w:t>
      </w:r>
    </w:p>
    <w:p>
      <w:pPr>
        <w:pStyle w:val="Normal"/>
        <w:numPr>
          <w:ilvl w:val="0"/>
          <w:numId w:val="15"/>
        </w:numPr>
        <w:spacing w:before="240" w:after="240"/>
        <w:ind w:left="714" w:hanging="357"/>
        <w:jc w:val="both"/>
        <w:rPr>
          <w:rFonts w:ascii="Bookman Old Style" w:hAnsi="Bookman Old Style"/>
          <w:i/>
          <w:i/>
          <w:iCs/>
          <w:color w:val="000000"/>
          <w:sz w:val="20"/>
          <w:szCs w:val="20"/>
        </w:rPr>
      </w:pPr>
      <w:r>
        <w:rPr>
          <w:rFonts w:ascii="Bookman Old Style" w:hAnsi="Bookman Old Style"/>
          <w:i/>
          <w:iCs/>
          <w:sz w:val="20"/>
          <w:szCs w:val="20"/>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pPr>
        <w:pStyle w:val="Normal"/>
        <w:numPr>
          <w:ilvl w:val="0"/>
          <w:numId w:val="15"/>
        </w:numPr>
        <w:spacing w:before="240" w:after="240"/>
        <w:ind w:left="714" w:hanging="357"/>
        <w:jc w:val="both"/>
        <w:rPr>
          <w:rFonts w:ascii="Bookman Old Style" w:hAnsi="Bookman Old Style"/>
          <w:i/>
          <w:i/>
          <w:iCs/>
          <w:color w:val="000000"/>
          <w:sz w:val="20"/>
          <w:szCs w:val="20"/>
        </w:rPr>
      </w:pPr>
      <w:r>
        <w:rPr>
          <w:rFonts w:ascii="Bookman Old Style" w:hAnsi="Bookman Old Style"/>
          <w:i/>
          <w:iCs/>
          <w:sz w:val="20"/>
          <w:szCs w:val="20"/>
        </w:rPr>
        <w:t>Coordinar lo relacionado con la implantación y capacitación del Sistema de Seguimientos de Casos (SSC) y SIGMA en las Oficinas de la Defensa Pública que atiendan materia Agraria, con fin de obtener datos estadísticos para futuros estudios.</w:t>
      </w:r>
    </w:p>
    <w:p>
      <w:pPr>
        <w:pStyle w:val="Normal"/>
        <w:jc w:val="both"/>
        <w:rPr>
          <w:rFonts w:ascii="Bookman Old Style" w:hAnsi="Bookman Old Style"/>
          <w:i/>
          <w:i/>
          <w:iCs/>
          <w:sz w:val="20"/>
          <w:szCs w:val="20"/>
        </w:rPr>
      </w:pPr>
      <w:r>
        <w:rPr>
          <w:rFonts w:ascii="Bookman Old Style" w:hAnsi="Bookman Old Style"/>
          <w:i/>
          <w:iCs/>
          <w:sz w:val="20"/>
          <w:szCs w:val="20"/>
        </w:rPr>
        <w:t>En consecuencia, se efectuó una consulta el 3 de febrero de 2020 al Juzgado y al Tribunal Contencioso Administrativo y Civil de Hacienda, con el fin de conocer si dicha recomendación había sido implementada en los sistemas, a lo que se recibió una respuesta negativa.</w:t>
      </w:r>
    </w:p>
    <w:p>
      <w:pPr>
        <w:pStyle w:val="Normal"/>
        <w:jc w:val="both"/>
        <w:rPr>
          <w:rFonts w:ascii="Bookman Old Style" w:hAnsi="Bookman Old Style"/>
          <w:i/>
          <w:i/>
          <w:iCs/>
          <w:sz w:val="20"/>
          <w:szCs w:val="20"/>
        </w:rPr>
      </w:pPr>
      <w:r>
        <w:rPr>
          <w:rFonts w:ascii="Bookman Old Style" w:hAnsi="Bookman Old Style"/>
          <w:i/>
          <w:iCs/>
          <w:sz w:val="20"/>
          <w:szCs w:val="20"/>
        </w:rPr>
        <w:t xml:space="preserve">Posteriormente, el 27 de marzo de 2020, se consultó al Lic. Uriel García Regalado, Profesional Informático de la Dirección de Tecnología de Información sobre el estado de las dos recomendaciones, a lo que manifestó que el Consejo Superior en mediante oficio 13919-17 acordó lo siguiente: </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w:t>
      </w:r>
      <w:r>
        <w:rPr>
          <w:rFonts w:ascii="Bookman Old Style" w:hAnsi="Bookman Old Style"/>
          <w:i/>
          <w:iCs/>
          <w:color w:val="000000"/>
          <w:sz w:val="20"/>
          <w:szCs w:val="20"/>
        </w:rPr>
        <w:t>(…) autorizar la suspensión del desarrollo de nuevas solicitudes de mejoras para los sistemas actuales utilizados para la gestión y tramitación de expedientes y oficinas judiciales.”</w:t>
      </w:r>
    </w:p>
    <w:p>
      <w:pPr>
        <w:pStyle w:val="Normal"/>
        <w:jc w:val="both"/>
        <w:rPr>
          <w:rFonts w:ascii="Bookman Old Style" w:hAnsi="Bookman Old Style"/>
          <w:i/>
          <w:i/>
          <w:iCs/>
          <w:color w:val="000000"/>
          <w:sz w:val="20"/>
          <w:szCs w:val="20"/>
        </w:rPr>
      </w:pPr>
      <w:r>
        <w:rPr>
          <w:rFonts w:ascii="Bookman Old Style" w:hAnsi="Bookman Old Style"/>
          <w:i/>
          <w:iCs/>
          <w:color w:val="000000"/>
          <w:sz w:val="20"/>
          <w:szCs w:val="20"/>
        </w:rPr>
        <w:t xml:space="preserve">Lo anterior debido a que todos los esfuerzos se están centrando en el desarrollo de la nueva plataforma informática que está desarrollando la Dirección de Tecnología de Información. </w:t>
      </w:r>
    </w:p>
    <w:p>
      <w:pPr>
        <w:pStyle w:val="Normal"/>
        <w:jc w:val="both"/>
        <w:rPr>
          <w:rFonts w:ascii="Bookman Old Style" w:hAnsi="Bookman Old Style"/>
          <w:b/>
          <w:b/>
          <w:bCs/>
          <w:i/>
          <w:i/>
          <w:iCs/>
          <w:sz w:val="20"/>
          <w:szCs w:val="20"/>
        </w:rPr>
      </w:pPr>
      <w:r>
        <w:rPr>
          <w:rFonts w:ascii="Bookman Old Style" w:hAnsi="Bookman Old Style"/>
          <w:i/>
          <w:iCs/>
          <w:color w:val="000000"/>
          <w:sz w:val="20"/>
          <w:szCs w:val="20"/>
        </w:rPr>
        <w:t>Por último, se remitió un correo electrónico a la Dirección de Tecnología de Información para conocer el estado actual de las mismas, sin embargo, no se recibió respuesta al momento de remitir el informe.</w:t>
      </w:r>
    </w:p>
    <w:p>
      <w:pPr>
        <w:pStyle w:val="Normal"/>
        <w:numPr>
          <w:ilvl w:val="0"/>
          <w:numId w:val="8"/>
        </w:numPr>
        <w:spacing w:lineRule="auto" w:line="360" w:before="240" w:after="240"/>
        <w:jc w:val="both"/>
        <w:rPr>
          <w:rFonts w:ascii="Bookman Old Style" w:hAnsi="Bookman Old Style"/>
          <w:b/>
          <w:b/>
          <w:bCs/>
          <w:i/>
          <w:i/>
          <w:iCs/>
          <w:sz w:val="20"/>
          <w:szCs w:val="20"/>
        </w:rPr>
      </w:pPr>
      <w:r>
        <w:rPr>
          <w:rFonts w:ascii="Bookman Old Style" w:hAnsi="Bookman Old Style"/>
          <w:b/>
          <w:bCs/>
          <w:i/>
          <w:iCs/>
          <w:sz w:val="20"/>
          <w:szCs w:val="20"/>
        </w:rPr>
        <w:t>Recomendaciones a la Jefatura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Mediante el oficio JEFDEP-90-2020 (ver anexo 6) del 13 de febrero de 2020 la Jefatura de la Defensa Pública remitió el seguimiento que ha realizado, en lo referente a las recomendaciones realizadas en el informe 634-PLA-RH-MI-2019:</w:t>
      </w:r>
    </w:p>
    <w:p>
      <w:pPr>
        <w:pStyle w:val="Normal"/>
        <w:jc w:val="both"/>
        <w:rPr>
          <w:rFonts w:ascii="Bookman Old Style" w:hAnsi="Bookman Old Style" w:eastAsia="Arial" w:cs="Arial"/>
          <w:i/>
          <w:i/>
          <w:iCs/>
          <w:sz w:val="20"/>
          <w:szCs w:val="20"/>
        </w:rPr>
      </w:pPr>
      <w:r>
        <w:rPr>
          <w:rFonts w:eastAsia="Arial" w:cs="Arial" w:ascii="Bookman Old Style" w:hAnsi="Bookman Old Style"/>
          <w:i/>
          <w:iCs/>
          <w:sz w:val="20"/>
          <w:szCs w:val="20"/>
        </w:rPr>
        <w:t>“</w:t>
      </w:r>
      <w:r>
        <w:rPr>
          <w:rFonts w:eastAsia="Arial" w:cs="Arial" w:ascii="Bookman Old Style" w:hAnsi="Bookman Old Style"/>
          <w:i/>
          <w:iCs/>
          <w:sz w:val="20"/>
          <w:szCs w:val="20"/>
        </w:rPr>
        <w:t>(…)</w:t>
      </w:r>
    </w:p>
    <w:p>
      <w:pPr>
        <w:pStyle w:val="ListParagraph"/>
        <w:numPr>
          <w:ilvl w:val="1"/>
          <w:numId w:val="13"/>
        </w:numPr>
        <w:spacing w:lineRule="auto" w:line="360"/>
        <w:jc w:val="both"/>
        <w:rPr>
          <w:rFonts w:ascii="Bookman Old Style" w:hAnsi="Bookman Old Style"/>
          <w:b/>
          <w:b/>
          <w:i/>
          <w:i/>
          <w:iCs/>
          <w:color w:val="000000"/>
          <w:sz w:val="20"/>
          <w:lang w:val="es-CR"/>
        </w:rPr>
      </w:pPr>
      <w:r>
        <w:rPr>
          <w:rFonts w:ascii="Bookman Old Style" w:hAnsi="Bookman Old Style"/>
          <w:b/>
          <w:i/>
          <w:iCs/>
          <w:color w:val="000000"/>
          <w:sz w:val="20"/>
          <w:lang w:val="es-CR"/>
        </w:rPr>
        <w:t xml:space="preserve">Analizar en </w:t>
      </w:r>
      <w:r>
        <w:rPr>
          <w:rFonts w:ascii="Bookman Old Style" w:hAnsi="Bookman Old Style"/>
          <w:b/>
          <w:i/>
          <w:iCs/>
          <w:sz w:val="20"/>
          <w:lang w:val="es-CR"/>
        </w:rPr>
        <w:t>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r>
        <w:rPr>
          <w:rFonts w:ascii="Bookman Old Style" w:hAnsi="Bookman Old Style"/>
          <w:b/>
          <w:i/>
          <w:iCs/>
          <w:color w:val="000000"/>
          <w:sz w:val="20"/>
          <w:lang w:val="es-CR"/>
        </w:rPr>
        <w:t>.</w:t>
      </w:r>
    </w:p>
    <w:p>
      <w:pPr>
        <w:pStyle w:val="ListParagraph"/>
        <w:spacing w:lineRule="auto" w:line="360"/>
        <w:ind w:left="967" w:hanging="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Annotationtext"/>
        <w:rPr>
          <w:rFonts w:ascii="Bookman Old Style" w:hAnsi="Bookman Old Style"/>
          <w:i/>
          <w:i/>
          <w:iCs/>
          <w:color w:val="000000"/>
          <w:lang w:val="es-CR"/>
        </w:rPr>
      </w:pPr>
      <w:r>
        <w:rPr>
          <w:rFonts w:ascii="Bookman Old Style" w:hAnsi="Bookman Old Style"/>
          <w:i/>
          <w:iCs/>
          <w:color w:val="000000"/>
          <w:lang w:val="es-CR"/>
        </w:rPr>
        <w:t xml:space="preserve">La ley 9609 “Código Procesal Agrario” no ha entrado en vigencia aún. Sin embargo, actualmente las 16 plazas de personas defensoras públicas agrarias tienen un promedio de 158 procesos, con una cantidad mayor de intervinientes. </w:t>
      </w:r>
    </w:p>
    <w:p>
      <w:pPr>
        <w:pStyle w:val="Annotationtext"/>
        <w:rPr>
          <w:rFonts w:ascii="Bookman Old Style" w:hAnsi="Bookman Old Style"/>
          <w:i/>
          <w:i/>
          <w:iCs/>
          <w:color w:val="000000"/>
          <w:lang w:val="es-CR"/>
        </w:rPr>
      </w:pPr>
      <w:r>
        <w:rPr>
          <w:rFonts w:ascii="Bookman Old Style" w:hAnsi="Bookman Old Style"/>
          <w:i/>
          <w:iCs/>
          <w:color w:val="000000"/>
          <w:lang w:val="es-CR"/>
        </w:rPr>
      </w:r>
    </w:p>
    <w:p>
      <w:pPr>
        <w:pStyle w:val="Annotationtext"/>
        <w:rPr>
          <w:rFonts w:ascii="Bookman Old Style" w:hAnsi="Bookman Old Style"/>
          <w:i/>
          <w:i/>
          <w:iCs/>
          <w:lang w:val="es-CR"/>
        </w:rPr>
      </w:pPr>
      <w:r>
        <w:rPr>
          <w:rFonts w:ascii="Bookman Old Style" w:hAnsi="Bookman Old Style"/>
          <w:i/>
          <w:iCs/>
          <w:lang w:val="es-CR"/>
        </w:rPr>
        <w:t xml:space="preserve">La Defensa Pública reporta aproximadamente 2528 expedientes, mientras que los Juzgados Agrarios reportan, al cierre de enero 2020, un total de 6987 expedientes, lo que da a entender que se mantiene un alto índice de defensa privada. </w:t>
        <w:br/>
        <w:br/>
        <w:t>El promedio de 158 expedientes por Defensor(a) está por debajo de la cuota establecida por el coordinador de la DP, que es de 180.</w:t>
      </w:r>
    </w:p>
    <w:p>
      <w:pPr>
        <w:pStyle w:val="ListParagraph"/>
        <w:spacing w:lineRule="auto" w:line="360"/>
        <w:ind w:left="967" w:hanging="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ListParagraph"/>
        <w:numPr>
          <w:ilvl w:val="1"/>
          <w:numId w:val="13"/>
        </w:numPr>
        <w:spacing w:lineRule="auto" w:line="360"/>
        <w:jc w:val="both"/>
        <w:rPr>
          <w:rFonts w:ascii="Bookman Old Style" w:hAnsi="Bookman Old Style"/>
          <w:b/>
          <w:b/>
          <w:i/>
          <w:i/>
          <w:iCs/>
          <w:color w:val="000000"/>
          <w:sz w:val="20"/>
          <w:lang w:val="es-CR"/>
        </w:rPr>
      </w:pPr>
      <w:r>
        <w:rPr>
          <w:rFonts w:ascii="Bookman Old Style" w:hAnsi="Bookman Old Style"/>
          <w:b/>
          <w:i/>
          <w:iCs/>
          <w:color w:val="000000"/>
          <w:sz w:val="20"/>
          <w:lang w:val="es-CR"/>
        </w:rPr>
        <w:t>Asignar asuntos de materia Penal, a las plazas de Defensor Público de la Unidad de Pensiones Alimentarias que se encuentren asignadas a las Oficinas de la Defensa Pública de Bribrí y Buenos, esto en caso de que la carga de trabajo no alcance. Considerando que de manera prioritaria se deberá atender los asuntos de Pensión Alimentaria.</w:t>
      </w:r>
    </w:p>
    <w:p>
      <w:pPr>
        <w:pStyle w:val="ListParagraph"/>
        <w:spacing w:lineRule="auto" w:line="360"/>
        <w:ind w:left="967" w:hanging="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ListParagraph"/>
        <w:spacing w:lineRule="auto" w:line="360"/>
        <w:ind w:left="0" w:firstLine="600"/>
        <w:jc w:val="both"/>
        <w:rPr>
          <w:rFonts w:ascii="Bookman Old Style" w:hAnsi="Bookman Old Style"/>
          <w:i/>
          <w:i/>
          <w:iCs/>
          <w:color w:val="000000"/>
          <w:sz w:val="20"/>
          <w:lang w:val="es-CR"/>
        </w:rPr>
      </w:pPr>
      <w:r>
        <w:rPr>
          <w:rFonts w:ascii="Bookman Old Style" w:hAnsi="Bookman Old Style"/>
          <w:i/>
          <w:iCs/>
          <w:color w:val="000000"/>
          <w:sz w:val="20"/>
          <w:lang w:val="es-CR"/>
        </w:rPr>
        <w:t>No se ha asignado ninguna plaza de pensiones alimentarias en Buenos Aires y Bribri según los términos referidos en este informe.</w:t>
      </w:r>
    </w:p>
    <w:p>
      <w:pPr>
        <w:pStyle w:val="ListParagraph"/>
        <w:spacing w:lineRule="auto" w:line="360"/>
        <w:ind w:left="967" w:hanging="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ListParagraph"/>
        <w:numPr>
          <w:ilvl w:val="1"/>
          <w:numId w:val="13"/>
        </w:numPr>
        <w:spacing w:lineRule="auto" w:line="360"/>
        <w:ind w:left="967" w:hanging="367"/>
        <w:jc w:val="both"/>
        <w:rPr>
          <w:rFonts w:ascii="Bookman Old Style" w:hAnsi="Bookman Old Style"/>
          <w:b/>
          <w:b/>
          <w:i/>
          <w:i/>
          <w:iCs/>
          <w:color w:val="000000"/>
          <w:sz w:val="20"/>
          <w:lang w:val="es-CR"/>
        </w:rPr>
      </w:pPr>
      <w:r>
        <w:rPr>
          <w:rFonts w:ascii="Bookman Old Style" w:hAnsi="Bookman Old Style"/>
          <w:b/>
          <w:i/>
          <w:iCs/>
          <w:color w:val="000000"/>
          <w:sz w:val="20"/>
          <w:lang w:val="es-CR"/>
        </w:rPr>
        <w:t xml:space="preserve">Comunicar bajo una circular interna de la Dirección de la Defensa Pública a las distintas Oficinas,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pPr>
        <w:pStyle w:val="ListParagraph"/>
        <w:spacing w:lineRule="auto" w:line="360"/>
        <w:ind w:left="967" w:hanging="0"/>
        <w:jc w:val="both"/>
        <w:rPr>
          <w:rFonts w:ascii="Bookman Old Style" w:hAnsi="Bookman Old Style"/>
          <w:b/>
          <w:b/>
          <w:i/>
          <w:i/>
          <w:iCs/>
          <w:color w:val="000000"/>
          <w:sz w:val="20"/>
          <w:lang w:val="es-CR"/>
        </w:rPr>
      </w:pPr>
      <w:r>
        <w:rPr>
          <w:rFonts w:ascii="Bookman Old Style" w:hAnsi="Bookman Old Style"/>
          <w:b/>
          <w:i/>
          <w:iCs/>
          <w:color w:val="000000"/>
          <w:sz w:val="20"/>
          <w:lang w:val="es-CR"/>
        </w:rPr>
      </w:r>
    </w:p>
    <w:p>
      <w:pPr>
        <w:pStyle w:val="ListParagraph"/>
        <w:spacing w:lineRule="auto" w:line="360"/>
        <w:ind w:left="0" w:firstLine="600"/>
        <w:jc w:val="both"/>
        <w:rPr>
          <w:rFonts w:ascii="Bookman Old Style" w:hAnsi="Bookman Old Style"/>
          <w:i/>
          <w:i/>
          <w:iCs/>
          <w:color w:val="000000"/>
          <w:sz w:val="20"/>
          <w:lang w:val="es-CR"/>
        </w:rPr>
      </w:pPr>
      <w:r>
        <w:rPr>
          <w:rFonts w:ascii="Bookman Old Style" w:hAnsi="Bookman Old Style"/>
          <w:i/>
          <w:iCs/>
          <w:color w:val="000000"/>
          <w:sz w:val="20"/>
          <w:lang w:val="es-CR"/>
        </w:rPr>
        <w:t>Desde agosto de 2019 se socializó con todas las Defensas Públicas a nivel nacional la “Fórmula Ley 9593 de Acceso a la Justicia para los Pueblos Indígenas”, a fin de visibilizar los procesos que ingresen con personas indígenas en materias no tradicionales. En el mes de febrero de 2020, se le realizó un adendum que incluye una plantilla para anotar datos como número de expediente, fecha de entrada, estado del proceso, etc. (Se adjunta la fórmula.)</w:t>
      </w:r>
    </w:p>
    <w:p>
      <w:pPr>
        <w:pStyle w:val="ListParagraph"/>
        <w:spacing w:lineRule="auto" w:line="360"/>
        <w:ind w:left="360" w:hanging="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ListParagraph"/>
        <w:numPr>
          <w:ilvl w:val="1"/>
          <w:numId w:val="13"/>
        </w:numPr>
        <w:spacing w:lineRule="auto" w:line="360"/>
        <w:ind w:left="967" w:hanging="367"/>
        <w:jc w:val="both"/>
        <w:rPr>
          <w:rFonts w:ascii="Bookman Old Style" w:hAnsi="Bookman Old Style"/>
          <w:b/>
          <w:b/>
          <w:i/>
          <w:i/>
          <w:iCs/>
          <w:color w:val="000000"/>
          <w:sz w:val="20"/>
          <w:lang w:val="es-CR"/>
        </w:rPr>
      </w:pPr>
      <w:r>
        <w:rPr>
          <w:rFonts w:ascii="Bookman Old Style" w:hAnsi="Bookman Old Style"/>
          <w:b/>
          <w:i/>
          <w:iCs/>
          <w:color w:val="000000"/>
          <w:sz w:val="20"/>
          <w:lang w:val="es-CR"/>
        </w:rPr>
        <w:t>Coordinar la respectiva capacitación a las personas defensoras públicas de tal forma que puedan incursionar en otras áreas de servicio, ya que según la ley de control interno se debe dar el mayor aprovechamiento de los recursos y en este caso particular en la distribución de las cargas de trabajo.</w:t>
      </w:r>
    </w:p>
    <w:p>
      <w:pPr>
        <w:pStyle w:val="ListParagraph"/>
        <w:spacing w:lineRule="auto" w:line="360"/>
        <w:ind w:left="967" w:hanging="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ListParagraph"/>
        <w:ind w:left="0" w:firstLine="357"/>
        <w:jc w:val="both"/>
        <w:rPr>
          <w:rFonts w:ascii="Bookman Old Style" w:hAnsi="Bookman Old Style"/>
          <w:i/>
          <w:i/>
          <w:iCs/>
          <w:color w:val="000000"/>
          <w:sz w:val="20"/>
          <w:lang w:val="es-CR"/>
        </w:rPr>
      </w:pPr>
      <w:r>
        <w:drawing>
          <wp:anchor behindDoc="0" distT="0" distB="0" distL="114300" distR="114300" simplePos="0" locked="0" layoutInCell="0" allowOverlap="1" relativeHeight="27">
            <wp:simplePos x="0" y="0"/>
            <wp:positionH relativeFrom="column">
              <wp:posOffset>-661035</wp:posOffset>
            </wp:positionH>
            <wp:positionV relativeFrom="paragraph">
              <wp:posOffset>513080</wp:posOffset>
            </wp:positionV>
            <wp:extent cx="7148195" cy="1174750"/>
            <wp:effectExtent l="0" t="0" r="0" b="0"/>
            <wp:wrapSquare wrapText="bothSides"/>
            <wp:docPr id="17"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 descr=""/>
                    <pic:cNvPicPr>
                      <a:picLocks noChangeAspect="1" noChangeArrowheads="1"/>
                    </pic:cNvPicPr>
                  </pic:nvPicPr>
                  <pic:blipFill>
                    <a:blip r:embed="rId18"/>
                    <a:stretch>
                      <a:fillRect/>
                    </a:stretch>
                  </pic:blipFill>
                  <pic:spPr bwMode="auto">
                    <a:xfrm>
                      <a:off x="0" y="0"/>
                      <a:ext cx="7148195" cy="1174750"/>
                    </a:xfrm>
                    <a:prstGeom prst="rect">
                      <a:avLst/>
                    </a:prstGeom>
                  </pic:spPr>
                </pic:pic>
              </a:graphicData>
            </a:graphic>
          </wp:anchor>
        </w:drawing>
      </w:r>
      <w:r>
        <w:rPr>
          <w:rFonts w:ascii="Bookman Old Style" w:hAnsi="Bookman Old Style"/>
          <w:i/>
          <w:iCs/>
          <w:color w:val="000000"/>
          <w:sz w:val="20"/>
          <w:lang w:val="es-CR"/>
        </w:rPr>
        <w:t>S</w:t>
      </w:r>
      <w:r>
        <w:rPr>
          <w:rFonts w:ascii="Bookman Old Style" w:hAnsi="Bookman Old Style"/>
          <w:i/>
          <w:iCs/>
          <w:color w:val="000000"/>
          <w:sz w:val="20"/>
          <w:lang w:val="es-CR"/>
        </w:rPr>
        <w:t>egún la Unidad de Capacitación de la Defensa Pública en el año 2019 se impartieron las siguientes capacitaciones: “</w:t>
      </w:r>
    </w:p>
    <w:p>
      <w:pPr>
        <w:pStyle w:val="ListParagraph"/>
        <w:spacing w:lineRule="auto" w:line="360"/>
        <w:ind w:left="0" w:firstLine="360"/>
        <w:jc w:val="both"/>
        <w:rPr>
          <w:rFonts w:ascii="Bookman Old Style" w:hAnsi="Bookman Old Style"/>
          <w:i/>
          <w:i/>
          <w:iCs/>
          <w:color w:val="000000"/>
          <w:sz w:val="20"/>
          <w:lang w:val="es-CR"/>
        </w:rPr>
      </w:pPr>
      <w:r>
        <w:rPr>
          <w:rFonts w:ascii="Bookman Old Style" w:hAnsi="Bookman Old Style"/>
          <w:i/>
          <w:iCs/>
          <w:color w:val="000000"/>
          <w:sz w:val="20"/>
          <w:lang w:val="es-CR"/>
        </w:rPr>
      </w:r>
    </w:p>
    <w:p>
      <w:pPr>
        <w:pStyle w:val="NormalWeb"/>
        <w:spacing w:lineRule="auto" w:line="360" w:beforeAutospacing="0" w:before="0" w:afterAutospacing="0" w:after="0"/>
        <w:jc w:val="both"/>
        <w:rPr>
          <w:rFonts w:ascii="Bookman Old Style" w:hAnsi="Bookman Old Style" w:cs="Arial"/>
          <w:i/>
          <w:i/>
          <w:iCs/>
          <w:color w:val="000000"/>
          <w:sz w:val="20"/>
          <w:szCs w:val="20"/>
        </w:rPr>
      </w:pPr>
      <w:r>
        <w:rPr>
          <w:rFonts w:cs="Arial" w:ascii="Bookman Old Style" w:hAnsi="Bookman Old Style"/>
          <w:i/>
          <w:iCs/>
          <w:color w:val="000000"/>
          <w:sz w:val="20"/>
          <w:szCs w:val="20"/>
        </w:rPr>
      </w:r>
    </w:p>
    <w:p>
      <w:pPr>
        <w:pStyle w:val="NormalWeb"/>
        <w:spacing w:beforeAutospacing="0" w:before="0" w:afterAutospacing="0" w:after="0"/>
        <w:ind w:firstLine="357"/>
        <w:jc w:val="both"/>
        <w:rPr>
          <w:rFonts w:ascii="Bookman Old Style" w:hAnsi="Bookman Old Style" w:cs="Arial"/>
          <w:i/>
          <w:i/>
          <w:iCs/>
          <w:color w:val="201F1E"/>
          <w:sz w:val="20"/>
          <w:szCs w:val="20"/>
        </w:rPr>
      </w:pPr>
      <w:r>
        <w:rPr>
          <w:rFonts w:cs="Arial" w:ascii="Bookman Old Style" w:hAnsi="Bookman Old Style"/>
          <w:i/>
          <w:iCs/>
          <w:color w:val="000000"/>
          <w:sz w:val="20"/>
          <w:szCs w:val="20"/>
        </w:rPr>
        <w:t xml:space="preserve">Asimismo, se impartieron una </w:t>
      </w:r>
      <w:r>
        <w:rPr>
          <w:rFonts w:cs="Arial" w:ascii="Bookman Old Style" w:hAnsi="Bookman Old Style"/>
          <w:b/>
          <w:i/>
          <w:iCs/>
          <w:color w:val="000000"/>
          <w:sz w:val="20"/>
          <w:szCs w:val="20"/>
        </w:rPr>
        <w:t>s</w:t>
      </w:r>
      <w:r>
        <w:rPr>
          <w:rFonts w:cs="Arial" w:ascii="Bookman Old Style" w:hAnsi="Bookman Old Style"/>
          <w:b/>
          <w:bCs/>
          <w:i/>
          <w:iCs/>
          <w:color w:val="000000"/>
          <w:sz w:val="20"/>
          <w:szCs w:val="20"/>
        </w:rPr>
        <w:t>erie de videoconferencias</w:t>
      </w:r>
      <w:r>
        <w:rPr>
          <w:rFonts w:cs="Arial" w:ascii="Bookman Old Style" w:hAnsi="Bookman Old Style"/>
          <w:i/>
          <w:iCs/>
          <w:color w:val="000000"/>
          <w:sz w:val="20"/>
          <w:szCs w:val="20"/>
        </w:rPr>
        <w:t>, como parte del ciclo 1 y se registró los siguientes datos:</w:t>
      </w:r>
    </w:p>
    <w:p>
      <w:pPr>
        <w:pStyle w:val="NormalWeb"/>
        <w:spacing w:lineRule="auto" w:line="360" w:beforeAutospacing="0" w:before="0" w:afterAutospacing="0" w:after="0"/>
        <w:jc w:val="both"/>
        <w:rPr>
          <w:rFonts w:ascii="Bookman Old Style" w:hAnsi="Bookman Old Style" w:cs="Arial"/>
          <w:i/>
          <w:i/>
          <w:iCs/>
          <w:color w:val="201F1E"/>
          <w:sz w:val="20"/>
          <w:szCs w:val="20"/>
        </w:rPr>
      </w:pPr>
      <w:r>
        <w:rPr>
          <w:rFonts w:cs="Arial" w:ascii="Bookman Old Style" w:hAnsi="Bookman Old Style"/>
          <w:i/>
          <w:iCs/>
          <w:color w:val="000000"/>
          <w:sz w:val="20"/>
          <w:szCs w:val="20"/>
        </w:rPr>
        <w:t> </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Total de personas participantes: 28</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Mujeres: 21</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Hombres:7</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Fecha: 27 de marzo</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 </w:t>
      </w:r>
    </w:p>
    <w:p>
      <w:pPr>
        <w:pStyle w:val="NormalWeb"/>
        <w:spacing w:beforeAutospacing="0" w:before="0" w:afterAutospacing="0" w:after="0"/>
        <w:ind w:firstLine="357"/>
        <w:jc w:val="both"/>
        <w:rPr>
          <w:rFonts w:ascii="Bookman Old Style" w:hAnsi="Bookman Old Style" w:cs="Arial"/>
          <w:i/>
          <w:i/>
          <w:iCs/>
          <w:color w:val="201F1E"/>
          <w:sz w:val="20"/>
          <w:szCs w:val="20"/>
        </w:rPr>
      </w:pPr>
      <w:r>
        <w:rPr>
          <w:rFonts w:cs="Arial" w:ascii="Bookman Old Style" w:hAnsi="Bookman Old Style"/>
          <w:i/>
          <w:iCs/>
          <w:color w:val="000000"/>
          <w:sz w:val="20"/>
          <w:szCs w:val="20"/>
        </w:rPr>
        <w:t>Además, en materia contenciosa tuvimos una capacitación el 21 de marzo de 2019 con don Roberto Montero.  Y una serie de charlas los días 15, 22 y 29 de noviembre por parte de los jueces contenciosos administrativos.</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 </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Actividad formativa: Contencioso administrativo</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Fecha: 21 de marzo 2019</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Total de personas participantes: 22</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Mujeres: 10</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Hombres: 12</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201F1E"/>
          <w:sz w:val="20"/>
          <w:szCs w:val="20"/>
        </w:rPr>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Actividad formativa: Contencioso administrativo</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Fecha: 15, 22 y 29 de noviembre de 2019</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Total de personas participantes: 6</w:t>
      </w:r>
    </w:p>
    <w:p>
      <w:pPr>
        <w:pStyle w:val="NormalWeb"/>
        <w:spacing w:lineRule="auto" w:line="360" w:beforeAutospacing="0" w:before="0" w:afterAutospacing="0" w:after="0"/>
        <w:ind w:left="360" w:hanging="0"/>
        <w:jc w:val="both"/>
        <w:rPr>
          <w:rFonts w:ascii="Bookman Old Style" w:hAnsi="Bookman Old Style" w:cs="Arial"/>
          <w:i/>
          <w:i/>
          <w:iCs/>
          <w:color w:val="201F1E"/>
          <w:sz w:val="20"/>
          <w:szCs w:val="20"/>
        </w:rPr>
      </w:pPr>
      <w:r>
        <w:rPr>
          <w:rFonts w:cs="Arial" w:ascii="Bookman Old Style" w:hAnsi="Bookman Old Style"/>
          <w:i/>
          <w:iCs/>
          <w:color w:val="000000"/>
          <w:sz w:val="20"/>
          <w:szCs w:val="20"/>
        </w:rPr>
        <w:t>Mujeres: 1</w:t>
      </w:r>
    </w:p>
    <w:p>
      <w:pPr>
        <w:pStyle w:val="NormalWeb"/>
        <w:spacing w:lineRule="auto" w:line="360" w:beforeAutospacing="0" w:before="0" w:afterAutospacing="0" w:after="0"/>
        <w:ind w:left="360" w:hanging="0"/>
        <w:jc w:val="both"/>
        <w:rPr>
          <w:rFonts w:ascii="Bookman Old Style" w:hAnsi="Bookman Old Style" w:cs="Arial"/>
          <w:i/>
          <w:i/>
          <w:iCs/>
          <w:color w:val="000000"/>
          <w:sz w:val="20"/>
          <w:szCs w:val="20"/>
        </w:rPr>
      </w:pPr>
      <w:r>
        <w:rPr>
          <w:rFonts w:cs="Arial" w:ascii="Bookman Old Style" w:hAnsi="Bookman Old Style"/>
          <w:i/>
          <w:iCs/>
          <w:color w:val="000000"/>
          <w:sz w:val="20"/>
          <w:szCs w:val="20"/>
        </w:rPr>
        <w:t>Hombres: 5”</w:t>
      </w:r>
    </w:p>
    <w:p>
      <w:pPr>
        <w:pStyle w:val="NormalWeb"/>
        <w:spacing w:lineRule="auto" w:line="360" w:beforeAutospacing="0" w:before="0" w:afterAutospacing="0" w:after="0"/>
        <w:jc w:val="both"/>
        <w:rPr>
          <w:rFonts w:ascii="Bookman Old Style" w:hAnsi="Bookman Old Style"/>
          <w:i/>
          <w:i/>
          <w:iCs/>
          <w:color w:val="201F1E"/>
          <w:sz w:val="20"/>
          <w:szCs w:val="20"/>
        </w:rPr>
      </w:pPr>
      <w:r>
        <w:rPr>
          <w:rFonts w:ascii="Bookman Old Style" w:hAnsi="Bookman Old Style"/>
          <w:i/>
          <w:iCs/>
          <w:color w:val="201F1E"/>
          <w:sz w:val="20"/>
          <w:szCs w:val="20"/>
        </w:rPr>
      </w:r>
    </w:p>
    <w:p>
      <w:pPr>
        <w:pStyle w:val="ListParagraph"/>
        <w:numPr>
          <w:ilvl w:val="0"/>
          <w:numId w:val="6"/>
        </w:numPr>
        <w:spacing w:lineRule="auto" w:line="360" w:before="0" w:after="0"/>
        <w:jc w:val="both"/>
        <w:rPr>
          <w:rFonts w:ascii="Bookman Old Style" w:hAnsi="Bookman Old Style" w:eastAsia="Arial"/>
          <w:i/>
          <w:i/>
          <w:iCs/>
          <w:sz w:val="20"/>
        </w:rPr>
      </w:pPr>
      <w:r>
        <w:rPr>
          <w:rFonts w:eastAsia="Arial" w:ascii="Bookman Old Style" w:hAnsi="Bookman Old Style"/>
          <w:b/>
          <w:bCs/>
          <w:i/>
          <w:iCs/>
          <w:sz w:val="20"/>
        </w:rPr>
        <w:t>Recomendaciones a la Dirección de Gestión Humana:</w:t>
      </w:r>
    </w:p>
    <w:p>
      <w:pPr>
        <w:pStyle w:val="Normal"/>
        <w:jc w:val="both"/>
        <w:rPr>
          <w:rFonts w:ascii="Bookman Old Style" w:hAnsi="Bookman Old Style"/>
          <w:i/>
          <w:i/>
          <w:iCs/>
          <w:sz w:val="20"/>
          <w:szCs w:val="20"/>
        </w:rPr>
      </w:pPr>
      <w:r>
        <w:rPr>
          <w:rFonts w:ascii="Bookman Old Style" w:hAnsi="Bookman Old Style"/>
          <w:i/>
          <w:iCs/>
          <w:sz w:val="20"/>
          <w:szCs w:val="20"/>
        </w:rPr>
        <w:t xml:space="preserve">Mediante correo electrónico del 3 de febrero de 2020, se le solicitó a la Dirección de Gestión Humana, información referente al que trabajo que se ha realizado para dar seguimiento a las recomendaciones emitidas por la Dirección de Planificación; sin embargo, al 27 de marzo de 2020 no se recibió respuesta al respecto, por lo tanto, se considera necesario mantener las mismas recomendaciones del informe 634-PLA-RH-MI-2019: </w:t>
      </w:r>
    </w:p>
    <w:p>
      <w:pPr>
        <w:pStyle w:val="Normal"/>
        <w:jc w:val="both"/>
        <w:rPr>
          <w:rFonts w:ascii="Bookman Old Style" w:hAnsi="Bookman Old Style"/>
          <w:i/>
          <w:i/>
          <w:iCs/>
          <w:sz w:val="20"/>
          <w:szCs w:val="20"/>
        </w:rPr>
      </w:pPr>
      <w:r>
        <w:rPr>
          <w:rFonts w:ascii="Bookman Old Style" w:hAnsi="Bookman Old Style"/>
          <w:i/>
          <w:iCs/>
          <w:sz w:val="20"/>
          <w:szCs w:val="20"/>
        </w:rPr>
        <w:t>(…)</w:t>
      </w:r>
    </w:p>
    <w:p>
      <w:pPr>
        <w:pStyle w:val="ListParagraph"/>
        <w:numPr>
          <w:ilvl w:val="1"/>
          <w:numId w:val="22"/>
        </w:numPr>
        <w:spacing w:lineRule="auto" w:line="360" w:before="0" w:after="160"/>
        <w:ind w:left="607" w:hanging="367"/>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pPr>
        <w:pStyle w:val="ListParagraph"/>
        <w:numPr>
          <w:ilvl w:val="1"/>
          <w:numId w:val="22"/>
        </w:numPr>
        <w:spacing w:lineRule="auto" w:line="360" w:before="0" w:after="16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Considerar en las condiciones para contratar al nuevo personal las disposiciones de  la nueva ley aprobada en su artículo 7 que indica: Asistencia letrada gratuita y gratuidad de la justicia. En aquellos procesos judiciales en que una persona indígena requiera asistencia letrada y no pueda cubrir los costos, la administración de justicia proveerá la asistencia de una persona defensora pública especializada en derecho indígena y en la materia de competencia de forma gratuita…., . Adicionalmente, proponer en los concursos de estas nuevas plazas, que las personas contratadas dispongan del conocimiento de los diferentes idiomas indígenas de tal forma que se pueda brindar un acceso real y más directo a las personas asistidas en estas zonas.</w:t>
      </w:r>
    </w:p>
    <w:p>
      <w:pPr>
        <w:pStyle w:val="ListParagraph"/>
        <w:numPr>
          <w:ilvl w:val="1"/>
          <w:numId w:val="22"/>
        </w:numPr>
        <w:spacing w:lineRule="auto" w:line="360" w:before="0" w:after="16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 xml:space="preserve">Analizar en los nuevos concursos habilidades blandas como: </w:t>
      </w:r>
    </w:p>
    <w:p>
      <w:pPr>
        <w:pStyle w:val="ListParagraph"/>
        <w:numPr>
          <w:ilvl w:val="0"/>
          <w:numId w:val="21"/>
        </w:numPr>
        <w:spacing w:lineRule="auto" w:line="360" w:before="0" w:after="16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Disposición para realizar las diligencias in situ</w:t>
      </w:r>
    </w:p>
    <w:p>
      <w:pPr>
        <w:pStyle w:val="ListParagraph"/>
        <w:numPr>
          <w:ilvl w:val="0"/>
          <w:numId w:val="21"/>
        </w:numPr>
        <w:spacing w:lineRule="auto" w:line="360" w:before="0" w:after="16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 xml:space="preserve"> </w:t>
      </w:r>
      <w:r>
        <w:rPr>
          <w:rFonts w:eastAsia="Calibri" w:ascii="Bookman Old Style" w:hAnsi="Bookman Old Style"/>
          <w:i/>
          <w:iCs/>
          <w:sz w:val="20"/>
          <w:lang w:val="es-CR" w:eastAsia="en-US"/>
        </w:rPr>
        <w:t>Utilizar diferentes medios de transporte (caballo, camión, bote, panga, etc.)</w:t>
      </w:r>
    </w:p>
    <w:p>
      <w:pPr>
        <w:pStyle w:val="ListParagraph"/>
        <w:numPr>
          <w:ilvl w:val="0"/>
          <w:numId w:val="21"/>
        </w:numPr>
        <w:spacing w:lineRule="auto" w:line="360" w:before="0" w:after="16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Comprender que la condición social y cultural implica procesos cuyo tiempo para invertirles es mayor, pues los canales de comunicación son diversos en los diferentes procesos y según el género.</w:t>
      </w:r>
    </w:p>
    <w:p>
      <w:pPr>
        <w:pStyle w:val="ListParagraph"/>
        <w:spacing w:lineRule="auto" w:line="360" w:before="0" w:after="16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r>
    </w:p>
    <w:p>
      <w:pPr>
        <w:pStyle w:val="ListParagraph"/>
        <w:spacing w:lineRule="auto" w:line="360" w:before="0" w:after="160"/>
        <w:ind w:left="0" w:hanging="0"/>
        <w:contextualSpacing/>
        <w:jc w:val="both"/>
        <w:rPr>
          <w:rFonts w:ascii="Bookman Old Style" w:hAnsi="Bookman Old Style" w:eastAsia="Calibri"/>
          <w:i/>
          <w:i/>
          <w:iCs/>
          <w:sz w:val="20"/>
          <w:lang w:val="es-CR" w:eastAsia="en-US"/>
        </w:rPr>
      </w:pPr>
      <w:r>
        <w:rPr>
          <w:rFonts w:eastAsia="Calibri" w:ascii="Bookman Old Style" w:hAnsi="Bookman Old Style"/>
          <w:i/>
          <w:iCs/>
          <w:sz w:val="20"/>
          <w:lang w:val="es-CR" w:eastAsia="en-US"/>
        </w:rPr>
        <w:t>6.11 Analizar en conjunto con la Defensa Pública las condiciones de los concursos en propiedad de las plazas que atienden la materia agraria, de tal forma que se amplié su condición para que las mismas puedan atender eventualmente otras materias, así como trasladarse a las diferentes zonas que disponga la Dirección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2"/>
        <w:keepLines w:val="false"/>
        <w:numPr>
          <w:ilvl w:val="1"/>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Proyecto de Mejora Integral del Proceso Penal en la Defensa Pública</w:t>
      </w:r>
    </w:p>
    <w:p>
      <w:pPr>
        <w:pStyle w:val="Normal"/>
        <w:jc w:val="both"/>
        <w:rPr>
          <w:rFonts w:ascii="Bookman Old Style" w:hAnsi="Bookman Old Style"/>
          <w:i/>
          <w:i/>
          <w:iCs/>
          <w:sz w:val="20"/>
          <w:szCs w:val="20"/>
        </w:rPr>
      </w:pPr>
      <w:r>
        <w:rPr>
          <w:rFonts w:ascii="Bookman Old Style" w:hAnsi="Bookman Old Style"/>
          <w:i/>
          <w:iCs/>
          <w:sz w:val="20"/>
          <w:szCs w:val="20"/>
        </w:rPr>
        <w:t>La Corte Plena en la sesión 37-12 del 29 de octubre de 2012, artículo VIII, solicitó definir el modelo de gestión de despachos, posteriormente, en la sesión 15-16 del 16 de mayo de 2016, artículo XVII, aprobó el informe 259-66-SAO-2016 de la Auditoría Judicial relacionada al “Estudio Operativo de los Tribunales Penales.”</w:t>
      </w:r>
    </w:p>
    <w:p>
      <w:pPr>
        <w:pStyle w:val="Normal"/>
        <w:jc w:val="both"/>
        <w:rPr>
          <w:rFonts w:ascii="Bookman Old Style" w:hAnsi="Bookman Old Style"/>
          <w:i/>
          <w:i/>
          <w:iCs/>
          <w:sz w:val="20"/>
          <w:szCs w:val="20"/>
        </w:rPr>
      </w:pPr>
      <w:r>
        <w:rPr>
          <w:rFonts w:ascii="Bookman Old Style" w:hAnsi="Bookman Old Style"/>
          <w:i/>
          <w:iCs/>
          <w:sz w:val="20"/>
          <w:szCs w:val="20"/>
        </w:rPr>
        <w:t>En consecuencia, en sesión del Consejo Superior 5-2019, artículo XXII del 23 de enero de 2019, se tuvo por rendido el informe 1507-PLA-MI-2018, relacionado con el “Modelo de Tramitación de la Defensa Pública”.</w:t>
      </w:r>
    </w:p>
    <w:p>
      <w:pPr>
        <w:pStyle w:val="Normal"/>
        <w:jc w:val="both"/>
        <w:rPr>
          <w:rFonts w:ascii="Bookman Old Style" w:hAnsi="Bookman Old Style"/>
          <w:i/>
          <w:i/>
          <w:iCs/>
          <w:sz w:val="20"/>
          <w:szCs w:val="20"/>
        </w:rPr>
      </w:pPr>
      <w:r>
        <w:rPr>
          <w:rFonts w:ascii="Bookman Old Style" w:hAnsi="Bookman Old Style"/>
          <w:i/>
          <w:iCs/>
          <w:sz w:val="20"/>
          <w:szCs w:val="20"/>
        </w:rPr>
        <w:t>Este modelo de tramitación establece una serie de parámetros generales de las características de las oficinas de la Defensa Pública, con el fin de mejorar los tiempos de respuesta para brindar un servicio público de calidad e incrementar la cantidad de debates con la participación de los ámbitos auxiliares de justicia. La metodología aprobada establece dentro de la fase de diseño de propuestas de mejora, la posibilidad de elaborar rediseños de oficinas con el fin de maximizar la utilización de los recursos disponibles.</w:t>
      </w:r>
    </w:p>
    <w:p>
      <w:pPr>
        <w:pStyle w:val="Normal"/>
        <w:jc w:val="both"/>
        <w:rPr>
          <w:rFonts w:ascii="Bookman Old Style" w:hAnsi="Bookman Old Style"/>
          <w:i/>
          <w:i/>
          <w:iCs/>
          <w:sz w:val="20"/>
          <w:szCs w:val="20"/>
        </w:rPr>
      </w:pPr>
      <w:r>
        <w:rPr>
          <w:rFonts w:ascii="Bookman Old Style" w:hAnsi="Bookman Old Style"/>
          <w:i/>
          <w:iCs/>
          <w:sz w:val="20"/>
          <w:szCs w:val="20"/>
        </w:rPr>
        <w:t>En consecuencia, se estima conveniente que dentro de los alcances del modelo y en los casos que técnicamente corresponda, se tome en consideración la posibilidad de movilizar plazas de personas defensoras, para solventar las necesidades institucionales de atención a personas indígenas, en virtud del impacto organizacional y presupuestario en la Defensa Pública, a partir de la promulgación de la Ley 9593 de Acceso a la Justicia de los Pueblos Indígenas. Lo anterior en el entendido que una posible movilización de recursos dependerá meramente de los estudios técnicos realizados y de una priorización según las necesidades institucionales previamente detectadas.</w:t>
      </w:r>
    </w:p>
    <w:p>
      <w:pPr>
        <w:pStyle w:val="Ttulo3"/>
        <w:keepLines w:val="false"/>
        <w:numPr>
          <w:ilvl w:val="0"/>
          <w:numId w:val="39"/>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 xml:space="preserve">Oficinas de la Defensa Pública abordadas en el Proyecto Modelo Integral del Proceso Penal </w:t>
      </w:r>
    </w:p>
    <w:p>
      <w:pPr>
        <w:pStyle w:val="Normal"/>
        <w:jc w:val="both"/>
        <w:rPr>
          <w:rFonts w:ascii="Bookman Old Style" w:hAnsi="Bookman Old Style"/>
          <w:i/>
          <w:i/>
          <w:iCs/>
          <w:sz w:val="20"/>
          <w:szCs w:val="20"/>
        </w:rPr>
      </w:pPr>
      <w:r>
        <w:rPr>
          <w:rFonts w:ascii="Bookman Old Style" w:hAnsi="Bookman Old Style"/>
          <w:i/>
          <w:iCs/>
          <w:sz w:val="20"/>
          <w:szCs w:val="20"/>
        </w:rPr>
        <w:t xml:space="preserve">Desde el año 2019, la Dirección de Planificación se ha mantenido haciendo abordajes en materia penal en las diferentes oficinas de la Defensa Pública y, según el apartado del presente informe denominado “Aspectos demográficos a considerar”, las oficinas abordadas en el proyecto que son cercanas a las zonas de mayor cantidad de personas usuarias indígenas son la Defensa Pública de Limón y Bribrí. </w:t>
      </w:r>
    </w:p>
    <w:p>
      <w:pPr>
        <w:pStyle w:val="Normal"/>
        <w:jc w:val="both"/>
        <w:rPr>
          <w:rFonts w:ascii="Bookman Old Style" w:hAnsi="Bookman Old Style"/>
          <w:i/>
          <w:i/>
          <w:iCs/>
          <w:sz w:val="20"/>
          <w:szCs w:val="20"/>
        </w:rPr>
      </w:pPr>
      <w:r>
        <w:rPr>
          <w:rFonts w:ascii="Bookman Old Style" w:hAnsi="Bookman Old Style"/>
          <w:i/>
          <w:iCs/>
          <w:sz w:val="20"/>
          <w:szCs w:val="20"/>
        </w:rPr>
        <w:t xml:space="preserve">Producto del abordaje de la Defensa Pública se Bribri se infiere que, con base en el análisis estadístico, la demanda en la cantidad de asuntos nuevos o ingresados de la oficina tiende al crecimiento y, que la carga de trabajo reportada por persona defensora se encuentra por encima de la carga definida en el Modelo de Tramitación de la Defensa Pública; además, de que hay que considerar que el 24% de los asuntos activos en estado en trámite presentan al menos una persona usuaria indígena en calidad de interviniente y por tal, se deben considerar aspectos cualitativos en la atención de esta población para obtener un servicio público de calidad. En consecuencia, se estableció la necesidad de contar con un recurso adicional de Persona Defensora que colabore en materia penal, lo anterior supeditado a las limitaciones presupuestarias. </w:t>
      </w:r>
    </w:p>
    <w:p>
      <w:pPr>
        <w:pStyle w:val="Normal"/>
        <w:jc w:val="both"/>
        <w:rPr>
          <w:rFonts w:ascii="Bookman Old Style" w:hAnsi="Bookman Old Style"/>
          <w:i/>
          <w:i/>
          <w:iCs/>
          <w:sz w:val="20"/>
          <w:szCs w:val="20"/>
        </w:rPr>
      </w:pPr>
      <w:r>
        <w:rPr>
          <w:rFonts w:ascii="Bookman Old Style" w:hAnsi="Bookman Old Style"/>
          <w:i/>
          <w:iCs/>
          <w:sz w:val="20"/>
          <w:szCs w:val="20"/>
        </w:rPr>
        <w:t xml:space="preserve">Aunado a lo anterior, también se realizó el abordaje en la Defensa Pública de Limón, donde se determina, por medio del análisis estadístico, que la demanda en la cantidad de asuntos nuevos en materia penal ordinaria se la mantenido aproximadamente constante en el tiempo y, que la carga de trabajo reportada por cada persona defensora en materia penal ordinario se encuentra dentro de los parámetros definidos en el Modelo de Tramitación de la Defensa Pública. Adicionalmente, por cargas de trabajo reportadas por las Técnicas o Técnicos Jurídicos se considera que, de encontrarse las condiciones idóneas, se podría recalificar una de esas plazas a Defensora o Defensor Público y así, atender las necesidades de la zona. No obstante, esta propuesta está sujeta a las aprobaciones correspondientes. </w:t>
      </w:r>
    </w:p>
    <w:p>
      <w:pPr>
        <w:pStyle w:val="Normal"/>
        <w:jc w:val="both"/>
        <w:rPr>
          <w:rFonts w:ascii="Bookman Old Style" w:hAnsi="Bookman Old Style"/>
          <w:i/>
          <w:i/>
          <w:iCs/>
          <w:sz w:val="20"/>
          <w:szCs w:val="20"/>
        </w:rPr>
      </w:pPr>
      <w:r>
        <w:rPr>
          <w:rFonts w:ascii="Bookman Old Style" w:hAnsi="Bookman Old Style"/>
          <w:i/>
          <w:iCs/>
          <w:sz w:val="20"/>
          <w:szCs w:val="20"/>
        </w:rPr>
        <w:t xml:space="preserve">Además, es importante hacer recalcar que, la Dirección de Planificación durante el 2019 realizó el abordaje en las oficinas de la Defensa Pública de Flagrancia del Primer y Segundo circuito Judicial, donde, con base en el análisis de cargas de trabajo y la capacidad del proceso expedito de Flagrancia, se podría eventualmente trasladar recursos de Defensora o Defensor Pública donde se considere exista mayor necesidad del mismo. Sin embargo, esta recomendación se encuentra sujeta a la aprobación de los Modelos de Flagrancia, tanto en el Ambiento Auxiliar de Justicia, como en el Ámbito Jurisdiccional. </w:t>
      </w:r>
    </w:p>
    <w:p>
      <w:pPr>
        <w:pStyle w:val="Normal"/>
        <w:jc w:val="both"/>
        <w:rPr>
          <w:rFonts w:ascii="Bookman Old Style" w:hAnsi="Bookman Old Style"/>
          <w:i/>
          <w:i/>
          <w:iCs/>
          <w:sz w:val="20"/>
          <w:szCs w:val="20"/>
        </w:rPr>
      </w:pPr>
      <w:r>
        <w:rPr>
          <w:rFonts w:ascii="Bookman Old Style" w:hAnsi="Bookman Old Style"/>
          <w:i/>
          <w:iCs/>
          <w:sz w:val="20"/>
          <w:szCs w:val="20"/>
        </w:rPr>
        <w:t xml:space="preserve">Por lo anterior, se evidencia que producto de los abordajes de la Dirección de Planificación se han brindado alternativas para solventar las necesidades instituciones, en las zonas del país que más lo requieren. Sin embargo, estas alternativas de solución se encuentran sujetas a la aprobación de los informes respectivos y actualmente son objeto de seguimiento. </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Contenido presupuestario</w:t>
      </w:r>
    </w:p>
    <w:p>
      <w:pPr>
        <w:pStyle w:val="Normal"/>
        <w:jc w:val="both"/>
        <w:rPr>
          <w:rFonts w:ascii="Bookman Old Style" w:hAnsi="Bookman Old Style"/>
          <w:i/>
          <w:i/>
          <w:iCs/>
          <w:sz w:val="20"/>
          <w:szCs w:val="20"/>
        </w:rPr>
      </w:pPr>
      <w:r>
        <w:rPr>
          <w:rFonts w:ascii="Bookman Old Style" w:hAnsi="Bookman Old Style"/>
          <w:i/>
          <w:iCs/>
          <w:sz w:val="20"/>
          <w:szCs w:val="20"/>
        </w:rPr>
        <w:t xml:space="preserve">En el siguiente cuadro, se detalla el costo estimado de las dos plazas extraordinarias de Defensor Público, las cuales asumirán como parte de la carga de trabajo ordinaria la atención de los asuntos de Pensión Alimentaria donde figure como parte actora o demanda una o más personas indígenas. Además, se estima el costo estimado del mobiliario y equipo a asignar a las plazas en mención. </w:t>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9</w:t>
      </w:r>
      <w:r>
        <w:rPr>
          <w:i/>
          <w:iCs/>
          <w:rFonts w:cs="Arial" w:ascii="Bookman Old Style" w:hAnsi="Bookman Old Style"/>
        </w:rPr>
        <w:fldChar w:fldCharType="end"/>
      </w:r>
      <w:r>
        <w:rPr>
          <w:rFonts w:cs="Arial" w:ascii="Bookman Old Style" w:hAnsi="Bookman Old Style"/>
          <w:i/>
          <w:iCs/>
        </w:rPr>
        <w:t xml:space="preserve"> </w:t>
      </w:r>
      <w:r>
        <w:rPr>
          <w:rFonts w:eastAsia="Arial" w:cs="Arial" w:ascii="Bookman Old Style" w:hAnsi="Bookman Old Style"/>
          <w:i/>
          <w:iCs/>
        </w:rPr>
        <w:t>Estimación del costo estimado para el 2021, dos plazas extraordinarias de Defensor Público que atienden materia Pensión Alimentaria.</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284"/>
        <w:gridCol w:w="1128"/>
        <w:gridCol w:w="1062"/>
        <w:gridCol w:w="1404"/>
        <w:gridCol w:w="1685"/>
        <w:gridCol w:w="1121"/>
        <w:gridCol w:w="2067"/>
      </w:tblGrid>
      <w:tr>
        <w:trPr>
          <w:trHeight w:val="407" w:hRule="atLeast"/>
        </w:trPr>
        <w:tc>
          <w:tcPr>
            <w:tcW w:w="128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Despacho</w:t>
            </w:r>
          </w:p>
        </w:tc>
        <w:tc>
          <w:tcPr>
            <w:tcW w:w="1128"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Cantidad</w:t>
            </w:r>
          </w:p>
        </w:tc>
        <w:tc>
          <w:tcPr>
            <w:tcW w:w="1062"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Tipo de plaza</w:t>
            </w:r>
          </w:p>
        </w:tc>
        <w:tc>
          <w:tcPr>
            <w:tcW w:w="140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Condición actual</w:t>
            </w:r>
          </w:p>
        </w:tc>
        <w:tc>
          <w:tcPr>
            <w:tcW w:w="1685"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Recomen-dación</w:t>
            </w:r>
          </w:p>
        </w:tc>
        <w:tc>
          <w:tcPr>
            <w:tcW w:w="1121"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Período</w:t>
            </w:r>
          </w:p>
        </w:tc>
        <w:tc>
          <w:tcPr>
            <w:tcW w:w="2067"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Costo Estimado</w:t>
            </w:r>
          </w:p>
        </w:tc>
      </w:tr>
      <w:tr>
        <w:trPr>
          <w:trHeight w:val="203" w:hRule="atLeast"/>
        </w:trPr>
        <w:tc>
          <w:tcPr>
            <w:tcW w:w="128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Unidad de Pensión Alimentaria de la Dirección de la Defensa Pública</w:t>
            </w:r>
          </w:p>
        </w:tc>
        <w:tc>
          <w:tcPr>
            <w:tcW w:w="1128"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2</w:t>
            </w:r>
          </w:p>
        </w:tc>
        <w:tc>
          <w:tcPr>
            <w:tcW w:w="1062"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Defensor Público</w:t>
            </w:r>
          </w:p>
        </w:tc>
        <w:tc>
          <w:tcPr>
            <w:tcW w:w="140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w:t>
            </w:r>
          </w:p>
        </w:tc>
        <w:tc>
          <w:tcPr>
            <w:tcW w:w="1685"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Extraordinaria</w:t>
            </w:r>
          </w:p>
        </w:tc>
        <w:tc>
          <w:tcPr>
            <w:tcW w:w="1121"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12 meses</w:t>
            </w:r>
          </w:p>
        </w:tc>
        <w:tc>
          <w:tcPr>
            <w:tcW w:w="2067"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i/>
                <w:iCs/>
                <w:sz w:val="20"/>
                <w:szCs w:val="20"/>
              </w:rPr>
              <w:t>₡</w:t>
            </w:r>
            <w:r>
              <w:rPr>
                <w:rFonts w:eastAsia="Arial" w:cs="Arial" w:ascii="Bookman Old Style" w:hAnsi="Bookman Old Style"/>
                <w:i/>
                <w:iCs/>
                <w:sz w:val="20"/>
                <w:szCs w:val="20"/>
              </w:rPr>
              <w:t>105.734.000</w:t>
            </w:r>
          </w:p>
        </w:tc>
      </w:tr>
      <w:tr>
        <w:trPr>
          <w:trHeight w:val="203" w:hRule="atLeast"/>
        </w:trPr>
        <w:tc>
          <w:tcPr>
            <w:tcW w:w="7684"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2067"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eastAsia="Arial" w:cs="Arial"/>
                <w:i/>
                <w:i/>
                <w:iCs/>
                <w:sz w:val="20"/>
                <w:szCs w:val="20"/>
              </w:rPr>
            </w:pPr>
            <w:r>
              <w:rPr>
                <w:rFonts w:eastAsia="Arial"/>
                <w:i/>
                <w:iCs/>
                <w:sz w:val="20"/>
                <w:szCs w:val="20"/>
              </w:rPr>
              <w:t>₡</w:t>
            </w:r>
            <w:r>
              <w:rPr>
                <w:rFonts w:eastAsia="Arial" w:cs="Arial" w:ascii="Bookman Old Style" w:hAnsi="Bookman Old Style"/>
                <w:i/>
                <w:iCs/>
                <w:sz w:val="20"/>
                <w:szCs w:val="20"/>
              </w:rPr>
              <w:t>3.356.545,00</w:t>
            </w:r>
          </w:p>
        </w:tc>
      </w:tr>
      <w:tr>
        <w:trPr>
          <w:trHeight w:val="203" w:hRule="atLeast"/>
        </w:trPr>
        <w:tc>
          <w:tcPr>
            <w:tcW w:w="7684"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2067"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eastAsia="Arial" w:cs="Arial"/>
                <w:b/>
                <w:b/>
                <w:bCs/>
                <w:i/>
                <w:i/>
                <w:iCs/>
                <w:sz w:val="20"/>
                <w:szCs w:val="20"/>
              </w:rPr>
            </w:pPr>
            <w:r>
              <w:rPr>
                <w:rFonts w:eastAsia="Arial"/>
                <w:b/>
                <w:bCs/>
                <w:i/>
                <w:iCs/>
                <w:sz w:val="20"/>
                <w:szCs w:val="20"/>
              </w:rPr>
              <w:t>₡</w:t>
            </w:r>
            <w:r>
              <w:rPr>
                <w:rFonts w:eastAsia="Arial" w:cs="Arial" w:ascii="Bookman Old Style" w:hAnsi="Bookman Old Style"/>
                <w:b/>
                <w:bCs/>
                <w:i/>
                <w:iCs/>
                <w:sz w:val="20"/>
                <w:szCs w:val="20"/>
              </w:rPr>
              <w:t>109.090.545,00</w:t>
            </w:r>
          </w:p>
        </w:tc>
      </w:tr>
    </w:tbl>
    <w:p>
      <w:pPr>
        <w:pStyle w:val="Normal"/>
        <w:ind w:right="1031" w:hanging="0"/>
        <w:jc w:val="both"/>
        <w:rPr>
          <w:rFonts w:ascii="Bookman Old Style" w:hAnsi="Bookman Old Style" w:eastAsia="Arial" w:cs="Arial"/>
          <w:i/>
          <w:i/>
          <w:iCs/>
          <w:sz w:val="20"/>
          <w:szCs w:val="20"/>
        </w:rPr>
      </w:pPr>
      <w:r>
        <w:rPr>
          <w:rFonts w:eastAsia="Arial" w:cs="Arial" w:ascii="Bookman Old Style" w:hAnsi="Bookman Old Style"/>
          <w:b/>
          <w:bCs/>
          <w:i/>
          <w:iCs/>
          <w:sz w:val="20"/>
          <w:szCs w:val="20"/>
        </w:rPr>
        <w:t>Nota (1):</w:t>
      </w:r>
      <w:r>
        <w:rPr>
          <w:rFonts w:eastAsia="Arial" w:cs="Arial" w:ascii="Bookman Old Style" w:hAnsi="Bookman Old Style"/>
          <w:i/>
          <w:iCs/>
          <w:sz w:val="20"/>
          <w:szCs w:val="20"/>
        </w:rPr>
        <w:t xml:space="preserve"> Costo promedio por puesto de Defensor Público, para el 2021 es de </w:t>
      </w:r>
      <w:r>
        <w:rPr>
          <w:rFonts w:eastAsia="Arial"/>
          <w:i/>
          <w:iCs/>
          <w:sz w:val="20"/>
          <w:szCs w:val="20"/>
        </w:rPr>
        <w:t>₡</w:t>
      </w:r>
      <w:r>
        <w:rPr>
          <w:rFonts w:eastAsia="Arial" w:cs="Arial" w:ascii="Bookman Old Style" w:hAnsi="Bookman Old Style"/>
          <w:i/>
          <w:iCs/>
          <w:sz w:val="20"/>
          <w:szCs w:val="20"/>
        </w:rPr>
        <w:t>52.867.000</w:t>
      </w:r>
    </w:p>
    <w:p>
      <w:pPr>
        <w:pStyle w:val="Normal"/>
        <w:ind w:right="1031" w:hanging="0"/>
        <w:jc w:val="both"/>
        <w:rPr>
          <w:rFonts w:ascii="Bookman Old Style" w:hAnsi="Bookman Old Style" w:eastAsia="Arial" w:cs="Arial"/>
          <w:i/>
          <w:i/>
          <w:iCs/>
          <w:sz w:val="20"/>
          <w:szCs w:val="20"/>
        </w:rPr>
      </w:pPr>
      <w:r>
        <w:rPr>
          <w:rFonts w:eastAsia="Arial" w:cs="Arial" w:ascii="Bookman Old Style" w:hAnsi="Bookman Old Style"/>
          <w:b/>
          <w:bCs/>
          <w:i/>
          <w:iCs/>
          <w:sz w:val="20"/>
          <w:szCs w:val="20"/>
        </w:rPr>
        <w:t>Nota (2):</w:t>
      </w:r>
      <w:r>
        <w:rPr>
          <w:rFonts w:eastAsia="Arial" w:cs="Arial" w:ascii="Bookman Old Style" w:hAnsi="Bookman Old Style"/>
          <w:i/>
          <w:iCs/>
          <w:sz w:val="20"/>
          <w:szCs w:val="20"/>
        </w:rPr>
        <w:t xml:space="preserve"> Costo total de gasto variable por cada plaza Profesional (Defensor Público), para el 2021 es de </w:t>
      </w:r>
      <w:r>
        <w:rPr>
          <w:rFonts w:eastAsia="Arial"/>
          <w:i/>
          <w:iCs/>
          <w:sz w:val="20"/>
          <w:szCs w:val="20"/>
        </w:rPr>
        <w:t>₡</w:t>
      </w:r>
      <w:r>
        <w:rPr>
          <w:rFonts w:eastAsia="Arial" w:cs="Arial" w:ascii="Bookman Old Style" w:hAnsi="Bookman Old Style"/>
          <w:i/>
          <w:iCs/>
          <w:sz w:val="20"/>
          <w:szCs w:val="20"/>
        </w:rPr>
        <w:t>1.678.273</w:t>
      </w:r>
    </w:p>
    <w:p>
      <w:pPr>
        <w:pStyle w:val="Normal"/>
        <w:ind w:right="1031" w:hanging="0"/>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Modernización Institucional, con datos suministrados del Subproceso de Formulación de Presupuesto y Portafolio de Proyectos de la Dirección de Planificación</w:t>
      </w:r>
    </w:p>
    <w:p>
      <w:pPr>
        <w:pStyle w:val="Normal"/>
        <w:jc w:val="both"/>
        <w:rPr>
          <w:rFonts w:ascii="Bookman Old Style" w:hAnsi="Bookman Old Style"/>
          <w:i/>
          <w:i/>
          <w:iCs/>
          <w:sz w:val="20"/>
          <w:szCs w:val="20"/>
        </w:rPr>
      </w:pPr>
      <w:r>
        <w:rPr>
          <w:rFonts w:ascii="Bookman Old Style" w:hAnsi="Bookman Old Style"/>
          <w:i/>
          <w:iCs/>
          <w:sz w:val="20"/>
          <w:szCs w:val="20"/>
        </w:rPr>
        <w:t>En relación a los recursos que se requieren para completar la cobertura a nivel nacional de la materia de pensiones se ratifica la necesidad, sin embargo, esta deberá constar como parte de la extensión del servicio en pensiones y no en el impacto de este estudio que nos ocupa.</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 xml:space="preserve">Elementos resolutivos </w:t>
      </w:r>
    </w:p>
    <w:p>
      <w:pPr>
        <w:pStyle w:val="Normal"/>
        <w:numPr>
          <w:ilvl w:val="0"/>
          <w:numId w:val="8"/>
        </w:numPr>
        <w:spacing w:before="240" w:after="240"/>
        <w:jc w:val="both"/>
        <w:rPr>
          <w:rFonts w:ascii="Bookman Old Style" w:hAnsi="Bookman Old Style"/>
          <w:i/>
          <w:i/>
          <w:iCs/>
          <w:sz w:val="20"/>
          <w:szCs w:val="20"/>
        </w:rPr>
      </w:pPr>
      <w:r>
        <w:rPr>
          <w:rFonts w:ascii="Bookman Old Style" w:hAnsi="Bookman Old Style"/>
          <w:i/>
          <w:iCs/>
          <w:sz w:val="20"/>
          <w:szCs w:val="20"/>
        </w:rPr>
        <w:t>Según los datos demográficos, la competencia territorial, los asuntos en trámite y asuntos ingresados y terminados por materia, se determinó que, en razón del análisis de las cargas de trabajo de las diferentes oficinas de la Defensa Pública que tramitan asuntos con personas usuarias indígenas, se deben reforzar de manera prioritaria las oficinas de Bribri y Buenos Aires, específicamente en la materia pensión alimentaria. Es importante ratificar que, con base en el criterio de la Dirección de Planificación en el informe 634-PLA-RH-MI-2019 del análisis presupuestario del 2020 a partir de la promulgación de la Ley 9593 de Acceso a la Justicia de Pueblos Indígenas, se identifica la necesidad de recurso defensor en estas dos oficinas y, continúa siendo la necesidad para el periodo presupuestario 2021.</w:t>
      </w:r>
    </w:p>
    <w:p>
      <w:pPr>
        <w:pStyle w:val="Normal"/>
        <w:ind w:left="720" w:hanging="0"/>
        <w:jc w:val="both"/>
        <w:rPr>
          <w:rFonts w:ascii="Bookman Old Style" w:hAnsi="Bookman Old Style"/>
          <w:i/>
          <w:i/>
          <w:iCs/>
          <w:sz w:val="20"/>
          <w:szCs w:val="20"/>
        </w:rPr>
      </w:pPr>
      <w:r>
        <w:rPr>
          <w:rFonts w:ascii="Bookman Old Style" w:hAnsi="Bookman Old Style"/>
          <w:i/>
          <w:iCs/>
          <w:sz w:val="20"/>
          <w:szCs w:val="20"/>
        </w:rPr>
        <w:t>Lo anterior sustentado en que para el 2018 el 85% del circulante activo en Pensiones Alimentarias con interviniente indígena se encontraba en las oficinas de Bribri y Buenos Aires, y para el tercer trimestre del 2019 este dato corresponde a un 70% distribuido en 36% para Bribri y 34% para Buenos Aires, mostrando que si bien es cierto el porcentaje disminuyó contra el año anterior, la tendencia es la misma; ya que, el restante 30% del circulante se diluye entre 15 oficinas.</w:t>
      </w:r>
    </w:p>
    <w:p>
      <w:pPr>
        <w:pStyle w:val="Normal"/>
        <w:numPr>
          <w:ilvl w:val="0"/>
          <w:numId w:val="8"/>
        </w:numPr>
        <w:spacing w:before="240" w:after="240"/>
        <w:jc w:val="both"/>
        <w:rPr>
          <w:rFonts w:ascii="Bookman Old Style" w:hAnsi="Bookman Old Style"/>
          <w:i/>
          <w:i/>
          <w:iCs/>
          <w:sz w:val="20"/>
          <w:szCs w:val="20"/>
        </w:rPr>
      </w:pPr>
      <w:r>
        <w:rPr>
          <w:rFonts w:ascii="Bookman Old Style" w:hAnsi="Bookman Old Style"/>
          <w:i/>
          <w:iCs/>
          <w:sz w:val="20"/>
          <w:szCs w:val="20"/>
        </w:rPr>
        <w:t>En lo referente a la atención de materia Agraria y Contenciosa Administrativa, el Consejo Superior en la sesión extraordinaria 44-19 (Presupuesto 2020) artículo II, del 16 de mayo de 2019 acordó que a partir del año 2020 las siete plazas de recurso defensor que se encontraban extraordinarias para la atención de materia agraria, pasaron a condición ordinarias; asumiendo la defensa técnica de aquellos asuntos Contenciosos Administrativos donde figure como parte actora o demandada una o más personas indígenas. Aunado a lo anterior, en el análisis de cargas de trabajo del presente informe se determina que, el circulante de las plazas de Defensora o Defensor Público en materia Agraria a nivel nacional se encuentra en 115 procesos o expedientes, estando este promedio nacional 65 asuntos por debajo de la cuota establecida por la Coordinación en Materia Agraria de la Defensa Pública, lo equivalente a un 36% menos; debido a que la cuota establecida de 180 asuntos de circulante por persona defensora. Por lo anterior y por la competencia de estas plazas, se considera que continúan manteniendo la capacidad para dentro de su carga de trabajo ordinaria asuman aquellos asuntos en Materia Contenciosa Administrativa, donde figure como parte actora o demandada una o más personas usuarias indígenas. Importante aclarar que, en el caso de aquellas plazas, donde la carga de trabajo no alcance la cuota establecida, se le asignarán asuntos de otras jurisdicciones para completar su carga de trabajo.</w:t>
      </w:r>
    </w:p>
    <w:p>
      <w:pPr>
        <w:pStyle w:val="Normal"/>
        <w:numPr>
          <w:ilvl w:val="0"/>
          <w:numId w:val="8"/>
        </w:numPr>
        <w:spacing w:before="240" w:after="240"/>
        <w:jc w:val="both"/>
        <w:rPr>
          <w:rFonts w:ascii="Bookman Old Style" w:hAnsi="Bookman Old Style"/>
          <w:i/>
          <w:i/>
          <w:iCs/>
          <w:sz w:val="20"/>
          <w:szCs w:val="20"/>
        </w:rPr>
      </w:pPr>
      <w:r>
        <w:rPr>
          <w:rFonts w:ascii="Bookman Old Style" w:hAnsi="Bookman Old Style"/>
          <w:i/>
          <w:iCs/>
          <w:sz w:val="20"/>
          <w:szCs w:val="20"/>
        </w:rPr>
        <w:t>A pesar de que, en consulta al personal del Tribunal Contencioso Administrativo y Civil de Hacienda, aún no se cuente con el identificador de personas servidoras judiciales en calidad de intervinientes dentro de las bases de datos, lo cual resulta que materialmente sea imposible la proyección de la demanda del servicio profesional para ejercer la defensa técnica en los casos que lo ameriten; se considera que estos procesos o asuntos pueden ser asumidos por las Defensoras y Defensores Públicos que asumen los asuntos Contenciosos Administrativos donde intervienen personas usuarias indígenas, de manera que los asuntos con servidores judiciales en calidad de intervinientes contribuyan para completar la carga de trabajo establecida para este personal defensor.</w:t>
      </w:r>
    </w:p>
    <w:p>
      <w:pPr>
        <w:pStyle w:val="Normal"/>
        <w:numPr>
          <w:ilvl w:val="0"/>
          <w:numId w:val="8"/>
        </w:numPr>
        <w:spacing w:before="240" w:after="240"/>
        <w:jc w:val="both"/>
        <w:rPr>
          <w:rFonts w:ascii="Bookman Old Style" w:hAnsi="Bookman Old Style"/>
          <w:i/>
          <w:i/>
          <w:iCs/>
          <w:sz w:val="20"/>
          <w:szCs w:val="20"/>
        </w:rPr>
      </w:pPr>
      <w:r>
        <w:rPr>
          <w:rFonts w:ascii="Bookman Old Style" w:hAnsi="Bookman Old Style"/>
          <w:i/>
          <w:iCs/>
          <w:sz w:val="20"/>
          <w:szCs w:val="20"/>
        </w:rPr>
        <w:t xml:space="preserve">Resultado del análisis estadístico de los asuntos en materia de Pensiones Alimentarias donde se tiene en calidad de interviniente una persona indígena se concluye que, el 81% de la carga de trabajo a nivel nacional se concentra en las Defensas Públicas de Bribri, Buenos Aires, Pérez Zeledón y Limón, recordando que las últimas dos oficinas brindan apoyo a las dos primeras, donde se encuentra la mayor concentración de asuntos en esta materia. En razón de lo anterior y, tomando en consideración factores cualitativos que permitan brindar un acceso a la justicia efectivo y de atención diferenciada a la población indígena de nuestro país se reitera la necesidad de la incorporación de dos plazas de Defensora o Defensor Público (una en cada oficina), para la atención de asuntos de Pensión Alimentaria dónde figure como parte actora o demandada una persona indígena. </w:t>
      </w:r>
    </w:p>
    <w:p>
      <w:pPr>
        <w:pStyle w:val="Normal"/>
        <w:numPr>
          <w:ilvl w:val="0"/>
          <w:numId w:val="8"/>
        </w:numPr>
        <w:spacing w:before="240" w:after="240"/>
        <w:jc w:val="both"/>
        <w:rPr>
          <w:rFonts w:ascii="Bookman Old Style" w:hAnsi="Bookman Old Style"/>
          <w:i/>
          <w:i/>
          <w:iCs/>
          <w:sz w:val="20"/>
          <w:szCs w:val="20"/>
        </w:rPr>
      </w:pPr>
      <w:r>
        <w:rPr>
          <w:rFonts w:ascii="Bookman Old Style" w:hAnsi="Bookman Old Style"/>
          <w:i/>
          <w:iCs/>
          <w:sz w:val="20"/>
          <w:szCs w:val="20"/>
        </w:rPr>
        <w:t>El proyecto de mejora de mejora integral del proceso penal en las defensas públicas tiene la posibilidad de realizar movilizaciones de personal cuando es técnicamente viable; por lo tanto, según las prioridades institucionales, se deberá considerar el cumplimiento de la ley 9593 de Acceso a la Justicia a la población indígena.</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Ttulo1"/>
        <w:keepLines w:val="false"/>
        <w:numPr>
          <w:ilvl w:val="0"/>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Recomendaciones</w:t>
      </w:r>
    </w:p>
    <w:p>
      <w:pPr>
        <w:pStyle w:val="Ttulo2"/>
        <w:keepLines w:val="false"/>
        <w:numPr>
          <w:ilvl w:val="1"/>
          <w:numId w:val="7"/>
        </w:numPr>
        <w:spacing w:lineRule="auto" w:line="360" w:before="0" w:after="240"/>
        <w:jc w:val="both"/>
        <w:rPr>
          <w:rFonts w:ascii="Bookman Old Style" w:hAnsi="Bookman Old Style"/>
          <w:i/>
          <w:i/>
          <w:iCs/>
          <w:sz w:val="20"/>
          <w:szCs w:val="20"/>
        </w:rPr>
      </w:pPr>
      <w:r>
        <w:rPr>
          <w:rFonts w:ascii="Bookman Old Style" w:hAnsi="Bookman Old Style"/>
          <w:i/>
          <w:iCs/>
          <w:sz w:val="20"/>
          <w:szCs w:val="20"/>
        </w:rPr>
        <w:t>Escenarios para suplir las necesidades de personal defensor</w:t>
      </w:r>
    </w:p>
    <w:p>
      <w:pPr>
        <w:pStyle w:val="Normal"/>
        <w:jc w:val="both"/>
        <w:rPr>
          <w:rFonts w:ascii="Bookman Old Style" w:hAnsi="Bookman Old Style"/>
          <w:i/>
          <w:i/>
          <w:iCs/>
          <w:sz w:val="20"/>
          <w:szCs w:val="20"/>
        </w:rPr>
      </w:pPr>
      <w:r>
        <w:rPr>
          <w:rFonts w:ascii="Bookman Old Style" w:hAnsi="Bookman Old Style"/>
          <w:i/>
          <w:iCs/>
          <w:sz w:val="20"/>
          <w:szCs w:val="20"/>
        </w:rPr>
        <w:t>En razón de las limitaciones presupuestarias, mencionadas en el apartado de antecedentes del presente informe, se plantean dos escenarios para el cumplimiento de la necesidad de personal para el efectivo acceso a la justicia a las personas usuarias indígenas.</w:t>
      </w:r>
    </w:p>
    <w:p>
      <w:pPr>
        <w:pStyle w:val="Ttulo3"/>
        <w:keepLines w:val="false"/>
        <w:numPr>
          <w:ilvl w:val="0"/>
          <w:numId w:val="4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Escenario 1: Inclusión de plazas dentro del presupuesto 2021</w:t>
      </w:r>
    </w:p>
    <w:p>
      <w:pPr>
        <w:pStyle w:val="Normal"/>
        <w:jc w:val="both"/>
        <w:rPr>
          <w:rFonts w:ascii="Bookman Old Style" w:hAnsi="Bookman Old Style"/>
          <w:i/>
          <w:i/>
          <w:iCs/>
          <w:sz w:val="20"/>
          <w:szCs w:val="20"/>
        </w:rPr>
      </w:pPr>
      <w:r>
        <w:rPr>
          <w:rFonts w:ascii="Bookman Old Style" w:hAnsi="Bookman Old Style"/>
          <w:i/>
          <w:iCs/>
          <w:sz w:val="20"/>
          <w:szCs w:val="20"/>
        </w:rPr>
        <w:t>Incluir dentro del presupuesto 2021, dos plazas de Defensora o Defensor Público para la atención de asuntos de Pensión Alimentaria, con el fin de dar sostenibilidad al plan de trabajo propuesto en este informe; dado a que, al reforzar la estructura del recurso humano de la Defensa Pública de Bribri y la Defensa Pública de Buenos Aires, se estaría en la capacidad para asumir la atención ordinaria de asuntos donde figure como parte actora o demanda una o más personas usuarias indígenas.</w:t>
      </w:r>
    </w:p>
    <w:p>
      <w:pPr>
        <w:pStyle w:val="Normal"/>
        <w:jc w:val="both"/>
        <w:rPr>
          <w:rFonts w:ascii="Bookman Old Style" w:hAnsi="Bookman Old Style"/>
          <w:i/>
          <w:i/>
          <w:iCs/>
          <w:sz w:val="20"/>
          <w:szCs w:val="20"/>
        </w:rPr>
      </w:pPr>
      <w:r>
        <w:rPr>
          <w:rFonts w:ascii="Bookman Old Style" w:hAnsi="Bookman Old Style"/>
          <w:i/>
          <w:iCs/>
          <w:sz w:val="20"/>
          <w:szCs w:val="20"/>
        </w:rPr>
      </w:r>
      <w:r>
        <w:br w:type="page"/>
      </w:r>
    </w:p>
    <w:p>
      <w:pPr>
        <w:pStyle w:val="Caption"/>
        <w:keepNext w:val="true"/>
        <w:spacing w:before="0" w:after="0"/>
        <w:rPr>
          <w:rFonts w:ascii="Bookman Old Style" w:hAnsi="Bookman Old Style" w:cs="Arial"/>
          <w:i/>
          <w:i/>
          <w:iCs/>
        </w:rPr>
      </w:pPr>
      <w:r>
        <w:rPr>
          <w:rFonts w:cs="Arial" w:ascii="Bookman Old Style" w:hAnsi="Bookman Old Style"/>
          <w:i/>
          <w:iCs/>
        </w:rPr>
        <w:t xml:space="preserve">Tabla </w:t>
      </w:r>
      <w:r>
        <w:rPr>
          <w:rFonts w:cs="Arial" w:ascii="Bookman Old Style" w:hAnsi="Bookman Old Style"/>
          <w:i/>
          <w:iCs/>
        </w:rPr>
        <w:fldChar w:fldCharType="begin"/>
      </w:r>
      <w:r>
        <w:rPr>
          <w:i/>
          <w:iCs/>
          <w:rFonts w:cs="Arial" w:ascii="Bookman Old Style" w:hAnsi="Bookman Old Style"/>
        </w:rPr>
        <w:instrText> SEQ Tabla \* ARABIC </w:instrText>
      </w:r>
      <w:r>
        <w:rPr>
          <w:i/>
          <w:iCs/>
          <w:rFonts w:cs="Arial" w:ascii="Bookman Old Style" w:hAnsi="Bookman Old Style"/>
        </w:rPr>
        <w:fldChar w:fldCharType="separate"/>
      </w:r>
      <w:r>
        <w:rPr>
          <w:i/>
          <w:iCs/>
          <w:rFonts w:cs="Arial" w:ascii="Bookman Old Style" w:hAnsi="Bookman Old Style"/>
        </w:rPr>
        <w:t>10</w:t>
      </w:r>
      <w:r>
        <w:rPr>
          <w:i/>
          <w:iCs/>
          <w:rFonts w:cs="Arial" w:ascii="Bookman Old Style" w:hAnsi="Bookman Old Style"/>
        </w:rPr>
        <w:fldChar w:fldCharType="end"/>
      </w:r>
      <w:r>
        <w:rPr>
          <w:rFonts w:cs="Arial" w:ascii="Bookman Old Style" w:hAnsi="Bookman Old Style"/>
          <w:i/>
          <w:iCs/>
        </w:rPr>
        <w:t xml:space="preserve"> </w:t>
      </w:r>
      <w:r>
        <w:rPr>
          <w:rFonts w:eastAsia="Arial" w:cs="Arial" w:ascii="Bookman Old Style" w:hAnsi="Bookman Old Style"/>
          <w:i/>
          <w:iCs/>
        </w:rPr>
        <w:t>Estimación del costo estimado para el 2021, dos plazas extraordinarias de Defensor Público que atienden materia Pensión Alimentaria.</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262"/>
        <w:gridCol w:w="1110"/>
        <w:gridCol w:w="1048"/>
        <w:gridCol w:w="1382"/>
        <w:gridCol w:w="1660"/>
        <w:gridCol w:w="1105"/>
        <w:gridCol w:w="2184"/>
      </w:tblGrid>
      <w:tr>
        <w:trPr>
          <w:trHeight w:val="407" w:hRule="atLeast"/>
        </w:trPr>
        <w:tc>
          <w:tcPr>
            <w:tcW w:w="1262"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Despacho</w:t>
            </w:r>
          </w:p>
        </w:tc>
        <w:tc>
          <w:tcPr>
            <w:tcW w:w="1110"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Cantidad</w:t>
            </w:r>
          </w:p>
        </w:tc>
        <w:tc>
          <w:tcPr>
            <w:tcW w:w="1048"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Tipo de plaza</w:t>
            </w:r>
          </w:p>
        </w:tc>
        <w:tc>
          <w:tcPr>
            <w:tcW w:w="1382"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Condición actual</w:t>
            </w:r>
          </w:p>
        </w:tc>
        <w:tc>
          <w:tcPr>
            <w:tcW w:w="1660"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Recomen-dación</w:t>
            </w:r>
          </w:p>
        </w:tc>
        <w:tc>
          <w:tcPr>
            <w:tcW w:w="1105"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Período</w:t>
            </w:r>
          </w:p>
        </w:tc>
        <w:tc>
          <w:tcPr>
            <w:tcW w:w="218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
              <w:widowControl w:val="false"/>
              <w:jc w:val="both"/>
              <w:rPr>
                <w:rFonts w:ascii="Bookman Old Style" w:hAnsi="Bookman Old Style" w:eastAsia="Arial" w:cs="Arial"/>
                <w:b/>
                <w:b/>
                <w:bCs/>
                <w:i/>
                <w:i/>
                <w:iCs/>
                <w:sz w:val="20"/>
                <w:szCs w:val="20"/>
              </w:rPr>
            </w:pPr>
            <w:r>
              <w:rPr>
                <w:rFonts w:eastAsia="Arial" w:cs="Arial" w:ascii="Bookman Old Style" w:hAnsi="Bookman Old Style"/>
                <w:b/>
                <w:bCs/>
                <w:i/>
                <w:iCs/>
                <w:sz w:val="20"/>
                <w:szCs w:val="20"/>
              </w:rPr>
              <w:t>Costo Estimado</w:t>
            </w:r>
          </w:p>
        </w:tc>
      </w:tr>
      <w:tr>
        <w:trPr>
          <w:trHeight w:val="203" w:hRule="atLeast"/>
        </w:trPr>
        <w:tc>
          <w:tcPr>
            <w:tcW w:w="1262"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Unidad de Pensión Alimentaria de la Dirección de la Defensa Pública</w:t>
            </w:r>
          </w:p>
        </w:tc>
        <w:tc>
          <w:tcPr>
            <w:tcW w:w="1110"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2</w:t>
            </w:r>
          </w:p>
        </w:tc>
        <w:tc>
          <w:tcPr>
            <w:tcW w:w="1048"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Defensor Público</w:t>
            </w:r>
          </w:p>
        </w:tc>
        <w:tc>
          <w:tcPr>
            <w:tcW w:w="1382"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w:t>
            </w:r>
          </w:p>
        </w:tc>
        <w:tc>
          <w:tcPr>
            <w:tcW w:w="1660"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Extraordinaria</w:t>
            </w:r>
          </w:p>
        </w:tc>
        <w:tc>
          <w:tcPr>
            <w:tcW w:w="1105"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cs="Arial" w:ascii="Bookman Old Style" w:hAnsi="Bookman Old Style"/>
                <w:i/>
                <w:iCs/>
                <w:sz w:val="20"/>
                <w:szCs w:val="20"/>
              </w:rPr>
              <w:t>12 meses</w:t>
            </w:r>
          </w:p>
        </w:tc>
        <w:tc>
          <w:tcPr>
            <w:tcW w:w="218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
              <w:widowControl w:val="false"/>
              <w:jc w:val="both"/>
              <w:rPr>
                <w:rFonts w:ascii="Bookman Old Style" w:hAnsi="Bookman Old Style" w:eastAsia="Arial" w:cs="Arial"/>
                <w:i/>
                <w:i/>
                <w:iCs/>
                <w:sz w:val="20"/>
                <w:szCs w:val="20"/>
              </w:rPr>
            </w:pPr>
            <w:r>
              <w:rPr>
                <w:rFonts w:eastAsia="Arial"/>
                <w:i/>
                <w:iCs/>
                <w:sz w:val="20"/>
                <w:szCs w:val="20"/>
              </w:rPr>
              <w:t>₡</w:t>
            </w:r>
            <w:r>
              <w:rPr>
                <w:rFonts w:eastAsia="Arial" w:cs="Arial" w:ascii="Bookman Old Style" w:hAnsi="Bookman Old Style"/>
                <w:i/>
                <w:iCs/>
                <w:sz w:val="20"/>
                <w:szCs w:val="20"/>
              </w:rPr>
              <w:t>105.734.000</w:t>
            </w:r>
          </w:p>
        </w:tc>
      </w:tr>
      <w:tr>
        <w:trPr>
          <w:trHeight w:val="203" w:hRule="atLeast"/>
        </w:trPr>
        <w:tc>
          <w:tcPr>
            <w:tcW w:w="7567"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2184"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eastAsia="Arial" w:cs="Arial"/>
                <w:i/>
                <w:i/>
                <w:iCs/>
                <w:sz w:val="20"/>
                <w:szCs w:val="20"/>
              </w:rPr>
            </w:pPr>
            <w:r>
              <w:rPr>
                <w:rFonts w:eastAsia="Arial"/>
                <w:i/>
                <w:iCs/>
                <w:sz w:val="20"/>
                <w:szCs w:val="20"/>
              </w:rPr>
              <w:t>₡</w:t>
            </w:r>
            <w:r>
              <w:rPr>
                <w:rFonts w:eastAsia="Arial" w:cs="Arial" w:ascii="Bookman Old Style" w:hAnsi="Bookman Old Style"/>
                <w:i/>
                <w:iCs/>
                <w:sz w:val="20"/>
                <w:szCs w:val="20"/>
              </w:rPr>
              <w:t>3.356.545,00</w:t>
            </w:r>
          </w:p>
        </w:tc>
      </w:tr>
      <w:tr>
        <w:trPr>
          <w:trHeight w:val="203" w:hRule="atLeast"/>
        </w:trPr>
        <w:tc>
          <w:tcPr>
            <w:tcW w:w="7567"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r>
          </w:p>
        </w:tc>
        <w:tc>
          <w:tcPr>
            <w:tcW w:w="2184"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
              <w:widowControl w:val="false"/>
              <w:jc w:val="both"/>
              <w:rPr>
                <w:rFonts w:ascii="Bookman Old Style" w:hAnsi="Bookman Old Style" w:eastAsia="Arial" w:cs="Arial"/>
                <w:b/>
                <w:b/>
                <w:bCs/>
                <w:i/>
                <w:i/>
                <w:iCs/>
                <w:sz w:val="20"/>
                <w:szCs w:val="20"/>
              </w:rPr>
            </w:pPr>
            <w:r>
              <w:rPr>
                <w:rFonts w:eastAsia="Arial"/>
                <w:b/>
                <w:bCs/>
                <w:i/>
                <w:iCs/>
                <w:sz w:val="20"/>
                <w:szCs w:val="20"/>
              </w:rPr>
              <w:t>₡</w:t>
            </w:r>
            <w:r>
              <w:rPr>
                <w:rFonts w:eastAsia="Arial" w:cs="Arial" w:ascii="Bookman Old Style" w:hAnsi="Bookman Old Style"/>
                <w:b/>
                <w:bCs/>
                <w:i/>
                <w:iCs/>
                <w:sz w:val="20"/>
                <w:szCs w:val="20"/>
              </w:rPr>
              <w:t>109.090.545,00</w:t>
            </w:r>
          </w:p>
        </w:tc>
      </w:tr>
    </w:tbl>
    <w:p>
      <w:pPr>
        <w:pStyle w:val="Normal"/>
        <w:ind w:left="904" w:right="1031" w:hanging="0"/>
        <w:jc w:val="both"/>
        <w:rPr>
          <w:rFonts w:ascii="Bookman Old Style" w:hAnsi="Bookman Old Style" w:eastAsia="Arial" w:cs="Arial"/>
          <w:i/>
          <w:i/>
          <w:iCs/>
          <w:sz w:val="20"/>
          <w:szCs w:val="20"/>
        </w:rPr>
      </w:pPr>
      <w:r>
        <w:rPr>
          <w:rFonts w:eastAsia="Arial" w:cs="Arial" w:ascii="Bookman Old Style" w:hAnsi="Bookman Old Style"/>
          <w:b/>
          <w:bCs/>
          <w:i/>
          <w:iCs/>
          <w:sz w:val="20"/>
          <w:szCs w:val="20"/>
        </w:rPr>
        <w:t>Nota (1):</w:t>
      </w:r>
      <w:r>
        <w:rPr>
          <w:rFonts w:eastAsia="Arial" w:cs="Arial" w:ascii="Bookman Old Style" w:hAnsi="Bookman Old Style"/>
          <w:i/>
          <w:iCs/>
          <w:sz w:val="20"/>
          <w:szCs w:val="20"/>
        </w:rPr>
        <w:t xml:space="preserve"> Costo promedio por puesto de Defensor Público, para el 2021 es de </w:t>
      </w:r>
      <w:r>
        <w:rPr>
          <w:rFonts w:eastAsia="Arial"/>
          <w:i/>
          <w:iCs/>
          <w:sz w:val="20"/>
          <w:szCs w:val="20"/>
        </w:rPr>
        <w:t>₡</w:t>
      </w:r>
      <w:r>
        <w:rPr>
          <w:rFonts w:eastAsia="Arial" w:cs="Arial" w:ascii="Bookman Old Style" w:hAnsi="Bookman Old Style"/>
          <w:i/>
          <w:iCs/>
          <w:sz w:val="20"/>
          <w:szCs w:val="20"/>
        </w:rPr>
        <w:t>52.867.000</w:t>
      </w:r>
    </w:p>
    <w:p>
      <w:pPr>
        <w:pStyle w:val="Normal"/>
        <w:ind w:left="904" w:right="1031" w:hanging="0"/>
        <w:jc w:val="both"/>
        <w:rPr>
          <w:rFonts w:ascii="Bookman Old Style" w:hAnsi="Bookman Old Style" w:eastAsia="Arial" w:cs="Arial"/>
          <w:i/>
          <w:i/>
          <w:iCs/>
          <w:sz w:val="20"/>
          <w:szCs w:val="20"/>
        </w:rPr>
      </w:pPr>
      <w:r>
        <w:rPr>
          <w:rFonts w:eastAsia="Arial" w:cs="Arial" w:ascii="Bookman Old Style" w:hAnsi="Bookman Old Style"/>
          <w:b/>
          <w:bCs/>
          <w:i/>
          <w:iCs/>
          <w:sz w:val="20"/>
          <w:szCs w:val="20"/>
        </w:rPr>
        <w:t>Nota (2):</w:t>
      </w:r>
      <w:r>
        <w:rPr>
          <w:rFonts w:eastAsia="Arial" w:cs="Arial" w:ascii="Bookman Old Style" w:hAnsi="Bookman Old Style"/>
          <w:i/>
          <w:iCs/>
          <w:sz w:val="20"/>
          <w:szCs w:val="20"/>
        </w:rPr>
        <w:t xml:space="preserve"> Costo total de gasto variable por cada plaza Profesional (Defensor Público), para el 2021 es de </w:t>
      </w:r>
      <w:r>
        <w:rPr>
          <w:rFonts w:eastAsia="Arial"/>
          <w:i/>
          <w:iCs/>
          <w:sz w:val="20"/>
          <w:szCs w:val="20"/>
        </w:rPr>
        <w:t>₡</w:t>
      </w:r>
      <w:r>
        <w:rPr>
          <w:rFonts w:eastAsia="Arial" w:cs="Arial" w:ascii="Bookman Old Style" w:hAnsi="Bookman Old Style"/>
          <w:i/>
          <w:iCs/>
          <w:sz w:val="20"/>
          <w:szCs w:val="20"/>
        </w:rPr>
        <w:t>1.678.273</w:t>
      </w:r>
    </w:p>
    <w:p>
      <w:pPr>
        <w:pStyle w:val="Normal"/>
        <w:ind w:left="904" w:right="1031" w:hanging="0"/>
        <w:jc w:val="both"/>
        <w:rPr>
          <w:rFonts w:ascii="Bookman Old Style" w:hAnsi="Bookman Old Style" w:eastAsia="Arial" w:cs="Arial"/>
          <w:i/>
          <w:i/>
          <w:iCs/>
          <w:sz w:val="20"/>
          <w:szCs w:val="20"/>
        </w:rPr>
      </w:pPr>
      <w:r>
        <w:rPr>
          <w:rFonts w:eastAsia="Arial" w:cs="Arial" w:ascii="Bookman Old Style" w:hAnsi="Bookman Old Style"/>
          <w:b/>
          <w:bCs/>
          <w:i/>
          <w:iCs/>
          <w:sz w:val="20"/>
          <w:szCs w:val="20"/>
        </w:rPr>
        <w:t>Fuente:</w:t>
      </w:r>
      <w:r>
        <w:rPr>
          <w:rFonts w:eastAsia="Arial" w:cs="Arial" w:ascii="Bookman Old Style" w:hAnsi="Bookman Old Style"/>
          <w:i/>
          <w:iCs/>
          <w:sz w:val="20"/>
          <w:szCs w:val="20"/>
        </w:rPr>
        <w:t xml:space="preserve"> Modernización Institucional, con datos suministrados del Subproceso de Formulación de Presupuesto y Portafolio de Proyectos de la Dirección de Planificación</w:t>
      </w:r>
    </w:p>
    <w:p>
      <w:pPr>
        <w:pStyle w:val="Ttulo3"/>
        <w:keepLines w:val="false"/>
        <w:numPr>
          <w:ilvl w:val="0"/>
          <w:numId w:val="41"/>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Escenario 2: Reubicación de personal defensor</w:t>
      </w:r>
    </w:p>
    <w:p>
      <w:pPr>
        <w:pStyle w:val="Normal"/>
        <w:jc w:val="both"/>
        <w:rPr>
          <w:rFonts w:ascii="Bookman Old Style" w:hAnsi="Bookman Old Style"/>
          <w:i/>
          <w:i/>
          <w:iCs/>
          <w:sz w:val="20"/>
          <w:szCs w:val="20"/>
        </w:rPr>
      </w:pPr>
      <w:r>
        <w:rPr>
          <w:rFonts w:ascii="Bookman Old Style" w:hAnsi="Bookman Old Style"/>
          <w:i/>
          <w:iCs/>
          <w:sz w:val="20"/>
          <w:szCs w:val="20"/>
        </w:rPr>
        <w:t>Como se menciona en el presente informe, la Dirección de Planificación se encuentra desarrollando el Proyecto “Mejora Integral del Proceso Penal”, donde se considera que, en los casos en que el criterio de este ente técnico lo indique, se podrá plantear la posibilidad de movilizar plazas de Defensora o Defensor Público, con el propósito de suplir la necesidad de personal para la atención de personas usuarias indígenas en la Defensa Pública de Bribri y Buenos Aires, a partir de la promulgación de la Ley 9593 de Acceso a la Justicia de los Pueblos Indígenas. Lo anterior en el entendido que una posible movilización de recursos dependerá meramente de los estudios técnicos realizados y de una priorización según las necesidades institucionales previamente detectadas.</w:t>
      </w:r>
    </w:p>
    <w:p>
      <w:pPr>
        <w:pStyle w:val="Normal"/>
        <w:jc w:val="both"/>
        <w:rPr>
          <w:rFonts w:ascii="Bookman Old Style" w:hAnsi="Bookman Old Style"/>
          <w:i/>
          <w:i/>
          <w:iCs/>
          <w:sz w:val="20"/>
          <w:szCs w:val="20"/>
        </w:rPr>
      </w:pPr>
      <w:r>
        <w:rPr>
          <w:rFonts w:ascii="Bookman Old Style" w:hAnsi="Bookman Old Style"/>
          <w:i/>
          <w:iCs/>
          <w:sz w:val="20"/>
          <w:szCs w:val="20"/>
        </w:rPr>
        <w:t xml:space="preserve">Importante aclarar que, si bien este escenario no tiene impacto directo en el presupuesto de la institución, se dependerá del cronograma del Proyecto “Mejora Integral del Proceso Penal” y, por ende, se imposibilita determinar el momento en que se podrá suplir las necesidades detectadas en el presente informe. </w:t>
      </w:r>
    </w:p>
    <w:p>
      <w:pPr>
        <w:pStyle w:val="Normal"/>
        <w:jc w:val="both"/>
        <w:rPr>
          <w:rFonts w:ascii="Bookman Old Style" w:hAnsi="Bookman Old Style"/>
          <w:i/>
          <w:i/>
          <w:iCs/>
          <w:sz w:val="20"/>
          <w:szCs w:val="20"/>
        </w:rPr>
      </w:pPr>
      <w:r>
        <w:rPr>
          <w:rFonts w:ascii="Bookman Old Style" w:hAnsi="Bookman Old Style"/>
          <w:i/>
          <w:iCs/>
          <w:sz w:val="20"/>
          <w:szCs w:val="20"/>
        </w:rPr>
        <w:t>Recomendaciones generales</w:t>
      </w:r>
    </w:p>
    <w:p>
      <w:pPr>
        <w:pStyle w:val="Ttulo3"/>
        <w:keepLines w:val="false"/>
        <w:numPr>
          <w:ilvl w:val="0"/>
          <w:numId w:val="42"/>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A la Jefatura de la Defensa Pública</w:t>
      </w:r>
    </w:p>
    <w:p>
      <w:pPr>
        <w:pStyle w:val="Normal"/>
        <w:numPr>
          <w:ilvl w:val="0"/>
          <w:numId w:val="14"/>
        </w:numPr>
        <w:spacing w:before="240" w:after="240"/>
        <w:ind w:left="714" w:hanging="357"/>
        <w:jc w:val="both"/>
        <w:rPr>
          <w:rFonts w:ascii="Bookman Old Style" w:hAnsi="Bookman Old Style"/>
          <w:i/>
          <w:i/>
          <w:iCs/>
          <w:color w:val="000000"/>
          <w:sz w:val="20"/>
          <w:szCs w:val="20"/>
        </w:rPr>
      </w:pPr>
      <w:r>
        <w:rPr>
          <w:rFonts w:ascii="Bookman Old Style" w:hAnsi="Bookman Old Style"/>
          <w:i/>
          <w:iCs/>
          <w:sz w:val="20"/>
          <w:szCs w:val="20"/>
        </w:rPr>
        <w:t>Analizar en 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p>
    <w:p>
      <w:pPr>
        <w:pStyle w:val="Normal"/>
        <w:numPr>
          <w:ilvl w:val="0"/>
          <w:numId w:val="14"/>
        </w:numPr>
        <w:spacing w:before="240" w:after="240"/>
        <w:ind w:left="714" w:hanging="357"/>
        <w:jc w:val="both"/>
        <w:rPr>
          <w:rFonts w:ascii="Bookman Old Style" w:hAnsi="Bookman Old Style"/>
          <w:i/>
          <w:i/>
          <w:iCs/>
          <w:color w:val="000000"/>
          <w:sz w:val="20"/>
          <w:szCs w:val="20"/>
        </w:rPr>
      </w:pPr>
      <w:r>
        <w:rPr>
          <w:rFonts w:ascii="Bookman Old Style" w:hAnsi="Bookman Old Style"/>
          <w:i/>
          <w:iCs/>
          <w:sz w:val="20"/>
          <w:szCs w:val="20"/>
        </w:rPr>
        <w:t>En caso de que se asignen las plazas nuevas a la Defensa Pública por parte de la Asamblea Legislativa, asignar complementariamente asuntos de materia Penal, a las plazas de Defensor Público de la Unidad de Pensión Alimentaria que se encuentren asignadas a las Oficinas de la Defensa Pública de Bribrí y Buenos Aires, para completar las cargas de trabajo. Considerando que de manera prioritaria se deberá atender los asuntos de Pensión Alimentaria.</w:t>
      </w:r>
    </w:p>
    <w:p>
      <w:pPr>
        <w:pStyle w:val="Normal"/>
        <w:numPr>
          <w:ilvl w:val="0"/>
          <w:numId w:val="14"/>
        </w:numPr>
        <w:spacing w:before="240" w:after="240"/>
        <w:ind w:left="714" w:hanging="357"/>
        <w:jc w:val="both"/>
        <w:rPr>
          <w:rFonts w:ascii="Bookman Old Style" w:hAnsi="Bookman Old Style"/>
          <w:i/>
          <w:i/>
          <w:iCs/>
          <w:color w:val="000000"/>
          <w:sz w:val="20"/>
          <w:szCs w:val="20"/>
        </w:rPr>
      </w:pPr>
      <w:r>
        <w:rPr>
          <w:rFonts w:ascii="Bookman Old Style" w:hAnsi="Bookman Old Style"/>
          <w:i/>
          <w:iCs/>
          <w:sz w:val="20"/>
          <w:szCs w:val="20"/>
        </w:rPr>
        <w:t xml:space="preserve">Reiterar la circular interna de la Dirección de la Defensa Pública, acerca de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pPr>
        <w:pStyle w:val="Normal"/>
        <w:numPr>
          <w:ilvl w:val="0"/>
          <w:numId w:val="14"/>
        </w:numPr>
        <w:spacing w:before="240" w:after="240"/>
        <w:ind w:left="714" w:hanging="357"/>
        <w:jc w:val="both"/>
        <w:rPr>
          <w:rFonts w:ascii="Bookman Old Style" w:hAnsi="Bookman Old Style"/>
          <w:i/>
          <w:i/>
          <w:iCs/>
          <w:sz w:val="20"/>
          <w:szCs w:val="20"/>
        </w:rPr>
      </w:pPr>
      <w:r>
        <w:rPr>
          <w:rFonts w:ascii="Bookman Old Style" w:hAnsi="Bookman Old Style"/>
          <w:i/>
          <w:iCs/>
          <w:sz w:val="20"/>
          <w:szCs w:val="20"/>
        </w:rPr>
        <w:t>Continuar con las capacitaciones a las personas defensoras públicas que manifiesten la necesidad, de tal forma que puedan incursionar en otras áreas de servicio, ya que según la ley de control interno se debe dar el mayor aprovechamiento de los recursos y en este caso particular en la distribución de las cargas de trabajo.</w:t>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 xml:space="preserve"> </w:t>
      </w:r>
      <w:r>
        <w:rPr>
          <w:rFonts w:ascii="Bookman Old Style" w:hAnsi="Bookman Old Style"/>
          <w:i/>
          <w:iCs/>
          <w:sz w:val="20"/>
          <w:szCs w:val="20"/>
        </w:rPr>
        <w:t>A la Dirección de Gestión Humana</w:t>
      </w:r>
    </w:p>
    <w:p>
      <w:pPr>
        <w:pStyle w:val="Normal"/>
        <w:jc w:val="both"/>
        <w:rPr>
          <w:rFonts w:ascii="Bookman Old Style" w:hAnsi="Bookman Old Style"/>
          <w:i/>
          <w:i/>
          <w:iCs/>
          <w:sz w:val="20"/>
          <w:szCs w:val="20"/>
        </w:rPr>
      </w:pPr>
      <w:r>
        <w:rPr>
          <w:rFonts w:ascii="Bookman Old Style" w:hAnsi="Bookman Old Style"/>
          <w:i/>
          <w:iCs/>
          <w:sz w:val="20"/>
          <w:szCs w:val="20"/>
        </w:rPr>
        <w:t>Se mantienen las recomendaciones realizadas en el informe 634-PLA-RH-MI-2019:</w:t>
      </w:r>
    </w:p>
    <w:p>
      <w:pPr>
        <w:pStyle w:val="Normal"/>
        <w:numPr>
          <w:ilvl w:val="0"/>
          <w:numId w:val="15"/>
        </w:numPr>
        <w:spacing w:before="240" w:after="240"/>
        <w:jc w:val="both"/>
        <w:rPr>
          <w:rFonts w:ascii="Bookman Old Style" w:hAnsi="Bookman Old Style"/>
          <w:i/>
          <w:i/>
          <w:iCs/>
          <w:color w:val="000000"/>
          <w:sz w:val="20"/>
          <w:szCs w:val="20"/>
        </w:rPr>
      </w:pPr>
      <w:r>
        <w:rPr>
          <w:rFonts w:ascii="Bookman Old Style" w:hAnsi="Bookman Old Style"/>
          <w:i/>
          <w:iCs/>
          <w:sz w:val="20"/>
          <w:szCs w:val="20"/>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pPr>
        <w:pStyle w:val="Normal"/>
        <w:numPr>
          <w:ilvl w:val="0"/>
          <w:numId w:val="15"/>
        </w:numPr>
        <w:spacing w:before="240" w:after="240"/>
        <w:jc w:val="both"/>
        <w:rPr>
          <w:rFonts w:ascii="Bookman Old Style" w:hAnsi="Bookman Old Style"/>
          <w:i/>
          <w:i/>
          <w:iCs/>
          <w:color w:val="000000"/>
          <w:sz w:val="20"/>
          <w:szCs w:val="20"/>
        </w:rPr>
      </w:pPr>
      <w:r>
        <w:rPr>
          <w:rFonts w:eastAsia="Arial" w:ascii="Bookman Old Style" w:hAnsi="Bookman Old Style"/>
          <w:i/>
          <w:iCs/>
          <w:color w:val="000000"/>
          <w:sz w:val="20"/>
          <w:szCs w:val="20"/>
        </w:rPr>
        <w:t xml:space="preserve">Considerar en las condiciones para contratar al nuevo personal las disposiciones de la nueva ley aprobada en su artículo 7 que indica: “(…) </w:t>
      </w:r>
      <w:r>
        <w:rPr>
          <w:rFonts w:eastAsia="Arial" w:ascii="Bookman Old Style" w:hAnsi="Bookman Old Style"/>
          <w:i/>
          <w:iCs/>
          <w:sz w:val="20"/>
          <w:szCs w:val="20"/>
        </w:rPr>
        <w:t xml:space="preserve">Asistencia letrada gratuita y gratuidad de la justicia. En aquellos procesos judiciales en que una persona indígena requiera asistencia letrada y no pueda cubrir los costos, la administración de justicia </w:t>
      </w:r>
      <w:r>
        <w:rPr>
          <w:rFonts w:eastAsia="Arial" w:ascii="Bookman Old Style" w:hAnsi="Bookman Old Style"/>
          <w:b/>
          <w:bCs/>
          <w:i/>
          <w:iCs/>
          <w:sz w:val="20"/>
          <w:szCs w:val="20"/>
          <w:u w:val="single"/>
        </w:rPr>
        <w:t>proveerá la asistencia de una persona defensora pública especializada en derecho indígena y en la materia de competencia de forma gratuita (…)</w:t>
      </w:r>
      <w:r>
        <w:rPr>
          <w:rFonts w:eastAsia="Arial" w:ascii="Bookman Old Style" w:hAnsi="Bookman Old Style"/>
          <w:i/>
          <w:iCs/>
          <w:sz w:val="20"/>
          <w:szCs w:val="20"/>
          <w:u w:val="single"/>
        </w:rPr>
        <w:t>”</w:t>
      </w:r>
      <w:r>
        <w:rPr>
          <w:rFonts w:eastAsia="Arial" w:ascii="Bookman Old Style" w:hAnsi="Bookman Old Style"/>
          <w:b/>
          <w:bCs/>
          <w:i/>
          <w:iCs/>
          <w:sz w:val="20"/>
          <w:szCs w:val="20"/>
          <w:u w:val="single"/>
        </w:rPr>
        <w:t>.</w:t>
      </w:r>
      <w:r>
        <w:rPr>
          <w:rFonts w:eastAsia="Arial" w:ascii="Bookman Old Style" w:hAnsi="Bookman Old Style"/>
          <w:i/>
          <w:iCs/>
          <w:color w:val="000000"/>
          <w:sz w:val="20"/>
          <w:szCs w:val="20"/>
        </w:rPr>
        <w:t xml:space="preserve"> Adicionalmente, proponer en los concursos de estas nuevas plazas, que las personas contratadas dispongan del conocimiento de los diferentes idiomas indígenas de tal forma que se pueda brindar un acceso real y más directo a las personas asistidas en estas zonas.</w:t>
      </w:r>
    </w:p>
    <w:p>
      <w:pPr>
        <w:pStyle w:val="Normal"/>
        <w:numPr>
          <w:ilvl w:val="0"/>
          <w:numId w:val="15"/>
        </w:numPr>
        <w:spacing w:lineRule="auto" w:line="360" w:before="240" w:after="240"/>
        <w:jc w:val="both"/>
        <w:rPr>
          <w:rFonts w:ascii="Bookman Old Style" w:hAnsi="Bookman Old Style"/>
          <w:i/>
          <w:i/>
          <w:iCs/>
          <w:color w:val="000000"/>
          <w:sz w:val="20"/>
          <w:szCs w:val="20"/>
        </w:rPr>
      </w:pPr>
      <w:r>
        <w:rPr>
          <w:rFonts w:ascii="Bookman Old Style" w:hAnsi="Bookman Old Style"/>
          <w:i/>
          <w:iCs/>
          <w:sz w:val="20"/>
          <w:szCs w:val="20"/>
        </w:rPr>
        <w:t xml:space="preserve">Analizar en los nuevos concursos habilidades blandas como: </w:t>
      </w:r>
    </w:p>
    <w:p>
      <w:pPr>
        <w:pStyle w:val="Normal"/>
        <w:numPr>
          <w:ilvl w:val="0"/>
          <w:numId w:val="16"/>
        </w:numPr>
        <w:spacing w:lineRule="auto" w:line="360" w:before="240" w:after="240"/>
        <w:jc w:val="both"/>
        <w:rPr>
          <w:rFonts w:ascii="Bookman Old Style" w:hAnsi="Bookman Old Style" w:eastAsia="Arial"/>
          <w:i/>
          <w:i/>
          <w:iCs/>
          <w:sz w:val="20"/>
          <w:szCs w:val="20"/>
        </w:rPr>
      </w:pPr>
      <w:r>
        <w:rPr>
          <w:rFonts w:ascii="Bookman Old Style" w:hAnsi="Bookman Old Style"/>
          <w:i/>
          <w:iCs/>
          <w:sz w:val="20"/>
          <w:szCs w:val="20"/>
        </w:rPr>
        <w:t>Disposición para realizar las diligencias in situ</w:t>
      </w:r>
    </w:p>
    <w:p>
      <w:pPr>
        <w:pStyle w:val="Normal"/>
        <w:numPr>
          <w:ilvl w:val="0"/>
          <w:numId w:val="16"/>
        </w:numPr>
        <w:spacing w:lineRule="auto" w:line="360" w:before="240" w:after="240"/>
        <w:jc w:val="both"/>
        <w:rPr>
          <w:rFonts w:ascii="Bookman Old Style" w:hAnsi="Bookman Old Style" w:eastAsia="Arial"/>
          <w:i/>
          <w:i/>
          <w:iCs/>
          <w:sz w:val="20"/>
          <w:szCs w:val="20"/>
        </w:rPr>
      </w:pPr>
      <w:r>
        <w:rPr>
          <w:rFonts w:ascii="Bookman Old Style" w:hAnsi="Bookman Old Style"/>
          <w:i/>
          <w:iCs/>
          <w:sz w:val="20"/>
          <w:szCs w:val="20"/>
        </w:rPr>
        <w:t>Utilizar diferentes medios de transporte (caballo, camión, bote, panga, etc.)</w:t>
      </w:r>
    </w:p>
    <w:p>
      <w:pPr>
        <w:pStyle w:val="Normal"/>
        <w:numPr>
          <w:ilvl w:val="0"/>
          <w:numId w:val="16"/>
        </w:numPr>
        <w:spacing w:lineRule="auto" w:line="360" w:before="240" w:after="240"/>
        <w:jc w:val="both"/>
        <w:rPr>
          <w:rFonts w:ascii="Bookman Old Style" w:hAnsi="Bookman Old Style" w:eastAsia="Arial"/>
          <w:i/>
          <w:i/>
          <w:iCs/>
          <w:sz w:val="20"/>
          <w:szCs w:val="20"/>
        </w:rPr>
      </w:pPr>
      <w:r>
        <w:rPr>
          <w:rFonts w:ascii="Bookman Old Style" w:hAnsi="Bookman Old Style"/>
          <w:i/>
          <w:iCs/>
          <w:sz w:val="20"/>
          <w:szCs w:val="20"/>
        </w:rPr>
        <w:t>Comprender que la condición social y cultural implica procesos cuyo tiempo para invertirles es mayor, pues los canales de comunicación son diversos en los diferentes procesos y según el género.</w:t>
      </w:r>
    </w:p>
    <w:p>
      <w:pPr>
        <w:pStyle w:val="Normal"/>
        <w:numPr>
          <w:ilvl w:val="0"/>
          <w:numId w:val="15"/>
        </w:numPr>
        <w:spacing w:before="240" w:after="240"/>
        <w:ind w:left="714" w:hanging="357"/>
        <w:jc w:val="both"/>
        <w:rPr>
          <w:rFonts w:ascii="Bookman Old Style" w:hAnsi="Bookman Old Style"/>
          <w:i/>
          <w:i/>
          <w:iCs/>
          <w:sz w:val="20"/>
          <w:szCs w:val="20"/>
        </w:rPr>
      </w:pPr>
      <w:r>
        <w:rPr>
          <w:rFonts w:ascii="Bookman Old Style" w:hAnsi="Bookman Old Style"/>
          <w:i/>
          <w:iCs/>
          <w:sz w:val="20"/>
          <w:szCs w:val="20"/>
        </w:rPr>
        <w:t>Analizar en conjunto con la Defensa Pública las condiciones de los concursos en propiedad de las plazas que atienden la materia agraria, de tal forma que se amplié su condición para que las mismas puedan atender eventualmente otras materias, así como trasladarse a las diferentes zonas que disponga la Dirección de la Defensa Pública.</w:t>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A la Dirección de la Dirección de la Tecnología de la Información y Comunicación</w:t>
      </w:r>
    </w:p>
    <w:p>
      <w:pPr>
        <w:pStyle w:val="Normal"/>
        <w:jc w:val="both"/>
        <w:rPr>
          <w:rFonts w:ascii="Bookman Old Style" w:hAnsi="Bookman Old Style"/>
          <w:i/>
          <w:i/>
          <w:iCs/>
          <w:sz w:val="20"/>
          <w:szCs w:val="20"/>
        </w:rPr>
      </w:pPr>
      <w:r>
        <w:rPr>
          <w:rFonts w:ascii="Bookman Old Style" w:hAnsi="Bookman Old Style"/>
          <w:i/>
          <w:iCs/>
          <w:sz w:val="20"/>
          <w:szCs w:val="20"/>
        </w:rPr>
        <w:t>Se mantienen las recomendaciones realizadas en el informe 634-PLA-RH-MI-2019:</w:t>
      </w:r>
    </w:p>
    <w:p>
      <w:pPr>
        <w:pStyle w:val="Normal"/>
        <w:numPr>
          <w:ilvl w:val="0"/>
          <w:numId w:val="15"/>
        </w:numPr>
        <w:spacing w:before="240" w:after="240"/>
        <w:jc w:val="both"/>
        <w:rPr>
          <w:rFonts w:ascii="Bookman Old Style" w:hAnsi="Bookman Old Style"/>
          <w:i/>
          <w:i/>
          <w:iCs/>
          <w:color w:val="000000"/>
          <w:sz w:val="20"/>
          <w:szCs w:val="20"/>
        </w:rPr>
      </w:pPr>
      <w:r>
        <w:rPr>
          <w:rFonts w:ascii="Bookman Old Style" w:hAnsi="Bookman Old Style"/>
          <w:i/>
          <w:iCs/>
          <w:sz w:val="20"/>
          <w:szCs w:val="20"/>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pPr>
        <w:pStyle w:val="Normal"/>
        <w:numPr>
          <w:ilvl w:val="0"/>
          <w:numId w:val="15"/>
        </w:numPr>
        <w:spacing w:before="240" w:after="240"/>
        <w:jc w:val="both"/>
        <w:rPr>
          <w:rFonts w:ascii="Bookman Old Style" w:hAnsi="Bookman Old Style"/>
          <w:i/>
          <w:i/>
          <w:iCs/>
          <w:color w:val="000000"/>
          <w:sz w:val="20"/>
          <w:szCs w:val="20"/>
        </w:rPr>
      </w:pPr>
      <w:r>
        <w:rPr>
          <w:rFonts w:ascii="Bookman Old Style" w:hAnsi="Bookman Old Style"/>
          <w:i/>
          <w:iCs/>
          <w:sz w:val="20"/>
          <w:szCs w:val="20"/>
        </w:rPr>
        <w:t xml:space="preserve">Coordinar lo relacionado con la implantación y capacitación del Sistema de Seguimientos de Casos (SSC) y SIGMA en las Oficinas de la Defensa Pública que atiendan materia Agraria, con fin de obtener datos estadísticos para futuros estudios. </w:t>
      </w:r>
    </w:p>
    <w:p>
      <w:pPr>
        <w:pStyle w:val="Ttulo3"/>
        <w:keepLines w:val="false"/>
        <w:numPr>
          <w:ilvl w:val="0"/>
          <w:numId w:val="10"/>
        </w:numPr>
        <w:spacing w:lineRule="auto" w:line="360" w:before="240" w:after="240"/>
        <w:jc w:val="both"/>
        <w:rPr>
          <w:rFonts w:ascii="Bookman Old Style" w:hAnsi="Bookman Old Style"/>
          <w:i/>
          <w:i/>
          <w:iCs/>
          <w:sz w:val="20"/>
          <w:szCs w:val="20"/>
        </w:rPr>
      </w:pPr>
      <w:r>
        <w:rPr>
          <w:rFonts w:ascii="Bookman Old Style" w:hAnsi="Bookman Old Style"/>
          <w:i/>
          <w:iCs/>
          <w:sz w:val="20"/>
          <w:szCs w:val="20"/>
        </w:rPr>
        <w:t>A la Dirección de la Planificación</w:t>
      </w:r>
    </w:p>
    <w:p>
      <w:pPr>
        <w:pStyle w:val="Normal"/>
        <w:jc w:val="both"/>
        <w:rPr>
          <w:rFonts w:ascii="Bookman Old Style" w:hAnsi="Bookman Old Style"/>
          <w:i/>
          <w:i/>
          <w:iCs/>
          <w:sz w:val="20"/>
          <w:szCs w:val="20"/>
        </w:rPr>
      </w:pPr>
      <w:r>
        <w:rPr>
          <w:rFonts w:ascii="Bookman Old Style" w:hAnsi="Bookman Old Style"/>
          <w:i/>
          <w:iCs/>
          <w:sz w:val="20"/>
          <w:szCs w:val="20"/>
        </w:rPr>
        <w:t>Se mantienen las recomendaciones realizadas en el informe 634-PLA-RH-MI-2019:</w:t>
      </w:r>
    </w:p>
    <w:p>
      <w:pPr>
        <w:pStyle w:val="Normal"/>
        <w:jc w:val="both"/>
        <w:rPr>
          <w:rFonts w:ascii="Bookman Old Style" w:hAnsi="Bookman Old Style"/>
          <w:i/>
          <w:i/>
          <w:iCs/>
          <w:sz w:val="20"/>
          <w:szCs w:val="20"/>
        </w:rPr>
      </w:pPr>
      <w:r>
        <w:rPr>
          <w:rFonts w:ascii="Bookman Old Style" w:hAnsi="Bookman Old Style"/>
          <w:i/>
          <w:iCs/>
          <w:sz w:val="20"/>
          <w:szCs w:val="20"/>
        </w:rPr>
        <w:t>Una vez que se cuente con la mejora en los sistemas informáticos, que el Subproceso de Estadística de la Dirección de Planificación, verifique contar con la fórmula estadística de todas las materias para determinar la cantidad de expedientes donde figure una persona indígena, así como servidores judiciales, con el fin de contar con el insumo para futuros estudios que permitan establecer la proyección de la demanda del servicio. Apéndices y Anexos.</w:t>
      </w:r>
    </w:p>
    <w:p>
      <w:pPr>
        <w:pStyle w:val="Normal"/>
        <w:jc w:val="both"/>
        <w:rPr>
          <w:rFonts w:ascii="Bookman Old Style" w:hAnsi="Bookman Old Style"/>
          <w:i/>
          <w:i/>
          <w:iCs/>
          <w:sz w:val="20"/>
          <w:szCs w:val="20"/>
        </w:rPr>
      </w:pPr>
      <w:r>
        <w:rPr>
          <w:rFonts w:ascii="Bookman Old Style" w:hAnsi="Bookman Old Style"/>
          <w:i/>
          <w:iCs/>
          <w:sz w:val="20"/>
          <w:szCs w:val="20"/>
        </w:rPr>
      </w:r>
    </w:p>
    <w:tbl>
      <w:tblPr>
        <w:tblW w:w="5000" w:type="pct"/>
        <w:jc w:val="left"/>
        <w:tblInd w:w="7" w:type="dxa"/>
        <w:tblLayout w:type="fixed"/>
        <w:tblCellMar>
          <w:top w:w="0" w:type="dxa"/>
          <w:left w:w="108" w:type="dxa"/>
          <w:bottom w:w="0" w:type="dxa"/>
          <w:right w:w="108" w:type="dxa"/>
        </w:tblCellMar>
        <w:tblLook w:firstRow="1" w:noVBand="1" w:lastRow="0" w:firstColumn="1" w:lastColumn="0" w:noHBand="0" w:val="04a0"/>
      </w:tblPr>
      <w:tblGrid>
        <w:gridCol w:w="1698"/>
        <w:gridCol w:w="4459"/>
        <w:gridCol w:w="3595"/>
      </w:tblGrid>
      <w:tr>
        <w:trPr/>
        <w:tc>
          <w:tcPr>
            <w:tcW w:w="1698" w:type="dxa"/>
            <w:tcBorders>
              <w:top w:val="outset" w:sz="6" w:space="0" w:color="365F91"/>
              <w:left w:val="outset" w:sz="6" w:space="0" w:color="365F91"/>
              <w:bottom w:val="single" w:sz="6" w:space="0" w:color="365F91"/>
              <w:right w:val="single" w:sz="6" w:space="0" w:color="365F91"/>
            </w:tcBorders>
            <w:shd w:color="auto" w:fill="1F3864" w:val="clear"/>
            <w:vAlign w:val="center"/>
          </w:tcPr>
          <w:p>
            <w:pPr>
              <w:pStyle w:val="Normal"/>
              <w:widowControl w:val="false"/>
              <w:jc w:val="both"/>
              <w:rPr>
                <w:rFonts w:ascii="Bookman Old Style" w:hAnsi="Bookman Old Style" w:cs="Arial"/>
                <w:b/>
                <w:b/>
                <w:i/>
                <w:i/>
                <w:iCs/>
                <w:color w:val="FFFFFF"/>
                <w:sz w:val="20"/>
                <w:szCs w:val="20"/>
              </w:rPr>
            </w:pPr>
            <w:r>
              <w:rPr>
                <w:rFonts w:cs="Arial" w:ascii="Bookman Old Style" w:hAnsi="Bookman Old Style"/>
                <w:b/>
                <w:i/>
                <w:iCs/>
                <w:color w:val="FFFFFF"/>
                <w:sz w:val="20"/>
                <w:szCs w:val="20"/>
              </w:rPr>
              <w:t>Apéndice</w:t>
            </w:r>
          </w:p>
        </w:tc>
        <w:tc>
          <w:tcPr>
            <w:tcW w:w="4459" w:type="dxa"/>
            <w:tcBorders>
              <w:top w:val="outset" w:sz="6" w:space="0" w:color="365F91"/>
              <w:left w:val="single" w:sz="6" w:space="0" w:color="365F91"/>
              <w:bottom w:val="single" w:sz="6" w:space="0" w:color="365F91"/>
              <w:right w:val="single" w:sz="6" w:space="0" w:color="365F91"/>
            </w:tcBorders>
            <w:shd w:color="auto" w:fill="1F3864" w:val="clear"/>
            <w:vAlign w:val="center"/>
          </w:tcPr>
          <w:p>
            <w:pPr>
              <w:pStyle w:val="Normal"/>
              <w:widowControl w:val="false"/>
              <w:jc w:val="both"/>
              <w:rPr>
                <w:rFonts w:ascii="Bookman Old Style" w:hAnsi="Bookman Old Style" w:cs="Arial"/>
                <w:b/>
                <w:b/>
                <w:i/>
                <w:i/>
                <w:iCs/>
                <w:color w:val="FFFFFF"/>
                <w:sz w:val="20"/>
                <w:szCs w:val="20"/>
              </w:rPr>
            </w:pPr>
            <w:r>
              <w:rPr>
                <w:rFonts w:cs="Arial" w:ascii="Bookman Old Style" w:hAnsi="Bookman Old Style"/>
                <w:b/>
                <w:i/>
                <w:iCs/>
                <w:color w:val="FFFFFF"/>
                <w:sz w:val="20"/>
                <w:szCs w:val="20"/>
              </w:rPr>
              <w:t>Nombre</w:t>
            </w:r>
          </w:p>
        </w:tc>
        <w:tc>
          <w:tcPr>
            <w:tcW w:w="3595" w:type="dxa"/>
            <w:tcBorders>
              <w:top w:val="outset" w:sz="6" w:space="0" w:color="365F91"/>
              <w:left w:val="single" w:sz="6" w:space="0" w:color="365F91"/>
              <w:bottom w:val="single" w:sz="6" w:space="0" w:color="365F91"/>
              <w:right w:val="inset" w:sz="6" w:space="0" w:color="365F91"/>
            </w:tcBorders>
            <w:shd w:color="auto" w:fill="1F3864" w:val="clear"/>
            <w:vAlign w:val="center"/>
          </w:tcPr>
          <w:p>
            <w:pPr>
              <w:pStyle w:val="Normal"/>
              <w:widowControl w:val="false"/>
              <w:jc w:val="both"/>
              <w:rPr>
                <w:rFonts w:ascii="Bookman Old Style" w:hAnsi="Bookman Old Style" w:cs="Arial"/>
                <w:b/>
                <w:b/>
                <w:i/>
                <w:i/>
                <w:iCs/>
                <w:color w:val="FFFFFF"/>
                <w:sz w:val="20"/>
                <w:szCs w:val="20"/>
              </w:rPr>
            </w:pPr>
            <w:r>
              <w:rPr>
                <w:rFonts w:cs="Arial" w:ascii="Bookman Old Style" w:hAnsi="Bookman Old Style"/>
                <w:b/>
                <w:i/>
                <w:iCs/>
                <w:color w:val="FFFFFF"/>
                <w:sz w:val="20"/>
                <w:szCs w:val="20"/>
              </w:rPr>
              <w:t>Documento</w: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Apéndice 1</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Memoria de cálculo: Distribución porcentual de posible atención de persona indígena, según territorios y ubicaciones de la Defensas Públicas del país</w:t>
            </w:r>
            <w:bookmarkStart w:id="11" w:name="_MON_1643544286"/>
            <w:bookmarkEnd w:id="11"/>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19" style="width:70.95pt;height:46.2pt" o:ole="">
                  <v:imagedata r:id="rId20" o:title=""/>
                </v:shape>
                <o:OLEObject Type="Embed" ProgID="Excel.Sheet.12" ShapeID="ole_rId19" DrawAspect="Icon" ObjectID="_501078088" r:id="rId19"/>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Apéndice 2</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Memoria de cálculo: Análisis estadístico</w:t>
            </w:r>
            <w:bookmarkStart w:id="12" w:name="_MON_1646833270"/>
            <w:bookmarkEnd w:id="12"/>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21" style="width:70.95pt;height:46.2pt" o:ole="">
                  <v:imagedata r:id="rId22" o:title=""/>
                </v:shape>
                <o:OLEObject Type="Embed" ProgID="Excel.Sheet.12" ShapeID="ole_rId21" DrawAspect="Icon" ObjectID="_2001304699" r:id="rId21"/>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Apéndice 3</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Memoria de cálculo: Asuntos del Tribunal Contencioso Administrativo</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23" style="width:70.95pt;height:46.2pt" o:ole="">
                  <v:imagedata r:id="rId24" o:title=""/>
                </v:shape>
                <o:OLEObject Type="Embed" ProgID="Excel.OpenDocumentSpreadsheet.12" ShapeID="ole_rId23" DrawAspect="Icon" ObjectID="_625511077" r:id="rId23"/>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1</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Consulta del estado de la implementación del SSC en materia agraria</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25" style="width:70.95pt;height:46.2pt" o:ole="">
                  <v:imagedata r:id="rId26" o:title=""/>
                </v:shape>
                <o:OLEObject Type="Embed" ProgID="AcroExch.Document.DC" ShapeID="ole_rId25" DrawAspect="Icon" ObjectID="_527156147" r:id="rId25"/>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2</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Consulta de las capacitaciones brindadas para la tramitación de asuntos con personas indígenas</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27" style="width:70.95pt;height:46.2pt" o:ole="">
                  <v:imagedata r:id="rId28" o:title=""/>
                </v:shape>
                <o:OLEObject Type="Embed" ProgID="AcroExch.Document.DC" ShapeID="ole_rId27" DrawAspect="Icon" ObjectID="_1941843095" r:id="rId27"/>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3</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Consulta al Tribunal Contencioso Administrativo</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29" style="width:70.95pt;height:46.2pt" o:ole="">
                  <v:imagedata r:id="rId30" o:title=""/>
                </v:shape>
                <o:OLEObject Type="Embed" ProgID="AcroExch.Document.DC" ShapeID="ole_rId29" DrawAspect="Icon" ObjectID="_580548358" r:id="rId29"/>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4</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Consulta a la Dirección de Gestión Humana</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31" style="width:70.95pt;height:46.2pt" o:ole="">
                  <v:imagedata r:id="rId32" o:title=""/>
                </v:shape>
                <o:OLEObject Type="Embed" ProgID="AcroExch.Document.DC" ShapeID="ole_rId31" DrawAspect="Icon" ObjectID="_562578926" r:id="rId31"/>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5</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Cálculo de los costos presupuestarios</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33" style="width:70.95pt;height:46.2pt" o:ole="">
                  <v:imagedata r:id="rId34" o:title=""/>
                </v:shape>
                <o:OLEObject Type="Embed" ProgID="Excel.Sheet.8" ShapeID="ole_rId33" DrawAspect="Icon" ObjectID="_709591321" r:id="rId33"/>
              </w:object>
            </w:r>
            <w:r>
              <w:rPr/>
              <w:object>
                <v:shape id="ole_rId35" style="width:70.95pt;height:46.2pt" o:ole="">
                  <v:imagedata r:id="rId36" o:title=""/>
                </v:shape>
                <o:OLEObject Type="Embed" ProgID="Excel.Sheet.12" ShapeID="ole_rId35" DrawAspect="Icon" ObjectID="_550237724" r:id="rId35"/>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6</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Oficio de la Jefatura de la Defensa Pública</w:t>
            </w:r>
            <w:bookmarkStart w:id="13" w:name="_MON_1643543834"/>
            <w:bookmarkEnd w:id="13"/>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37" style="width:76.85pt;height:51.05pt" o:ole="">
                  <v:imagedata r:id="rId38" o:title=""/>
                </v:shape>
                <o:OLEObject Type="Embed" ProgID="Word.Document.8" ShapeID="ole_rId37" DrawAspect="Icon" ObjectID="_1521721779" r:id="rId37"/>
              </w:object>
            </w:r>
          </w:p>
        </w:tc>
      </w:tr>
      <w:tr>
        <w:trPr/>
        <w:tc>
          <w:tcPr>
            <w:tcW w:w="1698"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7</w:t>
            </w:r>
          </w:p>
        </w:tc>
        <w:tc>
          <w:tcPr>
            <w:tcW w:w="4459"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Correo de consulta a la Dirección de Gestión Humana</w:t>
            </w:r>
          </w:p>
        </w:tc>
        <w:tc>
          <w:tcPr>
            <w:tcW w:w="3595"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39" style="width:76.85pt;height:51.05pt" o:ole="">
                  <v:imagedata r:id="rId40" o:title=""/>
                </v:shape>
                <o:OLEObject Type="Embed" ProgID="Package" ShapeID="ole_rId39" DrawAspect="Icon" ObjectID="_533463252" r:id="rId39"/>
              </w:object>
            </w:r>
          </w:p>
        </w:tc>
      </w:tr>
      <w:tr>
        <w:trPr/>
        <w:tc>
          <w:tcPr>
            <w:tcW w:w="1698" w:type="dxa"/>
            <w:tcBorders>
              <w:top w:val="single" w:sz="6" w:space="0" w:color="365F91"/>
              <w:left w:val="outset" w:sz="6" w:space="0" w:color="365F91"/>
              <w:bottom w:val="inset" w:sz="6" w:space="0" w:color="365F91"/>
              <w:right w:val="single" w:sz="6" w:space="0" w:color="365F91"/>
            </w:tcBorders>
            <w:shd w:color="auto" w:fill="auto" w:val="clear"/>
            <w:vAlign w:val="center"/>
          </w:tcPr>
          <w:p>
            <w:pPr>
              <w:pStyle w:val="Normal"/>
              <w:widowControl w:val="false"/>
              <w:jc w:val="both"/>
              <w:rPr>
                <w:rFonts w:ascii="Bookman Old Style" w:hAnsi="Bookman Old Style" w:cs="Arial"/>
                <w:b/>
                <w:b/>
                <w:i/>
                <w:i/>
                <w:iCs/>
                <w:color w:val="000000"/>
                <w:sz w:val="20"/>
                <w:szCs w:val="20"/>
              </w:rPr>
            </w:pPr>
            <w:r>
              <w:rPr>
                <w:rFonts w:cs="Arial" w:ascii="Bookman Old Style" w:hAnsi="Bookman Old Style"/>
                <w:b/>
                <w:i/>
                <w:iCs/>
                <w:color w:val="000000"/>
                <w:sz w:val="20"/>
                <w:szCs w:val="20"/>
              </w:rPr>
              <w:t>Anexo 8</w:t>
            </w:r>
          </w:p>
        </w:tc>
        <w:tc>
          <w:tcPr>
            <w:tcW w:w="4459" w:type="dxa"/>
            <w:tcBorders>
              <w:top w:val="single" w:sz="6" w:space="0" w:color="365F91"/>
              <w:left w:val="single" w:sz="6" w:space="0" w:color="365F91"/>
              <w:bottom w:val="inset" w:sz="6" w:space="0" w:color="365F91"/>
              <w:right w:val="single"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rFonts w:cs="Arial" w:ascii="Bookman Old Style" w:hAnsi="Bookman Old Style"/>
                <w:i/>
                <w:iCs/>
                <w:sz w:val="20"/>
                <w:szCs w:val="20"/>
              </w:rPr>
              <w:t>Datos Estadísticos facilitados por la Administración de la Defensa Pública</w:t>
            </w:r>
          </w:p>
        </w:tc>
        <w:tc>
          <w:tcPr>
            <w:tcW w:w="3595" w:type="dxa"/>
            <w:tcBorders>
              <w:top w:val="single" w:sz="6" w:space="0" w:color="365F91"/>
              <w:left w:val="single" w:sz="6" w:space="0" w:color="365F91"/>
              <w:bottom w:val="inset" w:sz="6" w:space="0" w:color="365F91"/>
              <w:right w:val="inset" w:sz="6" w:space="0" w:color="365F91"/>
            </w:tcBorders>
            <w:shd w:color="auto" w:fill="auto" w:val="clear"/>
            <w:vAlign w:val="center"/>
          </w:tcPr>
          <w:p>
            <w:pPr>
              <w:pStyle w:val="Normal"/>
              <w:widowControl w:val="false"/>
              <w:jc w:val="both"/>
              <w:rPr>
                <w:rFonts w:ascii="Bookman Old Style" w:hAnsi="Bookman Old Style" w:cs="Arial"/>
                <w:i/>
                <w:i/>
                <w:iCs/>
                <w:sz w:val="20"/>
                <w:szCs w:val="20"/>
              </w:rPr>
            </w:pPr>
            <w:r>
              <w:rPr/>
              <w:object>
                <v:shape id="ole_rId41" style="width:76.85pt;height:51.05pt" o:ole="">
                  <v:imagedata r:id="rId42" o:title=""/>
                </v:shape>
                <o:OLEObject Type="Embed" ProgID="Package" ShapeID="ole_rId41" DrawAspect="Icon" ObjectID="_2062852150" r:id="rId41"/>
              </w:object>
            </w:r>
          </w:p>
        </w:tc>
      </w:tr>
    </w:tbl>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widowControl w:val="false"/>
        <w:jc w:val="both"/>
        <w:rPr>
          <w:rFonts w:ascii="Bookman Old Style" w:hAnsi="Bookman Old Style" w:cs="Book Antiqua"/>
          <w:i/>
          <w:i/>
          <w:iCs/>
          <w:sz w:val="20"/>
          <w:szCs w:val="20"/>
        </w:rPr>
      </w:pPr>
      <w:r>
        <w:rPr>
          <w:rFonts w:cs="Book Antiqua" w:ascii="Bookman Old Style" w:hAnsi="Bookman Old Style"/>
          <w:i/>
          <w:iCs/>
          <w:sz w:val="20"/>
          <w:szCs w:val="20"/>
        </w:rPr>
        <w:t>553-PLA-RH-MI-2020</w:t>
      </w:r>
    </w:p>
    <w:p>
      <w:pPr>
        <w:pStyle w:val="Normal"/>
        <w:widowControl w:val="false"/>
        <w:jc w:val="both"/>
        <w:rPr>
          <w:rFonts w:ascii="Bookman Old Style" w:hAnsi="Bookman Old Style" w:cs="Book Antiqua"/>
          <w:i/>
          <w:i/>
          <w:iCs/>
          <w:sz w:val="20"/>
          <w:szCs w:val="20"/>
        </w:rPr>
      </w:pPr>
      <w:r>
        <w:rPr>
          <w:rFonts w:cs="Book Antiqua" w:ascii="Bookman Old Style" w:hAnsi="Bookman Old Style"/>
          <w:i/>
          <w:iCs/>
          <w:sz w:val="20"/>
          <w:szCs w:val="20"/>
        </w:rPr>
        <w:t>Ref. SICE 1692-18</w:t>
      </w:r>
    </w:p>
    <w:p>
      <w:pPr>
        <w:pStyle w:val="Normal"/>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17 de abril de 2020</w:t>
      </w:r>
    </w:p>
    <w:p>
      <w:pPr>
        <w:pStyle w:val="Normal"/>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r>
    </w:p>
    <w:p>
      <w:pPr>
        <w:pStyle w:val="Normal"/>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r>
    </w:p>
    <w:p>
      <w:pPr>
        <w:pStyle w:val="Normal"/>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r>
    </w:p>
    <w:p>
      <w:pPr>
        <w:pStyle w:val="Normal"/>
        <w:widowControl w:val="false"/>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Licenciada</w:t>
      </w:r>
    </w:p>
    <w:p>
      <w:pPr>
        <w:pStyle w:val="Normal"/>
        <w:widowControl w:val="false"/>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 xml:space="preserve">Silvia Navarro Romanini </w:t>
      </w:r>
    </w:p>
    <w:p>
      <w:pPr>
        <w:pStyle w:val="Normal"/>
        <w:widowControl w:val="false"/>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Secretaría General de la Corte</w:t>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t>Estimada señora:</w:t>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Xmsonormal"/>
        <w:jc w:val="both"/>
        <w:rPr>
          <w:rFonts w:ascii="Bookman Old Style" w:hAnsi="Bookman Old Style" w:cs="Arial"/>
          <w:i/>
          <w:i/>
          <w:iCs/>
          <w:sz w:val="20"/>
          <w:szCs w:val="20"/>
        </w:rPr>
      </w:pPr>
      <w:r>
        <w:rPr>
          <w:rFonts w:cs="Arial" w:ascii="Bookman Old Style" w:hAnsi="Bookman Old Style"/>
          <w:i/>
          <w:iCs/>
          <w:sz w:val="20"/>
          <w:szCs w:val="20"/>
        </w:rPr>
        <w:t>En adición al informe 507-PLA-MI-2020 y en atención al oficio 10880-18, donde se transcribe el acuerdo tomado por el Consejo Superior en sesión celebrada el 2 de octubre del 2018, artículo LXVI, referente al Impacto organizacional y presupuestario en el Poder Judicial, (Defensa Pública) a partir de la promulgación de la Ley 9593 de Acceso la Justicia de los Pueblos Indígenas, se puso en conocimiento el informe preliminar 507-PLA-MI-2020 del 30 de marzo al Magistrado Jorge Olaso Alvarez, Coordinador de la Comisión Acceso a la Justicia, a la Máster Diana Montero Montero, Jefatura a.i de la Defensa Publica, de la Licda. Kattia Morales Navarro Directora de la Dirección de Tecnología de Información y de la Licda. Roxana Arrieta, Directora de la Dirección de Gestión Humana.</w:t>
      </w:r>
    </w:p>
    <w:p>
      <w:pPr>
        <w:pStyle w:val="Normal"/>
        <w:ind w:firstLine="708"/>
        <w:jc w:val="both"/>
        <w:rPr>
          <w:rFonts w:ascii="Bookman Old Style" w:hAnsi="Bookman Old Style"/>
          <w:i/>
          <w:i/>
          <w:iCs/>
          <w:sz w:val="20"/>
          <w:szCs w:val="20"/>
        </w:rPr>
      </w:pPr>
      <w:r>
        <w:rPr>
          <w:rFonts w:ascii="Bookman Old Style" w:hAnsi="Bookman Old Style"/>
          <w:i/>
          <w:iCs/>
          <w:sz w:val="20"/>
          <w:szCs w:val="20"/>
        </w:rPr>
      </w:r>
    </w:p>
    <w:p>
      <w:pPr>
        <w:pStyle w:val="Xmsonormal"/>
        <w:jc w:val="both"/>
        <w:rPr>
          <w:rFonts w:ascii="Bookman Old Style" w:hAnsi="Bookman Old Style" w:cs="Arial"/>
          <w:i/>
          <w:i/>
          <w:iCs/>
          <w:sz w:val="20"/>
          <w:szCs w:val="20"/>
        </w:rPr>
      </w:pPr>
      <w:r>
        <w:rPr>
          <w:rFonts w:cs="Arial" w:ascii="Bookman Old Style" w:hAnsi="Bookman Old Style"/>
          <w:i/>
          <w:iCs/>
          <w:sz w:val="20"/>
          <w:szCs w:val="20"/>
        </w:rPr>
        <w:t xml:space="preserve">Como respuesta se recibieron oficios </w:t>
      </w:r>
      <w:r>
        <w:rPr>
          <w:rFonts w:cs="Arial" w:ascii="Bookman Old Style" w:hAnsi="Bookman Old Style"/>
          <w:b/>
          <w:bCs/>
          <w:i/>
          <w:iCs/>
          <w:sz w:val="20"/>
          <w:szCs w:val="20"/>
        </w:rPr>
        <w:t>662-DTI-2020 y 0712-DTI-2020</w:t>
      </w:r>
      <w:r>
        <w:rPr>
          <w:rFonts w:cs="Arial" w:ascii="Bookman Old Style" w:hAnsi="Bookman Old Style"/>
          <w:i/>
          <w:iCs/>
          <w:sz w:val="20"/>
          <w:szCs w:val="20"/>
        </w:rPr>
        <w:t xml:space="preserve"> de la Dirección de Tecnología de Información (ver anexo 1) y el oficio </w:t>
      </w:r>
      <w:r>
        <w:rPr>
          <w:rFonts w:cs="Arial" w:ascii="Bookman Old Style" w:hAnsi="Bookman Old Style"/>
          <w:b/>
          <w:bCs/>
          <w:i/>
          <w:iCs/>
          <w:sz w:val="20"/>
          <w:szCs w:val="20"/>
        </w:rPr>
        <w:t>JEFDP-3565-2020</w:t>
      </w:r>
      <w:r>
        <w:rPr>
          <w:rFonts w:cs="Arial" w:ascii="Bookman Old Style" w:hAnsi="Bookman Old Style"/>
          <w:i/>
          <w:iCs/>
          <w:sz w:val="20"/>
          <w:szCs w:val="20"/>
        </w:rPr>
        <w:t xml:space="preserve"> de la Defensa Publica (ver anexo 2).</w:t>
      </w:r>
    </w:p>
    <w:p>
      <w:pPr>
        <w:pStyle w:val="Xmsonormal"/>
        <w:jc w:val="both"/>
        <w:rPr>
          <w:rFonts w:ascii="Bookman Old Style" w:hAnsi="Bookman Old Style" w:cs="Arial"/>
          <w:i/>
          <w:i/>
          <w:iCs/>
          <w:sz w:val="20"/>
          <w:szCs w:val="20"/>
        </w:rPr>
      </w:pPr>
      <w:r>
        <w:rPr>
          <w:rFonts w:cs="Arial" w:ascii="Bookman Old Style" w:hAnsi="Bookman Old Style"/>
          <w:i/>
          <w:iCs/>
          <w:sz w:val="20"/>
          <w:szCs w:val="20"/>
        </w:rPr>
      </w:r>
    </w:p>
    <w:p>
      <w:pPr>
        <w:pStyle w:val="Xmsonormal"/>
        <w:jc w:val="both"/>
        <w:rPr>
          <w:rFonts w:ascii="Bookman Old Style" w:hAnsi="Bookman Old Style" w:cs="Arial"/>
          <w:i/>
          <w:i/>
          <w:iCs/>
          <w:sz w:val="20"/>
          <w:szCs w:val="20"/>
        </w:rPr>
      </w:pPr>
      <w:r>
        <w:rPr>
          <w:rFonts w:cs="Arial" w:ascii="Bookman Old Style" w:hAnsi="Bookman Old Style"/>
          <w:i/>
          <w:iCs/>
          <w:sz w:val="20"/>
          <w:szCs w:val="20"/>
        </w:rPr>
        <w:t>Previo a iniciar con el análisis de las observaciones resulta procedente establecer que el informe en consulta 507-PLA-RH-MI-2020, fue realizado, tomando como base el informe  del ejercicio presupuestario 2020 para e</w:t>
      </w:r>
      <w:r>
        <w:rPr>
          <w:rFonts w:cs="Book Antiqua" w:ascii="Bookman Old Style" w:hAnsi="Bookman Old Style"/>
          <w:i/>
          <w:iCs/>
          <w:sz w:val="20"/>
          <w:szCs w:val="20"/>
        </w:rPr>
        <w:t>l</w:t>
      </w:r>
      <w:r>
        <w:rPr>
          <w:rFonts w:ascii="Bookman Old Style" w:hAnsi="Bookman Old Style"/>
          <w:i/>
          <w:iCs/>
          <w:sz w:val="20"/>
          <w:szCs w:val="20"/>
        </w:rPr>
        <w:t xml:space="preserve"> Impacto organizacional y presupuestario en el </w:t>
      </w:r>
      <w:r>
        <w:rPr>
          <w:rFonts w:cs="Arial" w:ascii="Bookman Old Style" w:hAnsi="Bookman Old Style"/>
          <w:i/>
          <w:iCs/>
          <w:sz w:val="20"/>
          <w:szCs w:val="20"/>
        </w:rPr>
        <w:t>Poder</w:t>
      </w:r>
      <w:r>
        <w:rPr>
          <w:rFonts w:ascii="Bookman Old Style" w:hAnsi="Bookman Old Style"/>
          <w:i/>
          <w:iCs/>
          <w:sz w:val="20"/>
          <w:szCs w:val="20"/>
        </w:rPr>
        <w:t xml:space="preserve"> Judicial, (Defensa Pública) </w:t>
      </w:r>
      <w:r>
        <w:rPr>
          <w:rFonts w:cs="Arial" w:ascii="Bookman Old Style" w:hAnsi="Bookman Old Style"/>
          <w:i/>
          <w:iCs/>
          <w:sz w:val="20"/>
          <w:szCs w:val="20"/>
        </w:rPr>
        <w:t>a partir de la promulgación de la Ley 9593 de Acceso la Justicia de los Pueblos Indígenas para el 2020 (634-PLA-RH-MI-2019 de la Dirección de Planificación), el cual fue aprobado por el Consejo Superior en la sesión extraordinaria 44-19 (Presupuesto 2020) artículo II, del 16 de mayo de 2019; y por Corte Plena en la sesión 22-19 6 de Junio de 2019, Artículo IV, por lo tanto, en el informe puesto en consulta se mantienen recomendaciones planteadas según fue aprobado en su oportunidad por los entes superiores.</w:t>
      </w:r>
    </w:p>
    <w:p>
      <w:pPr>
        <w:pStyle w:val="Xmsonormal"/>
        <w:jc w:val="both"/>
        <w:rPr>
          <w:rFonts w:ascii="Bookman Old Style" w:hAnsi="Bookman Old Style" w:cs="Arial"/>
          <w:i/>
          <w:i/>
          <w:iCs/>
          <w:sz w:val="20"/>
          <w:szCs w:val="20"/>
        </w:rPr>
      </w:pPr>
      <w:r>
        <w:rPr>
          <w:rFonts w:cs="Arial" w:ascii="Bookman Old Style" w:hAnsi="Bookman Old Style"/>
          <w:i/>
          <w:iCs/>
          <w:sz w:val="20"/>
          <w:szCs w:val="20"/>
        </w:rPr>
      </w:r>
    </w:p>
    <w:p>
      <w:pPr>
        <w:pStyle w:val="Xmsonormal"/>
        <w:jc w:val="both"/>
        <w:rPr>
          <w:rFonts w:ascii="Bookman Old Style" w:hAnsi="Bookman Old Style"/>
          <w:i/>
          <w:i/>
          <w:iCs/>
          <w:sz w:val="20"/>
          <w:szCs w:val="20"/>
        </w:rPr>
      </w:pPr>
      <w:r>
        <w:rPr>
          <w:rFonts w:ascii="Bookman Old Style" w:hAnsi="Bookman Old Style"/>
          <w:i/>
          <w:iCs/>
          <w:sz w:val="20"/>
          <w:szCs w:val="20"/>
        </w:rPr>
        <w:t>Seguidamente se adjunta un resumen de los principales puntos planteados por la Dirección de Tecnología de Información y por la Jefatura de la Defensa Pública; así como, las observaciones correspondientes de la Dirección de Planificación:</w:t>
      </w:r>
      <w:r>
        <w:br w:type="page"/>
      </w:r>
    </w:p>
    <w:p>
      <w:pPr>
        <w:pStyle w:val="Normal"/>
        <w:jc w:val="both"/>
        <w:rPr>
          <w:rFonts w:ascii="Bookman Old Style" w:hAnsi="Bookman Old Style" w:cs="Book Antiqua"/>
          <w:b/>
          <w:b/>
          <w:bCs/>
          <w:i/>
          <w:i/>
          <w:iCs/>
          <w:sz w:val="20"/>
          <w:szCs w:val="20"/>
          <w:u w:val="single"/>
        </w:rPr>
      </w:pPr>
      <w:r>
        <w:rPr>
          <w:rFonts w:cs="Book Antiqua" w:ascii="Bookman Old Style" w:hAnsi="Bookman Old Style"/>
          <w:b/>
          <w:bCs/>
          <w:i/>
          <w:iCs/>
          <w:sz w:val="20"/>
          <w:szCs w:val="20"/>
          <w:u w:val="single"/>
        </w:rPr>
        <w:t>Dirección de Tecnología de Información:</w:t>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tbl>
      <w:tblPr>
        <w:tblW w:w="8903" w:type="dxa"/>
        <w:jc w:val="left"/>
        <w:tblInd w:w="75" w:type="dxa"/>
        <w:tblLayout w:type="fixed"/>
        <w:tblCellMar>
          <w:top w:w="15" w:type="dxa"/>
          <w:left w:w="70" w:type="dxa"/>
          <w:bottom w:w="15" w:type="dxa"/>
          <w:right w:w="70" w:type="dxa"/>
        </w:tblCellMar>
        <w:tblLook w:firstRow="1" w:noVBand="1" w:lastRow="0" w:firstColumn="1" w:lastColumn="0" w:noHBand="0" w:val="04a0"/>
      </w:tblPr>
      <w:tblGrid>
        <w:gridCol w:w="663"/>
        <w:gridCol w:w="4119"/>
        <w:gridCol w:w="4121"/>
      </w:tblGrid>
      <w:tr>
        <w:trPr>
          <w:trHeight w:val="300" w:hRule="atLeast"/>
        </w:trPr>
        <w:tc>
          <w:tcPr>
            <w:tcW w:w="663" w:type="dxa"/>
            <w:tcBorders>
              <w:top w:val="single" w:sz="4" w:space="0" w:color="000000"/>
              <w:left w:val="single" w:sz="4" w:space="0" w:color="000000"/>
              <w:bottom w:val="single" w:sz="4" w:space="0" w:color="000000"/>
              <w:right w:val="single" w:sz="4" w:space="0" w:color="000000"/>
            </w:tcBorders>
            <w:shd w:color="000000" w:fill="E7E6E6" w:val="clear"/>
            <w:vAlign w:val="center"/>
          </w:tcPr>
          <w:p>
            <w:pPr>
              <w:pStyle w:val="Normal"/>
              <w:widowControl w:val="false"/>
              <w:jc w:val="both"/>
              <w:rPr>
                <w:rFonts w:ascii="Bookman Old Style" w:hAnsi="Bookman Old Style"/>
                <w:b/>
                <w:b/>
                <w:bCs/>
                <w:i/>
                <w:i/>
                <w:iCs/>
                <w:color w:val="000000"/>
                <w:sz w:val="20"/>
                <w:szCs w:val="20"/>
              </w:rPr>
            </w:pPr>
            <w:r>
              <w:rPr>
                <w:rFonts w:ascii="Bookman Old Style" w:hAnsi="Bookman Old Style"/>
                <w:b/>
                <w:bCs/>
                <w:i/>
                <w:iCs/>
                <w:color w:val="000000"/>
                <w:sz w:val="20"/>
                <w:szCs w:val="20"/>
              </w:rPr>
              <w:t>#</w:t>
            </w:r>
          </w:p>
        </w:tc>
        <w:tc>
          <w:tcPr>
            <w:tcW w:w="4119" w:type="dxa"/>
            <w:tcBorders>
              <w:top w:val="single" w:sz="4" w:space="0" w:color="000000"/>
              <w:left w:val="single" w:sz="4" w:space="0" w:color="000000"/>
              <w:bottom w:val="single" w:sz="4" w:space="0" w:color="000000"/>
              <w:right w:val="single" w:sz="4" w:space="0" w:color="000000"/>
            </w:tcBorders>
            <w:shd w:color="000000" w:fill="E7E6E6" w:val="clear"/>
            <w:vAlign w:val="bottom"/>
          </w:tcPr>
          <w:p>
            <w:pPr>
              <w:pStyle w:val="Normal"/>
              <w:widowControl w:val="false"/>
              <w:jc w:val="both"/>
              <w:rPr>
                <w:rFonts w:ascii="Bookman Old Style" w:hAnsi="Bookman Old Style"/>
                <w:b/>
                <w:b/>
                <w:bCs/>
                <w:i/>
                <w:i/>
                <w:iCs/>
                <w:color w:val="000000"/>
                <w:sz w:val="20"/>
                <w:szCs w:val="20"/>
              </w:rPr>
            </w:pPr>
            <w:r>
              <w:rPr>
                <w:rFonts w:ascii="Bookman Old Style" w:hAnsi="Bookman Old Style"/>
                <w:b/>
                <w:bCs/>
                <w:i/>
                <w:iCs/>
                <w:color w:val="000000"/>
                <w:sz w:val="20"/>
                <w:szCs w:val="20"/>
              </w:rPr>
              <w:t xml:space="preserve">Observaciones recibidas </w:t>
            </w:r>
          </w:p>
        </w:tc>
        <w:tc>
          <w:tcPr>
            <w:tcW w:w="4121" w:type="dxa"/>
            <w:tcBorders>
              <w:top w:val="single" w:sz="4" w:space="0" w:color="000000"/>
              <w:left w:val="single" w:sz="4" w:space="0" w:color="000000"/>
              <w:bottom w:val="single" w:sz="4" w:space="0" w:color="000000"/>
              <w:right w:val="single" w:sz="4" w:space="0" w:color="000000"/>
            </w:tcBorders>
            <w:shd w:color="000000" w:fill="E7E6E6" w:val="clear"/>
            <w:vAlign w:val="bottom"/>
          </w:tcPr>
          <w:p>
            <w:pPr>
              <w:pStyle w:val="Normal"/>
              <w:widowControl w:val="false"/>
              <w:jc w:val="both"/>
              <w:rPr>
                <w:rFonts w:ascii="Bookman Old Style" w:hAnsi="Bookman Old Style"/>
                <w:b/>
                <w:b/>
                <w:bCs/>
                <w:i/>
                <w:i/>
                <w:iCs/>
                <w:color w:val="000000"/>
                <w:sz w:val="20"/>
                <w:szCs w:val="20"/>
              </w:rPr>
            </w:pPr>
            <w:r>
              <w:rPr>
                <w:rFonts w:ascii="Bookman Old Style" w:hAnsi="Bookman Old Style"/>
                <w:b/>
                <w:bCs/>
                <w:i/>
                <w:iCs/>
                <w:color w:val="000000"/>
                <w:sz w:val="20"/>
                <w:szCs w:val="20"/>
              </w:rPr>
              <w:t>Criterio de la Dirección de Planificación</w:t>
            </w:r>
          </w:p>
        </w:tc>
      </w:tr>
      <w:tr>
        <w:trPr>
          <w:trHeight w:val="401" w:hRule="atLeast"/>
        </w:trPr>
        <w:tc>
          <w:tcPr>
            <w:tcW w:w="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40"/>
              <w:jc w:val="both"/>
              <w:rPr>
                <w:rFonts w:ascii="Bookman Old Style" w:hAnsi="Bookman Old Style"/>
                <w:i/>
                <w:i/>
                <w:iCs/>
                <w:color w:val="000000"/>
                <w:sz w:val="20"/>
                <w:szCs w:val="20"/>
              </w:rPr>
            </w:pPr>
            <w:r>
              <w:rPr>
                <w:rFonts w:ascii="Bookman Old Style" w:hAnsi="Bookman Old Style"/>
                <w:i/>
                <w:iCs/>
                <w:color w:val="000000"/>
                <w:sz w:val="20"/>
                <w:szCs w:val="20"/>
              </w:rPr>
              <w:t>1</w:t>
            </w:r>
          </w:p>
        </w:tc>
        <w:tc>
          <w:tcPr>
            <w:tcW w:w="411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40"/>
              <w:jc w:val="both"/>
              <w:rPr>
                <w:rFonts w:ascii="Bookman Old Style" w:hAnsi="Bookman Old Style"/>
                <w:i/>
                <w:i/>
                <w:iCs/>
                <w:color w:val="000000"/>
                <w:sz w:val="20"/>
                <w:szCs w:val="20"/>
              </w:rPr>
            </w:pPr>
            <w:r>
              <w:rPr>
                <w:rFonts w:ascii="Bookman Old Style" w:hAnsi="Bookman Old Style"/>
                <w:i/>
                <w:iCs/>
                <w:color w:val="000000"/>
                <w:sz w:val="20"/>
                <w:szCs w:val="20"/>
              </w:rPr>
              <w:t xml:space="preserve">Mediante el oficio 662-DTI-2020 del 3 de abril la Licda. Fabiola Arancibia Hernández, Coordinadora de la Unidad de Implantaciones de la Dirección de Tecnología de Información manifiesta: </w:t>
              <w:br/>
            </w:r>
          </w:p>
          <w:p>
            <w:pPr>
              <w:pStyle w:val="Normal"/>
              <w:widowControl w:val="false"/>
              <w:spacing w:before="0" w:after="240"/>
              <w:ind w:left="708" w:hanging="0"/>
              <w:jc w:val="both"/>
              <w:rPr>
                <w:rFonts w:ascii="Bookman Old Style" w:hAnsi="Bookman Old Style"/>
                <w:i/>
                <w:i/>
                <w:iCs/>
                <w:color w:val="000000"/>
                <w:sz w:val="20"/>
                <w:szCs w:val="20"/>
              </w:rPr>
            </w:pPr>
            <w:r>
              <w:rPr>
                <w:rFonts w:ascii="Bookman Old Style" w:hAnsi="Bookman Old Style"/>
                <w:i/>
                <w:iCs/>
                <w:color w:val="000000"/>
                <w:sz w:val="20"/>
                <w:szCs w:val="20"/>
              </w:rPr>
              <w:t>"(...) Sobre las Implantaciones del SSC (Sistema de Seguimiento de Casos), me permito señalar que la unidad de Implantación no cuenta con la capacidad operativa para asumir las implantaciones del SSC, es por lo que actualmente la Defensa Publica cuenta con una persona encargada de las implantaciones de la Defensa Pública, bajo la administración y coordinación de la Defensa Pública. Por parte de la unidad de Implantaciones se ha colaborado en algunos aspectos de coordinación a lo interno de la Dirección de Tecnología para las configuraciones. Así mismo, al ser un solo recurso dedicado a las implantaciones, se coordinó con la Dirección de Planificación para establecer un orden y lograr las implantaciones de diferentes unidades que intervienen en las materias de Agrario, Ejecucion de la Pena (Penal), Pensiones.</w:t>
              <w:br/>
              <w:br/>
              <w:t>Actualmente se tiene validado las funciones del SSC para las unidades de Ejecución de la Pena por lo que se han iniciado desde finales del 2019 las implantaciones de esas unidades. Cabe señalar que se tiene en proceso la validación del funcionamiento del sistema para las Unidades de Agrario y Pensiones Alimentarias, una vez que se cuente con esa validación, la defensa podría continuar con las implantaciones en esas unidades según la prioridad establecida por la Dirección de Planificación."</w:t>
            </w:r>
          </w:p>
        </w:tc>
        <w:tc>
          <w:tcPr>
            <w:tcW w:w="41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En virtud de lo expuesto, se deberá esperar la validación del funcionamiento del sistema para las Unidades Agrarias y de Pensiones Alimentarias, para posteriormente continuar con las implantaciones, lo anterior supeditado a la capacidad operativa de la Unidad encargada en la Dirección de Tecnología de Información y el profesional en informática asignado a la Defensa Pública.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Lo anterior, se incorpora en el informe.</w:t>
            </w:r>
          </w:p>
        </w:tc>
      </w:tr>
      <w:tr>
        <w:trPr>
          <w:trHeight w:val="401" w:hRule="atLeast"/>
        </w:trPr>
        <w:tc>
          <w:tcPr>
            <w:tcW w:w="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40"/>
              <w:jc w:val="both"/>
              <w:rPr>
                <w:rFonts w:ascii="Bookman Old Style" w:hAnsi="Bookman Old Style"/>
                <w:i/>
                <w:i/>
                <w:iCs/>
                <w:color w:val="000000"/>
                <w:sz w:val="20"/>
                <w:szCs w:val="20"/>
              </w:rPr>
            </w:pPr>
            <w:r>
              <w:rPr>
                <w:rFonts w:ascii="Bookman Old Style" w:hAnsi="Bookman Old Style"/>
                <w:i/>
                <w:iCs/>
                <w:color w:val="000000"/>
                <w:sz w:val="20"/>
                <w:szCs w:val="20"/>
              </w:rPr>
              <w:t>2</w:t>
            </w:r>
          </w:p>
        </w:tc>
        <w:tc>
          <w:tcPr>
            <w:tcW w:w="411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40"/>
              <w:jc w:val="both"/>
              <w:rPr>
                <w:rFonts w:ascii="Bookman Old Style" w:hAnsi="Bookman Old Style"/>
                <w:i/>
                <w:i/>
                <w:iCs/>
                <w:color w:val="000000"/>
                <w:sz w:val="20"/>
                <w:szCs w:val="20"/>
              </w:rPr>
            </w:pPr>
            <w:r>
              <w:rPr>
                <w:rFonts w:ascii="Bookman Old Style" w:hAnsi="Bookman Old Style"/>
                <w:i/>
                <w:iCs/>
                <w:color w:val="000000"/>
                <w:sz w:val="20"/>
                <w:szCs w:val="20"/>
              </w:rPr>
              <w:t>Mediante oficio 0712-DTI-2020 se indica.</w:t>
            </w:r>
          </w:p>
          <w:p>
            <w:pPr>
              <w:pStyle w:val="Normal"/>
              <w:widowControl w:val="false"/>
              <w:spacing w:before="0" w:after="240"/>
              <w:jc w:val="both"/>
              <w:rPr>
                <w:rFonts w:ascii="Bookman Old Style" w:hAnsi="Bookman Old Style"/>
                <w:i/>
                <w:i/>
                <w:iCs/>
                <w:color w:val="000000"/>
                <w:sz w:val="20"/>
                <w:szCs w:val="20"/>
              </w:rPr>
            </w:pPr>
            <w:r>
              <w:rPr>
                <w:rFonts w:ascii="Bookman Old Style" w:hAnsi="Bookman Old Style"/>
                <w:i/>
                <w:iCs/>
                <w:color w:val="000000"/>
                <w:sz w:val="20"/>
                <w:szCs w:val="20"/>
              </w:rPr>
              <w:t xml:space="preserve">En respuesta a la recomendación brindada a la Dirección de Tecnología de Información en el oficio N° 507-PLA-RH-MI-2020, donde se solicita: “Coordinar lo relacionado con la implantación y capacitación del Sistema de Seguimientos de Casos (SSC) y SIGMA en las Oficinas de la Defensa Pública que atiendan materia Agraria, con fin de obtener datos estadísticos para futuros estudios.”, se informa: </w:t>
            </w:r>
          </w:p>
          <w:p>
            <w:pPr>
              <w:pStyle w:val="Normal"/>
              <w:widowControl w:val="false"/>
              <w:spacing w:before="0" w:after="240"/>
              <w:jc w:val="both"/>
              <w:rPr>
                <w:rFonts w:ascii="Bookman Old Style" w:hAnsi="Bookman Old Style"/>
                <w:i/>
                <w:i/>
                <w:iCs/>
                <w:color w:val="000000"/>
                <w:sz w:val="20"/>
                <w:szCs w:val="20"/>
              </w:rPr>
            </w:pPr>
            <w:r>
              <w:rPr>
                <w:rFonts w:ascii="Bookman Old Style" w:hAnsi="Bookman Old Style"/>
                <w:i/>
                <w:iCs/>
                <w:color w:val="000000"/>
                <w:sz w:val="20"/>
                <w:szCs w:val="20"/>
              </w:rPr>
              <w:t xml:space="preserve">  </w:t>
            </w:r>
            <w:r>
              <w:rPr>
                <w:rFonts w:ascii="Bookman Old Style" w:hAnsi="Bookman Old Style"/>
                <w:i/>
                <w:iCs/>
                <w:color w:val="000000"/>
                <w:sz w:val="20"/>
                <w:szCs w:val="20"/>
              </w:rPr>
              <w:t>La Unidad de Inteligencia de la Información desarrollará durante el primer semestre de 2020 la mejora para extraer los datos de la variable etnia del Sistema de Seguimiento de Casos, con esto la información de los casos de la Defensa Pública se mostrarán dentro de las estadísticas en los reportes del SIGMA.</w:t>
            </w:r>
          </w:p>
        </w:tc>
        <w:tc>
          <w:tcPr>
            <w:tcW w:w="41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92" w:leader="none"/>
              </w:tabs>
              <w:jc w:val="both"/>
              <w:rPr>
                <w:rFonts w:ascii="Bookman Old Style" w:hAnsi="Bookman Old Style"/>
                <w:i/>
                <w:i/>
                <w:iCs/>
                <w:sz w:val="20"/>
                <w:szCs w:val="20"/>
              </w:rPr>
            </w:pPr>
            <w:r>
              <w:rPr>
                <w:rFonts w:ascii="Bookman Old Style" w:hAnsi="Bookman Old Style"/>
                <w:i/>
                <w:iCs/>
                <w:sz w:val="20"/>
                <w:szCs w:val="20"/>
              </w:rPr>
              <w:t>Se toma nota y se incorpora en el informe dicha propuesta por parte de la Dirección de Tecnología.</w:t>
            </w:r>
          </w:p>
        </w:tc>
      </w:tr>
    </w:tbl>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r>
        <w:br w:type="page"/>
      </w:r>
    </w:p>
    <w:p>
      <w:pPr>
        <w:pStyle w:val="Normal"/>
        <w:jc w:val="both"/>
        <w:rPr>
          <w:rFonts w:ascii="Bookman Old Style" w:hAnsi="Bookman Old Style" w:cs="Book Antiqua"/>
          <w:b/>
          <w:b/>
          <w:bCs/>
          <w:i/>
          <w:i/>
          <w:iCs/>
          <w:sz w:val="20"/>
          <w:szCs w:val="20"/>
          <w:u w:val="single"/>
        </w:rPr>
      </w:pPr>
      <w:r>
        <w:rPr>
          <w:rFonts w:cs="Book Antiqua" w:ascii="Bookman Old Style" w:hAnsi="Bookman Old Style"/>
          <w:b/>
          <w:bCs/>
          <w:i/>
          <w:iCs/>
          <w:sz w:val="20"/>
          <w:szCs w:val="20"/>
          <w:u w:val="single"/>
        </w:rPr>
        <w:t>Defensa Pública:</w:t>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tbl>
      <w:tblPr>
        <w:tblW w:w="1048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87"/>
        <w:gridCol w:w="4441"/>
        <w:gridCol w:w="5645"/>
        <w:gridCol w:w="11"/>
      </w:tblGrid>
      <w:tr>
        <w:trPr>
          <w:trHeight w:val="290" w:hRule="atLeast"/>
        </w:trPr>
        <w:tc>
          <w:tcPr>
            <w:tcW w:w="387" w:type="dxa"/>
            <w:tcBorders>
              <w:top w:val="single" w:sz="4" w:space="0" w:color="000000"/>
              <w:left w:val="single" w:sz="4" w:space="0" w:color="000000"/>
              <w:bottom w:val="single" w:sz="4" w:space="0" w:color="000000"/>
              <w:right w:val="single" w:sz="4" w:space="0" w:color="000000"/>
            </w:tcBorders>
            <w:shd w:color="auto" w:fill="EEECE1" w:themeFill="background2" w:val="clear"/>
            <w:vAlign w:val="center"/>
          </w:tcPr>
          <w:p>
            <w:pPr>
              <w:pStyle w:val="Normal"/>
              <w:widowControl w:val="false"/>
              <w:jc w:val="both"/>
              <w:rPr>
                <w:rFonts w:ascii="Bookman Old Style" w:hAnsi="Bookman Old Style"/>
                <w:b/>
                <w:b/>
                <w:bCs/>
                <w:i/>
                <w:i/>
                <w:iCs/>
                <w:color w:val="000000"/>
                <w:sz w:val="20"/>
                <w:szCs w:val="20"/>
              </w:rPr>
            </w:pPr>
            <w:r>
              <w:rPr>
                <w:rFonts w:ascii="Bookman Old Style" w:hAnsi="Bookman Old Style"/>
                <w:b/>
                <w:bCs/>
                <w:i/>
                <w:iCs/>
                <w:color w:val="000000"/>
                <w:sz w:val="20"/>
                <w:szCs w:val="20"/>
              </w:rPr>
              <w:t>#</w:t>
            </w:r>
          </w:p>
        </w:tc>
        <w:tc>
          <w:tcPr>
            <w:tcW w:w="4441" w:type="dxa"/>
            <w:tcBorders>
              <w:top w:val="single" w:sz="4" w:space="0" w:color="000000"/>
              <w:bottom w:val="single" w:sz="4" w:space="0" w:color="000000"/>
              <w:right w:val="single" w:sz="4" w:space="0" w:color="000000"/>
            </w:tcBorders>
            <w:shd w:color="auto" w:fill="EEECE1" w:themeFill="background2" w:val="clear"/>
            <w:vAlign w:val="center"/>
          </w:tcPr>
          <w:p>
            <w:pPr>
              <w:pStyle w:val="Normal"/>
              <w:widowControl w:val="false"/>
              <w:jc w:val="both"/>
              <w:rPr>
                <w:rFonts w:ascii="Bookman Old Style" w:hAnsi="Bookman Old Style"/>
                <w:b/>
                <w:b/>
                <w:bCs/>
                <w:i/>
                <w:i/>
                <w:iCs/>
                <w:color w:val="000000"/>
                <w:sz w:val="20"/>
                <w:szCs w:val="20"/>
              </w:rPr>
            </w:pPr>
            <w:r>
              <w:rPr>
                <w:rFonts w:ascii="Bookman Old Style" w:hAnsi="Bookman Old Style"/>
                <w:b/>
                <w:bCs/>
                <w:i/>
                <w:iCs/>
                <w:color w:val="000000"/>
                <w:sz w:val="20"/>
                <w:szCs w:val="20"/>
              </w:rPr>
              <w:t xml:space="preserve">Observaciones recibidas </w:t>
            </w:r>
          </w:p>
        </w:tc>
        <w:tc>
          <w:tcPr>
            <w:tcW w:w="5656" w:type="dxa"/>
            <w:gridSpan w:val="2"/>
            <w:tcBorders>
              <w:top w:val="single" w:sz="4" w:space="0" w:color="000000"/>
              <w:bottom w:val="single" w:sz="4" w:space="0" w:color="000000"/>
              <w:right w:val="single" w:sz="4" w:space="0" w:color="000000"/>
            </w:tcBorders>
            <w:shd w:color="auto" w:fill="EEECE1" w:themeFill="background2" w:val="clear"/>
            <w:vAlign w:val="center"/>
          </w:tcPr>
          <w:p>
            <w:pPr>
              <w:pStyle w:val="Normal"/>
              <w:widowControl w:val="false"/>
              <w:jc w:val="both"/>
              <w:rPr>
                <w:rFonts w:ascii="Bookman Old Style" w:hAnsi="Bookman Old Style"/>
                <w:b/>
                <w:b/>
                <w:bCs/>
                <w:i/>
                <w:i/>
                <w:iCs/>
                <w:color w:val="000000"/>
                <w:sz w:val="20"/>
                <w:szCs w:val="20"/>
              </w:rPr>
            </w:pPr>
            <w:r>
              <w:rPr>
                <w:rFonts w:ascii="Bookman Old Style" w:hAnsi="Bookman Old Style"/>
                <w:b/>
                <w:bCs/>
                <w:i/>
                <w:iCs/>
                <w:color w:val="000000"/>
                <w:sz w:val="20"/>
                <w:szCs w:val="20"/>
              </w:rPr>
              <w:t>Criterio de la Dirección de Planificación</w:t>
            </w:r>
          </w:p>
        </w:tc>
      </w:tr>
      <w:tr>
        <w:trPr>
          <w:trHeight w:val="546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M.Sc. Diana Montero manifiesta lo siguiente:</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themeColor="text1"/>
                <w:sz w:val="20"/>
                <w:szCs w:val="20"/>
              </w:rPr>
              <w:t>“</w:t>
            </w:r>
            <w:r>
              <w:rPr>
                <w:rFonts w:ascii="Bookman Old Style" w:hAnsi="Bookman Old Style"/>
                <w:i/>
                <w:iCs/>
                <w:color w:val="000000" w:themeColor="text1"/>
                <w:sz w:val="20"/>
                <w:szCs w:val="20"/>
              </w:rPr>
              <w:t>Aún y cuando en distintos documentos y reuniones se ha recalcado la diferencia en la atención y requerimientos que necesitan las personas usuarias indígenas, lastimosamente esta situación no se refleja en el informe, y se plantea de forma cuantitativa, dejando de lado el aspecto cualitativo elemental en procesos judiciales con personas indígenas, y dejando de lado también, un aspecto cuantitativo justificado en el párrafo anterior, que implica la necesidad de que cuando las personas usuarias sean indígenas, la cantidad de procesos por plaza sea menor, pues la inversión de tiempo y diligencias es mayor.”</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Se concuerda con la Jefatura de la Defensa Pública en cuanto a la existencia de minutas que evidencian los requerimientos expresados por el personal defensor, la Supervisión de Pueblos Indígenas e inclusive, la Jefatura de la Defensa Pública. No obstante, se aclara que en el análisis del informe si fue considerado, precisamente variables cualitativas de la zona de Bribri y Buenos Aires, que es donde se concentra la mayor cantidad de asuntos con persona usuaria indígena en calidad de interviniente. </w:t>
            </w:r>
          </w:p>
        </w:tc>
        <w:tc>
          <w:tcPr>
            <w:tcW w:w="11" w:type="dxa"/>
            <w:tcBorders/>
          </w:tcPr>
          <w:p>
            <w:pPr>
              <w:pStyle w:val="Normal"/>
              <w:widowControl w:val="false"/>
              <w:rPr/>
            </w:pPr>
            <w:r>
              <w:rPr/>
            </w:r>
          </w:p>
        </w:tc>
      </w:tr>
      <w:tr>
        <w:trPr>
          <w:trHeight w:val="546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2</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M.Sc. Diana Montero manifiesta lo siguiente:</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themeColor="text1"/>
                <w:sz w:val="20"/>
                <w:szCs w:val="20"/>
              </w:rPr>
              <w:t>“</w:t>
            </w:r>
            <w:r>
              <w:rPr>
                <w:rFonts w:ascii="Bookman Old Style" w:hAnsi="Bookman Old Style"/>
                <w:i/>
                <w:iCs/>
                <w:color w:val="000000" w:themeColor="text1"/>
                <w:sz w:val="20"/>
                <w:szCs w:val="20"/>
              </w:rPr>
              <w:t>Incluso, se echa de menos en el informe que hay lugares en los que no se pueden brindar los servicios por falta del recurso humano y esto afecta a las personas usuarias, entre ellas a las personas indígenas, por ejemplo, Coto Brus no tiene atención para actoras en pensiones y familia, a pesar que el Juzgado de Pensiones tiene una carga de procesos muy amplia.”</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themeColor="text1"/>
                <w:sz w:val="20"/>
                <w:szCs w:val="20"/>
              </w:rPr>
              <w:t>En el informe se evidencia la cantidad de recursos con los que se cuenta en las oficinas de la Defensa Pública. Para el caso específico de la Coto Brus, se expresa literalmente:</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themeColor="text1"/>
                <w:sz w:val="20"/>
                <w:szCs w:val="20"/>
              </w:rPr>
              <w:t xml:space="preserve">“ </w:t>
            </w:r>
            <w:r>
              <w:rPr>
                <w:rFonts w:ascii="Bookman Old Style" w:hAnsi="Bookman Old Style"/>
                <w:i/>
                <w:iCs/>
                <w:color w:val="000000" w:themeColor="text1"/>
                <w:sz w:val="20"/>
                <w:szCs w:val="20"/>
              </w:rPr>
              <w:t>(…)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themeColor="text1"/>
                <w:sz w:val="20"/>
                <w:szCs w:val="20"/>
              </w:rPr>
              <w:t xml:space="preserve">Además, en la tabla 3 del informe se evidencia que la Defensa Pública de Coto Bus cuenta con un circulante penal de 76 asuntos (para el que si tiene recursos), 9 de Pensiones Alimentarias (donde mantiene colaboración de otra oficina) y no cuenta con circulante Agrario. Por último, importante mencionar que los asuntos de Pensiones Alimentarias son llevados por recargo por un recurso penal. </w:t>
            </w:r>
          </w:p>
        </w:tc>
        <w:tc>
          <w:tcPr>
            <w:tcW w:w="11" w:type="dxa"/>
            <w:tcBorders/>
          </w:tcPr>
          <w:p>
            <w:pPr>
              <w:pStyle w:val="Normal"/>
              <w:widowControl w:val="false"/>
              <w:rPr/>
            </w:pPr>
            <w:r>
              <w:rPr/>
            </w:r>
          </w:p>
        </w:tc>
      </w:tr>
      <w:tr>
        <w:trPr>
          <w:trHeight w:val="546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3</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M.Sc. Diana Montero manifiesta lo siguiente:</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"Aún y cuando en distintos documentos y reuniones se ha recalcado la diferencia en la atención y requerimientos que necesitan las personas usuarias indígenas, lastimosamente esta situación no se refleja en el informe, y se plantea de forma cuantitativa, dejando de lado el aspecto cualitativo elemental en procesos judiciales con personas indígenas, y dejando de lado también, un aspecto cuantitativo justificado en el párrafo anterior, que implica la necesidad de que cuando las personas usuarias sean indígenas, la cantidad de procesos por plaza sea menor, pues la inversión de tiempo y diligencias es mayor."</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Dirección de Planificación comparte el criterio de que estos datos deben ser analizados; sin embargo, debido a las condiciones particulares geográficas, sociales y económicas de cada población indígena y la zona en la que habita, de momento no se estima oportuno realizar una recomendación generalizada para la atención de la población indígena, pues las condiciones pueden variar según la zona.</w:t>
              <w:br/>
              <w:br/>
              <w:t>Es por ello, que las cargas de trabajo calculadas no son ajustadas para que la Persona Defensora tenga un 100% de ocupación; pues, es necesario dejar espacios para atender imprevistos o situaciones que ameriten dedicar más tiempo, como lo es la atención de personas indígenas.</w:t>
              <w:br/>
              <w:br/>
              <w:t>Por otro lado, dentro de los alcances del Proyecto de Mejoramiento al Proceso Penal se están analizando de manera distintiva la condición y particularidad de la población y la zona en la que se encuentran, tomando en cuenta tiempos de movilización y limitaciones económicas de las personas en cada oficina que se aborda, para emitir recomendaciones de manera integral, que beneficien tanto a la oficina como a la población.</w:t>
              <w:br/>
              <w:br/>
              <w:t>Lo anterior, no modifica el contenido del informe.</w:t>
            </w:r>
          </w:p>
        </w:tc>
        <w:tc>
          <w:tcPr>
            <w:tcW w:w="11" w:type="dxa"/>
            <w:tcBorders/>
          </w:tcPr>
          <w:p>
            <w:pPr>
              <w:pStyle w:val="Normal"/>
              <w:widowControl w:val="false"/>
              <w:rPr/>
            </w:pPr>
            <w:r>
              <w:rPr/>
            </w:r>
          </w:p>
        </w:tc>
      </w:tr>
      <w:tr>
        <w:trPr>
          <w:trHeight w:val="210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4</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M.Sc. Diana Montero manifiesta: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debe aclarar que el registro e informe de personas usuarias y procesos se realiza en la oficina en que se atiende según la competencia territorial, no en la oficina de la que se brinda la colaboración, de forma tal que la información es real y obedece al lugar donde debería existir una plaza"</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Se tiene por rendido este punto, el análisis del informe contempló esta variable, tal y como se indicó por la Defensa Pública en el cuadro remitido el 17 de febrero de 2020, denominado "Personas Indígenas que mantienen procesos en trámite en la Defensa Pública en razón del cumplimiento de la Ley 9593, al  31 de diciembre 2019" donde se especifica dentro de las notas al pie que hay casos atendidos por profesionales de otras zonas; sin embargo, el circulante es contabilizado dentro del circulante del despacho competente. </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En informe este punto fue planteado como una posibilidad, no fue una aseveración; sin embargo, en vista de su oportuna aclaración, se realizará una modificación de la redacción del punto mencionado. Aclarando, que el análisis estadístico se realiza a nivel país y se segrega por oficina de la Defensa Pública. </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11" w:type="dxa"/>
            <w:tcBorders/>
          </w:tcPr>
          <w:p>
            <w:pPr>
              <w:pStyle w:val="Normal"/>
              <w:widowControl w:val="false"/>
              <w:rPr/>
            </w:pPr>
            <w:r>
              <w:rPr/>
            </w:r>
          </w:p>
        </w:tc>
      </w:tr>
      <w:tr>
        <w:trPr>
          <w:trHeight w:val="819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5</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"El Departamento de Planificación no valora de forma oportuna que los dos casos a los que se refiere la Defensa corresponden a los procesos penales de Salitre y Térraba y que justamente es en ese lugar que el Estado de Costa Rica tiene medidas cautelares impuestas por la Comisión Interamericana de Derechos Humanos.  Además, se tiene conocimiento que habrán otras investigaciones en la zona de Buenos Aires con las mismas características, más de 50 imputados en la primera y aproximadamente 80 imputados en la segunda. "</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comparte el criterio de la Defensa Pública y se contempla dentro del informe 507-PLA-RH-MI-2020, donde literalmente dice:</w:t>
              <w:br/>
              <w:br/>
              <w:t xml:space="preserve"> " (...) Ahora bien, se tiene como excepción algunos asuntos conocidos dentro de la Defensa Pública, donde la Supervisora de Asuntos Indígenas indica que intervienen gran cantidad de personas usuarias indígenas y por ello, se toma en consideración dentro del análisis actual. </w:t>
              <w:br/>
              <w:t>Sin embargo, con base en el informe 634-PLA-RH-MI-2019 “Impacto organizacional y presupuestario en el Poder Judicial, (Defensa Pública) a partir de la promulgación de la Ley 9593 de Acceso a la Justicia de los Pueblos Indígenas (incluye materia disciplinaria, agraria y pensión alimentaria)” y el presente análisis estadístico, se infiere técnicamente que dichos expedientes responden a casos aislados y se encuentran fuera de los límites de control, debido a que en el amplio periodo de tiempo de estudio no se refleja el comportamiento descrito."</w:t>
              <w:br/>
              <w:br/>
              <w:t>El texto anterior evidencia que las manifestaciones realizadas por el personal defensor, la Supervisión de Pueblos Indígenas y la Jefatura; fueron consideradas. Se recalca que se considera dentro del análisis estadístico un año de muestra (de setiembre 2018 a setiembre 2019) y, se compara los datos estadísticos del informe del año anterior, donde se comprueba que el comportamiento de la cantidad de personas usuarias indígenas en calidad de interviniente por expediente se mantiene. Importante mencionar que, a nivel nacional ingresaron más de mil expedientes con las características en mención, donde ninguno presenta el comportamiento expresado por la Defensa Pública, esos dos expedientes representan menos del 0,05% de la entrada.</w:t>
              <w:br/>
              <w:br/>
              <w:t>Ahora bien, para poder solventar estos asuntos de gran complejidad, ya que requieren la intervención de muchos recursos de Defensor o Defensora Pública, se le recomienda a la Jefatura de la Defensa Pública hacer uso de los mecanismos temporales con que cuenta la Institución para brindar el servicio de calidad que caracteriza a la Defensa Pública, como el desarrollo de un proyecto bajo la metodología Institucional, un plan de trabajo o plan remedial, entre otros.</w:t>
              <w:br/>
              <w:br/>
              <w:t>Lo anterior, no modifica el contenido del informe.</w:t>
            </w:r>
          </w:p>
        </w:tc>
        <w:tc>
          <w:tcPr>
            <w:tcW w:w="11" w:type="dxa"/>
            <w:tcBorders/>
          </w:tcPr>
          <w:p>
            <w:pPr>
              <w:pStyle w:val="Normal"/>
              <w:widowControl w:val="false"/>
              <w:rPr/>
            </w:pPr>
            <w:r>
              <w:rPr/>
            </w:r>
          </w:p>
        </w:tc>
      </w:tr>
      <w:tr>
        <w:trPr>
          <w:trHeight w:val="5220" w:hRule="atLeast"/>
        </w:trPr>
        <w:tc>
          <w:tcPr>
            <w:tcW w:w="3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6</w:t>
            </w:r>
          </w:p>
        </w:tc>
        <w:tc>
          <w:tcPr>
            <w:tcW w:w="4441" w:type="dxa"/>
            <w:tcBorders>
              <w:top w:val="single" w:sz="4" w:space="0" w:color="000000"/>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M.Sc. Diana Montero manifiesta lo siguiente en relación a la naturaleza de los recursos de Defensora o Defensor Público:</w:t>
              <w:br/>
              <w:br/>
              <w:br/>
              <w:t xml:space="preserve">(...)  "se establece por Principio de Legalidad que quien brinda la asistencia letrada debe cumplir dos requisitos: </w:t>
              <w:br/>
              <w:br/>
              <w:t xml:space="preserve">1) especializada en derecho indígena. </w:t>
              <w:br/>
              <w:br/>
              <w:t xml:space="preserve">2) especializada en la materia de competencia. </w:t>
              <w:br/>
              <w:br/>
              <w:t>Situación que a la fecha no opera, pues las personas defensoras públicas no tienen una especialidad en derecho indígena, aún y cuando se trata de generar capacitaciones; además se plantea la necesidad de la especialidad en la materia de atención a la persona indígena. Eso nos lleva a considerar que las personas defensoras públicas no deberían de asesorar materias por recargo, que implica otras especialidades, ni que pensiones deba atender penal, o violencia doméstica, ya que justamente por el Principio de Legalidad se requiere la especialización a partir de la condición de la persona usuaria y del tipo de proceso judicial que se asesore."</w:t>
            </w:r>
          </w:p>
        </w:tc>
        <w:tc>
          <w:tcPr>
            <w:tcW w:w="5645" w:type="dxa"/>
            <w:tcBorders>
              <w:top w:val="single" w:sz="4" w:space="0" w:color="000000"/>
              <w:bottom w:val="single" w:sz="4" w:space="0" w:color="000000"/>
              <w:right w:val="single" w:sz="4" w:space="0" w:color="000000"/>
            </w:tcBorders>
            <w:shd w:color="auto" w:fill="E2EFDA" w:val="clear"/>
            <w:vAlign w:val="bottom"/>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coincide con el criterio de especialización de personal defensor; sin embargo, por las cargas de trabajo evidenciadas en el informe en mención, el criterio técnico de la Dirección de Planificación es que los recursos de Defensora o Defensor Público sean especializados pero no exclusivos, de manera que las personas defensoras cumplan con las cargas de trabajo establecidas por el ente competente, priorizando su especialización.</w:t>
              <w:br/>
              <w:br/>
              <w:t>Adicionalmente, cabe manifestar, que las propuestas de recurso humano planteadas en dicho informe, mantienen la misma línea de trabajo establecida en el informe 634-PLA-RH-MI-2019 de la Dirección de Planificación, el cual fue aprobado por el Consejo Superior en la sesión extraordinaria 44-19 (Presupuesto 2020) artículo II, del 16 de mayo de 2019; y por Corte Plena en la sesión 22-19 6 de Junio de 2019, Artículo IV, para fines del ejercicio presupuestario del año anterior.</w:t>
              <w:br/>
              <w:br/>
              <w:t>Sin embargo, se toma nota de la observación jurídica, la cual se agrega dentro del apartado de recomendaciones del informe para la solicitar el criterio de la Dirección Jurídica, siendo el referente competente para dar un criterio técnico acertado en cuanto al principio de legalidad.</w:t>
            </w:r>
          </w:p>
        </w:tc>
        <w:tc>
          <w:tcPr>
            <w:tcW w:w="11" w:type="dxa"/>
            <w:tcBorders/>
          </w:tcPr>
          <w:p>
            <w:pPr>
              <w:pStyle w:val="Normal"/>
              <w:widowControl w:val="false"/>
              <w:rPr/>
            </w:pPr>
            <w:r>
              <w:rPr/>
            </w:r>
          </w:p>
        </w:tc>
      </w:tr>
      <w:tr>
        <w:trPr>
          <w:trHeight w:val="407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7</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El Sr. Mario Rosales Vargas, Coordinador de materia Agraria de la Defensa Pública manifiesta: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br/>
              <w:t>“Respecto de estas recomendaciones, concretamente en cuanto a que se asigne a las personas defensoras públicas que conformamos la Unidad Agraria casos de materias diferentes a las de nuestra especialización, deben valorarse algunas situaciones.</w:t>
              <w:br/>
              <w:t>En primer lugar, hay que recordar que la forma de reportar el circulante, había venido siendo equivocada mediante el reporte del número de expediente o NUE, de esa manera en un expediente donde se defiende a más de una persona, solamente se reportaba una representación."</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Los datos estadísticos incluidos en el informe 507-PLA-RH-MI-2020 puesto en consulta el día 30 de marzo del presente año, fueron suministrados por el Subproceso de Estadística y la Administración de la Defensa Pública, de manera tal, que son los datos oficiales para el 2019. Esta información es tabulada directamente en la Defensa Pública y posteriormente validados por el Subproceso de Estadística de la Dirección de Planificación; de tal manera que, la data analizada en el informe se desprende de los insumos que cada oficina de la Defensa Pública facilitó en su momento.</w:t>
              <w:br/>
              <w:br/>
              <w:t>Por otro lado, ante la imposibilidad de obtener datos del SSC debido a que no se tiene implantado el sistema informático, solo es posible obtener información por medio de los Anuarios Estadísticos, los cuales son utilizados para lo toma de decisiones de toda la institución y es por ello que cada despacho debe velar por que la información sea veraz y se ajuste a la realidad del despacho.</w:t>
              <w:br/>
              <w:br/>
              <w:t>Lo anterior, no modifica el contenido del informe.</w:t>
            </w:r>
          </w:p>
        </w:tc>
        <w:tc>
          <w:tcPr>
            <w:tcW w:w="11" w:type="dxa"/>
            <w:tcBorders/>
          </w:tcPr>
          <w:p>
            <w:pPr>
              <w:pStyle w:val="Normal"/>
              <w:widowControl w:val="false"/>
              <w:rPr/>
            </w:pPr>
            <w:r>
              <w:rPr/>
            </w:r>
          </w:p>
        </w:tc>
      </w:tr>
      <w:tr>
        <w:trPr>
          <w:trHeight w:val="432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8</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Asimismo, el Sr. Mario Rosales Vargas, Coordinador de materia Agraria de la Defensa Pública manifiesta: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"Ahora, como se desprende también del cuadro indicado que se adjunta, lo cierto es que si analizamos los datos estadísticos tomando en consideración los expedientes y no las representaciones, ejercicio que sería equivocado, pero si aun así lo hacemos, podemos ver que el promedio de expedientes por cada persona defensora agraria es de 230, lo que evidentemente también rebaza la cantidad límite de 180 expedientes."</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coincide con el criterio emitido por el Lic. Mario Rosales, es por ello que dentro del análisis estadístico se hizo el ejercicio de establecer una relación de asuntos entrados durante los primeros tres trimestres del 2019, según los datos facilitados por el Subproceso de Estadística y Defensa Pública (ver apendice 1), donde se observó que ingresaron 1317 asuntos y la cantidad de intervinientes correspondió a 1570, de tal manera fue posible establecer una relación de 1,19; por lo que se puede definir que por cada 10 asuntos que entran con un solo interviniente, ingresan 2 con más de un interviniente.</w:t>
              <w:br/>
              <w:br/>
            </w:r>
            <w:r>
              <w:rPr>
                <w:rFonts w:ascii="Bookman Old Style" w:hAnsi="Bookman Old Style"/>
                <w:i/>
                <w:iCs/>
                <w:sz w:val="20"/>
                <w:szCs w:val="20"/>
              </w:rPr>
              <w:t>Por otra parte, realizando un análisis del cuadro adjunto "Defensa Pública Unidad Agraria", donde se muestra la cantidad de expedientes y personas representadas en la unidad agraria a marzo de 2020, se puede observar que la cantidad de expedientes activos en promedio persona defensora corresponde a 172 y no a 230, como se menciona por el Lic. Mario Rosales, Coordinador de la Unidad Agraria de la Defensa Pública. De tal modo, se comprueba que el circulante en trámite por Persona Defensora continua por debajo de la cuota establecida, tal y como se menciona en el informe en atención.</w:t>
            </w:r>
            <w:r>
              <w:rPr>
                <w:rFonts w:ascii="Bookman Old Style" w:hAnsi="Bookman Old Style"/>
                <w:i/>
                <w:iCs/>
                <w:color w:val="000000"/>
                <w:sz w:val="20"/>
                <w:szCs w:val="20"/>
              </w:rPr>
              <w:br/>
              <w:br/>
              <w:t>Lo anterior, no modifica el contenido del informe.</w:t>
            </w:r>
          </w:p>
        </w:tc>
        <w:tc>
          <w:tcPr>
            <w:tcW w:w="11" w:type="dxa"/>
            <w:tcBorders/>
          </w:tcPr>
          <w:p>
            <w:pPr>
              <w:pStyle w:val="Normal"/>
              <w:widowControl w:val="false"/>
              <w:rPr/>
            </w:pPr>
            <w:r>
              <w:rPr/>
            </w:r>
          </w:p>
        </w:tc>
      </w:tr>
      <w:tr>
        <w:trPr>
          <w:trHeight w:val="657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9</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La M.Sc. Diana Montero manifestó lo siguiente referente a materia Agraria: </w:t>
              <w:br/>
              <w:br/>
              <w:t>"Según lo indicado supra, entre otras cosas debe valorarse también que en los procesos agrarios se está considerando por caso, no por persona usuaria, lo cual generaría una cantidad mayor.  Valga aclarar que la respuesta de licenciado Rosales se transcribe en su totalidad como él la planteó y resulta de importancia valorar si tal y como él lo indica, la carga de trabajo en materia agraria ha aumentado de manera tal que resulte inmanejable el trámite de los procesos contenciosos administrativos, pues obviamente una sola plaza en materia contencioso administrativa, no resulta suficiente para tramitar todo lo que esa materia conlleva."</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sz w:val="20"/>
                <w:szCs w:val="20"/>
              </w:rPr>
              <w:t>Los datos estadísticos incluidos en el informe 507-PLA-RH-MI-2020 puesto en consulta el día 30 de marzo del presente año, fueron suministrados por el Subproceso de Estadística y la Administración de la Defensa Pública, de manera tal, que son los datos oficiales para el 2019. Esta información es tabulada y validada directamente en la Defensa Pública y posteriormente validados por el Subproceso de Estadística de la Dirección de Planificación; de tal manera que, la data analizada en el informe se desprende de los insumos que cada oficina de la Defensa Pública facilitó en su momento.</w:t>
              <w:br/>
              <w:br/>
              <w:t>El análisis estadístico de materia Agraria se encuentra ubicado de la página 31 a la 35 del informe 507-PLA-RH-MI-2020, con datos que fueron remitidos por la Defensa Pública el 17 de febrero del 2020. Del análisis efectuado, se extrae la siguiente información:</w:t>
            </w:r>
            <w:r>
              <w:rPr>
                <w:rFonts w:ascii="Bookman Old Style" w:hAnsi="Bookman Old Style"/>
                <w:i/>
                <w:iCs/>
                <w:color w:val="548235"/>
                <w:sz w:val="20"/>
                <w:szCs w:val="20"/>
              </w:rPr>
              <w:br/>
            </w:r>
            <w:r>
              <w:rPr>
                <w:rFonts w:ascii="Bookman Old Style" w:hAnsi="Bookman Old Style"/>
                <w:i/>
                <w:iCs/>
                <w:color w:val="000000"/>
                <w:sz w:val="20"/>
                <w:szCs w:val="20"/>
              </w:rPr>
              <w:br/>
              <w:t>"En análisis de los datos proyectados de la Defensa Pública en materia Agraria, se estima una entrada promedio de 8 asuntos por recurso Defensor Público a nivel nacional; así como, un circulante promedio de 129 asuntos por cada plaza de Defensor.</w:t>
              <w:br/>
              <w:t>De considerar la entrada promedio de 8 asuntos a nivel nacional más el circulante por cada plaza a diciembre de 2018, se estima un circulante proyectado de aproximadamente 137 asuntos por cada recurso Defensor Público; estando por debajo en 43 procesos (24%) de la cuota establecida de 180 asuntos de circulante por cada plaza de Defensora o Defensor Público"</w:t>
              <w:br/>
              <w:br/>
              <w:t>Es por ello que se considera que se debe de mantener la recomendación; pues, no resulta procedente realizar un nuevo estudio debido a que información estadística con la que se cuenta fue brindada precisamente por la Defensa Pública.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Lo anterior es sujeto a seguimiento para analizar el comportamiento.</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br/>
              <w:br/>
              <w:t>Lo anterior, no modifica el contenido del informe.</w:t>
            </w:r>
          </w:p>
        </w:tc>
        <w:tc>
          <w:tcPr>
            <w:tcW w:w="11" w:type="dxa"/>
            <w:tcBorders/>
          </w:tcPr>
          <w:p>
            <w:pPr>
              <w:pStyle w:val="Normal"/>
              <w:widowControl w:val="false"/>
              <w:rPr/>
            </w:pPr>
            <w:r>
              <w:rPr/>
            </w:r>
          </w:p>
        </w:tc>
      </w:tr>
      <w:tr>
        <w:trPr>
          <w:trHeight w:val="520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10</w:t>
            </w:r>
          </w:p>
        </w:tc>
        <w:tc>
          <w:tcPr>
            <w:tcW w:w="4441"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El Doctor Roberto Montero García menciona que:</w:t>
              <w:br/>
              <w:br/>
              <w:t>"Actualmente esta plaza cuenta con más de 39 expedientes activos, cantidad que es de esperarse que a futuro aumente, por lo que asignarle otro tipo de expedientes o causas de diferente materia, sin contar con datos estadísticos provenientes de la Jurisdicción Contencioso Administrativa (donde se ha indicado, como consta en el mismo informe de Planificación, que no se cuentan con esos datos exactos) podría poner en riesgo la adecuada representación, por lo que parece prudente esperar al menos a que el año 2020 finalice y volver a revisar el circulante indicado."</w:t>
            </w:r>
          </w:p>
        </w:tc>
        <w:tc>
          <w:tcPr>
            <w:tcW w:w="5645"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En concordancia con el criterio del Señor Montero García se aclara que, el presente informe tiene como alcance el periodo presupuestario 2021 y, para brindar el criterio técnico, la presente Dirección realiza inferencias científicas por medio de análisis de datos históricos. Se considera adecuada la recomendación y, es importante mencionar que la práctica de utilizar los datos estadísticos más actualizados es utilizada por la Dirección de Planificación. </w:t>
              <w:br/>
              <w:br/>
              <w:t xml:space="preserve">Es importante indicar que del mismo informe puesto en consulta se desprende la colaboración que recibirá durante el 2020 para la atención de los casos en materia Contenciosa Administrativa, según se cita. “…en la sesión 43-2019 del Consejo Superior artículo XL del 14 de mayo 2019, se acordó trasladar una plaza de persona defensora de la Secretaría Técnica de Género y Acceso a la Justicia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ya que se detectó la necesidad de reforzar estas funciones, pero no ha sido posible su asignación por la escases de recursos institucionales”. </w:t>
              <w:br/>
              <w:br/>
              <w:t>Lo anterior, no modifica el contenido del informe</w:t>
            </w:r>
          </w:p>
        </w:tc>
        <w:tc>
          <w:tcPr>
            <w:tcW w:w="11" w:type="dxa"/>
            <w:tcBorders/>
          </w:tcPr>
          <w:p>
            <w:pPr>
              <w:pStyle w:val="Normal"/>
              <w:widowControl w:val="false"/>
              <w:rPr/>
            </w:pPr>
            <w:r>
              <w:rPr/>
            </w:r>
          </w:p>
        </w:tc>
      </w:tr>
      <w:tr>
        <w:trPr>
          <w:trHeight w:val="983"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11</w:t>
            </w:r>
          </w:p>
        </w:tc>
        <w:tc>
          <w:tcPr>
            <w:tcW w:w="4441"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Además, el Doctor Roberto Montero García menciona que:</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"También cabe indicar que estos casos se llevan en la modalidad de “co defensa”, a efecto de que en caso de que como director del proceso sucediera alguna circunstancia que me haga imposible asistir a cualquier audiencia, pueda la persona asignada como codefensora participar de emergente sin ningúna objeción del Tribunal, ello atendiendo las recomendaciones hechas por la Comisión Interamericana de Derechos Humanos, Resolución 16/15, Medida Cautelar 321-12 y aclarando que esto en casos con personas indígenas, pues en los demás casos contenciosos de personas no indígenas no aplica esa codefensa."</w:t>
            </w:r>
          </w:p>
        </w:tc>
        <w:tc>
          <w:tcPr>
            <w:tcW w:w="5645"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está de acuerdo con la indicación del Señor Montero García y se reiteran los siguientes párrafos del informe:</w:t>
              <w:br/>
              <w:br/>
              <w:t xml:space="preserve">" (...) Respecto a los asuntos Contenciosos Administrativos, es importante hace énfasis de que se reportan 39 representaciones al cierre de diciembre de 2019.Estos asuntos mantienen la particularidad de que requieren codefensa, por lo que al menos deben participar dos Defensoras o Defensores en su tramitación. </w:t>
              <w:br/>
              <w:t>En consulta con la Coordinación de la Defensa Pública de Buenos Aires, el Licenciado Andrey Fuentes Gamboa, se expone que, por indicación de la Jefatura de la Defensa Pública, los asuntos contenciosos administrativos con interviniente persona indígena se asignan como recargo a las personas defensoras agrarias y por tal, desde que recibió la indicación, el único asunto que ha ingresado a la oficina es el que tiene asignado dentro de su circulante la persona defensora de materia agraria. (...) "</w:t>
              <w:br/>
              <w:br/>
              <w:t>Aspectos que fueron considerados dentro del análisis de las cargas de trabajo del presente informe, inclusive se consulta al Defensor Coordinador de Buenos Aires por qué se registra un asunto Contencioso Administrativo, respuesta explícita en el párrafo anterior.</w:t>
              <w:br/>
              <w:br/>
              <w:t>Lo anterior, no modifica el contenido del informe.</w:t>
            </w:r>
          </w:p>
        </w:tc>
        <w:tc>
          <w:tcPr>
            <w:tcW w:w="11" w:type="dxa"/>
            <w:tcBorders/>
          </w:tcPr>
          <w:p>
            <w:pPr>
              <w:pStyle w:val="Normal"/>
              <w:widowControl w:val="false"/>
              <w:rPr/>
            </w:pPr>
            <w:r>
              <w:rPr/>
            </w:r>
          </w:p>
        </w:tc>
      </w:tr>
      <w:tr>
        <w:trPr>
          <w:trHeight w:val="189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12</w:t>
            </w:r>
          </w:p>
        </w:tc>
        <w:tc>
          <w:tcPr>
            <w:tcW w:w="4441"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El Doctor Roberto Montero menciona que:</w:t>
              <w:br/>
              <w:br/>
              <w:t>"Otro aspecto cuestionable en el informe rendido por Planificación, es el dato de que solamente hay en el Tribunal Contencioso Administrativo 12 expedientes activos de la Asociación de Desarrollo Integral de la Reserva Indígena de Bribrí, KEKOLDI, pues en la Defensa Pública, como se desprende de los datos internos, se llevan bastante más de 12 causas a dicha asociación."</w:t>
            </w:r>
          </w:p>
        </w:tc>
        <w:tc>
          <w:tcPr>
            <w:tcW w:w="5645"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reitera que la cantidad de expedientes activos mostrados en el informe fueron los reportados por el Tribunal Contencioso Administrativo el 04 de febrero de 2020, según los sistemas de información, para un total de 97 asuntos activos, dentro de los que están los 12 de la Reserva Indígena de Bribri, KEKOLDI, sin indicar un dato distinto.</w:t>
              <w:br/>
              <w:br/>
              <w:t>Lo anterior, no modifica el contenido del informe.</w:t>
            </w:r>
          </w:p>
        </w:tc>
        <w:tc>
          <w:tcPr>
            <w:tcW w:w="11" w:type="dxa"/>
            <w:tcBorders/>
          </w:tcPr>
          <w:p>
            <w:pPr>
              <w:pStyle w:val="Normal"/>
              <w:widowControl w:val="false"/>
              <w:rPr/>
            </w:pPr>
            <w:r>
              <w:rPr/>
            </w:r>
          </w:p>
        </w:tc>
      </w:tr>
      <w:tr>
        <w:trPr>
          <w:trHeight w:val="1121"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13</w:t>
            </w:r>
          </w:p>
        </w:tc>
        <w:tc>
          <w:tcPr>
            <w:tcW w:w="4441"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M.Sc. Diana Montero menciona:</w:t>
              <w:br/>
              <w:br/>
              <w:t>" (...) preocupa el enfoque del estudio de Planificación que refleja una constante minimización de la complejidad de los asuntos indígenas, a pesar de las múltiples explicaciones que sobre este aspecto, las personas Defensoras Públicas les han dado a las personas funcionarias de Planificación que han realizado las entrevistas para la confección de dicho informe, pero que sin embargo no son valoradas en las conclusiones del estudio, pues no basta su simple mención para analizar el impacto que esta complejidad tiene ni para la persona usuaria, ni para la Defensa Pública, ni siquiera para el país que se encuentra cuestionado internacionalmente por el manejo de los asuntos indígenas . (...) "</w:t>
            </w:r>
          </w:p>
        </w:tc>
        <w:tc>
          <w:tcPr>
            <w:tcW w:w="5645"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Es importante aclarar que se tomó en cuenta lo externado por las diferentes personas de la Defensa Publica, según se desprende del mismo informe:</w:t>
              <w:br/>
              <w:br/>
              <w:t>“..el 03 de febrero de 2020 se coordina una sesión de trabajo con la Administración de la Defensa Pública, respaldada en la minuta 29-PLA-MI-MNTA-2020; con el propósito de identificar el impacto dado en la Defensa Pública a partir de la implementación de la Ley 9593 de Acceso a la Justicia de los Pueblos Indígenas y, recibir retroalimentación de la manera de trabajo optada por la administración para solventar las necesidades de la población en mención.</w:t>
              <w:br/>
              <w:t>Con base en la información recolectada en reunión mencionada en el párrafo anterior y, con la información estadística enviada por la Administración de la Defensa Pública; se procede a analizar las cargas de trabajo de las plazas de Defensora o Defensor Público responsables de la tramitación de asuntos con interviniente persona usuaria indígena.</w:t>
              <w:br/>
              <w:t xml:space="preserve">Seguido, se consultó a Unidad de Capacitación de la Defensa Pública sobre los lineamientos establecidos por parte de la Jefatura de la Defensa Pública para cubrir el tema de capacitación del personal de la Defensa Pública en la tramitación de asuntos con interviniente persona usuaria indígena.”  En anexos, se adjunta minuta a este oficio </w:t>
              <w:br/>
              <w:br/>
              <w:t xml:space="preserve">Con lo anterior, se realiza el análisis científico considerando las observaciones cualitativas brindadas por todo el personal en mención. </w:t>
              <w:br/>
              <w:br/>
              <w:t>Adicionalmente, cabe reiterar que el análisis y las propuestas de recurso humano planteadas en dicho informe, mantienen la misma línea de trabajo establecida en el informe 634-PLA-RH-MI-2019 de la Dirección de Planificación, el cual fue aprobado por el Consejo Superior en la sesión extraordinaria 44-19 (Presupuesto 2020) artículo II, del 16 de mayo de 2019; y por Corte Plena en la sesión 22-19 6 de junio de 2019, Artículo IV, para fines del ejercicio presupuestario del año anterior.</w:t>
            </w:r>
          </w:p>
        </w:tc>
        <w:tc>
          <w:tcPr>
            <w:tcW w:w="11" w:type="dxa"/>
            <w:tcBorders/>
          </w:tcPr>
          <w:p>
            <w:pPr>
              <w:pStyle w:val="Normal"/>
              <w:widowControl w:val="false"/>
              <w:rPr/>
            </w:pPr>
            <w:r>
              <w:rPr/>
            </w:r>
          </w:p>
        </w:tc>
      </w:tr>
      <w:tr>
        <w:trPr>
          <w:trHeight w:val="297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14</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"Debemos señalar que las apreciaciones y argumentos expuestos por el Dr. Montero García son compartidos en su totalidad por la Jefatura.  Resulta preocupante que mucha de la información que se ha brindado en entrevistas a  los responsables de estudio no quede reflejada en este,  como por ejemplo, la situación del licenciado Jorge Sanchez y los acuerdos respecto a su ubicación. Además,  preocupa el enfoque del estudio de Planificación que refleja una constante minimización de la complejidad de los asuntos indígenas, a pesar de las múltiples explicaciones que sobre este aspecto, las personas Defensoras Públicas les han dado a las personas funcionarias de Planificación que han realizado las entrevistas para la confección de dicho informe, pero que sin embargo no son valoradas en las conclusiones del estudio, pues no basta su simple mención "</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Se comparte el criterio del personal defensor técnico, así como de la Jefatura de la Defensa Pública; siendo consideradas dentro el presente estudio. Las observaciones presentadas por el Dr. Montero García se aclaran en los puntos anteriores. </w:t>
              <w:br/>
              <w:br/>
              <w:t>Respecto a la situación del Lic. Jorge Sánchez, se procederá a especificar su ubicación, ya que se puede ampliar su mención en el informe en el apartado VI, sin embargo, en el apartado III se detalla el antecedente.</w:t>
            </w:r>
          </w:p>
        </w:tc>
        <w:tc>
          <w:tcPr>
            <w:tcW w:w="11" w:type="dxa"/>
            <w:tcBorders/>
          </w:tcPr>
          <w:p>
            <w:pPr>
              <w:pStyle w:val="Normal"/>
              <w:widowControl w:val="false"/>
              <w:rPr/>
            </w:pPr>
            <w:r>
              <w:rPr/>
            </w:r>
          </w:p>
        </w:tc>
      </w:tr>
      <w:tr>
        <w:trPr>
          <w:trHeight w:val="553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15</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La Defensa Pública para poder cumplir con las competencias asignadas en la Ley N° 9593, Ley de Acceso a la Justicia de los Pueblos Indígenas, publicada el 28 de setiembre de 2018, representación legal tanto a la parte actora como a la parte demandada en materia de familia, pensiones alimentarias y parte actora en procesos de violencia doméstica. Valga indicar que anterior a esta Ley, no se representaba a la parte demanda en procesos alimentarios, tampoco en procesos de familia parte actora y parte demandada y tampoco se atendía a la parte solicitante en procesos de violencia doméstica, debiéndose alterar el curso normal del servicio en diferentes oficinas de la Defensa Pública, después de la entrada en vigor de la Ley N° 9593, Ley de Acceso a la Justicia de los Pueblos Indígenas.</w:t>
              <w:br/>
              <w:t>• Los datos analizados en el informe bajo estudio de la materia de pensiones alimentarias, familia y violencia doméstica, para la población indígena, incluye únicamente los datos de asuntos activos que lleva la Defensa Pública (a pesar de que el servicio se trata de brindar de la mejor manera, es claro que existe recurso limitado para ofrecer el servicio de forma integral), no se evidencia los datos de asuntos activos en las diversas materias (pensiones alimentarias, familia y violencia doméstica) que llevan los Juzgados de las localidades con mayor concentración de personas indígenas, tales como: Limón, Puntarenas"</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Seguidamente se extrae parte de lo expuesto en el punto cinco del informe, referente a la carga laboral en materia de Pensiones Alimentarias:</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br/>
              <w:t>"Al tercer trimestre del 2019 existían 306 asuntos en trámite en la Defensa Pública, en los que figuraba una o varias personas pertenecientes a poblaciones indígenas, del total de asuntos un 68% esta centralizado en las oficinas de Bribri y Buenos Aires, con un 34% en cada una; seguidos de Pérez Zeledón con un 7% y Limón con un 6%.</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 </w:t>
            </w:r>
            <w:r>
              <w:rPr>
                <w:rFonts w:ascii="Bookman Old Style" w:hAnsi="Bookman Old Style"/>
                <w:i/>
                <w:iCs/>
                <w:color w:val="000000"/>
                <w:sz w:val="20"/>
                <w:szCs w:val="20"/>
              </w:rPr>
              <w:br/>
              <w:t>De tal modo, es posible determinar que los asuntos en trámite en Bribri y Buenos Aires de forma separada, superan en un 80% a los casos en trámite en la Defensa Pública con el tercer lugar, en materia de Pensiones Alimentarias."</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br/>
              <w:t>La Dirección de Planificación es consciente que con la promulgación de la Ley de Acceso a la Justicia de Pueblos Indígenas se deberá atender tanto a la parte actora como a la parte demandada; sin embargo, a nivel de cargas de trabajo y tomando en cuenta la maximización de los recursos institucionales; además, en apego a la contención del gasto público; se puede observar que las circulantes actuales con las que cuentan la mayoría de estos despachos no justifican el otorgamiento de recurso humando adicional.</w:t>
              <w:br/>
              <w:br/>
              <w:t>Lo anterior, no modifica el contenido del informe.</w:t>
            </w:r>
          </w:p>
        </w:tc>
        <w:tc>
          <w:tcPr>
            <w:tcW w:w="11" w:type="dxa"/>
            <w:tcBorders/>
          </w:tcPr>
          <w:p>
            <w:pPr>
              <w:pStyle w:val="Normal"/>
              <w:widowControl w:val="false"/>
              <w:rPr/>
            </w:pPr>
            <w:r>
              <w:rPr/>
            </w:r>
          </w:p>
        </w:tc>
      </w:tr>
      <w:tr>
        <w:trPr>
          <w:trHeight w:val="324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16</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Se indica por parte de la Dirección de Planificación que en el supuesto de que se asignen las plazas nuevas a la Defensa Pública por parte de la Asamblea Legislativa, que estas además de la materia de pensiones alimentarias conocerá de manera complementaria asuntos de materia penal, priorizando esta última por encima de materias concernientes al área del derecho de familia como lo son procesos de familia y de violencia doméstica. Asimismo, se debe recordar que la Ley N° 9593, Ley de Acceso a la Justicia de los Pueblos Indígenas, indica de manera clara que las personas defensoras públicas que atiendan a las personas usuarias indígenas deberán ser especialista en el área de atención, pero como podría pretenderse esto, si en la Defensa Pública justamente buscando esta especialidad realiza procesos de reclutamiento distintos para la materia penal y para materias sociales, por lo cual no podría catalogarse como materias afines. "</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Se replica lo que se expresó en puntos anteriores del presente documento: </w:t>
              <w:br/>
              <w:br/>
              <w:t>Se coincide con el criterio de especialización de personal defensor; sin embargo, por las cargas de trabajo evidenciadas en el informe en mención, el criterio técnico de la Dirección de Planificación es que los recursos de Defensora o Defensor Público sean especializados pero no exclusivos, de manera que las personas defensoras cumplan con las cargas de trabajo establecidas por el ente competente, priorizando su especialización.</w:t>
              <w:br/>
              <w:br/>
              <w:t>Lo anterior, no modifica el contenido del informe.</w:t>
            </w:r>
          </w:p>
        </w:tc>
        <w:tc>
          <w:tcPr>
            <w:tcW w:w="11" w:type="dxa"/>
            <w:tcBorders/>
          </w:tcPr>
          <w:p>
            <w:pPr>
              <w:pStyle w:val="Normal"/>
              <w:widowControl w:val="false"/>
              <w:rPr/>
            </w:pPr>
            <w:r>
              <w:rPr/>
            </w:r>
          </w:p>
        </w:tc>
      </w:tr>
      <w:tr>
        <w:trPr>
          <w:trHeight w:val="420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17</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"Para mayor claridad expondré mediante un cuadro aquellos juzgados ubicados en las zonas donde existe una mayor concentración de personas usuarias indígenas, con la indicación del servicio que se está brindado, si la Defensa Pública  cuenta o no con persona defensora pública en la materia de pensiones alimentarias para la parte acreedora alimentaria. Se aclara que en materia de familia y violencia doméstica no se cuenta del todo con recurso humano para brindar ese servicio."</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En este particular, como se menciona en el apartado cinco de Pensiones alimentarias del informe 507-PLA-RH-MI-2020, la dinámica es la misma que realiza actualmente la Defensa Pública, donde "(...) los asuntos en materia de Familia forman parte del circulante de la Unidad de la Defensa Pública que atiende Pensiones Alimentarias, y en materia de Violencia Doméstica pasan hacer parte del circulante de la Unidad de la Defensa Pública que atiende Penal. (...)"</w:t>
            </w:r>
          </w:p>
          <w:p>
            <w:pPr>
              <w:pStyle w:val="Normal"/>
              <w:widowControl w:val="false"/>
              <w:jc w:val="both"/>
              <w:rPr>
                <w:rFonts w:ascii="Bookman Old Style" w:hAnsi="Bookman Old Style"/>
                <w:i/>
                <w:i/>
                <w:iCs/>
                <w:sz w:val="20"/>
                <w:szCs w:val="20"/>
              </w:rPr>
            </w:pPr>
            <w:r>
              <w:rPr>
                <w:rFonts w:ascii="Bookman Old Style" w:hAnsi="Bookman Old Style"/>
                <w:i/>
                <w:iCs/>
                <w:sz w:val="20"/>
                <w:szCs w:val="20"/>
              </w:rPr>
              <w:br/>
              <w:br/>
            </w:r>
            <w:r>
              <w:rPr>
                <w:rFonts w:ascii="Bookman Old Style" w:hAnsi="Bookman Old Style"/>
                <w:i/>
                <w:iCs/>
                <w:color w:val="000000"/>
                <w:sz w:val="20"/>
                <w:szCs w:val="20"/>
              </w:rPr>
              <w:t>Tal y como se abordó en la observac</w:t>
            </w:r>
            <w:r>
              <w:rPr>
                <w:rFonts w:ascii="Bookman Old Style" w:hAnsi="Bookman Old Style"/>
                <w:i/>
                <w:iCs/>
                <w:sz w:val="20"/>
                <w:szCs w:val="20"/>
              </w:rPr>
              <w:t>ión 13 de presente documento la Dirección de Planificación es consciente que con la promulgación de la Ley de Acceso a la Justicia de Pueblos Indígenas se deberá atender tanto a la parte actora como a la parte demandada; sin embargo, a nivel de cargas de trabajo y tomando en cuenta la maximización de los recursos institucionales; además, en apego a la contención del gasto público; se puede observar que los circulantes actuales de esas oficinas no justifican el otorgamiento de recurso humando adicional a nivel nacional.</w:t>
            </w:r>
          </w:p>
          <w:p>
            <w:pPr>
              <w:pStyle w:val="Normal"/>
              <w:widowControl w:val="false"/>
              <w:jc w:val="both"/>
              <w:rPr>
                <w:rFonts w:ascii="Bookman Old Style" w:hAnsi="Bookman Old Style"/>
                <w:i/>
                <w:i/>
                <w:iCs/>
                <w:color w:val="000000"/>
                <w:sz w:val="20"/>
                <w:szCs w:val="20"/>
              </w:rPr>
            </w:pPr>
            <w:r>
              <w:rPr>
                <w:rFonts w:ascii="Bookman Old Style" w:hAnsi="Bookman Old Style"/>
                <w:i/>
                <w:iCs/>
                <w:sz w:val="20"/>
                <w:szCs w:val="20"/>
              </w:rPr>
              <w:br/>
            </w:r>
          </w:p>
          <w:p>
            <w:pPr>
              <w:pStyle w:val="Normal"/>
              <w:widowControl w:val="false"/>
              <w:jc w:val="both"/>
              <w:rPr>
                <w:rFonts w:ascii="Bookman Old Style" w:hAnsi="Bookman Old Style"/>
                <w:i/>
                <w:i/>
                <w:iCs/>
                <w:color w:val="000000"/>
                <w:sz w:val="20"/>
                <w:szCs w:val="20"/>
              </w:rPr>
            </w:pPr>
            <w:r>
              <w:rPr>
                <w:rFonts w:ascii="Bookman Old Style" w:hAnsi="Bookman Old Style"/>
                <w:i/>
                <w:iCs/>
                <w:sz w:val="20"/>
                <w:szCs w:val="20"/>
              </w:rPr>
              <w:br/>
            </w:r>
            <w:r>
              <w:rPr>
                <w:rFonts w:ascii="Bookman Old Style" w:hAnsi="Bookman Old Style"/>
                <w:i/>
                <w:iCs/>
                <w:color w:val="000000"/>
                <w:sz w:val="20"/>
                <w:szCs w:val="20"/>
              </w:rPr>
              <w:t>Lo anterior, no modifica el contenido del informe.</w:t>
            </w:r>
          </w:p>
        </w:tc>
        <w:tc>
          <w:tcPr>
            <w:tcW w:w="11" w:type="dxa"/>
            <w:tcBorders/>
          </w:tcPr>
          <w:p>
            <w:pPr>
              <w:pStyle w:val="Normal"/>
              <w:widowControl w:val="false"/>
              <w:rPr/>
            </w:pPr>
            <w:r>
              <w:rPr/>
            </w:r>
          </w:p>
        </w:tc>
      </w:tr>
      <w:tr>
        <w:trPr>
          <w:trHeight w:val="6500"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18</w:t>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Todo ello aunado a las largas distancias que deben recorrer, por caminos escarpados y riesgosos, donde no existen medios de transporte.  Por lo tanto, resulta lamentable que todos estos aspectos que describe y analiza la licenciada Mora Venegas, no sean valorados por las personas responsables del informe al momento de llegar a conclusiones, omitiendo estas delicadas condiciones.</w:t>
              <w:br/>
              <w:br/>
              <w:t>En virtud de lo expuesto por los diferentes especialistas, es necesario recalcar que se requieren más de las dos plazas de pensiones alimentarias en Buenos Aires y Bribrí, que señala el Informe 507-PLA-RH-MI-2020. "</w:t>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Dirección de Planificación tomando en consideración las limitaciones presupuestarias actuales que imposibilitan la creación de nuevas plazas y en busca de la maximización de los recursos con los que cuenta la institución, en el apartado denominado "Aspectos demográficos a considerar" realizó una revisión de todas las zonas indígenas del país, con el fin de detectar aquellas de mayor densidad, para así, poder favorecer primeramente a la mayor cantidad de personas; como resultado se obtuvieron las zonas de Bribri y Buenos Aires.</w:t>
              <w:br/>
              <w:br/>
              <w:t>Por otro lado, es importante destacar que mediante el Proyecto de Mejoramiento al Proceso Penal que realiza la Dirección de Planificación, ya fue abarcada la oficina de la Defensa Pública de Bribrí donde se realizaron una serie de propuestas para mejorar el acceso a la justicia y  el servicio que se brinda a la población indígena, como la realización de indagatorias en territorios indígenas en busca de un acercamiento con las personas, la atención de indagatorias de respuesta inmediata, con el fin de evitar que la población indígena deba presentarse varias veces; se promovió la posibilidad de ampliar las instalaciones físicas actuales o trasladarse a un lugar cercano para dar un mejor servicio a los usuarios, se planteó la capacitación al personal en lenguas indígenas, entre otros.</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br/>
              <w:t>Si bien es cierto, estas recomendaciones fueron planteadas para la zona Bribri, el proyecto irá abarcando paulatinamente todas las oficinas de la Defensa Pública del país, lo que traerá una serie de recomendaciones específicas para cada oficina según sus particularidades y claramente tomando en cuenta los aspectos sociales asociados.</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br/>
              <w:t>Lo anterior, no modifica el contenido del informe.</w:t>
            </w:r>
          </w:p>
        </w:tc>
        <w:tc>
          <w:tcPr>
            <w:tcW w:w="11" w:type="dxa"/>
            <w:tcBorders/>
          </w:tcPr>
          <w:p>
            <w:pPr>
              <w:pStyle w:val="Normal"/>
              <w:widowControl w:val="false"/>
              <w:rPr/>
            </w:pPr>
            <w:r>
              <w:rPr/>
            </w:r>
          </w:p>
        </w:tc>
      </w:tr>
      <w:tr>
        <w:trPr>
          <w:trHeight w:val="6500" w:hRule="atLeast"/>
        </w:trPr>
        <w:tc>
          <w:tcPr>
            <w:tcW w:w="387" w:type="dxa"/>
            <w:tcBorders>
              <w:left w:val="single" w:sz="4" w:space="0" w:color="000000"/>
              <w:bottom w:val="single" w:sz="4" w:space="0" w:color="000000"/>
              <w:right w:val="single" w:sz="4" w:space="0" w:color="000000"/>
            </w:tcBorders>
            <w:shd w:color="auto" w:fill="E2EFDA"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4441"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Asimismo, la M.Sc. Diana Montero manifiesta: </w:t>
              <w:br/>
              <w:br/>
              <w:t>"(...) la necesidad de recursos para atención de población indígena en materias de familia, pensiones alimentarias e incluso las actoras de violencia doméstica resulta imperiosa.  El servicio que se está dando resulta sumamente limitado y contraviene lo dispuesto en la Ley de Acceso a la Justica de Pueblos Indígenas (...)"</w:t>
            </w:r>
          </w:p>
        </w:tc>
        <w:tc>
          <w:tcPr>
            <w:tcW w:w="5645" w:type="dxa"/>
            <w:tcBorders>
              <w:bottom w:val="single" w:sz="4" w:space="0" w:color="000000"/>
              <w:right w:val="single" w:sz="4" w:space="0" w:color="000000"/>
            </w:tcBorders>
            <w:shd w:color="auto" w:fill="E2EFDA"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La Dirección de Planificación coincide con lo manifestado por la Jefatura de la Defensa Pública, es por ello que, tomando en consideración las limitaciones presupuestarias que atañen a la institución, que se está haciendo un esfuerzo mediante los alcances del Proyecto del Mejoramiento al Proceso Penal en la Defensa Pública, para que en la medida de lo posible sean movilizadas plazas hacia las oficinas con mayor necesidades para solventar paulatinamente los requerimientos asociados a la promulgación de la Ley de Acceso a la Justicia de Poblaciones Indígenas.</w:t>
              <w:br/>
              <w:br/>
              <w:t>Por otro lado, como se observa en el análisis  y en los elementos conclusivos del informe en atención, y en lo concerniente a Pensiones Alimentarias, se puede observar que un 85% del total de asuntos se concentra en Buenos Aires y Bribri, y es por ello, que esta Dirección decidió priorizar la situación de estas oficinas.</w:t>
              <w:br/>
              <w:br/>
              <w:t xml:space="preserve">Además, se tiene conocimiento de la situación de las oficinas de Turrialba, Pérez Zeledón, Limón y Coto Brus, las cuales serían después de Bribri y Buenos Aires, las oficinas de mayor carga laboral en Pensiones Alimentarias y desde la perspectiva de mejorar al servicio público, eventualmente se podría valorar dotar de recurso; pues, según lo establecido en la Ley Acceso a la Justica de Pueblos Indígenas debe darse representación tanto a la parte actora como a la demanda, y partiendo de que no puede ser la misma Persona Defensora quien represente a ambas parte; sin embargo, las cargas de trabajo actuales, se logran atender con la cantidad actual de defensoras y defensores, y ante la necesidad de priorizar la utilización de recursos no resulta procedente otorgar recursos adicionales en este momento, pero serán tomadas en cuenta dentro de los alcances del Proyecto de Mejoramiento Penal de la Defensa Pública, como parte de la maximización de los recursos institucionales. </w:t>
            </w:r>
          </w:p>
        </w:tc>
        <w:tc>
          <w:tcPr>
            <w:tcW w:w="11" w:type="dxa"/>
            <w:tcBorders/>
          </w:tcPr>
          <w:p>
            <w:pPr>
              <w:pStyle w:val="Normal"/>
              <w:widowControl w:val="false"/>
              <w:rPr/>
            </w:pPr>
            <w:r>
              <w:rPr/>
            </w:r>
          </w:p>
        </w:tc>
      </w:tr>
      <w:tr>
        <w:trPr>
          <w:trHeight w:val="416" w:hRule="atLeast"/>
        </w:trPr>
        <w:tc>
          <w:tcPr>
            <w:tcW w:w="387" w:type="dxa"/>
            <w:tcBorders>
              <w:left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4441" w:type="dxa"/>
            <w:tcBorders>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"se solicita respetuosamente se realice un nuevo y completo análisis de parte de la Dirección de Planificación, que contemple y analice todos los argumentos y datos expuestos por los especialistas y que se echan de menos en el presente análisis"</w:t>
            </w:r>
          </w:p>
        </w:tc>
        <w:tc>
          <w:tcPr>
            <w:tcW w:w="5645" w:type="dxa"/>
            <w:tcBorders>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themeColor="text1"/>
                <w:sz w:val="20"/>
                <w:szCs w:val="20"/>
              </w:rPr>
              <w:t>En vista de que todos los argumentos y datos expuestos fueron analizados uno a uno en el presente documento; el criterio de la Dirección de Planificación se mantiene, debido a que la regla Fiscal se mantiene y el presente informe responde a la actualización del requerimiento de recursos para a tramitación de asuntos con persona indígena en calidad de interviniente a partir de la promulgación de la Ley 9593, donde se obtiene como resultado que las cargas de trabajo no han tenido una variación significativa respecto al estudio realizado el año anterior, el cual fue aprobado por el Consejo Superior en la sesión extraordinaria (Presupuesto 2020) artículo XV, celebrada el 23 de mayo de 2019 y, aprobado por Corte Plena en la sesión 22-19 celebrada el 06 de junio de 2019, artículo IV.</w:t>
            </w:r>
            <w:r>
              <w:rPr>
                <w:rFonts w:ascii="Bookman Old Style" w:hAnsi="Bookman Old Style"/>
                <w:i/>
                <w:iCs/>
                <w:sz w:val="20"/>
                <w:szCs w:val="20"/>
              </w:rPr>
              <w:br/>
              <w:br/>
            </w:r>
            <w:r>
              <w:rPr>
                <w:rFonts w:ascii="Bookman Old Style" w:hAnsi="Bookman Old Style"/>
                <w:i/>
                <w:iCs/>
                <w:color w:val="000000" w:themeColor="text1"/>
                <w:sz w:val="20"/>
                <w:szCs w:val="20"/>
              </w:rPr>
              <w:t>Lo anterior, no modifica el contenido del informe.</w:t>
            </w:r>
          </w:p>
        </w:tc>
        <w:tc>
          <w:tcPr>
            <w:tcW w:w="11" w:type="dxa"/>
            <w:tcBorders/>
          </w:tcPr>
          <w:p>
            <w:pPr>
              <w:pStyle w:val="Normal"/>
              <w:widowControl w:val="false"/>
              <w:rPr/>
            </w:pPr>
            <w:r>
              <w:rPr/>
            </w:r>
          </w:p>
        </w:tc>
      </w:tr>
      <w:tr>
        <w:trPr>
          <w:trHeight w:val="416" w:hRule="atLeast"/>
        </w:trPr>
        <w:tc>
          <w:tcPr>
            <w:tcW w:w="387" w:type="dxa"/>
            <w:tcBorders>
              <w:left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4441" w:type="dxa"/>
            <w:tcBorders>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5645" w:type="dxa"/>
            <w:tcBorders>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11" w:type="dxa"/>
            <w:tcBorders/>
          </w:tcPr>
          <w:p>
            <w:pPr>
              <w:pStyle w:val="Normal"/>
              <w:widowControl w:val="false"/>
              <w:rPr/>
            </w:pPr>
            <w:r>
              <w:rPr/>
            </w:r>
          </w:p>
        </w:tc>
      </w:tr>
      <w:tr>
        <w:trPr>
          <w:trHeight w:val="416" w:hRule="atLeast"/>
        </w:trPr>
        <w:tc>
          <w:tcPr>
            <w:tcW w:w="38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4441"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En vista de las solitudes planteadas en el Oficio específicamente en el “Cuadro diagnóstico de servicio” remitido por la Defensa Pública, se procede a enlistar todas las plazas requeridas desde el punto de vista de la Defensa Pública, segregado por despacho y materia: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Puriscal: 1 plazas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Buenos Aires: 2 plazas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Corredores: 1 plaza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Golfito: 1 plaza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Coto Brus: 1 plaza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Guatuso: 2 plazas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Turrialba: 1 plaza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Tarrazú, Dota y León Cortés: 2 plazas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Limón: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Bribri: 1 plaza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Atención de personas indígenas que se encuentran privadas de libertad: 2 plazas en Pensiones Alimentarias, 2 plazas en Familia y una plaza en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Subtotal: 14 Pensiones Alimentarias, 22 Familia y 11 Violencia Doméstica.</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Total: 47</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tc>
        <w:tc>
          <w:tcPr>
            <w:tcW w:w="5645" w:type="dxa"/>
            <w:tcBorders>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Con el fin de dar atención a lo establecido a lo solicitado por la Defensa Pública y tomando como insumo la estimación de costos por persona defensora para el 2021, se procedió a realizar un cálculo del costo que implicaría el otorgamiento de las 47 plazas mencionadas.</w:t>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r>
          </w:p>
          <w:p>
            <w:pPr>
              <w:pStyle w:val="Normal"/>
              <w:widowControl w:val="false"/>
              <w:jc w:val="both"/>
              <w:rPr>
                <w:rFonts w:ascii="Bookman Old Style" w:hAnsi="Bookman Old Style"/>
                <w:i/>
                <w:i/>
                <w:iCs/>
                <w:color w:val="000000"/>
                <w:sz w:val="20"/>
                <w:szCs w:val="20"/>
              </w:rPr>
            </w:pPr>
            <w:r>
              <w:rPr>
                <w:rFonts w:ascii="Bookman Old Style" w:hAnsi="Bookman Old Style"/>
                <w:i/>
                <w:iCs/>
                <w:color w:val="000000"/>
                <w:sz w:val="20"/>
                <w:szCs w:val="20"/>
              </w:rPr>
              <w:t xml:space="preserve">El costo promedio por puesto de Defensor Público, para el 2021 es de </w:t>
            </w:r>
            <w:r>
              <w:rPr>
                <w:i/>
                <w:iCs/>
                <w:color w:val="000000"/>
                <w:sz w:val="20"/>
                <w:szCs w:val="20"/>
              </w:rPr>
              <w:t>₡</w:t>
            </w:r>
            <w:r>
              <w:rPr>
                <w:rFonts w:ascii="Bookman Old Style" w:hAnsi="Bookman Old Style"/>
                <w:i/>
                <w:iCs/>
                <w:color w:val="000000"/>
                <w:sz w:val="20"/>
                <w:szCs w:val="20"/>
              </w:rPr>
              <w:t xml:space="preserve">52.867.000 y el Costo total de gasto variable por cada plaza Profesional (Defensor Público), para el 2021 es de </w:t>
            </w:r>
            <w:r>
              <w:rPr>
                <w:i/>
                <w:iCs/>
                <w:color w:val="000000"/>
                <w:sz w:val="20"/>
                <w:szCs w:val="20"/>
              </w:rPr>
              <w:t>₡</w:t>
            </w:r>
            <w:r>
              <w:rPr>
                <w:rFonts w:ascii="Bookman Old Style" w:hAnsi="Bookman Old Style"/>
                <w:i/>
                <w:iCs/>
                <w:color w:val="000000"/>
                <w:sz w:val="20"/>
                <w:szCs w:val="20"/>
              </w:rPr>
              <w:t xml:space="preserve">1.678.273, para un total de </w:t>
            </w:r>
            <w:r>
              <w:rPr>
                <w:i/>
                <w:iCs/>
                <w:color w:val="000000"/>
                <w:sz w:val="20"/>
                <w:szCs w:val="20"/>
              </w:rPr>
              <w:t>₡</w:t>
            </w:r>
            <w:r>
              <w:rPr>
                <w:rFonts w:ascii="Bookman Old Style" w:hAnsi="Bookman Old Style"/>
                <w:i/>
                <w:iCs/>
                <w:color w:val="000000"/>
                <w:sz w:val="20"/>
                <w:szCs w:val="20"/>
              </w:rPr>
              <w:t xml:space="preserve">54.545.273 por lo tanto para las 47 plazas correspondería a </w:t>
            </w:r>
            <w:r>
              <w:rPr>
                <w:i/>
                <w:iCs/>
                <w:color w:val="000000"/>
                <w:sz w:val="20"/>
                <w:szCs w:val="20"/>
              </w:rPr>
              <w:t>₡</w:t>
            </w:r>
            <w:r>
              <w:rPr>
                <w:rFonts w:ascii="Bookman Old Style" w:hAnsi="Bookman Old Style"/>
                <w:i/>
                <w:iCs/>
                <w:color w:val="000000"/>
                <w:sz w:val="20"/>
                <w:szCs w:val="20"/>
              </w:rPr>
              <w:t>2.563.627.831.</w:t>
            </w:r>
          </w:p>
        </w:tc>
        <w:tc>
          <w:tcPr>
            <w:tcW w:w="11" w:type="dxa"/>
            <w:tcBorders/>
          </w:tcPr>
          <w:p>
            <w:pPr>
              <w:pStyle w:val="Normal"/>
              <w:widowControl w:val="false"/>
              <w:rPr/>
            </w:pPr>
            <w:r>
              <w:rPr/>
            </w:r>
          </w:p>
        </w:tc>
      </w:tr>
    </w:tbl>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widowControl w:val="false"/>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Atentamente,</w:t>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Normal"/>
        <w:widowControl w:val="false"/>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Nacira Valverde Bermúdez</w:t>
      </w:r>
    </w:p>
    <w:p>
      <w:pPr>
        <w:pStyle w:val="Normal"/>
        <w:widowControl w:val="false"/>
        <w:jc w:val="both"/>
        <w:rPr>
          <w:rFonts w:ascii="Bookman Old Style" w:hAnsi="Bookman Old Style" w:cs="Book Antiqua"/>
          <w:i/>
          <w:i/>
          <w:iCs/>
          <w:sz w:val="20"/>
          <w:szCs w:val="20"/>
          <w:lang w:val="pt-BR"/>
        </w:rPr>
      </w:pPr>
      <w:r>
        <w:rPr>
          <w:rFonts w:cs="Book Antiqua" w:ascii="Bookman Old Style" w:hAnsi="Bookman Old Style"/>
          <w:i/>
          <w:iCs/>
          <w:sz w:val="20"/>
          <w:szCs w:val="20"/>
          <w:lang w:val="pt-BR"/>
        </w:rPr>
        <w:t>Directora a.i. de Planificación</w:t>
      </w:r>
    </w:p>
    <w:p>
      <w:pPr>
        <w:pStyle w:val="Normal"/>
        <w:jc w:val="both"/>
        <w:rPr>
          <w:rFonts w:ascii="Bookman Old Style" w:hAnsi="Bookman Old Style" w:cs="Book Antiqua"/>
          <w:i/>
          <w:i/>
          <w:iCs/>
          <w:sz w:val="20"/>
          <w:szCs w:val="20"/>
        </w:rPr>
      </w:pPr>
      <w:r>
        <w:rPr>
          <w:rFonts w:cs="Book Antiqua" w:ascii="Bookman Old Style" w:hAnsi="Bookman Old Style"/>
          <w:i/>
          <w:iCs/>
          <w:sz w:val="20"/>
          <w:szCs w:val="20"/>
        </w:rPr>
      </w:r>
    </w:p>
    <w:p>
      <w:pPr>
        <w:pStyle w:val="Cabecera"/>
        <w:jc w:val="both"/>
        <w:rPr>
          <w:rFonts w:ascii="Bookman Old Style" w:hAnsi="Bookman Old Style" w:cs="Book Antiqua"/>
          <w:i/>
          <w:i/>
          <w:iCs/>
          <w:sz w:val="20"/>
          <w:szCs w:val="20"/>
        </w:rPr>
      </w:pPr>
      <w:r>
        <w:rPr>
          <w:rFonts w:cs="Book Antiqua" w:ascii="Bookman Old Style" w:hAnsi="Bookman Old Style"/>
          <w:i/>
          <w:iCs/>
          <w:sz w:val="20"/>
          <w:szCs w:val="20"/>
        </w:rPr>
      </w:r>
    </w:p>
    <w:p>
      <w:pPr>
        <w:pStyle w:val="Cabecera"/>
        <w:widowControl w:val="false"/>
        <w:jc w:val="both"/>
        <w:rPr>
          <w:rFonts w:ascii="Bookman Old Style" w:hAnsi="Bookman Old Style" w:cs="Book Antiqua"/>
          <w:i/>
          <w:i/>
          <w:iCs/>
          <w:sz w:val="20"/>
          <w:szCs w:val="20"/>
        </w:rPr>
      </w:pPr>
      <w:r>
        <w:rPr>
          <w:rFonts w:cs="Book Antiqua" w:ascii="Bookman Old Style" w:hAnsi="Bookman Old Style"/>
          <w:i/>
          <w:iCs/>
          <w:sz w:val="20"/>
          <w:szCs w:val="20"/>
        </w:rPr>
        <w:t>Copia: Archivo</w:t>
      </w:r>
    </w:p>
    <w:p>
      <w:pPr>
        <w:pStyle w:val="Cabecera"/>
        <w:widowControl w:val="false"/>
        <w:jc w:val="both"/>
        <w:rPr>
          <w:rFonts w:ascii="Bookman Old Style" w:hAnsi="Bookman Old Style" w:cs="Book Antiqua"/>
          <w:i/>
          <w:i/>
          <w:iCs/>
          <w:sz w:val="20"/>
          <w:szCs w:val="20"/>
        </w:rPr>
      </w:pPr>
      <w:r>
        <w:rPr>
          <w:rFonts w:cs="Book Antiqua" w:ascii="Bookman Old Style" w:hAnsi="Bookman Old Style"/>
          <w:i/>
          <w:iCs/>
          <w:sz w:val="20"/>
          <w:szCs w:val="20"/>
        </w:rPr>
      </w:r>
    </w:p>
    <w:p>
      <w:pPr>
        <w:pStyle w:val="Cabecera"/>
        <w:widowControl w:val="false"/>
        <w:jc w:val="both"/>
        <w:rPr>
          <w:rFonts w:ascii="Bookman Old Style" w:hAnsi="Bookman Old Style" w:cs="Book Antiqua"/>
          <w:i/>
          <w:i/>
          <w:iCs/>
          <w:sz w:val="20"/>
          <w:szCs w:val="20"/>
        </w:rPr>
      </w:pPr>
      <w:r>
        <w:rPr>
          <w:rFonts w:cs="Book Antiqua" w:ascii="Bookman Old Style" w:hAnsi="Bookman Old Style"/>
          <w:i/>
          <w:iCs/>
          <w:sz w:val="20"/>
          <w:szCs w:val="20"/>
        </w:rPr>
      </w:r>
    </w:p>
    <w:tbl>
      <w:tblPr>
        <w:tblW w:w="53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301"/>
        <w:gridCol w:w="2037"/>
      </w:tblGrid>
      <w:tr>
        <w:trPr>
          <w:trHeight w:val="255" w:hRule="atLeast"/>
        </w:trPr>
        <w:tc>
          <w:tcPr>
            <w:tcW w:w="533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rFonts w:ascii="Bookman Old Style" w:hAnsi="Bookman Old Style"/>
                <w:i/>
                <w:iCs/>
                <w:sz w:val="20"/>
                <w:szCs w:val="20"/>
              </w:rPr>
              <w:t>Anexos</w:t>
            </w:r>
          </w:p>
        </w:tc>
      </w:tr>
      <w:tr>
        <w:trPr>
          <w:trHeight w:val="247" w:hRule="atLeast"/>
        </w:trPr>
        <w:tc>
          <w:tcPr>
            <w:tcW w:w="3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rFonts w:ascii="Bookman Old Style" w:hAnsi="Bookman Old Style"/>
                <w:i/>
                <w:iCs/>
                <w:sz w:val="20"/>
                <w:szCs w:val="20"/>
              </w:rPr>
              <w:t>Anexo 1 - 662-DTI-202</w:t>
            </w:r>
            <w:bookmarkStart w:id="14" w:name="_MON_1648564247"/>
            <w:bookmarkEnd w:id="14"/>
          </w:p>
        </w:tc>
        <w:tc>
          <w:tcPr>
            <w:tcW w:w="20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object>
                <v:shape id="ole_rId43" style="width:76.85pt;height:51.6pt" o:ole="">
                  <v:imagedata r:id="rId44" o:title=""/>
                </v:shape>
                <o:OLEObject Type="Embed" ProgID="Word.Document.12" ShapeID="ole_rId43" DrawAspect="Icon" ObjectID="_868679374" r:id="rId43"/>
              </w:object>
            </w:r>
          </w:p>
        </w:tc>
      </w:tr>
      <w:tr>
        <w:trPr>
          <w:trHeight w:val="255" w:hRule="atLeast"/>
        </w:trPr>
        <w:tc>
          <w:tcPr>
            <w:tcW w:w="3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rFonts w:ascii="Bookman Old Style" w:hAnsi="Bookman Old Style"/>
                <w:i/>
                <w:iCs/>
                <w:sz w:val="20"/>
                <w:szCs w:val="20"/>
              </w:rPr>
              <w:t>Anexo 2 - JEFDP-3565-2020</w:t>
            </w:r>
            <w:bookmarkStart w:id="15" w:name="_MON_1648564260"/>
            <w:bookmarkEnd w:id="15"/>
          </w:p>
        </w:tc>
        <w:tc>
          <w:tcPr>
            <w:tcW w:w="20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object>
                <v:shape id="ole_rId45" style="width:76.85pt;height:51.6pt" o:ole="">
                  <v:imagedata r:id="rId46" o:title=""/>
                </v:shape>
                <o:OLEObject Type="Embed" ProgID="Word.Document.8" ShapeID="ole_rId45" DrawAspect="Icon" ObjectID="_744062834" r:id="rId45"/>
              </w:object>
            </w:r>
          </w:p>
        </w:tc>
      </w:tr>
      <w:tr>
        <w:trPr>
          <w:trHeight w:val="255" w:hRule="atLeast"/>
        </w:trPr>
        <w:tc>
          <w:tcPr>
            <w:tcW w:w="3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rFonts w:ascii="Bookman Old Style" w:hAnsi="Bookman Old Style"/>
                <w:i/>
                <w:iCs/>
                <w:sz w:val="20"/>
                <w:szCs w:val="20"/>
              </w:rPr>
              <w:t>Anexo 3 - 0712-DTI-2020</w:t>
            </w:r>
          </w:p>
        </w:tc>
        <w:tc>
          <w:tcPr>
            <w:tcW w:w="20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object>
                <v:shape id="ole_rId47" style="width:76.85pt;height:51.6pt" o:ole="">
                  <v:imagedata r:id="rId48" o:title=""/>
                </v:shape>
                <o:OLEObject Type="Embed" ProgID="AcroExch.Document.DC" ShapeID="ole_rId47" DrawAspect="Icon" ObjectID="_1037740061" r:id="rId47"/>
              </w:object>
            </w:r>
          </w:p>
        </w:tc>
      </w:tr>
      <w:tr>
        <w:trPr>
          <w:trHeight w:val="255" w:hRule="atLeast"/>
        </w:trPr>
        <w:tc>
          <w:tcPr>
            <w:tcW w:w="33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r>
              <w:rPr>
                <w:rFonts w:ascii="Bookman Old Style" w:hAnsi="Bookman Old Style"/>
                <w:i/>
                <w:iCs/>
                <w:sz w:val="20"/>
                <w:szCs w:val="20"/>
              </w:rPr>
              <w:t>Minuta 29-PLA-MI-MNTA-2020</w:t>
            </w:r>
          </w:p>
        </w:tc>
        <w:tc>
          <w:tcPr>
            <w:tcW w:w="20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Bookman Old Style" w:hAnsi="Bookman Old Style"/>
                <w:i/>
                <w:i/>
                <w:iCs/>
                <w:sz w:val="20"/>
                <w:szCs w:val="20"/>
              </w:rPr>
            </w:pPr>
            <w:bookmarkStart w:id="16" w:name="_MON_1648572253"/>
            <w:bookmarkEnd w:id="16"/>
            <w:r>
              <w:rPr/>
              <w:drawing>
                <wp:inline distT="0" distB="0" distL="0" distR="0">
                  <wp:extent cx="960120" cy="624840"/>
                  <wp:effectExtent l="0" t="0" r="0" b="0"/>
                  <wp:docPr id="18"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1" descr=""/>
                          <pic:cNvPicPr>
                            <a:picLocks noChangeAspect="1" noChangeArrowheads="1"/>
                          </pic:cNvPicPr>
                        </pic:nvPicPr>
                        <pic:blipFill>
                          <a:blip r:embed="rId49"/>
                          <a:stretch>
                            <a:fillRect/>
                          </a:stretch>
                        </pic:blipFill>
                        <pic:spPr bwMode="auto">
                          <a:xfrm>
                            <a:off x="0" y="0"/>
                            <a:ext cx="960120" cy="624840"/>
                          </a:xfrm>
                          <a:prstGeom prst="rect">
                            <a:avLst/>
                          </a:prstGeom>
                        </pic:spPr>
                      </pic:pic>
                    </a:graphicData>
                  </a:graphic>
                </wp:inline>
              </w:drawing>
            </w:r>
          </w:p>
        </w:tc>
      </w:tr>
    </w:tbl>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cs="Tahoma"/>
          <w:b/>
          <w:b/>
          <w:bCs/>
          <w:i/>
          <w:i/>
          <w:iCs/>
          <w:color w:val="000000" w:themeColor="text1"/>
          <w:sz w:val="20"/>
          <w:szCs w:val="20"/>
          <w:u w:val="single"/>
          <w:lang w:val="es-ES"/>
        </w:rPr>
      </w:pPr>
      <w:r>
        <w:rPr>
          <w:rFonts w:cs="Tahoma" w:ascii="Bookman Old Style" w:hAnsi="Bookman Old Style"/>
          <w:b/>
          <w:bCs/>
          <w:i/>
          <w:iCs/>
          <w:color w:val="000000" w:themeColor="text1"/>
          <w:sz w:val="20"/>
          <w:szCs w:val="20"/>
          <w:u w:val="single"/>
          <w:lang w:val="es-ES"/>
        </w:rPr>
      </w:r>
    </w:p>
    <w:p>
      <w:pPr>
        <w:pStyle w:val="Normal"/>
        <w:jc w:val="both"/>
        <w:rPr>
          <w:rFonts w:ascii="Bookman Old Style" w:hAnsi="Bookman Old Style" w:cs="Tahoma"/>
          <w:b/>
          <w:b/>
          <w:bCs/>
          <w:i/>
          <w:i/>
          <w:iCs/>
          <w:color w:val="000000" w:themeColor="text1"/>
          <w:sz w:val="20"/>
          <w:szCs w:val="20"/>
          <w:u w:val="single"/>
          <w:lang w:val="es-ES"/>
        </w:rPr>
      </w:pPr>
      <w:r>
        <w:rPr>
          <w:rFonts w:cs="Tahoma" w:ascii="Bookman Old Style" w:hAnsi="Bookman Old Style"/>
          <w:b/>
          <w:bCs/>
          <w:i/>
          <w:iCs/>
          <w:color w:val="000000" w:themeColor="text1"/>
          <w:sz w:val="20"/>
          <w:szCs w:val="20"/>
          <w:u w:val="single"/>
          <w:lang w:val="es-ES"/>
        </w:rPr>
      </w:r>
    </w:p>
    <w:p>
      <w:pPr>
        <w:pStyle w:val="Normal"/>
        <w:spacing w:before="0" w:after="29"/>
        <w:ind w:right="-518" w:hanging="0"/>
        <w:jc w:val="center"/>
        <w:rPr>
          <w:rFonts w:ascii="Bookman Old Style" w:hAnsi="Bookman Old Style" w:cs="Tahoma"/>
          <w:sz w:val="20"/>
          <w:szCs w:val="20"/>
        </w:rPr>
      </w:pPr>
      <w:r>
        <w:rPr>
          <w:rFonts w:cs="Tahoma" w:ascii="Bookman Old Style" w:hAnsi="Bookman Old Style"/>
          <w:sz w:val="20"/>
          <w:szCs w:val="20"/>
        </w:rPr>
        <w:t>-0-</w:t>
      </w:r>
    </w:p>
    <w:p>
      <w:pPr>
        <w:pStyle w:val="Normal"/>
        <w:spacing w:before="0" w:after="29"/>
        <w:ind w:right="-518" w:hanging="0"/>
        <w:jc w:val="both"/>
        <w:rPr>
          <w:rFonts w:ascii="Bookman Old Style" w:hAnsi="Bookman Old Style" w:cs="Tahoma"/>
          <w:sz w:val="20"/>
          <w:szCs w:val="20"/>
        </w:rPr>
      </w:pPr>
      <w:r>
        <w:rPr>
          <w:rFonts w:cs="Tahoma" w:ascii="Bookman Old Style" w:hAnsi="Bookman Old Style"/>
          <w:sz w:val="20"/>
          <w:szCs w:val="20"/>
        </w:rPr>
      </w:r>
    </w:p>
    <w:p>
      <w:pPr>
        <w:pStyle w:val="Normal"/>
        <w:spacing w:before="0" w:after="29"/>
        <w:ind w:right="-518" w:hanging="0"/>
        <w:jc w:val="both"/>
        <w:rPr>
          <w:rFonts w:ascii="Bookman Old Style" w:hAnsi="Bookman Old Style" w:cs="Tahoma"/>
          <w:sz w:val="20"/>
          <w:szCs w:val="20"/>
        </w:rPr>
      </w:pPr>
      <w:r>
        <w:rPr>
          <w:rFonts w:cs="Tahoma" w:ascii="Bookman Old Style" w:hAnsi="Bookman Old Style"/>
          <w:sz w:val="20"/>
          <w:szCs w:val="20"/>
        </w:rPr>
      </w:r>
    </w:p>
    <w:p>
      <w:pPr>
        <w:pStyle w:val="Normal"/>
        <w:spacing w:before="0" w:after="29"/>
        <w:ind w:right="-518" w:hanging="0"/>
        <w:jc w:val="both"/>
        <w:rPr>
          <w:rFonts w:ascii="Bookman Old Style" w:hAnsi="Bookman Old Style" w:eastAsia="Book Antiqua"/>
          <w:sz w:val="20"/>
          <w:szCs w:val="20"/>
        </w:rPr>
      </w:pPr>
      <w:r>
        <w:rPr>
          <w:rFonts w:cs="Tahoma" w:ascii="Bookman Old Style" w:hAnsi="Bookman Old Style"/>
          <w:sz w:val="20"/>
          <w:szCs w:val="20"/>
        </w:rPr>
        <w:t>El Magistrado Jorge Olaso Álvarez, Coordinador de la Comisión de Acceso a la Justicia, la Magistrada Damaris Vargas Vásquez, Coordinadora Subcomisión de Acceso a la Justicia de Pueblos Indígenas y la Máster Melissa Benavidez Víquez, Coordinadora de la Unidad de Acceso a la Justicia, mediante Oficio N° CACC-116-20250 de fecha 14 de abril de 2020, dieron respuesta al Oficio N° 507-PLA-RH-MI-2020:</w:t>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1"/>
        <w:pBdr/>
        <w:jc w:val="right"/>
        <w:rPr>
          <w:rFonts w:ascii="Bookman Old Style" w:hAnsi="Bookman Old Style" w:eastAsia="Book Antiqua"/>
          <w:b/>
          <w:b/>
          <w:bCs/>
          <w:i/>
          <w:i/>
          <w:iCs/>
          <w:color w:val="000000"/>
          <w:sz w:val="20"/>
          <w:szCs w:val="20"/>
        </w:rPr>
      </w:pPr>
      <w:r>
        <w:rPr>
          <w:rFonts w:eastAsia="Book Antiqua" w:ascii="Bookman Old Style" w:hAnsi="Bookman Old Style"/>
          <w:b/>
          <w:bCs/>
          <w:i/>
          <w:iCs/>
          <w:color w:val="000000"/>
          <w:sz w:val="20"/>
          <w:szCs w:val="20"/>
        </w:rPr>
        <w:t>“</w:t>
      </w:r>
      <w:r>
        <w:rPr>
          <w:rFonts w:eastAsia="Book Antiqua" w:ascii="Bookman Old Style" w:hAnsi="Bookman Old Style"/>
          <w:b/>
          <w:bCs/>
          <w:i/>
          <w:iCs/>
          <w:color w:val="000000"/>
          <w:sz w:val="20"/>
          <w:szCs w:val="20"/>
        </w:rPr>
        <w:t xml:space="preserve">San José, 14 de abril, 2020 </w:t>
      </w:r>
    </w:p>
    <w:p>
      <w:pPr>
        <w:pStyle w:val="Normal1"/>
        <w:pBdr/>
        <w:jc w:val="right"/>
        <w:rPr>
          <w:rFonts w:ascii="Bookman Old Style" w:hAnsi="Bookman Old Style" w:eastAsia="Book Antiqua"/>
          <w:b/>
          <w:b/>
          <w:bCs/>
          <w:i/>
          <w:i/>
          <w:iCs/>
          <w:color w:val="000000"/>
          <w:sz w:val="20"/>
          <w:szCs w:val="20"/>
        </w:rPr>
      </w:pPr>
      <w:r>
        <w:rPr>
          <w:rFonts w:eastAsia="Book Antiqua" w:ascii="Bookman Old Style" w:hAnsi="Bookman Old Style"/>
          <w:b/>
          <w:bCs/>
          <w:i/>
          <w:iCs/>
          <w:color w:val="000000"/>
          <w:sz w:val="20"/>
          <w:szCs w:val="20"/>
        </w:rPr>
        <w:t>CACC-116-2020</w:t>
      </w:r>
    </w:p>
    <w:p>
      <w:pPr>
        <w:pStyle w:val="Normal1"/>
        <w:pBdr/>
        <w:jc w:val="right"/>
        <w:rPr>
          <w:rFonts w:ascii="Bookman Old Style" w:hAnsi="Bookman Old Style" w:eastAsia="Book Antiqua"/>
          <w:b/>
          <w:b/>
          <w:bCs/>
          <w:i/>
          <w:i/>
          <w:iCs/>
          <w:color w:val="000000"/>
          <w:sz w:val="20"/>
          <w:szCs w:val="20"/>
        </w:rPr>
      </w:pPr>
      <w:r>
        <w:rPr>
          <w:rFonts w:eastAsia="Book Antiqua" w:ascii="Bookman Old Style" w:hAnsi="Bookman Old Style"/>
          <w:b/>
          <w:bCs/>
          <w:i/>
          <w:iCs/>
          <w:sz w:val="20"/>
          <w:szCs w:val="20"/>
        </w:rPr>
        <w:t>(Oficio 507-PLA-RH-MI-2020, Ref. SICE 1692-18)</w:t>
      </w:r>
    </w:p>
    <w:p>
      <w:pPr>
        <w:pStyle w:val="Normal1"/>
        <w:pBdr/>
        <w:jc w:val="right"/>
        <w:rPr>
          <w:rFonts w:ascii="Bookman Old Style" w:hAnsi="Bookman Old Style" w:eastAsia="Book Antiqua"/>
          <w:b/>
          <w:b/>
          <w:bCs/>
          <w:i/>
          <w:i/>
          <w:iCs/>
          <w:color w:val="000000"/>
          <w:sz w:val="20"/>
          <w:szCs w:val="20"/>
        </w:rPr>
      </w:pPr>
      <w:r>
        <w:rPr>
          <w:rFonts w:eastAsia="Book Antiqua" w:ascii="Bookman Old Style" w:hAnsi="Bookman Old Style"/>
          <w:b/>
          <w:bCs/>
          <w:i/>
          <w:iCs/>
          <w:color w:val="000000"/>
          <w:sz w:val="20"/>
          <w:szCs w:val="20"/>
        </w:rPr>
      </w:r>
    </w:p>
    <w:p>
      <w:pPr>
        <w:pStyle w:val="Normal1"/>
        <w:pBdr/>
        <w:rPr>
          <w:rFonts w:ascii="Bookman Old Style" w:hAnsi="Bookman Old Style" w:eastAsia="Book Antiqua"/>
          <w:b/>
          <w:b/>
          <w:bCs/>
          <w:i/>
          <w:i/>
          <w:iCs/>
          <w:color w:val="000000"/>
          <w:sz w:val="20"/>
          <w:szCs w:val="20"/>
        </w:rPr>
      </w:pPr>
      <w:r>
        <w:rPr>
          <w:rFonts w:eastAsia="Book Antiqua" w:ascii="Bookman Old Style" w:hAnsi="Bookman Old Style"/>
          <w:b/>
          <w:bCs/>
          <w:i/>
          <w:iCs/>
          <w:color w:val="000000"/>
          <w:sz w:val="20"/>
          <w:szCs w:val="20"/>
        </w:rPr>
      </w:r>
    </w:p>
    <w:p>
      <w:pPr>
        <w:pStyle w:val="Normal1"/>
        <w:pBdr/>
        <w:rPr>
          <w:rFonts w:ascii="Bookman Old Style" w:hAnsi="Bookman Old Style" w:eastAsia="Book Antiqua"/>
          <w:b/>
          <w:b/>
          <w:i/>
          <w:i/>
          <w:iCs/>
          <w:color w:val="000000"/>
          <w:sz w:val="20"/>
          <w:szCs w:val="20"/>
        </w:rPr>
      </w:pPr>
      <w:r>
        <w:rPr>
          <w:rFonts w:eastAsia="Book Antiqua" w:ascii="Bookman Old Style" w:hAnsi="Bookman Old Style"/>
          <w:b/>
          <w:i/>
          <w:iCs/>
          <w:color w:val="000000"/>
          <w:sz w:val="20"/>
          <w:szCs w:val="20"/>
        </w:rPr>
        <w:t>Máster</w:t>
      </w:r>
    </w:p>
    <w:p>
      <w:pPr>
        <w:pStyle w:val="Normal1"/>
        <w:pBdr/>
        <w:rPr>
          <w:rFonts w:ascii="Bookman Old Style" w:hAnsi="Bookman Old Style" w:eastAsia="Book Antiqua"/>
          <w:b/>
          <w:b/>
          <w:i/>
          <w:i/>
          <w:iCs/>
          <w:color w:val="000000"/>
          <w:sz w:val="20"/>
          <w:szCs w:val="20"/>
        </w:rPr>
      </w:pPr>
      <w:r>
        <w:rPr>
          <w:rFonts w:eastAsia="Book Antiqua" w:ascii="Bookman Old Style" w:hAnsi="Bookman Old Style"/>
          <w:b/>
          <w:i/>
          <w:iCs/>
          <w:color w:val="000000"/>
          <w:sz w:val="20"/>
          <w:szCs w:val="20"/>
        </w:rPr>
        <w:t>Nacira Valverde Bermúdez</w:t>
      </w:r>
    </w:p>
    <w:p>
      <w:pPr>
        <w:pStyle w:val="Normal1"/>
        <w:pBdr/>
        <w:rPr>
          <w:rFonts w:ascii="Bookman Old Style" w:hAnsi="Bookman Old Style" w:eastAsia="Book Antiqua"/>
          <w:b/>
          <w:b/>
          <w:i/>
          <w:i/>
          <w:iCs/>
          <w:color w:val="000000"/>
          <w:sz w:val="20"/>
          <w:szCs w:val="20"/>
        </w:rPr>
      </w:pPr>
      <w:r>
        <w:rPr>
          <w:rFonts w:eastAsia="Book Antiqua" w:ascii="Bookman Old Style" w:hAnsi="Bookman Old Style"/>
          <w:b/>
          <w:i/>
          <w:iCs/>
          <w:color w:val="000000"/>
          <w:sz w:val="20"/>
          <w:szCs w:val="20"/>
        </w:rPr>
        <w:t xml:space="preserve">Directora </w:t>
      </w:r>
    </w:p>
    <w:p>
      <w:pPr>
        <w:pStyle w:val="Normal1"/>
        <w:pBdr/>
        <w:rPr>
          <w:rFonts w:ascii="Bookman Old Style" w:hAnsi="Bookman Old Style" w:eastAsia="Book Antiqua"/>
          <w:b/>
          <w:b/>
          <w:i/>
          <w:i/>
          <w:iCs/>
          <w:color w:val="000000"/>
          <w:sz w:val="20"/>
          <w:szCs w:val="20"/>
        </w:rPr>
      </w:pPr>
      <w:r>
        <w:rPr>
          <w:rFonts w:eastAsia="Book Antiqua" w:ascii="Bookman Old Style" w:hAnsi="Bookman Old Style"/>
          <w:b/>
          <w:i/>
          <w:iCs/>
          <w:color w:val="000000"/>
          <w:sz w:val="20"/>
          <w:szCs w:val="20"/>
        </w:rPr>
        <w:t>Dirección de Planificación</w:t>
      </w:r>
    </w:p>
    <w:p>
      <w:pPr>
        <w:pStyle w:val="Normal1"/>
        <w:pBdr/>
        <w:rPr>
          <w:rFonts w:ascii="Bookman Old Style" w:hAnsi="Bookman Old Style" w:eastAsia="Book Antiqua"/>
          <w:i/>
          <w:i/>
          <w:iCs/>
          <w:color w:val="000000"/>
          <w:sz w:val="20"/>
          <w:szCs w:val="20"/>
        </w:rPr>
      </w:pPr>
      <w:r>
        <w:rPr>
          <w:rFonts w:eastAsia="Book Antiqua" w:ascii="Bookman Old Style" w:hAnsi="Bookman Old Style"/>
          <w:b/>
          <w:i/>
          <w:iCs/>
          <w:color w:val="000000"/>
          <w:sz w:val="20"/>
          <w:szCs w:val="20"/>
        </w:rPr>
        <w:t>Poder Judicial</w:t>
      </w:r>
      <w:r>
        <w:rPr>
          <w:rFonts w:eastAsia="Book Antiqua" w:ascii="Bookman Old Style" w:hAnsi="Bookman Old Style"/>
          <w:i/>
          <w:iCs/>
          <w:color w:val="000000"/>
          <w:sz w:val="20"/>
          <w:szCs w:val="20"/>
        </w:rPr>
        <w:t xml:space="preserve"> </w:t>
      </w:r>
    </w:p>
    <w:p>
      <w:pPr>
        <w:pStyle w:val="Normal1"/>
        <w:pBdr/>
        <w:rPr>
          <w:rFonts w:ascii="Bookman Old Style" w:hAnsi="Bookman Old Style" w:eastAsia="Book Antiqua"/>
          <w:i/>
          <w:i/>
          <w:iCs/>
          <w:color w:val="000000"/>
          <w:sz w:val="20"/>
          <w:szCs w:val="20"/>
        </w:rPr>
      </w:pPr>
      <w:r>
        <w:rPr>
          <w:rFonts w:eastAsia="Book Antiqua" w:ascii="Bookman Old Style" w:hAnsi="Bookman Old Style"/>
          <w:i/>
          <w:iCs/>
          <w:color w:val="000000"/>
          <w:sz w:val="20"/>
          <w:szCs w:val="20"/>
        </w:rPr>
      </w:r>
    </w:p>
    <w:p>
      <w:pPr>
        <w:pStyle w:val="Normal1"/>
        <w:pBdr/>
        <w:rPr>
          <w:rFonts w:ascii="Bookman Old Style" w:hAnsi="Bookman Old Style" w:eastAsia="Book Antiqua"/>
          <w:i/>
          <w:i/>
          <w:iCs/>
          <w:color w:val="000000"/>
          <w:sz w:val="20"/>
          <w:szCs w:val="20"/>
        </w:rPr>
      </w:pPr>
      <w:r>
        <w:rPr>
          <w:rFonts w:eastAsia="Book Antiqua" w:ascii="Bookman Old Style" w:hAnsi="Bookman Old Style"/>
          <w:i/>
          <w:iCs/>
          <w:color w:val="000000"/>
          <w:sz w:val="20"/>
          <w:szCs w:val="20"/>
        </w:rPr>
      </w:r>
    </w:p>
    <w:p>
      <w:pPr>
        <w:pStyle w:val="Normal1"/>
        <w:pBdr/>
        <w:rPr>
          <w:rFonts w:ascii="Bookman Old Style" w:hAnsi="Bookman Old Style" w:eastAsia="Book Antiqua"/>
          <w:b/>
          <w:b/>
          <w:bCs/>
          <w:i/>
          <w:i/>
          <w:iCs/>
          <w:color w:val="000000"/>
          <w:sz w:val="20"/>
          <w:szCs w:val="20"/>
        </w:rPr>
      </w:pPr>
      <w:r>
        <w:rPr>
          <w:rFonts w:eastAsia="Book Antiqua" w:ascii="Bookman Old Style" w:hAnsi="Bookman Old Style"/>
          <w:b/>
          <w:bCs/>
          <w:i/>
          <w:iCs/>
          <w:color w:val="000000"/>
          <w:sz w:val="20"/>
          <w:szCs w:val="20"/>
        </w:rPr>
        <w:t>Estimada señora:</w:t>
      </w:r>
    </w:p>
    <w:p>
      <w:pPr>
        <w:pStyle w:val="Normal1"/>
        <w:pBdr/>
        <w:rPr>
          <w:rFonts w:ascii="Bookman Old Style" w:hAnsi="Bookman Old Style" w:eastAsia="Book Antiqua"/>
          <w:i/>
          <w:i/>
          <w:iCs/>
          <w:color w:val="000000"/>
          <w:sz w:val="20"/>
          <w:szCs w:val="20"/>
        </w:rPr>
      </w:pPr>
      <w:r>
        <w:rPr>
          <w:rFonts w:eastAsia="Book Antiqua" w:ascii="Bookman Old Style" w:hAnsi="Bookman Old Style"/>
          <w:i/>
          <w:iCs/>
          <w:color w:val="000000"/>
          <w:sz w:val="20"/>
          <w:szCs w:val="20"/>
        </w:rPr>
      </w:r>
    </w:p>
    <w:p>
      <w:pPr>
        <w:pStyle w:val="Normal1"/>
        <w:pBdr/>
        <w:rPr>
          <w:rFonts w:ascii="Bookman Old Style" w:hAnsi="Bookman Old Style" w:eastAsia="Book Antiqua"/>
          <w:i/>
          <w:i/>
          <w:iCs/>
          <w:color w:val="000000"/>
          <w:sz w:val="20"/>
          <w:szCs w:val="20"/>
        </w:rPr>
      </w:pPr>
      <w:r>
        <w:rPr>
          <w:rFonts w:eastAsia="Book Antiqua" w:ascii="Bookman Old Style" w:hAnsi="Bookman Old Style"/>
          <w:i/>
          <w:iCs/>
          <w:color w:val="000000"/>
          <w:sz w:val="20"/>
          <w:szCs w:val="20"/>
        </w:rPr>
      </w:r>
    </w:p>
    <w:p>
      <w:pPr>
        <w:pStyle w:val="Normal1"/>
        <w:widowControl w:val="false"/>
        <w:jc w:val="both"/>
        <w:rPr>
          <w:rFonts w:ascii="Bookman Old Style" w:hAnsi="Bookman Old Style" w:eastAsia="Book Antiqua"/>
          <w:i/>
          <w:i/>
          <w:iCs/>
          <w:sz w:val="20"/>
          <w:szCs w:val="20"/>
        </w:rPr>
      </w:pPr>
      <w:bookmarkStart w:id="17" w:name="_gjdgxs"/>
      <w:bookmarkEnd w:id="17"/>
      <w:r>
        <w:rPr>
          <w:rFonts w:eastAsia="Book Antiqua" w:ascii="Bookman Old Style" w:hAnsi="Bookman Old Style"/>
          <w:i/>
          <w:iCs/>
          <w:sz w:val="20"/>
          <w:szCs w:val="20"/>
        </w:rPr>
        <w:tab/>
        <w:t xml:space="preserve">Reciba un cordial saludo. Por medio de la presente, quienes suscribimos Magistrado Jorge Olaso Alvarez, Coordinador de la Comisión de Acceso a la Justicia, Magistrada Damaris Vargas Vasquez, Coordinadora de la Subcomisión de Acceso a la Justicia Pueblos Indígenas y Máster Melissa Benavides Víquez, Encargada de la Unidad de Acceso a la Justicia, procedemos a pronunciarnos sobre el informe de 507-PLA-RH-MI-2020, Ref. SICE 1692-18: </w:t>
      </w:r>
    </w:p>
    <w:p>
      <w:pPr>
        <w:pStyle w:val="Normal1"/>
        <w:widowControl w:val="false"/>
        <w:jc w:val="both"/>
        <w:rPr>
          <w:rFonts w:ascii="Bookman Old Style" w:hAnsi="Bookman Old Style" w:eastAsia="Book Antiqua"/>
          <w:i/>
          <w:i/>
          <w:iCs/>
          <w:sz w:val="20"/>
          <w:szCs w:val="20"/>
        </w:rPr>
      </w:pPr>
      <w:r>
        <w:rPr>
          <w:rFonts w:eastAsia="Book Antiqua" w:ascii="Bookman Old Style" w:hAnsi="Bookman Old Style"/>
          <w:i/>
          <w:iCs/>
          <w:sz w:val="20"/>
          <w:szCs w:val="20"/>
        </w:rPr>
      </w:r>
    </w:p>
    <w:p>
      <w:pPr>
        <w:pStyle w:val="Normal1"/>
        <w:widowControl w:val="false"/>
        <w:jc w:val="both"/>
        <w:rPr>
          <w:rFonts w:ascii="Bookman Old Style" w:hAnsi="Bookman Old Style" w:eastAsia="Book Antiqua"/>
          <w:i/>
          <w:i/>
          <w:iCs/>
          <w:sz w:val="20"/>
          <w:szCs w:val="20"/>
        </w:rPr>
      </w:pPr>
      <w:r>
        <w:rPr>
          <w:rFonts w:eastAsia="Book Antiqua" w:ascii="Bookman Old Style" w:hAnsi="Bookman Old Style"/>
          <w:i/>
          <w:iCs/>
          <w:sz w:val="20"/>
          <w:szCs w:val="20"/>
        </w:rPr>
        <w:tab/>
        <w:t>En el año 2018, la Asamblea Legislativa aprobó la Ley # 9593 Acceso a la Justicia de los Pueblos Indígenas de Costa Rica. Esta Ley garantiza a la población indígena el acceso a la justicia tomando en consideración sus condiciones étnicas, socioeconómicas, culturales, su cosmovisión y el derecho indígena; siempre y cuando no transgreda los derechos humanos (art 1). Las disposiciones contenidas en la Ley generan una serie de obligaciones para el Poder Judicial, que además implican la priorización en la resolución y atención de casos (art 6), derecho a una persona intérprete (art 6), asistencia letrada gratuita especializada en derecho indígena y en la materia de competencia de forma gratuita (art 7), un trato digno (art 2), derecho a la información en su idioma materno que implica la contratación de intérpretes debidamente capacitados sobre los aspectos básicos de la gestión judicial (art 3),  prioridad en la resolución de casos ( art 4), aplicación del derecho internacional y mecanismos de resolución alternativa de conflictos y justicia restaurativa, además de la construcción de la Política Indígena del Poder Judicial, entre otros lineamientos.</w:t>
      </w:r>
    </w:p>
    <w:p>
      <w:pPr>
        <w:pStyle w:val="Normal1"/>
        <w:widowControl w:val="false"/>
        <w:jc w:val="both"/>
        <w:rPr>
          <w:rFonts w:ascii="Bookman Old Style" w:hAnsi="Bookman Old Style" w:eastAsia="Book Antiqua"/>
          <w:i/>
          <w:i/>
          <w:iCs/>
          <w:sz w:val="20"/>
          <w:szCs w:val="20"/>
        </w:rPr>
      </w:pPr>
      <w:r>
        <w:rPr>
          <w:rFonts w:eastAsia="Book Antiqua" w:ascii="Bookman Old Style" w:hAnsi="Bookman Old Style"/>
          <w:i/>
          <w:iCs/>
          <w:sz w:val="20"/>
          <w:szCs w:val="20"/>
        </w:rPr>
      </w:r>
    </w:p>
    <w:p>
      <w:pPr>
        <w:pStyle w:val="Normal1"/>
        <w:widowControl w:val="false"/>
        <w:jc w:val="both"/>
        <w:rPr>
          <w:rFonts w:ascii="Bookman Old Style" w:hAnsi="Bookman Old Style" w:eastAsia="Book Antiqua"/>
          <w:bCs/>
          <w:i/>
          <w:i/>
          <w:iCs/>
          <w:sz w:val="20"/>
          <w:szCs w:val="20"/>
        </w:rPr>
      </w:pPr>
      <w:r>
        <w:rPr>
          <w:rFonts w:eastAsia="Book Antiqua" w:ascii="Bookman Old Style" w:hAnsi="Bookman Old Style"/>
          <w:i/>
          <w:iCs/>
          <w:sz w:val="20"/>
          <w:szCs w:val="20"/>
        </w:rPr>
        <w:tab/>
        <w:t xml:space="preserve">Desde la Subcomisión para de Acceso a la Justicia para Pueblos Indígenas, el pasado 28 de febrero mediante oficio </w:t>
      </w:r>
      <w:r>
        <w:rPr>
          <w:rFonts w:eastAsia="Book Antiqua" w:ascii="Bookman Old Style" w:hAnsi="Bookman Old Style"/>
          <w:bCs/>
          <w:i/>
          <w:iCs/>
          <w:sz w:val="20"/>
          <w:szCs w:val="20"/>
        </w:rPr>
        <w:t xml:space="preserve">DVV-S1-022-2020, se dio respuesta a la solicitud del Consejo Superior </w:t>
      </w:r>
      <w:r>
        <w:rPr>
          <w:rFonts w:ascii="Bookman Old Style" w:hAnsi="Bookman Old Style"/>
          <w:i/>
          <w:iCs/>
          <w:sz w:val="20"/>
          <w:szCs w:val="20"/>
          <w:lang w:val="es-ES"/>
        </w:rPr>
        <w:t xml:space="preserve">sobre la información contenida en el Oficio </w:t>
      </w:r>
      <w:r>
        <w:rPr>
          <w:rFonts w:ascii="Bookman Old Style" w:hAnsi="Bookman Old Style"/>
          <w:i/>
          <w:iCs/>
          <w:sz w:val="20"/>
          <w:szCs w:val="20"/>
        </w:rPr>
        <w:t>Nº 3967-19 de 29 de abril de 2019, en el que la Secretaría General de la Corte comunicó el acuerdo tomado por el Consejo Superior del Poder Judicial, en la sesión Nº 28-19 celebrada el 28 de marzo de 2019, Artículo XXXV, que literalmente dice:</w:t>
      </w:r>
    </w:p>
    <w:p>
      <w:pPr>
        <w:pStyle w:val="Normal"/>
        <w:rPr>
          <w:rFonts w:ascii="Bookman Old Style" w:hAnsi="Bookman Old Style" w:cs="Arial"/>
          <w:i/>
          <w:i/>
          <w:iCs/>
          <w:sz w:val="20"/>
          <w:szCs w:val="20"/>
        </w:rPr>
      </w:pPr>
      <w:r>
        <w:rPr>
          <w:rFonts w:cs="Arial" w:ascii="Bookman Old Style" w:hAnsi="Bookman Old Style"/>
          <w:i/>
          <w:iCs/>
          <w:sz w:val="20"/>
          <w:szCs w:val="20"/>
        </w:rPr>
      </w:r>
    </w:p>
    <w:p>
      <w:pPr>
        <w:pStyle w:val="Normal"/>
        <w:keepNext w:val="true"/>
        <w:numPr>
          <w:ilvl w:val="0"/>
          <w:numId w:val="0"/>
        </w:numPr>
        <w:tabs>
          <w:tab w:val="clear" w:pos="708"/>
          <w:tab w:val="left" w:pos="0" w:leader="none"/>
        </w:tabs>
        <w:ind w:left="708" w:hanging="0"/>
        <w:jc w:val="both"/>
        <w:outlineLvl w:val="1"/>
        <w:rPr>
          <w:rFonts w:ascii="Bookman Old Style" w:hAnsi="Bookman Old Style" w:cs="Arial"/>
          <w:b/>
          <w:b/>
          <w:bCs/>
          <w:i/>
          <w:i/>
          <w:iCs/>
          <w:sz w:val="20"/>
          <w:szCs w:val="20"/>
        </w:rPr>
      </w:pPr>
      <w:r>
        <w:rPr>
          <w:rFonts w:cs="Arial" w:ascii="Bookman Old Style" w:hAnsi="Bookman Old Style"/>
          <w:b/>
          <w:bCs/>
          <w:i/>
          <w:iCs/>
          <w:sz w:val="20"/>
          <w:szCs w:val="20"/>
        </w:rPr>
        <w:t>“</w:t>
      </w:r>
      <w:r>
        <w:rPr>
          <w:rFonts w:cs="Arial" w:ascii="Bookman Old Style" w:hAnsi="Bookman Old Style"/>
          <w:b/>
          <w:bCs/>
          <w:i/>
          <w:iCs/>
          <w:sz w:val="20"/>
          <w:szCs w:val="20"/>
        </w:rPr>
        <w:t xml:space="preserve">Se acordó: 1.) </w:t>
      </w:r>
      <w:r>
        <w:rPr>
          <w:rFonts w:cs="Arial" w:ascii="Bookman Old Style" w:hAnsi="Bookman Old Style"/>
          <w:bCs/>
          <w:i/>
          <w:iCs/>
          <w:sz w:val="20"/>
          <w:szCs w:val="20"/>
        </w:rPr>
        <w:t xml:space="preserve">Devolver el informe N° 328-PLA-OI-PE-2019 del 8 de marzo del 2019 a la Dirección de Planificación, para que actualice los datos contenidos en el citado informe. </w:t>
      </w:r>
      <w:r>
        <w:rPr>
          <w:rFonts w:cs="Arial" w:ascii="Bookman Old Style" w:hAnsi="Bookman Old Style"/>
          <w:b/>
          <w:bCs/>
          <w:i/>
          <w:iCs/>
          <w:sz w:val="20"/>
          <w:szCs w:val="20"/>
        </w:rPr>
        <w:t>2.)</w:t>
      </w:r>
      <w:r>
        <w:rPr>
          <w:rFonts w:cs="Arial" w:ascii="Bookman Old Style" w:hAnsi="Bookman Old Style"/>
          <w:bCs/>
          <w:i/>
          <w:iCs/>
          <w:sz w:val="20"/>
          <w:szCs w:val="20"/>
        </w:rPr>
        <w:t xml:space="preserve"> Solicitar a la Subcomisión de Acceso a la Justicia para Pueblos Indígenas y a la Fiscalía General de la República, un criterio de la situación actual de la atención de los asuntos indígenas en la localidad Buenos Aires. </w:t>
      </w:r>
      <w:r>
        <w:rPr>
          <w:rFonts w:cs="Arial" w:ascii="Bookman Old Style" w:hAnsi="Bookman Old Style"/>
          <w:b/>
          <w:bCs/>
          <w:i/>
          <w:iCs/>
          <w:sz w:val="20"/>
          <w:szCs w:val="20"/>
        </w:rPr>
        <w:t>3.)</w:t>
      </w:r>
      <w:r>
        <w:rPr>
          <w:rFonts w:cs="Arial" w:ascii="Bookman Old Style" w:hAnsi="Bookman Old Style"/>
          <w:bCs/>
          <w:i/>
          <w:iCs/>
          <w:sz w:val="20"/>
          <w:szCs w:val="20"/>
        </w:rPr>
        <w:t xml:space="preserve"> Hacer este acuerdo de conocimiento del</w:t>
      </w:r>
      <w:r>
        <w:rPr>
          <w:rFonts w:cs="Arial" w:ascii="Bookman Old Style" w:hAnsi="Bookman Old Style"/>
          <w:i/>
          <w:iCs/>
          <w:sz w:val="20"/>
          <w:szCs w:val="20"/>
        </w:rPr>
        <w:t xml:space="preserve"> </w:t>
      </w:r>
      <w:r>
        <w:rPr>
          <w:rFonts w:cs="Arial" w:ascii="Bookman Old Style" w:hAnsi="Bookman Old Style"/>
          <w:bCs/>
          <w:i/>
          <w:iCs/>
          <w:sz w:val="20"/>
          <w:szCs w:val="20"/>
        </w:rPr>
        <w:t>Tribunal Penal del Primer Circuito Judicial de la Zona Sur, del Juzgado Penal del Primer Circuito Judicial de la Zona Sur, del Ministerio Público y la Defensa Pública.</w:t>
      </w:r>
      <w:r>
        <w:rPr>
          <w:rFonts w:cs="Arial" w:ascii="Bookman Old Style" w:hAnsi="Bookman Old Style"/>
          <w:b/>
          <w:bCs/>
          <w:i/>
          <w:iCs/>
          <w:sz w:val="20"/>
          <w:szCs w:val="20"/>
        </w:rPr>
        <w:t xml:space="preserve">” </w:t>
      </w:r>
    </w:p>
    <w:p>
      <w:pPr>
        <w:pStyle w:val="Normal1"/>
        <w:widowControl w:val="false"/>
        <w:rPr>
          <w:rFonts w:ascii="Bookman Old Style" w:hAnsi="Bookman Old Style" w:eastAsia="Book Antiqua"/>
          <w:i/>
          <w:i/>
          <w:iCs/>
          <w:sz w:val="20"/>
          <w:szCs w:val="20"/>
        </w:rPr>
      </w:pPr>
      <w:r>
        <w:rPr>
          <w:rFonts w:eastAsia="Book Antiqua" w:ascii="Bookman Old Style" w:hAnsi="Bookman Old Style"/>
          <w:i/>
          <w:iCs/>
          <w:sz w:val="20"/>
          <w:szCs w:val="20"/>
        </w:rPr>
      </w:r>
    </w:p>
    <w:p>
      <w:pPr>
        <w:pStyle w:val="Normal1"/>
        <w:widowControl w:val="false"/>
        <w:rPr>
          <w:rFonts w:ascii="Bookman Old Style" w:hAnsi="Bookman Old Style" w:eastAsia="Book Antiqua"/>
          <w:i/>
          <w:i/>
          <w:iCs/>
          <w:sz w:val="20"/>
          <w:szCs w:val="20"/>
        </w:rPr>
      </w:pPr>
      <w:r>
        <w:rPr>
          <w:rFonts w:eastAsia="Book Antiqua" w:ascii="Bookman Old Style" w:hAnsi="Bookman Old Style"/>
          <w:i/>
          <w:iCs/>
          <w:sz w:val="20"/>
          <w:szCs w:val="20"/>
        </w:rPr>
        <w:tab/>
        <w:t>Al respecto, la Subcomisión emitió una serie de recomendaciones que a continuación de transcriben:</w:t>
      </w:r>
    </w:p>
    <w:p>
      <w:pPr>
        <w:pStyle w:val="Normal1"/>
        <w:widowControl w:val="false"/>
        <w:numPr>
          <w:ilvl w:val="0"/>
          <w:numId w:val="3"/>
        </w:numPr>
        <w:spacing w:lineRule="auto" w:line="360" w:before="240" w:after="24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MX"/>
        </w:rPr>
        <w:t>Se solicita establecer una acción afirmativa en beneficio de la población indígena de Buenos Aires de Puntarenas y de China Quichá de Pérez Zeledón, que consiste en reforzar tanto la jurisdicción de Buenos Aires como Pérez Zeledón, con nuevas plazas que permitan  conformar un equipo de trabajo completo que integre representantes de Judicatura, Defensa Pública, Fiscalía de Asuntos indígenas, OIJ, personal de apoyo, recursos tecnológicos y materiales tales como vehículos para transporte y oficinas, entre otros que sean necesarios para que la labor del equipo de trabajo pueda ser eficaz, eficiente y efectiva, a efecto de atender los procesos judiciales vinculados con las personas indígenas citadas. Lo anterior, con fundamento en la normativa internacional que regula los derechos de la población indígena</w:t>
      </w:r>
      <w:r>
        <w:rPr>
          <w:rFonts w:eastAsia="Book Antiqua" w:ascii="Bookman Old Style" w:hAnsi="Bookman Old Style"/>
          <w:i/>
          <w:iCs/>
          <w:sz w:val="20"/>
          <w:szCs w:val="20"/>
          <w:lang w:val="es-ES"/>
        </w:rPr>
        <w:t xml:space="preserve">: </w:t>
      </w:r>
      <w:r>
        <w:rPr>
          <w:rFonts w:eastAsia="Book Antiqua" w:ascii="Bookman Old Style" w:hAnsi="Bookman Old Style"/>
          <w:i/>
          <w:iCs/>
          <w:sz w:val="20"/>
          <w:szCs w:val="20"/>
          <w:lang w:val="es-MX"/>
        </w:rPr>
        <w:t>Convenio sobre Pueblos Indígenas y Tribales 1989 (Convenio 169 OIT), Declaración de las Naciones Unidas sobre los derechos de los Pueblos Indígenas 2007 y Declaración Americana sobre Derechos de los Pueblos Indígenas OEA 2016, la cual tiene carácter supraconstitucional según reiteradas resoluciones de la Sala Constitucional al tratarse de convenios referidos a derechos humanos; el artículo 1 de la Constitución Política que refiere a Costa Rica como un país multiétnico y pluricultural; así como la normativa interna, entre otras, la Ley Indígena y la Ley de Acceso a la Justicia de Pueblos Indígenas.</w:t>
      </w:r>
    </w:p>
    <w:p>
      <w:pPr>
        <w:pStyle w:val="Normal1"/>
        <w:widowControl w:val="false"/>
        <w:ind w:left="720" w:hanging="0"/>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En relación con lo anterior, debe tomarse en consideración que los conflictos en Buenos Aires de Puntarenas han aumentado considerablemente, por lo que la recomendación planteada en esta recomendación y en la siguiente, se refieren a la autorización de un equipo de trabajo en materia penal por medio de la aplicación del artículo 44 de la Ley Orgánica del Poder Judicial conforme a la Metodología de Administración de Proyectos para el control y seguimiento debidos. Además, debe tomarse en consideración que los territorios indígenas de Buenos Aires de Puntarenas corresponden a una competencia territorial diferente al territorio de China Quichá de Pérez Zeledón.</w:t>
      </w:r>
    </w:p>
    <w:p>
      <w:pPr>
        <w:pStyle w:val="Normal1"/>
        <w:widowControl w:val="false"/>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r>
    </w:p>
    <w:p>
      <w:pPr>
        <w:pStyle w:val="Normal1"/>
        <w:widowControl w:val="false"/>
        <w:numPr>
          <w:ilvl w:val="0"/>
          <w:numId w:val="3"/>
        </w:numPr>
        <w:spacing w:lineRule="auto" w:line="360" w:before="240" w:after="24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 xml:space="preserve">Para la valoración de la urgencia del citado recurso se tome en cuenta no solo aspectos estadísticos, sino que se tome en cuenta la especificidad con que los funcionarios deben atender la población indígena y el abordaje diferenciado de las causas, que implica una aumento en las cargas de trabajo de manera que para atender adecuadamente los usuarios se debe contar con más personal, con el cual sea posible atender prioritariamente la conflictividad que enfrenta la zona.  </w:t>
      </w:r>
    </w:p>
    <w:p>
      <w:pPr>
        <w:pStyle w:val="Normal1"/>
        <w:widowControl w:val="false"/>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En seguimiento del cumplimiento de las Medidas Cautelares N° 321-12 del 30 de abril de 2015, establecidas por la Comisión Interamericana de Derechos Humanos (CIDH) contra Costa Rica, que obligan al Estado a adoptar las medidas necesarias para garantizar la vida y la integridad personal de los miembros del pueblo indígena Teribe y del pueblo indígena Bribri de Salitre, concertar las medidas a implementarse con los beneficiarios y sus representantes; e informar sobre las acciones adoptadas a fin de investigar los presuntos hechos que dieron lugar a la adopción de dicha medida cautelar y así evitar su repetición, se solicita al Consejo Superior en cumplimiento a lo que compete al Poder Judicial como parte del Estado, el reforzamiento de las oficinas judiciales que atienden este tipo de procesos en las materias penal, agraria y contenciosa administrativa, con el personal necesario a efecto de que las decisiones judiciales sobre ese tipo de asuntos se atienda de manera prioritaria y se emitan de conformidad con la normativa nacional e internacional que regula los derechos de la población indígena. Lo anterior, debido a que las medidas cautelares y provisionales de la CIDH tienen un doble carácter, uno cautelar y otro tutelar. Respecto del carácter tutelar, las medidas buscan evitar un daño irreparable y preservar el ejercicio de los derechos humanos. Con respecto al carácter cautelar, las medidas cautelares tienen como propósito preservar una situación jurídica de derechos en posible riesgo, hasta en tanto se resuelva la petición que se encuentra bajo conocimiento en el Sistema Interamericano. Su objeto y fin son los de asegurar la integridad y la efectividad de la decisión de fondo y, de esta manera, evitar que se lesionen los derechos alegados, situación que podría hacer inocua o desvirtuar el efecto útil de la decisión final, según la CIDH. Con ocasión de lo anterior, a fin de que el Estado pueda cumplir con la decisión final de las Medidas y, de ser necesario, con las reparaciones ordenadas, es necesario reforzar los equipos de trabajo humanos y materiales a disposición para atender este tipo de procesos, con especial referencia a la materia penal que es objeto de análisis.</w:t>
      </w:r>
    </w:p>
    <w:p>
      <w:pPr>
        <w:pStyle w:val="Normal1"/>
        <w:widowControl w:val="false"/>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 xml:space="preserve">A efecto de atender la "gravedad de la situación", vinculada con el serio impacto que la acción u omisión estatal pueda tener sobre los derechos protegidos o sobre el efecto eventual de las decisiones pendientes ante la CIDH; así como la "urgencia de la situación", que se determina por la información que indica que el riesgo o la amenaza son inminentes y puedan materializarse, requiriendo de esa manera acción preventiva o tutelar; el "daño irreparable" vinculado con la afectación sobre derechos que, por su propia naturaleza, no son susceptibles de reparación, restauración o adecuada indemnización, se solicita la atención prioritaria e inmediata de los requerimientos de recursos materiales y tecnológicos, así como el talento humano necesario para conformar el equipo de trabajo que continúe dando respuesta a los procesos vinculados con la población indígena beneficiaria de las Medidas Cautelares. </w:t>
      </w:r>
    </w:p>
    <w:p>
      <w:pPr>
        <w:pStyle w:val="Normal1"/>
        <w:widowControl w:val="false"/>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 xml:space="preserve">A efecto de cumplir con la Circular 188-19 de Corte Plena, solicitar a la Escuela Judicial para que priorice el fortalecimiento de las competencias del equipo de trabajo que esta a cargo y que, de aceptarse las recomendaciones anteriores, se designe de manera inmediata para la atención de los procesos judiciales penales vinculados con la población indígena de Buenos Aires de Puntarenas y de China Quichá de Pérez Zeledón, indistintamente de la cantidad de procesos pendientes o la proyección que se tenga ante los altos niveles de conflictividad en la zona, atendiendo sobre todo a la exigencia de la normativa supraconstitucional que regula los derechos de esa población y los requerimientos de la CIDH. Lo anterior, para disminuir en lo posible desde las funciones del Poder Judicial, la serie continua de ciclos de amenazas, hostigamientos y actos de violencia en contra de los miembros de los pueblos indígenas Teribe y Bribri de Salitre, identificados por los gestionantes de las Medidas Cautelares como posibles factores generadores de riesgo que incidirían en su situación, asociados a lo que la CIDH califica como un presunto clima de tensión y hostilidad, en vista que los miembros de ambos pueblos indígenas estarían cohabitando un área en la que se encontrarían personas no indígenas, en el marco de un conflicto territorial que habría perdurado por varios años; y supuestas represalias, debido a la labor que los miembros de ambos pueblos indígenas estarían adelantando, con el fin de que se reconozca y delimite su territorio. </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 xml:space="preserve">Se solicite a la Dirección Nacional de Justicia Restaurativa y al Centro de Conciliación del Poder Judicial continuar con la atención de los procesos indígenas de la zona citada, coadyuvando en la búsqueda de soluciones legalmente posibles y con pertinencia cultural, en cumplimiento del mandato que les confiere la Ley de Acceso a la Justicia de Pueblos Indígenas de Costa Rica. Lo anterior, considerando que, según refiere la CIDH en las Medidas Cautelares 321-15, el 7 de julio de 2014, el Sistema de Naciones Unidas en Costa Rica expresó "su preocupación por la violencia registrada en el territorio indígena de Salitre [...l, que ha provocado movilización de personas, quema de ranchos y bloqueo de caminos. La ONU confía en que el Estado impulse urgentemente la resolución pacífica del conflicto de manera que se proteja el derecho de los pueblos indígenas a su territorio y también se garantice los derechos humanos de todos sus habitantes y a los actores involucrados para que rechacen cualquier tipo de violencia" </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Solicitar a la Oficina de Protección de Víctimas y Testigos, ante la posibilidad de que la situación de riesgo pueda exacerbase aún más en la zona de Buenos Aires y de China Quichá de Pérez Zeledón, por la continuidad del clima de tensión y las medidas destinadas a delimitar los territorios, se tomen medidas adecuadas y efectivas, tomando en consideración un enfoque diferencial respecto de pueblos indígenas y las dinámicas particulares en la zona. Se recomienda que las medidas necesarias que se tomen para garantizar la vida y la integridad personal de los miembros del pueblo indígena Teribe y del pueblo indígena Bribri de Salitre, deben tener pertinencia cultural.</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Solicitar a las personas servidoras judiciales y oficinas involucradas en los equipos de trabajo que se conformen, emitir informes de su gestión, según la periodicidad que la Dirección de Planificación sugiera al Consejo Superior y éste disponga, a efecto de verificar el acceso a la justicia de la población y la atención prioritaria y oportuna.</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Instar a la Dirección Ejecutiva para asegurar que el equipo de personas traductoras e intérpretes, conformado tanto por mujeres como por hombres, en cumplimiento de la Ley de Acceso a la Justicia de Pueblos Indígenas, sea suficiente para la atención de los procesos judiciales en los que estén vinculadas personas indígenas de las zonas referidas, para garantizar que no se constituya en un atraso en la gestión de los diferentes equipos de trabajo.</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Solicitar a la Administración Regional del Primer Circuito Judicial de Pérez Zeledón a cargo de Buenos Aires, y a los despachos involucrados, tomar las medidas necesarias para que el pago a las personas traductoras e intérpretes se realice de manera oportuna y cumpliendo con todos los requerimientos legales y políticas institucionales, para poder seguir contando con este apoyo.</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Solicitar colaboración a la Escuela de Antropología de la Universidad de Costa Rica que, en cumplimiento de la Ley de Acceso a la Justicia de Pueblos Indígenas de Costa Rica, para que coadyuven con los peritajes culturales necesarios para la atención de los procesos judiciales que atienda el equipo de trabajo que se conforme, a cargo de reforzar la atención de los asuntos indígenas de la zona de Buenos Aires de Puntarenas y China Quichá de Pérez Zeledón.</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Solicitar a la Escuela Judicial, en cumplimiento de la Ley de Acceso a la Justicia de Pueblos Indígenas de Costa Rica y la Circular 188-19 de Corte Plena, brinde capacitación de manera prioritaria al equipo de trabajo que se conforme para atender los asuntos penales de la zona, con el objetivo de fortalecer sus competencias en Derecho Indígena, siguiendo los lineamientos dispuestos en la circular en referencia que incluyen aspectos relacionados con contenidos mínimos, verificación de asistencia y seguimiento del impacto de la capacitación. Instar a la Escuela Judicial ve</w:t>
      </w:r>
      <w:r>
        <w:rPr>
          <w:rFonts w:eastAsia="Book Antiqua" w:ascii="Bookman Old Style" w:hAnsi="Bookman Old Style"/>
          <w:bCs/>
          <w:i/>
          <w:iCs/>
          <w:sz w:val="20"/>
          <w:szCs w:val="20"/>
          <w:lang w:val="es-ES"/>
        </w:rPr>
        <w:t>rifique que, en los contenidos de los diseños de las capacitaciones en Derecho Indígena, se incluya al menos: a) 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 b) Jurisprudencia de la Corte Interamericana de Derechos Humanos vinculada con pueblos Indígenas incluyendo la Opinión Consultiva 23-2017, c) Constitución Política, Ley Indígena, Ley de Acceso a la Justicia de los Pueblos Indígenas, entre otras; d) Jurisprudencia de las Salas de Casación y de la Sala Constitucional de la Corte Suprema de Justicia; d) Lineamientos y circulares de Corte Plena y del Consejo Superior vinculados con las reglas para los procesos en los que estén involucradas personas indígenas; además, los alcances y distinción entre el sistema monista y el pluralismo jurídico. Incluyendo, el establecimiento de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Normal1"/>
        <w:widowControl w:val="false"/>
        <w:numPr>
          <w:ilvl w:val="0"/>
          <w:numId w:val="3"/>
        </w:numPr>
        <w:spacing w:lineRule="auto" w:line="360" w:before="240" w:after="0"/>
        <w:jc w:val="both"/>
        <w:rPr>
          <w:rFonts w:ascii="Bookman Old Style" w:hAnsi="Bookman Old Style" w:eastAsia="Book Antiqua"/>
          <w:bCs/>
          <w:i/>
          <w:i/>
          <w:iCs/>
          <w:sz w:val="20"/>
          <w:szCs w:val="20"/>
          <w:lang w:val="es-ES"/>
        </w:rPr>
      </w:pPr>
      <w:r>
        <w:rPr>
          <w:rFonts w:eastAsia="Book Antiqua" w:ascii="Bookman Old Style" w:hAnsi="Bookman Old Style"/>
          <w:bCs/>
          <w:i/>
          <w:iCs/>
          <w:sz w:val="20"/>
          <w:szCs w:val="20"/>
          <w:lang w:val="es-ES"/>
        </w:rPr>
        <w:t>Declarar obligatoria la participación de las personas servidoras judiciales en las capacitaciones sobre Derecho Indígena, ampliar a sensibilización, atención y acceso a la justicia de pueblos indígenas en cumplimiento de la Ley de Acceso a la Justicia de Pueblos Indígenas, especialmente quienes tengan competencia material y territorial para conocer de procesos judiciales vinculados con el pueblo indígena Teribe y Bribri de Salitre y la Circular 188-19 de Corte Plena.</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bCs/>
          <w:i/>
          <w:iCs/>
          <w:sz w:val="20"/>
          <w:szCs w:val="20"/>
          <w:lang w:val="es-ES"/>
        </w:rPr>
        <w:t>Solicitar a la Escuela Judicial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i/>
          <w:iCs/>
          <w:sz w:val="20"/>
          <w:szCs w:val="20"/>
          <w:lang w:val="es-ES"/>
        </w:rPr>
        <w:t>Instar al CACMFJ para que, junto con el Departamento de Prensa y Comunicación Organizacional, divulgue la Circular 188-19 de Corte Plena; en especial el eje sexto referido a las personas juzgadoras de todas las materias que atienden procesos vinculados con personas indígenas, en el que se señala: “</w:t>
      </w:r>
      <w:r>
        <w:rPr>
          <w:rFonts w:eastAsia="Book Antiqua" w:ascii="Bookman Old Style" w:hAnsi="Bookman Old Style"/>
          <w:bCs/>
          <w:i/>
          <w:iCs/>
          <w:sz w:val="20"/>
          <w:szCs w:val="20"/>
          <w:lang w:val="es-ES"/>
        </w:rPr>
        <w:t xml:space="preserve">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r>
        <w:rPr>
          <w:rFonts w:eastAsia="Book Antiqua" w:ascii="Bookman Old Style" w:hAnsi="Bookman Old Style"/>
          <w:b/>
          <w:i/>
          <w:iCs/>
          <w:sz w:val="20"/>
          <w:szCs w:val="20"/>
          <w:lang w:val="es-ES"/>
        </w:rPr>
        <w:t>i)</w:t>
      </w:r>
      <w:r>
        <w:rPr>
          <w:rFonts w:eastAsia="Book Antiqua" w:ascii="Bookman Old Style" w:hAnsi="Bookman Old Style"/>
          <w:bCs/>
          <w:i/>
          <w:iCs/>
          <w:sz w:val="20"/>
          <w:szCs w:val="20"/>
          <w:lang w:val="es-ES"/>
        </w:rPr>
        <w:t xml:space="preserve"> asegurar que los miembros de la comunidad puedan comprender y hacerse comprender en los procedimientos legales iniciados, facilitándoles intérpretes u otros medios eficaces para tal fin; </w:t>
      </w:r>
      <w:r>
        <w:rPr>
          <w:rFonts w:eastAsia="Book Antiqua" w:ascii="Bookman Old Style" w:hAnsi="Bookman Old Style"/>
          <w:b/>
          <w:i/>
          <w:iCs/>
          <w:sz w:val="20"/>
          <w:szCs w:val="20"/>
          <w:lang w:val="es-ES"/>
        </w:rPr>
        <w:t>ii)</w:t>
      </w:r>
      <w:r>
        <w:rPr>
          <w:rFonts w:eastAsia="Book Antiqua" w:ascii="Bookman Old Style" w:hAnsi="Bookman Old Style"/>
          <w:bCs/>
          <w:i/>
          <w:iCs/>
          <w:sz w:val="20"/>
          <w:szCs w:val="20"/>
          <w:lang w:val="es-ES"/>
        </w:rPr>
        <w:t xml:space="preserve"> proporcionar el acceso a los pueblos indígenas y tribales a asistencia técnica y legal en relación con su derecho a la propiedad colectiva, en el supuesto de que estos se encontrasen en una situación de vulnerabilidad que les impediría conseguirla, y </w:t>
      </w:r>
      <w:r>
        <w:rPr>
          <w:rFonts w:eastAsia="Book Antiqua" w:ascii="Bookman Old Style" w:hAnsi="Bookman Old Style"/>
          <w:b/>
          <w:i/>
          <w:iCs/>
          <w:sz w:val="20"/>
          <w:szCs w:val="20"/>
          <w:lang w:val="es-ES"/>
        </w:rPr>
        <w:t>iii)</w:t>
      </w:r>
      <w:r>
        <w:rPr>
          <w:rFonts w:eastAsia="Book Antiqua" w:ascii="Bookman Old Style" w:hAnsi="Bookman Old Style"/>
          <w:bCs/>
          <w:i/>
          <w:iCs/>
          <w:sz w:val="20"/>
          <w:szCs w:val="20"/>
          <w:lang w:val="es-ES"/>
        </w:rPr>
        <w:t xml:space="preserve">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 Así como el sétimo que indica: “</w:t>
      </w:r>
      <w:r>
        <w:rPr>
          <w:rFonts w:eastAsia="Book Antiqua" w:ascii="Bookman Old Style" w:hAnsi="Bookman Old Style"/>
          <w:b/>
          <w:i/>
          <w:iCs/>
          <w:sz w:val="20"/>
          <w:szCs w:val="20"/>
          <w:lang w:val="es-ES"/>
        </w:rPr>
        <w:t>7.</w:t>
      </w:r>
      <w:r>
        <w:rPr>
          <w:rFonts w:eastAsia="Book Antiqua" w:ascii="Bookman Old Style" w:hAnsi="Bookman Old Style"/>
          <w:bCs/>
          <w:i/>
          <w:iCs/>
          <w:sz w:val="20"/>
          <w:szCs w:val="20"/>
          <w:lang w:val="es-ES"/>
        </w:rPr>
        <w:t xml:space="preserve"> 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 </w:t>
      </w:r>
    </w:p>
    <w:p>
      <w:pPr>
        <w:pStyle w:val="Normal1"/>
        <w:widowControl w:val="false"/>
        <w:numPr>
          <w:ilvl w:val="0"/>
          <w:numId w:val="3"/>
        </w:numPr>
        <w:spacing w:lineRule="auto" w:line="360" w:before="240" w:after="0"/>
        <w:jc w:val="both"/>
        <w:rPr>
          <w:rFonts w:ascii="Bookman Old Style" w:hAnsi="Bookman Old Style" w:eastAsia="Book Antiqua"/>
          <w:i/>
          <w:i/>
          <w:iCs/>
          <w:sz w:val="20"/>
          <w:szCs w:val="20"/>
          <w:lang w:val="es-ES"/>
        </w:rPr>
      </w:pPr>
      <w:r>
        <w:rPr>
          <w:rFonts w:eastAsia="Book Antiqua" w:ascii="Bookman Old Style" w:hAnsi="Bookman Old Style"/>
          <w:bCs/>
          <w:i/>
          <w:iCs/>
          <w:sz w:val="20"/>
          <w:szCs w:val="20"/>
          <w:lang w:val="es-ES"/>
        </w:rPr>
        <w:t>Solicitar a la Contraloría de Servicios del Poder Judicial, Comisión de Acceso a la Justicia y Subcomisión de Acceso a la Justicia de Pueblos Indígenas, en cumplimiento de la Ley de Acceso a la Justicia de Pueblos Indígenas, y el eje octavo de la Circular 188-19, priorizar la realización de encuentros entre el pueblo indígena Teribe y Bribri de Salitre, a efecto de que estas últimas les expongan el funcionamiento del Poder Judicial en sus diferentes ámbitos. En forma previa a su ejecución, solicitarles concertar con las personas indígenas de los pueblos indígenas de Buenos Aires la identificación de los contenidos mínimos de los aspectos sobre los cuales desean ser informados y los mecanismos que ofrece el Poder Judicial para el acceso a la justicia. Así mismo, que en forma coordinada con la Escuela Judicial y demás Unidades de Capacitación de la institución, coordinen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1"/>
        <w:widowControl w:val="false"/>
        <w:jc w:val="both"/>
        <w:rPr>
          <w:rFonts w:ascii="Bookman Old Style" w:hAnsi="Bookman Old Style" w:eastAsia="Book Antiqua"/>
          <w:i/>
          <w:i/>
          <w:iCs/>
          <w:sz w:val="20"/>
          <w:szCs w:val="20"/>
        </w:rPr>
      </w:pPr>
      <w:r>
        <w:rPr>
          <w:rFonts w:eastAsia="Book Antiqua" w:ascii="Bookman Old Style" w:hAnsi="Bookman Old Style"/>
          <w:i/>
          <w:iCs/>
          <w:sz w:val="20"/>
          <w:szCs w:val="20"/>
        </w:rPr>
        <w:tab/>
      </w:r>
    </w:p>
    <w:p>
      <w:pPr>
        <w:pStyle w:val="Normal1"/>
        <w:widowControl w:val="false"/>
        <w:jc w:val="both"/>
        <w:rPr>
          <w:rFonts w:ascii="Bookman Old Style" w:hAnsi="Bookman Old Style" w:eastAsia="Book Antiqua"/>
          <w:bCs/>
          <w:i/>
          <w:i/>
          <w:iCs/>
          <w:sz w:val="20"/>
          <w:szCs w:val="20"/>
        </w:rPr>
      </w:pPr>
      <w:r>
        <w:rPr>
          <w:rFonts w:eastAsia="Book Antiqua" w:ascii="Bookman Old Style" w:hAnsi="Bookman Old Style"/>
          <w:i/>
          <w:iCs/>
          <w:sz w:val="20"/>
          <w:szCs w:val="20"/>
        </w:rPr>
        <w:tab/>
        <w:t xml:space="preserve">Por lo anterior, y con la finalidad de continuar con el impulso en favor de los derechos de la población indígena y lograr su efectivo acceso a la justicia que promueve no solo la Ley para el acceso a la justicia, sino también </w:t>
      </w:r>
      <w:r>
        <w:rPr>
          <w:rFonts w:eastAsia="Book Antiqua" w:ascii="Bookman Old Style" w:hAnsi="Bookman Old Style"/>
          <w:bCs/>
          <w:i/>
          <w:iCs/>
          <w:sz w:val="20"/>
          <w:szCs w:val="20"/>
          <w:lang w:val="es-ES"/>
        </w:rPr>
        <w:t xml:space="preserve">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 Jurisprudencia de la Corte Interamericana de Derechos Humanos vinculada con pueblos Indígenas incluyendo la Opinión Consultiva 23-2017, así como la normativa nacional vinculante: Constitución Política, Ley Indígena, la Jurisprudencia de las Salas de Casación y de la Sala Constitucional de la Corte Suprema, las circulares de Corte Plena y del Consejo Superior vinculados con las reglas para los procesos en los que estén involucradas personas indígenas, para dar respuesta al oficio </w:t>
      </w:r>
      <w:r>
        <w:rPr>
          <w:rFonts w:eastAsia="Book Antiqua" w:ascii="Bookman Old Style" w:hAnsi="Bookman Old Style"/>
          <w:i/>
          <w:iCs/>
          <w:sz w:val="20"/>
          <w:szCs w:val="20"/>
        </w:rPr>
        <w:t>507-PLA-RH-MI-2020</w:t>
      </w:r>
      <w:r>
        <w:rPr>
          <w:rFonts w:eastAsia="Book Antiqua" w:ascii="Bookman Old Style" w:hAnsi="Bookman Old Style"/>
          <w:bCs/>
          <w:i/>
          <w:iCs/>
          <w:sz w:val="20"/>
          <w:szCs w:val="20"/>
          <w:lang w:val="es-ES"/>
        </w:rPr>
        <w:t xml:space="preserve">,  se remite a las recomendaciones del oficio </w:t>
      </w:r>
      <w:r>
        <w:rPr>
          <w:rFonts w:eastAsia="Book Antiqua" w:ascii="Bookman Old Style" w:hAnsi="Bookman Old Style"/>
          <w:bCs/>
          <w:i/>
          <w:iCs/>
          <w:sz w:val="20"/>
          <w:szCs w:val="20"/>
        </w:rPr>
        <w:t xml:space="preserve">DVV-S1-022-2020 del 28 de febrero del 2020. </w:t>
      </w:r>
    </w:p>
    <w:p>
      <w:pPr>
        <w:pStyle w:val="Normal1"/>
        <w:widowControl w:val="false"/>
        <w:jc w:val="both"/>
        <w:rPr>
          <w:rFonts w:ascii="Bookman Old Style" w:hAnsi="Bookman Old Style" w:eastAsia="Book Antiqua"/>
          <w:bCs/>
          <w:i/>
          <w:i/>
          <w:iCs/>
          <w:color w:val="FF0000"/>
          <w:sz w:val="20"/>
          <w:szCs w:val="20"/>
        </w:rPr>
      </w:pPr>
      <w:r>
        <w:rPr>
          <w:rFonts w:eastAsia="Book Antiqua" w:ascii="Bookman Old Style" w:hAnsi="Bookman Old Style"/>
          <w:bCs/>
          <w:i/>
          <w:iCs/>
          <w:color w:val="FF0000"/>
          <w:sz w:val="20"/>
          <w:szCs w:val="20"/>
        </w:rPr>
      </w:r>
    </w:p>
    <w:p>
      <w:pPr>
        <w:pStyle w:val="Normal1"/>
        <w:widowControl w:val="false"/>
        <w:jc w:val="both"/>
        <w:rPr>
          <w:rFonts w:ascii="Bookman Old Style" w:hAnsi="Bookman Old Style"/>
          <w:bCs/>
          <w:i/>
          <w:i/>
          <w:iCs/>
          <w:sz w:val="20"/>
          <w:szCs w:val="20"/>
        </w:rPr>
      </w:pPr>
      <w:r>
        <w:rPr>
          <w:rFonts w:eastAsia="Book Antiqua" w:ascii="Bookman Old Style" w:hAnsi="Bookman Old Style"/>
          <w:bCs/>
          <w:i/>
          <w:iCs/>
          <w:color w:val="FF0000"/>
          <w:sz w:val="20"/>
          <w:szCs w:val="20"/>
        </w:rPr>
        <w:tab/>
      </w:r>
      <w:r>
        <w:rPr>
          <w:rFonts w:eastAsia="Book Antiqua" w:ascii="Bookman Old Style" w:hAnsi="Bookman Old Style"/>
          <w:bCs/>
          <w:i/>
          <w:iCs/>
          <w:sz w:val="20"/>
          <w:szCs w:val="20"/>
        </w:rPr>
        <w:t xml:space="preserve">En las recomendaciones se pide priorización de los despachos y oficinas en general, incluyendo la Defensa Pública de Buenos Aires de Puntarenas, en atención al seguimiento de las Medidas Cautelares 321-12 de la CIDH contra el Estado, pues ahí están asentados los pueblos de Bribri de Salitre y de Térraba; no obstante, en ejecución de la Circular N° 188-19 que responde a las Actas de Corte Plena </w:t>
      </w:r>
      <w:r>
        <w:rPr>
          <w:rFonts w:ascii="Bookman Old Style" w:hAnsi="Bookman Old Style"/>
          <w:bCs/>
          <w:i/>
          <w:iCs/>
          <w:sz w:val="20"/>
          <w:szCs w:val="20"/>
        </w:rPr>
        <w:t>N° 20-19 celebrada el 27 de mayo del año en curso, Artículo XIX y N° 25-19 celebrada el 24 de junio del año en curso, Artículo II, la Ley de Acceso a la Justicia de Pueblos Indígenas de Costa Rica y el Convenio 169 de la OIT, lo procedente es, dentro de las limitaciones presupuestarias institucionales, cumplir en lo posible con los compromisos país y disponer reforzar la atención de Defensa Pública Especializada en materia Indígena en todos los Circuitos del país, en especial, los ya referidos de Buenos Aires de Puntarenas y aquellos donde estadísticamente se reporten más procesos vinculados con pueblos indígenas, en forma proporcional a los recursos que se destinen de las demás áreas (Judicatura, Fiscalía y OIJ) para poder conformar grupos de trabajo que logren dar una respuesta efectiva a la población indígena desde su cosmovisión y requerimientos propios, con pertinencia cultural.</w:t>
      </w:r>
    </w:p>
    <w:p>
      <w:pPr>
        <w:pStyle w:val="Normal1"/>
        <w:widowControl w:val="false"/>
        <w:rPr>
          <w:rFonts w:ascii="Bookman Old Style" w:hAnsi="Bookman Old Style"/>
          <w:bCs/>
          <w:i/>
          <w:i/>
          <w:iCs/>
          <w:sz w:val="20"/>
          <w:szCs w:val="20"/>
        </w:rPr>
      </w:pPr>
      <w:r>
        <w:rPr>
          <w:rFonts w:ascii="Bookman Old Style" w:hAnsi="Bookman Old Style"/>
          <w:bCs/>
          <w:i/>
          <w:iCs/>
          <w:sz w:val="20"/>
          <w:szCs w:val="20"/>
        </w:rPr>
      </w:r>
    </w:p>
    <w:p>
      <w:pPr>
        <w:pStyle w:val="Normal1"/>
        <w:widowControl w:val="false"/>
        <w:jc w:val="both"/>
        <w:rPr>
          <w:rFonts w:ascii="Bookman Old Style" w:hAnsi="Bookman Old Style"/>
          <w:bCs/>
          <w:i/>
          <w:i/>
          <w:iCs/>
          <w:sz w:val="20"/>
          <w:szCs w:val="20"/>
        </w:rPr>
      </w:pPr>
      <w:r>
        <w:rPr>
          <w:rFonts w:ascii="Bookman Old Style" w:hAnsi="Bookman Old Style"/>
          <w:bCs/>
          <w:i/>
          <w:iCs/>
          <w:sz w:val="20"/>
          <w:szCs w:val="20"/>
        </w:rPr>
        <w:tab/>
        <w:t>Se solicita que en la toma de decisiones no se consideren los parámetros tradicionales de disposición de recursos según cantidad de procesos o proyección de éstos, sino por el contrario, la complejidad de éstos y la responsabilidad institucional de cumplir con los compromisos país asociados a las Medidas Cautelares 321-12 de la CIDH y el Convenio 169 de la OIT que tiene rango supraconstitucional al ser una normativa de derechos humanos, según la jurisprudencia vinculante de la Sala Constitucional de la Corte Suprema de Justicia.</w:t>
      </w:r>
    </w:p>
    <w:p>
      <w:pPr>
        <w:pStyle w:val="Normal"/>
        <w:rPr>
          <w:rFonts w:ascii="Bookman Old Style" w:hAnsi="Bookman Old Style" w:cs="Arial"/>
          <w:bCs/>
          <w:i/>
          <w:i/>
          <w:iCs/>
          <w:color w:val="FF0000"/>
          <w:sz w:val="20"/>
          <w:szCs w:val="20"/>
          <w:lang w:val="es-ES"/>
        </w:rPr>
      </w:pPr>
      <w:r>
        <w:rPr>
          <w:rFonts w:cs="Arial" w:ascii="Bookman Old Style" w:hAnsi="Bookman Old Style"/>
          <w:bCs/>
          <w:i/>
          <w:iCs/>
          <w:color w:val="FF0000"/>
          <w:sz w:val="20"/>
          <w:szCs w:val="20"/>
          <w:lang w:val="es-ES"/>
        </w:rPr>
      </w:r>
    </w:p>
    <w:p>
      <w:pPr>
        <w:pStyle w:val="Normal1"/>
        <w:widowControl w:val="false"/>
        <w:rPr>
          <w:rFonts w:ascii="Bookman Old Style" w:hAnsi="Bookman Old Style" w:eastAsia="Book Antiqua"/>
          <w:bCs/>
          <w:i/>
          <w:i/>
          <w:iCs/>
          <w:sz w:val="20"/>
          <w:szCs w:val="20"/>
        </w:rPr>
      </w:pPr>
      <w:r>
        <w:rPr>
          <w:rFonts w:eastAsia="Book Antiqua" w:ascii="Bookman Old Style" w:hAnsi="Bookman Old Style"/>
          <w:bCs/>
          <w:i/>
          <w:iCs/>
          <w:sz w:val="20"/>
          <w:szCs w:val="20"/>
        </w:rPr>
        <w:tab/>
        <w:t xml:space="preserve">Atentamente, </w:t>
      </w:r>
    </w:p>
    <w:p>
      <w:pPr>
        <w:pStyle w:val="Normal1"/>
        <w:widowControl w:val="false"/>
        <w:rPr>
          <w:rFonts w:ascii="Bookman Old Style" w:hAnsi="Bookman Old Style" w:eastAsia="Book Antiqua"/>
          <w:bCs/>
          <w:i/>
          <w:i/>
          <w:iCs/>
          <w:sz w:val="20"/>
          <w:szCs w:val="20"/>
        </w:rPr>
      </w:pPr>
      <w:r>
        <w:rPr>
          <w:rFonts w:eastAsia="Book Antiqua" w:ascii="Bookman Old Style" w:hAnsi="Bookman Old Style"/>
          <w:bCs/>
          <w:i/>
          <w:iCs/>
          <w:sz w:val="20"/>
          <w:szCs w:val="20"/>
        </w:rPr>
      </w:r>
    </w:p>
    <w:p>
      <w:pPr>
        <w:pStyle w:val="Normal1"/>
        <w:widowControl w:val="false"/>
        <w:rPr>
          <w:rFonts w:ascii="Bookman Old Style" w:hAnsi="Bookman Old Style" w:eastAsia="Book Antiqua"/>
          <w:bCs/>
          <w:i/>
          <w:i/>
          <w:iCs/>
          <w:sz w:val="20"/>
          <w:szCs w:val="20"/>
        </w:rPr>
      </w:pPr>
      <w:r>
        <w:rPr>
          <w:rFonts w:eastAsia="Book Antiqua" w:ascii="Bookman Old Style" w:hAnsi="Bookman Old Style"/>
          <w:bCs/>
          <w:i/>
          <w:iCs/>
          <w:sz w:val="20"/>
          <w:szCs w:val="20"/>
        </w:rPr>
      </w:r>
    </w:p>
    <w:p>
      <w:pPr>
        <w:pStyle w:val="Normal1"/>
        <w:widowControl w:val="false"/>
        <w:jc w:val="center"/>
        <w:rPr>
          <w:rFonts w:ascii="Bookman Old Style" w:hAnsi="Bookman Old Style" w:eastAsia="Book Antiqua"/>
          <w:bCs/>
          <w:i/>
          <w:i/>
          <w:iCs/>
          <w:sz w:val="20"/>
          <w:szCs w:val="20"/>
        </w:rPr>
      </w:pPr>
      <w:r>
        <w:rPr>
          <w:rFonts w:eastAsia="Book Antiqua" w:ascii="Bookman Old Style" w:hAnsi="Bookman Old Style"/>
          <w:bCs/>
          <w:i/>
          <w:iCs/>
          <w:sz w:val="20"/>
          <w:szCs w:val="20"/>
        </w:rPr>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t>Magistrado Jorge Olaso Alvarez</w:t>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t>Coordinador Comisión de Acceso a la Justicia</w:t>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t>Magistrada Damaris Vargas Vásquez</w:t>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t>Coordinadora Subcomisión de Acceso a la Justicia de Pueblos Indígenas</w:t>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r>
    </w:p>
    <w:p>
      <w:pPr>
        <w:pStyle w:val="Normal1"/>
        <w:widowControl w:val="false"/>
        <w:jc w:val="center"/>
        <w:rPr>
          <w:rFonts w:ascii="Bookman Old Style" w:hAnsi="Bookman Old Style" w:eastAsia="Book Antiqua"/>
          <w:b/>
          <w:b/>
          <w:bCs/>
          <w:i/>
          <w:i/>
          <w:iCs/>
          <w:color w:val="FF0000"/>
          <w:sz w:val="20"/>
          <w:szCs w:val="20"/>
        </w:rPr>
      </w:pPr>
      <w:r>
        <w:rPr>
          <w:rFonts w:eastAsia="Book Antiqua" w:ascii="Bookman Old Style" w:hAnsi="Bookman Old Style"/>
          <w:b/>
          <w:bCs/>
          <w:i/>
          <w:iCs/>
          <w:color w:val="FF0000"/>
          <w:sz w:val="20"/>
          <w:szCs w:val="20"/>
        </w:rPr>
      </w:r>
    </w:p>
    <w:p>
      <w:pPr>
        <w:pStyle w:val="Normal1"/>
        <w:widowControl w:val="false"/>
        <w:jc w:val="center"/>
        <w:rPr>
          <w:rFonts w:ascii="Bookman Old Style" w:hAnsi="Bookman Old Style" w:eastAsia="Book Antiqua"/>
          <w:b/>
          <w:b/>
          <w:bCs/>
          <w:i/>
          <w:i/>
          <w:iCs/>
          <w:sz w:val="20"/>
          <w:szCs w:val="20"/>
        </w:rPr>
      </w:pPr>
      <w:r>
        <w:rPr>
          <w:rFonts w:eastAsia="Book Antiqua" w:ascii="Bookman Old Style" w:hAnsi="Bookman Old Style"/>
          <w:b/>
          <w:bCs/>
          <w:i/>
          <w:iCs/>
          <w:sz w:val="20"/>
          <w:szCs w:val="20"/>
        </w:rPr>
        <w:t>Máster Melissa Benavides Víquez</w:t>
      </w:r>
    </w:p>
    <w:p>
      <w:pPr>
        <w:pStyle w:val="Normal1"/>
        <w:widowControl w:val="false"/>
        <w:jc w:val="center"/>
        <w:rPr>
          <w:rFonts w:ascii="Bookman Old Style" w:hAnsi="Bookman Old Style" w:eastAsia="Book Antiqua"/>
          <w:i/>
          <w:i/>
          <w:iCs/>
          <w:sz w:val="20"/>
          <w:szCs w:val="20"/>
        </w:rPr>
      </w:pPr>
      <w:r>
        <w:rPr>
          <w:rFonts w:eastAsia="Book Antiqua" w:ascii="Bookman Old Style" w:hAnsi="Bookman Old Style"/>
          <w:b/>
          <w:bCs/>
          <w:i/>
          <w:iCs/>
          <w:sz w:val="20"/>
          <w:szCs w:val="20"/>
        </w:rPr>
        <w:t xml:space="preserve">Coordinadora Unidad de Acceso a la Justicia                            </w:t>
      </w:r>
    </w:p>
    <w:p>
      <w:pPr>
        <w:pStyle w:val="Normal"/>
        <w:spacing w:lineRule="auto" w:line="360"/>
        <w:jc w:val="center"/>
        <w:rPr>
          <w:rFonts w:ascii="Bookman Old Style" w:hAnsi="Bookman Old Style" w:cs="Tahoma"/>
          <w:b/>
          <w:b/>
          <w:i/>
          <w:i/>
          <w:iCs/>
          <w:color w:val="000000" w:themeColor="text1"/>
          <w:sz w:val="20"/>
          <w:szCs w:val="20"/>
          <w:u w:val="single"/>
        </w:rPr>
      </w:pPr>
      <w:r>
        <w:rPr>
          <w:rFonts w:cs="Tahoma" w:ascii="Bookman Old Style" w:hAnsi="Bookman Old Style"/>
          <w:b/>
          <w:i/>
          <w:iCs/>
          <w:color w:val="000000" w:themeColor="text1"/>
          <w:sz w:val="20"/>
          <w:szCs w:val="20"/>
          <w:u w:val="single"/>
        </w:rPr>
      </w:r>
    </w:p>
    <w:p>
      <w:pPr>
        <w:pStyle w:val="Normal"/>
        <w:spacing w:lineRule="auto" w:line="360"/>
        <w:jc w:val="center"/>
        <w:rPr>
          <w:rFonts w:ascii="Bookman Old Style" w:hAnsi="Bookman Old Style" w:cs="Tahoma"/>
          <w:bCs/>
          <w:i/>
          <w:i/>
          <w:iCs/>
          <w:color w:val="000000" w:themeColor="text1"/>
          <w:sz w:val="20"/>
          <w:szCs w:val="20"/>
        </w:rPr>
      </w:pPr>
      <w:r>
        <w:rPr>
          <w:rFonts w:cs="Tahoma" w:ascii="Bookman Old Style" w:hAnsi="Bookman Old Style"/>
          <w:bCs/>
          <w:i/>
          <w:iCs/>
          <w:color w:val="000000" w:themeColor="text1"/>
          <w:sz w:val="20"/>
          <w:szCs w:val="20"/>
        </w:rPr>
        <w:t>-0-</w:t>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bCs/>
          <w:iCs/>
          <w:sz w:val="20"/>
          <w:szCs w:val="20"/>
        </w:rPr>
      </w:pPr>
      <w:r>
        <w:rPr>
          <w:rFonts w:cs="Tahoma" w:ascii="Bookman Old Style" w:hAnsi="Bookman Old Style"/>
          <w:bCs/>
          <w:iCs/>
          <w:sz w:val="20"/>
          <w:szCs w:val="20"/>
        </w:rPr>
        <w:t>En correo electrónico de data 20 de abril de 2020 se hizo de conocimiento de las personas integrantes de la Subcomisión el Oficio N° CACC-116 enviado a la Dirección de Planificación como respuesta del Oficio N° 507-RH-MI-2020.</w:t>
      </w:r>
    </w:p>
    <w:p>
      <w:pPr>
        <w:pStyle w:val="Normal"/>
        <w:spacing w:lineRule="auto" w:line="360"/>
        <w:jc w:val="center"/>
        <w:rPr>
          <w:rFonts w:ascii="Bookman Old Style" w:hAnsi="Bookman Old Style" w:cs="Arial"/>
          <w:b/>
          <w:b/>
          <w:bCs/>
          <w:color w:val="323130"/>
          <w:sz w:val="20"/>
          <w:szCs w:val="20"/>
          <w:lang w:val="fr-FR"/>
        </w:rPr>
      </w:pPr>
      <w:r>
        <w:rPr>
          <w:rFonts w:cs="Arial" w:ascii="Bookman Old Style" w:hAnsi="Bookman Old Style"/>
          <w:b/>
          <w:bCs/>
          <w:color w:val="323130"/>
          <w:sz w:val="20"/>
          <w:szCs w:val="20"/>
          <w:lang w:val="fr-FR"/>
        </w:rPr>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w:t>
      </w:r>
    </w:p>
    <w:p>
      <w:pPr>
        <w:pStyle w:val="Normal"/>
        <w:jc w:val="both"/>
        <w:rPr>
          <w:rFonts w:ascii="Bookman Old Style" w:hAnsi="Bookman Old Style"/>
          <w:sz w:val="20"/>
          <w:szCs w:val="20"/>
        </w:rPr>
      </w:pPr>
      <w:r>
        <w:rPr>
          <w:rFonts w:ascii="Bookman Old Style" w:hAnsi="Bookman Old Style"/>
          <w:sz w:val="20"/>
          <w:szCs w:val="20"/>
        </w:rPr>
        <w:t xml:space="preserve">Se conoce del acuerdo tomado por el Consejo Superior del Poder Judicial, en sesión extraordinaria </w:t>
      </w:r>
      <w:r>
        <w:rPr>
          <w:rFonts w:ascii="Bookman Old Style" w:hAnsi="Bookman Old Style"/>
          <w:b/>
          <w:bCs/>
          <w:sz w:val="20"/>
          <w:szCs w:val="20"/>
        </w:rPr>
        <w:t xml:space="preserve">N° 38-2020 </w:t>
      </w:r>
      <w:r>
        <w:rPr>
          <w:rFonts w:ascii="Bookman Old Style" w:hAnsi="Bookman Old Style"/>
          <w:bCs/>
          <w:sz w:val="20"/>
          <w:szCs w:val="20"/>
        </w:rPr>
        <w:t>c</w:t>
      </w:r>
      <w:r>
        <w:rPr>
          <w:rFonts w:ascii="Bookman Old Style" w:hAnsi="Bookman Old Style"/>
          <w:sz w:val="20"/>
          <w:szCs w:val="20"/>
        </w:rPr>
        <w:t xml:space="preserve">elebrada el </w:t>
      </w:r>
      <w:r>
        <w:rPr>
          <w:rFonts w:ascii="Bookman Old Style" w:hAnsi="Bookman Old Style"/>
          <w:b/>
          <w:sz w:val="20"/>
          <w:szCs w:val="20"/>
        </w:rPr>
        <w:t xml:space="preserve">17 de abril </w:t>
      </w:r>
      <w:r>
        <w:rPr>
          <w:rFonts w:ascii="Bookman Old Style" w:hAnsi="Bookman Old Style"/>
          <w:b/>
          <w:bCs/>
          <w:sz w:val="20"/>
          <w:szCs w:val="20"/>
        </w:rPr>
        <w:t>del 2020,</w:t>
      </w:r>
      <w:r>
        <w:rPr>
          <w:rFonts w:ascii="Bookman Old Style" w:hAnsi="Bookman Old Style"/>
          <w:sz w:val="20"/>
          <w:szCs w:val="20"/>
        </w:rPr>
        <w:t xml:space="preserve"> Artículo VIII, comunicado mediante Oficio N° 3906-2020, que literalmente dice:</w:t>
      </w:r>
    </w:p>
    <w:p>
      <w:pPr>
        <w:pStyle w:val="Normal"/>
        <w:jc w:val="both"/>
        <w:rPr>
          <w:rFonts w:ascii="Bookman Old Style" w:hAnsi="Bookman Old Style"/>
          <w:sz w:val="20"/>
          <w:szCs w:val="20"/>
        </w:rPr>
      </w:pPr>
      <w:r>
        <w:rPr>
          <w:rFonts w:ascii="Bookman Old Style" w:hAnsi="Bookman Old Style"/>
          <w:sz w:val="20"/>
          <w:szCs w:val="20"/>
        </w:rPr>
      </w:r>
    </w:p>
    <w:p>
      <w:pPr>
        <w:pStyle w:val="Normal"/>
        <w:ind w:firstLine="15"/>
        <w:jc w:val="both"/>
        <w:rPr>
          <w:rFonts w:ascii="Bookman Old Style" w:hAnsi="Bookman Old Style"/>
          <w:sz w:val="20"/>
          <w:szCs w:val="20"/>
        </w:rPr>
      </w:pPr>
      <w:r>
        <w:rPr>
          <w:rFonts w:ascii="Bookman Old Style" w:hAnsi="Bookman Old Style"/>
          <w:sz w:val="20"/>
          <w:szCs w:val="20"/>
        </w:rPr>
      </w:r>
    </w:p>
    <w:p>
      <w:pPr>
        <w:pStyle w:val="Normal"/>
        <w:tabs>
          <w:tab w:val="clear" w:pos="708"/>
          <w:tab w:val="left" w:pos="3643" w:leader="none"/>
        </w:tabs>
        <w:jc w:val="center"/>
        <w:rPr>
          <w:rFonts w:ascii="Bookman Old Style" w:hAnsi="Bookman Old Style"/>
          <w:b/>
          <w:b/>
          <w:bCs/>
          <w:color w:val="FF0000"/>
          <w:sz w:val="20"/>
          <w:szCs w:val="20"/>
          <w:u w:val="single"/>
        </w:rPr>
      </w:pPr>
      <w:r>
        <w:rPr>
          <w:rFonts w:ascii="Bookman Old Style" w:hAnsi="Bookman Old Style"/>
          <w:b/>
          <w:bCs/>
          <w:sz w:val="20"/>
          <w:szCs w:val="20"/>
        </w:rPr>
        <w:t>“</w:t>
      </w:r>
      <w:r>
        <w:rPr>
          <w:rFonts w:ascii="Bookman Old Style" w:hAnsi="Bookman Old Style"/>
          <w:b/>
          <w:bCs/>
          <w:sz w:val="20"/>
          <w:szCs w:val="20"/>
          <w:u w:val="single"/>
        </w:rPr>
        <w:t>ARTÍCULO VIII</w:t>
      </w:r>
    </w:p>
    <w:p>
      <w:pPr>
        <w:pStyle w:val="Normal"/>
        <w:rPr>
          <w:rFonts w:ascii="Bookman Old Style" w:hAnsi="Bookman Old Style"/>
          <w:b/>
          <w:b/>
          <w:bCs/>
          <w:color w:val="FF0000"/>
          <w:sz w:val="20"/>
          <w:szCs w:val="20"/>
        </w:rPr>
      </w:pPr>
      <w:r>
        <w:rPr>
          <w:rFonts w:ascii="Bookman Old Style" w:hAnsi="Bookman Old Style"/>
          <w:b/>
          <w:bCs/>
          <w:color w:val="FF0000"/>
          <w:sz w:val="20"/>
          <w:szCs w:val="20"/>
        </w:rPr>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Ttulo7"/>
        <w:keepLines w:val="false"/>
        <w:widowControl w:val="false"/>
        <w:numPr>
          <w:ilvl w:val="0"/>
          <w:numId w:val="0"/>
        </w:numPr>
        <w:tabs>
          <w:tab w:val="clear" w:pos="708"/>
          <w:tab w:val="left" w:pos="4280" w:leader="none"/>
        </w:tabs>
        <w:suppressAutoHyphens w:val="true"/>
        <w:spacing w:before="0" w:after="0"/>
        <w:ind w:left="4248" w:hanging="0"/>
        <w:jc w:val="both"/>
        <w:rPr>
          <w:rFonts w:ascii="Bookman Old Style" w:hAnsi="Bookman Old Style"/>
          <w:bCs/>
          <w:sz w:val="20"/>
          <w:szCs w:val="20"/>
          <w:lang w:val="es-ES_tradnl"/>
        </w:rPr>
      </w:pPr>
      <w:r>
        <w:rPr>
          <w:rFonts w:ascii="Bookman Old Style" w:hAnsi="Bookman Old Style"/>
          <w:sz w:val="20"/>
          <w:szCs w:val="20"/>
          <w:lang w:val="es-ES_tradnl"/>
        </w:rPr>
        <w:t>San José, 27 de abril de 2020</w:t>
      </w:r>
    </w:p>
    <w:p>
      <w:pPr>
        <w:pStyle w:val="Ttulo7"/>
        <w:keepLines w:val="false"/>
        <w:widowControl w:val="false"/>
        <w:numPr>
          <w:ilvl w:val="0"/>
          <w:numId w:val="0"/>
        </w:numPr>
        <w:tabs>
          <w:tab w:val="clear" w:pos="708"/>
          <w:tab w:val="left" w:pos="4280" w:leader="none"/>
        </w:tabs>
        <w:suppressAutoHyphens w:val="true"/>
        <w:spacing w:before="0" w:after="0"/>
        <w:ind w:left="4248" w:hanging="0"/>
        <w:jc w:val="both"/>
        <w:rPr>
          <w:rFonts w:ascii="Bookman Old Style" w:hAnsi="Bookman Old Style"/>
          <w:sz w:val="20"/>
          <w:szCs w:val="20"/>
          <w:lang w:val="es-ES_tradnl"/>
        </w:rPr>
      </w:pPr>
      <w:r>
        <w:rPr>
          <w:rFonts w:ascii="Bookman Old Style" w:hAnsi="Bookman Old Style"/>
          <w:sz w:val="20"/>
          <w:szCs w:val="20"/>
          <w:lang w:val="es-ES_tradnl"/>
        </w:rPr>
        <w:t>N° 3906-2020</w:t>
      </w:r>
    </w:p>
    <w:p>
      <w:pPr>
        <w:pStyle w:val="Ttulo7"/>
        <w:keepLines w:val="false"/>
        <w:widowControl w:val="false"/>
        <w:numPr>
          <w:ilvl w:val="0"/>
          <w:numId w:val="0"/>
        </w:numPr>
        <w:tabs>
          <w:tab w:val="clear" w:pos="708"/>
          <w:tab w:val="left" w:pos="4280" w:leader="none"/>
        </w:tabs>
        <w:suppressAutoHyphens w:val="true"/>
        <w:spacing w:before="0" w:after="0"/>
        <w:ind w:left="4248" w:hanging="0"/>
        <w:jc w:val="both"/>
        <w:rPr>
          <w:rFonts w:ascii="Bookman Old Style" w:hAnsi="Bookman Old Style"/>
          <w:sz w:val="20"/>
          <w:szCs w:val="20"/>
        </w:rPr>
      </w:pPr>
      <w:r>
        <w:rPr>
          <w:rFonts w:ascii="Bookman Old Style" w:hAnsi="Bookman Old Style"/>
          <w:sz w:val="20"/>
          <w:szCs w:val="20"/>
        </w:rPr>
        <w:t>Al contestar refiérase a este # de oficio</w:t>
      </w:r>
    </w:p>
    <w:p>
      <w:pPr>
        <w:pStyle w:val="Normal"/>
        <w:snapToGrid w:val="false"/>
        <w:rPr>
          <w:rFonts w:ascii="Bookman Old Style" w:hAnsi="Bookman Old Style"/>
          <w:b/>
          <w:b/>
          <w:bCs/>
          <w:sz w:val="20"/>
          <w:szCs w:val="20"/>
        </w:rPr>
      </w:pPr>
      <w:r>
        <w:rPr>
          <w:rFonts w:ascii="Bookman Old Style" w:hAnsi="Bookman Old Style"/>
          <w:b/>
          <w:bCs/>
          <w:sz w:val="20"/>
          <w:szCs w:val="20"/>
        </w:rPr>
      </w:r>
    </w:p>
    <w:p>
      <w:pPr>
        <w:pStyle w:val="Normal"/>
        <w:snapToGrid w:val="false"/>
        <w:ind w:left="709" w:hanging="709"/>
        <w:rPr>
          <w:rFonts w:ascii="Bookman Old Style" w:hAnsi="Bookman Old Style"/>
          <w:bCs/>
          <w:sz w:val="20"/>
          <w:szCs w:val="20"/>
          <w:lang w:eastAsia="hi-IN"/>
        </w:rPr>
      </w:pPr>
      <w:r>
        <w:rPr>
          <w:rFonts w:ascii="Bookman Old Style" w:hAnsi="Bookman Old Style"/>
          <w:b/>
          <w:bCs/>
          <w:sz w:val="20"/>
          <w:szCs w:val="20"/>
        </w:rPr>
        <w:t>Señora</w:t>
      </w:r>
    </w:p>
    <w:p>
      <w:pPr>
        <w:pStyle w:val="Normal"/>
        <w:snapToGrid w:val="false"/>
        <w:ind w:left="709" w:hanging="709"/>
        <w:rPr>
          <w:rFonts w:ascii="Bookman Old Style" w:hAnsi="Bookman Old Style"/>
          <w:b/>
          <w:b/>
          <w:bCs/>
          <w:sz w:val="20"/>
          <w:szCs w:val="20"/>
        </w:rPr>
      </w:pPr>
      <w:r>
        <w:rPr>
          <w:rFonts w:ascii="Bookman Old Style" w:hAnsi="Bookman Old Style"/>
          <w:b/>
          <w:bCs/>
          <w:sz w:val="20"/>
          <w:szCs w:val="20"/>
        </w:rPr>
        <w:t>Licda. Nacira Valverde Bermúdez</w:t>
      </w:r>
    </w:p>
    <w:p>
      <w:pPr>
        <w:pStyle w:val="Normal"/>
        <w:snapToGrid w:val="false"/>
        <w:ind w:left="709" w:hanging="709"/>
        <w:rPr>
          <w:rFonts w:ascii="Bookman Old Style" w:hAnsi="Bookman Old Style"/>
          <w:b/>
          <w:b/>
          <w:bCs/>
          <w:sz w:val="20"/>
          <w:szCs w:val="20"/>
        </w:rPr>
      </w:pPr>
      <w:r>
        <w:rPr>
          <w:rFonts w:ascii="Bookman Old Style" w:hAnsi="Bookman Old Style"/>
          <w:b/>
          <w:bCs/>
          <w:sz w:val="20"/>
          <w:szCs w:val="20"/>
        </w:rPr>
        <w:t>Directora de Planificación</w:t>
      </w:r>
    </w:p>
    <w:p>
      <w:pPr>
        <w:pStyle w:val="Normal"/>
        <w:ind w:left="709" w:hanging="709"/>
        <w:rPr>
          <w:rFonts w:ascii="Bookman Old Style" w:hAnsi="Bookman Old Style" w:eastAsia="Arial Unicode MS"/>
          <w:b/>
          <w:b/>
          <w:bCs/>
          <w:sz w:val="20"/>
          <w:szCs w:val="20"/>
        </w:rPr>
      </w:pPr>
      <w:r>
        <w:rPr>
          <w:rFonts w:eastAsia="Arial Unicode MS" w:ascii="Bookman Old Style" w:hAnsi="Bookman Old Style"/>
          <w:b/>
          <w:bCs/>
          <w:sz w:val="20"/>
          <w:szCs w:val="20"/>
        </w:rPr>
      </w:r>
    </w:p>
    <w:p>
      <w:pPr>
        <w:pStyle w:val="Normal"/>
        <w:snapToGrid w:val="false"/>
        <w:rPr>
          <w:rFonts w:ascii="Bookman Old Style" w:hAnsi="Bookman Old Style"/>
          <w:b/>
          <w:b/>
          <w:bCs/>
          <w:sz w:val="20"/>
          <w:szCs w:val="20"/>
        </w:rPr>
      </w:pPr>
      <w:r>
        <w:rPr>
          <w:rFonts w:ascii="Bookman Old Style" w:hAnsi="Bookman Old Style"/>
          <w:b/>
          <w:bCs/>
          <w:sz w:val="20"/>
          <w:szCs w:val="20"/>
        </w:rPr>
        <w:t>Estimada señora:</w:t>
      </w:r>
    </w:p>
    <w:p>
      <w:pPr>
        <w:pStyle w:val="Normal"/>
        <w:jc w:val="both"/>
        <w:rPr>
          <w:rFonts w:ascii="Bookman Old Style" w:hAnsi="Bookman Old Style"/>
          <w:b/>
          <w:b/>
          <w:bCs/>
          <w:sz w:val="20"/>
          <w:szCs w:val="20"/>
        </w:rPr>
      </w:pPr>
      <w:r>
        <w:rPr>
          <w:rFonts w:ascii="Bookman Old Style" w:hAnsi="Bookman Old Style"/>
          <w:b/>
          <w:bCs/>
          <w:sz w:val="20"/>
          <w:szCs w:val="20"/>
        </w:rPr>
      </w:r>
    </w:p>
    <w:p>
      <w:pPr>
        <w:pStyle w:val="Normal"/>
        <w:ind w:firstLine="708"/>
        <w:jc w:val="both"/>
        <w:rPr>
          <w:rFonts w:ascii="Bookman Old Style" w:hAnsi="Bookman Old Style"/>
          <w:sz w:val="20"/>
          <w:szCs w:val="20"/>
        </w:rPr>
      </w:pPr>
      <w:r>
        <w:rPr>
          <w:rFonts w:ascii="Bookman Old Style" w:hAnsi="Bookman Old Style"/>
          <w:sz w:val="20"/>
          <w:szCs w:val="20"/>
        </w:rPr>
        <w:t xml:space="preserve">Para su estimable conocimiento y fines consiguientes, le transcribo el acuerdo tomado por el Consejo Superior del Poder Judicial, en sesión extraordinaria </w:t>
      </w:r>
      <w:r>
        <w:rPr>
          <w:rFonts w:ascii="Bookman Old Style" w:hAnsi="Bookman Old Style"/>
          <w:b/>
          <w:bCs/>
          <w:sz w:val="20"/>
          <w:szCs w:val="20"/>
        </w:rPr>
        <w:t xml:space="preserve">N° 38-2020 </w:t>
      </w:r>
      <w:r>
        <w:rPr>
          <w:rFonts w:ascii="Bookman Old Style" w:hAnsi="Bookman Old Style"/>
          <w:bCs/>
          <w:sz w:val="20"/>
          <w:szCs w:val="20"/>
        </w:rPr>
        <w:t>c</w:t>
      </w:r>
      <w:r>
        <w:rPr>
          <w:rFonts w:ascii="Bookman Old Style" w:hAnsi="Bookman Old Style"/>
          <w:sz w:val="20"/>
          <w:szCs w:val="20"/>
        </w:rPr>
        <w:t xml:space="preserve">elebrada el </w:t>
      </w:r>
      <w:r>
        <w:rPr>
          <w:rFonts w:ascii="Bookman Old Style" w:hAnsi="Bookman Old Style"/>
          <w:b/>
          <w:sz w:val="20"/>
          <w:szCs w:val="20"/>
        </w:rPr>
        <w:t xml:space="preserve">17 de abril </w:t>
      </w:r>
      <w:r>
        <w:rPr>
          <w:rFonts w:ascii="Bookman Old Style" w:hAnsi="Bookman Old Style"/>
          <w:b/>
          <w:bCs/>
          <w:sz w:val="20"/>
          <w:szCs w:val="20"/>
        </w:rPr>
        <w:t>del 2020,</w:t>
      </w:r>
      <w:r>
        <w:rPr>
          <w:rFonts w:ascii="Bookman Old Style" w:hAnsi="Bookman Old Style"/>
          <w:sz w:val="20"/>
          <w:szCs w:val="20"/>
        </w:rPr>
        <w:t xml:space="preserve"> que literalmente dice:</w:t>
      </w:r>
    </w:p>
    <w:p>
      <w:pPr>
        <w:pStyle w:val="Normal"/>
        <w:ind w:firstLine="15"/>
        <w:jc w:val="both"/>
        <w:rPr>
          <w:rFonts w:ascii="Bookman Old Style" w:hAnsi="Bookman Old Style"/>
          <w:sz w:val="20"/>
          <w:szCs w:val="20"/>
        </w:rPr>
      </w:pPr>
      <w:r>
        <w:rPr>
          <w:rFonts w:ascii="Bookman Old Style" w:hAnsi="Bookman Old Style"/>
          <w:sz w:val="20"/>
          <w:szCs w:val="20"/>
        </w:rPr>
      </w:r>
    </w:p>
    <w:p>
      <w:pPr>
        <w:pStyle w:val="Normal"/>
        <w:tabs>
          <w:tab w:val="clear" w:pos="708"/>
          <w:tab w:val="left" w:pos="3643" w:leader="none"/>
        </w:tabs>
        <w:jc w:val="center"/>
        <w:rPr>
          <w:rFonts w:ascii="Bookman Old Style" w:hAnsi="Bookman Old Style"/>
          <w:b/>
          <w:b/>
          <w:bCs/>
          <w:color w:val="FF0000"/>
          <w:sz w:val="20"/>
          <w:szCs w:val="20"/>
          <w:u w:val="single"/>
        </w:rPr>
      </w:pPr>
      <w:r>
        <w:rPr>
          <w:rFonts w:ascii="Bookman Old Style" w:hAnsi="Bookman Old Style"/>
          <w:b/>
          <w:bCs/>
          <w:sz w:val="20"/>
          <w:szCs w:val="20"/>
        </w:rPr>
        <w:t>“</w:t>
      </w:r>
      <w:r>
        <w:rPr>
          <w:rFonts w:ascii="Bookman Old Style" w:hAnsi="Bookman Old Style"/>
          <w:b/>
          <w:bCs/>
          <w:sz w:val="20"/>
          <w:szCs w:val="20"/>
          <w:u w:val="single"/>
        </w:rPr>
        <w:t>ARTÍCULO VIII</w:t>
      </w:r>
    </w:p>
    <w:p>
      <w:pPr>
        <w:pStyle w:val="Normal"/>
        <w:rPr>
          <w:rFonts w:ascii="Bookman Old Style" w:hAnsi="Bookman Old Style"/>
          <w:b/>
          <w:b/>
          <w:bCs/>
          <w:color w:val="FF0000"/>
          <w:sz w:val="20"/>
          <w:szCs w:val="20"/>
        </w:rPr>
      </w:pPr>
      <w:r>
        <w:rPr>
          <w:rFonts w:ascii="Bookman Old Style" w:hAnsi="Bookman Old Style"/>
          <w:b/>
          <w:bCs/>
          <w:color w:val="FF0000"/>
          <w:sz w:val="20"/>
          <w:szCs w:val="20"/>
        </w:rPr>
      </w:r>
    </w:p>
    <w:p>
      <w:pPr>
        <w:pStyle w:val="Normal"/>
        <w:rPr>
          <w:rFonts w:ascii="Bookman Old Style" w:hAnsi="Bookman Old Style"/>
          <w:b/>
          <w:b/>
          <w:bCs/>
          <w:sz w:val="20"/>
          <w:szCs w:val="20"/>
        </w:rPr>
      </w:pPr>
      <w:r>
        <w:rPr>
          <w:rFonts w:ascii="Bookman Old Style" w:hAnsi="Bookman Old Style"/>
          <w:b/>
          <w:bCs/>
          <w:sz w:val="20"/>
          <w:szCs w:val="20"/>
        </w:rPr>
        <w:t>DOCUMENTO N°</w:t>
      </w:r>
      <w:r>
        <w:rPr>
          <w:rFonts w:ascii="Bookman Old Style" w:hAnsi="Bookman Old Style"/>
          <w:sz w:val="20"/>
          <w:szCs w:val="20"/>
        </w:rPr>
        <w:t xml:space="preserve"> </w:t>
      </w:r>
      <w:r>
        <w:rPr>
          <w:rFonts w:ascii="Bookman Old Style" w:hAnsi="Bookman Old Style"/>
          <w:b/>
          <w:bCs/>
          <w:sz w:val="20"/>
          <w:szCs w:val="20"/>
        </w:rPr>
        <w:t>4548-2020</w:t>
      </w:r>
    </w:p>
    <w:p>
      <w:pPr>
        <w:pStyle w:val="Normal"/>
        <w:rPr>
          <w:rFonts w:ascii="Bookman Old Style" w:hAnsi="Bookman Old Style"/>
          <w:b/>
          <w:b/>
          <w:bCs/>
          <w:sz w:val="20"/>
          <w:szCs w:val="20"/>
        </w:rPr>
      </w:pPr>
      <w:r>
        <w:rPr>
          <w:rFonts w:ascii="Bookman Old Style" w:hAnsi="Bookman Old Style"/>
          <w:b/>
          <w:bCs/>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 xml:space="preserve">La Licenciada Nacira Valverde Bermúdez, Directora de Planificación, presentó en la sesión del pasado 27 de marzo de 2020, la información concerniente a la formulación presupuestaria para el 2021 de la </w:t>
      </w:r>
      <w:r>
        <w:rPr>
          <w:rFonts w:ascii="Bookman Old Style" w:hAnsi="Bookman Old Style"/>
          <w:b/>
          <w:bCs/>
          <w:sz w:val="20"/>
          <w:szCs w:val="20"/>
        </w:rPr>
        <w:t>Subpartida 20203 Alimentos y Bebidas</w:t>
      </w:r>
      <w:r>
        <w:rPr>
          <w:rFonts w:ascii="Bookman Old Style" w:hAnsi="Bookman Old Style"/>
          <w:sz w:val="20"/>
          <w:szCs w:val="20"/>
        </w:rPr>
        <w:t xml:space="preserve">.   </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Ttulo3"/>
        <w:keepNext w:val="false"/>
        <w:spacing w:before="0" w:after="0"/>
        <w:ind w:firstLine="709"/>
        <w:rPr>
          <w:rFonts w:ascii="Bookman Old Style" w:hAnsi="Bookman Old Style" w:cs="Times New Roman"/>
          <w:sz w:val="20"/>
          <w:szCs w:val="20"/>
        </w:rPr>
      </w:pPr>
      <w:r>
        <w:rPr>
          <w:rFonts w:cs="Times New Roman" w:ascii="Bookman Old Style" w:hAnsi="Bookman Old Style"/>
          <w:sz w:val="20"/>
          <w:szCs w:val="20"/>
        </w:rPr>
        <w:t>Comportamiento histórico de la subpartida</w:t>
      </w:r>
    </w:p>
    <w:p>
      <w:pPr>
        <w:pStyle w:val="Normal"/>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eastAsia="" w:eastAsiaTheme="majorEastAsia"/>
          <w:b/>
          <w:b/>
          <w:bCs/>
          <w:sz w:val="20"/>
          <w:szCs w:val="20"/>
        </w:rPr>
      </w:pPr>
      <w:r>
        <w:rPr>
          <w:rFonts w:eastAsia="" w:ascii="Bookman Old Style" w:hAnsi="Bookman Old Style" w:eastAsiaTheme="majorEastAsia"/>
          <w:b/>
          <w:bCs/>
          <w:sz w:val="20"/>
          <w:szCs w:val="20"/>
        </w:rPr>
        <w:t>Tabla 1. Detalle del comportamiento histórico de la subpartida 20203 Alimentos y bebidas. Periodo 2017 – 2021.</w:t>
      </w:r>
    </w:p>
    <w:p>
      <w:pPr>
        <w:pStyle w:val="Normal"/>
        <w:jc w:val="both"/>
        <w:rPr>
          <w:rFonts w:ascii="Bookman Old Style" w:hAnsi="Bookman Old Style" w:eastAsia="" w:eastAsiaTheme="majorEastAsia"/>
          <w:b/>
          <w:b/>
          <w:bCs/>
          <w:sz w:val="20"/>
          <w:szCs w:val="20"/>
        </w:rPr>
      </w:pPr>
      <w:r>
        <w:rPr>
          <w:rFonts w:eastAsia="" w:eastAsiaTheme="majorEastAsia" w:ascii="Bookman Old Style" w:hAnsi="Bookman Old Style"/>
          <w:b/>
          <w:bCs/>
          <w:sz w:val="20"/>
          <w:szCs w:val="20"/>
        </w:rPr>
      </w:r>
    </w:p>
    <w:tbl>
      <w:tblPr>
        <w:tblW w:w="82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17"/>
        <w:gridCol w:w="1323"/>
        <w:gridCol w:w="1302"/>
        <w:gridCol w:w="1300"/>
        <w:gridCol w:w="1301"/>
        <w:gridCol w:w="1607"/>
      </w:tblGrid>
      <w:tr>
        <w:trPr>
          <w:trHeight w:val="295" w:hRule="atLeast"/>
        </w:trPr>
        <w:tc>
          <w:tcPr>
            <w:tcW w:w="1417" w:type="dxa"/>
            <w:tcBorders>
              <w:top w:val="single" w:sz="4" w:space="0" w:color="1F4E78"/>
              <w:bottom w:val="single" w:sz="4" w:space="0" w:color="1F4E78"/>
            </w:tcBorders>
            <w:shd w:color="D9E1F2" w:fill="F2F2F2" w:val="clear"/>
            <w:vAlign w:val="center"/>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 </w:t>
            </w:r>
          </w:p>
        </w:tc>
        <w:tc>
          <w:tcPr>
            <w:tcW w:w="1323" w:type="dxa"/>
            <w:tcBorders>
              <w:top w:val="single" w:sz="4" w:space="0" w:color="1F4E78"/>
              <w:bottom w:val="single" w:sz="4" w:space="0" w:color="1F4E78"/>
            </w:tcBorders>
            <w:shd w:color="D9E1F2" w:fill="F2F2F2" w:val="clear"/>
            <w:vAlign w:val="center"/>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2017</w:t>
            </w:r>
          </w:p>
        </w:tc>
        <w:tc>
          <w:tcPr>
            <w:tcW w:w="1302" w:type="dxa"/>
            <w:tcBorders>
              <w:top w:val="single" w:sz="4" w:space="0" w:color="1F4E78"/>
              <w:bottom w:val="single" w:sz="4" w:space="0" w:color="1F4E78"/>
            </w:tcBorders>
            <w:shd w:color="D9E1F2" w:fill="F2F2F2" w:val="clear"/>
            <w:vAlign w:val="center"/>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2018</w:t>
            </w:r>
          </w:p>
        </w:tc>
        <w:tc>
          <w:tcPr>
            <w:tcW w:w="1300" w:type="dxa"/>
            <w:tcBorders>
              <w:top w:val="single" w:sz="4" w:space="0" w:color="1F4E78"/>
              <w:bottom w:val="single" w:sz="4" w:space="0" w:color="1F4E78"/>
            </w:tcBorders>
            <w:shd w:color="D9E1F2" w:fill="F2F2F2" w:val="clear"/>
            <w:vAlign w:val="center"/>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2019</w:t>
            </w:r>
          </w:p>
        </w:tc>
        <w:tc>
          <w:tcPr>
            <w:tcW w:w="1301" w:type="dxa"/>
            <w:tcBorders>
              <w:top w:val="single" w:sz="4" w:space="0" w:color="1F4E78"/>
              <w:bottom w:val="single" w:sz="4" w:space="0" w:color="1F4E78"/>
            </w:tcBorders>
            <w:shd w:color="D9E1F2" w:fill="F2F2F2" w:val="clear"/>
            <w:vAlign w:val="center"/>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2020</w:t>
            </w:r>
          </w:p>
        </w:tc>
        <w:tc>
          <w:tcPr>
            <w:tcW w:w="1607" w:type="dxa"/>
            <w:tcBorders>
              <w:top w:val="single" w:sz="4" w:space="0" w:color="1F4E78"/>
              <w:bottom w:val="single" w:sz="4" w:space="0" w:color="1F4E78"/>
            </w:tcBorders>
            <w:shd w:color="D9E1F2" w:fill="F2F2F2" w:val="clear"/>
            <w:vAlign w:val="center"/>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2021</w:t>
            </w:r>
          </w:p>
        </w:tc>
      </w:tr>
      <w:tr>
        <w:trPr>
          <w:trHeight w:val="295" w:hRule="atLeast"/>
        </w:trPr>
        <w:tc>
          <w:tcPr>
            <w:tcW w:w="1417"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Monto Formulado</w:t>
            </w:r>
          </w:p>
        </w:tc>
        <w:tc>
          <w:tcPr>
            <w:tcW w:w="1323" w:type="dxa"/>
            <w:tcBorders>
              <w:top w:val="single" w:sz="4" w:space="0" w:color="8EA9DB"/>
            </w:tcBorders>
            <w:shd w:color="D9E1F2"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484.302.851 </w:t>
            </w:r>
          </w:p>
        </w:tc>
        <w:tc>
          <w:tcPr>
            <w:tcW w:w="1302" w:type="dxa"/>
            <w:tcBorders>
              <w:top w:val="single" w:sz="4" w:space="0" w:color="8EA9DB"/>
            </w:tcBorders>
            <w:shd w:color="D9E1F2"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490.432.063 </w:t>
            </w:r>
          </w:p>
        </w:tc>
        <w:tc>
          <w:tcPr>
            <w:tcW w:w="1300" w:type="dxa"/>
            <w:tcBorders>
              <w:top w:val="single" w:sz="4" w:space="0" w:color="8EA9DB"/>
            </w:tcBorders>
            <w:shd w:color="D9E1F2"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569.632.194 </w:t>
            </w:r>
          </w:p>
        </w:tc>
        <w:tc>
          <w:tcPr>
            <w:tcW w:w="1301" w:type="dxa"/>
            <w:tcBorders>
              <w:top w:val="single" w:sz="4" w:space="0" w:color="8EA9DB"/>
            </w:tcBorders>
            <w:shd w:color="D9E1F2"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582.373.843 </w:t>
            </w:r>
          </w:p>
        </w:tc>
        <w:tc>
          <w:tcPr>
            <w:tcW w:w="1607" w:type="dxa"/>
            <w:tcBorders>
              <w:top w:val="single" w:sz="4" w:space="0" w:color="8EA9DB"/>
            </w:tcBorders>
            <w:shd w:color="D9E1F2"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613.869.873 </w:t>
            </w:r>
          </w:p>
        </w:tc>
      </w:tr>
      <w:tr>
        <w:trPr>
          <w:trHeight w:val="295" w:hRule="atLeast"/>
        </w:trPr>
        <w:tc>
          <w:tcPr>
            <w:tcW w:w="1417" w:type="dxa"/>
            <w:tcBorders>
              <w:bottom w:val="single" w:sz="4" w:space="0" w:color="1F4E78"/>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Variación</w:t>
            </w:r>
          </w:p>
        </w:tc>
        <w:tc>
          <w:tcPr>
            <w:tcW w:w="1323" w:type="dxa"/>
            <w:tcBorders>
              <w:bottom w:val="single" w:sz="4" w:space="0" w:color="1F4E78"/>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 </w:t>
            </w:r>
          </w:p>
        </w:tc>
        <w:tc>
          <w:tcPr>
            <w:tcW w:w="1302" w:type="dxa"/>
            <w:tcBorders>
              <w:bottom w:val="single" w:sz="4" w:space="0" w:color="1F4E78"/>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1.3%</w:t>
            </w:r>
          </w:p>
        </w:tc>
        <w:tc>
          <w:tcPr>
            <w:tcW w:w="1300" w:type="dxa"/>
            <w:tcBorders>
              <w:bottom w:val="single" w:sz="4" w:space="0" w:color="1F4E78"/>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16.1%</w:t>
            </w:r>
          </w:p>
        </w:tc>
        <w:tc>
          <w:tcPr>
            <w:tcW w:w="1301" w:type="dxa"/>
            <w:tcBorders>
              <w:bottom w:val="single" w:sz="4" w:space="0" w:color="1F4E78"/>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2.2%</w:t>
            </w:r>
          </w:p>
        </w:tc>
        <w:tc>
          <w:tcPr>
            <w:tcW w:w="1607" w:type="dxa"/>
            <w:tcBorders>
              <w:bottom w:val="single" w:sz="4" w:space="0" w:color="1F4E78"/>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5.4%</w:t>
            </w:r>
          </w:p>
        </w:tc>
      </w:tr>
    </w:tbl>
    <w:p>
      <w:pPr>
        <w:pStyle w:val="Normal"/>
        <w:jc w:val="center"/>
        <w:rPr>
          <w:rFonts w:ascii="Bookman Old Style" w:hAnsi="Bookman Old Style"/>
          <w:bCs/>
          <w:sz w:val="20"/>
          <w:szCs w:val="20"/>
        </w:rPr>
      </w:pPr>
      <w:r>
        <w:rPr>
          <w:rFonts w:ascii="Bookman Old Style" w:hAnsi="Bookman Old Style"/>
          <w:bCs/>
          <w:sz w:val="20"/>
          <w:szCs w:val="20"/>
        </w:rPr>
        <w:t>Fuente: SIGA PJ</w:t>
      </w:r>
    </w:p>
    <w:p>
      <w:pPr>
        <w:pStyle w:val="Normal"/>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 xml:space="preserve">De la tabla anterior, se puede observar que durante los periodos 2017 – 2021 el comportamiento de la subpartida ha presentado un crecimiento con porcentajes de variación del 1%, 16%, 2% y 5% respectivamente. </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jc w:val="center"/>
        <w:rPr>
          <w:rFonts w:ascii="Bookman Old Style" w:hAnsi="Bookman Old Style" w:eastAsia="" w:eastAsiaTheme="majorEastAsia"/>
          <w:b/>
          <w:b/>
          <w:bCs/>
          <w:sz w:val="20"/>
          <w:szCs w:val="20"/>
        </w:rPr>
      </w:pPr>
      <w:r>
        <w:rPr>
          <w:rFonts w:eastAsia="" w:ascii="Bookman Old Style" w:hAnsi="Bookman Old Style" w:eastAsiaTheme="majorEastAsia"/>
          <w:b/>
          <w:bCs/>
          <w:sz w:val="20"/>
          <w:szCs w:val="20"/>
        </w:rPr>
        <w:t>Figura N° 1. Formulación 2017 – 2021</w:t>
      </w:r>
    </w:p>
    <w:p>
      <w:pPr>
        <w:pStyle w:val="Normal"/>
        <w:jc w:val="both"/>
        <w:rPr>
          <w:rFonts w:ascii="Bookman Old Style" w:hAnsi="Bookman Old Style"/>
          <w:sz w:val="20"/>
          <w:szCs w:val="20"/>
        </w:rPr>
      </w:pPr>
      <w:r>
        <w:rPr>
          <w:rFonts w:ascii="Bookman Old Style" w:hAnsi="Bookman Old Style"/>
          <w:sz w:val="20"/>
          <w:szCs w:val="20"/>
        </w:rPr>
      </w:r>
    </w:p>
    <w:p>
      <w:pPr>
        <w:pStyle w:val="Normal"/>
        <w:jc w:val="center"/>
        <w:rPr>
          <w:rFonts w:ascii="Bookman Old Style" w:hAnsi="Bookman Old Style"/>
          <w:sz w:val="20"/>
          <w:szCs w:val="20"/>
        </w:rPr>
      </w:pPr>
      <w:r>
        <w:rPr/>
        <w:drawing>
          <wp:inline distT="0" distB="0" distL="0" distR="0">
            <wp:extent cx="4787900" cy="283845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Normal"/>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Según se muestra en la figura anterior, el crecimiento de la subpartida se da a partir del periodo 2019 producto que el servicio de alimentación de detenidos del Organismo de Investigación Judicial. En el 2018 con el artículo 11443 SERVICIO DE ALIMENTACIÓN DE DETENIDOS se formularon ¢380.693.911, para el periodo 2019 se formulan ¢451.940.022.</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 xml:space="preserve">Lo anterior, dado que se dio un aumento de ¢71.336.111 en los diferentes contratos de alimentación de detenidos, siendo el principal caso el de la Unidad de Cárceles del I Circuito de San José, contrato que venció en noviembre 2017 y para el cual en el 2018 se solicitaron ¢57.425.779, siendo que finalmente para el 2019 el nuevo contrato asignó ¢98.709.058. </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Para el periodo 2020 se presenta un incremento de ¢19.753.887 que corresponde a un 4,27%.  y en el año 2021 el incremento es de ¢33.875.546 que equivale a un 7,17%.</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En ambos casos son incrementos que se presentan por tratarse de contratos en cerca de 35 oficinas diferentes, los que van venciendo y se deben renovar.  Los rubros más importantes son los de Cárceles del Primer y Segundo Circuito de San José que para 2021 formulan ¢90.265.043 y ¢68.202.451, respectivamente.</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eastAsia="Arial"/>
          <w:sz w:val="20"/>
          <w:szCs w:val="20"/>
        </w:rPr>
      </w:pPr>
      <w:r>
        <w:rPr>
          <w:rFonts w:eastAsia="Arial" w:ascii="Bookman Old Style" w:hAnsi="Bookman Old Style"/>
          <w:sz w:val="20"/>
          <w:szCs w:val="20"/>
        </w:rPr>
        <w:t>Es importante indicar que esta subpartida está regulada por la directriz de formulación N°25 que indica que solo es permitido formular un monto igual o inferior al del periodo 2020, por lo que los centros de responsabilidad se ven restringidos a crecer en esta subpartida.</w:t>
      </w:r>
    </w:p>
    <w:p>
      <w:pPr>
        <w:pStyle w:val="Normal"/>
        <w:ind w:firstLine="709"/>
        <w:jc w:val="both"/>
        <w:rPr>
          <w:rFonts w:ascii="Bookman Old Style" w:hAnsi="Bookman Old Style"/>
          <w:bCs/>
          <w:sz w:val="20"/>
          <w:szCs w:val="20"/>
        </w:rPr>
      </w:pPr>
      <w:r>
        <w:rPr>
          <w:rFonts w:ascii="Bookman Old Style" w:hAnsi="Bookman Old Style"/>
          <w:bCs/>
          <w:sz w:val="20"/>
          <w:szCs w:val="20"/>
        </w:rPr>
        <w:t>Cabe señalar que en esta subpartida se incluye lo correspondiente al contrato de la Escuela Judicial bajo el artículo 11486 SERVICIO DE RESTAURANTE formula durante los periodos 2017 - 2021 los siguientes recursos:</w:t>
      </w:r>
    </w:p>
    <w:p>
      <w:pPr>
        <w:pStyle w:val="Normal"/>
        <w:ind w:firstLine="709"/>
        <w:jc w:val="both"/>
        <w:rPr>
          <w:rFonts w:ascii="Bookman Old Style" w:hAnsi="Bookman Old Style"/>
          <w:bCs/>
          <w:sz w:val="20"/>
          <w:szCs w:val="20"/>
        </w:rPr>
      </w:pPr>
      <w:r>
        <w:rPr>
          <w:rFonts w:ascii="Bookman Old Style" w:hAnsi="Bookman Old Style"/>
          <w:bCs/>
          <w:sz w:val="20"/>
          <w:szCs w:val="20"/>
        </w:rPr>
      </w:r>
    </w:p>
    <w:tbl>
      <w:tblPr>
        <w:tblW w:w="495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3"/>
        <w:gridCol w:w="3543"/>
      </w:tblGrid>
      <w:tr>
        <w:trPr>
          <w:trHeight w:val="895" w:hRule="atLeast"/>
        </w:trPr>
        <w:tc>
          <w:tcPr>
            <w:tcW w:w="4956" w:type="dxa"/>
            <w:gridSpan w:val="2"/>
            <w:tcBorders/>
          </w:tcPr>
          <w:p>
            <w:pPr>
              <w:pStyle w:val="Normal"/>
              <w:widowControl w:val="false"/>
              <w:jc w:val="both"/>
              <w:rPr>
                <w:rFonts w:ascii="Bookman Old Style" w:hAnsi="Bookman Old Style"/>
                <w:b/>
                <w:b/>
                <w:sz w:val="20"/>
                <w:szCs w:val="20"/>
              </w:rPr>
            </w:pPr>
            <w:r>
              <w:rPr>
                <w:rFonts w:ascii="Bookman Old Style" w:hAnsi="Bookman Old Style"/>
                <w:b/>
                <w:sz w:val="20"/>
                <w:szCs w:val="20"/>
              </w:rPr>
              <w:t>Formulación 2017-2021</w:t>
            </w:r>
          </w:p>
          <w:p>
            <w:pPr>
              <w:pStyle w:val="Normal"/>
              <w:widowControl w:val="false"/>
              <w:jc w:val="both"/>
              <w:rPr>
                <w:rFonts w:ascii="Bookman Old Style" w:hAnsi="Bookman Old Style"/>
                <w:b/>
                <w:b/>
                <w:sz w:val="20"/>
                <w:szCs w:val="20"/>
              </w:rPr>
            </w:pPr>
            <w:r>
              <w:rPr>
                <w:rFonts w:ascii="Bookman Old Style" w:hAnsi="Bookman Old Style"/>
                <w:b/>
                <w:sz w:val="20"/>
                <w:szCs w:val="20"/>
              </w:rPr>
              <w:t>Servicio de Restaurante Escuela Judicial</w:t>
            </w:r>
          </w:p>
        </w:tc>
      </w:tr>
      <w:tr>
        <w:trPr>
          <w:trHeight w:val="367" w:hRule="atLeast"/>
        </w:trPr>
        <w:tc>
          <w:tcPr>
            <w:tcW w:w="1413" w:type="dxa"/>
            <w:tcBorders/>
          </w:tcPr>
          <w:p>
            <w:pPr>
              <w:pStyle w:val="Normal"/>
              <w:widowControl w:val="false"/>
              <w:jc w:val="both"/>
              <w:rPr>
                <w:rFonts w:ascii="Bookman Old Style" w:hAnsi="Bookman Old Style"/>
                <w:b/>
                <w:b/>
                <w:sz w:val="20"/>
                <w:szCs w:val="20"/>
              </w:rPr>
            </w:pPr>
            <w:r>
              <w:rPr>
                <w:rFonts w:ascii="Bookman Old Style" w:hAnsi="Bookman Old Style"/>
                <w:b/>
                <w:sz w:val="20"/>
                <w:szCs w:val="20"/>
              </w:rPr>
              <w:t>Año</w:t>
            </w:r>
          </w:p>
        </w:tc>
        <w:tc>
          <w:tcPr>
            <w:tcW w:w="3543" w:type="dxa"/>
            <w:tcBorders/>
          </w:tcPr>
          <w:p>
            <w:pPr>
              <w:pStyle w:val="Normal"/>
              <w:widowControl w:val="false"/>
              <w:jc w:val="both"/>
              <w:rPr>
                <w:rFonts w:ascii="Bookman Old Style" w:hAnsi="Bookman Old Style"/>
                <w:b/>
                <w:b/>
                <w:sz w:val="20"/>
                <w:szCs w:val="20"/>
              </w:rPr>
            </w:pPr>
            <w:r>
              <w:rPr>
                <w:rFonts w:ascii="Bookman Old Style" w:hAnsi="Bookman Old Style"/>
                <w:b/>
                <w:sz w:val="20"/>
                <w:szCs w:val="20"/>
              </w:rPr>
              <w:t>Monto Formulado</w:t>
            </w:r>
          </w:p>
        </w:tc>
      </w:tr>
      <w:tr>
        <w:trPr>
          <w:trHeight w:val="378" w:hRule="atLeast"/>
        </w:trPr>
        <w:tc>
          <w:tcPr>
            <w:tcW w:w="141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2017</w:t>
            </w:r>
          </w:p>
        </w:tc>
        <w:tc>
          <w:tcPr>
            <w:tcW w:w="354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 39.490.617</w:t>
            </w:r>
          </w:p>
        </w:tc>
      </w:tr>
      <w:tr>
        <w:trPr>
          <w:trHeight w:val="378" w:hRule="atLeast"/>
        </w:trPr>
        <w:tc>
          <w:tcPr>
            <w:tcW w:w="141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2018</w:t>
            </w:r>
          </w:p>
        </w:tc>
        <w:tc>
          <w:tcPr>
            <w:tcW w:w="354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 42.036.999</w:t>
            </w:r>
          </w:p>
        </w:tc>
      </w:tr>
      <w:tr>
        <w:trPr>
          <w:trHeight w:val="378" w:hRule="atLeast"/>
        </w:trPr>
        <w:tc>
          <w:tcPr>
            <w:tcW w:w="141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2019</w:t>
            </w:r>
          </w:p>
        </w:tc>
        <w:tc>
          <w:tcPr>
            <w:tcW w:w="354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¢46.880.721</w:t>
            </w:r>
          </w:p>
        </w:tc>
      </w:tr>
      <w:tr>
        <w:trPr>
          <w:trHeight w:val="378" w:hRule="atLeast"/>
        </w:trPr>
        <w:tc>
          <w:tcPr>
            <w:tcW w:w="141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2020</w:t>
            </w:r>
          </w:p>
        </w:tc>
        <w:tc>
          <w:tcPr>
            <w:tcW w:w="354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¢44.205.453</w:t>
            </w:r>
          </w:p>
        </w:tc>
      </w:tr>
      <w:tr>
        <w:trPr>
          <w:trHeight w:val="378" w:hRule="atLeast"/>
        </w:trPr>
        <w:tc>
          <w:tcPr>
            <w:tcW w:w="141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2021</w:t>
            </w:r>
          </w:p>
        </w:tc>
        <w:tc>
          <w:tcPr>
            <w:tcW w:w="3543" w:type="dxa"/>
            <w:tcBorders/>
          </w:tcPr>
          <w:p>
            <w:pPr>
              <w:pStyle w:val="Normal"/>
              <w:widowControl w:val="false"/>
              <w:jc w:val="both"/>
              <w:rPr>
                <w:rFonts w:ascii="Bookman Old Style" w:hAnsi="Bookman Old Style"/>
                <w:bCs/>
                <w:sz w:val="20"/>
                <w:szCs w:val="20"/>
              </w:rPr>
            </w:pPr>
            <w:r>
              <w:rPr>
                <w:rFonts w:ascii="Bookman Old Style" w:hAnsi="Bookman Old Style"/>
                <w:bCs/>
                <w:sz w:val="20"/>
                <w:szCs w:val="20"/>
              </w:rPr>
              <w:t>¢44.205.453</w:t>
            </w:r>
          </w:p>
          <w:p>
            <w:pPr>
              <w:pStyle w:val="Normal"/>
              <w:widowControl w:val="false"/>
              <w:jc w:val="both"/>
              <w:rPr>
                <w:rFonts w:ascii="Bookman Old Style" w:hAnsi="Bookman Old Style"/>
                <w:bCs/>
                <w:sz w:val="20"/>
                <w:szCs w:val="20"/>
              </w:rPr>
            </w:pPr>
            <w:r>
              <w:rPr>
                <w:rFonts w:ascii="Bookman Old Style" w:hAnsi="Bookman Old Style"/>
                <w:bCs/>
                <w:sz w:val="20"/>
                <w:szCs w:val="20"/>
              </w:rPr>
            </w:r>
          </w:p>
        </w:tc>
      </w:tr>
    </w:tbl>
    <w:p>
      <w:pPr>
        <w:pStyle w:val="Normal"/>
        <w:jc w:val="center"/>
        <w:rPr>
          <w:rFonts w:ascii="Bookman Old Style" w:hAnsi="Bookman Old Style" w:eastAsia="" w:eastAsiaTheme="majorEastAsia"/>
          <w:b/>
          <w:b/>
          <w:bCs/>
          <w:sz w:val="20"/>
          <w:szCs w:val="20"/>
        </w:rPr>
      </w:pPr>
      <w:r>
        <w:rPr>
          <w:rFonts w:eastAsia="" w:ascii="Bookman Old Style" w:hAnsi="Bookman Old Style" w:eastAsiaTheme="majorEastAsia"/>
          <w:b/>
          <w:bCs/>
          <w:sz w:val="20"/>
          <w:szCs w:val="20"/>
        </w:rPr>
        <w:t>Figura N° 2. Formulación y Ejecución Periodos 2017 – 2021</w:t>
      </w:r>
    </w:p>
    <w:p>
      <w:pPr>
        <w:pStyle w:val="Normal"/>
        <w:jc w:val="both"/>
        <w:rPr>
          <w:rFonts w:ascii="Bookman Old Style" w:hAnsi="Bookman Old Style" w:eastAsia="" w:eastAsiaTheme="majorEastAsia"/>
          <w:b/>
          <w:b/>
          <w:bCs/>
          <w:sz w:val="20"/>
          <w:szCs w:val="20"/>
        </w:rPr>
      </w:pPr>
      <w:r>
        <w:rPr>
          <w:rFonts w:eastAsia="" w:eastAsiaTheme="majorEastAsia" w:ascii="Bookman Old Style" w:hAnsi="Bookman Old Style"/>
          <w:b/>
          <w:bCs/>
          <w:sz w:val="20"/>
          <w:szCs w:val="20"/>
        </w:rPr>
      </w:r>
    </w:p>
    <w:p>
      <w:pPr>
        <w:pStyle w:val="Normal"/>
        <w:jc w:val="center"/>
        <w:rPr>
          <w:rFonts w:ascii="Bookman Old Style" w:hAnsi="Bookman Old Style"/>
          <w:sz w:val="20"/>
          <w:szCs w:val="20"/>
        </w:rPr>
      </w:pPr>
      <w:r>
        <w:rPr/>
        <w:drawing>
          <wp:inline distT="0" distB="0" distL="0" distR="0">
            <wp:extent cx="4505325" cy="3133725"/>
            <wp:effectExtent l="0" t="0" r="0" b="0"/>
            <wp:docPr id="20" name="Imagen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4" descr=""/>
                    <pic:cNvPicPr>
                      <a:picLocks noChangeAspect="1" noChangeArrowheads="1"/>
                    </pic:cNvPicPr>
                  </pic:nvPicPr>
                  <pic:blipFill>
                    <a:blip r:embed="rId51"/>
                    <a:stretch>
                      <a:fillRect/>
                    </a:stretch>
                  </pic:blipFill>
                  <pic:spPr bwMode="auto">
                    <a:xfrm>
                      <a:off x="0" y="0"/>
                      <a:ext cx="4505325" cy="3133725"/>
                    </a:xfrm>
                    <a:prstGeom prst="rect">
                      <a:avLst/>
                    </a:prstGeom>
                  </pic:spPr>
                </pic:pic>
              </a:graphicData>
            </a:graphic>
          </wp:inline>
        </w:drawing>
      </w:r>
    </w:p>
    <w:p>
      <w:pPr>
        <w:pStyle w:val="Normal"/>
        <w:jc w:val="both"/>
        <w:rPr>
          <w:rFonts w:ascii="Bookman Old Style" w:hAnsi="Bookman Old Style" w:eastAsia="" w:eastAsiaTheme="majorEastAsia"/>
          <w:b/>
          <w:b/>
          <w:bCs/>
          <w:sz w:val="20"/>
          <w:szCs w:val="20"/>
        </w:rPr>
      </w:pPr>
      <w:r>
        <w:rPr>
          <w:rFonts w:ascii="Bookman Old Style" w:hAnsi="Bookman Old Style"/>
          <w:sz w:val="20"/>
          <w:szCs w:val="20"/>
        </w:rPr>
        <w:t xml:space="preserve">           </w:t>
      </w:r>
      <w:r>
        <w:rPr>
          <w:rFonts w:ascii="Bookman Old Style" w:hAnsi="Bookman Old Style"/>
          <w:bCs/>
          <w:sz w:val="20"/>
          <w:szCs w:val="20"/>
        </w:rPr>
        <w:t>Fuente: SIGA PJ</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En la figura anterior, se puede observar el comportamiento de la subpartida 20203 Alimentos y Bebidas, tanto en la formulación, como en la ejecución. De los años que se presentan en la figura 1, el periodo 2021 es el que representa el punto más alto en la formulación.</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 xml:space="preserve">Para los periodos 2017 y 2019 la formulación se mantuvo muy acorde con la ejecución, sin embargo, durante el periodo 2018 la ejecución fue mayor a la formulación.  </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Según las Normas de Contención del Gasto y las directrices de formulación esta subpartida mantiene un análisis profundo de tal forma que se presupueste lo estrictamente necesario.</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Ttulo3"/>
        <w:keepNext w:val="false"/>
        <w:spacing w:before="0" w:after="0"/>
        <w:ind w:firstLine="709"/>
        <w:jc w:val="center"/>
        <w:rPr>
          <w:rFonts w:ascii="Bookman Old Style" w:hAnsi="Bookman Old Style" w:cs="Times New Roman"/>
          <w:b w:val="false"/>
          <w:b w:val="false"/>
          <w:bCs w:val="false"/>
          <w:sz w:val="20"/>
          <w:szCs w:val="20"/>
        </w:rPr>
      </w:pPr>
      <w:r>
        <w:rPr>
          <w:rFonts w:cs="Times New Roman" w:ascii="Bookman Old Style" w:hAnsi="Bookman Old Style"/>
          <w:b w:val="false"/>
          <w:bCs w:val="false"/>
          <w:sz w:val="20"/>
          <w:szCs w:val="20"/>
        </w:rPr>
        <w:t>Análisis de la ejecución presupuestaria de la subpartida</w:t>
      </w:r>
    </w:p>
    <w:p>
      <w:pPr>
        <w:pStyle w:val="Normal"/>
        <w:jc w:val="center"/>
        <w:rPr>
          <w:rFonts w:ascii="Bookman Old Style" w:hAnsi="Bookman Old Style"/>
          <w:b/>
          <w:b/>
          <w:sz w:val="20"/>
          <w:szCs w:val="20"/>
        </w:rPr>
      </w:pPr>
      <w:r>
        <w:rPr>
          <w:rFonts w:ascii="Bookman Old Style" w:hAnsi="Bookman Old Style"/>
          <w:b/>
          <w:sz w:val="20"/>
          <w:szCs w:val="20"/>
        </w:rPr>
        <w:t>Tabla 2. Ejecución presupuestaria periodos 2017 – 2019</w:t>
      </w:r>
    </w:p>
    <w:p>
      <w:pPr>
        <w:pStyle w:val="Normal"/>
        <w:jc w:val="center"/>
        <w:rPr>
          <w:rFonts w:ascii="Bookman Old Style" w:hAnsi="Bookman Old Style"/>
          <w:b/>
          <w:b/>
          <w:sz w:val="20"/>
          <w:szCs w:val="20"/>
        </w:rPr>
      </w:pPr>
      <w:r>
        <w:rPr>
          <w:rFonts w:ascii="Bookman Old Style" w:hAnsi="Bookman Old Style"/>
          <w:b/>
          <w:sz w:val="20"/>
          <w:szCs w:val="20"/>
        </w:rPr>
      </w:r>
    </w:p>
    <w:p>
      <w:pPr>
        <w:pStyle w:val="Normal"/>
        <w:jc w:val="center"/>
        <w:rPr>
          <w:rFonts w:ascii="Bookman Old Style" w:hAnsi="Bookman Old Style"/>
          <w:bCs/>
          <w:sz w:val="20"/>
          <w:szCs w:val="20"/>
        </w:rPr>
      </w:pPr>
      <w:r>
        <w:rPr/>
        <w:drawing>
          <wp:inline distT="0" distB="0" distL="0" distR="0">
            <wp:extent cx="3802380" cy="1179195"/>
            <wp:effectExtent l="0" t="0" r="0" b="0"/>
            <wp:docPr id="2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
                    <pic:cNvPicPr>
                      <a:picLocks noChangeAspect="1" noChangeArrowheads="1"/>
                    </pic:cNvPicPr>
                  </pic:nvPicPr>
                  <pic:blipFill>
                    <a:blip r:embed="rId52"/>
                    <a:stretch>
                      <a:fillRect/>
                    </a:stretch>
                  </pic:blipFill>
                  <pic:spPr bwMode="auto">
                    <a:xfrm>
                      <a:off x="0" y="0"/>
                      <a:ext cx="3802380" cy="1179195"/>
                    </a:xfrm>
                    <a:prstGeom prst="rect">
                      <a:avLst/>
                    </a:prstGeom>
                  </pic:spPr>
                </pic:pic>
              </a:graphicData>
            </a:graphic>
          </wp:inline>
        </w:drawing>
      </w:r>
    </w:p>
    <w:p>
      <w:pPr>
        <w:pStyle w:val="Normal"/>
        <w:jc w:val="both"/>
        <w:rPr>
          <w:rFonts w:ascii="Bookman Old Style" w:hAnsi="Bookman Old Style"/>
          <w:bCs/>
          <w:sz w:val="20"/>
          <w:szCs w:val="20"/>
        </w:rPr>
      </w:pPr>
      <w:r>
        <w:rPr>
          <w:rFonts w:ascii="Bookman Old Style" w:hAnsi="Bookman Old Style"/>
          <w:bCs/>
          <w:sz w:val="20"/>
          <w:szCs w:val="20"/>
        </w:rPr>
        <w:t xml:space="preserve">            </w:t>
      </w:r>
      <w:r>
        <w:rPr>
          <w:rFonts w:ascii="Bookman Old Style" w:hAnsi="Bookman Old Style"/>
          <w:bCs/>
          <w:sz w:val="20"/>
          <w:szCs w:val="20"/>
        </w:rPr>
        <w:t>Fuente: SIGA PJ</w:t>
      </w:r>
    </w:p>
    <w:p>
      <w:pPr>
        <w:pStyle w:val="Normal"/>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 xml:space="preserve">Durante los periodos 2017 y 2019 el porcentaje de ejecución estuvo por debajo del 100%, siendo estos del 94,92% y 97,13% respectivamente; no obstante, para el periodo 2018 la ejecución estuvo por encima del 100%, con un 117.13%. Lo que representó a nivel global una ejecución de 102,79% para los tres periodos presupuestarios. </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En línea con lo anterior, se presenta el detalle de la ejecución para el periodo 2019 por programa presupuestario.</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jc w:val="center"/>
        <w:rPr>
          <w:rFonts w:ascii="Bookman Old Style" w:hAnsi="Bookman Old Style"/>
          <w:sz w:val="20"/>
          <w:szCs w:val="20"/>
        </w:rPr>
      </w:pPr>
      <w:r>
        <w:rPr>
          <w:rFonts w:ascii="Bookman Old Style" w:hAnsi="Bookman Old Style"/>
          <w:sz w:val="20"/>
          <w:szCs w:val="20"/>
        </w:rPr>
        <w:t>Tabla 3</w:t>
      </w:r>
    </w:p>
    <w:tbl>
      <w:tblPr>
        <w:tblW w:w="708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977"/>
        <w:gridCol w:w="2111"/>
      </w:tblGrid>
      <w:tr>
        <w:trPr>
          <w:trHeight w:val="254" w:hRule="atLeast"/>
        </w:trPr>
        <w:tc>
          <w:tcPr>
            <w:tcW w:w="4977" w:type="dxa"/>
            <w:tcBorders/>
          </w:tcPr>
          <w:p>
            <w:pPr>
              <w:pStyle w:val="Normal"/>
              <w:widowControl w:val="false"/>
              <w:jc w:val="both"/>
              <w:rPr>
                <w:rFonts w:ascii="Bookman Old Style" w:hAnsi="Bookman Old Style"/>
                <w:b/>
                <w:b/>
                <w:bCs/>
                <w:sz w:val="20"/>
                <w:szCs w:val="20"/>
              </w:rPr>
            </w:pPr>
            <w:r>
              <w:rPr>
                <w:rFonts w:ascii="Bookman Old Style" w:hAnsi="Bookman Old Style"/>
                <w:b/>
                <w:bCs/>
                <w:sz w:val="20"/>
                <w:szCs w:val="20"/>
              </w:rPr>
              <w:t>Programa</w:t>
            </w:r>
          </w:p>
        </w:tc>
        <w:tc>
          <w:tcPr>
            <w:tcW w:w="2111" w:type="dxa"/>
            <w:tcBorders/>
          </w:tcPr>
          <w:p>
            <w:pPr>
              <w:pStyle w:val="Normal"/>
              <w:widowControl w:val="false"/>
              <w:jc w:val="both"/>
              <w:rPr>
                <w:rFonts w:ascii="Bookman Old Style" w:hAnsi="Bookman Old Style"/>
                <w:b/>
                <w:b/>
                <w:bCs/>
                <w:sz w:val="20"/>
                <w:szCs w:val="20"/>
              </w:rPr>
            </w:pPr>
            <w:r>
              <w:rPr>
                <w:rFonts w:ascii="Bookman Old Style" w:hAnsi="Bookman Old Style"/>
                <w:b/>
                <w:bCs/>
                <w:sz w:val="20"/>
                <w:szCs w:val="20"/>
              </w:rPr>
              <w:t>Ejecución 2019</w:t>
            </w:r>
          </w:p>
        </w:tc>
      </w:tr>
      <w:tr>
        <w:trPr>
          <w:trHeight w:val="280"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Dirección, Administración y Otros Órganos de Apoyo</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66.939.182,98</w:t>
            </w:r>
          </w:p>
        </w:tc>
      </w:tr>
      <w:tr>
        <w:trPr>
          <w:trHeight w:val="25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Servicio Jurisdiccional</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1.591.228,62</w:t>
            </w:r>
          </w:p>
        </w:tc>
      </w:tr>
      <w:tr>
        <w:trPr>
          <w:trHeight w:val="25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Organismo de Investigación Judicial</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462.533.024,46</w:t>
            </w:r>
          </w:p>
        </w:tc>
      </w:tr>
      <w:tr>
        <w:trPr>
          <w:trHeight w:val="26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Ministerio Público</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7.339.088,29</w:t>
            </w:r>
          </w:p>
        </w:tc>
      </w:tr>
      <w:tr>
        <w:trPr>
          <w:trHeight w:val="25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Defensa Pública</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598.785</w:t>
            </w:r>
          </w:p>
        </w:tc>
      </w:tr>
      <w:tr>
        <w:trPr>
          <w:trHeight w:val="386"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Servicio de Atención y Protección de Víctimas y Testigos</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14.263.738,92</w:t>
            </w:r>
          </w:p>
        </w:tc>
      </w:tr>
    </w:tbl>
    <w:p>
      <w:pPr>
        <w:pStyle w:val="Normal"/>
        <w:ind w:firstLine="709"/>
        <w:jc w:val="both"/>
        <w:rPr>
          <w:rFonts w:ascii="Bookman Old Style" w:hAnsi="Bookman Old Style" w:eastAsia="" w:eastAsiaTheme="minorEastAsia"/>
          <w:bCs/>
          <w:sz w:val="20"/>
          <w:szCs w:val="20"/>
          <w:lang w:eastAsia="en-US"/>
        </w:rPr>
      </w:pPr>
      <w:r>
        <w:rPr>
          <w:rFonts w:eastAsia="" w:ascii="Bookman Old Style" w:hAnsi="Bookman Old Style" w:eastAsiaTheme="minorEastAsia"/>
          <w:bCs/>
          <w:sz w:val="20"/>
          <w:szCs w:val="20"/>
          <w:lang w:eastAsia="en-US"/>
        </w:rPr>
        <w:t>Si se considera lo ejecutado en el 2019 para el programa 928 Organismo de Investigación Judicial, Alimentación de Detenidos, la suma de 462.533.024 más el incremento del 13% por el Impuesto al Valor Agregado (IVA) 60.129.293, el monto a formular sería de 522.662.317. Este monto es inferior al que se está solicitando para el 2021.</w:t>
      </w:r>
    </w:p>
    <w:p>
      <w:pPr>
        <w:pStyle w:val="Normal"/>
        <w:ind w:firstLine="709"/>
        <w:jc w:val="both"/>
        <w:rPr>
          <w:rFonts w:ascii="Bookman Old Style" w:hAnsi="Bookman Old Style" w:eastAsia="" w:eastAsiaTheme="minorEastAsia"/>
          <w:bCs/>
          <w:sz w:val="20"/>
          <w:szCs w:val="20"/>
          <w:lang w:eastAsia="en-US"/>
        </w:rPr>
      </w:pPr>
      <w:r>
        <w:rPr>
          <w:rFonts w:eastAsia="" w:eastAsiaTheme="minorEastAsia" w:ascii="Bookman Old Style" w:hAnsi="Bookman Old Style"/>
          <w:bCs/>
          <w:sz w:val="20"/>
          <w:szCs w:val="20"/>
          <w:lang w:eastAsia="en-US"/>
        </w:rPr>
      </w:r>
    </w:p>
    <w:p>
      <w:pPr>
        <w:pStyle w:val="Ttulo3"/>
        <w:keepNext w:val="false"/>
        <w:spacing w:before="0" w:after="0"/>
        <w:ind w:firstLine="709"/>
        <w:rPr>
          <w:rFonts w:ascii="Bookman Old Style" w:hAnsi="Bookman Old Style" w:cs="Times New Roman"/>
          <w:sz w:val="20"/>
          <w:szCs w:val="20"/>
        </w:rPr>
      </w:pPr>
      <w:r>
        <w:rPr>
          <w:rFonts w:cs="Times New Roman" w:ascii="Bookman Old Style" w:hAnsi="Bookman Old Style"/>
          <w:sz w:val="20"/>
          <w:szCs w:val="20"/>
        </w:rPr>
        <w:t>Variación por programa 2020-2021</w:t>
      </w:r>
    </w:p>
    <w:p>
      <w:pPr>
        <w:pStyle w:val="Normal"/>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 xml:space="preserve">Al realizar el análisis comparativo por programa presupuestario, se determina que el Programa 928 Organismo de Investigación Judicial, es el que presenta la mayor formulación de recursos en la subpartida de Alimentos y Bebidas, con un monto superior al del periodo 2020, y una variación del 7%; seguido del Programa 926 Dirección, Administración y Otros Órganos de Apoyo y el Programa 950 Servicio de Atención y Protección de Víctimas y Testigos.  </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Al respecto, cabe señalar que de acuerdo con la directriz de formulación presupuestaria N°25 señala:</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widowControl w:val="false"/>
        <w:numPr>
          <w:ilvl w:val="0"/>
          <w:numId w:val="32"/>
        </w:numPr>
        <w:ind w:left="851" w:right="851" w:firstLine="357"/>
        <w:jc w:val="both"/>
        <w:rPr>
          <w:rFonts w:ascii="Bookman Old Style" w:hAnsi="Bookman Old Style"/>
          <w:sz w:val="20"/>
          <w:szCs w:val="20"/>
        </w:rPr>
      </w:pPr>
      <w:r>
        <w:rPr>
          <w:rFonts w:ascii="Bookman Old Style" w:hAnsi="Bookman Old Style"/>
          <w:sz w:val="20"/>
          <w:szCs w:val="20"/>
        </w:rPr>
        <w:t xml:space="preserve">Los recursos solicitados en la </w:t>
      </w:r>
      <w:r>
        <w:rPr>
          <w:rFonts w:ascii="Bookman Old Style" w:hAnsi="Bookman Old Style"/>
          <w:b/>
          <w:bCs/>
          <w:sz w:val="20"/>
          <w:szCs w:val="20"/>
        </w:rPr>
        <w:t>Subpartida 20203 Alimentos y Bebidas</w:t>
      </w:r>
      <w:r>
        <w:rPr>
          <w:rFonts w:ascii="Bookman Old Style" w:hAnsi="Bookman Old Style"/>
          <w:sz w:val="20"/>
          <w:szCs w:val="20"/>
        </w:rPr>
        <w:t xml:space="preserve"> deben ser iguales o inferiores al monto aprobado para el 2020, excepto las líneas relacionadas con la alimentación de privados de libertad, así como la alimentación de personas víctimas y testigos solicitadas por el Programa 950 “Servicio de Atención y Protección de Víctimas y Testigos”. Se debe valorar que lo solicitado sea estrictamente necesario, justificado y se demuestre el valor agregado que se va a obtener en el servicio. </w:t>
      </w:r>
    </w:p>
    <w:p>
      <w:pPr>
        <w:pStyle w:val="Normal"/>
        <w:ind w:left="720" w:hanging="0"/>
        <w:jc w:val="both"/>
        <w:rPr>
          <w:rFonts w:ascii="Bookman Old Style" w:hAnsi="Bookman Old Style"/>
          <w:sz w:val="20"/>
          <w:szCs w:val="20"/>
        </w:rPr>
      </w:pPr>
      <w:r>
        <w:rPr>
          <w:rFonts w:ascii="Bookman Old Style" w:hAnsi="Bookman Old Style"/>
          <w:sz w:val="20"/>
          <w:szCs w:val="20"/>
        </w:rPr>
      </w:r>
    </w:p>
    <w:p>
      <w:pPr>
        <w:pStyle w:val="Normal"/>
        <w:ind w:firstLine="709"/>
        <w:jc w:val="center"/>
        <w:rPr>
          <w:rFonts w:ascii="Bookman Old Style" w:hAnsi="Bookman Old Style"/>
          <w:sz w:val="20"/>
          <w:szCs w:val="20"/>
        </w:rPr>
      </w:pPr>
      <w:r>
        <w:rPr>
          <w:rFonts w:ascii="Bookman Old Style" w:hAnsi="Bookman Old Style"/>
          <w:sz w:val="20"/>
          <w:szCs w:val="20"/>
        </w:rPr>
        <w:t>-0-</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Cuando haya personas detenidas a la orden de los Tribunales de Justicia o del Ministerio Público en las celdas de la policía administrativa, el Poder Judicial debe cubrir el costo de su alimentación, considerando los recursos previstos por los contratos de alimentación de detenidos tramitados por el Organismo de Investigación Judicial.</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Según se indicó con anterioridad, el crecimiento de la subpartida a nivel institucional se da por el incremento en el servicio de alimentación de detenidos del Organismo de Investigación Judicial. En este sentido es importante señalar que la alimentación de detenidos es un gasto ineludible en el que se deben considerar no solamente las necesidades de los privados de libertad cuando se encuentran a la orden de los Tribunales de Justicia, sino también las detenciones que gira el Ministerio Público en las celdas de la policía administrativa.</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Precisamente la directriz N°25 señala que los recursos solicitados en esta subpartida deben ser iguales o inferiores al monto aprobado para el 2020, excepto las líneas relacionadas con la alimentación de privados de libertad, así como la alimentación de personas víctimas y testigos solicitadas por el Programa 950 “Servicio de Atención y Protección de Víctimas y Testigos”.</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En la siguiente tabla se muestra el detalle de la variación para cada uno de los programas presupuestarios:</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jc w:val="center"/>
        <w:rPr>
          <w:rFonts w:ascii="Bookman Old Style" w:hAnsi="Bookman Old Style"/>
          <w:b/>
          <w:b/>
          <w:sz w:val="20"/>
          <w:szCs w:val="20"/>
        </w:rPr>
      </w:pPr>
      <w:r>
        <w:rPr>
          <w:rFonts w:ascii="Bookman Old Style" w:hAnsi="Bookman Old Style"/>
          <w:b/>
          <w:sz w:val="20"/>
          <w:szCs w:val="20"/>
        </w:rPr>
        <w:t>Tabla 3. 1 Porcentaje de variación por programa periodos 2020 – 2021</w:t>
      </w:r>
    </w:p>
    <w:p>
      <w:pPr>
        <w:pStyle w:val="Normal"/>
        <w:jc w:val="both"/>
        <w:rPr>
          <w:rFonts w:ascii="Bookman Old Style" w:hAnsi="Bookman Old Style"/>
          <w:b/>
          <w:b/>
          <w:sz w:val="20"/>
          <w:szCs w:val="20"/>
        </w:rPr>
      </w:pPr>
      <w:r>
        <w:rPr>
          <w:rFonts w:ascii="Bookman Old Style" w:hAnsi="Bookman Old Style"/>
          <w:b/>
          <w:sz w:val="20"/>
          <w:szCs w:val="20"/>
        </w:rPr>
      </w:r>
    </w:p>
    <w:tbl>
      <w:tblPr>
        <w:tblW w:w="950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876"/>
        <w:gridCol w:w="1442"/>
        <w:gridCol w:w="1365"/>
        <w:gridCol w:w="1367"/>
        <w:gridCol w:w="1243"/>
        <w:gridCol w:w="1209"/>
      </w:tblGrid>
      <w:tr>
        <w:trPr>
          <w:trHeight w:val="276" w:hRule="atLeast"/>
        </w:trPr>
        <w:tc>
          <w:tcPr>
            <w:tcW w:w="2876" w:type="dxa"/>
            <w:tcBorders>
              <w:top w:val="single" w:sz="4" w:space="0" w:color="1F4E78"/>
              <w:bottom w:val="single" w:sz="4" w:space="0" w:color="1F4E78"/>
            </w:tcBorders>
            <w:shd w:color="D9E1F2" w:fill="F2F2F2" w:val="clear"/>
            <w:vAlign w:val="bottom"/>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Programa</w:t>
            </w:r>
          </w:p>
        </w:tc>
        <w:tc>
          <w:tcPr>
            <w:tcW w:w="1442" w:type="dxa"/>
            <w:tcBorders>
              <w:top w:val="single" w:sz="4" w:space="0" w:color="1F4E78"/>
              <w:bottom w:val="single" w:sz="4" w:space="0" w:color="1F4E78"/>
            </w:tcBorders>
            <w:shd w:color="D9E1F2" w:fill="F2F2F2" w:val="clear"/>
            <w:vAlign w:val="bottom"/>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Ejecución 2019</w:t>
            </w:r>
          </w:p>
        </w:tc>
        <w:tc>
          <w:tcPr>
            <w:tcW w:w="1365" w:type="dxa"/>
            <w:tcBorders>
              <w:top w:val="single" w:sz="4" w:space="0" w:color="1F4E78"/>
              <w:bottom w:val="single" w:sz="4" w:space="0" w:color="1F4E78"/>
            </w:tcBorders>
            <w:shd w:color="D9E1F2" w:fill="F2F2F2" w:val="clear"/>
            <w:vAlign w:val="bottom"/>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2020</w:t>
            </w:r>
          </w:p>
        </w:tc>
        <w:tc>
          <w:tcPr>
            <w:tcW w:w="1367" w:type="dxa"/>
            <w:tcBorders>
              <w:top w:val="single" w:sz="4" w:space="0" w:color="1F4E78"/>
              <w:bottom w:val="single" w:sz="4" w:space="0" w:color="1F4E78"/>
            </w:tcBorders>
            <w:shd w:color="D9E1F2" w:fill="F2F2F2" w:val="clear"/>
            <w:vAlign w:val="bottom"/>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2021</w:t>
            </w:r>
          </w:p>
        </w:tc>
        <w:tc>
          <w:tcPr>
            <w:tcW w:w="1243" w:type="dxa"/>
            <w:tcBorders>
              <w:top w:val="single" w:sz="4" w:space="0" w:color="1F4E78"/>
              <w:bottom w:val="single" w:sz="4" w:space="0" w:color="1F4E78"/>
            </w:tcBorders>
            <w:shd w:color="D9E1F2" w:fill="F2F2F2" w:val="clear"/>
            <w:vAlign w:val="bottom"/>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Diferencia</w:t>
            </w:r>
          </w:p>
        </w:tc>
        <w:tc>
          <w:tcPr>
            <w:tcW w:w="1209" w:type="dxa"/>
            <w:tcBorders>
              <w:top w:val="single" w:sz="4" w:space="0" w:color="1F4E78"/>
              <w:bottom w:val="single" w:sz="4" w:space="0" w:color="1F4E78"/>
            </w:tcBorders>
            <w:shd w:color="D9E1F2" w:fill="F2F2F2" w:val="clear"/>
            <w:vAlign w:val="bottom"/>
          </w:tcPr>
          <w:p>
            <w:pPr>
              <w:pStyle w:val="Normal"/>
              <w:widowControl w:val="false"/>
              <w:jc w:val="both"/>
              <w:rPr>
                <w:rFonts w:ascii="Bookman Old Style" w:hAnsi="Bookman Old Style"/>
                <w:b/>
                <w:b/>
                <w:bCs/>
                <w:color w:val="1F4E78"/>
                <w:sz w:val="20"/>
                <w:szCs w:val="20"/>
              </w:rPr>
            </w:pPr>
            <w:r>
              <w:rPr>
                <w:rFonts w:ascii="Bookman Old Style" w:hAnsi="Bookman Old Style"/>
                <w:b/>
                <w:bCs/>
                <w:color w:val="1F4E78"/>
                <w:sz w:val="20"/>
                <w:szCs w:val="20"/>
              </w:rPr>
              <w:t>% Variación</w:t>
            </w:r>
          </w:p>
        </w:tc>
      </w:tr>
      <w:tr>
        <w:trPr>
          <w:trHeight w:val="276" w:hRule="atLeast"/>
        </w:trPr>
        <w:tc>
          <w:tcPr>
            <w:tcW w:w="2876"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Dirección, Administración y Otros Órganos de Apoyo</w:t>
            </w:r>
          </w:p>
        </w:tc>
        <w:tc>
          <w:tcPr>
            <w:tcW w:w="1442"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66.939.183 </w:t>
            </w:r>
          </w:p>
        </w:tc>
        <w:tc>
          <w:tcPr>
            <w:tcW w:w="1365"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72.555.761</w:t>
            </w:r>
          </w:p>
        </w:tc>
        <w:tc>
          <w:tcPr>
            <w:tcW w:w="1367"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71.675.746</w:t>
            </w:r>
          </w:p>
        </w:tc>
        <w:tc>
          <w:tcPr>
            <w:tcW w:w="1243"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-880.015</w:t>
            </w:r>
          </w:p>
        </w:tc>
        <w:tc>
          <w:tcPr>
            <w:tcW w:w="1209"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w:t>
            </w:r>
          </w:p>
        </w:tc>
      </w:tr>
      <w:tr>
        <w:trPr>
          <w:trHeight w:val="276" w:hRule="atLeast"/>
        </w:trPr>
        <w:tc>
          <w:tcPr>
            <w:tcW w:w="2876"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Servicio Jurisdiccional</w:t>
            </w:r>
          </w:p>
        </w:tc>
        <w:tc>
          <w:tcPr>
            <w:tcW w:w="1442"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1.591.229 </w:t>
            </w:r>
          </w:p>
        </w:tc>
        <w:tc>
          <w:tcPr>
            <w:tcW w:w="1365"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1.868.468</w:t>
            </w:r>
          </w:p>
        </w:tc>
        <w:tc>
          <w:tcPr>
            <w:tcW w:w="1367"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1.845.794</w:t>
            </w:r>
          </w:p>
        </w:tc>
        <w:tc>
          <w:tcPr>
            <w:tcW w:w="1243"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-22.674</w:t>
            </w:r>
          </w:p>
        </w:tc>
        <w:tc>
          <w:tcPr>
            <w:tcW w:w="1209"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w:t>
            </w:r>
          </w:p>
        </w:tc>
      </w:tr>
      <w:tr>
        <w:trPr>
          <w:trHeight w:val="276" w:hRule="atLeast"/>
        </w:trPr>
        <w:tc>
          <w:tcPr>
            <w:tcW w:w="2876"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Organismo de Investigación Judicial</w:t>
            </w:r>
          </w:p>
        </w:tc>
        <w:tc>
          <w:tcPr>
            <w:tcW w:w="1442"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462.533.024 </w:t>
            </w:r>
          </w:p>
        </w:tc>
        <w:tc>
          <w:tcPr>
            <w:tcW w:w="1365"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482.090.511</w:t>
            </w:r>
          </w:p>
        </w:tc>
        <w:tc>
          <w:tcPr>
            <w:tcW w:w="1367"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514.972.591</w:t>
            </w:r>
          </w:p>
        </w:tc>
        <w:tc>
          <w:tcPr>
            <w:tcW w:w="1243"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32.882.080</w:t>
            </w:r>
          </w:p>
        </w:tc>
        <w:tc>
          <w:tcPr>
            <w:tcW w:w="1209"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7%</w:t>
            </w:r>
          </w:p>
        </w:tc>
      </w:tr>
      <w:tr>
        <w:trPr>
          <w:trHeight w:val="276" w:hRule="atLeast"/>
        </w:trPr>
        <w:tc>
          <w:tcPr>
            <w:tcW w:w="2876"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Ministerio Público</w:t>
            </w:r>
          </w:p>
        </w:tc>
        <w:tc>
          <w:tcPr>
            <w:tcW w:w="1442"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7.339.088 </w:t>
            </w:r>
          </w:p>
        </w:tc>
        <w:tc>
          <w:tcPr>
            <w:tcW w:w="1365"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8.007.778</w:t>
            </w:r>
          </w:p>
        </w:tc>
        <w:tc>
          <w:tcPr>
            <w:tcW w:w="1367"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7.534.012</w:t>
            </w:r>
          </w:p>
        </w:tc>
        <w:tc>
          <w:tcPr>
            <w:tcW w:w="1243"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-473.766</w:t>
            </w:r>
          </w:p>
        </w:tc>
        <w:tc>
          <w:tcPr>
            <w:tcW w:w="1209"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-6%</w:t>
            </w:r>
          </w:p>
        </w:tc>
      </w:tr>
      <w:tr>
        <w:trPr>
          <w:trHeight w:val="276" w:hRule="atLeast"/>
        </w:trPr>
        <w:tc>
          <w:tcPr>
            <w:tcW w:w="2876"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Defensa Pública</w:t>
            </w:r>
          </w:p>
        </w:tc>
        <w:tc>
          <w:tcPr>
            <w:tcW w:w="1442"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598.785 </w:t>
            </w:r>
          </w:p>
        </w:tc>
        <w:tc>
          <w:tcPr>
            <w:tcW w:w="1365"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597.614</w:t>
            </w:r>
          </w:p>
        </w:tc>
        <w:tc>
          <w:tcPr>
            <w:tcW w:w="1367"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588.140</w:t>
            </w:r>
          </w:p>
        </w:tc>
        <w:tc>
          <w:tcPr>
            <w:tcW w:w="1243"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-9.474</w:t>
            </w:r>
          </w:p>
        </w:tc>
        <w:tc>
          <w:tcPr>
            <w:tcW w:w="1209" w:type="dxa"/>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-2%</w:t>
            </w:r>
          </w:p>
        </w:tc>
      </w:tr>
      <w:tr>
        <w:trPr>
          <w:trHeight w:val="276" w:hRule="atLeast"/>
        </w:trPr>
        <w:tc>
          <w:tcPr>
            <w:tcW w:w="2876" w:type="dxa"/>
            <w:tcBorders>
              <w:bottom w:val="single" w:sz="4" w:space="0" w:color="000000"/>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Servicio de Atención y Protección de Víctimas y Testigos</w:t>
            </w:r>
          </w:p>
        </w:tc>
        <w:tc>
          <w:tcPr>
            <w:tcW w:w="1442" w:type="dxa"/>
            <w:tcBorders>
              <w:bottom w:val="single" w:sz="4" w:space="0" w:color="000000"/>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 xml:space="preserve">          </w:t>
            </w:r>
            <w:r>
              <w:rPr>
                <w:rFonts w:ascii="Bookman Old Style" w:hAnsi="Bookman Old Style"/>
                <w:color w:val="000000"/>
                <w:sz w:val="20"/>
                <w:szCs w:val="20"/>
              </w:rPr>
              <w:t xml:space="preserve">14.263.739 </w:t>
            </w:r>
          </w:p>
        </w:tc>
        <w:tc>
          <w:tcPr>
            <w:tcW w:w="1365" w:type="dxa"/>
            <w:tcBorders>
              <w:bottom w:val="single" w:sz="4" w:space="0" w:color="000000"/>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17.253.711</w:t>
            </w:r>
          </w:p>
        </w:tc>
        <w:tc>
          <w:tcPr>
            <w:tcW w:w="1367" w:type="dxa"/>
            <w:tcBorders>
              <w:bottom w:val="single" w:sz="4" w:space="0" w:color="000000"/>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17.253.590</w:t>
            </w:r>
          </w:p>
        </w:tc>
        <w:tc>
          <w:tcPr>
            <w:tcW w:w="1243" w:type="dxa"/>
            <w:tcBorders>
              <w:bottom w:val="single" w:sz="4" w:space="0" w:color="000000"/>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-121</w:t>
            </w:r>
          </w:p>
        </w:tc>
        <w:tc>
          <w:tcPr>
            <w:tcW w:w="1209" w:type="dxa"/>
            <w:tcBorders>
              <w:bottom w:val="single" w:sz="4" w:space="0" w:color="000000"/>
            </w:tcBorders>
            <w:shd w:color="000000" w:fill="FFFFFF" w:val="clear"/>
            <w:vAlign w:val="bottom"/>
          </w:tcPr>
          <w:p>
            <w:pPr>
              <w:pStyle w:val="Normal"/>
              <w:widowControl w:val="false"/>
              <w:jc w:val="both"/>
              <w:rPr>
                <w:rFonts w:ascii="Bookman Old Style" w:hAnsi="Bookman Old Style"/>
                <w:color w:val="000000"/>
                <w:sz w:val="20"/>
                <w:szCs w:val="20"/>
              </w:rPr>
            </w:pPr>
            <w:r>
              <w:rPr>
                <w:rFonts w:ascii="Bookman Old Style" w:hAnsi="Bookman Old Style"/>
                <w:color w:val="000000"/>
                <w:sz w:val="20"/>
                <w:szCs w:val="20"/>
              </w:rPr>
              <w:t>0%</w:t>
            </w:r>
          </w:p>
        </w:tc>
      </w:tr>
      <w:tr>
        <w:trPr>
          <w:trHeight w:val="276" w:hRule="atLeast"/>
        </w:trPr>
        <w:tc>
          <w:tcPr>
            <w:tcW w:w="2876" w:type="dxa"/>
            <w:tcBorders/>
            <w:shd w:color="000000" w:fill="FFFFFF" w:val="clear"/>
            <w:vAlign w:val="bottom"/>
          </w:tcPr>
          <w:p>
            <w:pPr>
              <w:pStyle w:val="Normal"/>
              <w:widowControl w:val="false"/>
              <w:jc w:val="both"/>
              <w:rPr>
                <w:rFonts w:ascii="Bookman Old Style" w:hAnsi="Bookman Old Style"/>
                <w:b/>
                <w:b/>
                <w:bCs/>
                <w:color w:val="000000"/>
                <w:sz w:val="20"/>
                <w:szCs w:val="20"/>
              </w:rPr>
            </w:pPr>
            <w:r>
              <w:rPr>
                <w:rFonts w:ascii="Bookman Old Style" w:hAnsi="Bookman Old Style"/>
                <w:b/>
                <w:bCs/>
                <w:color w:val="000000"/>
                <w:sz w:val="20"/>
                <w:szCs w:val="20"/>
              </w:rPr>
              <w:t>Total</w:t>
            </w:r>
          </w:p>
        </w:tc>
        <w:tc>
          <w:tcPr>
            <w:tcW w:w="1442" w:type="dxa"/>
            <w:tcBorders/>
            <w:shd w:color="000000" w:fill="FFFFFF" w:val="clear"/>
            <w:vAlign w:val="bottom"/>
          </w:tcPr>
          <w:p>
            <w:pPr>
              <w:pStyle w:val="Normal"/>
              <w:widowControl w:val="false"/>
              <w:jc w:val="both"/>
              <w:rPr>
                <w:rFonts w:ascii="Bookman Old Style" w:hAnsi="Bookman Old Style"/>
                <w:b/>
                <w:b/>
                <w:bCs/>
                <w:color w:val="000000"/>
                <w:sz w:val="20"/>
                <w:szCs w:val="20"/>
              </w:rPr>
            </w:pPr>
            <w:r>
              <w:rPr>
                <w:rFonts w:ascii="Bookman Old Style" w:hAnsi="Bookman Old Style"/>
                <w:b/>
                <w:bCs/>
                <w:color w:val="000000"/>
                <w:sz w:val="20"/>
                <w:szCs w:val="20"/>
              </w:rPr>
              <w:t>553.265.048</w:t>
            </w:r>
          </w:p>
        </w:tc>
        <w:tc>
          <w:tcPr>
            <w:tcW w:w="1365" w:type="dxa"/>
            <w:tcBorders/>
            <w:shd w:color="000000" w:fill="FFFFFF" w:val="clear"/>
            <w:vAlign w:val="bottom"/>
          </w:tcPr>
          <w:p>
            <w:pPr>
              <w:pStyle w:val="Normal"/>
              <w:widowControl w:val="false"/>
              <w:jc w:val="both"/>
              <w:rPr>
                <w:rFonts w:ascii="Bookman Old Style" w:hAnsi="Bookman Old Style"/>
                <w:b/>
                <w:b/>
                <w:bCs/>
                <w:color w:val="000000"/>
                <w:sz w:val="20"/>
                <w:szCs w:val="20"/>
              </w:rPr>
            </w:pPr>
            <w:r>
              <w:rPr>
                <w:rFonts w:ascii="Bookman Old Style" w:hAnsi="Bookman Old Style"/>
                <w:b/>
                <w:bCs/>
                <w:color w:val="000000"/>
                <w:sz w:val="20"/>
                <w:szCs w:val="20"/>
              </w:rPr>
              <w:t>582.373.843</w:t>
            </w:r>
          </w:p>
        </w:tc>
        <w:tc>
          <w:tcPr>
            <w:tcW w:w="1367" w:type="dxa"/>
            <w:tcBorders/>
            <w:shd w:color="000000" w:fill="FFFFFF" w:val="clear"/>
            <w:vAlign w:val="bottom"/>
          </w:tcPr>
          <w:p>
            <w:pPr>
              <w:pStyle w:val="Normal"/>
              <w:widowControl w:val="false"/>
              <w:jc w:val="both"/>
              <w:rPr>
                <w:rFonts w:ascii="Bookman Old Style" w:hAnsi="Bookman Old Style"/>
                <w:b/>
                <w:b/>
                <w:bCs/>
                <w:color w:val="000000"/>
                <w:sz w:val="20"/>
                <w:szCs w:val="20"/>
              </w:rPr>
            </w:pPr>
            <w:r>
              <w:rPr>
                <w:rFonts w:ascii="Bookman Old Style" w:hAnsi="Bookman Old Style"/>
                <w:b/>
                <w:bCs/>
                <w:color w:val="000000"/>
                <w:sz w:val="20"/>
                <w:szCs w:val="20"/>
              </w:rPr>
              <w:t>613.869.873</w:t>
            </w:r>
          </w:p>
        </w:tc>
        <w:tc>
          <w:tcPr>
            <w:tcW w:w="1243" w:type="dxa"/>
            <w:tcBorders/>
            <w:shd w:color="auto" w:fill="auto" w:val="clear"/>
            <w:vAlign w:val="bottom"/>
          </w:tcPr>
          <w:p>
            <w:pPr>
              <w:pStyle w:val="Normal"/>
              <w:widowControl w:val="false"/>
              <w:jc w:val="both"/>
              <w:rPr>
                <w:rFonts w:ascii="Bookman Old Style" w:hAnsi="Bookman Old Style"/>
                <w:b/>
                <w:b/>
                <w:bCs/>
                <w:color w:val="000000"/>
                <w:sz w:val="20"/>
                <w:szCs w:val="20"/>
              </w:rPr>
            </w:pPr>
            <w:r>
              <w:rPr>
                <w:rFonts w:ascii="Bookman Old Style" w:hAnsi="Bookman Old Style"/>
                <w:b/>
                <w:bCs/>
                <w:color w:val="000000"/>
                <w:sz w:val="20"/>
                <w:szCs w:val="20"/>
              </w:rPr>
              <w:t>31.496.030</w:t>
            </w:r>
          </w:p>
        </w:tc>
        <w:tc>
          <w:tcPr>
            <w:tcW w:w="1209" w:type="dxa"/>
            <w:tcBorders/>
            <w:shd w:color="000000" w:fill="FFFFFF" w:val="clear"/>
            <w:vAlign w:val="bottom"/>
          </w:tcPr>
          <w:p>
            <w:pPr>
              <w:pStyle w:val="Normal"/>
              <w:widowControl w:val="false"/>
              <w:jc w:val="both"/>
              <w:rPr>
                <w:rFonts w:ascii="Bookman Old Style" w:hAnsi="Bookman Old Style"/>
                <w:b/>
                <w:b/>
                <w:bCs/>
                <w:color w:val="000000"/>
                <w:sz w:val="20"/>
                <w:szCs w:val="20"/>
              </w:rPr>
            </w:pPr>
            <w:r>
              <w:rPr>
                <w:rFonts w:ascii="Bookman Old Style" w:hAnsi="Bookman Old Style"/>
                <w:b/>
                <w:bCs/>
                <w:color w:val="000000"/>
                <w:sz w:val="20"/>
                <w:szCs w:val="20"/>
              </w:rPr>
              <w:t>100%</w:t>
            </w:r>
          </w:p>
        </w:tc>
      </w:tr>
    </w:tbl>
    <w:p>
      <w:pPr>
        <w:pStyle w:val="Normal"/>
        <w:jc w:val="both"/>
        <w:rPr>
          <w:rFonts w:ascii="Bookman Old Style" w:hAnsi="Bookman Old Style"/>
          <w:b/>
          <w:b/>
          <w:sz w:val="20"/>
          <w:szCs w:val="20"/>
        </w:rPr>
      </w:pPr>
      <w:r>
        <w:rPr>
          <w:rFonts w:ascii="Bookman Old Style" w:hAnsi="Bookman Old Style"/>
          <w:b/>
          <w:sz w:val="20"/>
          <w:szCs w:val="20"/>
        </w:rPr>
      </w:r>
    </w:p>
    <w:p>
      <w:pPr>
        <w:pStyle w:val="Normal"/>
        <w:jc w:val="both"/>
        <w:rPr>
          <w:rFonts w:ascii="Bookman Old Style" w:hAnsi="Bookman Old Style"/>
          <w:bCs/>
          <w:sz w:val="20"/>
          <w:szCs w:val="20"/>
        </w:rPr>
      </w:pPr>
      <w:r>
        <w:rPr>
          <w:rFonts w:ascii="Bookman Old Style" w:hAnsi="Bookman Old Style"/>
          <w:bCs/>
          <w:sz w:val="20"/>
          <w:szCs w:val="20"/>
        </w:rPr>
        <w:t xml:space="preserve">     </w:t>
      </w:r>
      <w:r>
        <w:rPr>
          <w:rFonts w:ascii="Bookman Old Style" w:hAnsi="Bookman Old Style"/>
          <w:bCs/>
          <w:sz w:val="20"/>
          <w:szCs w:val="20"/>
        </w:rPr>
        <w:t>Fuente: SIGA PJ</w:t>
      </w:r>
    </w:p>
    <w:p>
      <w:pPr>
        <w:pStyle w:val="Normal"/>
        <w:ind w:firstLine="709"/>
        <w:jc w:val="both"/>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 xml:space="preserve">Según se indicó con anterioridad, el crecimiento de la subpartida a nivel institucional se da por el incremento en el servicio de alimentación de detenidos del Organismo de Investigación Judicial.  </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El programa 927 Servicios Jurisdiccional presenta una variación del -1%; además, el programa 929 Ministerio Público y Programa 930 Defensa Pública disminuyen la formulación de recursos para el periodo 2021 con variaciones del -6% y -2% respectivamente.</w:t>
      </w:r>
    </w:p>
    <w:p>
      <w:pPr>
        <w:pStyle w:val="Normal"/>
        <w:jc w:val="both"/>
        <w:rPr>
          <w:rFonts w:ascii="Bookman Old Style" w:hAnsi="Bookman Old Style"/>
          <w:b/>
          <w:b/>
          <w:sz w:val="20"/>
          <w:szCs w:val="20"/>
        </w:rPr>
      </w:pPr>
      <w:r>
        <w:rPr>
          <w:rFonts w:ascii="Bookman Old Style" w:hAnsi="Bookman Old Style"/>
          <w:b/>
          <w:sz w:val="20"/>
          <w:szCs w:val="20"/>
        </w:rPr>
        <w:t>Figura N° 3. Distribución de recursos por programa, para la subpartida 20203 Alimentos y bebidas</w:t>
      </w:r>
    </w:p>
    <w:p>
      <w:pPr>
        <w:pStyle w:val="Normal"/>
        <w:jc w:val="both"/>
        <w:rPr>
          <w:rFonts w:ascii="Bookman Old Style" w:hAnsi="Bookman Old Style"/>
          <w:b/>
          <w:b/>
          <w:sz w:val="20"/>
          <w:szCs w:val="20"/>
        </w:rPr>
      </w:pPr>
      <w:r>
        <w:rPr>
          <w:rFonts w:ascii="Bookman Old Style" w:hAnsi="Bookman Old Style"/>
          <w:b/>
          <w:sz w:val="20"/>
          <w:szCs w:val="20"/>
        </w:rPr>
      </w:r>
    </w:p>
    <w:p>
      <w:pPr>
        <w:pStyle w:val="Normal"/>
        <w:jc w:val="both"/>
        <w:rPr>
          <w:rFonts w:ascii="Bookman Old Style" w:hAnsi="Bookman Old Style"/>
          <w:b/>
          <w:b/>
          <w:sz w:val="20"/>
          <w:szCs w:val="20"/>
        </w:rPr>
      </w:pPr>
      <w:r>
        <w:rPr>
          <w:rFonts w:ascii="Bookman Old Style" w:hAnsi="Bookman Old Style"/>
          <w:b/>
          <w:sz w:val="20"/>
          <w:szCs w:val="20"/>
        </w:rPr>
      </w:r>
    </w:p>
    <w:p>
      <w:pPr>
        <w:pStyle w:val="Normal"/>
        <w:jc w:val="center"/>
        <w:rPr>
          <w:rFonts w:ascii="Bookman Old Style" w:hAnsi="Bookman Old Style"/>
          <w:b/>
          <w:b/>
          <w:sz w:val="20"/>
          <w:szCs w:val="20"/>
        </w:rPr>
      </w:pPr>
      <w:r>
        <w:rPr/>
        <w:drawing>
          <wp:inline distT="0" distB="0" distL="0" distR="0">
            <wp:extent cx="4065905" cy="2971800"/>
            <wp:effectExtent l="0" t="0" r="0" b="0"/>
            <wp:docPr id="22" name="Imagen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06" descr=""/>
                    <pic:cNvPicPr>
                      <a:picLocks noChangeAspect="1" noChangeArrowheads="1"/>
                    </pic:cNvPicPr>
                  </pic:nvPicPr>
                  <pic:blipFill>
                    <a:blip r:embed="rId53"/>
                    <a:stretch>
                      <a:fillRect/>
                    </a:stretch>
                  </pic:blipFill>
                  <pic:spPr bwMode="auto">
                    <a:xfrm>
                      <a:off x="0" y="0"/>
                      <a:ext cx="4065905" cy="2971800"/>
                    </a:xfrm>
                    <a:prstGeom prst="rect">
                      <a:avLst/>
                    </a:prstGeom>
                  </pic:spPr>
                </pic:pic>
              </a:graphicData>
            </a:graphic>
          </wp:inline>
        </w:drawing>
      </w:r>
    </w:p>
    <w:p>
      <w:pPr>
        <w:pStyle w:val="Normal"/>
        <w:jc w:val="both"/>
        <w:rPr>
          <w:rFonts w:ascii="Bookman Old Style" w:hAnsi="Bookman Old Style"/>
          <w:b/>
          <w:b/>
          <w:sz w:val="20"/>
          <w:szCs w:val="20"/>
        </w:rPr>
      </w:pPr>
      <w:r>
        <w:rPr>
          <w:rFonts w:ascii="Bookman Old Style" w:hAnsi="Bookman Old Style"/>
          <w:bCs/>
          <w:sz w:val="20"/>
          <w:szCs w:val="20"/>
        </w:rPr>
        <w:t xml:space="preserve">                         </w:t>
      </w:r>
      <w:r>
        <w:rPr>
          <w:rFonts w:ascii="Bookman Old Style" w:hAnsi="Bookman Old Style"/>
          <w:bCs/>
          <w:sz w:val="20"/>
          <w:szCs w:val="20"/>
        </w:rPr>
        <w:t xml:space="preserve">Fuente: SIGA PJ </w:t>
      </w:r>
    </w:p>
    <w:p>
      <w:pPr>
        <w:pStyle w:val="Normal"/>
        <w:jc w:val="both"/>
        <w:rPr>
          <w:rFonts w:ascii="Bookman Old Style" w:hAnsi="Bookman Old Style"/>
          <w:b/>
          <w:b/>
          <w:sz w:val="20"/>
          <w:szCs w:val="20"/>
        </w:rPr>
      </w:pPr>
      <w:r>
        <w:rPr>
          <w:rFonts w:ascii="Bookman Old Style" w:hAnsi="Bookman Old Style"/>
          <w:b/>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 xml:space="preserve">Según se muestra en la figura N° 3, el programa 928 Organismo de Investigación Judicial, es el que formula la mayor cantidad de recursos para el periodo 2021, con un total de ¢514.972.591, lo que representa un 83,89% del total de los recursos de la subpartida; seguido del Programa 926 Administración y Otros Órganos de Apoyo  con un total ¢71.675.746 para un 11,72% y el Programa 950 Servicio de Atención y Protección de Víctimas y Testigos con ¢17.253.590 los cuales, en su mayoría son para ayudas a víctimas. </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Ttulo3"/>
        <w:keepNext w:val="false"/>
        <w:spacing w:before="0" w:after="0"/>
        <w:ind w:firstLine="709"/>
        <w:rPr>
          <w:rFonts w:ascii="Bookman Old Style" w:hAnsi="Bookman Old Style" w:cs="Times New Roman"/>
          <w:sz w:val="20"/>
          <w:szCs w:val="20"/>
        </w:rPr>
      </w:pPr>
      <w:r>
        <w:rPr>
          <w:rFonts w:cs="Times New Roman" w:ascii="Bookman Old Style" w:hAnsi="Bookman Old Style"/>
          <w:sz w:val="20"/>
          <w:szCs w:val="20"/>
        </w:rPr>
        <w:t>Distribución por Centro de Responsabilidad</w:t>
      </w:r>
    </w:p>
    <w:p>
      <w:pPr>
        <w:pStyle w:val="Normal"/>
        <w:rPr>
          <w:rFonts w:ascii="Bookman Old Style" w:hAnsi="Bookman Old Style"/>
          <w:sz w:val="20"/>
          <w:szCs w:val="20"/>
        </w:rPr>
      </w:pPr>
      <w:r>
        <w:rPr>
          <w:rFonts w:ascii="Bookman Old Style" w:hAnsi="Bookman Old Style"/>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Centros de responsabilidad con los montos más representativos dentro de la subpartida.</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jc w:val="center"/>
        <w:rPr>
          <w:rFonts w:ascii="Bookman Old Style" w:hAnsi="Bookman Old Style"/>
          <w:b/>
          <w:b/>
          <w:sz w:val="20"/>
          <w:szCs w:val="20"/>
        </w:rPr>
      </w:pPr>
      <w:r>
        <w:rPr>
          <w:rFonts w:ascii="Bookman Old Style" w:hAnsi="Bookman Old Style"/>
          <w:b/>
          <w:sz w:val="20"/>
          <w:szCs w:val="20"/>
        </w:rPr>
        <w:t>Tabla 4.  Distribución de la subpartida por Centro de Responsabilidad Periodos 2020 – 2021</w:t>
      </w:r>
    </w:p>
    <w:p>
      <w:pPr>
        <w:pStyle w:val="Normal"/>
        <w:jc w:val="both"/>
        <w:rPr>
          <w:rFonts w:ascii="Bookman Old Style" w:hAnsi="Bookman Old Style"/>
          <w:b/>
          <w:b/>
          <w:sz w:val="20"/>
          <w:szCs w:val="20"/>
        </w:rPr>
      </w:pPr>
      <w:r>
        <w:rPr>
          <w:rFonts w:ascii="Bookman Old Style" w:hAnsi="Bookman Old Style"/>
          <w:b/>
          <w:sz w:val="20"/>
          <w:szCs w:val="20"/>
        </w:rPr>
      </w:r>
    </w:p>
    <w:tbl>
      <w:tblPr>
        <w:tblW w:w="846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042"/>
        <w:gridCol w:w="2536"/>
        <w:gridCol w:w="1531"/>
        <w:gridCol w:w="1354"/>
      </w:tblGrid>
      <w:tr>
        <w:trPr>
          <w:trHeight w:val="295" w:hRule="atLeast"/>
        </w:trPr>
        <w:tc>
          <w:tcPr>
            <w:tcW w:w="3042" w:type="dxa"/>
            <w:tcBorders>
              <w:top w:val="single" w:sz="4" w:space="0" w:color="1F4E78"/>
              <w:bottom w:val="single" w:sz="4" w:space="0" w:color="1F4E78"/>
            </w:tcBorders>
            <w:shd w:color="D9E1F2" w:fill="F2F2F2" w:val="clear"/>
            <w:vAlign w:val="bottom"/>
          </w:tcPr>
          <w:p>
            <w:pPr>
              <w:pStyle w:val="Normal"/>
              <w:widowControl w:val="false"/>
              <w:rPr>
                <w:rFonts w:ascii="Bookman Old Style" w:hAnsi="Bookman Old Style"/>
                <w:b/>
                <w:b/>
                <w:bCs/>
                <w:color w:val="1F4E78"/>
                <w:sz w:val="20"/>
                <w:szCs w:val="20"/>
              </w:rPr>
            </w:pPr>
            <w:r>
              <w:rPr>
                <w:rFonts w:ascii="Bookman Old Style" w:hAnsi="Bookman Old Style"/>
                <w:b/>
                <w:bCs/>
                <w:color w:val="1F4E78"/>
                <w:sz w:val="20"/>
                <w:szCs w:val="20"/>
              </w:rPr>
              <w:t>Centro de responsabilidad</w:t>
            </w:r>
          </w:p>
        </w:tc>
        <w:tc>
          <w:tcPr>
            <w:tcW w:w="2536" w:type="dxa"/>
            <w:tcBorders>
              <w:top w:val="single" w:sz="4" w:space="0" w:color="1F4E78"/>
              <w:bottom w:val="single" w:sz="4" w:space="0" w:color="1F4E78"/>
            </w:tcBorders>
            <w:shd w:color="D9E1F2" w:fill="F2F2F2" w:val="clear"/>
            <w:vAlign w:val="bottom"/>
          </w:tcPr>
          <w:p>
            <w:pPr>
              <w:pStyle w:val="Normal"/>
              <w:widowControl w:val="false"/>
              <w:rPr>
                <w:rFonts w:ascii="Bookman Old Style" w:hAnsi="Bookman Old Style"/>
                <w:b/>
                <w:b/>
                <w:bCs/>
                <w:color w:val="1F4E78"/>
                <w:sz w:val="20"/>
                <w:szCs w:val="20"/>
              </w:rPr>
            </w:pPr>
            <w:r>
              <w:rPr>
                <w:rFonts w:ascii="Bookman Old Style" w:hAnsi="Bookman Old Style"/>
                <w:b/>
                <w:bCs/>
                <w:color w:val="1F4E78"/>
                <w:sz w:val="20"/>
                <w:szCs w:val="20"/>
              </w:rPr>
            </w:r>
          </w:p>
        </w:tc>
        <w:tc>
          <w:tcPr>
            <w:tcW w:w="1531" w:type="dxa"/>
            <w:tcBorders>
              <w:top w:val="single" w:sz="4" w:space="0" w:color="1F4E78"/>
              <w:bottom w:val="single" w:sz="4" w:space="0" w:color="1F4E78"/>
            </w:tcBorders>
            <w:shd w:color="D9E1F2" w:fill="F2F2F2" w:val="clear"/>
            <w:vAlign w:val="bottom"/>
          </w:tcPr>
          <w:p>
            <w:pPr>
              <w:pStyle w:val="Normal"/>
              <w:widowControl w:val="false"/>
              <w:jc w:val="center"/>
              <w:rPr>
                <w:rFonts w:ascii="Bookman Old Style" w:hAnsi="Bookman Old Style"/>
                <w:b/>
                <w:b/>
                <w:bCs/>
                <w:color w:val="1F4E78"/>
                <w:sz w:val="20"/>
                <w:szCs w:val="20"/>
              </w:rPr>
            </w:pPr>
            <w:r>
              <w:rPr>
                <w:rFonts w:ascii="Bookman Old Style" w:hAnsi="Bookman Old Style"/>
                <w:b/>
                <w:bCs/>
                <w:color w:val="1F4E78"/>
                <w:sz w:val="20"/>
                <w:szCs w:val="20"/>
              </w:rPr>
              <w:t>2021</w:t>
            </w:r>
          </w:p>
        </w:tc>
        <w:tc>
          <w:tcPr>
            <w:tcW w:w="1354" w:type="dxa"/>
            <w:tcBorders>
              <w:top w:val="single" w:sz="4" w:space="0" w:color="1F4E78"/>
            </w:tcBorders>
            <w:shd w:color="D9E1F2" w:fill="F2F2F2" w:val="clear"/>
            <w:vAlign w:val="bottom"/>
          </w:tcPr>
          <w:p>
            <w:pPr>
              <w:pStyle w:val="Normal"/>
              <w:widowControl w:val="false"/>
              <w:jc w:val="center"/>
              <w:rPr>
                <w:rFonts w:ascii="Bookman Old Style" w:hAnsi="Bookman Old Style"/>
                <w:b/>
                <w:b/>
                <w:bCs/>
                <w:color w:val="1F4E78"/>
                <w:sz w:val="20"/>
                <w:szCs w:val="20"/>
              </w:rPr>
            </w:pPr>
            <w:r>
              <w:rPr>
                <w:rFonts w:ascii="Bookman Old Style" w:hAnsi="Bookman Old Style"/>
                <w:b/>
                <w:bCs/>
                <w:color w:val="1F4E78"/>
                <w:sz w:val="20"/>
                <w:szCs w:val="20"/>
              </w:rPr>
              <w:t>Porcentaje</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Organismo de Investigación Judicial</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514.972.591</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83,89%</w:t>
            </w:r>
          </w:p>
        </w:tc>
      </w:tr>
      <w:tr>
        <w:trPr>
          <w:trHeight w:val="295" w:hRule="atLeast"/>
        </w:trPr>
        <w:tc>
          <w:tcPr>
            <w:tcW w:w="3042"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Escuela Judicial</w:t>
            </w:r>
          </w:p>
        </w:tc>
        <w:tc>
          <w:tcPr>
            <w:tcW w:w="2536"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47.432.619</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7,73%</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Servicio de Atención y Protección de Víctimas y Testigos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17.253.590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2,81%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Despacho de la Presidencia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8.717.200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1,42%</w:t>
            </w:r>
          </w:p>
        </w:tc>
      </w:tr>
      <w:tr>
        <w:trPr>
          <w:trHeight w:val="295" w:hRule="atLeast"/>
        </w:trPr>
        <w:tc>
          <w:tcPr>
            <w:tcW w:w="3042"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Ministerio Público</w:t>
            </w:r>
          </w:p>
        </w:tc>
        <w:tc>
          <w:tcPr>
            <w:tcW w:w="2536"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 </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7.534.012</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1,23%</w:t>
            </w:r>
          </w:p>
        </w:tc>
      </w:tr>
      <w:tr>
        <w:trPr>
          <w:trHeight w:val="295" w:hRule="atLeast"/>
        </w:trPr>
        <w:tc>
          <w:tcPr>
            <w:tcW w:w="3042"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Consejo Superior</w:t>
            </w:r>
          </w:p>
        </w:tc>
        <w:tc>
          <w:tcPr>
            <w:tcW w:w="2536"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3.400.000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0,55%</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Comisión Nacional Mejoramiento de Justicia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3.087.342</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0,50%</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Comisiones Institucionales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1.982.071</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0,32%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Dirección Ejecutiva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1.000.000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0,16%</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Primer Circuito Judicial San José</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849.664</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0,14%</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Oficina de Control Interno</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840.000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0,14%</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Segundo Circuito Judicial San José</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752.000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0,12%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Dirección Gestión Humana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739.355</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0,12%</w:t>
            </w:r>
          </w:p>
        </w:tc>
      </w:tr>
      <w:tr>
        <w:trPr>
          <w:trHeight w:val="295" w:hRule="atLeast"/>
        </w:trPr>
        <w:tc>
          <w:tcPr>
            <w:tcW w:w="3042"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Defensa Pública</w:t>
            </w:r>
          </w:p>
        </w:tc>
        <w:tc>
          <w:tcPr>
            <w:tcW w:w="2536"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588.140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0,10%</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Centro de Gestión de la Calidad</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503.500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0,08%</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Contraloría de Servicios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456.889</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0,07%</w:t>
            </w:r>
          </w:p>
        </w:tc>
      </w:tr>
      <w:tr>
        <w:trPr>
          <w:trHeight w:val="295" w:hRule="atLeast"/>
        </w:trPr>
        <w:tc>
          <w:tcPr>
            <w:tcW w:w="3042"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Salas</w:t>
            </w:r>
          </w:p>
        </w:tc>
        <w:tc>
          <w:tcPr>
            <w:tcW w:w="2536"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450.000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0,07%</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Circuito Judicial Puntarenas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330.000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0,05%</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Primer Circuito Judicial Zona Atlántica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321.257</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0,05%</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Secretaría Técnica de Ética y Valores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301.040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0,05%</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Centro de Conciliación del Poder Judicial</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254.399</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0,04%</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Administración Ciudad Judicial San Joaquín de Flores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250.000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0,04%</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Segundo Circuito Judicial Zona Sur</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247.176</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0,04%</w:t>
            </w:r>
          </w:p>
        </w:tc>
      </w:tr>
      <w:tr>
        <w:trPr>
          <w:trHeight w:val="295" w:hRule="atLeast"/>
        </w:trPr>
        <w:tc>
          <w:tcPr>
            <w:tcW w:w="3042"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Auditoría</w:t>
            </w:r>
          </w:p>
        </w:tc>
        <w:tc>
          <w:tcPr>
            <w:tcW w:w="2536" w:type="dxa"/>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200.000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0,03%</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Departamento de Prensa y Comunicación Organizacional</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174.724</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0,03%</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Presidencia de la Corte</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146.150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Dirección de Planificación</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120.000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Administración de Quepos</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106.000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Programa Justicia Restaurativa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100.460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Circuito Judicial Cartago</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100.000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Segundo Circuito Judicial Guanacaste</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97.000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0,02%</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Administración de Santa Cruz</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86.467</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Circuito Judicial Heredia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85.000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Administración de Turrialba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70.040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Primer Circuito Judicial Zona Sur</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63.600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Secretaría Técnica de Género y Acceso a la Justicia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61.800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Dirección de Tecnología de Información</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53.049</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Primer Circuito Judicial Guanacaste</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50.000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Primer Circuito Judicial Alajuela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50.000</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5578" w:type="dxa"/>
            <w:gridSpan w:val="2"/>
            <w:tcBorders/>
            <w:shd w:color="000000" w:fill="FFFFFF" w:val="clear"/>
            <w:vAlign w:val="bottom"/>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Departamento de Trabajo Social y Psicología</w:t>
            </w:r>
          </w:p>
        </w:tc>
        <w:tc>
          <w:tcPr>
            <w:tcW w:w="1531"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42.738</w:t>
            </w:r>
          </w:p>
        </w:tc>
        <w:tc>
          <w:tcPr>
            <w:tcW w:w="1354" w:type="dxa"/>
            <w:tcBorders/>
            <w:shd w:color="000000" w:fill="FFFFFF" w:val="clear"/>
            <w:vAlign w:val="bottom"/>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0,01%</w:t>
            </w:r>
          </w:p>
        </w:tc>
      </w:tr>
      <w:tr>
        <w:trPr>
          <w:trHeight w:val="295" w:hRule="atLeast"/>
        </w:trPr>
        <w:tc>
          <w:tcPr>
            <w:tcW w:w="3042" w:type="dxa"/>
            <w:tcBorders>
              <w:top w:val="single" w:sz="4" w:space="0" w:color="1F4E78"/>
              <w:bottom w:val="single" w:sz="4" w:space="0" w:color="1F4E78"/>
            </w:tcBorders>
            <w:shd w:color="D9E1F2" w:fill="F2F2F2" w:val="clear"/>
            <w:vAlign w:val="bottom"/>
          </w:tcPr>
          <w:p>
            <w:pPr>
              <w:pStyle w:val="Normal"/>
              <w:widowControl w:val="false"/>
              <w:jc w:val="center"/>
              <w:rPr>
                <w:rFonts w:ascii="Bookman Old Style" w:hAnsi="Bookman Old Style"/>
                <w:b/>
                <w:b/>
                <w:bCs/>
                <w:color w:val="1F4E78"/>
                <w:sz w:val="20"/>
                <w:szCs w:val="20"/>
              </w:rPr>
            </w:pPr>
            <w:r>
              <w:rPr>
                <w:rFonts w:ascii="Bookman Old Style" w:hAnsi="Bookman Old Style"/>
                <w:b/>
                <w:bCs/>
                <w:color w:val="1F4E78"/>
                <w:sz w:val="20"/>
                <w:szCs w:val="20"/>
              </w:rPr>
              <w:t>Total</w:t>
            </w:r>
          </w:p>
        </w:tc>
        <w:tc>
          <w:tcPr>
            <w:tcW w:w="2536" w:type="dxa"/>
            <w:tcBorders>
              <w:top w:val="single" w:sz="4" w:space="0" w:color="1F4E78"/>
              <w:bottom w:val="single" w:sz="4" w:space="0" w:color="1F4E78"/>
            </w:tcBorders>
            <w:shd w:color="D9E1F2" w:fill="F2F2F2" w:val="clear"/>
            <w:vAlign w:val="bottom"/>
          </w:tcPr>
          <w:p>
            <w:pPr>
              <w:pStyle w:val="Normal"/>
              <w:widowControl w:val="false"/>
              <w:jc w:val="center"/>
              <w:rPr>
                <w:rFonts w:ascii="Bookman Old Style" w:hAnsi="Bookman Old Style"/>
                <w:b/>
                <w:b/>
                <w:bCs/>
                <w:color w:val="1F4E78"/>
                <w:sz w:val="20"/>
                <w:szCs w:val="20"/>
              </w:rPr>
            </w:pPr>
            <w:r>
              <w:rPr>
                <w:rFonts w:ascii="Bookman Old Style" w:hAnsi="Bookman Old Style"/>
                <w:b/>
                <w:bCs/>
                <w:color w:val="1F4E78"/>
                <w:sz w:val="20"/>
                <w:szCs w:val="20"/>
              </w:rPr>
            </w:r>
          </w:p>
        </w:tc>
        <w:tc>
          <w:tcPr>
            <w:tcW w:w="1531" w:type="dxa"/>
            <w:tcBorders>
              <w:top w:val="single" w:sz="4" w:space="0" w:color="1F4E78"/>
              <w:bottom w:val="single" w:sz="4" w:space="0" w:color="1F4E78"/>
            </w:tcBorders>
            <w:shd w:color="D9E1F2" w:fill="F2F2F2" w:val="clear"/>
            <w:vAlign w:val="bottom"/>
          </w:tcPr>
          <w:p>
            <w:pPr>
              <w:pStyle w:val="Normal"/>
              <w:widowControl w:val="false"/>
              <w:jc w:val="center"/>
              <w:rPr>
                <w:rFonts w:ascii="Bookman Old Style" w:hAnsi="Bookman Old Style"/>
                <w:b/>
                <w:b/>
                <w:bCs/>
                <w:color w:val="1F4E78"/>
                <w:sz w:val="20"/>
                <w:szCs w:val="20"/>
              </w:rPr>
            </w:pPr>
            <w:r>
              <w:rPr>
                <w:rFonts w:ascii="Bookman Old Style" w:hAnsi="Bookman Old Style"/>
                <w:b/>
                <w:bCs/>
                <w:color w:val="1F4E78"/>
                <w:sz w:val="20"/>
                <w:szCs w:val="20"/>
              </w:rPr>
              <w:t>613.869.873</w:t>
            </w:r>
          </w:p>
        </w:tc>
        <w:tc>
          <w:tcPr>
            <w:tcW w:w="1354" w:type="dxa"/>
            <w:tcBorders>
              <w:top w:val="single" w:sz="4" w:space="0" w:color="1F4E78"/>
              <w:bottom w:val="single" w:sz="4" w:space="0" w:color="1F4E78"/>
            </w:tcBorders>
            <w:shd w:color="D9E1F2" w:fill="F2F2F2" w:val="clear"/>
            <w:vAlign w:val="bottom"/>
          </w:tcPr>
          <w:p>
            <w:pPr>
              <w:pStyle w:val="Normal"/>
              <w:widowControl w:val="false"/>
              <w:jc w:val="center"/>
              <w:rPr>
                <w:rFonts w:ascii="Bookman Old Style" w:hAnsi="Bookman Old Style"/>
                <w:b/>
                <w:b/>
                <w:bCs/>
                <w:color w:val="1F4E78"/>
                <w:sz w:val="20"/>
                <w:szCs w:val="20"/>
              </w:rPr>
            </w:pPr>
            <w:r>
              <w:rPr>
                <w:rFonts w:ascii="Bookman Old Style" w:hAnsi="Bookman Old Style"/>
                <w:b/>
                <w:bCs/>
                <w:color w:val="1F4E78"/>
                <w:sz w:val="20"/>
                <w:szCs w:val="20"/>
              </w:rPr>
              <w:t>100%</w:t>
            </w:r>
          </w:p>
        </w:tc>
      </w:tr>
    </w:tbl>
    <w:p>
      <w:pPr>
        <w:pStyle w:val="Normal"/>
        <w:jc w:val="both"/>
        <w:rPr>
          <w:rFonts w:ascii="Bookman Old Style" w:hAnsi="Bookman Old Style"/>
          <w:bCs/>
          <w:sz w:val="20"/>
          <w:szCs w:val="20"/>
        </w:rPr>
      </w:pPr>
      <w:r>
        <w:rPr>
          <w:rFonts w:ascii="Bookman Old Style" w:hAnsi="Bookman Old Style"/>
          <w:bCs/>
          <w:sz w:val="20"/>
          <w:szCs w:val="20"/>
        </w:rPr>
      </w:r>
    </w:p>
    <w:p>
      <w:pPr>
        <w:pStyle w:val="Normal"/>
        <w:jc w:val="both"/>
        <w:rPr>
          <w:rFonts w:ascii="Bookman Old Style" w:hAnsi="Bookman Old Style"/>
          <w:bCs/>
          <w:sz w:val="20"/>
          <w:szCs w:val="20"/>
        </w:rPr>
      </w:pPr>
      <w:r>
        <w:rPr>
          <w:rFonts w:ascii="Bookman Old Style" w:hAnsi="Bookman Old Style"/>
          <w:bCs/>
          <w:sz w:val="20"/>
          <w:szCs w:val="20"/>
        </w:rPr>
        <w:t xml:space="preserve"> </w:t>
      </w:r>
      <w:r>
        <w:rPr>
          <w:rFonts w:ascii="Bookman Old Style" w:hAnsi="Bookman Old Style"/>
          <w:bCs/>
          <w:sz w:val="20"/>
          <w:szCs w:val="20"/>
        </w:rPr>
        <w:t>Fuente: SIGA PJ</w:t>
      </w:r>
    </w:p>
    <w:p>
      <w:pPr>
        <w:pStyle w:val="Normal"/>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Según se muestra en el cuadro anterior, la concentración de recursos para el periodo 2021 por Centro de Responsabilidad, recae sobre el Organismo de Investigación Judicial con un monto de ¢514.972.591, seguido de la Escuela Judicial con ¢47.432.619. Estos dos centros representan un 92% de los recursos formulados en esta subpartida.</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 xml:space="preserve">En el caso del crecimiento de esta subpartida con relación al periodo anterior, el centro de responsabilidad que hace diferencia es el Organismo de Investigación Judicial y como anteriormente se mencionó, corresponde al crecimiento del contrato de alimentación de detenidos, que estima los respectivos porcentajes de crecimiento para cada periodo presupuestario. </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eastAsia="Calibri" w:eastAsiaTheme="minorHAnsi"/>
          <w:b/>
          <w:b/>
          <w:sz w:val="20"/>
          <w:szCs w:val="20"/>
        </w:rPr>
      </w:pPr>
      <w:r>
        <w:rPr>
          <w:rFonts w:eastAsia="Calibri" w:ascii="Bookman Old Style" w:hAnsi="Bookman Old Style" w:eastAsiaTheme="minorHAnsi"/>
          <w:b/>
          <w:sz w:val="20"/>
          <w:szCs w:val="20"/>
        </w:rPr>
        <w:t>1.5 Requerimientos Adicionales</w:t>
      </w:r>
    </w:p>
    <w:p>
      <w:pPr>
        <w:pStyle w:val="Normal"/>
        <w:ind w:firstLine="709"/>
        <w:jc w:val="both"/>
        <w:rPr>
          <w:rFonts w:ascii="Bookman Old Style" w:hAnsi="Bookman Old Style" w:eastAsia="Calibri" w:eastAsiaTheme="minorHAnsi"/>
          <w:b/>
          <w:b/>
          <w:sz w:val="20"/>
          <w:szCs w:val="20"/>
        </w:rPr>
      </w:pPr>
      <w:r>
        <w:rPr>
          <w:rFonts w:eastAsia="Calibri" w:eastAsiaTheme="minorHAnsi" w:ascii="Bookman Old Style" w:hAnsi="Bookman Old Style"/>
          <w:b/>
          <w:sz w:val="20"/>
          <w:szCs w:val="20"/>
        </w:rPr>
      </w:r>
    </w:p>
    <w:tbl>
      <w:tblPr>
        <w:tblW w:w="991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256"/>
        <w:gridCol w:w="1850"/>
        <w:gridCol w:w="1425"/>
        <w:gridCol w:w="1835"/>
        <w:gridCol w:w="2552"/>
      </w:tblGrid>
      <w:tr>
        <w:trPr>
          <w:trHeight w:val="275" w:hRule="atLeast"/>
        </w:trPr>
        <w:tc>
          <w:tcPr>
            <w:tcW w:w="2256" w:type="dxa"/>
            <w:tcBorders>
              <w:top w:val="single" w:sz="4" w:space="0" w:color="000000"/>
              <w:left w:val="single" w:sz="4" w:space="0" w:color="000000"/>
              <w:bottom w:val="single" w:sz="4" w:space="0" w:color="000000"/>
              <w:right w:val="single" w:sz="4" w:space="0" w:color="000000"/>
            </w:tcBorders>
            <w:shd w:color="000000" w:fill="1F497D" w:val="clear"/>
            <w:vAlign w:val="center"/>
          </w:tcPr>
          <w:p>
            <w:pPr>
              <w:pStyle w:val="Normal"/>
              <w:widowControl w:val="false"/>
              <w:jc w:val="both"/>
              <w:rPr>
                <w:rFonts w:ascii="Bookman Old Style" w:hAnsi="Bookman Old Style" w:eastAsia="Calibri" w:eastAsiaTheme="minorHAnsi"/>
                <w:b/>
                <w:b/>
                <w:color w:val="000000" w:themeColor="text1"/>
                <w:sz w:val="20"/>
                <w:szCs w:val="20"/>
              </w:rPr>
            </w:pPr>
            <w:r>
              <w:rPr>
                <w:rFonts w:eastAsia="Calibri" w:ascii="Bookman Old Style" w:hAnsi="Bookman Old Style" w:eastAsiaTheme="minorHAnsi"/>
                <w:b/>
                <w:color w:val="000000" w:themeColor="text1"/>
                <w:sz w:val="20"/>
                <w:szCs w:val="20"/>
              </w:rPr>
              <w:t xml:space="preserve">Centro de Responsabilidad </w:t>
            </w:r>
          </w:p>
        </w:tc>
        <w:tc>
          <w:tcPr>
            <w:tcW w:w="1850" w:type="dxa"/>
            <w:tcBorders>
              <w:top w:val="single" w:sz="4" w:space="0" w:color="000000"/>
              <w:left w:val="single" w:sz="4" w:space="0" w:color="000000"/>
              <w:bottom w:val="single" w:sz="4" w:space="0" w:color="000000"/>
              <w:right w:val="single" w:sz="4" w:space="0" w:color="000000"/>
            </w:tcBorders>
            <w:shd w:color="000000" w:fill="1F497D" w:val="clear"/>
            <w:vAlign w:val="center"/>
          </w:tcPr>
          <w:p>
            <w:pPr>
              <w:pStyle w:val="Normal"/>
              <w:widowControl w:val="false"/>
              <w:jc w:val="both"/>
              <w:rPr>
                <w:rFonts w:ascii="Bookman Old Style" w:hAnsi="Bookman Old Style" w:eastAsia="Calibri" w:eastAsiaTheme="minorHAnsi"/>
                <w:b/>
                <w:b/>
                <w:color w:val="000000" w:themeColor="text1"/>
                <w:sz w:val="20"/>
                <w:szCs w:val="20"/>
              </w:rPr>
            </w:pPr>
            <w:r>
              <w:rPr>
                <w:rFonts w:eastAsia="Calibri" w:ascii="Bookman Old Style" w:hAnsi="Bookman Old Style" w:eastAsiaTheme="minorHAnsi"/>
                <w:b/>
                <w:color w:val="000000" w:themeColor="text1"/>
                <w:sz w:val="20"/>
                <w:szCs w:val="20"/>
              </w:rPr>
              <w:t>Subpartida</w:t>
            </w:r>
          </w:p>
        </w:tc>
        <w:tc>
          <w:tcPr>
            <w:tcW w:w="1425" w:type="dxa"/>
            <w:tcBorders>
              <w:top w:val="single" w:sz="4" w:space="0" w:color="000000"/>
              <w:left w:val="single" w:sz="4" w:space="0" w:color="000000"/>
              <w:bottom w:val="single" w:sz="4" w:space="0" w:color="000000"/>
              <w:right w:val="single" w:sz="4" w:space="0" w:color="000000"/>
            </w:tcBorders>
            <w:shd w:color="000000" w:fill="1F497D" w:val="clear"/>
            <w:vAlign w:val="center"/>
          </w:tcPr>
          <w:p>
            <w:pPr>
              <w:pStyle w:val="Normal"/>
              <w:widowControl w:val="false"/>
              <w:jc w:val="both"/>
              <w:rPr>
                <w:rFonts w:ascii="Bookman Old Style" w:hAnsi="Bookman Old Style" w:eastAsia="Calibri" w:eastAsiaTheme="minorHAnsi"/>
                <w:b/>
                <w:b/>
                <w:color w:val="000000" w:themeColor="text1"/>
                <w:sz w:val="20"/>
                <w:szCs w:val="20"/>
              </w:rPr>
            </w:pPr>
            <w:r>
              <w:rPr>
                <w:rFonts w:eastAsia="Calibri" w:ascii="Bookman Old Style" w:hAnsi="Bookman Old Style" w:eastAsiaTheme="minorHAnsi"/>
                <w:b/>
                <w:color w:val="000000" w:themeColor="text1"/>
                <w:sz w:val="20"/>
                <w:szCs w:val="20"/>
              </w:rPr>
              <w:t>Monto Adicional</w:t>
            </w:r>
          </w:p>
        </w:tc>
        <w:tc>
          <w:tcPr>
            <w:tcW w:w="1835" w:type="dxa"/>
            <w:tcBorders>
              <w:top w:val="single" w:sz="4" w:space="0" w:color="000000"/>
              <w:left w:val="single" w:sz="4" w:space="0" w:color="000000"/>
              <w:bottom w:val="single" w:sz="4" w:space="0" w:color="000000"/>
              <w:right w:val="single" w:sz="4" w:space="0" w:color="000000"/>
            </w:tcBorders>
            <w:shd w:color="000000" w:fill="1F497D" w:val="clear"/>
            <w:vAlign w:val="center"/>
          </w:tcPr>
          <w:p>
            <w:pPr>
              <w:pStyle w:val="Normal"/>
              <w:widowControl w:val="false"/>
              <w:jc w:val="both"/>
              <w:rPr>
                <w:rFonts w:ascii="Bookman Old Style" w:hAnsi="Bookman Old Style" w:eastAsia="Calibri" w:eastAsiaTheme="minorHAnsi"/>
                <w:b/>
                <w:b/>
                <w:color w:val="000000" w:themeColor="text1"/>
                <w:sz w:val="20"/>
                <w:szCs w:val="20"/>
              </w:rPr>
            </w:pPr>
            <w:r>
              <w:rPr>
                <w:rFonts w:eastAsia="Calibri" w:ascii="Bookman Old Style" w:hAnsi="Bookman Old Style" w:eastAsiaTheme="minorHAnsi"/>
                <w:b/>
                <w:color w:val="000000" w:themeColor="text1"/>
                <w:sz w:val="20"/>
                <w:szCs w:val="20"/>
              </w:rPr>
              <w:t>Justificación</w:t>
            </w:r>
          </w:p>
        </w:tc>
        <w:tc>
          <w:tcPr>
            <w:tcW w:w="2552" w:type="dxa"/>
            <w:tcBorders>
              <w:top w:val="single" w:sz="4" w:space="0" w:color="000000"/>
              <w:left w:val="single" w:sz="4" w:space="0" w:color="000000"/>
              <w:bottom w:val="single" w:sz="4" w:space="0" w:color="000000"/>
              <w:right w:val="single" w:sz="4" w:space="0" w:color="000000"/>
            </w:tcBorders>
            <w:shd w:color="000000" w:fill="1F497D" w:val="clear"/>
          </w:tcPr>
          <w:p>
            <w:pPr>
              <w:pStyle w:val="Normal"/>
              <w:widowControl w:val="false"/>
              <w:jc w:val="both"/>
              <w:rPr>
                <w:rFonts w:ascii="Bookman Old Style" w:hAnsi="Bookman Old Style" w:eastAsia="Calibri" w:eastAsiaTheme="minorHAnsi"/>
                <w:b/>
                <w:b/>
                <w:color w:val="000000" w:themeColor="text1"/>
                <w:sz w:val="20"/>
                <w:szCs w:val="20"/>
              </w:rPr>
            </w:pPr>
            <w:r>
              <w:rPr>
                <w:rFonts w:eastAsia="Calibri" w:ascii="Bookman Old Style" w:hAnsi="Bookman Old Style" w:eastAsiaTheme="minorHAnsi"/>
                <w:b/>
                <w:color w:val="000000" w:themeColor="text1"/>
                <w:sz w:val="20"/>
                <w:szCs w:val="20"/>
              </w:rPr>
              <w:t>Observaciones</w:t>
            </w:r>
          </w:p>
        </w:tc>
      </w:tr>
      <w:tr>
        <w:trPr>
          <w:trHeight w:val="1971" w:hRule="atLeast"/>
        </w:trPr>
        <w:tc>
          <w:tcPr>
            <w:tcW w:w="225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Comisión Nacional Mejoramiento de Justicia</w:t>
            </w:r>
          </w:p>
          <w:p>
            <w:pPr>
              <w:pStyle w:val="Normal"/>
              <w:widowControl w:val="false"/>
              <w:jc w:val="center"/>
              <w:rPr>
                <w:rFonts w:ascii="Bookman Old Style" w:hAnsi="Bookman Old Style" w:eastAsia="Calibri" w:eastAsiaTheme="minorHAnsi"/>
                <w:color w:val="000000"/>
                <w:sz w:val="20"/>
                <w:szCs w:val="20"/>
              </w:rPr>
            </w:pPr>
            <w:r>
              <w:rPr>
                <w:rFonts w:eastAsia="Calibri" w:eastAsiaTheme="minorHAnsi" w:ascii="Bookman Old Style" w:hAnsi="Bookman Old Style"/>
                <w:color w:val="000000"/>
                <w:sz w:val="20"/>
                <w:szCs w:val="20"/>
              </w:rPr>
            </w:r>
          </w:p>
        </w:tc>
        <w:tc>
          <w:tcPr>
            <w:tcW w:w="1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Bookman Old Style" w:hAnsi="Bookman Old Style"/>
                <w:color w:val="000000"/>
                <w:sz w:val="20"/>
                <w:szCs w:val="20"/>
              </w:rPr>
            </w:pPr>
            <w:r>
              <w:rPr>
                <w:rFonts w:ascii="Bookman Old Style" w:hAnsi="Bookman Old Style"/>
                <w:color w:val="000000"/>
                <w:sz w:val="20"/>
                <w:szCs w:val="20"/>
              </w:rPr>
              <w:t>20203 Alimentos y bebidas</w:t>
            </w:r>
          </w:p>
          <w:p>
            <w:pPr>
              <w:pStyle w:val="Normal"/>
              <w:widowControl w:val="false"/>
              <w:jc w:val="center"/>
              <w:rPr>
                <w:rFonts w:ascii="Bookman Old Style" w:hAnsi="Bookman Old Style" w:eastAsia="Calibri" w:eastAsiaTheme="minorHAnsi"/>
                <w:sz w:val="20"/>
                <w:szCs w:val="20"/>
              </w:rPr>
            </w:pPr>
            <w:r>
              <w:rPr>
                <w:rFonts w:eastAsia="Calibri" w:eastAsiaTheme="minorHAnsi" w:ascii="Bookman Old Style" w:hAnsi="Bookman Old Style"/>
                <w:sz w:val="20"/>
                <w:szCs w:val="20"/>
              </w:rPr>
            </w:r>
          </w:p>
          <w:p>
            <w:pPr>
              <w:pStyle w:val="Normal"/>
              <w:widowControl w:val="false"/>
              <w:jc w:val="center"/>
              <w:rPr>
                <w:rFonts w:ascii="Bookman Old Style" w:hAnsi="Bookman Old Style" w:eastAsia="Calibri" w:eastAsiaTheme="minorHAnsi"/>
                <w:color w:val="000000"/>
                <w:sz w:val="20"/>
                <w:szCs w:val="20"/>
              </w:rPr>
            </w:pPr>
            <w:r>
              <w:rPr>
                <w:rFonts w:eastAsia="Calibri" w:eastAsiaTheme="minorHAnsi" w:ascii="Bookman Old Style" w:hAnsi="Bookman Old Style"/>
                <w:color w:val="000000"/>
                <w:sz w:val="20"/>
                <w:szCs w:val="20"/>
              </w:rPr>
            </w:r>
          </w:p>
        </w:tc>
        <w:tc>
          <w:tcPr>
            <w:tcW w:w="142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Bookman Old Style" w:hAnsi="Bookman Old Style" w:eastAsia="Calibri" w:eastAsiaTheme="minorHAnsi"/>
                <w:color w:val="000000"/>
                <w:sz w:val="20"/>
                <w:szCs w:val="20"/>
              </w:rPr>
            </w:pPr>
            <w:r>
              <w:rPr>
                <w:rFonts w:eastAsia="Calibri" w:ascii="Bookman Old Style" w:hAnsi="Bookman Old Style" w:eastAsiaTheme="minorHAnsi"/>
                <w:color w:val="000000"/>
                <w:sz w:val="20"/>
                <w:szCs w:val="20"/>
              </w:rPr>
              <w:t>¢1.000.000</w:t>
            </w:r>
          </w:p>
          <w:p>
            <w:pPr>
              <w:pStyle w:val="Normal"/>
              <w:widowControl w:val="false"/>
              <w:jc w:val="center"/>
              <w:rPr>
                <w:rFonts w:ascii="Bookman Old Style" w:hAnsi="Bookman Old Style" w:eastAsia="Calibri" w:eastAsiaTheme="minorHAnsi"/>
                <w:sz w:val="20"/>
                <w:szCs w:val="20"/>
              </w:rPr>
            </w:pPr>
            <w:r>
              <w:rPr>
                <w:rFonts w:eastAsia="Calibri" w:eastAsiaTheme="minorHAnsi" w:ascii="Bookman Old Style" w:hAnsi="Bookman Old Style"/>
                <w:sz w:val="20"/>
                <w:szCs w:val="20"/>
              </w:rPr>
            </w:r>
          </w:p>
          <w:p>
            <w:pPr>
              <w:pStyle w:val="Normal"/>
              <w:widowControl w:val="false"/>
              <w:jc w:val="center"/>
              <w:rPr>
                <w:rFonts w:ascii="Bookman Old Style" w:hAnsi="Bookman Old Style" w:eastAsia="Calibri" w:eastAsiaTheme="minorHAnsi"/>
                <w:sz w:val="20"/>
                <w:szCs w:val="20"/>
              </w:rPr>
            </w:pPr>
            <w:r>
              <w:rPr>
                <w:rFonts w:eastAsia="Calibri" w:eastAsiaTheme="minorHAnsi" w:ascii="Bookman Old Style" w:hAnsi="Bookman Old Style"/>
                <w:sz w:val="20"/>
                <w:szCs w:val="20"/>
              </w:rPr>
            </w:r>
          </w:p>
        </w:tc>
        <w:tc>
          <w:tcPr>
            <w:tcW w:w="183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Bookman Old Style" w:hAnsi="Bookman Old Style"/>
                <w:color w:val="000000"/>
                <w:sz w:val="20"/>
                <w:szCs w:val="20"/>
              </w:rPr>
            </w:pPr>
            <w:r>
              <w:rPr>
                <w:rFonts w:ascii="Bookman Old Style" w:hAnsi="Bookman Old Style"/>
                <w:color w:val="000000"/>
                <w:sz w:val="20"/>
                <w:szCs w:val="20"/>
              </w:rPr>
              <w:t>Para cubrir actividades en que participan las personas facilitadoras, en virtud de que estas se trasladan desde zonas alejadas y suelen salir muy temprano de sus casas para atender a las convocatorias de los juzgados.</w:t>
            </w:r>
          </w:p>
          <w:p>
            <w:pPr>
              <w:pStyle w:val="Normal"/>
              <w:widowControl w:val="false"/>
              <w:rPr>
                <w:rFonts w:ascii="Bookman Old Style" w:hAnsi="Bookman Old Style" w:eastAsia="Calibri" w:eastAsiaTheme="minorHAnsi"/>
                <w:color w:val="000000"/>
                <w:sz w:val="20"/>
                <w:szCs w:val="20"/>
              </w:rPr>
            </w:pPr>
            <w:r>
              <w:rPr>
                <w:rFonts w:eastAsia="Calibri" w:eastAsiaTheme="minorHAnsi" w:ascii="Bookman Old Style" w:hAnsi="Bookman Old Style"/>
                <w:color w:val="000000"/>
                <w:sz w:val="20"/>
                <w:szCs w:val="20"/>
              </w:rPr>
            </w:r>
          </w:p>
        </w:tc>
        <w:tc>
          <w:tcPr>
            <w:tcW w:w="2552"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Bookman Old Style" w:hAnsi="Bookman Old Style"/>
                <w:sz w:val="20"/>
                <w:szCs w:val="20"/>
              </w:rPr>
            </w:pPr>
            <w:r>
              <w:rPr>
                <w:rFonts w:ascii="Bookman Old Style" w:hAnsi="Bookman Old Style"/>
                <w:sz w:val="20"/>
                <w:szCs w:val="20"/>
              </w:rPr>
              <w:t>Este Centro de Responsabilidad ejecutó en 2019 ¢3.410.585(monto que representó un 6% del presupuesto actual), formuló para 2020 ¢3.087.342 y para 2021 solicita ¢3.087.342.</w:t>
            </w:r>
          </w:p>
          <w:p>
            <w:pPr>
              <w:pStyle w:val="Normal"/>
              <w:widowControl w:val="false"/>
              <w:rPr>
                <w:rFonts w:ascii="Bookman Old Style" w:hAnsi="Bookman Old Style" w:eastAsia="Calibri" w:eastAsiaTheme="minorHAnsi"/>
                <w:color w:val="000000"/>
                <w:sz w:val="20"/>
                <w:szCs w:val="20"/>
              </w:rPr>
            </w:pPr>
            <w:r>
              <w:rPr>
                <w:rFonts w:eastAsia="Calibri" w:eastAsiaTheme="minorHAnsi" w:ascii="Bookman Old Style" w:hAnsi="Bookman Old Style"/>
                <w:color w:val="000000"/>
                <w:sz w:val="20"/>
                <w:szCs w:val="20"/>
              </w:rPr>
            </w:r>
          </w:p>
        </w:tc>
      </w:tr>
    </w:tbl>
    <w:p>
      <w:pPr>
        <w:pStyle w:val="Normal"/>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
          <w:b/>
          <w:sz w:val="20"/>
          <w:szCs w:val="20"/>
        </w:rPr>
      </w:pPr>
      <w:r>
        <w:rPr>
          <w:rFonts w:ascii="Bookman Old Style" w:hAnsi="Bookman Old Style"/>
          <w:b/>
          <w:sz w:val="20"/>
          <w:szCs w:val="20"/>
        </w:rPr>
        <w:t>En caso de aprobarse estos requerimientos adicionales, el presupuesto total de la subpartida 20203 Alimentos y Bebidas sería de ¢614.869.873, con una variación definitiva del 5.6% respecto al 2020.</w:t>
      </w:r>
    </w:p>
    <w:p>
      <w:pPr>
        <w:pStyle w:val="Normal"/>
        <w:ind w:firstLine="709"/>
        <w:jc w:val="both"/>
        <w:rPr>
          <w:rFonts w:ascii="Bookman Old Style" w:hAnsi="Bookman Old Style"/>
          <w:b/>
          <w:b/>
          <w:sz w:val="20"/>
          <w:szCs w:val="20"/>
        </w:rPr>
      </w:pPr>
      <w:r>
        <w:rPr>
          <w:rFonts w:ascii="Bookman Old Style" w:hAnsi="Bookman Old Style"/>
          <w:b/>
          <w:sz w:val="20"/>
          <w:szCs w:val="20"/>
        </w:rPr>
      </w:r>
    </w:p>
    <w:p>
      <w:pPr>
        <w:pStyle w:val="Normal"/>
        <w:ind w:firstLine="709"/>
        <w:jc w:val="both"/>
        <w:rPr>
          <w:rFonts w:ascii="Bookman Old Style" w:hAnsi="Bookman Old Style"/>
          <w:sz w:val="20"/>
          <w:szCs w:val="20"/>
        </w:rPr>
      </w:pPr>
      <w:r>
        <w:rPr>
          <w:rFonts w:ascii="Bookman Old Style" w:hAnsi="Bookman Old Style"/>
          <w:sz w:val="20"/>
          <w:szCs w:val="20"/>
        </w:rPr>
        <w:t>Como se indicó con anterioridad, para el 2019 se dio una ejecución presupuestaria del 97,13%; se presenta el detalle de la ejecución para el periodo 2019 por programa presupuestario.</w:t>
      </w:r>
    </w:p>
    <w:p>
      <w:pPr>
        <w:pStyle w:val="Normal"/>
        <w:jc w:val="both"/>
        <w:rPr>
          <w:rFonts w:ascii="Bookman Old Style" w:hAnsi="Bookman Old Style"/>
          <w:sz w:val="20"/>
          <w:szCs w:val="20"/>
        </w:rPr>
      </w:pPr>
      <w:r>
        <w:rPr>
          <w:rFonts w:ascii="Bookman Old Style" w:hAnsi="Bookman Old Style"/>
          <w:sz w:val="20"/>
          <w:szCs w:val="20"/>
        </w:rPr>
        <w:t xml:space="preserve">                                                           </w:t>
      </w:r>
      <w:r>
        <w:rPr>
          <w:rFonts w:ascii="Bookman Old Style" w:hAnsi="Bookman Old Style"/>
          <w:sz w:val="20"/>
          <w:szCs w:val="20"/>
        </w:rPr>
        <w:t>Tabla 3</w:t>
      </w:r>
    </w:p>
    <w:tbl>
      <w:tblPr>
        <w:tblW w:w="708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977"/>
        <w:gridCol w:w="2111"/>
      </w:tblGrid>
      <w:tr>
        <w:trPr>
          <w:trHeight w:val="254" w:hRule="atLeast"/>
        </w:trPr>
        <w:tc>
          <w:tcPr>
            <w:tcW w:w="4977" w:type="dxa"/>
            <w:tcBorders/>
          </w:tcPr>
          <w:p>
            <w:pPr>
              <w:pStyle w:val="Normal"/>
              <w:widowControl w:val="false"/>
              <w:jc w:val="both"/>
              <w:rPr>
                <w:rFonts w:ascii="Bookman Old Style" w:hAnsi="Bookman Old Style"/>
                <w:b/>
                <w:b/>
                <w:bCs/>
                <w:sz w:val="20"/>
                <w:szCs w:val="20"/>
              </w:rPr>
            </w:pPr>
            <w:r>
              <w:rPr>
                <w:rFonts w:ascii="Bookman Old Style" w:hAnsi="Bookman Old Style"/>
                <w:b/>
                <w:bCs/>
                <w:sz w:val="20"/>
                <w:szCs w:val="20"/>
              </w:rPr>
              <w:t>Programa</w:t>
            </w:r>
          </w:p>
        </w:tc>
        <w:tc>
          <w:tcPr>
            <w:tcW w:w="2111" w:type="dxa"/>
            <w:tcBorders/>
          </w:tcPr>
          <w:p>
            <w:pPr>
              <w:pStyle w:val="Normal"/>
              <w:widowControl w:val="false"/>
              <w:jc w:val="both"/>
              <w:rPr>
                <w:rFonts w:ascii="Bookman Old Style" w:hAnsi="Bookman Old Style"/>
                <w:b/>
                <w:b/>
                <w:bCs/>
                <w:sz w:val="20"/>
                <w:szCs w:val="20"/>
              </w:rPr>
            </w:pPr>
            <w:r>
              <w:rPr>
                <w:rFonts w:ascii="Bookman Old Style" w:hAnsi="Bookman Old Style"/>
                <w:b/>
                <w:bCs/>
                <w:sz w:val="20"/>
                <w:szCs w:val="20"/>
              </w:rPr>
              <w:t>Ejecución 2019</w:t>
            </w:r>
          </w:p>
        </w:tc>
      </w:tr>
      <w:tr>
        <w:trPr>
          <w:trHeight w:val="280"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Dirección, Administración y Otros Órganos de Apoyo</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66.939.182,98</w:t>
            </w:r>
          </w:p>
        </w:tc>
      </w:tr>
      <w:tr>
        <w:trPr>
          <w:trHeight w:val="25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Servicio Jurisdiccional</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1.591.228,62</w:t>
            </w:r>
          </w:p>
        </w:tc>
      </w:tr>
      <w:tr>
        <w:trPr>
          <w:trHeight w:val="25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Organismo de Investigación Judicial</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462.533.024,46</w:t>
            </w:r>
          </w:p>
        </w:tc>
      </w:tr>
      <w:tr>
        <w:trPr>
          <w:trHeight w:val="26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Ministerio Público</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7.339.088,29</w:t>
            </w:r>
          </w:p>
        </w:tc>
      </w:tr>
      <w:tr>
        <w:trPr>
          <w:trHeight w:val="254"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Defensa Pública</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598.785</w:t>
            </w:r>
          </w:p>
        </w:tc>
      </w:tr>
      <w:tr>
        <w:trPr>
          <w:trHeight w:val="386" w:hRule="atLeast"/>
        </w:trPr>
        <w:tc>
          <w:tcPr>
            <w:tcW w:w="4977" w:type="dxa"/>
            <w:tcBorders/>
          </w:tcPr>
          <w:p>
            <w:pPr>
              <w:pStyle w:val="Normal"/>
              <w:widowControl w:val="false"/>
              <w:jc w:val="both"/>
              <w:rPr>
                <w:rFonts w:ascii="Bookman Old Style" w:hAnsi="Bookman Old Style"/>
                <w:sz w:val="20"/>
                <w:szCs w:val="20"/>
              </w:rPr>
            </w:pPr>
            <w:r>
              <w:rPr>
                <w:rFonts w:ascii="Bookman Old Style" w:hAnsi="Bookman Old Style"/>
                <w:color w:val="000000"/>
                <w:sz w:val="20"/>
                <w:szCs w:val="20"/>
              </w:rPr>
              <w:t>Servicio de Atención y Protección de Víctimas y Testigos</w:t>
            </w:r>
          </w:p>
        </w:tc>
        <w:tc>
          <w:tcPr>
            <w:tcW w:w="2111" w:type="dxa"/>
            <w:tcBorders/>
          </w:tcPr>
          <w:p>
            <w:pPr>
              <w:pStyle w:val="Normal"/>
              <w:widowControl w:val="false"/>
              <w:jc w:val="both"/>
              <w:rPr>
                <w:rFonts w:ascii="Bookman Old Style" w:hAnsi="Bookman Old Style"/>
                <w:sz w:val="20"/>
                <w:szCs w:val="20"/>
              </w:rPr>
            </w:pPr>
            <w:r>
              <w:rPr>
                <w:rFonts w:ascii="Bookman Old Style" w:hAnsi="Bookman Old Style"/>
                <w:sz w:val="20"/>
                <w:szCs w:val="20"/>
              </w:rPr>
              <w:t>¢ 14.263.738,92</w:t>
            </w:r>
          </w:p>
        </w:tc>
      </w:tr>
    </w:tbl>
    <w:p>
      <w:pPr>
        <w:pStyle w:val="Normal"/>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Cs/>
          <w:sz w:val="20"/>
          <w:szCs w:val="20"/>
        </w:rPr>
      </w:pPr>
      <w:r>
        <w:rPr>
          <w:rFonts w:ascii="Bookman Old Style" w:hAnsi="Bookman Old Style"/>
          <w:bCs/>
          <w:sz w:val="20"/>
          <w:szCs w:val="20"/>
        </w:rPr>
        <w:t xml:space="preserve">Finalmente, como </w:t>
      </w:r>
      <w:r>
        <w:rPr>
          <w:rFonts w:ascii="Bookman Old Style" w:hAnsi="Bookman Old Style"/>
          <w:b/>
          <w:sz w:val="20"/>
          <w:szCs w:val="20"/>
        </w:rPr>
        <w:t>complemento del análisis realizado</w:t>
      </w:r>
      <w:r>
        <w:rPr>
          <w:rFonts w:ascii="Bookman Old Style" w:hAnsi="Bookman Old Style"/>
          <w:bCs/>
          <w:sz w:val="20"/>
          <w:szCs w:val="20"/>
        </w:rPr>
        <w:t xml:space="preserve">, se consultó al </w:t>
      </w:r>
      <w:r>
        <w:rPr>
          <w:rFonts w:ascii="Bookman Old Style" w:hAnsi="Bookman Old Style"/>
          <w:b/>
          <w:sz w:val="20"/>
          <w:szCs w:val="20"/>
        </w:rPr>
        <w:t>Departamento Financiero Contable</w:t>
      </w:r>
      <w:r>
        <w:rPr>
          <w:rFonts w:ascii="Bookman Old Style" w:hAnsi="Bookman Old Style"/>
          <w:bCs/>
          <w:sz w:val="20"/>
          <w:szCs w:val="20"/>
        </w:rPr>
        <w:t xml:space="preserve"> sobre el comportamiento de los contratos de alimentación de detenidos.  Al respecto, el Lic. Luis Abarca Padilla, sobre los contratos de alimentación de detenidos,  indicó:</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ind w:left="851" w:right="851" w:firstLine="709"/>
        <w:jc w:val="both"/>
        <w:rPr>
          <w:rFonts w:ascii="Bookman Old Style" w:hAnsi="Bookman Old Style" w:eastAsia="" w:eastAsiaTheme="minorEastAsia"/>
          <w:i/>
          <w:i/>
          <w:iCs/>
          <w:sz w:val="20"/>
          <w:szCs w:val="20"/>
          <w:lang w:eastAsia="en-US"/>
        </w:rPr>
      </w:pPr>
      <w:r>
        <w:rPr>
          <w:rFonts w:ascii="Bookman Old Style" w:hAnsi="Bookman Old Style"/>
          <w:i/>
          <w:iCs/>
          <w:sz w:val="20"/>
          <w:szCs w:val="20"/>
        </w:rPr>
        <w:t xml:space="preserve">… </w:t>
      </w:r>
      <w:r>
        <w:rPr>
          <w:rFonts w:ascii="Bookman Old Style" w:hAnsi="Bookman Old Style"/>
          <w:bCs/>
          <w:i/>
          <w:iCs/>
          <w:sz w:val="20"/>
          <w:szCs w:val="20"/>
        </w:rPr>
        <w:t>s</w:t>
      </w:r>
      <w:r>
        <w:rPr>
          <w:rFonts w:eastAsia="" w:ascii="Bookman Old Style" w:hAnsi="Bookman Old Style" w:eastAsiaTheme="minorEastAsia"/>
          <w:bCs/>
          <w:i/>
          <w:iCs/>
          <w:sz w:val="20"/>
          <w:szCs w:val="20"/>
          <w:lang w:eastAsia="en-US"/>
        </w:rPr>
        <w:t>e adjunta análisis del comportamiento de la subpartida 20203 con el que se evidencia que el monto que se está proponiendo es cercano al comportamiento de la ejecución del 2019 más el IVA con un faltante estimado de 11 millones según comportamiento.</w:t>
      </w:r>
    </w:p>
    <w:p>
      <w:pPr>
        <w:pStyle w:val="Normal"/>
        <w:ind w:left="851" w:right="851" w:firstLine="709"/>
        <w:jc w:val="both"/>
        <w:rPr>
          <w:rFonts w:ascii="Bookman Old Style" w:hAnsi="Bookman Old Style" w:eastAsia="" w:eastAsiaTheme="minorEastAsia"/>
          <w:bCs/>
          <w:i/>
          <w:i/>
          <w:iCs/>
          <w:sz w:val="20"/>
          <w:szCs w:val="20"/>
          <w:lang w:eastAsia="en-US"/>
        </w:rPr>
      </w:pPr>
      <w:r>
        <w:rPr>
          <w:rFonts w:eastAsia="" w:eastAsiaTheme="minorEastAsia" w:ascii="Bookman Old Style" w:hAnsi="Bookman Old Style"/>
          <w:bCs/>
          <w:i/>
          <w:iCs/>
          <w:sz w:val="20"/>
          <w:szCs w:val="20"/>
          <w:lang w:eastAsia="en-US"/>
        </w:rPr>
      </w:r>
    </w:p>
    <w:p>
      <w:pPr>
        <w:pStyle w:val="Normal"/>
        <w:ind w:left="851" w:right="851" w:firstLine="709"/>
        <w:jc w:val="both"/>
        <w:rPr>
          <w:rFonts w:ascii="Bookman Old Style" w:hAnsi="Bookman Old Style" w:eastAsia="" w:eastAsiaTheme="minorEastAsia"/>
          <w:bCs/>
          <w:i/>
          <w:i/>
          <w:iCs/>
          <w:sz w:val="20"/>
          <w:szCs w:val="20"/>
          <w:lang w:eastAsia="en-US"/>
        </w:rPr>
      </w:pPr>
      <w:r>
        <w:rPr>
          <w:rFonts w:eastAsia="" w:ascii="Bookman Old Style" w:hAnsi="Bookman Old Style" w:eastAsiaTheme="minorEastAsia"/>
          <w:bCs/>
          <w:i/>
          <w:iCs/>
          <w:sz w:val="20"/>
          <w:szCs w:val="20"/>
          <w:lang w:eastAsia="en-US"/>
        </w:rPr>
        <w:t>Importante indicar, que no se puede comprobar este comportamiento con los pedidos tramitados en el 2020 ya que todavía se tiene un faltante por IVA, pero se verificó la razonabilidad de la cuantía del rubro de contratos contra la proyección de seguimiento para el 2020 y se visualiza similar.</w:t>
      </w:r>
    </w:p>
    <w:p>
      <w:pPr>
        <w:pStyle w:val="Normal"/>
        <w:jc w:val="both"/>
        <w:rPr>
          <w:rFonts w:ascii="Bookman Old Style" w:hAnsi="Bookman Old Style"/>
          <w:color w:val="201F1E"/>
          <w:sz w:val="20"/>
          <w:szCs w:val="20"/>
        </w:rPr>
      </w:pPr>
      <w:r>
        <w:rPr>
          <w:rFonts w:ascii="Bookman Old Style" w:hAnsi="Bookman Old Style"/>
          <w:color w:val="201F1E"/>
          <w:sz w:val="20"/>
          <w:szCs w:val="20"/>
        </w:rPr>
      </w:r>
    </w:p>
    <w:p>
      <w:pPr>
        <w:pStyle w:val="Normal"/>
        <w:jc w:val="center"/>
        <w:rPr>
          <w:rFonts w:ascii="Bookman Old Style" w:hAnsi="Bookman Old Style"/>
          <w:sz w:val="20"/>
          <w:szCs w:val="20"/>
        </w:rPr>
      </w:pPr>
      <w:r>
        <w:rPr/>
        <w:drawing>
          <wp:inline distT="0" distB="0" distL="0" distR="0">
            <wp:extent cx="3657600" cy="1762125"/>
            <wp:effectExtent l="0" t="0" r="0" b="0"/>
            <wp:docPr id="23" name="Imagen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07" descr=""/>
                    <pic:cNvPicPr>
                      <a:picLocks noChangeAspect="1" noChangeArrowheads="1"/>
                    </pic:cNvPicPr>
                  </pic:nvPicPr>
                  <pic:blipFill>
                    <a:blip r:embed="rId54"/>
                    <a:stretch>
                      <a:fillRect/>
                    </a:stretch>
                  </pic:blipFill>
                  <pic:spPr bwMode="auto">
                    <a:xfrm>
                      <a:off x="0" y="0"/>
                      <a:ext cx="3657600" cy="1762125"/>
                    </a:xfrm>
                    <a:prstGeom prst="rect">
                      <a:avLst/>
                    </a:prstGeom>
                  </pic:spPr>
                </pic:pic>
              </a:graphicData>
            </a:graphic>
          </wp:inline>
        </w:drawing>
      </w:r>
    </w:p>
    <w:p>
      <w:pPr>
        <w:pStyle w:val="Normal"/>
        <w:ind w:firstLine="709"/>
        <w:jc w:val="both"/>
        <w:rPr>
          <w:rFonts w:ascii="Bookman Old Style" w:hAnsi="Bookman Old Style"/>
          <w:bCs/>
          <w:sz w:val="20"/>
          <w:szCs w:val="20"/>
        </w:rPr>
      </w:pPr>
      <w:r>
        <w:rPr>
          <w:rFonts w:ascii="Bookman Old Style" w:hAnsi="Bookman Old Style"/>
          <w:bCs/>
          <w:sz w:val="20"/>
          <w:szCs w:val="20"/>
        </w:rPr>
        <w:t xml:space="preserve">Como parte del análisis y la discusión es importante recordar que en la reunión de trabajo del pasado 27 de marzo, el Consejo Superior conoció el contenido del OFICIO PJ-DGH-CAP-116-2020 RELACIONADO CON ACUERDO DE LA SUBCOMISIÓN DE ACCESO A LA JUSTICIA DE PUEBLOS INDÍGENAS, en el cual propone una serie de requerimientos presupuestarios por ¢7.154.000 necesarios para atender lo dispuesto por la </w:t>
      </w:r>
      <w:r>
        <w:rPr>
          <w:rFonts w:ascii="Bookman Old Style" w:hAnsi="Bookman Old Style"/>
          <w:b/>
          <w:sz w:val="20"/>
          <w:szCs w:val="20"/>
        </w:rPr>
        <w:t xml:space="preserve">Subcomisión de Acceso a la Justicia de Pueblos Indígenas, </w:t>
      </w:r>
      <w:r>
        <w:rPr>
          <w:rFonts w:ascii="Bookman Old Style" w:hAnsi="Bookman Old Style"/>
          <w:sz w:val="20"/>
          <w:szCs w:val="20"/>
        </w:rPr>
        <w:t>respecto de dotar a las</w:t>
      </w:r>
      <w:r>
        <w:rPr>
          <w:rFonts w:ascii="Bookman Old Style" w:hAnsi="Bookman Old Style"/>
          <w:b/>
          <w:sz w:val="20"/>
          <w:szCs w:val="20"/>
        </w:rPr>
        <w:t xml:space="preserve"> </w:t>
      </w:r>
      <w:r>
        <w:rPr>
          <w:rFonts w:ascii="Bookman Old Style" w:hAnsi="Bookman Old Style"/>
          <w:bCs/>
          <w:sz w:val="20"/>
          <w:szCs w:val="20"/>
        </w:rPr>
        <w:t>Unidades de Capacitación del Ministerio Público, Defensa Pública, OIJ, Escuela Judicial, Dirección de Justicia Restaurativa, y las Comisiones, entre otros, de un rubro bajo las partidas de capacitación, viáticos y transportes, a efecto de contar con recursos para la alimentación en las visitas a territorios indígenas. Al respecto, finalmente se dispuso:</w:t>
      </w:r>
    </w:p>
    <w:p>
      <w:pPr>
        <w:pStyle w:val="Normal"/>
        <w:ind w:firstLine="709"/>
        <w:jc w:val="both"/>
        <w:rPr>
          <w:rFonts w:ascii="Bookman Old Style" w:hAnsi="Bookman Old Style"/>
          <w:bCs/>
          <w:sz w:val="20"/>
          <w:szCs w:val="20"/>
        </w:rPr>
      </w:pPr>
      <w:r>
        <w:rPr>
          <w:rFonts w:ascii="Bookman Old Style" w:hAnsi="Bookman Old Style"/>
          <w:bCs/>
          <w:sz w:val="20"/>
          <w:szCs w:val="20"/>
        </w:rPr>
      </w:r>
    </w:p>
    <w:p>
      <w:pPr>
        <w:pStyle w:val="Normal"/>
        <w:ind w:firstLine="709"/>
        <w:jc w:val="both"/>
        <w:rPr>
          <w:rFonts w:ascii="Bookman Old Style" w:hAnsi="Bookman Old Style"/>
          <w:bCs/>
          <w:i/>
          <w:i/>
          <w:iCs/>
          <w:sz w:val="20"/>
          <w:szCs w:val="20"/>
          <w:lang w:val="es-MX"/>
        </w:rPr>
      </w:pPr>
      <w:r>
        <w:rPr>
          <w:rFonts w:ascii="Bookman Old Style" w:hAnsi="Bookman Old Style"/>
          <w:b/>
          <w:i/>
          <w:iCs/>
          <w:sz w:val="20"/>
          <w:szCs w:val="20"/>
          <w:lang w:val="es-MX"/>
        </w:rPr>
        <w:t>“</w:t>
      </w:r>
      <w:r>
        <w:rPr>
          <w:rFonts w:ascii="Bookman Old Style" w:hAnsi="Bookman Old Style"/>
          <w:b/>
          <w:i/>
          <w:iCs/>
          <w:sz w:val="20"/>
          <w:szCs w:val="20"/>
          <w:lang w:val="es-MX"/>
        </w:rPr>
        <w:t>(…) 3)</w:t>
      </w:r>
      <w:r>
        <w:rPr>
          <w:rFonts w:ascii="Bookman Old Style" w:hAnsi="Bookman Old Style"/>
          <w:bCs/>
          <w:i/>
          <w:iCs/>
          <w:sz w:val="20"/>
          <w:szCs w:val="20"/>
          <w:lang w:val="es-MX"/>
        </w:rPr>
        <w:t xml:space="preserve"> Aprobar la inclusión en la subpartida de Alimentos y Bebidas de los requerimientos solicitados por la </w:t>
      </w:r>
      <w:r>
        <w:rPr>
          <w:rFonts w:ascii="Bookman Old Style" w:hAnsi="Bookman Old Style"/>
          <w:b/>
          <w:i/>
          <w:iCs/>
          <w:sz w:val="20"/>
          <w:szCs w:val="20"/>
          <w:lang w:val="es-MX"/>
        </w:rPr>
        <w:t xml:space="preserve">Subcomisión de Acceso a la Justicia de Pueblos Indígenas, </w:t>
      </w:r>
      <w:r>
        <w:rPr>
          <w:rFonts w:ascii="Bookman Old Style" w:hAnsi="Bookman Old Style"/>
          <w:i/>
          <w:iCs/>
          <w:sz w:val="20"/>
          <w:szCs w:val="20"/>
          <w:lang w:val="es-MX"/>
        </w:rPr>
        <w:t>respecto de dotar a las</w:t>
      </w:r>
      <w:r>
        <w:rPr>
          <w:rFonts w:ascii="Bookman Old Style" w:hAnsi="Bookman Old Style"/>
          <w:b/>
          <w:i/>
          <w:iCs/>
          <w:sz w:val="20"/>
          <w:szCs w:val="20"/>
          <w:lang w:val="es-MX"/>
        </w:rPr>
        <w:t xml:space="preserve"> </w:t>
      </w:r>
      <w:r>
        <w:rPr>
          <w:rFonts w:ascii="Bookman Old Style" w:hAnsi="Bookman Old Style"/>
          <w:bCs/>
          <w:i/>
          <w:iCs/>
          <w:sz w:val="20"/>
          <w:szCs w:val="20"/>
          <w:lang w:val="es-MX"/>
        </w:rPr>
        <w:t>Unidades de Capacitación del Ministerio Público, Defensa Pública, OIJ, Escuela Judicial, Dirección de Justicia Restaurativa, y las Comisiones, entre otros, de recursos para las actividades de capacitación en las que participa la población indígena”.</w:t>
      </w:r>
    </w:p>
    <w:p>
      <w:pPr>
        <w:pStyle w:val="Normal"/>
        <w:ind w:firstLine="709"/>
        <w:jc w:val="both"/>
        <w:rPr>
          <w:rFonts w:ascii="Bookman Old Style" w:hAnsi="Bookman Old Style"/>
          <w:bCs/>
          <w:i/>
          <w:i/>
          <w:iCs/>
          <w:sz w:val="20"/>
          <w:szCs w:val="20"/>
          <w:lang w:val="es-MX"/>
        </w:rPr>
      </w:pPr>
      <w:r>
        <w:rPr>
          <w:rFonts w:ascii="Bookman Old Style" w:hAnsi="Bookman Old Style"/>
          <w:bCs/>
          <w:i/>
          <w:iCs/>
          <w:sz w:val="20"/>
          <w:szCs w:val="20"/>
          <w:lang w:val="es-MX"/>
        </w:rPr>
      </w:r>
    </w:p>
    <w:p>
      <w:pPr>
        <w:pStyle w:val="Normal"/>
        <w:ind w:firstLine="708"/>
        <w:jc w:val="center"/>
        <w:rPr>
          <w:rFonts w:ascii="Bookman Old Style" w:hAnsi="Bookman Old Style"/>
          <w:b/>
          <w:b/>
          <w:bCs/>
          <w:sz w:val="20"/>
          <w:szCs w:val="20"/>
        </w:rPr>
      </w:pPr>
      <w:r>
        <w:rPr>
          <w:rFonts w:ascii="Bookman Old Style" w:hAnsi="Bookman Old Style"/>
          <w:b/>
          <w:bCs/>
          <w:sz w:val="20"/>
          <w:szCs w:val="20"/>
        </w:rPr>
        <w:t>-0-</w:t>
      </w:r>
    </w:p>
    <w:p>
      <w:pPr>
        <w:pStyle w:val="Normal"/>
        <w:ind w:firstLine="709"/>
        <w:jc w:val="both"/>
        <w:rPr>
          <w:rFonts w:ascii="Bookman Old Style" w:hAnsi="Bookman Old Style"/>
          <w:b/>
          <w:b/>
          <w:bCs/>
          <w:sz w:val="20"/>
          <w:szCs w:val="20"/>
        </w:rPr>
      </w:pPr>
      <w:r>
        <w:rPr>
          <w:rFonts w:ascii="Bookman Old Style" w:hAnsi="Bookman Old Style"/>
          <w:b/>
          <w:bCs/>
          <w:sz w:val="20"/>
          <w:szCs w:val="20"/>
        </w:rPr>
      </w:r>
    </w:p>
    <w:p>
      <w:pPr>
        <w:pStyle w:val="Normal"/>
        <w:ind w:firstLine="709"/>
        <w:jc w:val="both"/>
        <w:rPr>
          <w:rFonts w:ascii="Bookman Old Style" w:hAnsi="Bookman Old Style"/>
          <w:b/>
          <w:b/>
          <w:sz w:val="20"/>
          <w:szCs w:val="20"/>
        </w:rPr>
      </w:pPr>
      <w:r>
        <w:rPr>
          <w:rFonts w:ascii="Bookman Old Style" w:hAnsi="Bookman Old Style"/>
          <w:b/>
          <w:bCs/>
          <w:sz w:val="20"/>
          <w:szCs w:val="20"/>
        </w:rPr>
        <w:t>Se acordó</w:t>
      </w:r>
      <w:r>
        <w:rPr>
          <w:rFonts w:ascii="Bookman Old Style" w:hAnsi="Bookman Old Style"/>
          <w:bCs/>
          <w:sz w:val="20"/>
          <w:szCs w:val="20"/>
        </w:rPr>
        <w:t xml:space="preserve">: </w:t>
      </w:r>
      <w:r>
        <w:rPr>
          <w:rFonts w:ascii="Bookman Old Style" w:hAnsi="Bookman Old Style"/>
          <w:b/>
          <w:sz w:val="20"/>
          <w:szCs w:val="20"/>
        </w:rPr>
        <w:t>1)</w:t>
      </w:r>
      <w:r>
        <w:rPr>
          <w:rFonts w:ascii="Bookman Old Style" w:hAnsi="Bookman Old Style"/>
          <w:bCs/>
          <w:sz w:val="20"/>
          <w:szCs w:val="20"/>
        </w:rPr>
        <w:t xml:space="preserve"> Aprobar los requerimientos solicitados por los distintos Centros de Responsabilidad en la subpartida 20203 Alimentos y Bebidas. </w:t>
      </w:r>
      <w:r>
        <w:rPr>
          <w:rFonts w:ascii="Bookman Old Style" w:hAnsi="Bookman Old Style"/>
          <w:b/>
          <w:sz w:val="20"/>
          <w:szCs w:val="20"/>
        </w:rPr>
        <w:t>2)</w:t>
      </w:r>
      <w:r>
        <w:rPr>
          <w:rFonts w:ascii="Bookman Old Style" w:hAnsi="Bookman Old Style"/>
          <w:bCs/>
          <w:sz w:val="20"/>
          <w:szCs w:val="20"/>
        </w:rPr>
        <w:t xml:space="preserve"> Se aprueba los requerimientos adicionales solicitados para CONAMAJ destinados al Programa Nacional de Facilitadores Judiciales. </w:t>
      </w:r>
      <w:r>
        <w:rPr>
          <w:rFonts w:ascii="Bookman Old Style" w:hAnsi="Bookman Old Style"/>
          <w:b/>
          <w:sz w:val="20"/>
          <w:szCs w:val="20"/>
        </w:rPr>
        <w:t>3)</w:t>
      </w:r>
      <w:r>
        <w:rPr>
          <w:rFonts w:ascii="Bookman Old Style" w:hAnsi="Bookman Old Style"/>
          <w:bCs/>
          <w:sz w:val="20"/>
          <w:szCs w:val="20"/>
        </w:rPr>
        <w:t xml:space="preserve"> Incorporar la suma de   ¢7.154.000 en la subpartida de Alimentos y Bebidas solicitados por la Subcomisión de Acceso a la Justicia de Pueblos Indígenas, respecto de dotar a las Unidades de Capacitación del Ministerio Público, Defensa Pública, OIJ, Escuela Judicial, Dirección de Justicia Restaurativa, y las Comisiones, entre otros, de recursos para las actividades de capacitación en las que participa la población indígena. </w:t>
      </w:r>
      <w:r>
        <w:rPr>
          <w:rFonts w:ascii="Bookman Old Style" w:hAnsi="Bookman Old Style"/>
          <w:b/>
          <w:sz w:val="20"/>
          <w:szCs w:val="20"/>
        </w:rPr>
        <w:t>Se declara acuerdo firme.</w:t>
      </w:r>
      <w:r>
        <w:rPr>
          <w:rFonts w:ascii="Bookman Old Style" w:hAnsi="Bookman Old Style"/>
          <w:b/>
          <w:bCs/>
          <w:sz w:val="20"/>
          <w:szCs w:val="20"/>
        </w:rPr>
        <w:t>”</w:t>
      </w:r>
    </w:p>
    <w:p>
      <w:pPr>
        <w:pStyle w:val="Normal"/>
        <w:widowControl w:val="false"/>
        <w:ind w:right="851" w:hanging="0"/>
        <w:jc w:val="both"/>
        <w:rPr>
          <w:rFonts w:ascii="Bookman Old Style" w:hAnsi="Bookman Old Style"/>
          <w:sz w:val="20"/>
          <w:szCs w:val="20"/>
        </w:rPr>
      </w:pPr>
      <w:r>
        <w:rPr>
          <w:rFonts w:ascii="Bookman Old Style" w:hAnsi="Bookman Old Style"/>
          <w:sz w:val="20"/>
          <w:szCs w:val="20"/>
        </w:rPr>
      </w:r>
    </w:p>
    <w:p>
      <w:pPr>
        <w:pStyle w:val="Normal"/>
        <w:widowControl w:val="false"/>
        <w:ind w:right="851" w:hanging="0"/>
        <w:jc w:val="both"/>
        <w:rPr>
          <w:rFonts w:ascii="Bookman Old Style" w:hAnsi="Bookman Old Style"/>
          <w:sz w:val="20"/>
          <w:szCs w:val="20"/>
        </w:rPr>
      </w:pPr>
      <w:r>
        <w:rPr>
          <w:rFonts w:ascii="Bookman Old Style" w:hAnsi="Bookman Old Style"/>
          <w:sz w:val="20"/>
          <w:szCs w:val="20"/>
        </w:rPr>
      </w:r>
    </w:p>
    <w:p>
      <w:pPr>
        <w:pStyle w:val="Normal"/>
        <w:tabs>
          <w:tab w:val="clear" w:pos="708"/>
          <w:tab w:val="left" w:pos="4295" w:leader="none"/>
        </w:tabs>
        <w:ind w:left="3969" w:hanging="0"/>
        <w:jc w:val="both"/>
        <w:rPr>
          <w:rFonts w:ascii="Bookman Old Style" w:hAnsi="Bookman Old Style"/>
          <w:b/>
          <w:b/>
          <w:bCs/>
          <w:sz w:val="20"/>
          <w:szCs w:val="20"/>
        </w:rPr>
      </w:pPr>
      <w:r>
        <w:rPr>
          <w:rFonts w:ascii="Bookman Old Style" w:hAnsi="Bookman Old Style"/>
          <w:b/>
          <w:bCs/>
          <w:sz w:val="20"/>
          <w:szCs w:val="20"/>
        </w:rPr>
        <w:t xml:space="preserve">Atentamente, </w:t>
      </w:r>
    </w:p>
    <w:p>
      <w:pPr>
        <w:pStyle w:val="Normal"/>
        <w:ind w:left="3969" w:hanging="0"/>
        <w:jc w:val="both"/>
        <w:rPr>
          <w:rFonts w:ascii="Bookman Old Style" w:hAnsi="Bookman Old Style"/>
          <w:b/>
          <w:b/>
          <w:bCs/>
          <w:sz w:val="20"/>
          <w:szCs w:val="20"/>
        </w:rPr>
      </w:pPr>
      <w:r>
        <w:rPr>
          <w:rFonts w:ascii="Bookman Old Style" w:hAnsi="Bookman Old Style"/>
          <w:b/>
          <w:bCs/>
          <w:sz w:val="20"/>
          <w:szCs w:val="20"/>
        </w:rPr>
      </w:r>
    </w:p>
    <w:p>
      <w:pPr>
        <w:pStyle w:val="Normal"/>
        <w:ind w:left="3969" w:hanging="0"/>
        <w:jc w:val="both"/>
        <w:rPr>
          <w:rFonts w:ascii="Bookman Old Style" w:hAnsi="Bookman Old Style"/>
          <w:b/>
          <w:b/>
          <w:bCs/>
          <w:sz w:val="20"/>
          <w:szCs w:val="20"/>
          <w:lang w:val="es-ES_tradnl"/>
        </w:rPr>
      </w:pPr>
      <w:r>
        <w:rPr>
          <w:rFonts w:ascii="Bookman Old Style" w:hAnsi="Bookman Old Style"/>
          <w:b/>
          <w:bCs/>
          <w:sz w:val="20"/>
          <w:szCs w:val="20"/>
          <w:lang w:val="es-ES_tradnl"/>
        </w:rPr>
      </w:r>
    </w:p>
    <w:p>
      <w:pPr>
        <w:pStyle w:val="Normal"/>
        <w:jc w:val="both"/>
        <w:rPr>
          <w:rFonts w:ascii="Bookman Old Style" w:hAnsi="Bookman Old Style"/>
          <w:b/>
          <w:b/>
          <w:bCs/>
          <w:sz w:val="20"/>
          <w:szCs w:val="20"/>
          <w:lang w:val="es-ES_tradnl"/>
        </w:rPr>
      </w:pPr>
      <w:r>
        <w:rPr>
          <w:rFonts w:ascii="Bookman Old Style" w:hAnsi="Bookman Old Style"/>
          <w:b/>
          <w:bCs/>
          <w:sz w:val="20"/>
          <w:szCs w:val="20"/>
          <w:lang w:val="es-ES_tradnl"/>
        </w:rPr>
      </w:r>
    </w:p>
    <w:p>
      <w:pPr>
        <w:pStyle w:val="Ttulo53"/>
        <w:keepNext w:val="false"/>
        <w:tabs>
          <w:tab w:val="clear" w:pos="0"/>
        </w:tabs>
        <w:ind w:left="3969" w:hanging="0"/>
        <w:jc w:val="left"/>
        <w:rPr>
          <w:rFonts w:ascii="Bookman Old Style" w:hAnsi="Bookman Old Style" w:eastAsia="Times New Roman"/>
          <w:i w:val="false"/>
          <w:i w:val="false"/>
          <w:iCs w:val="false"/>
          <w:sz w:val="20"/>
          <w:szCs w:val="20"/>
          <w:u w:val="none"/>
          <w:shd w:fill="auto" w:val="clear"/>
          <w:lang w:val="es-CR"/>
        </w:rPr>
      </w:pPr>
      <w:r>
        <w:rPr>
          <w:rFonts w:eastAsia="Times New Roman" w:ascii="Bookman Old Style" w:hAnsi="Bookman Old Style"/>
          <w:i w:val="false"/>
          <w:iCs w:val="false"/>
          <w:sz w:val="20"/>
          <w:szCs w:val="20"/>
          <w:u w:val="none"/>
          <w:shd w:fill="auto" w:val="clear"/>
          <w:lang w:val="es-CR"/>
        </w:rPr>
        <w:t>Lic. Ricardo Calderón Fernández</w:t>
      </w:r>
    </w:p>
    <w:p>
      <w:pPr>
        <w:pStyle w:val="Ttulo53"/>
        <w:keepNext w:val="false"/>
        <w:tabs>
          <w:tab w:val="clear" w:pos="0"/>
        </w:tabs>
        <w:ind w:left="3969" w:hanging="0"/>
        <w:jc w:val="left"/>
        <w:rPr>
          <w:rFonts w:ascii="Bookman Old Style" w:hAnsi="Bookman Old Style" w:eastAsia="Times New Roman"/>
          <w:i w:val="false"/>
          <w:i w:val="false"/>
          <w:iCs w:val="false"/>
          <w:sz w:val="20"/>
          <w:szCs w:val="20"/>
          <w:u w:val="none"/>
          <w:shd w:fill="auto" w:val="clear"/>
          <w:lang w:val="es-CR"/>
        </w:rPr>
      </w:pPr>
      <w:r>
        <w:rPr>
          <w:rFonts w:eastAsia="Times New Roman" w:ascii="Bookman Old Style" w:hAnsi="Bookman Old Style"/>
          <w:i w:val="false"/>
          <w:iCs w:val="false"/>
          <w:sz w:val="20"/>
          <w:szCs w:val="20"/>
          <w:u w:val="none"/>
          <w:shd w:fill="auto" w:val="clear"/>
          <w:lang w:val="es-CR"/>
        </w:rPr>
        <w:t>Prosecretario General interino</w:t>
      </w:r>
    </w:p>
    <w:p>
      <w:pPr>
        <w:pStyle w:val="Ttulo53"/>
        <w:keepNext w:val="false"/>
        <w:tabs>
          <w:tab w:val="clear" w:pos="0"/>
          <w:tab w:val="left" w:pos="708" w:leader="none"/>
        </w:tabs>
        <w:ind w:left="3969" w:hanging="0"/>
        <w:jc w:val="left"/>
        <w:rPr>
          <w:rFonts w:ascii="Bookman Old Style" w:hAnsi="Bookman Old Style" w:eastAsia="Times New Roman"/>
          <w:i w:val="false"/>
          <w:i w:val="false"/>
          <w:iCs w:val="false"/>
          <w:sz w:val="20"/>
          <w:szCs w:val="20"/>
          <w:u w:val="none"/>
          <w:lang w:val="es-CR"/>
        </w:rPr>
      </w:pPr>
      <w:r>
        <w:rPr>
          <w:rFonts w:eastAsia="Times New Roman" w:ascii="Bookman Old Style" w:hAnsi="Bookman Old Style"/>
          <w:i w:val="false"/>
          <w:iCs w:val="false"/>
          <w:sz w:val="20"/>
          <w:szCs w:val="20"/>
          <w:u w:val="none"/>
          <w:lang w:val="es-CR"/>
        </w:rPr>
        <w:t>Secretaría General de la Corte</w:t>
      </w:r>
    </w:p>
    <w:p>
      <w:pPr>
        <w:pStyle w:val="Ttulo51"/>
        <w:keepNext w:val="false"/>
        <w:tabs>
          <w:tab w:val="clear" w:pos="0"/>
        </w:tabs>
        <w:ind w:left="4248" w:hanging="0"/>
        <w:jc w:val="both"/>
        <w:rPr>
          <w:rFonts w:ascii="Bookman Old Style" w:hAnsi="Bookman Old Style" w:eastAsia="Times New Roman"/>
          <w:i w:val="false"/>
          <w:i w:val="false"/>
          <w:iCs w:val="false"/>
          <w:sz w:val="20"/>
          <w:szCs w:val="20"/>
          <w:u w:val="none"/>
          <w:shd w:fill="auto" w:val="clear"/>
          <w:lang w:val="es-CR"/>
        </w:rPr>
      </w:pPr>
      <w:r>
        <w:rPr>
          <w:rFonts w:eastAsia="Times New Roman" w:ascii="Bookman Old Style" w:hAnsi="Bookman Old Style"/>
          <w:i w:val="false"/>
          <w:iCs w:val="false"/>
          <w:sz w:val="20"/>
          <w:szCs w:val="20"/>
          <w:u w:val="none"/>
          <w:shd w:fill="auto" w:val="clear"/>
          <w:lang w:val="es-CR"/>
        </w:rPr>
      </w:r>
    </w:p>
    <w:p>
      <w:pPr>
        <w:pStyle w:val="Ttulo51"/>
        <w:keepNext w:val="false"/>
        <w:tabs>
          <w:tab w:val="clear" w:pos="0"/>
        </w:tabs>
        <w:jc w:val="both"/>
        <w:rPr>
          <w:rFonts w:ascii="Bookman Old Style" w:hAnsi="Bookman Old Style" w:eastAsia="Times New Roman"/>
          <w:i w:val="false"/>
          <w:i w:val="false"/>
          <w:iCs w:val="false"/>
          <w:sz w:val="20"/>
          <w:szCs w:val="20"/>
          <w:u w:val="none"/>
          <w:shd w:fill="auto" w:val="clear"/>
          <w:lang w:val="es-CR"/>
        </w:rPr>
      </w:pPr>
      <w:r>
        <w:rPr>
          <w:rFonts w:eastAsia="Times New Roman" w:ascii="Bookman Old Style" w:hAnsi="Bookman Old Style"/>
          <w:i w:val="false"/>
          <w:iCs w:val="false"/>
          <w:sz w:val="20"/>
          <w:szCs w:val="20"/>
          <w:u w:val="none"/>
          <w:shd w:fill="auto" w:val="clear"/>
          <w:lang w:val="es-CR"/>
        </w:rPr>
      </w:r>
    </w:p>
    <w:p>
      <w:pPr>
        <w:pStyle w:val="Ttulo51"/>
        <w:keepNext w:val="false"/>
        <w:tabs>
          <w:tab w:val="clear" w:pos="0"/>
        </w:tabs>
        <w:ind w:left="4248" w:hanging="0"/>
        <w:jc w:val="both"/>
        <w:rPr>
          <w:rFonts w:ascii="Bookman Old Style" w:hAnsi="Bookman Old Style" w:eastAsia="Times New Roman"/>
          <w:i w:val="false"/>
          <w:i w:val="false"/>
          <w:iCs w:val="false"/>
          <w:sz w:val="20"/>
          <w:szCs w:val="20"/>
          <w:u w:val="none"/>
          <w:shd w:fill="auto" w:val="clear"/>
          <w:lang w:val="es-CR"/>
        </w:rPr>
      </w:pPr>
      <w:r>
        <w:rPr>
          <w:rFonts w:eastAsia="Times New Roman" w:ascii="Bookman Old Style" w:hAnsi="Bookman Old Style"/>
          <w:i w:val="false"/>
          <w:iCs w:val="false"/>
          <w:sz w:val="20"/>
          <w:szCs w:val="20"/>
          <w:u w:val="none"/>
          <w:shd w:fill="auto" w:val="clear"/>
          <w:lang w:val="es-CR"/>
        </w:rPr>
      </w:r>
    </w:p>
    <w:p>
      <w:pPr>
        <w:pStyle w:val="Normal"/>
        <w:jc w:val="both"/>
        <w:rPr>
          <w:rFonts w:ascii="Bookman Old Style" w:hAnsi="Bookman Old Style"/>
          <w:sz w:val="20"/>
          <w:szCs w:val="20"/>
        </w:rPr>
      </w:pPr>
      <w:r>
        <w:rPr>
          <w:rFonts w:ascii="Bookman Old Style" w:hAnsi="Bookman Old Style"/>
          <w:sz w:val="20"/>
          <w:szCs w:val="20"/>
        </w:rPr>
        <w:t>Cc:</w:t>
      </w:r>
    </w:p>
    <w:p>
      <w:pPr>
        <w:pStyle w:val="Normal"/>
        <w:jc w:val="both"/>
        <w:rPr>
          <w:rFonts w:ascii="Bookman Old Style" w:hAnsi="Bookman Old Style"/>
          <w:sz w:val="20"/>
          <w:szCs w:val="20"/>
        </w:rPr>
      </w:pPr>
      <w:r>
        <w:rPr>
          <w:rFonts w:ascii="Bookman Old Style" w:hAnsi="Bookman Old Style"/>
          <w:sz w:val="20"/>
          <w:szCs w:val="20"/>
        </w:rPr>
        <w:t>Consejo Superior</w:t>
      </w:r>
    </w:p>
    <w:p>
      <w:pPr>
        <w:pStyle w:val="Normal"/>
        <w:jc w:val="both"/>
        <w:rPr>
          <w:rFonts w:ascii="Bookman Old Style" w:hAnsi="Bookman Old Style"/>
          <w:sz w:val="20"/>
          <w:szCs w:val="20"/>
        </w:rPr>
      </w:pPr>
      <w:r>
        <w:rPr>
          <w:rFonts w:ascii="Bookman Old Style" w:hAnsi="Bookman Old Style"/>
          <w:sz w:val="20"/>
          <w:szCs w:val="20"/>
        </w:rPr>
        <w:t>Sala Constitucional</w:t>
      </w:r>
    </w:p>
    <w:p>
      <w:pPr>
        <w:pStyle w:val="Normal"/>
        <w:jc w:val="both"/>
        <w:rPr>
          <w:rFonts w:ascii="Bookman Old Style" w:hAnsi="Bookman Old Style"/>
          <w:sz w:val="20"/>
          <w:szCs w:val="20"/>
        </w:rPr>
      </w:pPr>
      <w:r>
        <w:rPr>
          <w:rFonts w:ascii="Bookman Old Style" w:hAnsi="Bookman Old Style"/>
          <w:sz w:val="20"/>
          <w:szCs w:val="20"/>
        </w:rPr>
        <w:t>Sala Primera</w:t>
      </w:r>
    </w:p>
    <w:p>
      <w:pPr>
        <w:pStyle w:val="Normal"/>
        <w:jc w:val="both"/>
        <w:rPr>
          <w:rFonts w:ascii="Bookman Old Style" w:hAnsi="Bookman Old Style"/>
          <w:sz w:val="20"/>
          <w:szCs w:val="20"/>
        </w:rPr>
      </w:pPr>
      <w:r>
        <w:rPr>
          <w:rFonts w:ascii="Bookman Old Style" w:hAnsi="Bookman Old Style"/>
          <w:sz w:val="20"/>
          <w:szCs w:val="20"/>
        </w:rPr>
        <w:t>Sala Segunda</w:t>
      </w:r>
    </w:p>
    <w:p>
      <w:pPr>
        <w:pStyle w:val="Normal"/>
        <w:jc w:val="both"/>
        <w:rPr>
          <w:rFonts w:ascii="Bookman Old Style" w:hAnsi="Bookman Old Style"/>
          <w:sz w:val="20"/>
          <w:szCs w:val="20"/>
        </w:rPr>
      </w:pPr>
      <w:r>
        <w:rPr>
          <w:rFonts w:ascii="Bookman Old Style" w:hAnsi="Bookman Old Style"/>
          <w:sz w:val="20"/>
          <w:szCs w:val="20"/>
        </w:rPr>
        <w:t>Sala Tercera</w:t>
      </w:r>
    </w:p>
    <w:p>
      <w:pPr>
        <w:pStyle w:val="Normal"/>
        <w:jc w:val="both"/>
        <w:rPr>
          <w:rFonts w:ascii="Bookman Old Style" w:hAnsi="Bookman Old Style"/>
          <w:sz w:val="20"/>
          <w:szCs w:val="20"/>
        </w:rPr>
      </w:pPr>
      <w:r>
        <w:rPr>
          <w:rFonts w:ascii="Bookman Old Style" w:hAnsi="Bookman Old Style"/>
          <w:sz w:val="20"/>
          <w:szCs w:val="20"/>
        </w:rPr>
        <w:t>Comisión de la Jurisdicción Agraria y Ambientales.</w:t>
      </w:r>
    </w:p>
    <w:p>
      <w:pPr>
        <w:pStyle w:val="Normal"/>
        <w:jc w:val="both"/>
        <w:rPr>
          <w:rFonts w:ascii="Bookman Old Style" w:hAnsi="Bookman Old Style"/>
          <w:sz w:val="20"/>
          <w:szCs w:val="20"/>
        </w:rPr>
      </w:pPr>
      <w:r>
        <w:rPr>
          <w:rFonts w:ascii="Bookman Old Style" w:hAnsi="Bookman Old Style"/>
          <w:sz w:val="20"/>
          <w:szCs w:val="20"/>
        </w:rPr>
        <w:t>Comisión de la Jurisdicción Civil.</w:t>
      </w:r>
    </w:p>
    <w:p>
      <w:pPr>
        <w:pStyle w:val="Normal"/>
        <w:jc w:val="both"/>
        <w:rPr>
          <w:rFonts w:ascii="Bookman Old Style" w:hAnsi="Bookman Old Style"/>
          <w:sz w:val="20"/>
          <w:szCs w:val="20"/>
        </w:rPr>
      </w:pPr>
      <w:r>
        <w:rPr>
          <w:rFonts w:ascii="Bookman Old Style" w:hAnsi="Bookman Old Style"/>
          <w:sz w:val="20"/>
          <w:szCs w:val="20"/>
        </w:rPr>
        <w:t>Comisión de la Jurisdicción Contencioso Administrativo.</w:t>
      </w:r>
    </w:p>
    <w:p>
      <w:pPr>
        <w:pStyle w:val="Normal"/>
        <w:jc w:val="both"/>
        <w:rPr>
          <w:rFonts w:ascii="Bookman Old Style" w:hAnsi="Bookman Old Style"/>
          <w:sz w:val="20"/>
          <w:szCs w:val="20"/>
        </w:rPr>
      </w:pPr>
      <w:r>
        <w:rPr>
          <w:rFonts w:ascii="Bookman Old Style" w:hAnsi="Bookman Old Style"/>
          <w:sz w:val="20"/>
          <w:szCs w:val="20"/>
        </w:rPr>
        <w:t>Comisión de la Jurisdicción de Familia, Niñez y Adolescencia.</w:t>
      </w:r>
    </w:p>
    <w:p>
      <w:pPr>
        <w:pStyle w:val="Normal"/>
        <w:jc w:val="both"/>
        <w:rPr>
          <w:rFonts w:ascii="Bookman Old Style" w:hAnsi="Bookman Old Style"/>
          <w:sz w:val="20"/>
          <w:szCs w:val="20"/>
        </w:rPr>
      </w:pPr>
      <w:r>
        <w:rPr>
          <w:rFonts w:ascii="Bookman Old Style" w:hAnsi="Bookman Old Style"/>
          <w:sz w:val="20"/>
          <w:szCs w:val="20"/>
        </w:rPr>
        <w:t>Comisión de la Jurisdicción Laboral.</w:t>
      </w:r>
    </w:p>
    <w:p>
      <w:pPr>
        <w:pStyle w:val="Normal"/>
        <w:jc w:val="both"/>
        <w:rPr>
          <w:rFonts w:ascii="Bookman Old Style" w:hAnsi="Bookman Old Style"/>
          <w:sz w:val="20"/>
          <w:szCs w:val="20"/>
        </w:rPr>
      </w:pPr>
      <w:r>
        <w:rPr>
          <w:rFonts w:ascii="Bookman Old Style" w:hAnsi="Bookman Old Style"/>
          <w:sz w:val="20"/>
          <w:szCs w:val="20"/>
        </w:rPr>
        <w:t>Comisión de la Jurisdicción Penal.</w:t>
      </w:r>
    </w:p>
    <w:p>
      <w:pPr>
        <w:pStyle w:val="Normal"/>
        <w:jc w:val="both"/>
        <w:rPr>
          <w:rFonts w:ascii="Bookman Old Style" w:hAnsi="Bookman Old Style"/>
          <w:sz w:val="20"/>
          <w:szCs w:val="20"/>
        </w:rPr>
      </w:pPr>
      <w:r>
        <w:rPr>
          <w:rFonts w:ascii="Bookman Old Style" w:hAnsi="Bookman Old Style"/>
          <w:sz w:val="20"/>
          <w:szCs w:val="20"/>
        </w:rPr>
        <w:t>Comisión Nacional Mejoramiento de Justicia.</w:t>
      </w:r>
    </w:p>
    <w:p>
      <w:pPr>
        <w:pStyle w:val="Normal"/>
        <w:jc w:val="both"/>
        <w:rPr>
          <w:rFonts w:ascii="Bookman Old Style" w:hAnsi="Bookman Old Style"/>
          <w:sz w:val="20"/>
          <w:szCs w:val="20"/>
        </w:rPr>
      </w:pPr>
      <w:r>
        <w:rPr>
          <w:rFonts w:ascii="Bookman Old Style" w:hAnsi="Bookman Old Style"/>
          <w:sz w:val="20"/>
          <w:szCs w:val="20"/>
        </w:rPr>
        <w:t>Comisión Nacional Mejoramiento de la Administración de Justicia (CONAMAJ)</w:t>
      </w:r>
    </w:p>
    <w:p>
      <w:pPr>
        <w:pStyle w:val="Normal"/>
        <w:jc w:val="both"/>
        <w:rPr>
          <w:rFonts w:ascii="Bookman Old Style" w:hAnsi="Bookman Old Style"/>
          <w:sz w:val="20"/>
          <w:szCs w:val="20"/>
        </w:rPr>
      </w:pPr>
      <w:r>
        <w:rPr>
          <w:rFonts w:ascii="Bookman Old Style" w:hAnsi="Bookman Old Style"/>
          <w:sz w:val="20"/>
          <w:szCs w:val="20"/>
        </w:rPr>
        <w:t>Subcomisión de Acceso a la Justicia de Pueblos Indígenas.</w:t>
      </w:r>
    </w:p>
    <w:p>
      <w:pPr>
        <w:pStyle w:val="Normal"/>
        <w:jc w:val="both"/>
        <w:rPr>
          <w:rFonts w:ascii="Bookman Old Style" w:hAnsi="Bookman Old Style"/>
          <w:sz w:val="20"/>
          <w:szCs w:val="20"/>
        </w:rPr>
      </w:pPr>
      <w:r>
        <w:rPr>
          <w:rFonts w:ascii="Bookman Old Style" w:hAnsi="Bookman Old Style"/>
          <w:sz w:val="20"/>
          <w:szCs w:val="20"/>
        </w:rPr>
        <w:t>Programa de Justicia Restaurativa.</w:t>
      </w:r>
    </w:p>
    <w:p>
      <w:pPr>
        <w:pStyle w:val="Normal"/>
        <w:jc w:val="both"/>
        <w:rPr>
          <w:rFonts w:ascii="Bookman Old Style" w:hAnsi="Bookman Old Style"/>
          <w:sz w:val="20"/>
          <w:szCs w:val="20"/>
        </w:rPr>
      </w:pPr>
      <w:r>
        <w:rPr>
          <w:rFonts w:ascii="Bookman Old Style" w:hAnsi="Bookman Old Style"/>
          <w:sz w:val="20"/>
          <w:szCs w:val="20"/>
        </w:rPr>
        <w:t>Tribunal de la Inspección Judicial</w:t>
      </w:r>
    </w:p>
    <w:p>
      <w:pPr>
        <w:pStyle w:val="Normal"/>
        <w:jc w:val="both"/>
        <w:rPr>
          <w:rFonts w:ascii="Bookman Old Style" w:hAnsi="Bookman Old Style"/>
          <w:sz w:val="20"/>
          <w:szCs w:val="20"/>
        </w:rPr>
      </w:pPr>
      <w:r>
        <w:rPr>
          <w:rFonts w:ascii="Bookman Old Style" w:hAnsi="Bookman Old Style"/>
          <w:sz w:val="20"/>
          <w:szCs w:val="20"/>
        </w:rPr>
        <w:t>Juzgado de Tránsito del I Circuito Judicial de San José.</w:t>
      </w:r>
    </w:p>
    <w:p>
      <w:pPr>
        <w:pStyle w:val="Normal"/>
        <w:jc w:val="both"/>
        <w:rPr>
          <w:rFonts w:ascii="Bookman Old Style" w:hAnsi="Bookman Old Style"/>
          <w:sz w:val="20"/>
          <w:szCs w:val="20"/>
        </w:rPr>
      </w:pPr>
      <w:r>
        <w:rPr>
          <w:rFonts w:ascii="Bookman Old Style" w:hAnsi="Bookman Old Style"/>
          <w:sz w:val="20"/>
          <w:szCs w:val="20"/>
        </w:rPr>
        <w:t>Fiscalía General de la República</w:t>
      </w:r>
    </w:p>
    <w:p>
      <w:pPr>
        <w:pStyle w:val="Normal"/>
        <w:jc w:val="both"/>
        <w:rPr>
          <w:rFonts w:ascii="Bookman Old Style" w:hAnsi="Bookman Old Style"/>
          <w:sz w:val="20"/>
          <w:szCs w:val="20"/>
        </w:rPr>
      </w:pPr>
      <w:r>
        <w:rPr>
          <w:rFonts w:ascii="Bookman Old Style" w:hAnsi="Bookman Old Style"/>
          <w:sz w:val="20"/>
          <w:szCs w:val="20"/>
        </w:rPr>
        <w:t>Dirección General del Organismo de Investigación Judicial</w:t>
      </w:r>
    </w:p>
    <w:p>
      <w:pPr>
        <w:pStyle w:val="Normal"/>
        <w:jc w:val="both"/>
        <w:rPr>
          <w:rFonts w:ascii="Bookman Old Style" w:hAnsi="Bookman Old Style"/>
          <w:sz w:val="20"/>
          <w:szCs w:val="20"/>
        </w:rPr>
      </w:pPr>
      <w:r>
        <w:rPr>
          <w:rFonts w:ascii="Bookman Old Style" w:hAnsi="Bookman Old Style"/>
          <w:sz w:val="20"/>
          <w:szCs w:val="20"/>
        </w:rPr>
        <w:t>Defensa Pública</w:t>
      </w:r>
    </w:p>
    <w:p>
      <w:pPr>
        <w:pStyle w:val="Normal"/>
        <w:jc w:val="both"/>
        <w:rPr>
          <w:rFonts w:ascii="Bookman Old Style" w:hAnsi="Bookman Old Style"/>
          <w:sz w:val="20"/>
          <w:szCs w:val="20"/>
        </w:rPr>
      </w:pPr>
      <w:r>
        <w:rPr>
          <w:rFonts w:ascii="Bookman Old Style" w:hAnsi="Bookman Old Style"/>
          <w:sz w:val="20"/>
          <w:szCs w:val="20"/>
        </w:rPr>
        <w:t>Escuela Judicial</w:t>
      </w:r>
    </w:p>
    <w:p>
      <w:pPr>
        <w:pStyle w:val="Normal"/>
        <w:jc w:val="both"/>
        <w:rPr>
          <w:rFonts w:ascii="Bookman Old Style" w:hAnsi="Bookman Old Style"/>
          <w:sz w:val="20"/>
          <w:szCs w:val="20"/>
        </w:rPr>
      </w:pPr>
      <w:r>
        <w:rPr>
          <w:rFonts w:ascii="Bookman Old Style" w:hAnsi="Bookman Old Style"/>
          <w:sz w:val="20"/>
          <w:szCs w:val="20"/>
        </w:rPr>
        <w:t>Despacho de la Presidencia</w:t>
      </w:r>
    </w:p>
    <w:p>
      <w:pPr>
        <w:pStyle w:val="Normal"/>
        <w:jc w:val="both"/>
        <w:rPr>
          <w:rFonts w:ascii="Bookman Old Style" w:hAnsi="Bookman Old Style"/>
          <w:sz w:val="20"/>
          <w:szCs w:val="20"/>
        </w:rPr>
      </w:pPr>
      <w:r>
        <w:rPr>
          <w:rFonts w:ascii="Bookman Old Style" w:hAnsi="Bookman Old Style"/>
          <w:sz w:val="20"/>
          <w:szCs w:val="20"/>
        </w:rPr>
        <w:t>Centro de Apoyo, el Coordinación y Mejoramiento de la Función Jurisdiccional</w:t>
      </w:r>
    </w:p>
    <w:p>
      <w:pPr>
        <w:pStyle w:val="Normal"/>
        <w:jc w:val="both"/>
        <w:rPr>
          <w:rFonts w:ascii="Bookman Old Style" w:hAnsi="Bookman Old Style"/>
          <w:sz w:val="20"/>
          <w:szCs w:val="20"/>
        </w:rPr>
      </w:pPr>
      <w:r>
        <w:rPr>
          <w:rFonts w:ascii="Bookman Old Style" w:hAnsi="Bookman Old Style"/>
          <w:sz w:val="20"/>
          <w:szCs w:val="20"/>
        </w:rPr>
        <w:t>Área de Coordinación y Mejoramiento</w:t>
      </w:r>
    </w:p>
    <w:p>
      <w:pPr>
        <w:pStyle w:val="Normal"/>
        <w:jc w:val="both"/>
        <w:rPr>
          <w:rFonts w:ascii="Bookman Old Style" w:hAnsi="Bookman Old Style"/>
          <w:sz w:val="20"/>
          <w:szCs w:val="20"/>
        </w:rPr>
      </w:pPr>
      <w:r>
        <w:rPr>
          <w:rFonts w:ascii="Bookman Old Style" w:hAnsi="Bookman Old Style"/>
          <w:sz w:val="20"/>
          <w:szCs w:val="20"/>
        </w:rPr>
        <w:t>Área de Gestión y Apoyo</w:t>
      </w:r>
    </w:p>
    <w:p>
      <w:pPr>
        <w:pStyle w:val="Normal"/>
        <w:jc w:val="both"/>
        <w:rPr>
          <w:rFonts w:ascii="Bookman Old Style" w:hAnsi="Bookman Old Style"/>
          <w:sz w:val="20"/>
          <w:szCs w:val="20"/>
        </w:rPr>
      </w:pPr>
      <w:r>
        <w:rPr>
          <w:rFonts w:ascii="Bookman Old Style" w:hAnsi="Bookman Old Style"/>
          <w:sz w:val="20"/>
          <w:szCs w:val="20"/>
        </w:rPr>
        <w:t>Centro de Conciliación del Poder Judicial.</w:t>
      </w:r>
    </w:p>
    <w:p>
      <w:pPr>
        <w:pStyle w:val="Normal"/>
        <w:jc w:val="both"/>
        <w:rPr>
          <w:rFonts w:ascii="Bookman Old Style" w:hAnsi="Bookman Old Style"/>
          <w:sz w:val="20"/>
          <w:szCs w:val="20"/>
        </w:rPr>
      </w:pPr>
      <w:r>
        <w:rPr>
          <w:rFonts w:ascii="Bookman Old Style" w:hAnsi="Bookman Old Style"/>
          <w:sz w:val="20"/>
          <w:szCs w:val="20"/>
        </w:rPr>
        <w:t xml:space="preserve">Centro Electrónico de Informacion Jurisprudencial </w:t>
      </w:r>
    </w:p>
    <w:p>
      <w:pPr>
        <w:pStyle w:val="Normal"/>
        <w:jc w:val="both"/>
        <w:rPr>
          <w:rFonts w:ascii="Bookman Old Style" w:hAnsi="Bookman Old Style"/>
          <w:sz w:val="20"/>
          <w:szCs w:val="20"/>
        </w:rPr>
      </w:pPr>
      <w:r>
        <w:rPr>
          <w:rFonts w:ascii="Bookman Old Style" w:hAnsi="Bookman Old Style"/>
          <w:sz w:val="20"/>
          <w:szCs w:val="20"/>
        </w:rPr>
        <w:t>Centro Gestión de la Calidad (CEGECA)</w:t>
      </w:r>
    </w:p>
    <w:p>
      <w:pPr>
        <w:pStyle w:val="Normal"/>
        <w:jc w:val="both"/>
        <w:rPr>
          <w:rFonts w:ascii="Bookman Old Style" w:hAnsi="Bookman Old Style"/>
          <w:sz w:val="20"/>
          <w:szCs w:val="20"/>
        </w:rPr>
      </w:pPr>
      <w:r>
        <w:rPr>
          <w:rFonts w:ascii="Bookman Old Style" w:hAnsi="Bookman Old Style"/>
          <w:sz w:val="20"/>
          <w:szCs w:val="20"/>
        </w:rPr>
        <w:t>Auditoría Judicial</w:t>
      </w:r>
    </w:p>
    <w:p>
      <w:pPr>
        <w:pStyle w:val="Normal"/>
        <w:jc w:val="both"/>
        <w:rPr>
          <w:rFonts w:ascii="Bookman Old Style" w:hAnsi="Bookman Old Style"/>
          <w:sz w:val="20"/>
          <w:szCs w:val="20"/>
        </w:rPr>
      </w:pPr>
      <w:r>
        <w:rPr>
          <w:rFonts w:ascii="Bookman Old Style" w:hAnsi="Bookman Old Style"/>
          <w:sz w:val="20"/>
          <w:szCs w:val="20"/>
        </w:rPr>
        <w:t>Dirección de Gestión Humana</w:t>
      </w:r>
    </w:p>
    <w:p>
      <w:pPr>
        <w:pStyle w:val="Normal"/>
        <w:jc w:val="both"/>
        <w:rPr>
          <w:rFonts w:ascii="Bookman Old Style" w:hAnsi="Bookman Old Style"/>
          <w:sz w:val="20"/>
          <w:szCs w:val="20"/>
        </w:rPr>
      </w:pPr>
      <w:r>
        <w:rPr>
          <w:rFonts w:ascii="Bookman Old Style" w:hAnsi="Bookman Old Style"/>
          <w:sz w:val="20"/>
          <w:szCs w:val="20"/>
        </w:rPr>
        <w:t>Dirección de Planificación</w:t>
      </w:r>
    </w:p>
    <w:p>
      <w:pPr>
        <w:pStyle w:val="Normal"/>
        <w:jc w:val="both"/>
        <w:rPr>
          <w:rFonts w:ascii="Bookman Old Style" w:hAnsi="Bookman Old Style"/>
          <w:sz w:val="20"/>
          <w:szCs w:val="20"/>
        </w:rPr>
      </w:pPr>
      <w:r>
        <w:rPr>
          <w:rFonts w:ascii="Bookman Old Style" w:hAnsi="Bookman Old Style"/>
          <w:sz w:val="20"/>
          <w:szCs w:val="20"/>
        </w:rPr>
        <w:t>Dirección de Tecnología de Información</w:t>
      </w:r>
    </w:p>
    <w:p>
      <w:pPr>
        <w:pStyle w:val="Normal"/>
        <w:jc w:val="both"/>
        <w:rPr>
          <w:rFonts w:ascii="Bookman Old Style" w:hAnsi="Bookman Old Style"/>
          <w:sz w:val="20"/>
          <w:szCs w:val="20"/>
        </w:rPr>
      </w:pPr>
      <w:r>
        <w:rPr>
          <w:rFonts w:ascii="Bookman Old Style" w:hAnsi="Bookman Old Style"/>
          <w:sz w:val="20"/>
          <w:szCs w:val="20"/>
        </w:rPr>
        <w:t>Dirección Ejecutiva</w:t>
      </w:r>
    </w:p>
    <w:p>
      <w:pPr>
        <w:pStyle w:val="Normal"/>
        <w:jc w:val="both"/>
        <w:rPr>
          <w:rFonts w:ascii="Bookman Old Style" w:hAnsi="Bookman Old Style"/>
          <w:sz w:val="20"/>
          <w:szCs w:val="20"/>
        </w:rPr>
      </w:pPr>
      <w:r>
        <w:rPr>
          <w:rFonts w:ascii="Bookman Old Style" w:hAnsi="Bookman Old Style"/>
          <w:sz w:val="20"/>
          <w:szCs w:val="20"/>
        </w:rPr>
        <w:t>Contraloría de Servicios</w:t>
      </w:r>
    </w:p>
    <w:p>
      <w:pPr>
        <w:pStyle w:val="Normal"/>
        <w:jc w:val="both"/>
        <w:rPr>
          <w:rFonts w:ascii="Bookman Old Style" w:hAnsi="Bookman Old Style"/>
          <w:sz w:val="20"/>
          <w:szCs w:val="20"/>
        </w:rPr>
      </w:pPr>
      <w:r>
        <w:rPr>
          <w:rFonts w:ascii="Bookman Old Style" w:hAnsi="Bookman Old Style"/>
          <w:sz w:val="20"/>
          <w:szCs w:val="20"/>
        </w:rPr>
        <w:t>Administración Primer y Tercer Circuito Judicial de San José</w:t>
      </w:r>
    </w:p>
    <w:p>
      <w:pPr>
        <w:pStyle w:val="Normal"/>
        <w:jc w:val="both"/>
        <w:rPr>
          <w:rFonts w:ascii="Bookman Old Style" w:hAnsi="Bookman Old Style"/>
          <w:sz w:val="20"/>
          <w:szCs w:val="20"/>
        </w:rPr>
      </w:pPr>
      <w:r>
        <w:rPr>
          <w:rFonts w:ascii="Bookman Old Style" w:hAnsi="Bookman Old Style"/>
          <w:sz w:val="20"/>
          <w:szCs w:val="20"/>
        </w:rPr>
        <w:t>Administración Regional Ciudad Judicial de San Joaquín de Flores</w:t>
      </w:r>
    </w:p>
    <w:p>
      <w:pPr>
        <w:pStyle w:val="Normal"/>
        <w:jc w:val="both"/>
        <w:rPr>
          <w:rFonts w:ascii="Bookman Old Style" w:hAnsi="Bookman Old Style"/>
          <w:sz w:val="20"/>
          <w:szCs w:val="20"/>
        </w:rPr>
      </w:pPr>
      <w:r>
        <w:rPr>
          <w:rFonts w:ascii="Bookman Old Style" w:hAnsi="Bookman Old Style"/>
          <w:sz w:val="20"/>
          <w:szCs w:val="20"/>
        </w:rPr>
        <w:t>Administración Regional de Cartago</w:t>
      </w:r>
    </w:p>
    <w:p>
      <w:pPr>
        <w:pStyle w:val="Normal"/>
        <w:jc w:val="both"/>
        <w:rPr>
          <w:rFonts w:ascii="Bookman Old Style" w:hAnsi="Bookman Old Style"/>
          <w:sz w:val="20"/>
          <w:szCs w:val="20"/>
        </w:rPr>
      </w:pPr>
      <w:r>
        <w:rPr>
          <w:rFonts w:ascii="Bookman Old Style" w:hAnsi="Bookman Old Style"/>
          <w:sz w:val="20"/>
          <w:szCs w:val="20"/>
        </w:rPr>
        <w:t>Administración Regional de Golfito</w:t>
      </w:r>
    </w:p>
    <w:p>
      <w:pPr>
        <w:pStyle w:val="Normal"/>
        <w:jc w:val="both"/>
        <w:rPr>
          <w:rFonts w:ascii="Bookman Old Style" w:hAnsi="Bookman Old Style"/>
          <w:sz w:val="20"/>
          <w:szCs w:val="20"/>
        </w:rPr>
      </w:pPr>
      <w:r>
        <w:rPr>
          <w:rFonts w:ascii="Bookman Old Style" w:hAnsi="Bookman Old Style"/>
          <w:sz w:val="20"/>
          <w:szCs w:val="20"/>
        </w:rPr>
        <w:t>Administración Regional de Grecia</w:t>
      </w:r>
    </w:p>
    <w:p>
      <w:pPr>
        <w:pStyle w:val="Normal"/>
        <w:jc w:val="both"/>
        <w:rPr>
          <w:rFonts w:ascii="Bookman Old Style" w:hAnsi="Bookman Old Style"/>
          <w:sz w:val="20"/>
          <w:szCs w:val="20"/>
        </w:rPr>
      </w:pPr>
      <w:r>
        <w:rPr>
          <w:rFonts w:ascii="Bookman Old Style" w:hAnsi="Bookman Old Style"/>
          <w:sz w:val="20"/>
          <w:szCs w:val="20"/>
        </w:rPr>
        <w:t>Administración Regional de Heredia</w:t>
      </w:r>
    </w:p>
    <w:p>
      <w:pPr>
        <w:pStyle w:val="Normal"/>
        <w:jc w:val="both"/>
        <w:rPr>
          <w:rFonts w:ascii="Bookman Old Style" w:hAnsi="Bookman Old Style"/>
          <w:sz w:val="20"/>
          <w:szCs w:val="20"/>
        </w:rPr>
      </w:pPr>
      <w:r>
        <w:rPr>
          <w:rFonts w:ascii="Bookman Old Style" w:hAnsi="Bookman Old Style"/>
          <w:sz w:val="20"/>
          <w:szCs w:val="20"/>
        </w:rPr>
        <w:t>Administración Regional de Osa</w:t>
      </w:r>
    </w:p>
    <w:p>
      <w:pPr>
        <w:pStyle w:val="Normal"/>
        <w:jc w:val="both"/>
        <w:rPr>
          <w:rFonts w:ascii="Bookman Old Style" w:hAnsi="Bookman Old Style"/>
          <w:sz w:val="20"/>
          <w:szCs w:val="20"/>
        </w:rPr>
      </w:pPr>
      <w:r>
        <w:rPr>
          <w:rFonts w:ascii="Bookman Old Style" w:hAnsi="Bookman Old Style"/>
          <w:sz w:val="20"/>
          <w:szCs w:val="20"/>
        </w:rPr>
        <w:t>Administración Regional de Puntarenas</w:t>
      </w:r>
    </w:p>
    <w:p>
      <w:pPr>
        <w:pStyle w:val="Normal"/>
        <w:jc w:val="both"/>
        <w:rPr>
          <w:rFonts w:ascii="Bookman Old Style" w:hAnsi="Bookman Old Style"/>
          <w:sz w:val="20"/>
          <w:szCs w:val="20"/>
        </w:rPr>
      </w:pPr>
      <w:r>
        <w:rPr>
          <w:rFonts w:ascii="Bookman Old Style" w:hAnsi="Bookman Old Style"/>
          <w:sz w:val="20"/>
          <w:szCs w:val="20"/>
        </w:rPr>
        <w:t>Administración Regional de Quepos (Aguirre y Parrita)</w:t>
      </w:r>
    </w:p>
    <w:p>
      <w:pPr>
        <w:pStyle w:val="Normal"/>
        <w:jc w:val="both"/>
        <w:rPr>
          <w:rFonts w:ascii="Bookman Old Style" w:hAnsi="Bookman Old Style"/>
          <w:sz w:val="20"/>
          <w:szCs w:val="20"/>
        </w:rPr>
      </w:pPr>
      <w:r>
        <w:rPr>
          <w:rFonts w:ascii="Bookman Old Style" w:hAnsi="Bookman Old Style"/>
          <w:sz w:val="20"/>
          <w:szCs w:val="20"/>
        </w:rPr>
        <w:t>Administración Regional de Sarapiquí</w:t>
      </w:r>
    </w:p>
    <w:p>
      <w:pPr>
        <w:pStyle w:val="Normal"/>
        <w:jc w:val="both"/>
        <w:rPr>
          <w:rFonts w:ascii="Bookman Old Style" w:hAnsi="Bookman Old Style"/>
          <w:sz w:val="20"/>
          <w:szCs w:val="20"/>
        </w:rPr>
      </w:pPr>
      <w:r>
        <w:rPr>
          <w:rFonts w:ascii="Bookman Old Style" w:hAnsi="Bookman Old Style"/>
          <w:sz w:val="20"/>
          <w:szCs w:val="20"/>
        </w:rPr>
        <w:t>Administración Regional de Turrialba</w:t>
      </w:r>
    </w:p>
    <w:p>
      <w:pPr>
        <w:pStyle w:val="Normal"/>
        <w:jc w:val="both"/>
        <w:rPr>
          <w:rFonts w:ascii="Bookman Old Style" w:hAnsi="Bookman Old Style"/>
          <w:sz w:val="20"/>
          <w:szCs w:val="20"/>
        </w:rPr>
      </w:pPr>
      <w:r>
        <w:rPr>
          <w:rFonts w:ascii="Bookman Old Style" w:hAnsi="Bookman Old Style"/>
          <w:sz w:val="20"/>
          <w:szCs w:val="20"/>
        </w:rPr>
        <w:t>Administración Regional del Primer Circuito Judicial Alajuela</w:t>
      </w:r>
    </w:p>
    <w:p>
      <w:pPr>
        <w:pStyle w:val="Normal"/>
        <w:jc w:val="both"/>
        <w:rPr>
          <w:rFonts w:ascii="Bookman Old Style" w:hAnsi="Bookman Old Style"/>
          <w:sz w:val="20"/>
          <w:szCs w:val="20"/>
        </w:rPr>
      </w:pPr>
      <w:r>
        <w:rPr>
          <w:rFonts w:ascii="Bookman Old Style" w:hAnsi="Bookman Old Style"/>
          <w:sz w:val="20"/>
          <w:szCs w:val="20"/>
        </w:rPr>
        <w:t>Administración Regional del Primer Circuito Judicial Guanacaste (Liberia)</w:t>
      </w:r>
    </w:p>
    <w:p>
      <w:pPr>
        <w:pStyle w:val="Normal"/>
        <w:jc w:val="both"/>
        <w:rPr>
          <w:rFonts w:ascii="Bookman Old Style" w:hAnsi="Bookman Old Style"/>
          <w:sz w:val="20"/>
          <w:szCs w:val="20"/>
        </w:rPr>
      </w:pPr>
      <w:r>
        <w:rPr>
          <w:rFonts w:ascii="Bookman Old Style" w:hAnsi="Bookman Old Style"/>
          <w:sz w:val="20"/>
          <w:szCs w:val="20"/>
        </w:rPr>
        <w:t>Administración Regional del Primer Circuito Judicial Zona Atlántica (Limón)</w:t>
      </w:r>
    </w:p>
    <w:p>
      <w:pPr>
        <w:pStyle w:val="Normal"/>
        <w:jc w:val="both"/>
        <w:rPr>
          <w:rFonts w:ascii="Bookman Old Style" w:hAnsi="Bookman Old Style"/>
          <w:sz w:val="20"/>
          <w:szCs w:val="20"/>
        </w:rPr>
      </w:pPr>
      <w:r>
        <w:rPr>
          <w:rFonts w:ascii="Bookman Old Style" w:hAnsi="Bookman Old Style"/>
          <w:sz w:val="20"/>
          <w:szCs w:val="20"/>
        </w:rPr>
        <w:t>Administración Regional del Primer Circuito Judicial Zona Sur (Pérez Zeledón)</w:t>
      </w:r>
    </w:p>
    <w:p>
      <w:pPr>
        <w:pStyle w:val="Normal"/>
        <w:jc w:val="both"/>
        <w:rPr>
          <w:rFonts w:ascii="Bookman Old Style" w:hAnsi="Bookman Old Style"/>
          <w:sz w:val="20"/>
          <w:szCs w:val="20"/>
        </w:rPr>
      </w:pPr>
      <w:r>
        <w:rPr>
          <w:rFonts w:ascii="Bookman Old Style" w:hAnsi="Bookman Old Style"/>
          <w:sz w:val="20"/>
          <w:szCs w:val="20"/>
        </w:rPr>
        <w:t>Administración Regional del Segundo Circuito Judicial de Alajuela (San Carlos)</w:t>
      </w:r>
    </w:p>
    <w:p>
      <w:pPr>
        <w:pStyle w:val="Normal"/>
        <w:jc w:val="both"/>
        <w:rPr>
          <w:rFonts w:ascii="Bookman Old Style" w:hAnsi="Bookman Old Style"/>
          <w:sz w:val="20"/>
          <w:szCs w:val="20"/>
        </w:rPr>
      </w:pPr>
      <w:r>
        <w:rPr>
          <w:rFonts w:ascii="Bookman Old Style" w:hAnsi="Bookman Old Style"/>
          <w:sz w:val="20"/>
          <w:szCs w:val="20"/>
        </w:rPr>
        <w:t>Administración Regional del Segundo Circuito Judicial de Guanacaste (Nicoya)</w:t>
      </w:r>
    </w:p>
    <w:p>
      <w:pPr>
        <w:pStyle w:val="Normal"/>
        <w:jc w:val="both"/>
        <w:rPr>
          <w:rFonts w:ascii="Bookman Old Style" w:hAnsi="Bookman Old Style"/>
          <w:sz w:val="20"/>
          <w:szCs w:val="20"/>
        </w:rPr>
      </w:pPr>
      <w:r>
        <w:rPr>
          <w:rFonts w:ascii="Bookman Old Style" w:hAnsi="Bookman Old Style"/>
          <w:sz w:val="20"/>
          <w:szCs w:val="20"/>
        </w:rPr>
        <w:t>Administración Regional del Segundo Circuito Judicial de Guanacaste, sede Santa Cruz</w:t>
      </w:r>
    </w:p>
    <w:p>
      <w:pPr>
        <w:pStyle w:val="Normal"/>
        <w:jc w:val="both"/>
        <w:rPr>
          <w:rFonts w:ascii="Bookman Old Style" w:hAnsi="Bookman Old Style"/>
          <w:sz w:val="20"/>
          <w:szCs w:val="20"/>
        </w:rPr>
      </w:pPr>
      <w:r>
        <w:rPr>
          <w:rFonts w:ascii="Bookman Old Style" w:hAnsi="Bookman Old Style"/>
          <w:sz w:val="20"/>
          <w:szCs w:val="20"/>
        </w:rPr>
        <w:t>Administración Regional del Segundo Circuito Judicial de la Zona Sur (Corredores)</w:t>
      </w:r>
    </w:p>
    <w:p>
      <w:pPr>
        <w:pStyle w:val="Normal"/>
        <w:jc w:val="both"/>
        <w:rPr>
          <w:rFonts w:ascii="Bookman Old Style" w:hAnsi="Bookman Old Style"/>
          <w:sz w:val="20"/>
          <w:szCs w:val="20"/>
        </w:rPr>
      </w:pPr>
      <w:r>
        <w:rPr>
          <w:rFonts w:ascii="Bookman Old Style" w:hAnsi="Bookman Old Style"/>
          <w:sz w:val="20"/>
          <w:szCs w:val="20"/>
        </w:rPr>
        <w:t>Administración Regional del Segundo Circuito Judicial Zona Atlántica (Pococí / Guápiles)</w:t>
      </w:r>
    </w:p>
    <w:p>
      <w:pPr>
        <w:pStyle w:val="Normal"/>
        <w:jc w:val="both"/>
        <w:rPr>
          <w:rFonts w:ascii="Bookman Old Style" w:hAnsi="Bookman Old Style"/>
          <w:sz w:val="20"/>
          <w:szCs w:val="20"/>
        </w:rPr>
      </w:pPr>
      <w:r>
        <w:rPr>
          <w:rFonts w:ascii="Bookman Old Style" w:hAnsi="Bookman Old Style"/>
          <w:sz w:val="20"/>
          <w:szCs w:val="20"/>
        </w:rPr>
        <w:t>Administración Regional del Tercer Circuito Judicial de Alajuela (San Ramón)</w:t>
      </w:r>
    </w:p>
    <w:p>
      <w:pPr>
        <w:pStyle w:val="Normal"/>
        <w:jc w:val="both"/>
        <w:rPr>
          <w:rFonts w:ascii="Bookman Old Style" w:hAnsi="Bookman Old Style"/>
          <w:sz w:val="20"/>
          <w:szCs w:val="20"/>
        </w:rPr>
      </w:pPr>
      <w:r>
        <w:rPr>
          <w:rFonts w:ascii="Bookman Old Style" w:hAnsi="Bookman Old Style"/>
          <w:sz w:val="20"/>
          <w:szCs w:val="20"/>
        </w:rPr>
        <w:t>Administración Segundo Circuito Judicial San José</w:t>
      </w:r>
    </w:p>
    <w:p>
      <w:pPr>
        <w:pStyle w:val="Normal"/>
        <w:jc w:val="both"/>
        <w:rPr>
          <w:rFonts w:ascii="Bookman Old Style" w:hAnsi="Bookman Old Style"/>
          <w:sz w:val="20"/>
          <w:szCs w:val="20"/>
        </w:rPr>
      </w:pPr>
      <w:r>
        <w:rPr>
          <w:rFonts w:ascii="Bookman Old Style" w:hAnsi="Bookman Old Style"/>
          <w:sz w:val="20"/>
          <w:szCs w:val="20"/>
        </w:rPr>
        <w:t>Consejo de Administración de Cartago</w:t>
      </w:r>
    </w:p>
    <w:p>
      <w:pPr>
        <w:pStyle w:val="Normal"/>
        <w:jc w:val="both"/>
        <w:rPr>
          <w:rFonts w:ascii="Bookman Old Style" w:hAnsi="Bookman Old Style"/>
          <w:sz w:val="20"/>
          <w:szCs w:val="20"/>
        </w:rPr>
      </w:pPr>
      <w:r>
        <w:rPr>
          <w:rFonts w:ascii="Bookman Old Style" w:hAnsi="Bookman Old Style"/>
          <w:sz w:val="20"/>
          <w:szCs w:val="20"/>
        </w:rPr>
        <w:t>Consejo de Administración de Golfito</w:t>
      </w:r>
    </w:p>
    <w:p>
      <w:pPr>
        <w:pStyle w:val="Normal"/>
        <w:jc w:val="both"/>
        <w:rPr>
          <w:rFonts w:ascii="Bookman Old Style" w:hAnsi="Bookman Old Style"/>
          <w:sz w:val="20"/>
          <w:szCs w:val="20"/>
        </w:rPr>
      </w:pPr>
      <w:r>
        <w:rPr>
          <w:rFonts w:ascii="Bookman Old Style" w:hAnsi="Bookman Old Style"/>
          <w:sz w:val="20"/>
          <w:szCs w:val="20"/>
        </w:rPr>
        <w:t>Consejo de Administración de Grecia</w:t>
      </w:r>
    </w:p>
    <w:p>
      <w:pPr>
        <w:pStyle w:val="Normal"/>
        <w:jc w:val="both"/>
        <w:rPr>
          <w:rFonts w:ascii="Bookman Old Style" w:hAnsi="Bookman Old Style"/>
          <w:sz w:val="20"/>
          <w:szCs w:val="20"/>
        </w:rPr>
      </w:pPr>
      <w:r>
        <w:rPr>
          <w:rFonts w:ascii="Bookman Old Style" w:hAnsi="Bookman Old Style"/>
          <w:sz w:val="20"/>
          <w:szCs w:val="20"/>
        </w:rPr>
        <w:t>Consejo de Administración de Heredia</w:t>
      </w:r>
    </w:p>
    <w:p>
      <w:pPr>
        <w:pStyle w:val="Normal"/>
        <w:jc w:val="both"/>
        <w:rPr>
          <w:rFonts w:ascii="Bookman Old Style" w:hAnsi="Bookman Old Style"/>
          <w:sz w:val="20"/>
          <w:szCs w:val="20"/>
        </w:rPr>
      </w:pPr>
      <w:r>
        <w:rPr>
          <w:rFonts w:ascii="Bookman Old Style" w:hAnsi="Bookman Old Style"/>
          <w:sz w:val="20"/>
          <w:szCs w:val="20"/>
        </w:rPr>
        <w:t>Consejo de Administración de Puntarenas</w:t>
      </w:r>
    </w:p>
    <w:p>
      <w:pPr>
        <w:pStyle w:val="Normal"/>
        <w:jc w:val="both"/>
        <w:rPr>
          <w:rFonts w:ascii="Bookman Old Style" w:hAnsi="Bookman Old Style"/>
          <w:sz w:val="20"/>
          <w:szCs w:val="20"/>
        </w:rPr>
      </w:pPr>
      <w:r>
        <w:rPr>
          <w:rFonts w:ascii="Bookman Old Style" w:hAnsi="Bookman Old Style"/>
          <w:sz w:val="20"/>
          <w:szCs w:val="20"/>
        </w:rPr>
        <w:t>Consejo de Administración de Segundo Circuito Judicial de Guanacaste (Nicoya)</w:t>
      </w:r>
    </w:p>
    <w:p>
      <w:pPr>
        <w:pStyle w:val="Normal"/>
        <w:jc w:val="both"/>
        <w:rPr>
          <w:rFonts w:ascii="Bookman Old Style" w:hAnsi="Bookman Old Style"/>
          <w:sz w:val="20"/>
          <w:szCs w:val="20"/>
        </w:rPr>
      </w:pPr>
      <w:r>
        <w:rPr>
          <w:rFonts w:ascii="Bookman Old Style" w:hAnsi="Bookman Old Style"/>
          <w:sz w:val="20"/>
          <w:szCs w:val="20"/>
        </w:rPr>
        <w:t>Consejo de Administración de Segundo Circuito Judicial de Guanacaste, sede Santa Cruz</w:t>
      </w:r>
    </w:p>
    <w:p>
      <w:pPr>
        <w:pStyle w:val="Normal"/>
        <w:jc w:val="both"/>
        <w:rPr>
          <w:rFonts w:ascii="Bookman Old Style" w:hAnsi="Bookman Old Style"/>
          <w:sz w:val="20"/>
          <w:szCs w:val="20"/>
        </w:rPr>
      </w:pPr>
      <w:r>
        <w:rPr>
          <w:rFonts w:ascii="Bookman Old Style" w:hAnsi="Bookman Old Style"/>
          <w:sz w:val="20"/>
          <w:szCs w:val="20"/>
        </w:rPr>
        <w:t>Consejo de Administración de Segundo Circuito Judicial de la Zona Sur (Corredores)</w:t>
      </w:r>
    </w:p>
    <w:p>
      <w:pPr>
        <w:pStyle w:val="Normal"/>
        <w:jc w:val="both"/>
        <w:rPr>
          <w:rFonts w:ascii="Bookman Old Style" w:hAnsi="Bookman Old Style"/>
          <w:sz w:val="20"/>
          <w:szCs w:val="20"/>
        </w:rPr>
      </w:pPr>
      <w:r>
        <w:rPr>
          <w:rFonts w:ascii="Bookman Old Style" w:hAnsi="Bookman Old Style"/>
          <w:sz w:val="20"/>
          <w:szCs w:val="20"/>
        </w:rPr>
        <w:t>Consejo de Administración de Turrialba</w:t>
      </w:r>
    </w:p>
    <w:p>
      <w:pPr>
        <w:pStyle w:val="Normal"/>
        <w:jc w:val="both"/>
        <w:rPr>
          <w:rFonts w:ascii="Bookman Old Style" w:hAnsi="Bookman Old Style"/>
          <w:sz w:val="20"/>
          <w:szCs w:val="20"/>
        </w:rPr>
      </w:pPr>
      <w:r>
        <w:rPr>
          <w:rFonts w:ascii="Bookman Old Style" w:hAnsi="Bookman Old Style"/>
          <w:sz w:val="20"/>
          <w:szCs w:val="20"/>
        </w:rPr>
        <w:t>Consejo de Administración del Primer Circuito Judicial de Alajuela</w:t>
      </w:r>
    </w:p>
    <w:p>
      <w:pPr>
        <w:pStyle w:val="Normal"/>
        <w:jc w:val="both"/>
        <w:rPr>
          <w:rFonts w:ascii="Bookman Old Style" w:hAnsi="Bookman Old Style"/>
          <w:sz w:val="20"/>
          <w:szCs w:val="20"/>
        </w:rPr>
      </w:pPr>
      <w:r>
        <w:rPr>
          <w:rFonts w:ascii="Bookman Old Style" w:hAnsi="Bookman Old Style"/>
          <w:sz w:val="20"/>
          <w:szCs w:val="20"/>
        </w:rPr>
        <w:t>Consejo de Administración del Primer Circuito Judicial de Guanacaste (Liberia)</w:t>
      </w:r>
    </w:p>
    <w:p>
      <w:pPr>
        <w:pStyle w:val="Normal"/>
        <w:jc w:val="both"/>
        <w:rPr>
          <w:rFonts w:ascii="Bookman Old Style" w:hAnsi="Bookman Old Style"/>
          <w:sz w:val="20"/>
          <w:szCs w:val="20"/>
        </w:rPr>
      </w:pPr>
      <w:r>
        <w:rPr>
          <w:rFonts w:ascii="Bookman Old Style" w:hAnsi="Bookman Old Style"/>
          <w:sz w:val="20"/>
          <w:szCs w:val="20"/>
        </w:rPr>
        <w:t>Consejo de Administración del Primer Circuito Judicial de la Zona Sur (Pérez Zeledón)</w:t>
      </w:r>
    </w:p>
    <w:p>
      <w:pPr>
        <w:pStyle w:val="Normal"/>
        <w:jc w:val="both"/>
        <w:rPr>
          <w:rFonts w:ascii="Bookman Old Style" w:hAnsi="Bookman Old Style"/>
          <w:sz w:val="20"/>
          <w:szCs w:val="20"/>
        </w:rPr>
      </w:pPr>
      <w:r>
        <w:rPr>
          <w:rFonts w:ascii="Bookman Old Style" w:hAnsi="Bookman Old Style"/>
          <w:sz w:val="20"/>
          <w:szCs w:val="20"/>
        </w:rPr>
        <w:t>Consejo de Administración del Primer Circuito Judicial de la Zona Atlántica (Limón)</w:t>
      </w:r>
    </w:p>
    <w:p>
      <w:pPr>
        <w:pStyle w:val="Normal"/>
        <w:jc w:val="both"/>
        <w:rPr>
          <w:rFonts w:ascii="Bookman Old Style" w:hAnsi="Bookman Old Style"/>
          <w:sz w:val="20"/>
          <w:szCs w:val="20"/>
        </w:rPr>
      </w:pPr>
      <w:r>
        <w:rPr>
          <w:rFonts w:ascii="Bookman Old Style" w:hAnsi="Bookman Old Style"/>
          <w:sz w:val="20"/>
          <w:szCs w:val="20"/>
        </w:rPr>
        <w:t>Consejo de Administración del Primer y Tercer Circuito Judicial de San José</w:t>
      </w:r>
    </w:p>
    <w:p>
      <w:pPr>
        <w:pStyle w:val="Normal"/>
        <w:jc w:val="both"/>
        <w:rPr>
          <w:rFonts w:ascii="Bookman Old Style" w:hAnsi="Bookman Old Style"/>
          <w:sz w:val="20"/>
          <w:szCs w:val="20"/>
        </w:rPr>
      </w:pPr>
      <w:r>
        <w:rPr>
          <w:rFonts w:ascii="Bookman Old Style" w:hAnsi="Bookman Old Style"/>
          <w:sz w:val="20"/>
          <w:szCs w:val="20"/>
        </w:rPr>
        <w:t>Consejo de Administración del Segundo Circuito Judicial de Alajuela (San Carlos)</w:t>
      </w:r>
    </w:p>
    <w:p>
      <w:pPr>
        <w:pStyle w:val="Normal"/>
        <w:jc w:val="both"/>
        <w:rPr>
          <w:rFonts w:ascii="Bookman Old Style" w:hAnsi="Bookman Old Style"/>
          <w:sz w:val="20"/>
          <w:szCs w:val="20"/>
        </w:rPr>
      </w:pPr>
      <w:r>
        <w:rPr>
          <w:rFonts w:ascii="Bookman Old Style" w:hAnsi="Bookman Old Style"/>
          <w:sz w:val="20"/>
          <w:szCs w:val="20"/>
        </w:rPr>
        <w:t>Consejo de Administración del Segundo Circuito Judicial de la Zona Atlántica (Pococí / Guápiles)</w:t>
      </w:r>
    </w:p>
    <w:p>
      <w:pPr>
        <w:pStyle w:val="Normal"/>
        <w:jc w:val="both"/>
        <w:rPr>
          <w:rFonts w:ascii="Bookman Old Style" w:hAnsi="Bookman Old Style"/>
          <w:sz w:val="20"/>
          <w:szCs w:val="20"/>
        </w:rPr>
      </w:pPr>
      <w:r>
        <w:rPr>
          <w:rFonts w:ascii="Bookman Old Style" w:hAnsi="Bookman Old Style"/>
          <w:sz w:val="20"/>
          <w:szCs w:val="20"/>
        </w:rPr>
        <w:t>Consejo de Administración del Segundo Circuito Judicial de San José</w:t>
      </w:r>
    </w:p>
    <w:p>
      <w:pPr>
        <w:pStyle w:val="Normal"/>
        <w:jc w:val="both"/>
        <w:rPr>
          <w:rFonts w:ascii="Bookman Old Style" w:hAnsi="Bookman Old Style"/>
          <w:sz w:val="20"/>
          <w:szCs w:val="20"/>
        </w:rPr>
      </w:pPr>
      <w:r>
        <w:rPr>
          <w:rFonts w:ascii="Bookman Old Style" w:hAnsi="Bookman Old Style"/>
          <w:sz w:val="20"/>
          <w:szCs w:val="20"/>
        </w:rPr>
        <w:t>Consejo de Administración del Tercer Circuito Judicial de Alajuela (San Ramón)</w:t>
      </w:r>
    </w:p>
    <w:p>
      <w:pPr>
        <w:pStyle w:val="Normal"/>
        <w:jc w:val="both"/>
        <w:rPr>
          <w:rFonts w:ascii="Bookman Old Style" w:hAnsi="Bookman Old Style"/>
          <w:sz w:val="20"/>
          <w:szCs w:val="20"/>
        </w:rPr>
      </w:pPr>
      <w:r>
        <w:rPr>
          <w:rFonts w:ascii="Bookman Old Style" w:hAnsi="Bookman Old Style"/>
          <w:sz w:val="20"/>
          <w:szCs w:val="20"/>
        </w:rPr>
        <w:t>Departamento de Investigaciones Criminales</w:t>
      </w:r>
    </w:p>
    <w:p>
      <w:pPr>
        <w:pStyle w:val="Normal"/>
        <w:jc w:val="both"/>
        <w:rPr>
          <w:rFonts w:ascii="Bookman Old Style" w:hAnsi="Bookman Old Style"/>
          <w:sz w:val="20"/>
          <w:szCs w:val="20"/>
        </w:rPr>
      </w:pPr>
      <w:r>
        <w:rPr>
          <w:rFonts w:ascii="Bookman Old Style" w:hAnsi="Bookman Old Style"/>
          <w:sz w:val="20"/>
          <w:szCs w:val="20"/>
        </w:rPr>
        <w:t>Departamento de Laboratorio de Ciencias Forenses</w:t>
      </w:r>
    </w:p>
    <w:p>
      <w:pPr>
        <w:pStyle w:val="Normal"/>
        <w:jc w:val="both"/>
        <w:rPr>
          <w:rFonts w:ascii="Bookman Old Style" w:hAnsi="Bookman Old Style"/>
          <w:sz w:val="20"/>
          <w:szCs w:val="20"/>
        </w:rPr>
      </w:pPr>
      <w:r>
        <w:rPr>
          <w:rFonts w:ascii="Bookman Old Style" w:hAnsi="Bookman Old Style"/>
          <w:sz w:val="20"/>
          <w:szCs w:val="20"/>
        </w:rPr>
        <w:t>Departamento de Medicina Legal</w:t>
      </w:r>
    </w:p>
    <w:p>
      <w:pPr>
        <w:pStyle w:val="Normal"/>
        <w:jc w:val="both"/>
        <w:rPr>
          <w:rFonts w:ascii="Bookman Old Style" w:hAnsi="Bookman Old Style"/>
          <w:sz w:val="20"/>
          <w:szCs w:val="20"/>
        </w:rPr>
      </w:pPr>
      <w:r>
        <w:rPr>
          <w:rFonts w:ascii="Bookman Old Style" w:hAnsi="Bookman Old Style"/>
          <w:sz w:val="20"/>
          <w:szCs w:val="20"/>
        </w:rPr>
        <w:t>Departamento de Prensa y Comunicación Organizacional</w:t>
      </w:r>
    </w:p>
    <w:p>
      <w:pPr>
        <w:pStyle w:val="Normal"/>
        <w:jc w:val="both"/>
        <w:rPr>
          <w:rFonts w:ascii="Bookman Old Style" w:hAnsi="Bookman Old Style"/>
          <w:sz w:val="20"/>
          <w:szCs w:val="20"/>
        </w:rPr>
      </w:pPr>
      <w:r>
        <w:rPr>
          <w:rFonts w:ascii="Bookman Old Style" w:hAnsi="Bookman Old Style"/>
          <w:sz w:val="20"/>
          <w:szCs w:val="20"/>
        </w:rPr>
        <w:t>Departamento de Proveeduría</w:t>
      </w:r>
    </w:p>
    <w:p>
      <w:pPr>
        <w:pStyle w:val="Normal"/>
        <w:jc w:val="both"/>
        <w:rPr>
          <w:rFonts w:ascii="Bookman Old Style" w:hAnsi="Bookman Old Style"/>
          <w:sz w:val="20"/>
          <w:szCs w:val="20"/>
        </w:rPr>
      </w:pPr>
      <w:r>
        <w:rPr>
          <w:rFonts w:ascii="Bookman Old Style" w:hAnsi="Bookman Old Style"/>
          <w:sz w:val="20"/>
          <w:szCs w:val="20"/>
        </w:rPr>
        <w:t>Departamento de Seguridad</w:t>
      </w:r>
    </w:p>
    <w:p>
      <w:pPr>
        <w:pStyle w:val="Normal"/>
        <w:jc w:val="both"/>
        <w:rPr>
          <w:rFonts w:ascii="Bookman Old Style" w:hAnsi="Bookman Old Style"/>
          <w:sz w:val="20"/>
          <w:szCs w:val="20"/>
        </w:rPr>
      </w:pPr>
      <w:r>
        <w:rPr>
          <w:rFonts w:ascii="Bookman Old Style" w:hAnsi="Bookman Old Style"/>
          <w:sz w:val="20"/>
          <w:szCs w:val="20"/>
        </w:rPr>
        <w:t>Departamento de Servicios Generales</w:t>
      </w:r>
    </w:p>
    <w:p>
      <w:pPr>
        <w:pStyle w:val="Normal"/>
        <w:jc w:val="both"/>
        <w:rPr>
          <w:rFonts w:ascii="Bookman Old Style" w:hAnsi="Bookman Old Style"/>
          <w:sz w:val="20"/>
          <w:szCs w:val="20"/>
        </w:rPr>
      </w:pPr>
      <w:r>
        <w:rPr>
          <w:rFonts w:ascii="Bookman Old Style" w:hAnsi="Bookman Old Style"/>
          <w:sz w:val="20"/>
          <w:szCs w:val="20"/>
        </w:rPr>
        <w:t>Oficina de Atención a la Víctima de Delitos</w:t>
      </w:r>
    </w:p>
    <w:p>
      <w:pPr>
        <w:pStyle w:val="Normal"/>
        <w:jc w:val="both"/>
        <w:rPr>
          <w:rFonts w:ascii="Bookman Old Style" w:hAnsi="Bookman Old Style"/>
          <w:sz w:val="20"/>
          <w:szCs w:val="20"/>
        </w:rPr>
      </w:pPr>
      <w:r>
        <w:rPr>
          <w:rFonts w:ascii="Bookman Old Style" w:hAnsi="Bookman Old Style"/>
          <w:sz w:val="20"/>
          <w:szCs w:val="20"/>
        </w:rPr>
        <w:t>Oficina de Control Interno.</w:t>
      </w:r>
    </w:p>
    <w:p>
      <w:pPr>
        <w:pStyle w:val="Normal"/>
        <w:jc w:val="both"/>
        <w:rPr>
          <w:rFonts w:ascii="Bookman Old Style" w:hAnsi="Bookman Old Style"/>
          <w:sz w:val="20"/>
          <w:szCs w:val="20"/>
        </w:rPr>
      </w:pPr>
      <w:r>
        <w:rPr>
          <w:rFonts w:ascii="Bookman Old Style" w:hAnsi="Bookman Old Style"/>
          <w:sz w:val="20"/>
          <w:szCs w:val="20"/>
        </w:rPr>
        <w:t>Oficina de Defensa Civil de la Víctima</w:t>
      </w:r>
    </w:p>
    <w:p>
      <w:pPr>
        <w:pStyle w:val="Normal"/>
        <w:jc w:val="both"/>
        <w:rPr>
          <w:rFonts w:ascii="Bookman Old Style" w:hAnsi="Bookman Old Style"/>
          <w:sz w:val="20"/>
          <w:szCs w:val="20"/>
        </w:rPr>
      </w:pPr>
      <w:r>
        <w:rPr>
          <w:rFonts w:ascii="Bookman Old Style" w:hAnsi="Bookman Old Style"/>
          <w:sz w:val="20"/>
          <w:szCs w:val="20"/>
        </w:rPr>
        <w:t>Plataforma de Información Policial</w:t>
      </w:r>
    </w:p>
    <w:p>
      <w:pPr>
        <w:pStyle w:val="Normal"/>
        <w:jc w:val="both"/>
        <w:rPr>
          <w:rFonts w:ascii="Bookman Old Style" w:hAnsi="Bookman Old Style"/>
          <w:sz w:val="20"/>
          <w:szCs w:val="20"/>
        </w:rPr>
      </w:pPr>
      <w:r>
        <w:rPr>
          <w:rFonts w:ascii="Bookman Old Style" w:hAnsi="Bookman Old Style"/>
          <w:sz w:val="20"/>
          <w:szCs w:val="20"/>
        </w:rPr>
        <w:t>Secretaría Técnica de Ética y Valores</w:t>
      </w:r>
    </w:p>
    <w:p>
      <w:pPr>
        <w:pStyle w:val="Normal"/>
        <w:jc w:val="both"/>
        <w:rPr>
          <w:rFonts w:ascii="Bookman Old Style" w:hAnsi="Bookman Old Style"/>
          <w:sz w:val="20"/>
          <w:szCs w:val="20"/>
        </w:rPr>
      </w:pPr>
      <w:r>
        <w:rPr>
          <w:rFonts w:ascii="Bookman Old Style" w:hAnsi="Bookman Old Style"/>
          <w:sz w:val="20"/>
          <w:szCs w:val="20"/>
        </w:rPr>
        <w:t>Secretaría Técnica de Género</w:t>
      </w:r>
    </w:p>
    <w:p>
      <w:pPr>
        <w:pStyle w:val="Normal"/>
        <w:jc w:val="both"/>
        <w:rPr>
          <w:rFonts w:ascii="Bookman Old Style" w:hAnsi="Bookman Old Style"/>
          <w:sz w:val="20"/>
          <w:szCs w:val="20"/>
        </w:rPr>
      </w:pPr>
      <w:r>
        <w:rPr>
          <w:rFonts w:ascii="Bookman Old Style" w:hAnsi="Bookman Old Style"/>
          <w:sz w:val="20"/>
          <w:szCs w:val="20"/>
        </w:rPr>
        <w:t>Unidad de Protección de Víctimas y Testigos</w:t>
      </w:r>
    </w:p>
    <w:p>
      <w:pPr>
        <w:pStyle w:val="Normal"/>
        <w:jc w:val="both"/>
        <w:rPr>
          <w:rFonts w:ascii="Bookman Old Style" w:hAnsi="Bookman Old Style"/>
          <w:sz w:val="20"/>
          <w:szCs w:val="20"/>
        </w:rPr>
      </w:pPr>
      <w:r>
        <w:rPr>
          <w:rFonts w:ascii="Bookman Old Style" w:hAnsi="Bookman Old Style"/>
          <w:sz w:val="20"/>
          <w:szCs w:val="20"/>
        </w:rPr>
        <w:t>Unidades de Capacitación.</w:t>
      </w:r>
    </w:p>
    <w:p>
      <w:pPr>
        <w:pStyle w:val="Normal"/>
        <w:jc w:val="both"/>
        <w:rPr>
          <w:rFonts w:ascii="Bookman Old Style" w:hAnsi="Bookman Old Style"/>
          <w:sz w:val="20"/>
          <w:szCs w:val="20"/>
        </w:rPr>
      </w:pPr>
      <w:r>
        <w:rPr>
          <w:rFonts w:ascii="Bookman Old Style" w:hAnsi="Bookman Old Style"/>
          <w:sz w:val="20"/>
          <w:szCs w:val="20"/>
        </w:rPr>
        <w:t>Diligencias / Refs: (</w:t>
      </w:r>
      <w:r>
        <w:rPr>
          <w:rFonts w:ascii="Bookman Old Style" w:hAnsi="Bookman Old Style"/>
          <w:b/>
          <w:bCs/>
          <w:sz w:val="20"/>
          <w:szCs w:val="20"/>
        </w:rPr>
        <w:t>4548-2020</w:t>
      </w:r>
      <w:r>
        <w:rPr>
          <w:rFonts w:ascii="Bookman Old Style" w:hAnsi="Bookman Old Style"/>
          <w:sz w:val="20"/>
          <w:szCs w:val="20"/>
        </w:rPr>
        <w:t>)</w:t>
      </w:r>
    </w:p>
    <w:p>
      <w:pPr>
        <w:pStyle w:val="Normal"/>
        <w:jc w:val="both"/>
        <w:rPr>
          <w:rFonts w:ascii="Bookman Old Style" w:hAnsi="Bookman Old Style"/>
          <w:b/>
          <w:b/>
          <w:sz w:val="20"/>
          <w:szCs w:val="20"/>
          <w:shd w:fill="FFFFFF" w:val="clear"/>
          <w:lang w:val="es-ES_tradnl"/>
        </w:rPr>
      </w:pPr>
      <w:r>
        <w:rPr>
          <w:rFonts w:ascii="Bookman Old Style" w:hAnsi="Bookman Old Style"/>
          <w:b/>
          <w:sz w:val="20"/>
          <w:szCs w:val="20"/>
          <w:shd w:fill="FFFFFF" w:val="clear"/>
          <w:lang w:val="es-ES_tradnl"/>
        </w:rPr>
        <w:t>naguilars</w:t>
      </w:r>
    </w:p>
    <w:p>
      <w:pPr>
        <w:pStyle w:val="Normal"/>
        <w:spacing w:lineRule="auto" w:line="360"/>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spacing w:lineRule="auto" w:line="360"/>
        <w:rPr>
          <w:rFonts w:ascii="Bookman Old Style" w:hAnsi="Bookman Old Style" w:cs="Tahoma"/>
          <w:bCs/>
          <w:color w:val="000000" w:themeColor="text1"/>
          <w:sz w:val="20"/>
          <w:szCs w:val="20"/>
        </w:rPr>
      </w:pPr>
      <w:r>
        <w:rPr>
          <w:rFonts w:cs="Tahoma" w:ascii="Bookman Old Style" w:hAnsi="Bookman Old Style"/>
          <w:b/>
          <w:color w:val="000000" w:themeColor="text1"/>
          <w:sz w:val="20"/>
          <w:szCs w:val="20"/>
          <w:u w:val="single"/>
        </w:rPr>
        <w:t xml:space="preserve">SE ACUERDA: </w:t>
      </w:r>
      <w:r>
        <w:rPr>
          <w:rFonts w:cs="Tahoma" w:ascii="Bookman Old Style" w:hAnsi="Bookman Old Style"/>
          <w:bCs/>
          <w:color w:val="000000" w:themeColor="text1"/>
          <w:sz w:val="20"/>
          <w:szCs w:val="20"/>
        </w:rPr>
        <w:t>Se toma nota.-</w:t>
      </w:r>
    </w:p>
    <w:p>
      <w:pPr>
        <w:pStyle w:val="Normal"/>
        <w:spacing w:lineRule="auto" w:line="360"/>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spacing w:lineRule="auto" w:line="360"/>
        <w:rPr>
          <w:rFonts w:ascii="Bookman Old Style" w:hAnsi="Bookman Old Style" w:cs="Tahoma"/>
          <w:bCs/>
          <w:color w:val="000000" w:themeColor="text1"/>
          <w:sz w:val="20"/>
          <w:szCs w:val="20"/>
        </w:rPr>
      </w:pPr>
      <w:r>
        <w:rPr>
          <w:rFonts w:cs="Tahoma" w:ascii="Bookman Old Style" w:hAnsi="Bookman Old Style"/>
          <w:bCs/>
          <w:color w:val="000000" w:themeColor="text1"/>
          <w:sz w:val="20"/>
          <w:szCs w:val="20"/>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w:t>
      </w:r>
      <w:r>
        <w:rPr>
          <w:rFonts w:cs="Tahoma" w:ascii="Bookman Old Style" w:hAnsi="Bookman Old Style"/>
          <w:b/>
          <w:color w:val="000000" w:themeColor="text1"/>
          <w:sz w:val="20"/>
          <w:szCs w:val="20"/>
          <w:u w:val="single"/>
        </w:rPr>
        <w:t>I</w:t>
      </w:r>
    </w:p>
    <w:p>
      <w:pPr>
        <w:pStyle w:val="Normal"/>
        <w:jc w:val="both"/>
        <w:rPr>
          <w:rFonts w:ascii="Bookman Old Style" w:hAnsi="Bookman Old Style" w:cs="Tahoma"/>
          <w:color w:val="201F1E"/>
          <w:sz w:val="20"/>
          <w:szCs w:val="20"/>
        </w:rPr>
      </w:pPr>
      <w:r>
        <w:rPr>
          <w:rFonts w:cs="Tahoma" w:ascii="Bookman Old Style" w:hAnsi="Bookman Old Style"/>
          <w:sz w:val="20"/>
          <w:szCs w:val="20"/>
        </w:rPr>
        <w:t>Los señores</w:t>
      </w:r>
      <w:r>
        <w:rPr>
          <w:rFonts w:ascii="Bookman Old Style" w:hAnsi="Bookman Old Style"/>
          <w:sz w:val="20"/>
          <w:szCs w:val="20"/>
        </w:rPr>
        <w:t xml:space="preserve"> </w:t>
      </w:r>
      <w:r>
        <w:rPr>
          <w:rFonts w:cs="Tahoma" w:ascii="Bookman Old Style" w:hAnsi="Bookman Old Style"/>
          <w:sz w:val="20"/>
          <w:szCs w:val="20"/>
        </w:rPr>
        <w:t xml:space="preserve"> </w:t>
      </w:r>
      <w:r>
        <w:rPr>
          <w:rFonts w:cs="Tahoma" w:ascii="Bookman Old Style" w:hAnsi="Bookman Old Style"/>
          <w:color w:val="201F1E"/>
          <w:sz w:val="20"/>
          <w:szCs w:val="20"/>
        </w:rPr>
        <w:t xml:space="preserve">Maximiliano Torres Torres, Coordinador del Consejo de Mayor@s Iriria Jtechö Wakpa y </w:t>
      </w:r>
    </w:p>
    <w:p>
      <w:pPr>
        <w:pStyle w:val="Normal"/>
        <w:jc w:val="both"/>
        <w:rPr>
          <w:rFonts w:ascii="Bookman Old Style" w:hAnsi="Bookman Old Style" w:cs="Tahoma"/>
          <w:bCs/>
          <w:sz w:val="20"/>
          <w:szCs w:val="20"/>
          <w:lang w:val="es-ES"/>
        </w:rPr>
      </w:pPr>
      <w:r>
        <w:rPr>
          <w:rFonts w:cs="Tahoma" w:ascii="Bookman Old Style" w:hAnsi="Bookman Old Style"/>
          <w:sz w:val="20"/>
          <w:szCs w:val="20"/>
        </w:rPr>
        <w:t xml:space="preserve">Gustavo Oreamuno V, Coordinador de Lucha Sur Sur; remitieron a la Magistrada Damaris Vargas Vásquez, </w:t>
      </w:r>
      <w:r>
        <w:rPr>
          <w:rFonts w:cs="Tahoma" w:ascii="Bookman Old Style" w:hAnsi="Bookman Old Style"/>
          <w:bCs/>
          <w:sz w:val="20"/>
          <w:szCs w:val="20"/>
          <w:lang w:val="es-ES"/>
        </w:rPr>
        <w:t xml:space="preserve">Coordinadora  Subcomisión Acceso a la Justicia de Pueblos Indígenas, correos electrónicos  informando acerca de las denuncias por amenazas de muerte interpuestas por varios líderes de los pueblos originarios del sur de Costa Rica, solicitando la realización de las investigaciones respectivas y que se tomen las medidas administrativas o judiciales correspondientes. En el comunicado se señaló: </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w:t>
      </w:r>
      <w:r>
        <w:rPr>
          <w:rFonts w:cs="Calibri" w:ascii="Bookman Old Style" w:hAnsi="Bookman Old Style"/>
          <w:i/>
          <w:iCs/>
          <w:color w:val="201F1E"/>
          <w:sz w:val="20"/>
          <w:szCs w:val="20"/>
        </w:rPr>
        <w:t>Señores</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Poder Ejecutivo y Judicial de Costa Rica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Defensoría de los Habitantes de Costa Rica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Fondo Nacional de Financiamiento Forestal</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Dirección Nacional de Desarrollo Comunal</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Reciban un cordial saludo de parte del Consejo de Mayor@s Iriria Jtechö Wakpa del Territorio Iriria Bribri Sá Ka, conocido como Cabagra.</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En adjunto enviamos un comunicado público en el cual le solicitamos a las instancias públicas pertinentes, realizar una investigación y tomar las medidas administrativas o judiciales correspondientes, sobre el grupo de seguridad comunitaria de la Asociación de Desarrollo Integral de Cabagra, conocido como "Las fuerzas negras" o "los negros".</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xml:space="preserve">Parara cualquier comunicación me pueden escribir al correo: </w:t>
      </w:r>
      <w:hyperlink r:id="rId55" w:tgtFrame="_blank">
        <w:r>
          <w:rPr>
            <w:rFonts w:cs="Calibri" w:ascii="Bookman Old Style" w:hAnsi="Bookman Old Style"/>
            <w:i/>
            <w:iCs/>
            <w:color w:val="0000FF"/>
            <w:sz w:val="20"/>
            <w:szCs w:val="20"/>
            <w:u w:val="single"/>
          </w:rPr>
          <w:t>consejomayores.iriria@gmail.com</w:t>
        </w:r>
      </w:hyperlink>
      <w:r>
        <w:rPr>
          <w:rFonts w:cs="Calibri" w:ascii="Bookman Old Style" w:hAnsi="Bookman Old Style"/>
          <w:i/>
          <w:iCs/>
          <w:color w:val="201F1E"/>
          <w:sz w:val="20"/>
          <w:szCs w:val="20"/>
        </w:rPr>
        <w:t xml:space="preserve">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Agradeciendo su atención;</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Maximiliano Torres Torres</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Coordinador</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Consejo de Mayor@s Iriria Jtechö Wakpa</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i/>
          <w:i/>
          <w:iCs/>
          <w:sz w:val="20"/>
          <w:szCs w:val="20"/>
        </w:rPr>
      </w:pPr>
      <w:r>
        <w:rPr>
          <w:rFonts w:ascii="Bookman Old Style" w:hAnsi="Bookman Old Style"/>
          <w:i/>
          <w:iCs/>
          <w:sz w:val="20"/>
          <w:szCs w:val="20"/>
        </w:rPr>
        <w:t>Señores</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i/>
          <w:i/>
          <w:iCs/>
          <w:sz w:val="20"/>
          <w:szCs w:val="20"/>
        </w:rPr>
      </w:pPr>
      <w:r>
        <w:rPr>
          <w:rFonts w:ascii="Bookman Old Style" w:hAnsi="Bookman Old Style"/>
          <w:i/>
          <w:iCs/>
          <w:sz w:val="20"/>
          <w:szCs w:val="20"/>
        </w:rPr>
        <w:t>Randall Otárola Madrigal</w:t>
      </w:r>
    </w:p>
    <w:p>
      <w:pPr>
        <w:pStyle w:val="Normal"/>
        <w:rPr>
          <w:rFonts w:ascii="Bookman Old Style" w:hAnsi="Bookman Old Style"/>
          <w:i/>
          <w:i/>
          <w:iCs/>
          <w:sz w:val="20"/>
          <w:szCs w:val="20"/>
        </w:rPr>
      </w:pPr>
      <w:r>
        <w:rPr>
          <w:rFonts w:ascii="Bookman Old Style" w:hAnsi="Bookman Old Style"/>
          <w:i/>
          <w:iCs/>
          <w:sz w:val="20"/>
          <w:szCs w:val="20"/>
        </w:rPr>
        <w:t>Viceministro en Asuntos Políticos y Diálogo Ciudadano</w:t>
      </w:r>
    </w:p>
    <w:p>
      <w:pPr>
        <w:pStyle w:val="Normal"/>
        <w:rPr>
          <w:rFonts w:ascii="Bookman Old Style" w:hAnsi="Bookman Old Style"/>
          <w:i/>
          <w:i/>
          <w:iCs/>
          <w:sz w:val="20"/>
          <w:szCs w:val="20"/>
        </w:rPr>
      </w:pPr>
      <w:r>
        <w:rPr>
          <w:rFonts w:ascii="Bookman Old Style" w:hAnsi="Bookman Old Style"/>
          <w:i/>
          <w:iCs/>
          <w:sz w:val="20"/>
          <w:szCs w:val="20"/>
        </w:rPr>
        <w:t>Ministerio de la Presidencia de Costa Rica</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i/>
          <w:i/>
          <w:iCs/>
          <w:sz w:val="20"/>
          <w:szCs w:val="20"/>
        </w:rPr>
      </w:pPr>
      <w:r>
        <w:rPr>
          <w:rFonts w:ascii="Bookman Old Style" w:hAnsi="Bookman Old Style"/>
          <w:i/>
          <w:iCs/>
          <w:sz w:val="20"/>
          <w:szCs w:val="20"/>
        </w:rPr>
        <w:t>Damaris Vargas Vásquez</w:t>
      </w:r>
    </w:p>
    <w:p>
      <w:pPr>
        <w:pStyle w:val="Normal"/>
        <w:rPr>
          <w:rFonts w:ascii="Bookman Old Style" w:hAnsi="Bookman Old Style"/>
          <w:i/>
          <w:i/>
          <w:iCs/>
          <w:sz w:val="20"/>
          <w:szCs w:val="20"/>
        </w:rPr>
      </w:pPr>
      <w:r>
        <w:rPr>
          <w:rFonts w:ascii="Bookman Old Style" w:hAnsi="Bookman Old Style"/>
          <w:i/>
          <w:iCs/>
          <w:sz w:val="20"/>
          <w:szCs w:val="20"/>
        </w:rPr>
        <w:t>Coordinadora Subcomisión de Acceso a la Justicia para los Pueblos Indígenas</w:t>
      </w:r>
    </w:p>
    <w:p>
      <w:pPr>
        <w:pStyle w:val="Normal"/>
        <w:rPr>
          <w:rFonts w:ascii="Bookman Old Style" w:hAnsi="Bookman Old Style"/>
          <w:i/>
          <w:i/>
          <w:iCs/>
          <w:sz w:val="20"/>
          <w:szCs w:val="20"/>
        </w:rPr>
      </w:pPr>
      <w:r>
        <w:rPr>
          <w:rFonts w:ascii="Bookman Old Style" w:hAnsi="Bookman Old Style"/>
          <w:i/>
          <w:iCs/>
          <w:sz w:val="20"/>
          <w:szCs w:val="20"/>
        </w:rPr>
        <w:t>Poder Judicial Costa Rica</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i/>
          <w:i/>
          <w:iCs/>
          <w:sz w:val="20"/>
          <w:szCs w:val="20"/>
        </w:rPr>
      </w:pPr>
      <w:r>
        <w:rPr>
          <w:rFonts w:ascii="Bookman Old Style" w:hAnsi="Bookman Old Style"/>
          <w:i/>
          <w:iCs/>
          <w:sz w:val="20"/>
          <w:szCs w:val="20"/>
        </w:rPr>
        <w:t xml:space="preserve">Reciban un cordial saludo de parte de la Coordinadora de Lucha sur Sur, en adjuntos enviamos documentos referidos a las denuncias por amenazas de muerte que han recibido 4 lideres de los Pueblos Originarios del sur de Costa Rica; solicitamos se brinde prioritaria atención a estos casos. </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i/>
          <w:i/>
          <w:iCs/>
          <w:sz w:val="20"/>
          <w:szCs w:val="20"/>
        </w:rPr>
      </w:pPr>
      <w:r>
        <w:rPr>
          <w:rFonts w:ascii="Bookman Old Style" w:hAnsi="Bookman Old Style"/>
          <w:i/>
          <w:iCs/>
          <w:sz w:val="20"/>
          <w:szCs w:val="20"/>
        </w:rPr>
        <w:t>Agradeciendo su atención;</w:t>
      </w:r>
    </w:p>
    <w:p>
      <w:pPr>
        <w:pStyle w:val="Normal"/>
        <w:rPr>
          <w:rFonts w:ascii="Bookman Old Style" w:hAnsi="Bookman Old Style"/>
          <w:i/>
          <w:i/>
          <w:iCs/>
          <w:sz w:val="20"/>
          <w:szCs w:val="20"/>
        </w:rPr>
      </w:pPr>
      <w:r>
        <w:rPr>
          <w:rFonts w:ascii="Bookman Old Style" w:hAnsi="Bookman Old Style"/>
          <w:i/>
          <w:iCs/>
          <w:sz w:val="20"/>
          <w:szCs w:val="20"/>
        </w:rPr>
      </w:r>
    </w:p>
    <w:p>
      <w:pPr>
        <w:pStyle w:val="Normal"/>
        <w:rPr>
          <w:rFonts w:ascii="Bookman Old Style" w:hAnsi="Bookman Old Style"/>
          <w:i/>
          <w:i/>
          <w:iCs/>
          <w:sz w:val="20"/>
          <w:szCs w:val="20"/>
        </w:rPr>
      </w:pPr>
      <w:r>
        <w:rPr>
          <w:rFonts w:ascii="Bookman Old Style" w:hAnsi="Bookman Old Style"/>
          <w:i/>
          <w:iCs/>
          <w:sz w:val="20"/>
          <w:szCs w:val="20"/>
        </w:rPr>
        <w:t>Gustavo Oreamuno V</w:t>
      </w:r>
    </w:p>
    <w:p>
      <w:pPr>
        <w:pStyle w:val="Normal"/>
        <w:rPr>
          <w:rFonts w:ascii="Bookman Old Style" w:hAnsi="Bookman Old Style"/>
          <w:i/>
          <w:i/>
          <w:iCs/>
          <w:sz w:val="20"/>
          <w:szCs w:val="20"/>
        </w:rPr>
      </w:pPr>
      <w:r>
        <w:rPr>
          <w:rFonts w:ascii="Bookman Old Style" w:hAnsi="Bookman Old Style"/>
          <w:i/>
          <w:iCs/>
          <w:sz w:val="20"/>
          <w:szCs w:val="20"/>
        </w:rPr>
        <w:t xml:space="preserve">Coordinadora de Lucha Sur Sur </w:t>
      </w:r>
    </w:p>
    <w:tbl>
      <w:tblPr>
        <w:tblpPr w:vertAnchor="text" w:horzAnchor="text" w:leftFromText="45" w:rightFromText="45" w:tblpX="0" w:tblpY="0"/>
        <w:tblW w:w="4536"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4530"/>
        <w:gridCol w:w="5"/>
      </w:tblGrid>
      <w:tr>
        <w:trPr>
          <w:trHeight w:val="315" w:hRule="atLeast"/>
        </w:trPr>
        <w:tc>
          <w:tcPr>
            <w:tcW w:w="4530" w:type="dxa"/>
            <w:tcBorders/>
            <w:vAlign w:val="center"/>
          </w:tcPr>
          <w:p>
            <w:pPr>
              <w:pStyle w:val="Normal"/>
              <w:widowControl w:val="false"/>
              <w:rPr>
                <w:rFonts w:ascii="Bookman Old Style" w:hAnsi="Bookman Old Style"/>
                <w:i/>
                <w:i/>
                <w:iCs/>
                <w:sz w:val="20"/>
                <w:szCs w:val="20"/>
              </w:rPr>
            </w:pPr>
            <w:r>
              <w:rPr>
                <w:rFonts w:ascii="Bookman Old Style" w:hAnsi="Bookman Old Style"/>
                <w:i/>
                <w:iCs/>
                <w:sz w:val="20"/>
                <w:szCs w:val="20"/>
              </w:rPr>
            </w:r>
          </w:p>
        </w:tc>
        <w:tc>
          <w:tcPr>
            <w:tcW w:w="5" w:type="dxa"/>
            <w:tcBorders/>
          </w:tcPr>
          <w:p>
            <w:pPr>
              <w:pStyle w:val="Normal"/>
              <w:widowControl w:val="false"/>
              <w:rPr/>
            </w:pPr>
            <w:r>
              <w:rPr/>
            </w:r>
          </w:p>
        </w:tc>
      </w:tr>
      <w:tr>
        <w:trPr/>
        <w:tc>
          <w:tcPr>
            <w:tcW w:w="4530" w:type="dxa"/>
            <w:tcBorders/>
            <w:vAlign w:val="center"/>
          </w:tcPr>
          <w:p>
            <w:pPr>
              <w:pStyle w:val="Normal"/>
              <w:widowControl w:val="false"/>
              <w:rPr>
                <w:rFonts w:ascii="Bookman Old Style" w:hAnsi="Bookman Old Style"/>
                <w:i/>
                <w:i/>
                <w:iCs/>
                <w:sz w:val="20"/>
                <w:szCs w:val="20"/>
              </w:rPr>
            </w:pPr>
            <w:r>
              <w:rPr>
                <w:rFonts w:ascii="Bookman Old Style" w:hAnsi="Bookman Old Style"/>
                <w:i/>
                <w:iCs/>
                <w:sz w:val="20"/>
                <w:szCs w:val="20"/>
              </w:rPr>
            </w:r>
          </w:p>
        </w:tc>
        <w:tc>
          <w:tcPr>
            <w:tcW w:w="5" w:type="dxa"/>
            <w:tcBorders/>
            <w:vAlign w:val="center"/>
          </w:tcPr>
          <w:p>
            <w:pPr>
              <w:pStyle w:val="Normal"/>
              <w:widowControl w:val="false"/>
              <w:rPr>
                <w:rFonts w:ascii="Bookman Old Style" w:hAnsi="Bookman Old Style"/>
                <w:i/>
                <w:i/>
                <w:iCs/>
                <w:sz w:val="20"/>
                <w:szCs w:val="20"/>
              </w:rPr>
            </w:pPr>
            <w:r>
              <w:rPr>
                <w:rFonts w:ascii="Bookman Old Style" w:hAnsi="Bookman Old Style"/>
                <w:i/>
                <w:iCs/>
                <w:sz w:val="20"/>
                <w:szCs w:val="20"/>
              </w:rPr>
            </w:r>
          </w:p>
        </w:tc>
      </w:tr>
    </w:tbl>
    <w:p>
      <w:pPr>
        <w:pStyle w:val="Normal"/>
        <w:rPr>
          <w:rFonts w:ascii="Bookman Old Style" w:hAnsi="Bookman Old Style" w:cs="Calibri"/>
          <w:i/>
          <w:i/>
          <w:iCs/>
          <w:vanish/>
          <w:sz w:val="20"/>
          <w:szCs w:val="20"/>
        </w:rPr>
      </w:pPr>
      <w:r>
        <w:rPr>
          <w:rFonts w:cs="Calibri" w:ascii="Bookman Old Style" w:hAnsi="Bookman Old Style"/>
          <w:i/>
          <w:iCs/>
          <w:vanish w:val="false"/>
          <w:sz w:val="20"/>
          <w:szCs w:val="20"/>
        </w:rPr>
      </w:r>
    </w:p>
    <w:tbl>
      <w:tblPr>
        <w:tblpPr w:vertAnchor="text" w:horzAnchor="text" w:leftFromText="45" w:rightFromText="45" w:tblpX="0" w:tblpY="0"/>
        <w:tblW w:w="4536"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4530"/>
        <w:gridCol w:w="5"/>
      </w:tblGrid>
      <w:tr>
        <w:trPr>
          <w:trHeight w:val="315" w:hRule="atLeast"/>
        </w:trPr>
        <w:tc>
          <w:tcPr>
            <w:tcW w:w="4530" w:type="dxa"/>
            <w:tcBorders/>
            <w:vAlign w:val="center"/>
          </w:tcPr>
          <w:p>
            <w:pPr>
              <w:pStyle w:val="Normal"/>
              <w:widowControl w:val="false"/>
              <w:rPr>
                <w:rFonts w:ascii="Bookman Old Style" w:hAnsi="Bookman Old Style"/>
                <w:i/>
                <w:i/>
                <w:iCs/>
                <w:vanish/>
                <w:sz w:val="20"/>
                <w:szCs w:val="20"/>
              </w:rPr>
            </w:pPr>
            <w:r>
              <w:rPr>
                <w:rFonts w:ascii="Bookman Old Style" w:hAnsi="Bookman Old Style"/>
                <w:i/>
                <w:iCs/>
                <w:vanish w:val="false"/>
                <w:sz w:val="20"/>
                <w:szCs w:val="20"/>
              </w:rPr>
            </w:r>
          </w:p>
        </w:tc>
        <w:tc>
          <w:tcPr>
            <w:tcW w:w="5" w:type="dxa"/>
            <w:tcBorders/>
          </w:tcPr>
          <w:p>
            <w:pPr>
              <w:pStyle w:val="Normal"/>
              <w:widowControl w:val="false"/>
              <w:rPr/>
            </w:pPr>
            <w:r>
              <w:rPr/>
            </w:r>
          </w:p>
        </w:tc>
      </w:tr>
      <w:tr>
        <w:trPr/>
        <w:tc>
          <w:tcPr>
            <w:tcW w:w="4530" w:type="dxa"/>
            <w:tcBorders/>
            <w:vAlign w:val="center"/>
          </w:tcPr>
          <w:p>
            <w:pPr>
              <w:pStyle w:val="Normal"/>
              <w:widowControl w:val="false"/>
              <w:rPr>
                <w:rFonts w:ascii="Bookman Old Style" w:hAnsi="Bookman Old Style"/>
                <w:i/>
                <w:i/>
                <w:iCs/>
                <w:sz w:val="20"/>
                <w:szCs w:val="20"/>
              </w:rPr>
            </w:pPr>
            <w:r>
              <w:rPr>
                <w:rFonts w:ascii="Bookman Old Style" w:hAnsi="Bookman Old Style"/>
                <w:i/>
                <w:iCs/>
                <w:sz w:val="20"/>
                <w:szCs w:val="20"/>
              </w:rPr>
            </w:r>
          </w:p>
        </w:tc>
        <w:tc>
          <w:tcPr>
            <w:tcW w:w="5" w:type="dxa"/>
            <w:tcBorders/>
            <w:vAlign w:val="center"/>
          </w:tcPr>
          <w:p>
            <w:pPr>
              <w:pStyle w:val="Normal"/>
              <w:widowControl w:val="false"/>
              <w:rPr>
                <w:rFonts w:ascii="Bookman Old Style" w:hAnsi="Bookman Old Style"/>
                <w:i/>
                <w:i/>
                <w:iCs/>
                <w:sz w:val="20"/>
                <w:szCs w:val="20"/>
              </w:rPr>
            </w:pPr>
            <w:r>
              <w:rPr>
                <w:rFonts w:ascii="Bookman Old Style" w:hAnsi="Bookman Old Style"/>
                <w:i/>
                <w:iCs/>
                <w:sz w:val="20"/>
                <w:szCs w:val="20"/>
              </w:rPr>
            </w:r>
          </w:p>
        </w:tc>
      </w:tr>
    </w:tbl>
    <w:p>
      <w:pPr>
        <w:pStyle w:val="Normal"/>
        <w:rPr>
          <w:rFonts w:ascii="Bookman Old Style" w:hAnsi="Bookman Old Style" w:cs="Calibri"/>
          <w:i/>
          <w:i/>
          <w:iCs/>
          <w:sz w:val="20"/>
          <w:szCs w:val="20"/>
        </w:rPr>
      </w:pPr>
      <w:r>
        <w:rPr>
          <w:rFonts w:cs="Calibri" w:ascii="Bookman Old Style" w:hAnsi="Bookman Old Style"/>
          <w:i/>
          <w:iCs/>
          <w:sz w:val="20"/>
          <w:szCs w:val="20"/>
        </w:rPr>
      </w:r>
    </w:p>
    <w:p>
      <w:pPr>
        <w:pStyle w:val="Normal"/>
        <w:jc w:val="both"/>
        <w:rPr>
          <w:rFonts w:ascii="Bookman Old Style" w:hAnsi="Bookman Old Style" w:cs="Tahoma"/>
          <w:i/>
          <w:i/>
          <w:iCs/>
          <w:color w:val="000000" w:themeColor="text1"/>
          <w:sz w:val="20"/>
          <w:szCs w:val="20"/>
          <w:lang w:val="es-ES"/>
        </w:rPr>
      </w:pPr>
      <w:r>
        <w:rPr>
          <w:rFonts w:cs="Tahoma" w:ascii="Bookman Old Style" w:hAnsi="Bookman Old Style"/>
          <w:i/>
          <w:iCs/>
          <w:color w:val="000000" w:themeColor="text1"/>
          <w:sz w:val="20"/>
          <w:szCs w:val="20"/>
          <w:lang w:val="es-ES"/>
        </w:rPr>
      </w:r>
    </w:p>
    <w:p>
      <w:pPr>
        <w:pStyle w:val="Normal"/>
        <w:rPr>
          <w:rFonts w:ascii="Bookman Old Style" w:hAnsi="Bookman Old Style" w:cs="Arial"/>
          <w:b/>
          <w:b/>
          <w:bCs/>
          <w:i/>
          <w:i/>
          <w:iCs/>
          <w:sz w:val="20"/>
          <w:szCs w:val="20"/>
          <w:lang w:val="es-MX"/>
        </w:rPr>
      </w:pPr>
      <w:r>
        <w:rPr>
          <w:rFonts w:cs="Arial" w:ascii="Bookman Old Style" w:hAnsi="Bookman Old Style"/>
          <w:b/>
          <w:bCs/>
          <w:i/>
          <w:iCs/>
          <w:sz w:val="20"/>
          <w:szCs w:val="20"/>
          <w:lang w:val="es-MX"/>
        </w:rPr>
        <w:drawing>
          <wp:anchor behindDoc="0" distT="0" distB="0" distL="0" distR="0" simplePos="0" locked="0" layoutInCell="0" allowOverlap="1" relativeHeight="25">
            <wp:simplePos x="0" y="0"/>
            <wp:positionH relativeFrom="column">
              <wp:posOffset>2475230</wp:posOffset>
            </wp:positionH>
            <wp:positionV relativeFrom="paragraph">
              <wp:posOffset>-379095</wp:posOffset>
            </wp:positionV>
            <wp:extent cx="1087120" cy="917575"/>
            <wp:effectExtent l="0" t="0" r="0" b="0"/>
            <wp:wrapNone/>
            <wp:docPr id="24" name="Imagen 2"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 descr="CLS"/>
                    <pic:cNvPicPr>
                      <a:picLocks noChangeAspect="1" noChangeArrowheads="1"/>
                    </pic:cNvPicPr>
                  </pic:nvPicPr>
                  <pic:blipFill>
                    <a:blip r:embed="rId56"/>
                    <a:stretch>
                      <a:fillRect/>
                    </a:stretch>
                  </pic:blipFill>
                  <pic:spPr bwMode="auto">
                    <a:xfrm>
                      <a:off x="0" y="0"/>
                      <a:ext cx="1087120" cy="917575"/>
                    </a:xfrm>
                    <a:prstGeom prst="rect">
                      <a:avLst/>
                    </a:prstGeom>
                  </pic:spPr>
                </pic:pic>
              </a:graphicData>
            </a:graphic>
          </wp:anchor>
        </w:drawing>
      </w:r>
    </w:p>
    <w:p>
      <w:pPr>
        <w:pStyle w:val="Normal"/>
        <w:rPr>
          <w:rFonts w:ascii="Bookman Old Style" w:hAnsi="Bookman Old Style" w:cs="Arial"/>
          <w:b/>
          <w:b/>
          <w:bCs/>
          <w:i/>
          <w:i/>
          <w:iCs/>
          <w:sz w:val="20"/>
          <w:szCs w:val="20"/>
          <w:lang w:val="es-MX"/>
        </w:rPr>
      </w:pPr>
      <w:r>
        <w:rPr>
          <w:rFonts w:cs="Arial" w:ascii="Bookman Old Style" w:hAnsi="Bookman Old Style"/>
          <w:b/>
          <w:bCs/>
          <w:i/>
          <w:iCs/>
          <w:sz w:val="20"/>
          <w:szCs w:val="20"/>
          <w:lang w:val="es-MX"/>
        </w:rPr>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r>
    </w:p>
    <w:p>
      <w:pPr>
        <w:pStyle w:val="Normal"/>
        <w:jc w:val="center"/>
        <w:rPr>
          <w:rFonts w:ascii="Bookman Old Style" w:hAnsi="Bookman Old Style"/>
          <w:b/>
          <w:b/>
          <w:i/>
          <w:i/>
          <w:iCs/>
          <w:sz w:val="20"/>
          <w:szCs w:val="20"/>
        </w:rPr>
      </w:pPr>
      <w:r>
        <w:rPr>
          <w:rFonts w:ascii="Bookman Old Style" w:hAnsi="Bookman Old Style"/>
          <w:b/>
          <w:i/>
          <w:iCs/>
          <w:sz w:val="20"/>
          <w:szCs w:val="20"/>
        </w:rPr>
        <w:t>Comunicado Público</w:t>
        <w:br/>
        <w:t xml:space="preserve">Aumentan las amenazas de muerte contra líderes de los Pueblos Originarios </w:t>
      </w:r>
    </w:p>
    <w:p>
      <w:pPr>
        <w:pStyle w:val="Normal"/>
        <w:jc w:val="center"/>
        <w:rPr>
          <w:rFonts w:ascii="Bookman Old Style" w:hAnsi="Bookman Old Style"/>
          <w:b/>
          <w:b/>
          <w:i/>
          <w:i/>
          <w:iCs/>
          <w:sz w:val="20"/>
          <w:szCs w:val="20"/>
        </w:rPr>
      </w:pPr>
      <w:r>
        <w:rPr>
          <w:rFonts w:ascii="Bookman Old Style" w:hAnsi="Bookman Old Style"/>
          <w:b/>
          <w:i/>
          <w:iCs/>
          <w:sz w:val="20"/>
          <w:szCs w:val="20"/>
        </w:rPr>
        <w:t>del sur de Costa Rica.</w:t>
      </w:r>
    </w:p>
    <w:p>
      <w:pPr>
        <w:pStyle w:val="Normal"/>
        <w:jc w:val="both"/>
        <w:rPr>
          <w:rFonts w:ascii="Bookman Old Style" w:hAnsi="Bookman Old Style"/>
          <w:i/>
          <w:i/>
          <w:iCs/>
          <w:sz w:val="20"/>
          <w:szCs w:val="20"/>
        </w:rPr>
      </w:pPr>
      <w:r>
        <w:rPr>
          <w:rFonts w:ascii="Bookman Old Style" w:hAnsi="Bookman Old Style"/>
          <w:i/>
          <w:iCs/>
          <w:sz w:val="20"/>
          <w:szCs w:val="20"/>
        </w:rPr>
        <w:br/>
        <w:t>Ya transcurrió un año del asesinato de Sergio Rojas Ortiz del Pueblo Bribri de Salitre y un mes del asesinato de Jehry Rivera Rivera del Pueblo Brörán de Térraba, ambos asesinatos por razones políticas, por defender los derechos de los Pueblos Originarios, ambos se mantienen impunes y ambos compañeros eran beneficiarios de las Medidas Cautelares MC-132 otorgadas por la Comisión Interamericana de Derechos Humanos desde el 2015 a favor del Pueblo Bribri de Salitre y Brörán de Térraba.</w:t>
      </w:r>
    </w:p>
    <w:p>
      <w:pPr>
        <w:pStyle w:val="Normal"/>
        <w:jc w:val="both"/>
        <w:rPr>
          <w:rFonts w:ascii="Bookman Old Style" w:hAnsi="Bookman Old Style"/>
          <w:i/>
          <w:i/>
          <w:iCs/>
          <w:sz w:val="20"/>
          <w:szCs w:val="20"/>
        </w:rPr>
      </w:pPr>
      <w:r>
        <w:rPr>
          <w:rFonts w:ascii="Bookman Old Style" w:hAnsi="Bookman Old Style"/>
          <w:i/>
          <w:iCs/>
          <w:sz w:val="20"/>
          <w:szCs w:val="20"/>
        </w:rPr>
        <w:t>Dentro de los múltiples actos de violencia, discriminación, difamación, incitación a la violencia, apología del delito y hostigamiento que grupos de personas violentas ejercen publica e impunemente contra los Pueblos Originarios, en el último mes se han incrementado las amenazas de muerte contra líderes de estos Pueblos.</w:t>
        <w:br/>
        <w:br/>
        <w:t>El 21 de enero de 2020 en la mañana, Maximiliano Torres Torres, coordinador del Consejo de Mayores Iriria Jtechö Wakpa del Territorio Bribri de Cabagra,  encontró frente a su casa una bolsa con una piedra y una nota en la que le comunicaban que por apoyar las recuperaciones de tierra tuviera cuidado, que él tenía familia y que le podía pasar lo mismo que a Sergio Rojas.</w:t>
      </w:r>
    </w:p>
    <w:p>
      <w:pPr>
        <w:pStyle w:val="Normal"/>
        <w:jc w:val="both"/>
        <w:rPr>
          <w:rFonts w:ascii="Bookman Old Style" w:hAnsi="Bookman Old Style"/>
          <w:i/>
          <w:i/>
          <w:iCs/>
          <w:sz w:val="20"/>
          <w:szCs w:val="20"/>
        </w:rPr>
      </w:pPr>
      <w:r>
        <w:rPr>
          <w:rFonts w:ascii="Bookman Old Style" w:hAnsi="Bookman Old Style"/>
          <w:i/>
          <w:iCs/>
          <w:sz w:val="20"/>
          <w:szCs w:val="20"/>
        </w:rPr>
        <w:t>También, Maximiliano recibió amenazas, difamación y hostigamiento por medio de varios perfiles y páginas de facebook; ante lo cual Torres Torres interpuso la denuncia por amenazas en la Fiscalía de Buenos Aires (Materia penal) el 17 de marzo anterior.</w:t>
      </w:r>
    </w:p>
    <w:p>
      <w:pPr>
        <w:pStyle w:val="Normal"/>
        <w:jc w:val="both"/>
        <w:rPr>
          <w:rFonts w:ascii="Bookman Old Style" w:hAnsi="Bookman Old Style"/>
          <w:i/>
          <w:i/>
          <w:iCs/>
          <w:sz w:val="20"/>
          <w:szCs w:val="20"/>
        </w:rPr>
      </w:pPr>
      <w:r>
        <w:rPr>
          <w:rFonts w:ascii="Bookman Old Style" w:hAnsi="Bookman Old Style"/>
          <w:i/>
          <w:iCs/>
          <w:sz w:val="20"/>
          <w:szCs w:val="20"/>
        </w:rPr>
        <w:t>Lo mismo le ocurrió a Clarita Quiel Torres, recuperadora de tierra - territorio en Nima Dikol de Cabagra y miembra del Consejo de Mayores Iriria Jtechö Wakpa; quien recibió amenazas por medio de facebook, mismas que denunció ante la misma Fiscalía el 6 de marzo pasado y fue informada de otras amenazas de muerte, las que denunciará prontamente.</w:t>
      </w:r>
    </w:p>
    <w:p>
      <w:pPr>
        <w:pStyle w:val="Normal"/>
        <w:jc w:val="both"/>
        <w:rPr>
          <w:rFonts w:ascii="Bookman Old Style" w:hAnsi="Bookman Old Style"/>
          <w:i/>
          <w:i/>
          <w:iCs/>
          <w:sz w:val="20"/>
          <w:szCs w:val="20"/>
        </w:rPr>
      </w:pPr>
      <w:r>
        <w:rPr>
          <w:rFonts w:ascii="Bookman Old Style" w:hAnsi="Bookman Old Style"/>
          <w:i/>
          <w:iCs/>
          <w:sz w:val="20"/>
          <w:szCs w:val="20"/>
        </w:rPr>
        <w:t>Torres Torres y Quiel Torres denunciaron las amenazas, hostigamiento e incitación a la violencia en su contra que se publican en las páginas Verdades de Salitre, Buenos Aires vive y lucha, Campesinos de Buenos Aires, Jueces corruptos de Costa Rica; los perfiles de Thais Vidal (abogada condenada por usurpación de tierras indígenas) y Eduardo López Torres entre otras y la página de la empresa de comunicación local Brunca TV Digital.</w:t>
        <w:br/>
        <w:br/>
        <w:t>Además, fueron amenazados de muerte, hostigados y difamados en las páginas y perfiles mencionados y por otras personas, Efraín Fernández Zúñiga del Territorio Cabecar de China Kichá, Pablo Sibas Sibas y Robert Morales Villafuerte del Pueblo Brörán de Térraba, quienes ya interpusieron las denuncias respectivas.</w:t>
      </w:r>
    </w:p>
    <w:p>
      <w:pPr>
        <w:pStyle w:val="Normal"/>
        <w:jc w:val="both"/>
        <w:rPr>
          <w:rFonts w:ascii="Bookman Old Style" w:hAnsi="Bookman Old Style"/>
          <w:i/>
          <w:i/>
          <w:iCs/>
          <w:sz w:val="20"/>
          <w:szCs w:val="20"/>
        </w:rPr>
      </w:pPr>
      <w:r>
        <w:rPr>
          <w:rFonts w:ascii="Bookman Old Style" w:hAnsi="Bookman Old Style"/>
          <w:i/>
          <w:iCs/>
          <w:sz w:val="20"/>
          <w:szCs w:val="20"/>
        </w:rPr>
        <w:t>El 3 de marzo de 2020, miembros de la Asociación de Iniciativas Populares Ditsö en su calidad de Defensores de Derechos Humanos también presentaron formal denuncia por amenazas y hostigamiento en su contra y sus familias ante el Organismo de Investigación Judicial, denuncia 20-006343-0042-PE, contra los perfiles y páginas citadas y otros perfiles personales como los de Lico Soloni, Armando Cortes, Karol Alvarado, Dony Garbanzo, Yelstin Andrey Garbanzo Granados, Serrano Jon y otros.</w:t>
      </w:r>
    </w:p>
    <w:p>
      <w:pPr>
        <w:pStyle w:val="Normal"/>
        <w:jc w:val="both"/>
        <w:rPr>
          <w:rFonts w:ascii="Bookman Old Style" w:hAnsi="Bookman Old Style"/>
          <w:i/>
          <w:i/>
          <w:iCs/>
          <w:sz w:val="20"/>
          <w:szCs w:val="20"/>
        </w:rPr>
      </w:pPr>
      <w:r>
        <w:rPr>
          <w:rFonts w:ascii="Bookman Old Style" w:hAnsi="Bookman Old Style"/>
          <w:i/>
          <w:iCs/>
          <w:sz w:val="20"/>
          <w:szCs w:val="20"/>
        </w:rPr>
        <w:t>En el Territorio Bribri de Salitre también fueron amenazados de muerte y agredidos por Lalo Vargas Ortiz, los mayores Claudio Ortiz Rojas y Daniel Figueroa Morales, los cuales presentaron la denuncia el 16 de marzo, la cual se tramita en el expediente 20000189-0634-PE en la Fiscalía de Buenos Aires (Materia penal).</w:t>
        <w:br/>
        <w:br/>
        <w:t xml:space="preserve">El lunes 23 de marzo de 2020, </w:t>
      </w:r>
      <w:r>
        <w:rPr>
          <w:rFonts w:ascii="Bookman Old Style" w:hAnsi="Bookman Old Style"/>
          <w:b/>
          <w:bCs/>
          <w:i/>
          <w:iCs/>
          <w:sz w:val="20"/>
          <w:szCs w:val="20"/>
        </w:rPr>
        <w:t xml:space="preserve">Nombre 001  </w:t>
      </w:r>
      <w:r>
        <w:rPr>
          <w:rFonts w:ascii="Bookman Old Style" w:hAnsi="Bookman Old Style"/>
          <w:i/>
          <w:iCs/>
          <w:sz w:val="20"/>
          <w:szCs w:val="20"/>
        </w:rPr>
        <w:t xml:space="preserve">interpuso una denuncia por amenazas contra Eliodoro Figueroa Uva, ya que </w:t>
      </w:r>
      <w:r>
        <w:rPr>
          <w:rFonts w:ascii="Bookman Old Style" w:hAnsi="Bookman Old Style"/>
          <w:b/>
          <w:bCs/>
          <w:i/>
          <w:iCs/>
          <w:sz w:val="20"/>
          <w:szCs w:val="20"/>
        </w:rPr>
        <w:t xml:space="preserve">Nombre 001  </w:t>
      </w:r>
      <w:r>
        <w:rPr>
          <w:rFonts w:ascii="Bookman Old Style" w:hAnsi="Bookman Old Style"/>
          <w:i/>
          <w:iCs/>
          <w:sz w:val="20"/>
          <w:szCs w:val="20"/>
        </w:rPr>
        <w:t xml:space="preserve"> fue informado el domingo 22 de una nueva amenaza por parte de Eliodoro, quien expresó que le va a quitar la finca a </w:t>
      </w:r>
      <w:r>
        <w:rPr>
          <w:rFonts w:ascii="Bookman Old Style" w:hAnsi="Bookman Old Style"/>
          <w:b/>
          <w:bCs/>
          <w:i/>
          <w:iCs/>
          <w:sz w:val="20"/>
          <w:szCs w:val="20"/>
        </w:rPr>
        <w:t xml:space="preserve">Nombre 001  </w:t>
      </w:r>
      <w:r>
        <w:rPr>
          <w:rFonts w:ascii="Bookman Old Style" w:hAnsi="Bookman Old Style"/>
          <w:i/>
          <w:iCs/>
          <w:sz w:val="20"/>
          <w:szCs w:val="20"/>
        </w:rPr>
        <w:t xml:space="preserve"> y que tuviera cuidado porque lo iba a matar. Durante el domingo 22 de marzo Eliodoro estuvo rondando la casa de </w:t>
      </w:r>
      <w:r>
        <w:rPr>
          <w:rFonts w:ascii="Bookman Old Style" w:hAnsi="Bookman Old Style"/>
          <w:b/>
          <w:bCs/>
          <w:i/>
          <w:iCs/>
          <w:sz w:val="20"/>
          <w:szCs w:val="20"/>
        </w:rPr>
        <w:t xml:space="preserve">Nombre 001  </w:t>
      </w:r>
      <w:r>
        <w:rPr>
          <w:rFonts w:ascii="Bookman Old Style" w:hAnsi="Bookman Old Style"/>
          <w:i/>
          <w:iCs/>
          <w:sz w:val="20"/>
          <w:szCs w:val="20"/>
        </w:rPr>
        <w:t xml:space="preserve"> y entraron varias personas desconocidas a la casa del agresor Figueroa Uva.</w:t>
      </w:r>
    </w:p>
    <w:p>
      <w:pPr>
        <w:pStyle w:val="Normal"/>
        <w:jc w:val="both"/>
        <w:rPr>
          <w:rFonts w:ascii="Bookman Old Style" w:hAnsi="Bookman Old Style"/>
          <w:i/>
          <w:i/>
          <w:iCs/>
          <w:sz w:val="20"/>
          <w:szCs w:val="20"/>
        </w:rPr>
      </w:pPr>
      <w:r>
        <w:rPr>
          <w:rFonts w:ascii="Bookman Old Style" w:hAnsi="Bookman Old Style"/>
          <w:i/>
          <w:iCs/>
          <w:sz w:val="20"/>
          <w:szCs w:val="20"/>
        </w:rPr>
        <w:t xml:space="preserve">Recordar que el 9 de febrero de 2020 Eliodoro Figueroa le disparó a </w:t>
      </w:r>
      <w:r>
        <w:rPr>
          <w:rFonts w:ascii="Bookman Old Style" w:hAnsi="Bookman Old Style"/>
          <w:b/>
          <w:bCs/>
          <w:i/>
          <w:iCs/>
          <w:sz w:val="20"/>
          <w:szCs w:val="20"/>
        </w:rPr>
        <w:t xml:space="preserve">Nombre 001  </w:t>
      </w:r>
      <w:r>
        <w:rPr>
          <w:rFonts w:ascii="Bookman Old Style" w:hAnsi="Bookman Old Style"/>
          <w:i/>
          <w:iCs/>
          <w:sz w:val="20"/>
          <w:szCs w:val="20"/>
        </w:rPr>
        <w:t xml:space="preserve">en su pierna derecha, por lo que cuenta con medidas cautelares, sin embargo las amenazas y hostigamiento contra </w:t>
      </w:r>
      <w:r>
        <w:rPr>
          <w:rFonts w:ascii="Bookman Old Style" w:hAnsi="Bookman Old Style"/>
          <w:b/>
          <w:bCs/>
          <w:i/>
          <w:iCs/>
          <w:sz w:val="20"/>
          <w:szCs w:val="20"/>
        </w:rPr>
        <w:t xml:space="preserve">Nombre 001  </w:t>
      </w:r>
      <w:r>
        <w:rPr>
          <w:rFonts w:ascii="Bookman Old Style" w:hAnsi="Bookman Old Style"/>
          <w:i/>
          <w:iCs/>
          <w:sz w:val="20"/>
          <w:szCs w:val="20"/>
        </w:rPr>
        <w:t xml:space="preserve"> y su familia continúan y se intensifican, de hecho el 4 y 7 de marzo</w:t>
      </w:r>
      <w:r>
        <w:rPr>
          <w:rFonts w:ascii="Bookman Old Style" w:hAnsi="Bookman Old Style"/>
          <w:b/>
          <w:bCs/>
          <w:i/>
          <w:iCs/>
          <w:sz w:val="20"/>
          <w:szCs w:val="20"/>
        </w:rPr>
        <w:t xml:space="preserve"> Nombre 001  </w:t>
      </w:r>
      <w:r>
        <w:rPr>
          <w:rFonts w:ascii="Bookman Old Style" w:hAnsi="Bookman Old Style"/>
          <w:i/>
          <w:iCs/>
          <w:sz w:val="20"/>
          <w:szCs w:val="20"/>
        </w:rPr>
        <w:t>se entera de nuevas amenazas de muerte en contra suya y de su familia por parte de Eliodoro Figueroa; este caso se ventila en la Fiscalía mencionada, bajo el expediente 20000116-0634-PE por el delito de agresión calificada y amenazas.</w:t>
      </w:r>
    </w:p>
    <w:p>
      <w:pPr>
        <w:pStyle w:val="Normal"/>
        <w:jc w:val="both"/>
        <w:rPr>
          <w:rFonts w:ascii="Bookman Old Style" w:hAnsi="Bookman Old Style"/>
          <w:i/>
          <w:i/>
          <w:iCs/>
          <w:sz w:val="20"/>
          <w:szCs w:val="20"/>
        </w:rPr>
      </w:pPr>
      <w:r>
        <w:rPr>
          <w:rFonts w:ascii="Bookman Old Style" w:hAnsi="Bookman Old Style"/>
          <w:i/>
          <w:iCs/>
          <w:sz w:val="20"/>
          <w:szCs w:val="20"/>
        </w:rPr>
        <w:t>Las organizaciones que suscriben, recuerdan al Estado de Costa Rica su obligación de garantizar la vida e integridad de todas las personas de los Pueblos Originarios según lo establecido por la legislación nacional e internacional y las Medidas Cautelares de la CIDH indicadas en favor de los Pueblos Originarios.</w:t>
        <w:br/>
        <w:br/>
        <w:t>Exigimos la pronta, imparcial y efectiva intervención de todas las instancias del Poder Judicial para determinar los responsables de estas amenazas y demás actos de violencia y hostigamiento y establecer las responsabilidades y sanciones correspondientes.</w:t>
      </w:r>
    </w:p>
    <w:p>
      <w:pPr>
        <w:pStyle w:val="Normal"/>
        <w:jc w:val="both"/>
        <w:rPr>
          <w:rFonts w:ascii="Bookman Old Style" w:hAnsi="Bookman Old Style"/>
          <w:i/>
          <w:i/>
          <w:iCs/>
          <w:sz w:val="20"/>
          <w:szCs w:val="20"/>
        </w:rPr>
      </w:pPr>
      <w:r>
        <w:rPr>
          <w:rFonts w:ascii="Bookman Old Style" w:hAnsi="Bookman Old Style"/>
          <w:i/>
          <w:iCs/>
          <w:sz w:val="20"/>
          <w:szCs w:val="20"/>
        </w:rPr>
      </w:r>
    </w:p>
    <w:p>
      <w:pPr>
        <w:pStyle w:val="Normal"/>
        <w:jc w:val="both"/>
        <w:rPr>
          <w:rFonts w:ascii="Bookman Old Style" w:hAnsi="Bookman Old Style"/>
          <w:i/>
          <w:i/>
          <w:iCs/>
          <w:sz w:val="20"/>
          <w:szCs w:val="20"/>
        </w:rPr>
      </w:pPr>
      <w:r>
        <w:rPr>
          <w:rFonts w:ascii="Bookman Old Style" w:hAnsi="Bookman Old Style"/>
          <w:i/>
          <w:iCs/>
          <w:sz w:val="20"/>
          <w:szCs w:val="20"/>
        </w:rPr>
        <w:t>Además, solicitamos al Poder Judicial realizar una investigación inmediata, exhaustiva e imparcial sobre los hechos descritos y que los resultados se hagan públicos y que los responsables comparezcan ante la justicia.</w:t>
        <w:br/>
        <w:br/>
        <w:t xml:space="preserve">La impunidad que prevalece en los asesinatos de </w:t>
      </w:r>
      <w:r>
        <w:rPr>
          <w:rFonts w:ascii="Bookman Old Style" w:hAnsi="Bookman Old Style"/>
          <w:b/>
          <w:bCs/>
          <w:i/>
          <w:iCs/>
          <w:sz w:val="20"/>
          <w:szCs w:val="20"/>
        </w:rPr>
        <w:t xml:space="preserve">Nombre 002 </w:t>
      </w:r>
      <w:r>
        <w:rPr>
          <w:rFonts w:ascii="Bookman Old Style" w:hAnsi="Bookman Old Style"/>
          <w:i/>
          <w:iCs/>
          <w:sz w:val="20"/>
          <w:szCs w:val="20"/>
        </w:rPr>
        <w:t xml:space="preserve">y </w:t>
      </w:r>
      <w:r>
        <w:rPr>
          <w:rFonts w:ascii="Bookman Old Style" w:hAnsi="Bookman Old Style"/>
          <w:b/>
          <w:bCs/>
          <w:i/>
          <w:iCs/>
          <w:sz w:val="20"/>
          <w:szCs w:val="20"/>
        </w:rPr>
        <w:t xml:space="preserve">Nombre 003 </w:t>
      </w:r>
      <w:r>
        <w:rPr>
          <w:rFonts w:ascii="Bookman Old Style" w:hAnsi="Bookman Old Style"/>
          <w:i/>
          <w:iCs/>
          <w:sz w:val="20"/>
          <w:szCs w:val="20"/>
        </w:rPr>
        <w:t>y en los innumerables casos de agresión, hostigamiento, difamación y amenazas no es justificable, ni aceptamos que continúe; también se deben establecer las responsabilidades y sanciones correspondientes contra las y los funcionarios judiciales que entorpecen y deniegan diariamente el acceso a la justicia para los Pueblos Originarios.</w:t>
      </w:r>
    </w:p>
    <w:p>
      <w:pPr>
        <w:pStyle w:val="Normal"/>
        <w:jc w:val="both"/>
        <w:rPr>
          <w:rFonts w:ascii="Bookman Old Style" w:hAnsi="Bookman Old Style"/>
          <w:i/>
          <w:i/>
          <w:iCs/>
          <w:sz w:val="20"/>
          <w:szCs w:val="20"/>
        </w:rPr>
      </w:pPr>
      <w:r>
        <w:rPr>
          <w:rFonts w:ascii="Bookman Old Style" w:hAnsi="Bookman Old Style"/>
          <w:i/>
          <w:iCs/>
          <w:sz w:val="20"/>
          <w:szCs w:val="20"/>
        </w:rPr>
        <w:t>Adjuntamos imágenes de las denuncias interpuestas.</w:t>
      </w:r>
    </w:p>
    <w:p>
      <w:pPr>
        <w:pStyle w:val="Normal"/>
        <w:jc w:val="center"/>
        <w:rPr>
          <w:rFonts w:ascii="Bookman Old Style" w:hAnsi="Bookman Old Style"/>
          <w:b/>
          <w:b/>
          <w:bCs/>
          <w:i/>
          <w:i/>
          <w:iCs/>
          <w:sz w:val="20"/>
          <w:szCs w:val="20"/>
          <w:lang w:val="es-MX"/>
        </w:rPr>
      </w:pPr>
      <w:r>
        <w:rPr>
          <w:rFonts w:ascii="Bookman Old Style" w:hAnsi="Bookman Old Style"/>
          <w:b/>
          <w:bCs/>
          <w:i/>
          <w:iCs/>
          <w:sz w:val="20"/>
          <w:szCs w:val="20"/>
          <w:lang w:val="es-MX"/>
        </w:rPr>
      </w:r>
    </w:p>
    <w:p>
      <w:pPr>
        <w:pStyle w:val="Normal"/>
        <w:jc w:val="center"/>
        <w:rPr>
          <w:rFonts w:ascii="Bookman Old Style" w:hAnsi="Bookman Old Style"/>
          <w:b/>
          <w:b/>
          <w:bCs/>
          <w:i/>
          <w:i/>
          <w:iCs/>
          <w:sz w:val="20"/>
          <w:szCs w:val="20"/>
          <w:lang w:val="es-MX"/>
        </w:rPr>
      </w:pPr>
      <w:r>
        <w:rPr>
          <w:rFonts w:ascii="Bookman Old Style" w:hAnsi="Bookman Old Style"/>
          <w:b/>
          <w:bCs/>
          <w:i/>
          <w:iCs/>
          <w:sz w:val="20"/>
          <w:szCs w:val="20"/>
          <w:lang w:val="es-MX"/>
        </w:rPr>
        <w:t xml:space="preserve">¡JUSTICIA PARA SERGIO ROJAS, JHERY RIVERA Y LOS </w:t>
      </w:r>
    </w:p>
    <w:p>
      <w:pPr>
        <w:pStyle w:val="Normal"/>
        <w:jc w:val="center"/>
        <w:rPr>
          <w:rFonts w:ascii="Bookman Old Style" w:hAnsi="Bookman Old Style"/>
          <w:b/>
          <w:b/>
          <w:bCs/>
          <w:i/>
          <w:i/>
          <w:iCs/>
          <w:sz w:val="20"/>
          <w:szCs w:val="20"/>
          <w:lang w:val="es-MX"/>
        </w:rPr>
      </w:pPr>
      <w:r>
        <w:rPr>
          <w:rFonts w:ascii="Bookman Old Style" w:hAnsi="Bookman Old Style"/>
          <w:b/>
          <w:bCs/>
          <w:i/>
          <w:iCs/>
          <w:sz w:val="20"/>
          <w:szCs w:val="20"/>
          <w:lang w:val="es-MX"/>
        </w:rPr>
        <w:t>PUEBLOS ORIGINARIOS!</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r>
    </w:p>
    <w:p>
      <w:pPr>
        <w:sectPr>
          <w:footerReference w:type="default" r:id="rId57"/>
          <w:type w:val="nextPage"/>
          <w:pgSz w:w="11906" w:h="16838"/>
          <w:pgMar w:left="1077" w:right="1077" w:header="0" w:top="1134" w:footer="720" w:bottom="1134" w:gutter="0"/>
          <w:pgNumType w:fmt="decimal"/>
          <w:formProt w:val="false"/>
          <w:textDirection w:val="lrTb"/>
          <w:docGrid w:type="default" w:linePitch="360" w:charSpace="0"/>
        </w:sectPr>
      </w:pP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Organizaciones firmantes:</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Concejo Ditsö Iriria Ajkönuk Wakpa de Salitre.</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Concejo Indígena Regional Pacífico Sur de Yimba Cajc.</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Concejo de Mayores Iriria Jtechö Wakpa de Cabagra.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Recuperador@s Cabecar de Kono Ju  de China Kichá.</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Recuperador@s Cabecar de Sa Sekeirö Kaska de China Kicha.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Recuperador@s Broran de Crun Shurin.</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Recuperador@s Broran de Finca San Andrés.</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Organización Autónoma Gwrvechi Kare del Territorio Ngäbe de Conte Burica.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Asociación de Productores de Finca 10.</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Comité de lucha por la tierra de finca Changuina.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Cootraosa.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Voces Nuestras.</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Comité de Lucha por la tierra de kilómetro 37 de Golfito y Corredores.</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Asociación para la defensa de los Usuarios de los Servicios Públicos (ADUSP).</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Comité de lucha por la tierra de Finca Venecia.</w:t>
      </w:r>
    </w:p>
    <w:p>
      <w:pPr>
        <w:pStyle w:val="Normal"/>
        <w:jc w:val="both"/>
        <w:rPr>
          <w:rFonts w:ascii="Bookman Old Style" w:hAnsi="Bookman Old Style"/>
          <w:b/>
          <w:b/>
          <w:bCs/>
          <w:i/>
          <w:i/>
          <w:iCs/>
          <w:sz w:val="20"/>
          <w:szCs w:val="20"/>
          <w:lang w:val="pt-BR"/>
        </w:rPr>
      </w:pPr>
      <w:r>
        <w:rPr>
          <w:rFonts w:ascii="Bookman Old Style" w:hAnsi="Bookman Old Style"/>
          <w:b/>
          <w:bCs/>
          <w:i/>
          <w:iCs/>
          <w:sz w:val="20"/>
          <w:szCs w:val="20"/>
          <w:lang w:val="pt-BR"/>
        </w:rPr>
        <w:t>SOJUPANO de Palmar de Osa.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Tierra para el Campesino de Finca Puntarenas (TIPAELCA).</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SERBUSUR de Finca Puntarenas.</w:t>
      </w:r>
    </w:p>
    <w:p>
      <w:pPr>
        <w:pStyle w:val="Normal"/>
        <w:jc w:val="both"/>
        <w:rPr>
          <w:rFonts w:ascii="Bookman Old Style" w:hAnsi="Bookman Old Style"/>
          <w:b/>
          <w:b/>
          <w:bCs/>
          <w:i/>
          <w:i/>
          <w:iCs/>
          <w:sz w:val="20"/>
          <w:szCs w:val="20"/>
          <w:lang w:val="es-MX"/>
        </w:rPr>
      </w:pPr>
      <w:r>
        <w:rPr>
          <w:rFonts w:ascii="Bookman Old Style" w:hAnsi="Bookman Old Style"/>
          <w:b/>
          <w:bCs/>
          <w:i/>
          <w:iCs/>
          <w:sz w:val="20"/>
          <w:szCs w:val="20"/>
          <w:lang w:val="es-MX"/>
        </w:rPr>
        <w:t>Ditsö.</w:t>
      </w:r>
    </w:p>
    <w:p>
      <w:pPr>
        <w:pStyle w:val="Normal"/>
        <w:jc w:val="both"/>
        <w:rPr>
          <w:rFonts w:ascii="Bookman Old Style" w:hAnsi="Bookman Old Style" w:cs="Arial"/>
          <w:b/>
          <w:b/>
          <w:bCs/>
          <w:i/>
          <w:i/>
          <w:iCs/>
          <w:sz w:val="20"/>
          <w:szCs w:val="20"/>
          <w:lang w:val="es-MX"/>
        </w:rPr>
      </w:pPr>
      <w:r>
        <w:rPr>
          <w:rFonts w:ascii="Bookman Old Style" w:hAnsi="Bookman Old Style"/>
          <w:b/>
          <w:bCs/>
          <w:i/>
          <w:iCs/>
          <w:sz w:val="20"/>
          <w:szCs w:val="20"/>
          <w:lang w:val="es-MX"/>
        </w:rPr>
        <w:t>Coordinadora de Lucha Sur Sur.</w:t>
      </w:r>
    </w:p>
    <w:p>
      <w:pPr>
        <w:sectPr>
          <w:type w:val="continuous"/>
          <w:pgSz w:w="11906" w:h="16838"/>
          <w:pgMar w:left="1077" w:right="1077" w:header="0" w:top="1134" w:footer="720" w:bottom="1134" w:gutter="0"/>
          <w:cols w:num="2" w:space="426" w:equalWidth="true" w:sep="false"/>
          <w:formProt w:val="false"/>
          <w:textDirection w:val="lrTb"/>
          <w:docGrid w:type="default" w:linePitch="360" w:charSpace="0"/>
        </w:sectPr>
      </w:pPr>
    </w:p>
    <w:p>
      <w:pPr>
        <w:pStyle w:val="Normal"/>
        <w:rPr>
          <w:rFonts w:ascii="Bookman Old Style" w:hAnsi="Bookman Old Style"/>
          <w:i/>
          <w:i/>
          <w:iCs/>
          <w:sz w:val="20"/>
          <w:szCs w:val="20"/>
          <w:lang w:val="es-MX"/>
        </w:rPr>
      </w:pPr>
      <w:r>
        <w:rPr/>
        <w:drawing>
          <wp:inline distT="0" distB="0" distL="0" distR="0">
            <wp:extent cx="5610860" cy="8258810"/>
            <wp:effectExtent l="0" t="0" r="0" b="0"/>
            <wp:docPr id="25"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 descr=""/>
                    <pic:cNvPicPr>
                      <a:picLocks noChangeAspect="1" noChangeArrowheads="1"/>
                    </pic:cNvPicPr>
                  </pic:nvPicPr>
                  <pic:blipFill>
                    <a:blip r:embed="rId58"/>
                    <a:stretch>
                      <a:fillRect/>
                    </a:stretch>
                  </pic:blipFill>
                  <pic:spPr bwMode="auto">
                    <a:xfrm>
                      <a:off x="0" y="0"/>
                      <a:ext cx="5610860" cy="8258810"/>
                    </a:xfrm>
                    <a:prstGeom prst="rect">
                      <a:avLst/>
                    </a:prstGeom>
                  </pic:spPr>
                </pic:pic>
              </a:graphicData>
            </a:graphic>
          </wp:inline>
        </w:drawing>
      </w:r>
    </w:p>
    <w:p>
      <w:pPr>
        <w:pStyle w:val="Normal"/>
        <w:jc w:val="both"/>
        <w:rPr>
          <w:rFonts w:ascii="Bookman Old Style" w:hAnsi="Bookman Old Style" w:cs="Tahoma"/>
          <w:b/>
          <w:b/>
          <w:bCs/>
          <w:i/>
          <w:i/>
          <w:iCs/>
          <w:color w:val="000000" w:themeColor="text1"/>
          <w:sz w:val="20"/>
          <w:szCs w:val="20"/>
          <w:u w:val="single"/>
          <w:lang w:val="es-ES"/>
        </w:rPr>
      </w:pPr>
      <w:r>
        <w:rPr/>
        <w:drawing>
          <wp:inline distT="0" distB="0" distL="0" distR="0">
            <wp:extent cx="5612130" cy="7592695"/>
            <wp:effectExtent l="0" t="0" r="0" b="0"/>
            <wp:docPr id="2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4" descr=""/>
                    <pic:cNvPicPr>
                      <a:picLocks noChangeAspect="1" noChangeArrowheads="1"/>
                    </pic:cNvPicPr>
                  </pic:nvPicPr>
                  <pic:blipFill>
                    <a:blip r:embed="rId59"/>
                    <a:stretch>
                      <a:fillRect/>
                    </a:stretch>
                  </pic:blipFill>
                  <pic:spPr bwMode="auto">
                    <a:xfrm>
                      <a:off x="0" y="0"/>
                      <a:ext cx="5612130" cy="7592695"/>
                    </a:xfrm>
                    <a:prstGeom prst="rect">
                      <a:avLst/>
                    </a:prstGeom>
                  </pic:spPr>
                </pic:pic>
              </a:graphicData>
            </a:graphic>
          </wp:inline>
        </w:drawing>
      </w:r>
    </w:p>
    <w:p>
      <w:pPr>
        <w:pStyle w:val="Normal"/>
        <w:jc w:val="both"/>
        <w:rPr>
          <w:rFonts w:ascii="Bookman Old Style" w:hAnsi="Bookman Old Style" w:cs="Tahoma"/>
          <w:b/>
          <w:b/>
          <w:bCs/>
          <w:i/>
          <w:i/>
          <w:iCs/>
          <w:color w:val="000000" w:themeColor="text1"/>
          <w:sz w:val="20"/>
          <w:szCs w:val="20"/>
          <w:u w:val="single"/>
          <w:lang w:val="es-ES"/>
        </w:rPr>
      </w:pPr>
      <w:r>
        <w:rPr/>
        <w:drawing>
          <wp:inline distT="0" distB="0" distL="0" distR="0">
            <wp:extent cx="5612130" cy="7138035"/>
            <wp:effectExtent l="0" t="0" r="0" b="0"/>
            <wp:docPr id="27"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5" descr=""/>
                    <pic:cNvPicPr>
                      <a:picLocks noChangeAspect="1" noChangeArrowheads="1"/>
                    </pic:cNvPicPr>
                  </pic:nvPicPr>
                  <pic:blipFill>
                    <a:blip r:embed="rId60"/>
                    <a:stretch>
                      <a:fillRect/>
                    </a:stretch>
                  </pic:blipFill>
                  <pic:spPr bwMode="auto">
                    <a:xfrm>
                      <a:off x="0" y="0"/>
                      <a:ext cx="5612130" cy="7138035"/>
                    </a:xfrm>
                    <a:prstGeom prst="rect">
                      <a:avLst/>
                    </a:prstGeom>
                  </pic:spPr>
                </pic:pic>
              </a:graphicData>
            </a:graphic>
          </wp:inline>
        </w:drawing>
      </w:r>
    </w:p>
    <w:p>
      <w:pPr>
        <w:pStyle w:val="Normal"/>
        <w:jc w:val="both"/>
        <w:rPr>
          <w:rFonts w:ascii="Bookman Old Style" w:hAnsi="Bookman Old Style" w:cs="Tahoma"/>
          <w:b/>
          <w:b/>
          <w:bCs/>
          <w:i/>
          <w:i/>
          <w:iCs/>
          <w:color w:val="000000" w:themeColor="text1"/>
          <w:sz w:val="20"/>
          <w:szCs w:val="20"/>
          <w:u w:val="single"/>
          <w:lang w:val="es-ES"/>
        </w:rPr>
      </w:pPr>
      <w:r>
        <w:rPr/>
        <w:drawing>
          <wp:inline distT="0" distB="0" distL="0" distR="0">
            <wp:extent cx="5612130" cy="7305675"/>
            <wp:effectExtent l="0" t="0" r="0" b="0"/>
            <wp:docPr id="28"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7" descr=""/>
                    <pic:cNvPicPr>
                      <a:picLocks noChangeAspect="1" noChangeArrowheads="1"/>
                    </pic:cNvPicPr>
                  </pic:nvPicPr>
                  <pic:blipFill>
                    <a:blip r:embed="rId61"/>
                    <a:stretch>
                      <a:fillRect/>
                    </a:stretch>
                  </pic:blipFill>
                  <pic:spPr bwMode="auto">
                    <a:xfrm>
                      <a:off x="0" y="0"/>
                      <a:ext cx="5612130" cy="7305675"/>
                    </a:xfrm>
                    <a:prstGeom prst="rect">
                      <a:avLst/>
                    </a:prstGeom>
                  </pic:spPr>
                </pic:pic>
              </a:graphicData>
            </a:graphic>
          </wp:inline>
        </w:drawing>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color w:val="201F1E"/>
          <w:sz w:val="20"/>
          <w:szCs w:val="20"/>
        </w:rPr>
      </w:pPr>
      <w:r>
        <w:rPr>
          <w:rFonts w:cs="Tahoma" w:ascii="Bookman Old Style" w:hAnsi="Bookman Old Style"/>
          <w:sz w:val="20"/>
          <w:szCs w:val="20"/>
        </w:rPr>
        <w:t xml:space="preserve">La Magistrada Damaris Vargas Vásquez, </w:t>
      </w:r>
      <w:r>
        <w:rPr>
          <w:rFonts w:cs="Tahoma" w:ascii="Bookman Old Style" w:hAnsi="Bookman Old Style"/>
          <w:bCs/>
          <w:sz w:val="20"/>
          <w:szCs w:val="20"/>
          <w:lang w:val="es-ES"/>
        </w:rPr>
        <w:t>Coordinadora Subcomisión Acceso a la Justicia de Pueblos Indígenas</w:t>
      </w:r>
      <w:r>
        <w:rPr>
          <w:rFonts w:cs="Tahoma" w:ascii="Bookman Old Style" w:hAnsi="Bookman Old Style"/>
          <w:sz w:val="20"/>
          <w:szCs w:val="20"/>
        </w:rPr>
        <w:t xml:space="preserve"> mediante correo electrónico de data 23 de abril de 2020, remitió a la Dra. </w:t>
      </w:r>
      <w:r>
        <w:rPr>
          <w:rFonts w:cs="Tahoma" w:ascii="Bookman Old Style" w:hAnsi="Bookman Old Style"/>
          <w:color w:val="201F1E"/>
          <w:sz w:val="20"/>
          <w:szCs w:val="20"/>
        </w:rPr>
        <w:t xml:space="preserve">Emilia Navas Aparicio, Fiscala General y al Dr. Walter Espinoza Espinoza, Director General del Organismo de Investigación Judicial, la solicitud de investigación sobre </w:t>
      </w:r>
      <w:r>
        <w:rPr>
          <w:rFonts w:cs="Tahoma" w:ascii="Bookman Old Style" w:hAnsi="Bookman Old Style"/>
          <w:color w:val="201F1E"/>
          <w:sz w:val="20"/>
          <w:szCs w:val="20"/>
          <w:lang w:val="es-ES"/>
        </w:rPr>
        <w:t>cuerpo de seguridad de la ADI de Cabagra. El comunicado señala: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Señora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Dra. Emilia Navas Aparicio</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Fiscala General</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Fiscalía General de la República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Señor</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Dr. Walter Espinoza Espinoza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Director General</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Organismo de Investigación Judicial</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Estimados Señor y Señora: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xml:space="preserve">Reciban un atento saludo. A la vez, traslado para su conocimiento comunicado electrónico enviado al Poder Ejecutivo, Defensoría de los Habitantes de Costa Rica, Fondo Nacional de Financiamiento Forestal, Dirección Nacional de Desarrollo Comunal y a la suscrita en el carácter de Coordinadora de la Subcomisión de Acceso a la Justicia de Pueblos Indígenas, por el señor Maximiliano Torres Torres, Coordinador del Consejo de Mayor@s Iriria Jtechö Wakpa del Territorio Iriria Bribri Sá Ka, conocido como Cabagra. En dicho correo, adjunta un comunicado público solicitando realizar una investigación y tomar las medidas administrativas o judiciales correspondientes, sobre el grupo de seguridad comunitaria de la Asociación de Desarrollo Integral de Cabagra, conocido como "Las fuerzas negras" o "los negros".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xml:space="preserve">El señor Torres Torres señala que para cualquier comunicación se le puede escribir al correo: </w:t>
      </w:r>
      <w:hyperlink r:id="rId62" w:tgtFrame="_blank">
        <w:r>
          <w:rPr>
            <w:rFonts w:cs="Calibri" w:ascii="Bookman Old Style" w:hAnsi="Bookman Old Style"/>
            <w:i/>
            <w:iCs/>
            <w:color w:val="0000FF"/>
            <w:sz w:val="20"/>
            <w:szCs w:val="20"/>
            <w:u w:val="single"/>
          </w:rPr>
          <w:t>consejomayores.iriria@gmail.com</w:t>
        </w:r>
      </w:hyperlink>
      <w:r>
        <w:rPr>
          <w:rFonts w:cs="Calibri" w:ascii="Bookman Old Style" w:hAnsi="Bookman Old Style"/>
          <w:i/>
          <w:iCs/>
          <w:color w:val="201F1E"/>
          <w:sz w:val="20"/>
          <w:szCs w:val="20"/>
        </w:rPr>
        <w:t>. Adjunto documentos de interés.</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Estaré atenta por si desean se brinde algún tipo de información al gestionante, a menos que prefieran hacerlo directamente de estimarlo procedente.</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Cordialmente,</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Damaris Vargas Vásquez</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Coordinadora</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Subcomisión Acceso a la Justicia de Pueblos Indígenas</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color w:val="201F1E"/>
          <w:sz w:val="20"/>
          <w:szCs w:val="20"/>
        </w:rPr>
      </w:pPr>
      <w:r>
        <w:rPr>
          <w:rFonts w:cs="Calibri" w:ascii="Bookman Old Style" w:hAnsi="Bookman Old Style"/>
          <w:i/>
          <w:iCs/>
          <w:color w:val="201F1E"/>
          <w:sz w:val="20"/>
          <w:szCs w:val="20"/>
        </w:rPr>
        <w:t> </w:t>
      </w:r>
      <w:r>
        <w:rPr>
          <w:rFonts w:cs="Calibri" w:ascii="Bookman Old Style" w:hAnsi="Bookman Old Style"/>
          <w:color w:val="201F1E"/>
          <w:sz w:val="20"/>
          <w:szCs w:val="20"/>
        </w:rPr>
        <w:t> </w:t>
      </w:r>
    </w:p>
    <w:p>
      <w:pPr>
        <w:pStyle w:val="Normal"/>
        <w:jc w:val="both"/>
        <w:rPr>
          <w:rFonts w:ascii="Bookman Old Style" w:hAnsi="Bookman Old Style" w:cs="Tahoma"/>
          <w:bCs/>
          <w:sz w:val="20"/>
          <w:szCs w:val="20"/>
          <w:lang w:val="es-ES"/>
        </w:rPr>
      </w:pPr>
      <w:r>
        <w:rPr>
          <w:rFonts w:cs="Tahoma" w:ascii="Bookman Old Style" w:hAnsi="Bookman Old Style"/>
          <w:bCs/>
          <w:sz w:val="20"/>
          <w:szCs w:val="20"/>
          <w:lang w:val="es-ES"/>
        </w:rPr>
        <w:t xml:space="preserve">Las personas representantes de la </w:t>
      </w:r>
      <w:r>
        <w:rPr>
          <w:rFonts w:cs="Tahoma" w:ascii="Bookman Old Style" w:hAnsi="Bookman Old Style"/>
          <w:color w:val="201F1E"/>
          <w:sz w:val="20"/>
          <w:szCs w:val="20"/>
        </w:rPr>
        <w:t>Fiscala General de la República y del Organismo de Investigación Judicial se pronunciaron en relación con el comunicado referido.</w:t>
      </w:r>
    </w:p>
    <w:p>
      <w:pPr>
        <w:pStyle w:val="Normal"/>
        <w:rPr>
          <w:rFonts w:ascii="Bookman Old Style" w:hAnsi="Bookman Old Style" w:cs="Segoe UI"/>
          <w:color w:val="323130"/>
          <w:sz w:val="20"/>
          <w:szCs w:val="20"/>
          <w:lang w:val="es-ES"/>
        </w:rPr>
      </w:pPr>
      <w:r>
        <w:rPr>
          <w:rFonts w:cs="Segoe UI" w:ascii="Bookman Old Style" w:hAnsi="Bookman Old Style"/>
          <w:color w:val="323130"/>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t>ARTÍCULO XII</w:t>
      </w:r>
    </w:p>
    <w:p>
      <w:pPr>
        <w:pStyle w:val="Normal"/>
        <w:spacing w:before="0" w:after="0"/>
        <w:contextualSpacing/>
        <w:jc w:val="both"/>
        <w:rPr>
          <w:rFonts w:ascii="Bookman Old Style" w:hAnsi="Bookman Old Style" w:cs="Tahoma"/>
          <w:sz w:val="20"/>
          <w:szCs w:val="20"/>
          <w:lang w:val="es-ES"/>
        </w:rPr>
      </w:pPr>
      <w:r>
        <w:rPr>
          <w:rFonts w:cs="Tahoma" w:ascii="Bookman Old Style" w:hAnsi="Bookman Old Style"/>
          <w:sz w:val="20"/>
          <w:szCs w:val="20"/>
          <w:lang w:val="es-ES"/>
        </w:rPr>
        <w:t xml:space="preserve">La Unidad de Acceso a la Justicia en Oficio N° CACC-115-2020 de 16 de abril pasado, comunicó a la Escuela Judicial el acuerdo tomado por la Subcomisión de Acceso a la Justicia de Pueblos Indígenas en sesión 03-2020 celebrada virtualmente el 17 de marzo de 2020, Artículo Único. </w:t>
      </w:r>
    </w:p>
    <w:p>
      <w:pPr>
        <w:pStyle w:val="Normal"/>
        <w:spacing w:before="0" w:after="0"/>
        <w:contextualSpacing/>
        <w:jc w:val="both"/>
        <w:rPr>
          <w:rFonts w:ascii="Bookman Old Style" w:hAnsi="Bookman Old Style" w:cs="Tahoma"/>
          <w:sz w:val="20"/>
          <w:szCs w:val="20"/>
          <w:lang w:val="es-ES"/>
        </w:rPr>
      </w:pPr>
      <w:r>
        <w:rPr>
          <w:rFonts w:cs="Tahoma" w:ascii="Bookman Old Style" w:hAnsi="Bookman Old Style"/>
          <w:sz w:val="20"/>
          <w:szCs w:val="20"/>
          <w:lang w:val="es-ES"/>
        </w:rPr>
      </w:r>
    </w:p>
    <w:p>
      <w:pPr>
        <w:pStyle w:val="Normal"/>
        <w:spacing w:before="0" w:after="0"/>
        <w:contextualSpacing/>
        <w:jc w:val="both"/>
        <w:rPr>
          <w:rFonts w:ascii="Bookman Old Style" w:hAnsi="Bookman Old Style" w:cs="Tahoma"/>
          <w:sz w:val="20"/>
          <w:szCs w:val="20"/>
          <w:lang w:val="es-ES"/>
        </w:rPr>
      </w:pPr>
      <w:r>
        <w:rPr>
          <w:rFonts w:cs="Tahoma" w:ascii="Bookman Old Style" w:hAnsi="Bookman Old Style"/>
          <w:sz w:val="20"/>
          <w:szCs w:val="20"/>
          <w:lang w:val="es-ES"/>
        </w:rPr>
        <w:t>El Oficio señala literalmente:</w:t>
      </w:r>
    </w:p>
    <w:p>
      <w:pPr>
        <w:pStyle w:val="Normal"/>
        <w:spacing w:before="0" w:after="0"/>
        <w:contextualSpacing/>
        <w:jc w:val="right"/>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San José, 16 de abril de 2020</w:t>
      </w:r>
    </w:p>
    <w:p>
      <w:pPr>
        <w:pStyle w:val="Normal"/>
        <w:spacing w:before="0" w:after="0"/>
        <w:contextualSpacing/>
        <w:jc w:val="right"/>
        <w:rPr>
          <w:rFonts w:ascii="Bookman Old Style" w:hAnsi="Bookman Old Style"/>
          <w:i/>
          <w:i/>
          <w:iCs/>
          <w:sz w:val="20"/>
          <w:szCs w:val="20"/>
        </w:rPr>
      </w:pPr>
      <w:r>
        <w:rPr>
          <w:rFonts w:ascii="Bookman Old Style" w:hAnsi="Bookman Old Style"/>
          <w:i/>
          <w:iCs/>
          <w:sz w:val="20"/>
          <w:szCs w:val="20"/>
        </w:rPr>
        <w:t>Oficio CACC-115-2020</w:t>
      </w:r>
    </w:p>
    <w:p>
      <w:pPr>
        <w:pStyle w:val="Normal"/>
        <w:spacing w:before="0" w:after="0"/>
        <w:contextualSpacing/>
        <w:jc w:val="right"/>
        <w:rPr>
          <w:rFonts w:ascii="Bookman Old Style" w:hAnsi="Bookman Old Style"/>
          <w:i/>
          <w:i/>
          <w:iCs/>
          <w:sz w:val="20"/>
          <w:szCs w:val="20"/>
        </w:rPr>
      </w:pPr>
      <w:r>
        <w:rPr>
          <w:rFonts w:ascii="Bookman Old Style" w:hAnsi="Bookman Old Style"/>
          <w:i/>
          <w:iCs/>
          <w:sz w:val="20"/>
          <w:szCs w:val="20"/>
        </w:rPr>
        <w:t>Al contestar refiérase a este # de oficio</w:t>
      </w:r>
    </w:p>
    <w:p>
      <w:pPr>
        <w:pStyle w:val="Normal"/>
        <w:spacing w:before="0" w:after="0"/>
        <w:contextualSpacing/>
        <w:jc w:val="both"/>
        <w:rPr>
          <w:rFonts w:ascii="Bookman Old Style" w:hAnsi="Bookman Old Style"/>
          <w:bCs/>
          <w:i/>
          <w:i/>
          <w:iCs/>
          <w:sz w:val="20"/>
          <w:szCs w:val="20"/>
        </w:rPr>
      </w:pPr>
      <w:r>
        <w:rPr>
          <w:rFonts w:ascii="Bookman Old Style" w:hAnsi="Bookman Old Style"/>
          <w:bCs/>
          <w:i/>
          <w:iCs/>
          <w:sz w:val="20"/>
          <w:szCs w:val="20"/>
        </w:rPr>
      </w:r>
    </w:p>
    <w:p>
      <w:pPr>
        <w:pStyle w:val="Normal"/>
        <w:spacing w:before="0" w:after="0"/>
        <w:contextualSpacing/>
        <w:jc w:val="both"/>
        <w:rPr>
          <w:rFonts w:ascii="Bookman Old Style" w:hAnsi="Bookman Old Style"/>
          <w:b/>
          <w:b/>
          <w:i/>
          <w:i/>
          <w:iCs/>
          <w:sz w:val="20"/>
          <w:szCs w:val="20"/>
        </w:rPr>
      </w:pPr>
      <w:r>
        <w:rPr>
          <w:rFonts w:ascii="Bookman Old Style" w:hAnsi="Bookman Old Style"/>
          <w:b/>
          <w:i/>
          <w:iCs/>
          <w:sz w:val="20"/>
          <w:szCs w:val="20"/>
        </w:rPr>
      </w:r>
    </w:p>
    <w:p>
      <w:pPr>
        <w:pStyle w:val="Normal"/>
        <w:spacing w:before="0" w:after="0"/>
        <w:contextualSpacing/>
        <w:jc w:val="both"/>
        <w:rPr>
          <w:rStyle w:val="Strong"/>
          <w:rFonts w:ascii="Bookman Old Style" w:hAnsi="Bookman Old Style" w:eastAsia="Batang"/>
          <w:i/>
          <w:i/>
          <w:iCs/>
          <w:sz w:val="20"/>
          <w:szCs w:val="20"/>
        </w:rPr>
      </w:pPr>
      <w:r>
        <w:rPr>
          <w:rFonts w:eastAsia="Batang" w:ascii="Bookman Old Style" w:hAnsi="Bookman Old Style"/>
          <w:i/>
          <w:iCs/>
          <w:sz w:val="20"/>
          <w:szCs w:val="20"/>
        </w:rPr>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Señora</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Rebeca Guardia Morales</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Directora a.i., Escuela Judicial</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Poder Judicial</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 xml:space="preserve">S.D. </w:t>
      </w:r>
    </w:p>
    <w:p>
      <w:pPr>
        <w:pStyle w:val="Normal"/>
        <w:spacing w:before="0" w:after="0"/>
        <w:contextualSpacing/>
        <w:jc w:val="both"/>
        <w:rPr>
          <w:rStyle w:val="Strong"/>
          <w:rFonts w:ascii="Bookman Old Style" w:hAnsi="Bookman Old Style" w:eastAsia="Batang"/>
          <w:i/>
          <w:i/>
          <w:iCs/>
          <w:sz w:val="20"/>
          <w:szCs w:val="20"/>
        </w:rPr>
      </w:pPr>
      <w:r>
        <w:rPr>
          <w:rFonts w:eastAsia="Batang" w:ascii="Bookman Old Style" w:hAnsi="Bookman Old Style"/>
          <w:i/>
          <w:iCs/>
          <w:sz w:val="20"/>
          <w:szCs w:val="20"/>
        </w:rPr>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Señora</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Flor Arroyo Morera</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Gestora de Capacitación, Escuela Judicial</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Poder Judicial</w:t>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S.D.</w:t>
      </w:r>
    </w:p>
    <w:p>
      <w:pPr>
        <w:pStyle w:val="Normal"/>
        <w:spacing w:before="0" w:after="0"/>
        <w:contextualSpacing/>
        <w:jc w:val="both"/>
        <w:rPr>
          <w:rFonts w:ascii="Bookman Old Style" w:hAnsi="Bookman Old Style"/>
          <w:bCs/>
          <w:i/>
          <w:i/>
          <w:iCs/>
          <w:sz w:val="20"/>
          <w:szCs w:val="20"/>
        </w:rPr>
      </w:pPr>
      <w:r>
        <w:rPr>
          <w:rFonts w:ascii="Bookman Old Style" w:hAnsi="Bookman Old Style"/>
          <w:bCs/>
          <w:i/>
          <w:iCs/>
          <w:sz w:val="20"/>
          <w:szCs w:val="20"/>
        </w:rPr>
      </w:r>
    </w:p>
    <w:p>
      <w:pPr>
        <w:pStyle w:val="Normal"/>
        <w:spacing w:before="0" w:after="0"/>
        <w:contextualSpacing/>
        <w:jc w:val="both"/>
        <w:rPr>
          <w:rStyle w:val="Strong"/>
          <w:rFonts w:ascii="Bookman Old Style" w:hAnsi="Bookman Old Style" w:eastAsia="Batang"/>
          <w:i/>
          <w:i/>
          <w:iCs/>
          <w:sz w:val="20"/>
          <w:szCs w:val="20"/>
        </w:rPr>
      </w:pPr>
      <w:r>
        <w:rPr>
          <w:rFonts w:eastAsia="Batang" w:ascii="Bookman Old Style" w:hAnsi="Bookman Old Style"/>
          <w:i/>
          <w:iCs/>
          <w:sz w:val="20"/>
          <w:szCs w:val="20"/>
        </w:rPr>
      </w:r>
    </w:p>
    <w:p>
      <w:pPr>
        <w:pStyle w:val="Normal"/>
        <w:spacing w:before="0" w:after="0"/>
        <w:contextualSpacing/>
        <w:jc w:val="both"/>
        <w:rPr>
          <w:rStyle w:val="Strong"/>
          <w:rFonts w:ascii="Bookman Old Style" w:hAnsi="Bookman Old Style" w:eastAsia="Batang"/>
          <w:i/>
          <w:i/>
          <w:iCs/>
          <w:sz w:val="20"/>
          <w:szCs w:val="20"/>
        </w:rPr>
      </w:pPr>
      <w:r>
        <w:rPr>
          <w:rStyle w:val="Strong"/>
          <w:rFonts w:eastAsia="Batang" w:ascii="Bookman Old Style" w:hAnsi="Bookman Old Style"/>
          <w:i/>
          <w:iCs/>
          <w:sz w:val="20"/>
          <w:szCs w:val="20"/>
        </w:rPr>
        <w:t>Estimadas señoras:</w:t>
      </w:r>
    </w:p>
    <w:p>
      <w:pPr>
        <w:pStyle w:val="Normal"/>
        <w:spacing w:before="0" w:after="0"/>
        <w:contextualSpacing/>
        <w:jc w:val="both"/>
        <w:rPr>
          <w:rStyle w:val="Strong"/>
          <w:rFonts w:ascii="Bookman Old Style" w:hAnsi="Bookman Old Style" w:eastAsia="Batang"/>
          <w:i/>
          <w:i/>
          <w:iCs/>
          <w:sz w:val="20"/>
          <w:szCs w:val="20"/>
        </w:rPr>
      </w:pPr>
      <w:r>
        <w:rPr>
          <w:rFonts w:eastAsia="Batang" w:ascii="Bookman Old Style" w:hAnsi="Bookman Old Style"/>
          <w:i/>
          <w:iCs/>
          <w:sz w:val="20"/>
          <w:szCs w:val="20"/>
        </w:rPr>
      </w:r>
    </w:p>
    <w:p>
      <w:pPr>
        <w:pStyle w:val="Normal"/>
        <w:spacing w:before="0" w:after="0"/>
        <w:contextualSpacing/>
        <w:jc w:val="both"/>
        <w:rPr>
          <w:rFonts w:ascii="Bookman Old Style" w:hAnsi="Bookman Old Style"/>
          <w:i/>
          <w:i/>
          <w:iCs/>
          <w:sz w:val="20"/>
          <w:szCs w:val="20"/>
        </w:rPr>
      </w:pPr>
      <w:r>
        <w:rPr>
          <w:rFonts w:ascii="Bookman Old Style" w:hAnsi="Bookman Old Style"/>
          <w:i/>
          <w:iCs/>
          <w:sz w:val="20"/>
          <w:szCs w:val="20"/>
        </w:rPr>
        <w:t xml:space="preserve">Por este medio se remite para su estimable conocimiento, el acuerdo tomado por la </w:t>
      </w:r>
      <w:r>
        <w:rPr>
          <w:rStyle w:val="Strong"/>
          <w:rFonts w:eastAsia="Batang" w:ascii="Bookman Old Style" w:hAnsi="Bookman Old Style"/>
          <w:i/>
          <w:iCs/>
          <w:sz w:val="20"/>
          <w:szCs w:val="20"/>
        </w:rPr>
        <w:t xml:space="preserve">Subcomisión de Acceso a la Justicia de Pueblos Indígenas </w:t>
      </w:r>
      <w:r>
        <w:rPr>
          <w:rFonts w:ascii="Bookman Old Style" w:hAnsi="Bookman Old Style"/>
          <w:i/>
          <w:iCs/>
          <w:sz w:val="20"/>
          <w:szCs w:val="20"/>
        </w:rPr>
        <w:t>celebrada el pasado 17 de marzo de 2020 de manera virtual, el cual se transcribe literalmente.</w:t>
      </w:r>
    </w:p>
    <w:p>
      <w:pPr>
        <w:pStyle w:val="Normal"/>
        <w:spacing w:before="0" w:after="0"/>
        <w:contextualSpacing/>
        <w:jc w:val="both"/>
        <w:rPr>
          <w:rFonts w:ascii="Bookman Old Style" w:hAnsi="Bookman Old Style"/>
          <w:i/>
          <w:i/>
          <w:iCs/>
          <w:sz w:val="20"/>
          <w:szCs w:val="20"/>
        </w:rPr>
      </w:pPr>
      <w:r>
        <w:rPr>
          <w:rFonts w:ascii="Bookman Old Style" w:hAnsi="Bookman Old Style"/>
          <w:i/>
          <w:iCs/>
          <w:sz w:val="20"/>
          <w:szCs w:val="20"/>
        </w:rPr>
      </w:r>
    </w:p>
    <w:p>
      <w:pPr>
        <w:pStyle w:val="Normal"/>
        <w:spacing w:lineRule="auto" w:line="360"/>
        <w:jc w:val="center"/>
        <w:rPr>
          <w:rFonts w:ascii="Bookman Old Style" w:hAnsi="Bookman Old Style"/>
          <w:b/>
          <w:b/>
          <w:i/>
          <w:i/>
          <w:iCs/>
          <w:sz w:val="20"/>
          <w:szCs w:val="20"/>
          <w:u w:val="single"/>
        </w:rPr>
      </w:pPr>
      <w:r>
        <w:rPr>
          <w:rFonts w:ascii="Bookman Old Style" w:hAnsi="Bookman Old Style"/>
          <w:b/>
          <w:i/>
          <w:iCs/>
          <w:sz w:val="20"/>
          <w:szCs w:val="20"/>
          <w:u w:val="single"/>
        </w:rPr>
        <w:t>“</w:t>
      </w:r>
      <w:r>
        <w:rPr>
          <w:rFonts w:ascii="Bookman Old Style" w:hAnsi="Bookman Old Style"/>
          <w:b/>
          <w:i/>
          <w:iCs/>
          <w:sz w:val="20"/>
          <w:szCs w:val="20"/>
          <w:u w:val="single"/>
        </w:rPr>
        <w:t>ARTICULO UNICO</w:t>
      </w:r>
    </w:p>
    <w:p>
      <w:pPr>
        <w:pStyle w:val="Normal"/>
        <w:spacing w:beforeAutospacing="1" w:afterAutospacing="1"/>
        <w:jc w:val="both"/>
        <w:rPr>
          <w:rFonts w:ascii="Bookman Old Style" w:hAnsi="Bookman Old Style"/>
          <w:i/>
          <w:i/>
          <w:iCs/>
          <w:sz w:val="20"/>
          <w:szCs w:val="20"/>
        </w:rPr>
      </w:pPr>
      <w:r>
        <w:rPr>
          <w:rFonts w:ascii="Bookman Old Style" w:hAnsi="Bookman Old Style"/>
          <w:i/>
          <w:iCs/>
          <w:sz w:val="20"/>
          <w:szCs w:val="20"/>
        </w:rPr>
        <w:t>La Subcomisión de Acceso a la Justicia de Pueblos Indígenas, en cumplimiento de la Circular 188-19 de Corte Plena y la Ley de Acceso a la Justicia de Pueblos Indígenas, planteó a la Escuela Judicial en 2019, la siguiente propuesta para el desarrollo del Plan Anual de Capacitación Indígena 2020:</w:t>
      </w:r>
    </w:p>
    <w:p>
      <w:pPr>
        <w:pStyle w:val="Normal"/>
        <w:spacing w:beforeAutospacing="1" w:afterAutospacing="1"/>
        <w:jc w:val="both"/>
        <w:rPr>
          <w:rFonts w:ascii="Bookman Old Style" w:hAnsi="Bookman Old Style"/>
          <w:i/>
          <w:i/>
          <w:iCs/>
          <w:sz w:val="20"/>
          <w:szCs w:val="20"/>
        </w:rPr>
      </w:pPr>
      <w:r>
        <w:rPr>
          <w:rFonts w:ascii="Bookman Old Style" w:hAnsi="Bookman Old Style"/>
          <w:i/>
          <w:iCs/>
          <w:sz w:val="20"/>
          <w:szCs w:val="20"/>
        </w:rPr>
      </w:r>
    </w:p>
    <w:p>
      <w:pPr>
        <w:pStyle w:val="Normal"/>
        <w:jc w:val="center"/>
        <w:rPr>
          <w:rFonts w:ascii="Bookman Old Style" w:hAnsi="Bookman Old Style"/>
          <w:i/>
          <w:i/>
          <w:iCs/>
          <w:sz w:val="20"/>
          <w:szCs w:val="20"/>
        </w:rPr>
      </w:pPr>
      <w:r>
        <w:rPr>
          <w:rFonts w:ascii="Bookman Old Style" w:hAnsi="Bookman Old Style"/>
          <w:i/>
          <w:iCs/>
          <w:sz w:val="20"/>
          <w:szCs w:val="20"/>
        </w:rPr>
      </w:r>
    </w:p>
    <w:tbl>
      <w:tblPr>
        <w:tblW w:w="10512" w:type="dxa"/>
        <w:jc w:val="left"/>
        <w:tblInd w:w="-257" w:type="dxa"/>
        <w:tblLayout w:type="fixed"/>
        <w:tblCellMar>
          <w:top w:w="55" w:type="dxa"/>
          <w:left w:w="55" w:type="dxa"/>
          <w:bottom w:w="55" w:type="dxa"/>
          <w:right w:w="55" w:type="dxa"/>
        </w:tblCellMar>
        <w:tblLook w:firstRow="0" w:noVBand="0" w:lastRow="0" w:firstColumn="0" w:lastColumn="0" w:noHBand="0" w:val="0000"/>
      </w:tblPr>
      <w:tblGrid>
        <w:gridCol w:w="909"/>
        <w:gridCol w:w="1981"/>
        <w:gridCol w:w="3010"/>
        <w:gridCol w:w="1408"/>
        <w:gridCol w:w="1137"/>
        <w:gridCol w:w="2066"/>
      </w:tblGrid>
      <w:tr>
        <w:trPr>
          <w:tblHeader w:val="true"/>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jc w:val="center"/>
              <w:rPr>
                <w:rFonts w:ascii="Bookman Old Style" w:hAnsi="Bookman Old Style" w:eastAsia="NSimSun"/>
                <w:b/>
                <w:b/>
                <w:bCs/>
                <w:i/>
                <w:i/>
                <w:iCs/>
                <w:color w:val="000000"/>
                <w:kern w:val="2"/>
                <w:sz w:val="20"/>
                <w:szCs w:val="20"/>
                <w:lang w:eastAsia="zh-CN" w:bidi="hi-IN"/>
              </w:rPr>
            </w:pPr>
            <w:r>
              <w:rPr>
                <w:rFonts w:eastAsia="NSimSun" w:ascii="Bookman Old Style" w:hAnsi="Bookman Old Style"/>
                <w:b/>
                <w:bCs/>
                <w:i/>
                <w:iCs/>
                <w:color w:val="000000"/>
                <w:kern w:val="2"/>
                <w:sz w:val="20"/>
                <w:szCs w:val="20"/>
                <w:lang w:eastAsia="zh-CN" w:bidi="hi-IN"/>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jc w:val="center"/>
              <w:rPr>
                <w:rFonts w:ascii="Bookman Old Style" w:hAnsi="Bookman Old Style"/>
                <w:i/>
                <w:i/>
                <w:iCs/>
                <w:sz w:val="20"/>
                <w:szCs w:val="20"/>
              </w:rPr>
            </w:pPr>
            <w:r>
              <w:rPr>
                <w:rFonts w:eastAsia="NSimSun" w:ascii="Bookman Old Style" w:hAnsi="Bookman Old Style"/>
                <w:b/>
                <w:bCs/>
                <w:i/>
                <w:iCs/>
                <w:color w:val="000000"/>
                <w:kern w:val="2"/>
                <w:sz w:val="20"/>
                <w:szCs w:val="20"/>
                <w:lang w:eastAsia="zh-CN" w:bidi="hi-IN"/>
              </w:rPr>
              <w:t>Tema</w:t>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jc w:val="center"/>
              <w:rPr>
                <w:rFonts w:ascii="Bookman Old Style" w:hAnsi="Bookman Old Style"/>
                <w:i/>
                <w:i/>
                <w:iCs/>
                <w:sz w:val="20"/>
                <w:szCs w:val="20"/>
              </w:rPr>
            </w:pPr>
            <w:r>
              <w:rPr>
                <w:rFonts w:eastAsia="NSimSun" w:ascii="Bookman Old Style" w:hAnsi="Bookman Old Style"/>
                <w:b/>
                <w:bCs/>
                <w:i/>
                <w:iCs/>
                <w:color w:val="000000"/>
                <w:kern w:val="2"/>
                <w:sz w:val="20"/>
                <w:szCs w:val="20"/>
                <w:lang w:eastAsia="zh-CN" w:bidi="hi-IN"/>
              </w:rPr>
              <w:t>Justificación</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jc w:val="center"/>
              <w:rPr>
                <w:rFonts w:ascii="Bookman Old Style" w:hAnsi="Bookman Old Style"/>
                <w:i/>
                <w:i/>
                <w:iCs/>
                <w:sz w:val="20"/>
                <w:szCs w:val="20"/>
              </w:rPr>
            </w:pPr>
            <w:r>
              <w:rPr>
                <w:rFonts w:eastAsia="NSimSun" w:ascii="Bookman Old Style" w:hAnsi="Bookman Old Style"/>
                <w:b/>
                <w:bCs/>
                <w:i/>
                <w:iCs/>
                <w:color w:val="000000"/>
                <w:kern w:val="2"/>
                <w:sz w:val="20"/>
                <w:szCs w:val="20"/>
                <w:lang w:eastAsia="zh-CN" w:bidi="hi-IN"/>
              </w:rPr>
              <w:t>Nivel de profundidad</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Baja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b/>
                <w:bCs/>
                <w:i/>
                <w:iCs/>
                <w:color w:val="000000"/>
                <w:kern w:val="2"/>
                <w:sz w:val="20"/>
                <w:szCs w:val="20"/>
                <w:lang w:eastAsia="zh-CN" w:bidi="hi-IN"/>
              </w:rPr>
              <w:t>Prioridad</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b/>
                <w:bCs/>
                <w:i/>
                <w:iCs/>
                <w:color w:val="000000"/>
                <w:kern w:val="2"/>
                <w:sz w:val="20"/>
                <w:szCs w:val="20"/>
                <w:lang w:eastAsia="zh-CN" w:bidi="hi-IN"/>
              </w:rPr>
              <w:t>Posibles personas facilitadoras</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i/>
                <w:i/>
                <w:iCs/>
                <w:sz w:val="20"/>
                <w:szCs w:val="20"/>
              </w:rPr>
            </w:pPr>
            <w:r>
              <w:rPr>
                <w:rFonts w:ascii="Bookman Old Style" w:hAnsi="Bookman Old Style"/>
                <w:i/>
                <w:iCs/>
                <w:sz w:val="20"/>
                <w:szCs w:val="20"/>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ascii="Bookman Old Style" w:hAnsi="Bookman Old Style"/>
                <w:b/>
                <w:i/>
                <w:iCs/>
                <w:sz w:val="20"/>
                <w:szCs w:val="20"/>
              </w:rPr>
              <w:t xml:space="preserve">CONOCERNOS: </w:t>
            </w:r>
            <w:r>
              <w:rPr>
                <w:rFonts w:ascii="Bookman Old Style" w:hAnsi="Bookman Old Style"/>
                <w:i/>
                <w:iCs/>
                <w:sz w:val="20"/>
                <w:szCs w:val="20"/>
              </w:rPr>
              <w:t>Un primer acercamiento</w:t>
            </w:r>
          </w:p>
          <w:p>
            <w:pPr>
              <w:pStyle w:val="Normal"/>
              <w:widowControl w:val="false"/>
              <w:rPr>
                <w:rFonts w:ascii="Bookman Old Style" w:hAnsi="Bookman Old Style"/>
                <w:i/>
                <w:i/>
                <w:iCs/>
                <w:sz w:val="20"/>
                <w:szCs w:val="20"/>
              </w:rPr>
            </w:pPr>
            <w:r>
              <w:rPr>
                <w:rFonts w:ascii="Bookman Old Style" w:hAnsi="Bookman Old Style"/>
                <w:i/>
                <w:iCs/>
                <w:sz w:val="20"/>
                <w:szCs w:val="20"/>
              </w:rPr>
            </w:r>
          </w:p>
          <w:p>
            <w:pPr>
              <w:pStyle w:val="Normal"/>
              <w:widowControl w:val="false"/>
              <w:rPr>
                <w:rFonts w:ascii="Bookman Old Style" w:hAnsi="Bookman Old Style"/>
                <w:i/>
                <w:i/>
                <w:iCs/>
                <w:sz w:val="20"/>
                <w:szCs w:val="20"/>
              </w:rPr>
            </w:pPr>
            <w:r>
              <w:rPr>
                <w:rFonts w:ascii="Bookman Old Style" w:hAnsi="Bookman Old Style"/>
                <w:i/>
                <w:iCs/>
                <w:sz w:val="20"/>
                <w:szCs w:val="20"/>
              </w:rPr>
              <w:t>Historia</w:t>
            </w:r>
          </w:p>
          <w:p>
            <w:pPr>
              <w:pStyle w:val="Normal"/>
              <w:widowControl w:val="false"/>
              <w:rPr>
                <w:rFonts w:ascii="Bookman Old Style" w:hAnsi="Bookman Old Style"/>
                <w:i/>
                <w:i/>
                <w:iCs/>
                <w:sz w:val="20"/>
                <w:szCs w:val="20"/>
              </w:rPr>
            </w:pPr>
            <w:r>
              <w:rPr>
                <w:rFonts w:ascii="Bookman Old Style" w:hAnsi="Bookman Old Style"/>
                <w:i/>
                <w:iCs/>
                <w:sz w:val="20"/>
                <w:szCs w:val="20"/>
              </w:rPr>
              <w:t>Costumbres, Formas de transmisión de la tierra,</w:t>
            </w:r>
          </w:p>
          <w:p>
            <w:pPr>
              <w:pStyle w:val="Normal"/>
              <w:widowControl w:val="false"/>
              <w:rPr>
                <w:rFonts w:ascii="Bookman Old Style" w:hAnsi="Bookman Old Style"/>
                <w:i/>
                <w:i/>
                <w:iCs/>
                <w:sz w:val="20"/>
                <w:szCs w:val="20"/>
              </w:rPr>
            </w:pPr>
            <w:r>
              <w:rPr>
                <w:rFonts w:ascii="Bookman Old Style" w:hAnsi="Bookman Old Style"/>
                <w:i/>
                <w:iCs/>
                <w:sz w:val="20"/>
                <w:szCs w:val="20"/>
              </w:rPr>
              <w:t>Formas de posesión de la tierra</w:t>
            </w:r>
          </w:p>
          <w:p>
            <w:pPr>
              <w:pStyle w:val="Normal"/>
              <w:widowControl w:val="fals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jc w:val="both"/>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Personas indígenas representantes de los territorios indígenas de Bribri de Talamanca y Térraba (Señor Pablo Sibar); </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 Marcos Guevara Berger</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Escuela de Antropología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 Alí García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Dra. Alejandra Boza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Escuela de Historia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Licda. Marjorie Herrera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Defensoría de los Habitantes de la República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Justa Romero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Indígena Bribri</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Pablo Sibar</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Indígena Broran</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Por definir</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Indígena Bribri</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i/>
                <w:i/>
                <w:iCs/>
                <w:sz w:val="20"/>
                <w:szCs w:val="20"/>
              </w:rPr>
            </w:pPr>
            <w:r>
              <w:rPr>
                <w:rFonts w:ascii="Bookman Old Style" w:hAnsi="Bookman Old Style"/>
                <w:i/>
                <w:iCs/>
                <w:sz w:val="20"/>
                <w:szCs w:val="20"/>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ascii="Bookman Old Style" w:hAnsi="Bookman Old Style"/>
                <w:i/>
                <w:iCs/>
                <w:sz w:val="20"/>
                <w:szCs w:val="20"/>
              </w:rPr>
              <w:t>Modelo de construcción de Política Nacional Indígena y Mecanismo de Consulta a Pueblos Indígenas; y construcción de la Política Indígena del Poder Judicial</w:t>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jc w:val="both"/>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Sr. Juan Alfaro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Viceministerio de la Presidencia, delegado para atender los asuntos indígenas por la Presidencia de la República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Sr. Geyner Blanco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Indígena Maleku Asesor de la Presidencia de la República en temas indígenas</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Sr. Jorge Olaso Alvarez</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Coordinador Comisión de Acceso a la Justicia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Sra. Melissa Benavides</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Coordinadora Unidad de Acceso a la Justicia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Sra. Damaris Vargas Vásquez</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Coordinadora Subcomisión Acceso a la Justicia de Pueblos Indígenas</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jc w:val="both"/>
              <w:rPr>
                <w:rFonts w:ascii="Bookman Old Style" w:hAnsi="Bookman Old Style"/>
                <w:i/>
                <w:i/>
                <w:iCs/>
                <w:sz w:val="20"/>
                <w:szCs w:val="20"/>
              </w:rPr>
            </w:pPr>
            <w:r>
              <w:rPr>
                <w:rFonts w:ascii="Bookman Old Style" w:hAnsi="Bookman Old Style"/>
                <w:i/>
                <w:iCs/>
                <w:sz w:val="20"/>
                <w:szCs w:val="20"/>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jc w:val="both"/>
              <w:rPr>
                <w:rFonts w:ascii="Bookman Old Style" w:hAnsi="Bookman Old Style"/>
                <w:i/>
                <w:i/>
                <w:iCs/>
                <w:sz w:val="20"/>
                <w:szCs w:val="20"/>
              </w:rPr>
            </w:pPr>
            <w:r>
              <w:rPr>
                <w:rFonts w:ascii="Bookman Old Style" w:hAnsi="Bookman Old Style"/>
                <w:i/>
                <w:iCs/>
                <w:sz w:val="20"/>
                <w:szCs w:val="20"/>
              </w:rPr>
              <w:t>Buenas Prácticas: Reglas de Brasilia, Ley de Acceso a la Justicia de Pueblos Indígenas de Costa Rica y Reglas de Procesos Indígenas; Circulares.</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Defensa Pública: Ligia Jiménez</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Fiscalía Indígena: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Ariana Céspedes</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Judicatura: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Jean Carlos Céspedes, Damaris Vargas Vásquez</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Ámbito Administrativo: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Wilberth Kidd</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OIJ:</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Yorleny Ferreto</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Sociedad Civil:</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Exmagistrada Carmen María Escoto Fernández</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LineNumbers/>
              <w:suppressAutoHyphens w:val="true"/>
              <w:snapToGrid w:val="false"/>
              <w:rPr>
                <w:rFonts w:ascii="Bookman Old Style" w:hAnsi="Bookman Old Style"/>
                <w:i/>
                <w:i/>
                <w:iCs/>
                <w:sz w:val="20"/>
                <w:szCs w:val="20"/>
              </w:rPr>
            </w:pPr>
            <w:r>
              <w:rPr>
                <w:rFonts w:ascii="Bookman Old Style" w:hAnsi="Bookman Old Style"/>
                <w:i/>
                <w:iCs/>
                <w:sz w:val="20"/>
                <w:szCs w:val="20"/>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ascii="Bookman Old Style" w:hAnsi="Bookman Old Style"/>
                <w:i/>
                <w:iCs/>
                <w:sz w:val="20"/>
                <w:szCs w:val="20"/>
              </w:rPr>
              <w:t>Mecanismo General de Consultas sobre actos en los territorios y de importancia para las personas indígenas fuera de los territorios indígenas</w:t>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Magistrada Iris Rocío Rojas:</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Coordinadora Comisión de Conciliación</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Franklin Paniagua, Director de DINARAC del Ministerio de Justicia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Carmen Cerdas: Directora Centro de Conciliación del Poder Judicial</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Katya Escalante: Escuela Judicial</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i/>
                <w:i/>
                <w:iCs/>
                <w:sz w:val="20"/>
                <w:szCs w:val="20"/>
              </w:rPr>
            </w:pPr>
            <w:r>
              <w:rPr>
                <w:rFonts w:ascii="Bookman Old Style" w:hAnsi="Bookman Old Style"/>
                <w:i/>
                <w:iCs/>
                <w:sz w:val="20"/>
                <w:szCs w:val="20"/>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ascii="Bookman Old Style" w:hAnsi="Bookman Old Style"/>
                <w:i/>
                <w:iCs/>
                <w:sz w:val="20"/>
                <w:szCs w:val="20"/>
              </w:rPr>
              <w:t xml:space="preserve">Plan de Recuperación de Tierras Indígenas (INDER) (Tierras, Territorios y Recursos) </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Diana Murillo: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Gerente General de INDER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Ing. Jimmy Garita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INDER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Ingra. Sandra Angulo Calderón</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INDER</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i/>
                <w:i/>
                <w:iCs/>
                <w:sz w:val="20"/>
                <w:szCs w:val="20"/>
              </w:rPr>
            </w:pPr>
            <w:r>
              <w:rPr>
                <w:rFonts w:ascii="Bookman Old Style" w:hAnsi="Bookman Old Style"/>
                <w:i/>
                <w:iCs/>
                <w:sz w:val="20"/>
                <w:szCs w:val="20"/>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ascii="Bookman Old Style" w:hAnsi="Bookman Old Style"/>
                <w:i/>
                <w:iCs/>
                <w:sz w:val="20"/>
                <w:szCs w:val="20"/>
              </w:rPr>
              <w:t>Género y mujeres indígenas</w:t>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Antropóloga Valeria Varas</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INAMU</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Máster Melissa </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Benavides</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Unidad Acceso a la Justicia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ascii="Bookman Old Style" w:hAnsi="Bookman Old Style"/>
                <w:i/>
                <w:iCs/>
                <w:sz w:val="20"/>
                <w:szCs w:val="20"/>
              </w:rPr>
              <w:t>Peritajes Culturales:</w:t>
            </w:r>
          </w:p>
          <w:p>
            <w:pPr>
              <w:pStyle w:val="Normal"/>
              <w:widowControl w:val="false"/>
              <w:rPr>
                <w:rFonts w:ascii="Bookman Old Style" w:hAnsi="Bookman Old Style"/>
                <w:i/>
                <w:i/>
                <w:iCs/>
                <w:sz w:val="20"/>
                <w:szCs w:val="20"/>
              </w:rPr>
            </w:pPr>
            <w:r>
              <w:rPr>
                <w:rFonts w:ascii="Bookman Old Style" w:hAnsi="Bookman Old Style"/>
                <w:i/>
                <w:iCs/>
                <w:sz w:val="20"/>
                <w:szCs w:val="20"/>
              </w:rPr>
            </w:r>
          </w:p>
          <w:p>
            <w:pPr>
              <w:pStyle w:val="Normal"/>
              <w:widowControl w:val="false"/>
              <w:rPr>
                <w:rFonts w:ascii="Bookman Old Style" w:hAnsi="Bookman Old Style"/>
                <w:i/>
                <w:i/>
                <w:iCs/>
                <w:sz w:val="20"/>
                <w:szCs w:val="20"/>
              </w:rPr>
            </w:pPr>
            <w:r>
              <w:rPr>
                <w:rFonts w:ascii="Bookman Old Style" w:hAnsi="Bookman Old Style"/>
                <w:i/>
                <w:iCs/>
                <w:sz w:val="20"/>
                <w:szCs w:val="20"/>
              </w:rPr>
              <w:t>Lecciones aprendidas</w:t>
            </w:r>
          </w:p>
          <w:p>
            <w:pPr>
              <w:pStyle w:val="Normal"/>
              <w:widowControl w:val="false"/>
              <w:rPr>
                <w:rFonts w:ascii="Bookman Old Style" w:hAnsi="Bookman Old Style"/>
                <w:i/>
                <w:i/>
                <w:iCs/>
                <w:sz w:val="20"/>
                <w:szCs w:val="20"/>
              </w:rPr>
            </w:pPr>
            <w:r>
              <w:rPr>
                <w:rFonts w:ascii="Bookman Old Style" w:hAnsi="Bookman Old Style"/>
                <w:i/>
                <w:iCs/>
                <w:sz w:val="20"/>
                <w:szCs w:val="20"/>
              </w:rPr>
            </w:r>
          </w:p>
          <w:p>
            <w:pPr>
              <w:pStyle w:val="Normal"/>
              <w:widowControl w:val="false"/>
              <w:rPr>
                <w:rFonts w:ascii="Bookman Old Style" w:hAnsi="Bookman Old Style"/>
                <w:i/>
                <w:i/>
                <w:iCs/>
                <w:sz w:val="20"/>
                <w:szCs w:val="20"/>
              </w:rPr>
            </w:pPr>
            <w:r>
              <w:rPr>
                <w:rFonts w:ascii="Bookman Old Style" w:hAnsi="Bookman Old Style"/>
                <w:i/>
                <w:iCs/>
                <w:sz w:val="20"/>
                <w:szCs w:val="20"/>
              </w:rPr>
              <w:t>Aprovechamiento y administración de la información</w:t>
            </w:r>
          </w:p>
          <w:p>
            <w:pPr>
              <w:pStyle w:val="Normal"/>
              <w:widowControl w:val="false"/>
              <w:rPr>
                <w:rFonts w:ascii="Bookman Old Style" w:hAnsi="Bookman Old Style"/>
                <w:i/>
                <w:i/>
                <w:iCs/>
                <w:sz w:val="20"/>
                <w:szCs w:val="20"/>
              </w:rPr>
            </w:pPr>
            <w:r>
              <w:rPr>
                <w:rFonts w:ascii="Bookman Old Style" w:hAnsi="Bookman Old Style"/>
                <w:i/>
                <w:iCs/>
                <w:sz w:val="20"/>
                <w:szCs w:val="20"/>
              </w:rPr>
            </w:r>
          </w:p>
          <w:p>
            <w:pPr>
              <w:pStyle w:val="Normal"/>
              <w:widowControl w:val="false"/>
              <w:rPr>
                <w:rFonts w:ascii="Bookman Old Style" w:hAnsi="Bookman Old Style"/>
                <w:i/>
                <w:i/>
                <w:iCs/>
                <w:sz w:val="20"/>
                <w:szCs w:val="20"/>
              </w:rPr>
            </w:pPr>
            <w:r>
              <w:rPr>
                <w:rFonts w:ascii="Bookman Old Style" w:hAnsi="Bookman Old Style"/>
                <w:i/>
                <w:iCs/>
                <w:sz w:val="20"/>
                <w:szCs w:val="20"/>
              </w:rPr>
              <w:t>Interpretación del idioma indígena</w:t>
            </w:r>
          </w:p>
          <w:p>
            <w:pPr>
              <w:pStyle w:val="Normal"/>
              <w:widowControl w:val="false"/>
              <w:rPr>
                <w:rFonts w:ascii="Bookman Old Style" w:hAnsi="Bookman Old Style"/>
                <w:i/>
                <w:i/>
                <w:iCs/>
                <w:sz w:val="20"/>
                <w:szCs w:val="20"/>
              </w:rPr>
            </w:pPr>
            <w:r>
              <w:rPr>
                <w:rFonts w:ascii="Bookman Old Style" w:hAnsi="Bookman Old Style"/>
                <w:i/>
                <w:iCs/>
                <w:sz w:val="20"/>
                <w:szCs w:val="20"/>
              </w:rPr>
            </w:r>
          </w:p>
          <w:p>
            <w:pPr>
              <w:pStyle w:val="Normal"/>
              <w:widowControl w:val="false"/>
              <w:rPr>
                <w:rFonts w:ascii="Bookman Old Style" w:hAnsi="Bookman Old Style"/>
                <w:i/>
                <w:i/>
                <w:iCs/>
                <w:sz w:val="20"/>
                <w:szCs w:val="20"/>
              </w:rPr>
            </w:pPr>
            <w:r>
              <w:rPr>
                <w:rFonts w:ascii="Bookman Old Style" w:hAnsi="Bookman Old Style"/>
                <w:i/>
                <w:iCs/>
                <w:sz w:val="20"/>
                <w:szCs w:val="20"/>
              </w:rPr>
            </w:r>
          </w:p>
          <w:p>
            <w:pPr>
              <w:pStyle w:val="Normal"/>
              <w:widowControl w:val="false"/>
              <w:rPr>
                <w:rFonts w:ascii="Bookman Old Style" w:hAnsi="Bookman Old Style"/>
                <w:i/>
                <w:i/>
                <w:iCs/>
                <w:sz w:val="20"/>
                <w:szCs w:val="20"/>
              </w:rPr>
            </w:pPr>
            <w:r>
              <w:rPr>
                <w:rFonts w:ascii="Bookman Old Style" w:hAnsi="Bookman Old Style"/>
                <w:i/>
                <w:iCs/>
                <w:sz w:val="20"/>
                <w:szCs w:val="20"/>
              </w:rPr>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 Marcos Guevara Berger</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Alí García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Javier Rodríguez</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Coordinador de Proyecto por el National Center </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Patricia Bonilla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Centro de Información Jurisprudencial</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i/>
                <w:i/>
                <w:iCs/>
                <w:color w:val="000000"/>
                <w:kern w:val="2"/>
                <w:sz w:val="20"/>
                <w:szCs w:val="20"/>
                <w:lang w:eastAsia="zh-CN" w:bidi="hi-IN"/>
              </w:rPr>
            </w:pPr>
            <w:r>
              <w:rPr>
                <w:rFonts w:ascii="Bookman Old Style" w:hAnsi="Bookman Old Style"/>
                <w:i/>
                <w:iCs/>
                <w:color w:val="000000"/>
                <w:kern w:val="2"/>
                <w:sz w:val="20"/>
                <w:szCs w:val="20"/>
                <w:lang w:eastAsia="zh-CN" w:bidi="hi-IN"/>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ascii="Bookman Old Style" w:hAnsi="Bookman Old Style"/>
                <w:i/>
                <w:iCs/>
                <w:color w:val="000000"/>
                <w:sz w:val="20"/>
                <w:szCs w:val="20"/>
              </w:rPr>
              <w:t>Módulo didáctico sobre Acceso a la Justicia de Pueblos Indígenas</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Personas integrantes de la Subcomisión de Acceso a la Justicia, representantes de la Judicatura, Fiscalía, Defensa Pública, Trabajo Social y Psicología, </w:t>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Experiencias de la Defensa Pública en la atención de la temática indígena:</w:t>
            </w:r>
          </w:p>
          <w:p>
            <w:pPr>
              <w:pStyle w:val="Normal"/>
              <w:widowControl w:val="fals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Políticas y circulares</w:t>
            </w:r>
          </w:p>
          <w:p>
            <w:pPr>
              <w:pStyle w:val="Normal"/>
              <w:widowControl w:val="fals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Buenas Prácticas</w:t>
            </w:r>
          </w:p>
          <w:p>
            <w:pPr>
              <w:pStyle w:val="Normal"/>
              <w:widowControl w:val="fals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Peritajes culturales </w:t>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Media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Dra. Diana Montero Montero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Directora Defensa Pública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 Erick Núñez Rodríguez</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Subdirector de la Defensa Pública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Licda. Ligia Jiménez</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Defensa Pública Indígena</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Lic. Jesús Chaves Mora </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 xml:space="preserve">Defensa Pública Indígena </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r>
      <w:tr>
        <w:trPr/>
        <w:tc>
          <w:tcPr>
            <w:tcW w:w="90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1"/>
              </w:numPr>
              <w:suppressAutoHyphens w:val="true"/>
              <w:snapToGrid w:val="false"/>
              <w:spacing w:before="280" w:after="280"/>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tc>
        <w:tc>
          <w:tcPr>
            <w:tcW w:w="1981" w:type="dxa"/>
            <w:tcBorders>
              <w:top w:val="single" w:sz="4" w:space="0" w:color="000000"/>
              <w:left w:val="single" w:sz="4" w:space="0" w:color="000000"/>
              <w:bottom w:val="single" w:sz="4" w:space="0" w:color="000000"/>
            </w:tcBorders>
            <w:shd w:color="auto" w:fill="auto" w:val="clear"/>
          </w:tcPr>
          <w:p>
            <w:pPr>
              <w:pStyle w:val="Normal"/>
              <w:widowControl w:val="false"/>
              <w:spacing w:beforeAutospacing="1" w:afterAutospacing="1"/>
              <w:rPr>
                <w:rFonts w:ascii="Bookman Old Style" w:hAnsi="Bookman Old Style"/>
                <w:i/>
                <w:i/>
                <w:iCs/>
                <w:sz w:val="20"/>
                <w:szCs w:val="20"/>
              </w:rPr>
            </w:pPr>
            <w:r>
              <w:rPr>
                <w:rFonts w:ascii="Bookman Old Style" w:hAnsi="Bookman Old Style"/>
                <w:i/>
                <w:iCs/>
                <w:sz w:val="20"/>
                <w:szCs w:val="20"/>
              </w:rPr>
              <w:t>Capacitación en temáticas vinculadas con pueblos y territorios indígenas</w:t>
            </w:r>
          </w:p>
          <w:p>
            <w:pPr>
              <w:pStyle w:val="Normal"/>
              <w:widowControl w:val="false"/>
              <w:spacing w:beforeAutospacing="1" w:afterAutospacing="1"/>
              <w:rPr>
                <w:rFonts w:ascii="Bookman Old Style" w:hAnsi="Bookman Old Style"/>
                <w:i/>
                <w:i/>
                <w:iCs/>
                <w:sz w:val="20"/>
                <w:szCs w:val="20"/>
              </w:rPr>
            </w:pPr>
            <w:r>
              <w:rPr>
                <w:rFonts w:ascii="Bookman Old Style" w:hAnsi="Bookman Old Style"/>
                <w:i/>
                <w:iCs/>
                <w:sz w:val="20"/>
                <w:szCs w:val="20"/>
              </w:rPr>
              <w:t>Capacitación desarrollada por la UCR compuesta por 6 módulos temáticos con un sitio virtual para la interlocución de las personas participantes.</w:t>
            </w:r>
          </w:p>
          <w:p>
            <w:pPr>
              <w:pStyle w:val="Normal"/>
              <w:widowControl w:val="false"/>
              <w:spacing w:beforeAutospacing="1" w:afterAutospacing="1"/>
              <w:rPr>
                <w:rFonts w:ascii="Bookman Old Style" w:hAnsi="Bookman Old Style"/>
                <w:i/>
                <w:i/>
                <w:iCs/>
                <w:sz w:val="20"/>
                <w:szCs w:val="20"/>
              </w:rPr>
            </w:pPr>
            <w:r>
              <w:rPr>
                <w:rFonts w:ascii="Bookman Old Style" w:hAnsi="Bookman Old Style"/>
                <w:i/>
                <w:iCs/>
                <w:sz w:val="20"/>
                <w:szCs w:val="20"/>
              </w:rPr>
              <w:t>Se adicionaron dos módulos:</w:t>
            </w:r>
          </w:p>
          <w:p>
            <w:pPr>
              <w:pStyle w:val="Normal"/>
              <w:widowControl w:val="false"/>
              <w:spacing w:beforeAutospacing="1" w:afterAutospacing="1"/>
              <w:rPr>
                <w:rFonts w:ascii="Bookman Old Style" w:hAnsi="Bookman Old Style"/>
                <w:i/>
                <w:i/>
                <w:iCs/>
                <w:sz w:val="20"/>
                <w:szCs w:val="20"/>
              </w:rPr>
            </w:pPr>
            <w:r>
              <w:rPr>
                <w:rFonts w:ascii="Bookman Old Style" w:hAnsi="Bookman Old Style"/>
                <w:i/>
                <w:iCs/>
                <w:sz w:val="20"/>
                <w:szCs w:val="20"/>
              </w:rPr>
              <w:t>-Concepción tradicional de la tierra</w:t>
            </w:r>
          </w:p>
          <w:p>
            <w:pPr>
              <w:pStyle w:val="Normal"/>
              <w:widowControl w:val="false"/>
              <w:spacing w:beforeAutospacing="1" w:afterAutospacing="1"/>
              <w:rPr>
                <w:rFonts w:ascii="Bookman Old Style" w:hAnsi="Bookman Old Style"/>
                <w:i/>
                <w:i/>
                <w:iCs/>
                <w:sz w:val="20"/>
                <w:szCs w:val="20"/>
              </w:rPr>
            </w:pPr>
            <w:r>
              <w:rPr>
                <w:rFonts w:ascii="Bookman Old Style" w:hAnsi="Bookman Old Style"/>
                <w:i/>
                <w:iCs/>
                <w:sz w:val="20"/>
                <w:szCs w:val="20"/>
              </w:rPr>
              <w:t>-Peritaje cultural</w:t>
            </w:r>
          </w:p>
          <w:p>
            <w:pPr>
              <w:pStyle w:val="Normal"/>
              <w:widowControl w:val="false"/>
              <w:spacing w:beforeAutospacing="1" w:after="0"/>
              <w:rPr>
                <w:rFonts w:ascii="Bookman Old Style" w:hAnsi="Bookman Old Style"/>
                <w:i/>
                <w:i/>
                <w:iCs/>
                <w:sz w:val="20"/>
                <w:szCs w:val="20"/>
              </w:rPr>
            </w:pPr>
            <w:r>
              <w:rPr>
                <w:rFonts w:ascii="Bookman Old Style" w:hAnsi="Bookman Old Style"/>
                <w:i/>
                <w:iCs/>
                <w:sz w:val="20"/>
                <w:szCs w:val="20"/>
              </w:rPr>
              <w:t>Los materiales los tiene la Escuela Judicial</w:t>
            </w:r>
          </w:p>
        </w:tc>
        <w:tc>
          <w:tcPr>
            <w:tcW w:w="301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rPr>
                <w:rFonts w:ascii="Bookman Old Style" w:hAnsi="Bookman Old Style"/>
                <w:i/>
                <w:i/>
                <w:iCs/>
                <w:sz w:val="20"/>
                <w:szCs w:val="20"/>
              </w:rPr>
            </w:pPr>
            <w:r>
              <w:rPr>
                <w:rFonts w:ascii="Bookman Old Style" w:hAnsi="Bookman Old Style"/>
                <w:i/>
                <w:iCs/>
                <w:color w:val="000000"/>
                <w:sz w:val="20"/>
                <w:szCs w:val="20"/>
              </w:rPr>
              <w:t>Acuerdos de Corte Plena tomados en sesiones N° 20-19 de 27 de mayo de 2019, Artículo XIX y N° 25-19 de 24 de junio de 2019, Artículo II, donde se aprobaron y la Circular N° 123-2019 denominada “</w:t>
            </w:r>
            <w:r>
              <w:rPr>
                <w:rFonts w:ascii="Bookman Old Style" w:hAnsi="Bookman Old Style"/>
                <w:i/>
                <w:iCs/>
                <w:sz w:val="20"/>
                <w:szCs w:val="20"/>
                <w:lang w:val="es-ES"/>
              </w:rPr>
              <w:t xml:space="preserve">Sobre los </w:t>
            </w:r>
            <w:r>
              <w:rPr>
                <w:rFonts w:ascii="Bookman Old Style" w:hAnsi="Bookman Old Style"/>
                <w:i/>
                <w:iCs/>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40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1137"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Alta</w:t>
            </w:r>
          </w:p>
        </w:tc>
        <w:tc>
          <w:tcPr>
            <w:tcW w:w="2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Dra. Vania Solano</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Dr. Marcos Guevara</w:t>
            </w:r>
          </w:p>
          <w:p>
            <w:pPr>
              <w:pStyle w:val="Normal"/>
              <w:widowControl w:val="false"/>
              <w:suppressLineNumbers/>
              <w:suppressAutoHyphens w:val="true"/>
              <w:rPr>
                <w:rFonts w:ascii="Bookman Old Style" w:hAnsi="Bookman Old Style"/>
                <w:i/>
                <w:i/>
                <w:iCs/>
                <w:sz w:val="20"/>
                <w:szCs w:val="20"/>
              </w:rPr>
            </w:pPr>
            <w:r>
              <w:rPr>
                <w:rFonts w:eastAsia="NSimSun" w:ascii="Bookman Old Style" w:hAnsi="Bookman Old Style"/>
                <w:i/>
                <w:iCs/>
                <w:color w:val="000000"/>
                <w:kern w:val="2"/>
                <w:sz w:val="20"/>
                <w:szCs w:val="20"/>
                <w:lang w:eastAsia="zh-CN" w:bidi="hi-IN"/>
              </w:rPr>
              <w:t>UCR</w:t>
            </w:r>
          </w:p>
          <w:p>
            <w:pPr>
              <w:pStyle w:val="Normal"/>
              <w:widowControl w:val="false"/>
              <w:suppressLineNumbers/>
              <w:suppressAutoHyphens w:val="true"/>
              <w:jc w:val="both"/>
              <w:rPr>
                <w:rFonts w:ascii="Bookman Old Style" w:hAnsi="Bookman Old Style" w:eastAsia="NSimSun"/>
                <w:i/>
                <w:i/>
                <w:iCs/>
                <w:color w:val="000000"/>
                <w:kern w:val="2"/>
                <w:sz w:val="20"/>
                <w:szCs w:val="20"/>
                <w:lang w:eastAsia="zh-CN" w:bidi="hi-IN"/>
              </w:rPr>
            </w:pPr>
            <w:r>
              <w:rPr>
                <w:rFonts w:eastAsia="NSimSun" w:ascii="Bookman Old Style" w:hAnsi="Bookman Old Style"/>
                <w:i/>
                <w:iCs/>
                <w:color w:val="000000"/>
                <w:kern w:val="2"/>
                <w:sz w:val="20"/>
                <w:szCs w:val="20"/>
                <w:lang w:eastAsia="zh-CN" w:bidi="hi-IN"/>
              </w:rPr>
            </w:r>
          </w:p>
          <w:p>
            <w:pPr>
              <w:pStyle w:val="Normal"/>
              <w:widowControl w:val="false"/>
              <w:suppressLineNumbers/>
              <w:suppressAutoHyphens w:val="true"/>
              <w:jc w:val="both"/>
              <w:rPr>
                <w:rFonts w:ascii="Bookman Old Style" w:hAnsi="Bookman Old Style"/>
                <w:i/>
                <w:i/>
                <w:iCs/>
                <w:sz w:val="20"/>
                <w:szCs w:val="20"/>
              </w:rPr>
            </w:pPr>
            <w:r>
              <w:rPr>
                <w:rFonts w:ascii="Bookman Old Style" w:hAnsi="Bookman Old Style"/>
                <w:i/>
                <w:iCs/>
                <w:sz w:val="20"/>
                <w:szCs w:val="20"/>
              </w:rPr>
            </w:r>
          </w:p>
        </w:tc>
      </w:tr>
    </w:tbl>
    <w:p>
      <w:pPr>
        <w:pStyle w:val="Normal"/>
        <w:ind w:left="708" w:right="141" w:hanging="0"/>
        <w:jc w:val="both"/>
        <w:rPr>
          <w:rFonts w:ascii="Bookman Old Style" w:hAnsi="Bookman Old Style"/>
          <w:i/>
          <w:i/>
          <w:iCs/>
          <w:sz w:val="20"/>
          <w:szCs w:val="20"/>
        </w:rPr>
      </w:pPr>
      <w:r>
        <w:rPr>
          <w:rFonts w:ascii="Bookman Old Style" w:hAnsi="Bookman Old Style"/>
          <w:i/>
          <w:iCs/>
          <w:sz w:val="20"/>
          <w:szCs w:val="20"/>
        </w:rPr>
      </w:r>
    </w:p>
    <w:p>
      <w:pPr>
        <w:pStyle w:val="Normal"/>
        <w:suppressAutoHyphens w:val="true"/>
        <w:spacing w:lineRule="auto" w:line="252" w:before="0" w:after="0"/>
        <w:ind w:left="1080" w:right="851" w:hanging="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bidi="hi-IN"/>
        </w:rPr>
      </w:r>
    </w:p>
    <w:p>
      <w:pPr>
        <w:pStyle w:val="Normal"/>
        <w:suppressAutoHyphens w:val="true"/>
        <w:spacing w:lineRule="auto" w:line="252" w:before="0" w:after="0"/>
        <w:ind w:right="851" w:hanging="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val="es-ES" w:bidi="hi-IN"/>
        </w:rPr>
        <w:t>Se solicita verificar que, en los contenidos de los diseños de las capacitaciones en Derecho Indígena, se incluya al menos:</w:t>
      </w:r>
    </w:p>
    <w:p>
      <w:pPr>
        <w:pStyle w:val="Normal"/>
        <w:suppressAutoHyphens w:val="true"/>
        <w:spacing w:lineRule="auto" w:line="252" w:before="0" w:after="0"/>
        <w:ind w:right="851" w:hanging="0"/>
        <w:contextualSpacing/>
        <w:jc w:val="both"/>
        <w:rPr>
          <w:rFonts w:ascii="Bookman Old Style" w:hAnsi="Bookman Old Style" w:eastAsia="NSimSun"/>
          <w:i/>
          <w:i/>
          <w:iCs/>
          <w:kern w:val="2"/>
          <w:sz w:val="20"/>
          <w:szCs w:val="20"/>
          <w:lang w:val="es-ES" w:bidi="hi-IN"/>
        </w:rPr>
      </w:pPr>
      <w:r>
        <w:rPr>
          <w:rFonts w:eastAsia="NSimSun" w:ascii="Bookman Old Style" w:hAnsi="Bookman Old Style"/>
          <w:i/>
          <w:iCs/>
          <w:kern w:val="2"/>
          <w:sz w:val="20"/>
          <w:szCs w:val="20"/>
          <w:lang w:val="es-ES" w:bidi="hi-IN"/>
        </w:rPr>
      </w:r>
    </w:p>
    <w:p>
      <w:pPr>
        <w:pStyle w:val="Normal"/>
        <w:numPr>
          <w:ilvl w:val="0"/>
          <w:numId w:val="2"/>
        </w:numPr>
        <w:suppressAutoHyphens w:val="true"/>
        <w:spacing w:lineRule="auto" w:line="252" w:before="0" w:after="0"/>
        <w:ind w:left="720" w:right="851" w:hanging="36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val="es-ES" w:bidi="hi-IN"/>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Normal"/>
        <w:numPr>
          <w:ilvl w:val="0"/>
          <w:numId w:val="2"/>
        </w:numPr>
        <w:suppressAutoHyphens w:val="true"/>
        <w:spacing w:lineRule="auto" w:line="252" w:before="0" w:after="0"/>
        <w:ind w:left="720" w:right="851" w:hanging="36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val="es-ES" w:bidi="hi-IN"/>
        </w:rPr>
        <w:t>Jurisprudencia de la Corte Interamericana de Derechos Humanos vinculada con pueblos Indígenas incluyendo la Opinión Consultiva 23-2017</w:t>
      </w:r>
    </w:p>
    <w:p>
      <w:pPr>
        <w:pStyle w:val="Normal"/>
        <w:numPr>
          <w:ilvl w:val="0"/>
          <w:numId w:val="2"/>
        </w:numPr>
        <w:suppressAutoHyphens w:val="true"/>
        <w:spacing w:lineRule="auto" w:line="252" w:before="0" w:after="0"/>
        <w:ind w:left="720" w:right="851" w:hanging="36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val="es-ES" w:bidi="hi-IN"/>
        </w:rPr>
        <w:t>Constitución Política, Ley Indígena, Ley de Acceso a la Justicia de los Pueblos Indígenas, Ley de Protección del Derecho a la Nacionalidad de la Persona Indígena y Garantía de Integración de la Persona Indígena Transfronteriza, entre otras.</w:t>
      </w:r>
    </w:p>
    <w:p>
      <w:pPr>
        <w:pStyle w:val="Normal"/>
        <w:numPr>
          <w:ilvl w:val="0"/>
          <w:numId w:val="2"/>
        </w:numPr>
        <w:suppressAutoHyphens w:val="true"/>
        <w:spacing w:lineRule="auto" w:line="252" w:before="0" w:after="0"/>
        <w:ind w:left="720" w:right="851" w:hanging="36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val="es-ES" w:bidi="hi-IN"/>
        </w:rPr>
        <w:t>Jurisprudencia de las Salas de Casación y de la Sala Constitucional de la Corte Suprema de Justicia.</w:t>
      </w:r>
    </w:p>
    <w:p>
      <w:pPr>
        <w:pStyle w:val="Normal"/>
        <w:numPr>
          <w:ilvl w:val="0"/>
          <w:numId w:val="2"/>
        </w:numPr>
        <w:suppressAutoHyphens w:val="true"/>
        <w:spacing w:lineRule="auto" w:line="252" w:before="0" w:after="0"/>
        <w:ind w:left="720" w:right="851" w:hanging="360"/>
        <w:contextualSpacing/>
        <w:jc w:val="both"/>
        <w:rPr>
          <w:rFonts w:ascii="Bookman Old Style" w:hAnsi="Bookman Old Style" w:eastAsia="NSimSun"/>
          <w:i/>
          <w:i/>
          <w:iCs/>
          <w:kern w:val="2"/>
          <w:sz w:val="20"/>
          <w:szCs w:val="20"/>
          <w:lang w:bidi="hi-IN"/>
        </w:rPr>
      </w:pPr>
      <w:r>
        <w:rPr>
          <w:rFonts w:eastAsia="NSimSun" w:ascii="Bookman Old Style" w:hAnsi="Bookman Old Style"/>
          <w:i/>
          <w:iCs/>
          <w:kern w:val="2"/>
          <w:sz w:val="20"/>
          <w:szCs w:val="20"/>
          <w:lang w:val="es-ES" w:bidi="hi-IN"/>
        </w:rPr>
        <w:t>Lineamientos y circulares de Corte Plena y del Consejo Superior vinculados con las reglas para los procesos en los que estén involucradas personas indígenas; además, los alcances y distinción entre el sistema monista y el pluralismo jurídico.”</w:t>
      </w:r>
    </w:p>
    <w:p>
      <w:pPr>
        <w:pStyle w:val="Normal"/>
        <w:suppressAutoHyphens w:val="true"/>
        <w:spacing w:lineRule="auto" w:line="252" w:before="0" w:after="0"/>
        <w:ind w:right="851" w:hanging="0"/>
        <w:contextualSpacing/>
        <w:jc w:val="both"/>
        <w:rPr>
          <w:rFonts w:ascii="Bookman Old Style" w:hAnsi="Bookman Old Style" w:eastAsia="NSimSun"/>
          <w:i/>
          <w:i/>
          <w:iCs/>
          <w:kern w:val="2"/>
          <w:sz w:val="20"/>
          <w:szCs w:val="20"/>
          <w:lang w:val="es-ES" w:bidi="hi-IN"/>
        </w:rPr>
      </w:pPr>
      <w:r>
        <w:rPr>
          <w:rFonts w:eastAsia="NSimSun" w:ascii="Bookman Old Style" w:hAnsi="Bookman Old Style"/>
          <w:i/>
          <w:iCs/>
          <w:kern w:val="2"/>
          <w:sz w:val="20"/>
          <w:szCs w:val="20"/>
          <w:lang w:val="es-ES" w:bidi="hi-IN"/>
        </w:rPr>
      </w:r>
    </w:p>
    <w:p>
      <w:pPr>
        <w:pStyle w:val="Normal"/>
        <w:suppressAutoHyphens w:val="true"/>
        <w:spacing w:lineRule="auto" w:line="252" w:before="0" w:after="0"/>
        <w:ind w:right="851" w:hanging="0"/>
        <w:contextualSpacing/>
        <w:jc w:val="both"/>
        <w:rPr>
          <w:rFonts w:ascii="Bookman Old Style" w:hAnsi="Bookman Old Style" w:eastAsia="NSimSun"/>
          <w:i/>
          <w:i/>
          <w:iCs/>
          <w:kern w:val="2"/>
          <w:sz w:val="20"/>
          <w:szCs w:val="20"/>
          <w:lang w:val="es-ES" w:bidi="hi-IN"/>
        </w:rPr>
      </w:pPr>
      <w:r>
        <w:rPr>
          <w:rFonts w:eastAsia="NSimSun" w:ascii="Bookman Old Style" w:hAnsi="Bookman Old Style"/>
          <w:i/>
          <w:iCs/>
          <w:kern w:val="2"/>
          <w:sz w:val="20"/>
          <w:szCs w:val="20"/>
          <w:lang w:val="es-ES" w:bidi="hi-IN"/>
        </w:rPr>
        <w:t>La señora Flor Arroyo Morera, Gestora de Capacitación y representante de la Escuela Judicial ante la Subcomisión, remitió comunicados electrónicos de 11 y 15 de marzo de 2020, señaló:</w:t>
      </w:r>
    </w:p>
    <w:p>
      <w:pPr>
        <w:pStyle w:val="Normal"/>
        <w:shd w:val="clear" w:color="auto" w:fill="FFFFFF"/>
        <w:spacing w:beforeAutospacing="1" w:afterAutospacing="1"/>
        <w:ind w:left="708" w:hanging="0"/>
        <w:jc w:val="both"/>
        <w:rPr>
          <w:rFonts w:ascii="Bookman Old Style" w:hAnsi="Bookman Old Style"/>
          <w:i/>
          <w:i/>
          <w:iCs/>
          <w:color w:val="000000"/>
          <w:sz w:val="20"/>
          <w:szCs w:val="20"/>
        </w:rPr>
      </w:pPr>
      <w:r>
        <w:rPr>
          <w:rFonts w:ascii="Bookman Old Style" w:hAnsi="Bookman Old Style"/>
          <w:i/>
          <w:iCs/>
          <w:color w:val="000000"/>
          <w:sz w:val="20"/>
          <w:szCs w:val="20"/>
        </w:rPr>
        <w:t>“</w:t>
      </w:r>
      <w:r>
        <w:rPr>
          <w:rFonts w:ascii="Bookman Old Style" w:hAnsi="Bookman Old Style"/>
          <w:i/>
          <w:iCs/>
          <w:color w:val="000000"/>
          <w:sz w:val="20"/>
          <w:szCs w:val="20"/>
        </w:rPr>
        <w:t>De conformidad con el informe EJ-INF-001-2020, emitido por la Escuela Judicial con respecto al avance en cuanto a las capacitaciones sobre Acceso a la Justicia de pueblos indígenas, en el que se manifiesta lo siguiente: </w:t>
      </w:r>
    </w:p>
    <w:p>
      <w:pPr>
        <w:pStyle w:val="Normal"/>
        <w:shd w:val="clear" w:color="auto" w:fill="FFFFFF"/>
        <w:spacing w:beforeAutospacing="1" w:afterAutospacing="1"/>
        <w:ind w:left="708" w:hanging="0"/>
        <w:jc w:val="both"/>
        <w:rPr>
          <w:rFonts w:ascii="Bookman Old Style" w:hAnsi="Bookman Old Style"/>
          <w:i/>
          <w:i/>
          <w:iCs/>
          <w:color w:val="000000"/>
          <w:sz w:val="20"/>
          <w:szCs w:val="20"/>
        </w:rPr>
      </w:pPr>
      <w:r>
        <w:rPr>
          <w:rFonts w:ascii="Bookman Old Style" w:hAnsi="Bookman Old Style"/>
          <w:i/>
          <w:iCs/>
          <w:color w:val="000000"/>
          <w:sz w:val="20"/>
          <w:szCs w:val="20"/>
        </w:rPr>
        <w:t> </w:t>
      </w:r>
      <w:r>
        <w:rPr>
          <w:rFonts w:ascii="Bookman Old Style" w:hAnsi="Bookman Old Style"/>
          <w:i/>
          <w:iCs/>
          <w:color w:val="000000"/>
          <w:sz w:val="20"/>
          <w:szCs w:val="20"/>
        </w:rPr>
        <w:t>" </w:t>
      </w:r>
      <w:r>
        <w:rPr>
          <w:rFonts w:ascii="Bookman Old Style" w:hAnsi="Bookman Old Style"/>
          <w:b/>
          <w:bCs/>
          <w:i/>
          <w:iCs/>
          <w:color w:val="000000"/>
          <w:sz w:val="20"/>
          <w:szCs w:val="20"/>
        </w:rPr>
        <w:t>Ejecución de la propuesta de capacitación brindada por la Subcomisión de Acceso a la Justicia de pueblos indígenas.</w:t>
      </w:r>
    </w:p>
    <w:p>
      <w:pPr>
        <w:pStyle w:val="Normal"/>
        <w:shd w:val="clear" w:color="auto" w:fill="FFFFFF"/>
        <w:spacing w:lineRule="atLeast" w:line="338" w:beforeAutospacing="1" w:afterAutospacing="1"/>
        <w:ind w:left="708" w:hanging="0"/>
        <w:jc w:val="both"/>
        <w:rPr>
          <w:rFonts w:ascii="Bookman Old Style" w:hAnsi="Bookman Old Style"/>
          <w:i/>
          <w:i/>
          <w:iCs/>
          <w:color w:val="000000"/>
          <w:sz w:val="20"/>
          <w:szCs w:val="20"/>
        </w:rPr>
      </w:pPr>
      <w:r>
        <w:rPr>
          <w:rFonts w:ascii="Bookman Old Style" w:hAnsi="Bookman Old Style"/>
          <w:i/>
          <w:iCs/>
          <w:color w:val="000000"/>
          <w:sz w:val="20"/>
          <w:szCs w:val="20"/>
          <w:lang w:val="es-ES"/>
        </w:rPr>
        <w:t> </w:t>
      </w:r>
      <w:r>
        <w:rPr>
          <w:rFonts w:ascii="Bookman Old Style" w:hAnsi="Bookman Old Style"/>
          <w:i/>
          <w:iCs/>
          <w:color w:val="000000"/>
          <w:sz w:val="20"/>
          <w:szCs w:val="20"/>
          <w:lang w:val="es-ES"/>
        </w:rPr>
        <w:t>Con respecto a la propuesta de capacitación aportada por la Subcomisión de Acceso a la justicia de pueblos indígenas, la Escuela Judicial ha elaborado una propuesta metodológica para ejecutar cada capacitación, la cual se adjunta en este acto.</w:t>
      </w:r>
    </w:p>
    <w:p>
      <w:pPr>
        <w:pStyle w:val="Normal"/>
        <w:shd w:val="clear" w:color="auto" w:fill="FFFFFF"/>
        <w:spacing w:lineRule="atLeast" w:line="338" w:beforeAutospacing="1" w:afterAutospacing="1"/>
        <w:ind w:left="708" w:hanging="0"/>
        <w:jc w:val="both"/>
        <w:rPr>
          <w:rFonts w:ascii="Bookman Old Style" w:hAnsi="Bookman Old Style"/>
          <w:i/>
          <w:i/>
          <w:iCs/>
          <w:color w:val="000000"/>
          <w:sz w:val="20"/>
          <w:szCs w:val="20"/>
        </w:rPr>
      </w:pPr>
      <w:r>
        <w:rPr>
          <w:rFonts w:ascii="Bookman Old Style" w:hAnsi="Bookman Old Style"/>
          <w:i/>
          <w:iCs/>
          <w:color w:val="000000"/>
          <w:sz w:val="20"/>
          <w:szCs w:val="20"/>
          <w:lang w:val="es-ES"/>
        </w:rPr>
        <w:t>Seguidamente, se iniciará el diseño de las actividades, de acuerdo a las necesidades y complejidad de cada propuesta, y se procederá a calendarizar las mismas para iniciar su coordinación y ejecución en el año 2020.</w:t>
      </w:r>
    </w:p>
    <w:p>
      <w:pPr>
        <w:pStyle w:val="Normal"/>
        <w:shd w:val="clear" w:color="auto" w:fill="FFFFFF"/>
        <w:spacing w:lineRule="atLeast" w:line="338" w:beforeAutospacing="1" w:afterAutospacing="1"/>
        <w:ind w:left="708" w:hanging="0"/>
        <w:jc w:val="both"/>
        <w:rPr>
          <w:rFonts w:ascii="Bookman Old Style" w:hAnsi="Bookman Old Style"/>
          <w:i/>
          <w:i/>
          <w:iCs/>
          <w:color w:val="000000"/>
          <w:sz w:val="20"/>
          <w:szCs w:val="20"/>
        </w:rPr>
      </w:pPr>
      <w:r>
        <w:rPr>
          <w:rFonts w:ascii="Bookman Old Style" w:hAnsi="Bookman Old Style"/>
          <w:i/>
          <w:iCs/>
          <w:color w:val="000000"/>
          <w:sz w:val="20"/>
          <w:szCs w:val="20"/>
          <w:lang w:val="es-ES"/>
        </w:rPr>
        <w:t>Para el diseño de las actividades, la Escuela Judicial requiere la colaboración de al menos una persona especialista en la materia, por lo que se coordinará con esta Subcomisión, el aporte de dicha persona."</w:t>
      </w:r>
    </w:p>
    <w:p>
      <w:pPr>
        <w:pStyle w:val="Normal"/>
        <w:shd w:val="clear" w:color="auto" w:fill="FFFFFF"/>
        <w:spacing w:lineRule="atLeast" w:line="338" w:beforeAutospacing="1" w:afterAutospacing="1"/>
        <w:ind w:left="708" w:hanging="0"/>
        <w:jc w:val="both"/>
        <w:rPr>
          <w:rFonts w:ascii="Bookman Old Style" w:hAnsi="Bookman Old Style"/>
          <w:i/>
          <w:i/>
          <w:iCs/>
          <w:color w:val="000000"/>
          <w:sz w:val="20"/>
          <w:szCs w:val="20"/>
        </w:rPr>
      </w:pPr>
      <w:r>
        <w:rPr>
          <w:rFonts w:ascii="Bookman Old Style" w:hAnsi="Bookman Old Style"/>
          <w:i/>
          <w:iCs/>
          <w:color w:val="000000"/>
          <w:sz w:val="20"/>
          <w:szCs w:val="20"/>
          <w:lang w:val="es-ES"/>
        </w:rPr>
        <w:t>de la forma más respetuosa, solicitamos la intervención de la Subcomisión de Acceso a la justicia de pueblos indígenas, para que una persona especialista pueda colaborarnos en el diseño de las actividades programadas. </w:t>
      </w:r>
    </w:p>
    <w:p>
      <w:pPr>
        <w:pStyle w:val="Normal"/>
        <w:shd w:val="clear" w:color="auto" w:fill="FFFFFF"/>
        <w:spacing w:lineRule="atLeast" w:line="338" w:beforeAutospacing="1" w:afterAutospacing="1"/>
        <w:ind w:left="708" w:hanging="0"/>
        <w:jc w:val="both"/>
        <w:rPr>
          <w:rFonts w:ascii="Bookman Old Style" w:hAnsi="Bookman Old Style"/>
          <w:i/>
          <w:i/>
          <w:iCs/>
          <w:color w:val="000000"/>
          <w:sz w:val="20"/>
          <w:szCs w:val="20"/>
          <w:lang w:val="es-ES"/>
        </w:rPr>
      </w:pPr>
      <w:r>
        <w:rPr>
          <w:rFonts w:ascii="Bookman Old Style" w:hAnsi="Bookman Old Style"/>
          <w:i/>
          <w:iCs/>
          <w:color w:val="000000"/>
          <w:sz w:val="20"/>
          <w:szCs w:val="20"/>
          <w:lang w:val="es-ES"/>
        </w:rPr>
        <w:t>Por otro lado, en caso de que alguna de las actividades cuente con diseño previo, les agradecemos nos lo hagan llegar.”</w:t>
      </w:r>
    </w:p>
    <w:p>
      <w:pPr>
        <w:pStyle w:val="Normal"/>
        <w:shd w:val="clear" w:color="auto" w:fill="FFFFFF"/>
        <w:spacing w:lineRule="atLeast" w:line="338" w:beforeAutospacing="1" w:afterAutospacing="1"/>
        <w:jc w:val="both"/>
        <w:rPr>
          <w:rFonts w:ascii="Bookman Old Style" w:hAnsi="Bookman Old Style"/>
          <w:i/>
          <w:i/>
          <w:iCs/>
          <w:sz w:val="20"/>
          <w:szCs w:val="20"/>
        </w:rPr>
      </w:pPr>
      <w:r>
        <w:rPr>
          <w:rFonts w:ascii="Bookman Old Style" w:hAnsi="Bookman Old Style"/>
          <w:i/>
          <w:iCs/>
          <w:color w:val="000000"/>
          <w:sz w:val="20"/>
          <w:szCs w:val="20"/>
          <w:lang w:val="es-ES"/>
        </w:rPr>
        <w:t>Por su parte, la Coordinadora de la Subcomisión, trasladó el comunicado anterior a las personas integrantes mediante correo electrónico del 11 de marzo, informando:</w:t>
      </w:r>
    </w:p>
    <w:p>
      <w:pPr>
        <w:pStyle w:val="Normal"/>
        <w:spacing w:lineRule="auto" w:line="360" w:beforeAutospacing="1" w:afterAutospacing="1"/>
        <w:ind w:left="708" w:hanging="0"/>
        <w:jc w:val="both"/>
        <w:rPr>
          <w:rFonts w:ascii="Bookman Old Style" w:hAnsi="Bookman Old Style"/>
          <w:i/>
          <w:i/>
          <w:iCs/>
          <w:sz w:val="20"/>
          <w:szCs w:val="20"/>
        </w:rPr>
      </w:pPr>
      <w:r>
        <w:rPr>
          <w:rFonts w:ascii="Bookman Old Style" w:hAnsi="Bookman Old Style"/>
          <w:i/>
          <w:iCs/>
          <w:sz w:val="20"/>
          <w:szCs w:val="20"/>
        </w:rPr>
        <w:t>“</w:t>
      </w:r>
      <w:r>
        <w:rPr>
          <w:rFonts w:ascii="Bookman Old Style" w:hAnsi="Bookman Old Style"/>
          <w:i/>
          <w:iCs/>
          <w:sz w:val="20"/>
          <w:szCs w:val="20"/>
        </w:rPr>
        <w:t>Traslado para su conocimiento comunicado enviado el día de hoy por la señora Flor Arroyo Morera de la Escuela Judicial, solicitando se designe “</w:t>
      </w:r>
      <w:r>
        <w:rPr>
          <w:rFonts w:ascii="Bookman Old Style" w:hAnsi="Bookman Old Style"/>
          <w:i/>
          <w:iCs/>
          <w:color w:val="000000"/>
          <w:sz w:val="20"/>
          <w:szCs w:val="20"/>
          <w:lang w:val="es-ES"/>
        </w:rPr>
        <w:t>una persona especialista que pueda colaborarnos en el diseño de las actividades programadas. Por otro lado, en caso de que alguna de las actividades cuente con diseño previo, les agradecemos nos lo hagan llegar.”  Esta gestión está relacionada con el último artículo del Acta que les pasé el día de hoy para consulta.</w:t>
      </w:r>
    </w:p>
    <w:p>
      <w:pPr>
        <w:pStyle w:val="Normal"/>
        <w:spacing w:lineRule="auto" w:line="360" w:beforeAutospacing="1" w:afterAutospacing="1"/>
        <w:ind w:left="708" w:hanging="0"/>
        <w:jc w:val="both"/>
        <w:rPr>
          <w:rFonts w:ascii="Bookman Old Style" w:hAnsi="Bookman Old Style"/>
          <w:i/>
          <w:i/>
          <w:iCs/>
          <w:sz w:val="20"/>
          <w:szCs w:val="20"/>
        </w:rPr>
      </w:pPr>
      <w:r>
        <w:rPr>
          <w:rFonts w:ascii="Bookman Old Style" w:hAnsi="Bookman Old Style"/>
          <w:i/>
          <w:iCs/>
          <w:color w:val="000000"/>
          <w:sz w:val="20"/>
          <w:szCs w:val="20"/>
          <w:lang w:val="es-ES"/>
        </w:rPr>
        <w:t xml:space="preserve">Les recuerdo que la persona que habíamos seleccionado era el Dr. Marcos Guevara; sin embargo, don Marcos lamentablemente nos informó no podría aceptar, por lo que se designó un equipo de trabajo para capacitación integrado por personas integrantes de la Subcomisión de diferentes áreas. </w:t>
      </w:r>
    </w:p>
    <w:p>
      <w:pPr>
        <w:pStyle w:val="Normal"/>
        <w:spacing w:lineRule="auto" w:line="360" w:beforeAutospacing="1" w:afterAutospacing="1"/>
        <w:ind w:left="708" w:hanging="0"/>
        <w:jc w:val="both"/>
        <w:rPr>
          <w:rFonts w:ascii="Bookman Old Style" w:hAnsi="Bookman Old Style"/>
          <w:i/>
          <w:i/>
          <w:iCs/>
          <w:sz w:val="20"/>
          <w:szCs w:val="20"/>
        </w:rPr>
      </w:pPr>
      <w:r>
        <w:rPr>
          <w:rFonts w:ascii="Bookman Old Style" w:hAnsi="Bookman Old Style"/>
          <w:i/>
          <w:iCs/>
          <w:color w:val="000000"/>
          <w:sz w:val="20"/>
          <w:szCs w:val="20"/>
          <w:lang w:val="es-ES"/>
        </w:rPr>
        <w:t>La idea es que la Escuela Judicial se reúna con dicho equipo, según se acordó en la sesión anterior. Además, es importante saber si alguno o alguna de ustedes tendría interés en liderar el proceso. La idea es que sea una persona con visión macro pues debe representar los conocimientos e intereses de todos los sectores representados en la Subcomisión, coordinar con sus integrantes y verificar junto con la Escuela Judicial que las capacitaciones que se desarrollen cumplan con la Circular 188-19 de Corte Plena y con la participación activa de personas indígenas.</w:t>
      </w:r>
    </w:p>
    <w:p>
      <w:pPr>
        <w:pStyle w:val="Normal"/>
        <w:spacing w:lineRule="auto" w:line="360" w:beforeAutospacing="1" w:afterAutospacing="1"/>
        <w:ind w:left="708" w:hanging="0"/>
        <w:jc w:val="both"/>
        <w:rPr>
          <w:rFonts w:ascii="Bookman Old Style" w:hAnsi="Bookman Old Style"/>
          <w:i/>
          <w:i/>
          <w:iCs/>
          <w:sz w:val="20"/>
          <w:szCs w:val="20"/>
        </w:rPr>
      </w:pPr>
      <w:r>
        <w:rPr>
          <w:rFonts w:ascii="Bookman Old Style" w:hAnsi="Bookman Old Style"/>
          <w:i/>
          <w:iCs/>
          <w:color w:val="000000"/>
          <w:sz w:val="20"/>
          <w:szCs w:val="20"/>
          <w:lang w:val="es-ES"/>
        </w:rPr>
        <w:t>Es importante mencionar que algunas de las actividades de capacitación propuestas ya tenían diseños y contenidos desarrollados, por lo que agradecería a la Unidad de Acceso a la Justicia si nos pueden colaborar con la trazabilidad de la propuesta que enviamos a la Escuela Judicial oportunamente.</w:t>
      </w:r>
    </w:p>
    <w:p>
      <w:pPr>
        <w:pStyle w:val="Normal"/>
        <w:spacing w:lineRule="auto" w:line="360" w:beforeAutospacing="1" w:afterAutospacing="1"/>
        <w:ind w:left="708" w:hanging="0"/>
        <w:jc w:val="both"/>
        <w:rPr>
          <w:rFonts w:ascii="Bookman Old Style" w:hAnsi="Bookman Old Style"/>
          <w:i/>
          <w:i/>
          <w:iCs/>
          <w:color w:val="000000"/>
          <w:sz w:val="20"/>
          <w:szCs w:val="20"/>
          <w:lang w:val="es-ES"/>
        </w:rPr>
      </w:pPr>
      <w:r>
        <w:rPr>
          <w:rFonts w:ascii="Bookman Old Style" w:hAnsi="Bookman Old Style"/>
          <w:i/>
          <w:iCs/>
          <w:color w:val="000000"/>
          <w:sz w:val="20"/>
          <w:szCs w:val="20"/>
          <w:lang w:val="es-ES"/>
        </w:rPr>
        <w:t>Este es un tema urgente e importante pues es necesario fortalecer las competencias de las personas servidoras judiciales (Judicatura, Fiscalía, Defensa Pública, OIJ) quienes están atendiendo los procesos asociados a los pueblos beneficiarios de las Medidas Cautelares 321-12 de la CIDH contra el Estado.”</w:t>
      </w:r>
    </w:p>
    <w:p>
      <w:pPr>
        <w:pStyle w:val="Normal"/>
        <w:spacing w:lineRule="auto" w:line="360" w:beforeAutospacing="1" w:afterAutospacing="1"/>
        <w:jc w:val="both"/>
        <w:rPr>
          <w:rFonts w:ascii="Bookman Old Style" w:hAnsi="Bookman Old Style"/>
          <w:i/>
          <w:i/>
          <w:iCs/>
          <w:sz w:val="20"/>
          <w:szCs w:val="20"/>
        </w:rPr>
      </w:pPr>
      <w:r>
        <w:rPr>
          <w:rFonts w:ascii="Bookman Old Style" w:hAnsi="Bookman Old Style"/>
          <w:i/>
          <w:iCs/>
          <w:sz w:val="20"/>
          <w:szCs w:val="20"/>
        </w:rPr>
        <w:t>Refiere la Coordinadora de la Subcolmisión que, a efecto de maximizar el aprovechamiento de los recursos institucionales, podría facilitar a la Escuela Judicial los materiales vinculados con el “Módulo didáctico para la capacitación de personas operadoras de justicia y funcionarias públicas en materia de aplicación de las Reglas de Brasilia para la población indígena migrante gnabe y bugle” y la “Guía Pedagógica” de dicho módulo, desarrollado por la Subcomisión de Acceso a la Justicia en coordinación con el PNUD, UNICEF, IOM-OIM, Fondo Educativo de las Naciones Unidas para la Seguridad Humana como parte del Programa Conjunto para mejorar la seguridad humana de migrantes temporales gnabe y bugle den Costa Rica y Panamá, de abril de 2015, desarrollado por Javier Rodríguez Oconitrillo contratado como consultor de PNUD y otras personas, el cual debe actualizarse y replantearse conforme a los lineamientos de la Circular 188-19. Además, los materiales facilitados por la UCR en la capacitación que se ha venido desarrollando con ésta. Agrega, tales materiales deben ajustarse para asegurar la participación activa de la población indígena en los procesos de capacitación indígena del Poder Judicial. Así mismo indica, ya la Unidad de Acceso a la Justicia por medio de su jefatura, la señora Melissa Benavides Víquez, ha estado coordinando facilitar estos materiales.</w:t>
      </w:r>
    </w:p>
    <w:p>
      <w:pPr>
        <w:pStyle w:val="Normal"/>
        <w:jc w:val="both"/>
        <w:rPr>
          <w:rFonts w:ascii="Bookman Old Style" w:hAnsi="Bookman Old Style"/>
          <w:b/>
          <w:b/>
          <w:bCs/>
          <w:i/>
          <w:i/>
          <w:iCs/>
          <w:sz w:val="20"/>
          <w:szCs w:val="20"/>
        </w:rPr>
      </w:pPr>
      <w:r>
        <w:rPr>
          <w:rFonts w:ascii="Bookman Old Style" w:hAnsi="Bookman Old Style"/>
          <w:b/>
          <w:bCs/>
          <w:i/>
          <w:iCs/>
          <w:sz w:val="20"/>
          <w:szCs w:val="20"/>
          <w:u w:val="single"/>
        </w:rPr>
        <w:t>SE ACUERDA:</w:t>
      </w:r>
      <w:r>
        <w:rPr>
          <w:rFonts w:ascii="Bookman Old Style" w:hAnsi="Bookman Old Style"/>
          <w:b/>
          <w:bCs/>
          <w:i/>
          <w:iCs/>
          <w:sz w:val="20"/>
          <w:szCs w:val="20"/>
        </w:rPr>
        <w:t xml:space="preserve">  </w:t>
      </w:r>
    </w:p>
    <w:p>
      <w:pPr>
        <w:pStyle w:val="Normal"/>
        <w:jc w:val="both"/>
        <w:rPr>
          <w:rFonts w:ascii="Bookman Old Style" w:hAnsi="Bookman Old Style"/>
          <w:i/>
          <w:i/>
          <w:iCs/>
          <w:sz w:val="20"/>
          <w:szCs w:val="20"/>
        </w:rPr>
      </w:pPr>
      <w:r>
        <w:rPr>
          <w:rFonts w:ascii="Bookman Old Style" w:hAnsi="Bookman Old Style"/>
          <w:b/>
          <w:bCs/>
          <w:i/>
          <w:iCs/>
          <w:sz w:val="20"/>
          <w:szCs w:val="20"/>
        </w:rPr>
        <w:t xml:space="preserve">1° </w:t>
      </w:r>
      <w:r>
        <w:rPr>
          <w:rFonts w:ascii="Bookman Old Style" w:hAnsi="Bookman Old Style"/>
          <w:i/>
          <w:iCs/>
          <w:sz w:val="20"/>
          <w:szCs w:val="20"/>
        </w:rPr>
        <w:t xml:space="preserve">Se toma nota del comunicado remitido por la señora Flor Arroyo Morera, Gestora de Capacitación en temática indígena y representante de la Escuela Judicial ante la Subcomisión de Acceso a la Justicia de Pueblos Indígenas, los días 11 y 15 de marzo de 2020, acerca de la propuesta metodológica desarrollada por la Escuela Judicial con base en la solicitud planteada por la Subcomisión, la necesidad de la que se designe al menos una persona especialista en la materia para el diseño de las actividades de capacitación, y su solicitud de que se le remitan los materiales respectivos en caso de que algunas actividades ya cuenten con diseño previo. </w:t>
      </w:r>
    </w:p>
    <w:p>
      <w:pPr>
        <w:pStyle w:val="Normal"/>
        <w:jc w:val="both"/>
        <w:rPr>
          <w:rFonts w:ascii="Bookman Old Style" w:hAnsi="Bookman Old Style"/>
          <w:i/>
          <w:i/>
          <w:iCs/>
          <w:sz w:val="20"/>
          <w:szCs w:val="20"/>
        </w:rPr>
      </w:pPr>
      <w:r>
        <w:rPr>
          <w:rFonts w:ascii="Bookman Old Style" w:hAnsi="Bookman Old Style"/>
          <w:b/>
          <w:bCs/>
          <w:i/>
          <w:iCs/>
          <w:sz w:val="20"/>
          <w:szCs w:val="20"/>
        </w:rPr>
        <w:t>2°</w:t>
      </w:r>
      <w:r>
        <w:rPr>
          <w:rFonts w:ascii="Bookman Old Style" w:hAnsi="Bookman Old Style"/>
          <w:i/>
          <w:iCs/>
          <w:sz w:val="20"/>
          <w:szCs w:val="20"/>
        </w:rPr>
        <w:t xml:space="preserve"> Se toma nota del informe de la Coordinadora de la Subcomisión de Acceso a la Justicia de Pueblos Indígenas acerca de la necesidad de seleccionar a un equipo de trabajo representativo de los diferentes sectores, liderado por una persona en concreto que reciba el apoyo de las demás integrantes de la Subcomisión; ante el comunicado del Dr. Marcos Guevara Berger, Antropólogo de la UCR, por las razones que apunta. </w:t>
      </w:r>
    </w:p>
    <w:p>
      <w:pPr>
        <w:pStyle w:val="Normal"/>
        <w:jc w:val="both"/>
        <w:rPr>
          <w:rFonts w:ascii="Bookman Old Style" w:hAnsi="Bookman Old Style"/>
          <w:i/>
          <w:i/>
          <w:iCs/>
          <w:sz w:val="20"/>
          <w:szCs w:val="20"/>
        </w:rPr>
      </w:pPr>
      <w:r>
        <w:rPr>
          <w:rFonts w:ascii="Bookman Old Style" w:hAnsi="Bookman Old Style"/>
          <w:b/>
          <w:bCs/>
          <w:i/>
          <w:iCs/>
          <w:sz w:val="20"/>
          <w:szCs w:val="20"/>
        </w:rPr>
        <w:t xml:space="preserve">3° </w:t>
      </w:r>
      <w:r>
        <w:rPr>
          <w:rFonts w:ascii="Bookman Old Style" w:hAnsi="Bookman Old Style"/>
          <w:i/>
          <w:iCs/>
          <w:sz w:val="20"/>
          <w:szCs w:val="20"/>
        </w:rPr>
        <w:t xml:space="preserve">Del Comité de Capacitación designado por la Subcomisión de Acceso a la Justicia de Pueblos Indígenas, se selecciona un equipo conformado por el señor Jean Carlos Monge en representación del sector Judicatura, la señora Ariana Céspedes de la Fiscalía Indígena, la señora Ligia Jiménez de la Defensa Pública Indígena y el señor Wilbert Kidd; Subdirector Ejecutivo, en representación del sector Administrativo, para que, liderados por el juez Monge y con el apoyo de los demás, impulsen ante la Escuela Judicial la Propuesta de Plan Anual Indígena realizada por la Subcomisión ante la Escuela Judicial y coordinen con ésta el desarrollo de las actividades de capacitación en temática indígena. El equipo desarrollará la gestión basado en los lineamientos de Corte Plena establecidos en la Circular 188-19, verificando que en las diferentes actividades el enfoque esté direccionado a las personas integrantes de las Jurisdicciones Penal, Agraria y Contenciosa Administrativa, entre otras, priorizando aquellos despachos donde se tramite mayor cantidad de procesos indígenas; en especial, a los despachos con competencia para conocer procesos relacionados con los pueblos beneficiarios de las Medidas Cautelares 321-12 de la Comisión Interamericana de Derechos Humanos contra el Estado. Los contenidos de la capacitación deben ser útiles para los sectores Jurisdiccional de las materias de mayor impacto; Fiscalía; Defensa Pública; Organismo de Investigación Judicial y el Administrativo; en especial, de personas indígenas de los diferentes pueblos, como facilitadoras y como dicentes conforme a la Circular 188-19 citada. </w:t>
      </w:r>
    </w:p>
    <w:p>
      <w:pPr>
        <w:pStyle w:val="Normal"/>
        <w:jc w:val="both"/>
        <w:rPr>
          <w:rFonts w:ascii="Bookman Old Style" w:hAnsi="Bookman Old Style"/>
          <w:i/>
          <w:i/>
          <w:iCs/>
          <w:sz w:val="20"/>
          <w:szCs w:val="20"/>
        </w:rPr>
      </w:pPr>
      <w:r>
        <w:rPr>
          <w:rFonts w:ascii="Bookman Old Style" w:hAnsi="Bookman Old Style"/>
          <w:b/>
          <w:bCs/>
          <w:i/>
          <w:iCs/>
          <w:sz w:val="20"/>
          <w:szCs w:val="20"/>
        </w:rPr>
        <w:t>4°</w:t>
      </w:r>
      <w:r>
        <w:rPr>
          <w:rFonts w:ascii="Bookman Old Style" w:hAnsi="Bookman Old Style"/>
          <w:i/>
          <w:iCs/>
          <w:sz w:val="20"/>
          <w:szCs w:val="20"/>
        </w:rPr>
        <w:t xml:space="preserve"> El Equipo de Capacitación presentará propuestas a la Subcomisión con el objetivo de que las demás personas integrantes, desde sus diferentes competencias, participen activamente con propuestas y con materiales. </w:t>
      </w:r>
    </w:p>
    <w:p>
      <w:pPr>
        <w:pStyle w:val="Normal"/>
        <w:jc w:val="both"/>
        <w:rPr>
          <w:rFonts w:ascii="Bookman Old Style" w:hAnsi="Bookman Old Style"/>
          <w:i/>
          <w:i/>
          <w:iCs/>
          <w:sz w:val="20"/>
          <w:szCs w:val="20"/>
        </w:rPr>
      </w:pPr>
      <w:r>
        <w:rPr>
          <w:rFonts w:ascii="Bookman Old Style" w:hAnsi="Bookman Old Style"/>
          <w:b/>
          <w:bCs/>
          <w:i/>
          <w:iCs/>
          <w:sz w:val="20"/>
          <w:szCs w:val="20"/>
        </w:rPr>
        <w:t>5°</w:t>
      </w:r>
      <w:r>
        <w:rPr>
          <w:rFonts w:ascii="Bookman Old Style" w:hAnsi="Bookman Old Style"/>
          <w:i/>
          <w:iCs/>
          <w:sz w:val="20"/>
          <w:szCs w:val="20"/>
        </w:rPr>
        <w:t xml:space="preserve"> De estimarse necesario, se solicitará al Consejo Superior permisos para que el Equipo de Capacitación desarrolle sus funciones, de estimarse necesario. </w:t>
      </w:r>
    </w:p>
    <w:p>
      <w:pPr>
        <w:pStyle w:val="Normal"/>
        <w:jc w:val="both"/>
        <w:rPr>
          <w:rFonts w:ascii="Bookman Old Style" w:hAnsi="Bookman Old Style"/>
          <w:b/>
          <w:b/>
          <w:bCs/>
          <w:i/>
          <w:i/>
          <w:iCs/>
          <w:sz w:val="20"/>
          <w:szCs w:val="20"/>
        </w:rPr>
      </w:pPr>
      <w:r>
        <w:rPr>
          <w:rFonts w:ascii="Bookman Old Style" w:hAnsi="Bookman Old Style"/>
          <w:b/>
          <w:bCs/>
          <w:i/>
          <w:iCs/>
          <w:sz w:val="20"/>
          <w:szCs w:val="20"/>
        </w:rPr>
        <w:t>6°</w:t>
      </w:r>
      <w:r>
        <w:rPr>
          <w:rFonts w:ascii="Bookman Old Style" w:hAnsi="Bookman Old Style"/>
          <w:i/>
          <w:iCs/>
          <w:sz w:val="20"/>
          <w:szCs w:val="20"/>
        </w:rPr>
        <w:t xml:space="preserve"> A efecto de maximizar el aprovechamiento de los recursos institucionales, facilitar a la Escuela Judicial los materiales vinculados con el “Módulo didáctico para la capacitación de personas operadoras de justicia y funcionarias públicas en materia de aplicación de las Reglas de Brasilia para la población indígena migrante gnabe y bugle” y la “Guía Pedagógica” de dicho módulo, desarrollado por la Subcomisión de Acceso a la Justicia en coordinación con el PNUD, UNICEF, IOM-OIM, Fondo Educativo de las Naciones Unidas para la Seguridad Humana como parte del Programa Conjunto para mejorar la seguridad humana de migrantes temporales gnabe y bugle den Costa Rica y Panamá, de abril de 2015, desarrollado por Javier Rodríguez Oconitrillo contratado como consultor de PNUD y otras personas, el cual debe actualizarse y replantearse conforme a los lineamientos de la Circular 188-19. Además, los materiales facilitados por la UCR en la capacitación que se ha venido desarrollando con ésta. Tales materiales deben ajustarse para asegurar la participación activa de la población indígena en los procesos de capacitación indígena del Poder Judicial. Solicitar a la Unidad de Acceso a la Justicia facilitar los materiales solicitados, de contar con los respaldos respectivos.</w:t>
      </w:r>
      <w:r>
        <w:rPr>
          <w:rFonts w:ascii="Bookman Old Style" w:hAnsi="Bookman Old Style"/>
          <w:b/>
          <w:bCs/>
          <w:i/>
          <w:iCs/>
          <w:sz w:val="20"/>
          <w:szCs w:val="20"/>
        </w:rPr>
        <w:t xml:space="preserve"> </w:t>
      </w:r>
    </w:p>
    <w:p>
      <w:pPr>
        <w:pStyle w:val="Normal"/>
        <w:jc w:val="both"/>
        <w:rPr>
          <w:rFonts w:ascii="Bookman Old Style" w:hAnsi="Bookman Old Style"/>
          <w:i/>
          <w:i/>
          <w:iCs/>
          <w:sz w:val="20"/>
          <w:szCs w:val="20"/>
        </w:rPr>
      </w:pPr>
      <w:r>
        <w:rPr>
          <w:rFonts w:ascii="Bookman Old Style" w:hAnsi="Bookman Old Style"/>
          <w:b/>
          <w:bCs/>
          <w:i/>
          <w:iCs/>
          <w:sz w:val="20"/>
          <w:szCs w:val="20"/>
        </w:rPr>
        <w:t xml:space="preserve">7° </w:t>
      </w:r>
      <w:r>
        <w:rPr>
          <w:rFonts w:ascii="Bookman Old Style" w:hAnsi="Bookman Old Style"/>
          <w:i/>
          <w:iCs/>
          <w:sz w:val="20"/>
          <w:szCs w:val="20"/>
        </w:rPr>
        <w:t xml:space="preserve">Comunicar este acuerdo a la Escuela Judicial por medio de la Unidad de Acceso a la Justicia. </w:t>
      </w:r>
    </w:p>
    <w:p>
      <w:pPr>
        <w:pStyle w:val="Normal"/>
        <w:jc w:val="both"/>
        <w:rPr>
          <w:rFonts w:ascii="Bookman Old Style" w:hAnsi="Bookman Old Style"/>
          <w:i/>
          <w:i/>
          <w:iCs/>
          <w:sz w:val="20"/>
          <w:szCs w:val="20"/>
        </w:rPr>
      </w:pPr>
      <w:r>
        <w:rPr>
          <w:rFonts w:ascii="Bookman Old Style" w:hAnsi="Bookman Old Style"/>
          <w:b/>
          <w:bCs/>
          <w:i/>
          <w:iCs/>
          <w:sz w:val="20"/>
          <w:szCs w:val="20"/>
        </w:rPr>
        <w:t>8°</w:t>
      </w:r>
      <w:r>
        <w:rPr>
          <w:rFonts w:ascii="Bookman Old Style" w:hAnsi="Bookman Old Style"/>
          <w:i/>
          <w:iCs/>
          <w:sz w:val="20"/>
          <w:szCs w:val="20"/>
        </w:rPr>
        <w:t xml:space="preserve"> Se declara firme este acuerdo por unanimidad para su ejecución. -</w:t>
      </w:r>
    </w:p>
    <w:p>
      <w:pPr>
        <w:pStyle w:val="Normal"/>
        <w:tabs>
          <w:tab w:val="clear" w:pos="708"/>
          <w:tab w:val="left" w:pos="720" w:leader="none"/>
        </w:tabs>
        <w:jc w:val="both"/>
        <w:rPr>
          <w:rFonts w:ascii="Bookman Old Style" w:hAnsi="Bookman Old Style"/>
          <w:i/>
          <w:i/>
          <w:iCs/>
          <w:sz w:val="20"/>
          <w:szCs w:val="20"/>
        </w:rPr>
      </w:pPr>
      <w:r>
        <w:rPr>
          <w:rFonts w:ascii="Bookman Old Style" w:hAnsi="Bookman Old Style"/>
          <w:i/>
          <w:iCs/>
          <w:sz w:val="20"/>
          <w:szCs w:val="20"/>
        </w:rPr>
      </w:r>
    </w:p>
    <w:p>
      <w:pPr>
        <w:pStyle w:val="Normal"/>
        <w:tabs>
          <w:tab w:val="clear" w:pos="708"/>
          <w:tab w:val="left" w:pos="720" w:leader="none"/>
        </w:tabs>
        <w:jc w:val="both"/>
        <w:rPr>
          <w:rFonts w:ascii="Bookman Old Style" w:hAnsi="Bookman Old Style"/>
          <w:i/>
          <w:i/>
          <w:iCs/>
          <w:sz w:val="20"/>
          <w:szCs w:val="20"/>
        </w:rPr>
      </w:pPr>
      <w:r>
        <w:rPr>
          <w:rFonts w:ascii="Bookman Old Style" w:hAnsi="Bookman Old Style"/>
          <w:i/>
          <w:iCs/>
          <w:sz w:val="20"/>
          <w:szCs w:val="20"/>
        </w:rPr>
        <w:t xml:space="preserve">Cordialmente. </w:t>
      </w:r>
    </w:p>
    <w:p>
      <w:pPr>
        <w:pStyle w:val="Normal"/>
        <w:tabs>
          <w:tab w:val="clear" w:pos="708"/>
          <w:tab w:val="left" w:pos="720" w:leader="none"/>
        </w:tabs>
        <w:jc w:val="both"/>
        <w:rPr>
          <w:rFonts w:ascii="Bookman Old Style" w:hAnsi="Bookman Old Style"/>
          <w:i/>
          <w:i/>
          <w:iCs/>
          <w:sz w:val="20"/>
          <w:szCs w:val="20"/>
        </w:rPr>
      </w:pPr>
      <w:r>
        <w:rPr>
          <w:rFonts w:ascii="Bookman Old Style" w:hAnsi="Bookman Old Style"/>
          <w:i/>
          <w:iCs/>
          <w:sz w:val="20"/>
          <w:szCs w:val="20"/>
        </w:rPr>
      </w:r>
    </w:p>
    <w:p>
      <w:pPr>
        <w:pStyle w:val="Normal"/>
        <w:tabs>
          <w:tab w:val="clear" w:pos="708"/>
          <w:tab w:val="left" w:pos="720" w:leader="none"/>
        </w:tabs>
        <w:spacing w:before="0" w:after="0"/>
        <w:contextualSpacing/>
        <w:jc w:val="center"/>
        <w:rPr>
          <w:rFonts w:ascii="Bookman Old Style" w:hAnsi="Bookman Old Style"/>
          <w:b/>
          <w:b/>
          <w:i/>
          <w:i/>
          <w:iCs/>
          <w:sz w:val="20"/>
          <w:szCs w:val="20"/>
        </w:rPr>
      </w:pPr>
      <w:r>
        <w:rPr>
          <w:rFonts w:ascii="Bookman Old Style" w:hAnsi="Bookman Old Style"/>
          <w:b/>
          <w:i/>
          <w:iCs/>
          <w:sz w:val="20"/>
          <w:szCs w:val="20"/>
        </w:rPr>
        <w:t>Máster Melissa Benavides Víquez</w:t>
      </w:r>
    </w:p>
    <w:p>
      <w:pPr>
        <w:pStyle w:val="Normal"/>
        <w:tabs>
          <w:tab w:val="clear" w:pos="708"/>
          <w:tab w:val="left" w:pos="720" w:leader="none"/>
        </w:tabs>
        <w:spacing w:before="0" w:after="0"/>
        <w:contextualSpacing/>
        <w:jc w:val="center"/>
        <w:rPr>
          <w:rFonts w:ascii="Bookman Old Style" w:hAnsi="Bookman Old Style"/>
          <w:b/>
          <w:b/>
          <w:i/>
          <w:i/>
          <w:iCs/>
          <w:sz w:val="20"/>
          <w:szCs w:val="20"/>
        </w:rPr>
      </w:pPr>
      <w:r>
        <w:rPr>
          <w:rFonts w:ascii="Bookman Old Style" w:hAnsi="Bookman Old Style"/>
          <w:b/>
          <w:i/>
          <w:iCs/>
          <w:sz w:val="20"/>
          <w:szCs w:val="20"/>
        </w:rPr>
        <w:t>Coordinadora</w:t>
      </w:r>
    </w:p>
    <w:p>
      <w:pPr>
        <w:pStyle w:val="Normal"/>
        <w:tabs>
          <w:tab w:val="clear" w:pos="708"/>
          <w:tab w:val="left" w:pos="720" w:leader="none"/>
        </w:tabs>
        <w:spacing w:before="0" w:after="0"/>
        <w:contextualSpacing/>
        <w:jc w:val="center"/>
        <w:rPr>
          <w:rFonts w:ascii="Bookman Old Style" w:hAnsi="Bookman Old Style"/>
          <w:b/>
          <w:b/>
          <w:sz w:val="20"/>
          <w:szCs w:val="20"/>
        </w:rPr>
      </w:pPr>
      <w:r>
        <w:rPr>
          <w:rFonts w:ascii="Bookman Old Style" w:hAnsi="Bookman Old Style"/>
          <w:b/>
          <w:i/>
          <w:iCs/>
          <w:sz w:val="20"/>
          <w:szCs w:val="20"/>
        </w:rPr>
        <w:t>Unidad de Acceso a la Justicia”</w:t>
      </w:r>
    </w:p>
    <w:p>
      <w:pPr>
        <w:pStyle w:val="Normal"/>
        <w:spacing w:before="0" w:after="0"/>
        <w:contextualSpacing/>
        <w:jc w:val="both"/>
        <w:rPr>
          <w:rFonts w:ascii="Bookman Old Style" w:hAnsi="Bookman Old Style" w:cs="Tahoma"/>
          <w:sz w:val="20"/>
          <w:szCs w:val="20"/>
          <w:lang w:val="es-ES"/>
        </w:rPr>
      </w:pPr>
      <w:r>
        <w:rPr>
          <w:rFonts w:cs="Tahoma" w:ascii="Bookman Old Style" w:hAnsi="Bookman Old Style"/>
          <w:sz w:val="20"/>
          <w:szCs w:val="20"/>
          <w:lang w:val="es-ES"/>
        </w:rPr>
      </w:r>
    </w:p>
    <w:p>
      <w:pPr>
        <w:pStyle w:val="Normal"/>
        <w:spacing w:before="0" w:after="0"/>
        <w:contextualSpacing/>
        <w:jc w:val="both"/>
        <w:rPr>
          <w:rFonts w:ascii="Bookman Old Style" w:hAnsi="Bookman Old Style" w:cs="Tahoma"/>
          <w:sz w:val="20"/>
          <w:szCs w:val="20"/>
          <w:lang w:val="es-ES"/>
        </w:rPr>
      </w:pPr>
      <w:r>
        <w:rPr>
          <w:rFonts w:cs="Tahoma" w:ascii="Bookman Old Style" w:hAnsi="Bookman Old Style"/>
          <w:sz w:val="20"/>
          <w:szCs w:val="20"/>
          <w:lang w:val="es-ES"/>
        </w:rPr>
      </w:r>
    </w:p>
    <w:p>
      <w:pPr>
        <w:pStyle w:val="Xmsonormal"/>
        <w:numPr>
          <w:ilvl w:val="0"/>
          <w:numId w:val="0"/>
        </w:numPr>
        <w:jc w:val="both"/>
        <w:outlineLvl w:val="0"/>
        <w:rPr>
          <w:rFonts w:ascii="Bookman Old Style" w:hAnsi="Bookman Old Style"/>
          <w:sz w:val="20"/>
          <w:szCs w:val="20"/>
          <w:lang w:val="es-ES"/>
        </w:rPr>
      </w:pPr>
      <w:r>
        <w:rPr>
          <w:rFonts w:ascii="Bookman Old Style" w:hAnsi="Bookman Old Style"/>
          <w:sz w:val="20"/>
          <w:szCs w:val="20"/>
          <w:lang w:val="es-ES"/>
        </w:rPr>
        <w:t>La señora Flor Arroyo Morera, representante de la Escuela Judicial ante la Subcomisión, remitió comunicado electrónico del 16 de abril de 2020 al señor Jean Carlo Monge Madrigal y la señora Damaris Vargas Vásquez, con copia a las señoras Rebeca Guardia Morales y Eimy Solano Castro, en el que señaló:</w:t>
      </w:r>
    </w:p>
    <w:p>
      <w:pPr>
        <w:pStyle w:val="Xmsonormal"/>
        <w:rPr>
          <w:rFonts w:ascii="Bookman Old Style" w:hAnsi="Bookman Old Style"/>
          <w:color w:val="000000"/>
          <w:sz w:val="20"/>
          <w:szCs w:val="20"/>
        </w:rPr>
      </w:pPr>
      <w:r>
        <w:rPr>
          <w:rFonts w:ascii="Bookman Old Style" w:hAnsi="Bookman Old Style"/>
          <w:color w:val="000000"/>
          <w:sz w:val="20"/>
          <w:szCs w:val="20"/>
        </w:rPr>
      </w:r>
    </w:p>
    <w:p>
      <w:pPr>
        <w:pStyle w:val="Xmsonormal"/>
        <w:ind w:left="708" w:hanging="0"/>
        <w:jc w:val="both"/>
        <w:rPr>
          <w:rFonts w:ascii="Bookman Old Style" w:hAnsi="Bookman Old Style"/>
          <w:i/>
          <w:i/>
          <w:iCs/>
          <w:sz w:val="20"/>
          <w:szCs w:val="20"/>
        </w:rPr>
      </w:pPr>
      <w:r>
        <w:rPr>
          <w:rFonts w:ascii="Bookman Old Style" w:hAnsi="Bookman Old Style"/>
          <w:i/>
          <w:iCs/>
          <w:color w:val="000000"/>
          <w:sz w:val="20"/>
          <w:szCs w:val="20"/>
        </w:rPr>
        <w:t>“</w:t>
      </w:r>
      <w:r>
        <w:rPr>
          <w:rFonts w:ascii="Bookman Old Style" w:hAnsi="Bookman Old Style"/>
          <w:i/>
          <w:iCs/>
          <w:color w:val="000000"/>
          <w:sz w:val="20"/>
          <w:szCs w:val="20"/>
        </w:rPr>
        <w:t>Buenos días don Jean Carlo. Espero se encuentre bien. Adjunto en este acto el documento que elaboramos para que doña Damaris pueda apreciarlo. Sin embargo, le comento que no lo he enviado formalmente a la Subcomisión, pues tal y como lo hablamos ese día, y por la preocupación que manifestó doña Ligia del riesgo de que no pudiéramos contar con las personas indígenas expositoras, a causa de que no podamos cubrir sus gastos, en la Escuela Judicial desde ese día </w:t>
      </w:r>
      <w:r>
        <w:rPr>
          <w:rFonts w:ascii="Bookman Old Style" w:hAnsi="Bookman Old Style"/>
          <w:i/>
          <w:iCs/>
          <w:color w:val="000000"/>
          <w:sz w:val="20"/>
          <w:szCs w:val="20"/>
          <w:shd w:fill="FFFFFF" w:val="clear"/>
        </w:rPr>
        <w:t>nos hemos dado a la tarea </w:t>
      </w:r>
      <w:r>
        <w:rPr>
          <w:rFonts w:ascii="Bookman Old Style" w:hAnsi="Bookman Old Style"/>
          <w:i/>
          <w:iCs/>
          <w:color w:val="000000"/>
          <w:sz w:val="20"/>
          <w:szCs w:val="20"/>
        </w:rPr>
        <w:t>de determinar las opciones que tenemos al respecto. La idea es presentar un plan ejecutable de forma integral, tal y como lo establecimos el día de la reunión. Espero que pronto podamos contar con este dato y procederé a informarles. Saludos,”</w:t>
      </w:r>
    </w:p>
    <w:p>
      <w:pPr>
        <w:pStyle w:val="Normal"/>
        <w:spacing w:before="0" w:after="0"/>
        <w:contextualSpacing/>
        <w:jc w:val="both"/>
        <w:rPr>
          <w:rFonts w:ascii="Bookman Old Style" w:hAnsi="Bookman Old Style" w:cs="Tahoma"/>
          <w:sz w:val="20"/>
          <w:szCs w:val="20"/>
          <w:lang w:val="es-ES"/>
        </w:rPr>
      </w:pPr>
      <w:r>
        <w:rPr>
          <w:rFonts w:cs="Tahoma" w:ascii="Bookman Old Style" w:hAnsi="Bookman Old Style"/>
          <w:sz w:val="20"/>
          <w:szCs w:val="20"/>
          <w:lang w:val="es-ES"/>
        </w:rPr>
      </w:r>
    </w:p>
    <w:p>
      <w:pPr>
        <w:pStyle w:val="Normal"/>
        <w:jc w:val="both"/>
        <w:rPr>
          <w:rFonts w:ascii="Bookman Old Style" w:hAnsi="Bookman Old Style" w:cs="Calibri"/>
          <w:color w:val="000000"/>
          <w:sz w:val="20"/>
          <w:szCs w:val="20"/>
        </w:rPr>
      </w:pPr>
      <w:r>
        <w:rPr>
          <w:rFonts w:cs="Calibri" w:ascii="Bookman Old Style" w:hAnsi="Bookman Old Style"/>
          <w:color w:val="000000"/>
          <w:sz w:val="20"/>
          <w:szCs w:val="20"/>
        </w:rPr>
        <w:t>Adjuntó la siguiente propuesta de Módulo, generada con la participación, según se indicó, por la señora Ligia Jiménez, y los señores Jean Carlos Monge y Wilbert Kidd:</w:t>
      </w:r>
    </w:p>
    <w:p>
      <w:pPr>
        <w:pStyle w:val="Normal"/>
        <w:jc w:val="both"/>
        <w:rPr>
          <w:rFonts w:ascii="Bookman Old Style" w:hAnsi="Bookman Old Style" w:cs="Calibri"/>
          <w:color w:val="000000"/>
          <w:sz w:val="20"/>
          <w:szCs w:val="20"/>
        </w:rPr>
      </w:pPr>
      <w:r>
        <w:rPr>
          <w:rFonts w:cs="Calibri" w:ascii="Bookman Old Style" w:hAnsi="Bookman Old Style"/>
          <w:color w:val="000000"/>
          <w:sz w:val="20"/>
          <w:szCs w:val="20"/>
        </w:rPr>
      </w:r>
    </w:p>
    <w:p>
      <w:pPr>
        <w:pStyle w:val="Normal"/>
        <w:suppressAutoHyphens w:val="true"/>
        <w:jc w:val="center"/>
        <w:rPr>
          <w:rFonts w:ascii="Bookman Old Style" w:hAnsi="Bookman Old Style" w:eastAsia="NSimSun" w:cs="Arial"/>
          <w:kern w:val="2"/>
          <w:sz w:val="20"/>
          <w:szCs w:val="20"/>
          <w:lang w:eastAsia="zh-CN" w:bidi="hi-IN"/>
        </w:rPr>
      </w:pPr>
      <w:r>
        <w:rPr>
          <w:rFonts w:cs="Calibri" w:ascii="Bookman Old Style" w:hAnsi="Bookman Old Style"/>
          <w:b/>
          <w:bCs/>
          <w:color w:val="000000"/>
          <w:kern w:val="2"/>
          <w:sz w:val="20"/>
          <w:szCs w:val="20"/>
          <w:lang w:eastAsia="zh-CN" w:bidi="hi-IN"/>
        </w:rPr>
        <w:t>M</w:t>
      </w:r>
      <w:r>
        <w:rPr>
          <w:rFonts w:eastAsia="NSimSun" w:cs="Calibri" w:ascii="Bookman Old Style" w:hAnsi="Bookman Old Style"/>
          <w:b/>
          <w:bCs/>
          <w:color w:val="000000"/>
          <w:kern w:val="2"/>
          <w:sz w:val="20"/>
          <w:szCs w:val="20"/>
          <w:lang w:eastAsia="zh-CN" w:bidi="hi-IN"/>
        </w:rPr>
        <w:t xml:space="preserve">ódulo didáctico para la promoción de los Derechos Humanos de los Pueblos Indígenas. </w:t>
      </w:r>
    </w:p>
    <w:p>
      <w:pPr>
        <w:pStyle w:val="Normal"/>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Programa  Año 2020</w:t>
      </w:r>
    </w:p>
    <w:p>
      <w:pPr>
        <w:pStyle w:val="Normal"/>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Escuela Judicial</w:t>
      </w:r>
    </w:p>
    <w:p>
      <w:pPr>
        <w:pStyle w:val="Normal"/>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bl>
      <w:tblPr>
        <w:tblW w:w="10829" w:type="dxa"/>
        <w:jc w:val="left"/>
        <w:tblInd w:w="-339" w:type="dxa"/>
        <w:tblLayout w:type="fixed"/>
        <w:tblCellMar>
          <w:top w:w="55" w:type="dxa"/>
          <w:left w:w="55" w:type="dxa"/>
          <w:bottom w:w="55" w:type="dxa"/>
          <w:right w:w="55" w:type="dxa"/>
        </w:tblCellMar>
        <w:tblLook w:firstRow="0" w:noVBand="0" w:lastRow="0" w:firstColumn="0" w:lastColumn="0" w:noHBand="0" w:val="0000"/>
      </w:tblPr>
      <w:tblGrid>
        <w:gridCol w:w="785"/>
        <w:gridCol w:w="1257"/>
        <w:gridCol w:w="4816"/>
        <w:gridCol w:w="3116"/>
        <w:gridCol w:w="855"/>
      </w:tblGrid>
      <w:tr>
        <w:trPr/>
        <w:tc>
          <w:tcPr>
            <w:tcW w:w="785" w:type="dxa"/>
            <w:tcBorders>
              <w:top w:val="single" w:sz="2" w:space="0" w:color="000000"/>
              <w:left w:val="single" w:sz="2" w:space="0" w:color="000000"/>
              <w:bottom w:val="single" w:sz="2" w:space="0" w:color="000000"/>
            </w:tcBorders>
            <w:shd w:color="auto" w:fill="auto" w:val="clea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Día</w:t>
            </w:r>
          </w:p>
        </w:tc>
        <w:tc>
          <w:tcPr>
            <w:tcW w:w="1257" w:type="dxa"/>
            <w:tcBorders>
              <w:top w:val="single" w:sz="2" w:space="0" w:color="000000"/>
              <w:left w:val="single" w:sz="2" w:space="0" w:color="000000"/>
              <w:bottom w:val="single" w:sz="2" w:space="0" w:color="000000"/>
            </w:tcBorders>
            <w:shd w:color="auto" w:fill="auto" w:val="clea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Audiencia</w:t>
            </w:r>
          </w:p>
        </w:tc>
        <w:tc>
          <w:tcPr>
            <w:tcW w:w="4816" w:type="dxa"/>
            <w:tcBorders>
              <w:top w:val="single" w:sz="2" w:space="0" w:color="000000"/>
              <w:left w:val="single" w:sz="2" w:space="0" w:color="000000"/>
              <w:bottom w:val="single" w:sz="2" w:space="0" w:color="000000"/>
            </w:tcBorders>
            <w:shd w:color="auto" w:fill="auto" w:val="clea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Tema</w:t>
            </w:r>
          </w:p>
        </w:tc>
        <w:tc>
          <w:tcPr>
            <w:tcW w:w="3116" w:type="dxa"/>
            <w:tcBorders>
              <w:top w:val="single" w:sz="2" w:space="0" w:color="000000"/>
              <w:left w:val="single" w:sz="2" w:space="0" w:color="000000"/>
              <w:bottom w:val="single" w:sz="2" w:space="0" w:color="000000"/>
            </w:tcBorders>
            <w:shd w:color="auto" w:fill="auto" w:val="clea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Posible expositor</w:t>
            </w:r>
          </w:p>
        </w:tc>
        <w:tc>
          <w:tcPr>
            <w:tcW w:w="855" w:type="dxa"/>
            <w:tcBorders>
              <w:top w:val="single" w:sz="2" w:space="0" w:color="000000"/>
              <w:left w:val="single" w:sz="2" w:space="0" w:color="000000"/>
              <w:bottom w:val="single" w:sz="2" w:space="0" w:color="000000"/>
              <w:right w:val="single" w:sz="2" w:space="0" w:color="000000"/>
            </w:tcBorders>
            <w:shd w:color="auto" w:fill="auto" w:val="clea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Posible fecha</w:t>
            </w:r>
          </w:p>
        </w:tc>
      </w:tr>
      <w:tr>
        <w:trPr/>
        <w:tc>
          <w:tcPr>
            <w:tcW w:w="785"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1</w:t>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Primera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1. Breve perspectiva sobre los pueblos indígenas en Costa Rica y su realidad sociocultural.</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 xml:space="preserve">¿Por qué las personas indígenas deben ser objeto de consideraciones especiales en términos de acceso a la justicia? </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Marcos Guevara Berger.</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Profesor, Escuela de Antropología, Universidad de Costa Rica -U.C.R.-</w:t>
              <w:tab/>
            </w:r>
          </w:p>
        </w:tc>
        <w:tc>
          <w:tcPr>
            <w:tcW w:w="855" w:type="dxa"/>
            <w:vMerge w:val="restart"/>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Viernes 23 de octubre</w:t>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Segunda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b/>
                <w:kern w:val="2"/>
                <w:sz w:val="20"/>
                <w:szCs w:val="20"/>
                <w:lang w:eastAsia="zh-CN" w:bidi="hi-IN"/>
              </w:rPr>
              <w:t xml:space="preserve">2. Conocernos: </w:t>
            </w:r>
            <w:r>
              <w:rPr>
                <w:rFonts w:eastAsia="NSimSun" w:cs="Bookman Old Style" w:ascii="Bookman Old Style" w:hAnsi="Bookman Old Style"/>
                <w:b/>
                <w:bCs/>
                <w:kern w:val="2"/>
                <w:sz w:val="20"/>
                <w:szCs w:val="20"/>
                <w:lang w:eastAsia="zh-CN" w:bidi="hi-IN"/>
              </w:rPr>
              <w:t>Un primer acercamiento. Costumbres,  Formas de transmisión de la tierra, Formas de posesión de la tierra.</w:t>
            </w:r>
          </w:p>
        </w:tc>
        <w:tc>
          <w:tcPr>
            <w:tcW w:w="3116" w:type="dxa"/>
            <w:tcBorders>
              <w:left w:val="single" w:sz="2" w:space="0" w:color="000000"/>
              <w:bottom w:val="single" w:sz="2" w:space="0" w:color="000000"/>
            </w:tcBorders>
            <w:shd w:color="auto" w:fill="auto" w:val="clear"/>
          </w:tcPr>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 Justa Romero</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Indígena Bribri</w:t>
            </w:r>
          </w:p>
          <w:p>
            <w:pPr>
              <w:pStyle w:val="Normal"/>
              <w:widowControl w:val="false"/>
              <w:suppressLineNumbers/>
              <w:suppressAutoHyphens w:val="true"/>
              <w:rPr>
                <w:rFonts w:ascii="Bookman Old Style" w:hAnsi="Bookman Old Style" w:eastAsia="NSimSun" w:cs="Bookman Old Style"/>
                <w:color w:val="000000"/>
                <w:kern w:val="2"/>
                <w:sz w:val="20"/>
                <w:szCs w:val="20"/>
                <w:lang w:eastAsia="zh-CN" w:bidi="hi-IN"/>
              </w:rPr>
            </w:pPr>
            <w:r>
              <w:rPr>
                <w:rFonts w:eastAsia="NSimSun" w:cs="Bookman Old Style" w:ascii="Bookman Old Style" w:hAnsi="Bookman Old Style"/>
                <w:color w:val="000000"/>
                <w:kern w:val="2"/>
                <w:sz w:val="20"/>
                <w:szCs w:val="20"/>
                <w:lang w:eastAsia="zh-CN" w:bidi="hi-IN"/>
              </w:rPr>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 Pablo Sibar</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Indígena Broran</w:t>
            </w:r>
          </w:p>
          <w:p>
            <w:pPr>
              <w:pStyle w:val="Normal"/>
              <w:widowControl w:val="false"/>
              <w:suppressLineNumbers/>
              <w:suppressAutoHyphens w:val="true"/>
              <w:rPr>
                <w:rFonts w:ascii="Bookman Old Style" w:hAnsi="Bookman Old Style" w:eastAsia="NSimSun" w:cs="Bookman Old Style"/>
                <w:color w:val="000000"/>
                <w:kern w:val="2"/>
                <w:sz w:val="20"/>
                <w:szCs w:val="20"/>
                <w:highlight w:val="yellow"/>
                <w:lang w:eastAsia="zh-CN" w:bidi="hi-IN"/>
              </w:rPr>
            </w:pPr>
            <w:r>
              <w:rPr>
                <w:rFonts w:eastAsia="NSimSun" w:cs="Bookman Old Style" w:ascii="Bookman Old Style" w:hAnsi="Bookman Old Style"/>
                <w:color w:val="000000"/>
                <w:kern w:val="2"/>
                <w:sz w:val="20"/>
                <w:szCs w:val="20"/>
                <w:highlight w:val="yellow"/>
                <w:lang w:eastAsia="zh-CN" w:bidi="hi-IN"/>
              </w:rPr>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kern w:val="2"/>
                <w:sz w:val="20"/>
                <w:szCs w:val="20"/>
                <w:highlight w:val="yellow"/>
                <w:lang w:eastAsia="zh-CN" w:bidi="hi-IN"/>
              </w:rPr>
              <w:t>- Persona indígena Térraba (Por definir)</w:t>
            </w:r>
          </w:p>
        </w:tc>
        <w:tc>
          <w:tcPr>
            <w:tcW w:w="855"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10829" w:type="dxa"/>
            <w:gridSpan w:val="5"/>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r>
      <w:tr>
        <w:trPr/>
        <w:tc>
          <w:tcPr>
            <w:tcW w:w="785"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2</w:t>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Primera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3. Género y Mujer Indígena</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 xml:space="preserve">-Valeria Varas Rojas, </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kern w:val="2"/>
                <w:sz w:val="20"/>
                <w:szCs w:val="20"/>
                <w:lang w:eastAsia="zh-CN" w:bidi="hi-IN"/>
              </w:rPr>
              <w:t>Funcionaria, Departamento Ciudadanía Activa, Instituto Nacional de la Mujer -INAMU.</w:t>
            </w:r>
          </w:p>
          <w:p>
            <w:pPr>
              <w:pStyle w:val="Normal"/>
              <w:widowControl w:val="false"/>
              <w:suppressLineNumbers/>
              <w:suppressAutoHyphens w:val="true"/>
              <w:rPr>
                <w:rFonts w:ascii="Bookman Old Style" w:hAnsi="Bookman Old Style" w:eastAsia="NSimSun" w:cs="Bookman Old Style"/>
                <w:kern w:val="2"/>
                <w:sz w:val="20"/>
                <w:szCs w:val="20"/>
                <w:lang w:eastAsia="zh-CN" w:bidi="hi-IN"/>
              </w:rPr>
            </w:pPr>
            <w:r>
              <w:rPr>
                <w:rFonts w:eastAsia="NSimSun" w:cs="Bookman Old Style" w:ascii="Bookman Old Style" w:hAnsi="Bookman Old Style"/>
                <w:kern w:val="2"/>
                <w:sz w:val="20"/>
                <w:szCs w:val="20"/>
                <w:lang w:eastAsia="zh-CN" w:bidi="hi-IN"/>
              </w:rPr>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kern w:val="2"/>
                <w:sz w:val="20"/>
                <w:szCs w:val="20"/>
                <w:highlight w:val="yellow"/>
                <w:lang w:eastAsia="zh-CN" w:bidi="hi-IN"/>
              </w:rPr>
              <w:t>- Mujer indígena (Por definir)</w:t>
            </w:r>
          </w:p>
        </w:tc>
        <w:tc>
          <w:tcPr>
            <w:tcW w:w="855" w:type="dxa"/>
            <w:vMerge w:val="restart"/>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Viernes 30 de octubre</w:t>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c>
          <w:tcPr>
            <w:tcW w:w="1257"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Segunda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4. Intérpretes e Identidad</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Alí García Segura,</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 xml:space="preserve">Profesor, Escuela de Filología, Linguística y Literatura, </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Universidad de Costa Rica -U.C.R.-</w:t>
            </w:r>
          </w:p>
        </w:tc>
        <w:tc>
          <w:tcPr>
            <w:tcW w:w="855"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c>
          <w:tcPr>
            <w:tcW w:w="1257"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 xml:space="preserve">5. Reglamento, Circulares y directrices. Inscripción de peritos y trámite de pagos. </w:t>
            </w:r>
            <w:r>
              <w:rPr>
                <w:rFonts w:eastAsia="NSimSun" w:cs="Arial" w:ascii="Bookman Old Style" w:hAnsi="Bookman Old Style"/>
                <w:kern w:val="2"/>
                <w:sz w:val="20"/>
                <w:szCs w:val="20"/>
                <w:lang w:eastAsia="zh-CN" w:bidi="hi-IN"/>
              </w:rPr>
              <w:t>(aprox.1 hora)</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Wilbert Kidd.</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Subdirector Ejecutivo del Poder Judicial.</w:t>
            </w:r>
          </w:p>
        </w:tc>
        <w:tc>
          <w:tcPr>
            <w:tcW w:w="855"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10829" w:type="dxa"/>
            <w:gridSpan w:val="5"/>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r>
      <w:tr>
        <w:trPr/>
        <w:tc>
          <w:tcPr>
            <w:tcW w:w="785"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3</w:t>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Primera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6. Principales instrumentos nacionales e internacionales sobre pueblos indígenas.</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Liberation Serif" w:cs="Liberation Serif" w:ascii="Bookman Old Style" w:hAnsi="Bookman Old Style"/>
                <w:kern w:val="2"/>
                <w:sz w:val="20"/>
                <w:szCs w:val="20"/>
                <w:highlight w:val="yellow"/>
                <w:lang w:eastAsia="zh-CN" w:bidi="hi-IN"/>
              </w:rPr>
              <w:t xml:space="preserve"> </w:t>
            </w:r>
            <w:r>
              <w:rPr>
                <w:rFonts w:eastAsia="NSimSun" w:cs="Bookman Old Style" w:ascii="Bookman Old Style" w:hAnsi="Bookman Old Style"/>
                <w:kern w:val="2"/>
                <w:sz w:val="20"/>
                <w:szCs w:val="20"/>
                <w:highlight w:val="yellow"/>
                <w:lang w:eastAsia="zh-CN" w:bidi="hi-IN"/>
              </w:rPr>
              <w:t>Por definir.</w:t>
            </w:r>
          </w:p>
        </w:tc>
        <w:tc>
          <w:tcPr>
            <w:tcW w:w="855" w:type="dxa"/>
            <w:vMerge w:val="restart"/>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Viernes 6 de noviembre</w:t>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Segunda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7. Jurisprudencia nacional e internacional indígena</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Jorge Leiva Poveda,</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 xml:space="preserve">Juez, Tribunal Contencioso Administrativo </w:t>
            </w:r>
          </w:p>
        </w:tc>
        <w:tc>
          <w:tcPr>
            <w:tcW w:w="855"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10829" w:type="dxa"/>
            <w:gridSpan w:val="5"/>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r>
      <w:tr>
        <w:trPr/>
        <w:tc>
          <w:tcPr>
            <w:tcW w:w="785"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4</w:t>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Primera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b/>
                <w:bCs/>
                <w:kern w:val="2"/>
                <w:sz w:val="20"/>
                <w:szCs w:val="20"/>
                <w:lang w:eastAsia="zh-CN" w:bidi="hi-IN"/>
              </w:rPr>
              <w:t>8. Incidencia del pluralismo jurídico y los sistemas jurídicos indígenas en la formulación de las políticas del Poder Judicial para el acceso a la justicia de las personas indígenas.</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Damaris Vargas Vásquez,</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 xml:space="preserve">Jueza del Tribunal Agrario  </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y Directora del Proyecto  de Implementación de la Reforma Procesal Agraria, Poder Judicial.</w:t>
            </w:r>
            <w:r>
              <w:rPr>
                <w:rFonts w:eastAsia="NSimSun" w:cs="Bookman Old Style" w:ascii="Bookman Old Style" w:hAnsi="Bookman Old Style"/>
                <w:b/>
                <w:bCs/>
                <w:kern w:val="2"/>
                <w:sz w:val="20"/>
                <w:szCs w:val="20"/>
                <w:lang w:eastAsia="zh-CN" w:bidi="hi-IN"/>
              </w:rPr>
              <w:t xml:space="preserve"> </w:t>
            </w:r>
          </w:p>
        </w:tc>
        <w:tc>
          <w:tcPr>
            <w:tcW w:w="855" w:type="dxa"/>
            <w:vMerge w:val="restart"/>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Viernes 13 de noviembre</w:t>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Segunda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b/>
                <w:bCs/>
                <w:kern w:val="2"/>
                <w:sz w:val="20"/>
                <w:szCs w:val="20"/>
                <w:lang w:eastAsia="zh-CN" w:bidi="hi-IN"/>
              </w:rPr>
              <w:t>9. Reglas de Brasilia, Ley de Acceso a la Justicia de Pueblos Indígenas de Costa Rica y Reglas prácticas de acceso a la justicia de pueblos indígenas, Circulares del Poder Judicial.</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kern w:val="2"/>
                <w:sz w:val="20"/>
                <w:szCs w:val="20"/>
                <w:lang w:eastAsia="zh-CN" w:bidi="hi-IN"/>
              </w:rPr>
              <w:t>Jean Carlo Monge Madrigal,</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kern w:val="2"/>
                <w:sz w:val="20"/>
                <w:szCs w:val="20"/>
                <w:lang w:eastAsia="zh-CN" w:bidi="hi-IN"/>
              </w:rPr>
              <w:t>Juez Penal.</w:t>
            </w:r>
          </w:p>
        </w:tc>
        <w:tc>
          <w:tcPr>
            <w:tcW w:w="855"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10829" w:type="dxa"/>
            <w:gridSpan w:val="5"/>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r>
      <w:tr>
        <w:trPr/>
        <w:tc>
          <w:tcPr>
            <w:tcW w:w="785"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5</w:t>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Primera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10. Peritajes culturales  y antropológicos.</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Marcos Guevara Berger,</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Profesor, Escuela de Antropología, Universidad de Costa Rica U.C.R.</w:t>
            </w:r>
          </w:p>
        </w:tc>
        <w:tc>
          <w:tcPr>
            <w:tcW w:w="855" w:type="dxa"/>
            <w:vMerge w:val="restart"/>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Viernes 20 de noviembre</w:t>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Segunda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11. Fundamento jurídico de los peritajes.</w:t>
            </w:r>
          </w:p>
        </w:tc>
        <w:tc>
          <w:tcPr>
            <w:tcW w:w="31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Ligia Jiménez Zamora,</w:t>
            </w:r>
          </w:p>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Defensora Pública.</w:t>
              <w:tab/>
            </w:r>
          </w:p>
        </w:tc>
        <w:tc>
          <w:tcPr>
            <w:tcW w:w="855"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10829" w:type="dxa"/>
            <w:gridSpan w:val="5"/>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tc>
      </w:tr>
      <w:tr>
        <w:trPr/>
        <w:tc>
          <w:tcPr>
            <w:tcW w:w="785"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b/>
                <w:bCs/>
                <w:kern w:val="2"/>
                <w:sz w:val="20"/>
                <w:szCs w:val="20"/>
                <w:lang w:eastAsia="zh-CN" w:bidi="hi-IN"/>
              </w:rPr>
              <w:t>6</w:t>
            </w:r>
          </w:p>
        </w:tc>
        <w:tc>
          <w:tcPr>
            <w:tcW w:w="1257" w:type="dxa"/>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Primera</w:t>
            </w:r>
          </w:p>
        </w:tc>
        <w:tc>
          <w:tcPr>
            <w:tcW w:w="4816" w:type="dxa"/>
            <w:tcBorders>
              <w:left w:val="single" w:sz="2" w:space="0" w:color="000000"/>
              <w:bottom w:val="single" w:sz="2" w:space="0" w:color="000000"/>
            </w:tcBorders>
            <w:shd w:color="auto" w:fill="auto" w:val="clear"/>
          </w:tcPr>
          <w:p>
            <w:pPr>
              <w:pStyle w:val="Normal"/>
              <w:widowControl w:val="false"/>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b/>
                <w:bCs/>
                <w:color w:val="000000"/>
                <w:kern w:val="2"/>
                <w:sz w:val="20"/>
                <w:szCs w:val="20"/>
                <w:lang w:eastAsia="zh-CN" w:bidi="hi-IN"/>
              </w:rPr>
              <w:t>12. Plan de Recuperación de Tierras Indígenas (INDER) (Tierras, Territorios y Recursos)</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p>
            <w:pPr>
              <w:pStyle w:val="Normal"/>
              <w:widowControl w:val="false"/>
              <w:suppressLineNumbers/>
              <w:suppressAutoHyphens w:val="true"/>
              <w:rPr>
                <w:rFonts w:ascii="Bookman Old Style" w:hAnsi="Bookman Old Style" w:eastAsia="NSimSun" w:cs="Bookman Old Style"/>
                <w:color w:val="000000"/>
                <w:kern w:val="2"/>
                <w:sz w:val="20"/>
                <w:szCs w:val="20"/>
                <w:lang w:eastAsia="zh-CN" w:bidi="hi-IN"/>
              </w:rPr>
            </w:pPr>
            <w:r>
              <w:rPr>
                <w:rFonts w:eastAsia="NSimSun" w:cs="Bookman Old Style" w:ascii="Bookman Old Style" w:hAnsi="Bookman Old Style"/>
                <w:color w:val="000000"/>
                <w:kern w:val="2"/>
                <w:sz w:val="20"/>
                <w:szCs w:val="20"/>
                <w:lang w:eastAsia="zh-CN" w:bidi="hi-IN"/>
              </w:rPr>
            </w:r>
          </w:p>
        </w:tc>
        <w:tc>
          <w:tcPr>
            <w:tcW w:w="3116" w:type="dxa"/>
            <w:tcBorders>
              <w:left w:val="single" w:sz="2" w:space="0" w:color="000000"/>
              <w:bottom w:val="single" w:sz="2" w:space="0" w:color="000000"/>
            </w:tcBorders>
            <w:shd w:color="auto" w:fill="auto" w:val="clear"/>
          </w:tcPr>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Un representante del INDER:</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Diana Murillo</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Gerente General de INDER</w:t>
            </w:r>
          </w:p>
          <w:p>
            <w:pPr>
              <w:pStyle w:val="Normal"/>
              <w:widowControl w:val="false"/>
              <w:suppressLineNumbers/>
              <w:suppressAutoHyphens w:val="true"/>
              <w:rPr>
                <w:rFonts w:ascii="Bookman Old Style" w:hAnsi="Bookman Old Style" w:eastAsia="NSimSun" w:cs="Bookman Old Style"/>
                <w:color w:val="000000"/>
                <w:kern w:val="2"/>
                <w:sz w:val="20"/>
                <w:szCs w:val="20"/>
                <w:lang w:eastAsia="zh-CN" w:bidi="hi-IN"/>
              </w:rPr>
            </w:pPr>
            <w:r>
              <w:rPr>
                <w:rFonts w:eastAsia="NSimSun" w:cs="Bookman Old Style" w:ascii="Bookman Old Style" w:hAnsi="Bookman Old Style"/>
                <w:color w:val="000000"/>
                <w:kern w:val="2"/>
                <w:sz w:val="20"/>
                <w:szCs w:val="20"/>
                <w:lang w:eastAsia="zh-CN" w:bidi="hi-IN"/>
              </w:rPr>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Ing. Jimmy Garita</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INDER</w:t>
            </w:r>
          </w:p>
          <w:p>
            <w:pPr>
              <w:pStyle w:val="Normal"/>
              <w:widowControl w:val="false"/>
              <w:suppressLineNumbers/>
              <w:suppressAutoHyphens w:val="true"/>
              <w:rPr>
                <w:rFonts w:ascii="Bookman Old Style" w:hAnsi="Bookman Old Style" w:eastAsia="NSimSun" w:cs="Bookman Old Style"/>
                <w:color w:val="000000"/>
                <w:kern w:val="2"/>
                <w:sz w:val="20"/>
                <w:szCs w:val="20"/>
                <w:lang w:eastAsia="zh-CN" w:bidi="hi-IN"/>
              </w:rPr>
            </w:pPr>
            <w:r>
              <w:rPr>
                <w:rFonts w:eastAsia="NSimSun" w:cs="Bookman Old Style" w:ascii="Bookman Old Style" w:hAnsi="Bookman Old Style"/>
                <w:color w:val="000000"/>
                <w:kern w:val="2"/>
                <w:sz w:val="20"/>
                <w:szCs w:val="20"/>
                <w:lang w:eastAsia="zh-CN" w:bidi="hi-IN"/>
              </w:rPr>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Ingra. Sandra Angulo Calderón</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INDER</w:t>
            </w:r>
          </w:p>
        </w:tc>
        <w:tc>
          <w:tcPr>
            <w:tcW w:w="855" w:type="dxa"/>
            <w:vMerge w:val="restart"/>
            <w:tcBorders>
              <w:left w:val="single" w:sz="2" w:space="0" w:color="000000"/>
              <w:bottom w:val="single" w:sz="2" w:space="0" w:color="000000"/>
              <w:right w:val="single" w:sz="2" w:space="0" w:color="000000"/>
            </w:tcBorders>
            <w:shd w:color="auto" w:fill="auto" w:val="clear"/>
            <w:vAlign w:val="cente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Viernes 27 de noviembre</w:t>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1257" w:type="dxa"/>
            <w:vMerge w:val="restart"/>
            <w:tcBorders>
              <w:left w:val="single" w:sz="2" w:space="0" w:color="000000"/>
              <w:bottom w:val="single" w:sz="2" w:space="0" w:color="000000"/>
            </w:tcBorders>
            <w:shd w:color="auto" w:fill="auto" w:val="clear"/>
            <w:vAlign w:val="center"/>
          </w:tcPr>
          <w:p>
            <w:pPr>
              <w:pStyle w:val="Normal"/>
              <w:widowControl w:val="false"/>
              <w:suppressLineNumbers/>
              <w:suppressAutoHyphens w:val="tru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t>Segunda</w:t>
            </w:r>
          </w:p>
        </w:tc>
        <w:tc>
          <w:tcPr>
            <w:tcW w:w="4816" w:type="dxa"/>
            <w:tcBorders>
              <w:left w:val="single" w:sz="2" w:space="0" w:color="000000"/>
              <w:bottom w:val="single" w:sz="2" w:space="0" w:color="000000"/>
            </w:tcBorders>
            <w:shd w:color="auto" w:fill="auto" w:val="clear"/>
          </w:tcPr>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b/>
                <w:bCs/>
                <w:kern w:val="2"/>
                <w:sz w:val="20"/>
                <w:szCs w:val="20"/>
                <w:lang w:eastAsia="zh-CN" w:bidi="hi-IN"/>
              </w:rPr>
              <w:t>13. Mecanismo General de Consultas sobre actos en los territorios y de importancia para las personas indígenas fuera de los territorios indígenas</w:t>
            </w:r>
            <w:r>
              <w:rPr>
                <w:rFonts w:eastAsia="NSimSun" w:cs="Bookman Old Style" w:ascii="Bookman Old Style" w:hAnsi="Bookman Old Style"/>
                <w:kern w:val="2"/>
                <w:sz w:val="20"/>
                <w:szCs w:val="20"/>
                <w:lang w:eastAsia="zh-CN" w:bidi="hi-IN"/>
              </w:rPr>
              <w:t xml:space="preserve"> (media audiencia)</w:t>
            </w:r>
          </w:p>
        </w:tc>
        <w:tc>
          <w:tcPr>
            <w:tcW w:w="3116" w:type="dxa"/>
            <w:tcBorders>
              <w:left w:val="single" w:sz="2" w:space="0" w:color="000000"/>
              <w:bottom w:val="single" w:sz="2" w:space="0" w:color="000000"/>
            </w:tcBorders>
            <w:shd w:color="auto" w:fill="auto" w:val="clear"/>
          </w:tcPr>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Franklin Paniagua, Director de DINARAC del Ministerio de Justicia</w:t>
            </w:r>
          </w:p>
        </w:tc>
        <w:tc>
          <w:tcPr>
            <w:tcW w:w="855"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r>
        <w:trPr/>
        <w:tc>
          <w:tcPr>
            <w:tcW w:w="785"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1257" w:type="dxa"/>
            <w:vMerge w:val="continue"/>
            <w:tcBorders>
              <w:left w:val="single" w:sz="2" w:space="0" w:color="000000"/>
              <w:bottom w:val="single" w:sz="2" w:space="0" w:color="000000"/>
            </w:tcBorders>
            <w:shd w:color="auto" w:fill="auto" w:val="clear"/>
            <w:vAlign w:val="center"/>
          </w:tcPr>
          <w:p>
            <w:pPr>
              <w:pStyle w:val="Normal"/>
              <w:widowControl w:val="false"/>
              <w:suppressLineNumbers/>
              <w:suppressAutoHyphens w:val="true"/>
              <w:snapToGrid w:val="false"/>
              <w:jc w:val="center"/>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c>
          <w:tcPr>
            <w:tcW w:w="4816" w:type="dxa"/>
            <w:tcBorders>
              <w:left w:val="single" w:sz="2" w:space="0" w:color="000000"/>
              <w:bottom w:val="single" w:sz="2" w:space="0" w:color="000000"/>
            </w:tcBorders>
            <w:shd w:color="auto" w:fill="auto" w:val="clear"/>
          </w:tcPr>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b/>
                <w:bCs/>
                <w:kern w:val="2"/>
                <w:sz w:val="20"/>
                <w:szCs w:val="20"/>
                <w:lang w:eastAsia="zh-CN" w:bidi="hi-IN"/>
              </w:rPr>
              <w:t xml:space="preserve">14. Modelo de construcción de Política Nacional Indígena y Mecanismo de Consulta a Pueblos Indígenas; y construcción de la Política Indígena del Poder Judicial </w:t>
            </w:r>
            <w:r>
              <w:rPr>
                <w:rFonts w:eastAsia="NSimSun" w:cs="Bookman Old Style" w:ascii="Bookman Old Style" w:hAnsi="Bookman Old Style"/>
                <w:kern w:val="2"/>
                <w:sz w:val="20"/>
                <w:szCs w:val="20"/>
                <w:lang w:eastAsia="zh-CN" w:bidi="hi-IN"/>
              </w:rPr>
              <w:t>(media audiencia)</w:t>
            </w:r>
          </w:p>
        </w:tc>
        <w:tc>
          <w:tcPr>
            <w:tcW w:w="3116" w:type="dxa"/>
            <w:tcBorders>
              <w:left w:val="single" w:sz="2" w:space="0" w:color="000000"/>
              <w:bottom w:val="single" w:sz="2" w:space="0" w:color="000000"/>
            </w:tcBorders>
            <w:shd w:color="auto" w:fill="auto" w:val="clear"/>
          </w:tcPr>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Sr. Geyner Blanco</w:t>
            </w:r>
          </w:p>
          <w:p>
            <w:pPr>
              <w:pStyle w:val="Normal"/>
              <w:widowControl w:val="false"/>
              <w:suppressLineNumbers/>
              <w:suppressAutoHyphens w:val="true"/>
              <w:rPr>
                <w:rFonts w:ascii="Bookman Old Style" w:hAnsi="Bookman Old Style" w:eastAsia="NSimSun" w:cs="Arial"/>
                <w:kern w:val="2"/>
                <w:sz w:val="20"/>
                <w:szCs w:val="20"/>
                <w:lang w:eastAsia="zh-CN" w:bidi="hi-IN"/>
              </w:rPr>
            </w:pPr>
            <w:r>
              <w:rPr>
                <w:rFonts w:eastAsia="NSimSun" w:cs="Bookman Old Style" w:ascii="Bookman Old Style" w:hAnsi="Bookman Old Style"/>
                <w:color w:val="000000"/>
                <w:kern w:val="2"/>
                <w:sz w:val="20"/>
                <w:szCs w:val="20"/>
                <w:lang w:eastAsia="zh-CN" w:bidi="hi-IN"/>
              </w:rPr>
              <w:t>Indígena Maleku Asesor de la Presidencia de la República en temas indígenas</w:t>
            </w:r>
          </w:p>
        </w:tc>
        <w:tc>
          <w:tcPr>
            <w:tcW w:w="855" w:type="dxa"/>
            <w:vMerge w:val="continue"/>
            <w:tcBorders>
              <w:left w:val="single" w:sz="2" w:space="0" w:color="000000"/>
              <w:bottom w:val="single" w:sz="2" w:space="0" w:color="000000"/>
              <w:right w:val="single" w:sz="2" w:space="0" w:color="000000"/>
            </w:tcBorders>
            <w:shd w:color="auto" w:fill="auto" w:val="clear"/>
          </w:tcPr>
          <w:p>
            <w:pPr>
              <w:pStyle w:val="Normal"/>
              <w:widowControl w:val="false"/>
              <w:suppressLineNumbers/>
              <w:suppressAutoHyphens w:val="true"/>
              <w:snapToGrid w:val="false"/>
              <w:rPr>
                <w:rFonts w:ascii="Bookman Old Style" w:hAnsi="Bookman Old Style" w:eastAsia="NSimSun" w:cs="Arial"/>
                <w:kern w:val="2"/>
                <w:sz w:val="20"/>
                <w:szCs w:val="20"/>
                <w:lang w:eastAsia="zh-CN" w:bidi="hi-IN"/>
              </w:rPr>
            </w:pPr>
            <w:r>
              <w:rPr>
                <w:rFonts w:eastAsia="NSimSun" w:cs="Arial" w:ascii="Bookman Old Style" w:hAnsi="Bookman Old Style"/>
                <w:kern w:val="2"/>
                <w:sz w:val="20"/>
                <w:szCs w:val="20"/>
                <w:lang w:eastAsia="zh-CN" w:bidi="hi-IN"/>
              </w:rPr>
            </w:r>
          </w:p>
        </w:tc>
      </w:tr>
    </w:tbl>
    <w:p>
      <w:pPr>
        <w:pStyle w:val="Normal"/>
        <w:suppressAutoHyphens w:val="true"/>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p>
      <w:pPr>
        <w:pStyle w:val="Normal"/>
        <w:suppressAutoHyphens w:val="true"/>
        <w:rPr>
          <w:rFonts w:ascii="Bookman Old Style" w:hAnsi="Bookman Old Style" w:eastAsia="NSimSun" w:cs="Arial"/>
          <w:b/>
          <w:b/>
          <w:bCs/>
          <w:kern w:val="2"/>
          <w:sz w:val="20"/>
          <w:szCs w:val="20"/>
          <w:lang w:eastAsia="zh-CN" w:bidi="hi-IN"/>
        </w:rPr>
      </w:pPr>
      <w:r>
        <w:rPr>
          <w:rFonts w:eastAsia="NSimSun" w:cs="Arial" w:ascii="Bookman Old Style" w:hAnsi="Bookman Old Style"/>
          <w:b/>
          <w:bCs/>
          <w:kern w:val="2"/>
          <w:sz w:val="20"/>
          <w:szCs w:val="20"/>
          <w:lang w:eastAsia="zh-CN" w:bidi="hi-IN"/>
        </w:rPr>
      </w:r>
    </w:p>
    <w:p>
      <w:pPr>
        <w:pStyle w:val="Normal"/>
        <w:spacing w:before="0" w:after="29"/>
        <w:ind w:right="-518" w:hanging="0"/>
        <w:jc w:val="both"/>
        <w:rPr>
          <w:rFonts w:ascii="Bookman Old Style" w:hAnsi="Bookman Old Style" w:cs="Tahoma"/>
          <w:bCs/>
          <w:sz w:val="20"/>
          <w:szCs w:val="20"/>
          <w:lang w:val="es-ES"/>
        </w:rPr>
      </w:pPr>
      <w:r>
        <w:rPr>
          <w:rFonts w:cs="Tahoma" w:ascii="Bookman Old Style" w:hAnsi="Bookman Old Style"/>
          <w:sz w:val="20"/>
          <w:szCs w:val="20"/>
        </w:rPr>
        <w:t xml:space="preserve">La propuesta remitida por la señora Flor Arroyo, en representación de la Escuela Judicial, fue comunicada por la señora Damaris Vargas Vásquez, </w:t>
      </w:r>
      <w:r>
        <w:rPr>
          <w:rFonts w:cs="Tahoma" w:ascii="Bookman Old Style" w:hAnsi="Bookman Old Style"/>
          <w:bCs/>
          <w:sz w:val="20"/>
          <w:szCs w:val="20"/>
          <w:lang w:val="es-ES"/>
        </w:rPr>
        <w:t xml:space="preserve">Coordinadora Subcomisión Acceso a la Justicia de Pueblos Indígenas, a todas las personas integrantes del Comité de Capacitación de la Subcomisión, para su conocimiento. </w:t>
      </w:r>
    </w:p>
    <w:p>
      <w:pPr>
        <w:pStyle w:val="Normal"/>
        <w:spacing w:before="0" w:after="29"/>
        <w:ind w:right="-518" w:hanging="0"/>
        <w:jc w:val="both"/>
        <w:rPr>
          <w:rFonts w:ascii="Bookman Old Style" w:hAnsi="Bookman Old Style" w:cs="Tahoma"/>
          <w:bCs/>
          <w:sz w:val="20"/>
          <w:szCs w:val="20"/>
          <w:lang w:val="es-ES"/>
        </w:rPr>
      </w:pPr>
      <w:r>
        <w:rPr>
          <w:rFonts w:cs="Tahoma" w:ascii="Bookman Old Style" w:hAnsi="Bookman Old Style"/>
          <w:bCs/>
          <w:sz w:val="20"/>
          <w:szCs w:val="20"/>
          <w:lang w:val="es-ES"/>
        </w:rPr>
      </w:r>
    </w:p>
    <w:p>
      <w:pPr>
        <w:pStyle w:val="Normal"/>
        <w:spacing w:before="0" w:after="29"/>
        <w:ind w:right="-518" w:hanging="0"/>
        <w:jc w:val="both"/>
        <w:rPr>
          <w:rFonts w:ascii="Bookman Old Style" w:hAnsi="Bookman Old Style" w:cs="Calibri"/>
          <w:color w:val="201F1E"/>
          <w:sz w:val="20"/>
          <w:szCs w:val="20"/>
        </w:rPr>
      </w:pPr>
      <w:r>
        <w:rPr>
          <w:rFonts w:cs="Tahoma" w:ascii="Bookman Old Style" w:hAnsi="Bookman Old Style"/>
          <w:bCs/>
          <w:sz w:val="20"/>
          <w:szCs w:val="20"/>
          <w:lang w:val="es-ES"/>
        </w:rPr>
        <w:t xml:space="preserve">Se programó una sesión de trabajo para el análisis de la propuesta en la que participaron la mayoría de las personas integrantes del Comité de Capacitación, encontrándose pendiente finiquitar la propuesta para poder someterla a conocimiento y eventual aprobación del pleno de la Subcomisión. Se atendieron propuestas concretas de las siguientes personas: Ligia Jiménez, Jean Carlo Monge, Cheryl Bolaños, Melissa Benavides, Wilbert Kidd, Flor Arroyo, Marisol Barboza Rodríguez, entre otras. La minuta de la sesión fue puesta en conocimiento de las personas que no pudieron asistir a la sesión para que emitan sus aportes y se cursó invitación a participar al Organismo de Investigación Judicial, la DNJR y el Departamento de Trabajo Social y Psicología. </w:t>
      </w:r>
      <w:r>
        <w:rPr>
          <w:rFonts w:cs="Tahoma" w:ascii="Bookman Old Style" w:hAnsi="Bookman Old Style"/>
          <w:sz w:val="20"/>
          <w:szCs w:val="20"/>
        </w:rPr>
        <w:t xml:space="preserve">La señora Damaris Vargas Vásquez, </w:t>
      </w:r>
      <w:r>
        <w:rPr>
          <w:rFonts w:cs="Tahoma" w:ascii="Bookman Old Style" w:hAnsi="Bookman Old Style"/>
          <w:bCs/>
          <w:sz w:val="20"/>
          <w:szCs w:val="20"/>
          <w:lang w:val="es-ES"/>
        </w:rPr>
        <w:t>Coordinadora Subcomisión Acceso a la Justicia de Pueblos Indígenas</w:t>
      </w:r>
      <w:r>
        <w:rPr>
          <w:rFonts w:cs="Tahoma" w:ascii="Bookman Old Style" w:hAnsi="Bookman Old Style"/>
          <w:sz w:val="20"/>
          <w:szCs w:val="20"/>
        </w:rPr>
        <w:t xml:space="preserve"> solicitó a las personas integrantes del Comité de Capacitación y a la Escuela Judicial mediante correo electrónico de data 23 de abril de 2020, </w:t>
      </w:r>
      <w:r>
        <w:rPr>
          <w:rFonts w:cs="Calibri" w:ascii="Bookman Old Style" w:hAnsi="Bookman Old Style"/>
          <w:color w:val="201F1E"/>
          <w:sz w:val="20"/>
          <w:szCs w:val="20"/>
        </w:rPr>
        <w:t>se cumplan los lineamientos dados por Corte Plena en la Circular 188-19 en lo referido a la parte de capacitación; y lo acordado por la Subcomisión de Acceso a la Justicia de Pueblos Indígenas, el pasado 3 de abril, mediante Acta 04-2020, Artículo XIV, comunicado por la Unidad de Acceso a la Justicia mediante Oficio CACC-148-2020.</w:t>
      </w:r>
    </w:p>
    <w:p>
      <w:pPr>
        <w:pStyle w:val="Normal"/>
        <w:rPr>
          <w:rFonts w:ascii="Bookman Old Style" w:hAnsi="Bookman Old Style"/>
          <w:b/>
          <w:b/>
          <w:bCs/>
          <w:sz w:val="20"/>
          <w:szCs w:val="20"/>
        </w:rPr>
      </w:pPr>
      <w:r>
        <w:rPr>
          <w:rFonts w:ascii="Bookman Old Style" w:hAnsi="Bookman Old Style"/>
          <w:b/>
          <w:bCs/>
          <w:sz w:val="20"/>
          <w:szCs w:val="20"/>
        </w:rPr>
      </w:r>
    </w:p>
    <w:p>
      <w:pPr>
        <w:pStyle w:val="Normal"/>
        <w:spacing w:before="0" w:after="29"/>
        <w:ind w:right="-518" w:hanging="0"/>
        <w:jc w:val="center"/>
        <w:rPr>
          <w:rFonts w:ascii="Bookman Old Style" w:hAnsi="Bookman Old Style" w:cs="Tahoma"/>
          <w:sz w:val="20"/>
          <w:szCs w:val="20"/>
        </w:rPr>
      </w:pPr>
      <w:r>
        <w:rPr>
          <w:rFonts w:cs="Tahoma" w:ascii="Bookman Old Style" w:hAnsi="Bookman Old Style"/>
          <w:sz w:val="20"/>
          <w:szCs w:val="20"/>
        </w:rPr>
        <w:t>-0-</w:t>
      </w:r>
    </w:p>
    <w:p>
      <w:pPr>
        <w:pStyle w:val="Normal"/>
        <w:spacing w:before="0" w:after="29"/>
        <w:ind w:right="-518" w:hanging="0"/>
        <w:jc w:val="center"/>
        <w:rPr>
          <w:rFonts w:ascii="Bookman Old Style" w:hAnsi="Bookman Old Style" w:cs="Tahoma"/>
          <w:sz w:val="20"/>
          <w:szCs w:val="20"/>
        </w:rPr>
      </w:pPr>
      <w:r>
        <w:rPr>
          <w:rFonts w:cs="Tahoma" w:ascii="Bookman Old Style" w:hAnsi="Bookman Old Style"/>
          <w:sz w:val="20"/>
          <w:szCs w:val="20"/>
        </w:rPr>
      </w:r>
    </w:p>
    <w:p>
      <w:pPr>
        <w:pStyle w:val="Normal"/>
        <w:jc w:val="both"/>
        <w:rPr>
          <w:rFonts w:ascii="Bookman Old Style" w:hAnsi="Bookman Old Style" w:cs="Tahoma"/>
          <w:bCs/>
          <w:iCs/>
          <w:sz w:val="20"/>
          <w:szCs w:val="20"/>
        </w:rPr>
      </w:pPr>
      <w:r>
        <w:rPr>
          <w:rFonts w:cs="Tahoma" w:ascii="Bookman Old Style" w:hAnsi="Bookman Old Style"/>
          <w:bCs/>
          <w:iCs/>
          <w:sz w:val="20"/>
          <w:szCs w:val="20"/>
        </w:rPr>
        <w:t>La Máster Melissa Benavidez Víquez, Coordinara de la Unidad de Acceso a la Justicia, en correo electrónico del 23 de abril de 2020, remitió a los integrantes del Comité de Capacitación de la Subcomisión de Acceso a la Justicia de Pueblos Indígenas, el oficio CACC-148-2020.</w:t>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rPr>
          <w:rFonts w:ascii="Bookman Old Style" w:hAnsi="Bookman Old Style" w:cs="Calibri"/>
          <w:color w:val="201F1E"/>
          <w:sz w:val="20"/>
          <w:szCs w:val="20"/>
        </w:rPr>
      </w:pPr>
      <w:r>
        <w:rPr>
          <w:rFonts w:cs="Calibri" w:ascii="Bookman Old Style" w:hAnsi="Bookman Old Style"/>
          <w:b/>
          <w:bCs/>
          <w:color w:val="000000"/>
          <w:sz w:val="20"/>
          <w:szCs w:val="20"/>
        </w:rPr>
        <w:t>De:</w:t>
      </w:r>
      <w:r>
        <w:rPr>
          <w:rFonts w:cs="Calibri" w:ascii="Bookman Old Style" w:hAnsi="Bookman Old Style"/>
          <w:color w:val="000000"/>
          <w:sz w:val="20"/>
          <w:szCs w:val="20"/>
        </w:rPr>
        <w:t xml:space="preserve"> Katherine Salazar Duarte &lt;</w:t>
      </w:r>
      <w:hyperlink r:id="rId63" w:tgtFrame="_blank">
        <w:r>
          <w:rPr>
            <w:rFonts w:cs="Calibri" w:ascii="Bookman Old Style" w:hAnsi="Bookman Old Style"/>
            <w:color w:val="0563C1"/>
            <w:sz w:val="20"/>
            <w:szCs w:val="20"/>
            <w:u w:val="single"/>
          </w:rPr>
          <w:t>ksalazard@Poder-Judicial.go.cr</w:t>
        </w:r>
      </w:hyperlink>
      <w:r>
        <w:rPr>
          <w:rFonts w:cs="Calibri" w:ascii="Bookman Old Style" w:hAnsi="Bookman Old Style"/>
          <w:color w:val="000000"/>
          <w:sz w:val="20"/>
          <w:szCs w:val="20"/>
        </w:rPr>
        <w:t>&gt;</w:t>
        <w:br/>
      </w:r>
      <w:r>
        <w:rPr>
          <w:rFonts w:cs="Calibri" w:ascii="Bookman Old Style" w:hAnsi="Bookman Old Style"/>
          <w:b/>
          <w:bCs/>
          <w:color w:val="000000"/>
          <w:sz w:val="20"/>
          <w:szCs w:val="20"/>
        </w:rPr>
        <w:t>Enviado:</w:t>
      </w:r>
      <w:r>
        <w:rPr>
          <w:rFonts w:cs="Calibri" w:ascii="Bookman Old Style" w:hAnsi="Bookman Old Style"/>
          <w:color w:val="000000"/>
          <w:sz w:val="20"/>
          <w:szCs w:val="20"/>
        </w:rPr>
        <w:t xml:space="preserve"> jueves, 23 de abril de 2020 18:08</w:t>
        <w:br/>
      </w:r>
      <w:r>
        <w:rPr>
          <w:rFonts w:cs="Calibri" w:ascii="Bookman Old Style" w:hAnsi="Bookman Old Style"/>
          <w:b/>
          <w:bCs/>
          <w:color w:val="000000"/>
          <w:sz w:val="20"/>
          <w:szCs w:val="20"/>
        </w:rPr>
        <w:t>Para:</w:t>
      </w:r>
      <w:r>
        <w:rPr>
          <w:rFonts w:cs="Calibri" w:ascii="Bookman Old Style" w:hAnsi="Bookman Old Style"/>
          <w:color w:val="000000"/>
          <w:sz w:val="20"/>
          <w:szCs w:val="20"/>
        </w:rPr>
        <w:t xml:space="preserve"> </w:t>
      </w:r>
      <w:hyperlink r:id="rId64" w:tgtFrame="_blank">
        <w:r>
          <w:rPr>
            <w:rFonts w:cs="Calibri" w:ascii="Bookman Old Style" w:hAnsi="Bookman Old Style"/>
            <w:color w:val="0563C1"/>
            <w:sz w:val="20"/>
            <w:szCs w:val="20"/>
            <w:u w:val="single"/>
          </w:rPr>
          <w:t>fpaniagua@mj.go.cr</w:t>
        </w:r>
      </w:hyperlink>
      <w:r>
        <w:rPr>
          <w:rFonts w:cs="Calibri" w:ascii="Bookman Old Style" w:hAnsi="Bookman Old Style"/>
          <w:color w:val="000000"/>
          <w:sz w:val="20"/>
          <w:szCs w:val="20"/>
        </w:rPr>
        <w:t xml:space="preserve"> &lt;</w:t>
      </w:r>
      <w:hyperlink r:id="rId65" w:tgtFrame="_blank">
        <w:r>
          <w:rPr>
            <w:rFonts w:cs="Calibri" w:ascii="Bookman Old Style" w:hAnsi="Bookman Old Style"/>
            <w:color w:val="0563C1"/>
            <w:sz w:val="20"/>
            <w:szCs w:val="20"/>
            <w:u w:val="single"/>
          </w:rPr>
          <w:t>fpaniagua@mj.go.cr</w:t>
        </w:r>
      </w:hyperlink>
      <w:r>
        <w:rPr>
          <w:rFonts w:cs="Calibri" w:ascii="Bookman Old Style" w:hAnsi="Bookman Old Style"/>
          <w:color w:val="000000"/>
          <w:sz w:val="20"/>
          <w:szCs w:val="20"/>
        </w:rPr>
        <w:t xml:space="preserve">&gt;; </w:t>
      </w:r>
      <w:hyperlink r:id="rId66" w:tgtFrame="_blank">
        <w:r>
          <w:rPr>
            <w:rFonts w:cs="Calibri" w:ascii="Bookman Old Style" w:hAnsi="Bookman Old Style"/>
            <w:color w:val="0563C1"/>
            <w:sz w:val="20"/>
            <w:szCs w:val="20"/>
            <w:u w:val="single"/>
          </w:rPr>
          <w:t>kpiedrac@mj.go.cr</w:t>
        </w:r>
      </w:hyperlink>
      <w:r>
        <w:rPr>
          <w:rFonts w:cs="Calibri" w:ascii="Bookman Old Style" w:hAnsi="Bookman Old Style"/>
          <w:color w:val="000000"/>
          <w:sz w:val="20"/>
          <w:szCs w:val="20"/>
        </w:rPr>
        <w:t xml:space="preserve"> &lt;</w:t>
      </w:r>
      <w:hyperlink r:id="rId67" w:tgtFrame="_blank">
        <w:r>
          <w:rPr>
            <w:rFonts w:cs="Calibri" w:ascii="Bookman Old Style" w:hAnsi="Bookman Old Style"/>
            <w:color w:val="0563C1"/>
            <w:sz w:val="20"/>
            <w:szCs w:val="20"/>
            <w:u w:val="single"/>
          </w:rPr>
          <w:t>kpiedrac@mj.go.cr</w:t>
        </w:r>
      </w:hyperlink>
      <w:r>
        <w:rPr>
          <w:rFonts w:cs="Calibri" w:ascii="Bookman Old Style" w:hAnsi="Bookman Old Style"/>
          <w:color w:val="000000"/>
          <w:sz w:val="20"/>
          <w:szCs w:val="20"/>
        </w:rPr>
        <w:t>&gt;; Wilbert Kidd Alvarado &lt;</w:t>
      </w:r>
      <w:hyperlink r:id="rId68" w:tgtFrame="_blank">
        <w:r>
          <w:rPr>
            <w:rFonts w:cs="Calibri" w:ascii="Bookman Old Style" w:hAnsi="Bookman Old Style"/>
            <w:color w:val="0563C1"/>
            <w:sz w:val="20"/>
            <w:szCs w:val="20"/>
            <w:u w:val="single"/>
          </w:rPr>
          <w:t>wkidd@Poder-Judicial.go.cr</w:t>
        </w:r>
      </w:hyperlink>
      <w:r>
        <w:rPr>
          <w:rFonts w:cs="Calibri" w:ascii="Bookman Old Style" w:hAnsi="Bookman Old Style"/>
          <w:color w:val="000000"/>
          <w:sz w:val="20"/>
          <w:szCs w:val="20"/>
        </w:rPr>
        <w:t>&gt;; Miguel Ovares Chavarría &lt;</w:t>
      </w:r>
      <w:hyperlink r:id="rId69" w:tgtFrame="_blank">
        <w:r>
          <w:rPr>
            <w:rFonts w:cs="Calibri" w:ascii="Bookman Old Style" w:hAnsi="Bookman Old Style"/>
            <w:color w:val="0563C1"/>
            <w:sz w:val="20"/>
            <w:szCs w:val="20"/>
            <w:u w:val="single"/>
          </w:rPr>
          <w:t>movares@Poder-Judicial.go.cr</w:t>
        </w:r>
      </w:hyperlink>
      <w:r>
        <w:rPr>
          <w:rFonts w:cs="Calibri" w:ascii="Bookman Old Style" w:hAnsi="Bookman Old Style"/>
          <w:color w:val="000000"/>
          <w:sz w:val="20"/>
          <w:szCs w:val="20"/>
        </w:rPr>
        <w:t>&gt;; Roman Bresciani Quirós &lt;</w:t>
      </w:r>
      <w:hyperlink r:id="rId70" w:tgtFrame="_blank">
        <w:r>
          <w:rPr>
            <w:rFonts w:cs="Calibri" w:ascii="Bookman Old Style" w:hAnsi="Bookman Old Style"/>
            <w:color w:val="0563C1"/>
            <w:sz w:val="20"/>
            <w:szCs w:val="20"/>
            <w:u w:val="single"/>
          </w:rPr>
          <w:t>rbresciani@Poder-Judicial.go.cr</w:t>
        </w:r>
      </w:hyperlink>
      <w:r>
        <w:rPr>
          <w:rFonts w:cs="Calibri" w:ascii="Bookman Old Style" w:hAnsi="Bookman Old Style"/>
          <w:color w:val="000000"/>
          <w:sz w:val="20"/>
          <w:szCs w:val="20"/>
        </w:rPr>
        <w:t>&gt;; Francia Leon Gonzalez &lt;</w:t>
      </w:r>
      <w:hyperlink r:id="rId71" w:tgtFrame="_blank">
        <w:r>
          <w:rPr>
            <w:rFonts w:cs="Calibri" w:ascii="Bookman Old Style" w:hAnsi="Bookman Old Style"/>
            <w:color w:val="0563C1"/>
            <w:sz w:val="20"/>
            <w:szCs w:val="20"/>
            <w:u w:val="single"/>
          </w:rPr>
          <w:t>fleong@poder-judicial.go.cr</w:t>
        </w:r>
      </w:hyperlink>
      <w:r>
        <w:rPr>
          <w:rFonts w:cs="Calibri" w:ascii="Bookman Old Style" w:hAnsi="Bookman Old Style"/>
          <w:color w:val="000000"/>
          <w:sz w:val="20"/>
          <w:szCs w:val="20"/>
        </w:rPr>
        <w:t>&gt;; Daniel Villalobos Araya &lt;</w:t>
      </w:r>
      <w:hyperlink r:id="rId72" w:tgtFrame="_blank">
        <w:r>
          <w:rPr>
            <w:rFonts w:cs="Calibri" w:ascii="Bookman Old Style" w:hAnsi="Bookman Old Style"/>
            <w:color w:val="0563C1"/>
            <w:sz w:val="20"/>
            <w:szCs w:val="20"/>
            <w:u w:val="single"/>
          </w:rPr>
          <w:t>dvillalobosa@Poder-Judicial.go.cr</w:t>
        </w:r>
      </w:hyperlink>
      <w:r>
        <w:rPr>
          <w:rFonts w:cs="Calibri" w:ascii="Bookman Old Style" w:hAnsi="Bookman Old Style"/>
          <w:color w:val="000000"/>
          <w:sz w:val="20"/>
          <w:szCs w:val="20"/>
        </w:rPr>
        <w:t>&gt;; Vivian Rímola Soto &lt;</w:t>
      </w:r>
      <w:hyperlink r:id="rId73" w:tgtFrame="_blank">
        <w:r>
          <w:rPr>
            <w:rFonts w:cs="Calibri" w:ascii="Bookman Old Style" w:hAnsi="Bookman Old Style"/>
            <w:color w:val="0563C1"/>
            <w:sz w:val="20"/>
            <w:szCs w:val="20"/>
            <w:u w:val="single"/>
          </w:rPr>
          <w:t>vrimola@Poder-Judicial.go.cr</w:t>
        </w:r>
      </w:hyperlink>
      <w:r>
        <w:rPr>
          <w:rFonts w:cs="Calibri" w:ascii="Bookman Old Style" w:hAnsi="Bookman Old Style"/>
          <w:color w:val="000000"/>
          <w:sz w:val="20"/>
          <w:szCs w:val="20"/>
        </w:rPr>
        <w:t>&gt;; Dixon Li Morales &lt;</w:t>
      </w:r>
      <w:hyperlink r:id="rId74" w:tgtFrame="_blank">
        <w:r>
          <w:rPr>
            <w:rFonts w:cs="Calibri" w:ascii="Bookman Old Style" w:hAnsi="Bookman Old Style"/>
            <w:color w:val="0563C1"/>
            <w:sz w:val="20"/>
            <w:szCs w:val="20"/>
            <w:u w:val="single"/>
          </w:rPr>
          <w:t>dlim@Poder-Judicial.go.cr</w:t>
        </w:r>
      </w:hyperlink>
      <w:r>
        <w:rPr>
          <w:rFonts w:cs="Calibri" w:ascii="Bookman Old Style" w:hAnsi="Bookman Old Style"/>
          <w:color w:val="000000"/>
          <w:sz w:val="20"/>
          <w:szCs w:val="20"/>
        </w:rPr>
        <w:t>&gt;; Jeannette Durán Alemán &lt;</w:t>
      </w:r>
      <w:hyperlink r:id="rId75" w:tgtFrame="_blank">
        <w:r>
          <w:rPr>
            <w:rFonts w:cs="Calibri" w:ascii="Bookman Old Style" w:hAnsi="Bookman Old Style"/>
            <w:color w:val="0563C1"/>
            <w:sz w:val="20"/>
            <w:szCs w:val="20"/>
            <w:u w:val="single"/>
          </w:rPr>
          <w:t>jduranal@Poder-Judicial.go.cr</w:t>
        </w:r>
      </w:hyperlink>
      <w:r>
        <w:rPr>
          <w:rFonts w:cs="Calibri" w:ascii="Bookman Old Style" w:hAnsi="Bookman Old Style"/>
          <w:color w:val="000000"/>
          <w:sz w:val="20"/>
          <w:szCs w:val="20"/>
        </w:rPr>
        <w:t>&gt;; Roberth García González &lt;</w:t>
      </w:r>
      <w:hyperlink r:id="rId76" w:tgtFrame="_blank">
        <w:r>
          <w:rPr>
            <w:rFonts w:cs="Calibri" w:ascii="Bookman Old Style" w:hAnsi="Bookman Old Style"/>
            <w:color w:val="0563C1"/>
            <w:sz w:val="20"/>
            <w:szCs w:val="20"/>
            <w:u w:val="single"/>
          </w:rPr>
          <w:t>rgarciag@Poder-Judicial.go.cr</w:t>
        </w:r>
      </w:hyperlink>
      <w:r>
        <w:rPr>
          <w:rFonts w:cs="Calibri" w:ascii="Bookman Old Style" w:hAnsi="Bookman Old Style"/>
          <w:color w:val="000000"/>
          <w:sz w:val="20"/>
          <w:szCs w:val="20"/>
        </w:rPr>
        <w:t>&gt;; Jeremy Eduarte Aleman &lt;</w:t>
      </w:r>
      <w:hyperlink r:id="rId77" w:tgtFrame="_blank">
        <w:r>
          <w:rPr>
            <w:rFonts w:cs="Calibri" w:ascii="Bookman Old Style" w:hAnsi="Bookman Old Style"/>
            <w:color w:val="0563C1"/>
            <w:sz w:val="20"/>
            <w:szCs w:val="20"/>
            <w:u w:val="single"/>
          </w:rPr>
          <w:t>jeduarte@Poder-Judicial.go.cr</w:t>
        </w:r>
      </w:hyperlink>
      <w:r>
        <w:rPr>
          <w:rFonts w:cs="Calibri" w:ascii="Bookman Old Style" w:hAnsi="Bookman Old Style"/>
          <w:color w:val="000000"/>
          <w:sz w:val="20"/>
          <w:szCs w:val="20"/>
        </w:rPr>
        <w:t xml:space="preserve">&gt;; </w:t>
      </w:r>
      <w:hyperlink r:id="rId78" w:tgtFrame="_blank">
        <w:r>
          <w:rPr>
            <w:rFonts w:cs="Calibri" w:ascii="Bookman Old Style" w:hAnsi="Bookman Old Style"/>
            <w:color w:val="0563C1"/>
            <w:sz w:val="20"/>
            <w:szCs w:val="20"/>
            <w:u w:val="single"/>
          </w:rPr>
          <w:t>william.vega@one.un.org</w:t>
        </w:r>
      </w:hyperlink>
      <w:r>
        <w:rPr>
          <w:rFonts w:cs="Calibri" w:ascii="Bookman Old Style" w:hAnsi="Bookman Old Style"/>
          <w:color w:val="000000"/>
          <w:sz w:val="20"/>
          <w:szCs w:val="20"/>
        </w:rPr>
        <w:t xml:space="preserve"> &lt;</w:t>
      </w:r>
      <w:hyperlink r:id="rId79" w:tgtFrame="_blank">
        <w:r>
          <w:rPr>
            <w:rFonts w:cs="Calibri" w:ascii="Bookman Old Style" w:hAnsi="Bookman Old Style"/>
            <w:color w:val="0563C1"/>
            <w:sz w:val="20"/>
            <w:szCs w:val="20"/>
            <w:u w:val="single"/>
          </w:rPr>
          <w:t>william.vega@one.un.org</w:t>
        </w:r>
      </w:hyperlink>
      <w:r>
        <w:rPr>
          <w:rFonts w:cs="Calibri" w:ascii="Bookman Old Style" w:hAnsi="Bookman Old Style"/>
          <w:color w:val="000000"/>
          <w:sz w:val="20"/>
          <w:szCs w:val="20"/>
        </w:rPr>
        <w:t>&gt;; Cristian Alberto Martínez Hernández &lt;</w:t>
      </w:r>
      <w:hyperlink r:id="rId80" w:tgtFrame="_blank">
        <w:r>
          <w:rPr>
            <w:rFonts w:cs="Calibri" w:ascii="Bookman Old Style" w:hAnsi="Bookman Old Style"/>
            <w:color w:val="0563C1"/>
            <w:sz w:val="20"/>
            <w:szCs w:val="20"/>
            <w:u w:val="single"/>
          </w:rPr>
          <w:t>cmartinezh@Poder-Judicial.go.cr</w:t>
        </w:r>
      </w:hyperlink>
      <w:r>
        <w:rPr>
          <w:rFonts w:cs="Calibri" w:ascii="Bookman Old Style" w:hAnsi="Bookman Old Style"/>
          <w:color w:val="000000"/>
          <w:sz w:val="20"/>
          <w:szCs w:val="20"/>
        </w:rPr>
        <w:t>&gt;; Rocío Rivera Cascante &lt;</w:t>
      </w:r>
      <w:hyperlink r:id="rId81" w:tgtFrame="_blank">
        <w:r>
          <w:rPr>
            <w:rFonts w:cs="Calibri" w:ascii="Bookman Old Style" w:hAnsi="Bookman Old Style"/>
            <w:color w:val="0563C1"/>
            <w:sz w:val="20"/>
            <w:szCs w:val="20"/>
            <w:u w:val="single"/>
          </w:rPr>
          <w:t>rriveraca@Poder-Judicial.go.cr</w:t>
        </w:r>
      </w:hyperlink>
      <w:r>
        <w:rPr>
          <w:rFonts w:cs="Calibri" w:ascii="Bookman Old Style" w:hAnsi="Bookman Old Style"/>
          <w:color w:val="000000"/>
          <w:sz w:val="20"/>
          <w:szCs w:val="20"/>
        </w:rPr>
        <w:t>&gt;; Patricia Bonilla Rodríguez &lt;</w:t>
      </w:r>
      <w:hyperlink r:id="rId82" w:tgtFrame="_blank">
        <w:r>
          <w:rPr>
            <w:rFonts w:cs="Calibri" w:ascii="Bookman Old Style" w:hAnsi="Bookman Old Style"/>
            <w:color w:val="0563C1"/>
            <w:sz w:val="20"/>
            <w:szCs w:val="20"/>
            <w:u w:val="single"/>
          </w:rPr>
          <w:t>pbonilla@Poder-Judicial.go.cr</w:t>
        </w:r>
      </w:hyperlink>
      <w:r>
        <w:rPr>
          <w:rFonts w:cs="Calibri" w:ascii="Bookman Old Style" w:hAnsi="Bookman Old Style"/>
          <w:color w:val="000000"/>
          <w:sz w:val="20"/>
          <w:szCs w:val="20"/>
        </w:rPr>
        <w:t>&gt;; Roxana Arrieta Meléndez &lt;</w:t>
      </w:r>
      <w:hyperlink r:id="rId83" w:tgtFrame="_blank">
        <w:r>
          <w:rPr>
            <w:rFonts w:cs="Calibri" w:ascii="Bookman Old Style" w:hAnsi="Bookman Old Style"/>
            <w:color w:val="0563C1"/>
            <w:sz w:val="20"/>
            <w:szCs w:val="20"/>
            <w:u w:val="single"/>
          </w:rPr>
          <w:t>rarrieta@Poder-Judicial.go.cr</w:t>
        </w:r>
      </w:hyperlink>
      <w:r>
        <w:rPr>
          <w:rFonts w:cs="Calibri" w:ascii="Bookman Old Style" w:hAnsi="Bookman Old Style"/>
          <w:color w:val="000000"/>
          <w:sz w:val="20"/>
          <w:szCs w:val="20"/>
        </w:rPr>
        <w:t>&gt;; Alex Guevara Meza &lt;</w:t>
      </w:r>
      <w:hyperlink r:id="rId84" w:tgtFrame="_blank">
        <w:r>
          <w:rPr>
            <w:rFonts w:cs="Calibri" w:ascii="Bookman Old Style" w:hAnsi="Bookman Old Style"/>
            <w:color w:val="0563C1"/>
            <w:sz w:val="20"/>
            <w:szCs w:val="20"/>
            <w:u w:val="single"/>
          </w:rPr>
          <w:t>aguevarame@Poder-Judicial.go.cr</w:t>
        </w:r>
      </w:hyperlink>
      <w:r>
        <w:rPr>
          <w:rFonts w:cs="Calibri" w:ascii="Bookman Old Style" w:hAnsi="Bookman Old Style"/>
          <w:color w:val="000000"/>
          <w:sz w:val="20"/>
          <w:szCs w:val="20"/>
        </w:rPr>
        <w:t xml:space="preserve">&gt;; </w:t>
      </w:r>
      <w:hyperlink r:id="rId85" w:tgtFrame="_blank">
        <w:r>
          <w:rPr>
            <w:rFonts w:cs="Calibri" w:ascii="Bookman Old Style" w:hAnsi="Bookman Old Style"/>
            <w:color w:val="0563C1"/>
            <w:sz w:val="20"/>
            <w:szCs w:val="20"/>
            <w:u w:val="single"/>
          </w:rPr>
          <w:t>cescotofer@gmail.com</w:t>
        </w:r>
      </w:hyperlink>
      <w:r>
        <w:rPr>
          <w:rFonts w:cs="Calibri" w:ascii="Bookman Old Style" w:hAnsi="Bookman Old Style"/>
          <w:color w:val="000000"/>
          <w:sz w:val="20"/>
          <w:szCs w:val="20"/>
        </w:rPr>
        <w:t xml:space="preserve"> &lt;</w:t>
      </w:r>
      <w:hyperlink r:id="rId86" w:tgtFrame="_blank">
        <w:r>
          <w:rPr>
            <w:rFonts w:cs="Calibri" w:ascii="Bookman Old Style" w:hAnsi="Bookman Old Style"/>
            <w:color w:val="0563C1"/>
            <w:sz w:val="20"/>
            <w:szCs w:val="20"/>
            <w:u w:val="single"/>
          </w:rPr>
          <w:t>cescotofer@gmail.com</w:t>
        </w:r>
      </w:hyperlink>
      <w:r>
        <w:rPr>
          <w:rFonts w:cs="Calibri" w:ascii="Bookman Old Style" w:hAnsi="Bookman Old Style"/>
          <w:color w:val="000000"/>
          <w:sz w:val="20"/>
          <w:szCs w:val="20"/>
        </w:rPr>
        <w:t>&gt;; Tattiana Garcia Chaves &lt;</w:t>
      </w:r>
      <w:hyperlink r:id="rId87" w:tgtFrame="_blank">
        <w:r>
          <w:rPr>
            <w:rFonts w:cs="Calibri" w:ascii="Bookman Old Style" w:hAnsi="Bookman Old Style"/>
            <w:color w:val="0563C1"/>
            <w:sz w:val="20"/>
            <w:szCs w:val="20"/>
            <w:u w:val="single"/>
          </w:rPr>
          <w:t>tgarciach@Poder-Judicial.go.cr</w:t>
        </w:r>
      </w:hyperlink>
      <w:r>
        <w:rPr>
          <w:rFonts w:cs="Calibri" w:ascii="Bookman Old Style" w:hAnsi="Bookman Old Style"/>
          <w:color w:val="000000"/>
          <w:sz w:val="20"/>
          <w:szCs w:val="20"/>
        </w:rPr>
        <w:t>&gt;; Ariana Céspedes López &lt;</w:t>
      </w:r>
      <w:hyperlink r:id="rId88" w:tgtFrame="_blank">
        <w:r>
          <w:rPr>
            <w:rFonts w:cs="Calibri" w:ascii="Bookman Old Style" w:hAnsi="Bookman Old Style"/>
            <w:color w:val="0563C1"/>
            <w:sz w:val="20"/>
            <w:szCs w:val="20"/>
            <w:u w:val="single"/>
          </w:rPr>
          <w:t>acespedesl@Poder-Judicial.go.cr</w:t>
        </w:r>
      </w:hyperlink>
      <w:r>
        <w:rPr>
          <w:rFonts w:cs="Calibri" w:ascii="Bookman Old Style" w:hAnsi="Bookman Old Style"/>
          <w:color w:val="000000"/>
          <w:sz w:val="20"/>
          <w:szCs w:val="20"/>
        </w:rPr>
        <w:t xml:space="preserve">&gt;; </w:t>
      </w:r>
      <w:hyperlink r:id="rId89" w:tgtFrame="_blank">
        <w:r>
          <w:rPr>
            <w:rFonts w:cs="Calibri" w:ascii="Bookman Old Style" w:hAnsi="Bookman Old Style"/>
            <w:color w:val="0563C1"/>
            <w:sz w:val="20"/>
            <w:szCs w:val="20"/>
            <w:u w:val="single"/>
          </w:rPr>
          <w:t>ali.garcia@ucr.ac.cr</w:t>
        </w:r>
      </w:hyperlink>
      <w:r>
        <w:rPr>
          <w:rFonts w:cs="Calibri" w:ascii="Bookman Old Style" w:hAnsi="Bookman Old Style"/>
          <w:color w:val="000000"/>
          <w:sz w:val="20"/>
          <w:szCs w:val="20"/>
        </w:rPr>
        <w:t xml:space="preserve"> &lt;</w:t>
      </w:r>
      <w:hyperlink r:id="rId90" w:tgtFrame="_blank">
        <w:r>
          <w:rPr>
            <w:rFonts w:cs="Calibri" w:ascii="Bookman Old Style" w:hAnsi="Bookman Old Style"/>
            <w:color w:val="0563C1"/>
            <w:sz w:val="20"/>
            <w:szCs w:val="20"/>
            <w:u w:val="single"/>
          </w:rPr>
          <w:t>ali.garcia@ucr.ac.cr</w:t>
        </w:r>
      </w:hyperlink>
      <w:r>
        <w:rPr>
          <w:rFonts w:cs="Calibri" w:ascii="Bookman Old Style" w:hAnsi="Bookman Old Style"/>
          <w:color w:val="000000"/>
          <w:sz w:val="20"/>
          <w:szCs w:val="20"/>
        </w:rPr>
        <w:t>&gt;; Alba Gutiérrez Villalobos &lt;</w:t>
      </w:r>
      <w:hyperlink r:id="rId91" w:tgtFrame="_blank">
        <w:r>
          <w:rPr>
            <w:rFonts w:cs="Calibri" w:ascii="Bookman Old Style" w:hAnsi="Bookman Old Style"/>
            <w:color w:val="0563C1"/>
            <w:sz w:val="20"/>
            <w:szCs w:val="20"/>
            <w:u w:val="single"/>
          </w:rPr>
          <w:t>agutierrezv@poder-judicial.go.cr</w:t>
        </w:r>
      </w:hyperlink>
      <w:r>
        <w:rPr>
          <w:rFonts w:cs="Calibri" w:ascii="Bookman Old Style" w:hAnsi="Bookman Old Style"/>
          <w:color w:val="000000"/>
          <w:sz w:val="20"/>
          <w:szCs w:val="20"/>
        </w:rPr>
        <w:t>&gt;; Carlos Romero Rivera &lt;</w:t>
      </w:r>
      <w:hyperlink r:id="rId92" w:tgtFrame="_blank">
        <w:r>
          <w:rPr>
            <w:rFonts w:cs="Calibri" w:ascii="Bookman Old Style" w:hAnsi="Bookman Old Style"/>
            <w:color w:val="0563C1"/>
            <w:sz w:val="20"/>
            <w:szCs w:val="20"/>
            <w:u w:val="single"/>
          </w:rPr>
          <w:t>cromero@poder-judicial.go.cr</w:t>
        </w:r>
      </w:hyperlink>
      <w:r>
        <w:rPr>
          <w:rFonts w:cs="Calibri" w:ascii="Bookman Old Style" w:hAnsi="Bookman Old Style"/>
          <w:color w:val="000000"/>
          <w:sz w:val="20"/>
          <w:szCs w:val="20"/>
        </w:rPr>
        <w:t>&gt;; Ericka Chavarría Astorga &lt;</w:t>
      </w:r>
      <w:hyperlink r:id="rId93" w:tgtFrame="_blank">
        <w:r>
          <w:rPr>
            <w:rFonts w:cs="Calibri" w:ascii="Bookman Old Style" w:hAnsi="Bookman Old Style"/>
            <w:color w:val="0563C1"/>
            <w:sz w:val="20"/>
            <w:szCs w:val="20"/>
            <w:u w:val="single"/>
          </w:rPr>
          <w:t>echavarriaa@Poder-Judicial.go.cr</w:t>
        </w:r>
      </w:hyperlink>
      <w:r>
        <w:rPr>
          <w:rFonts w:cs="Calibri" w:ascii="Bookman Old Style" w:hAnsi="Bookman Old Style"/>
          <w:color w:val="000000"/>
          <w:sz w:val="20"/>
          <w:szCs w:val="20"/>
        </w:rPr>
        <w:t>&gt;; Erick Alfaro Romero &lt;</w:t>
      </w:r>
      <w:hyperlink r:id="rId94" w:tgtFrame="_blank">
        <w:r>
          <w:rPr>
            <w:rFonts w:cs="Calibri" w:ascii="Bookman Old Style" w:hAnsi="Bookman Old Style"/>
            <w:color w:val="0563C1"/>
            <w:sz w:val="20"/>
            <w:szCs w:val="20"/>
            <w:u w:val="single"/>
          </w:rPr>
          <w:t>ealfaror@Poder-Judicial.go.cr</w:t>
        </w:r>
      </w:hyperlink>
      <w:r>
        <w:rPr>
          <w:rFonts w:cs="Calibri" w:ascii="Bookman Old Style" w:hAnsi="Bookman Old Style"/>
          <w:color w:val="000000"/>
          <w:sz w:val="20"/>
          <w:szCs w:val="20"/>
        </w:rPr>
        <w:t xml:space="preserve">&gt;; </w:t>
      </w:r>
      <w:hyperlink r:id="rId95" w:tgtFrame="_blank">
        <w:r>
          <w:rPr>
            <w:rFonts w:cs="Calibri" w:ascii="Bookman Old Style" w:hAnsi="Bookman Old Style"/>
            <w:color w:val="0563C1"/>
            <w:sz w:val="20"/>
            <w:szCs w:val="20"/>
            <w:u w:val="single"/>
          </w:rPr>
          <w:t>geyner.blanco@presidencia.go.cr</w:t>
        </w:r>
      </w:hyperlink>
      <w:r>
        <w:rPr>
          <w:rFonts w:cs="Calibri" w:ascii="Bookman Old Style" w:hAnsi="Bookman Old Style"/>
          <w:color w:val="000000"/>
          <w:sz w:val="20"/>
          <w:szCs w:val="20"/>
        </w:rPr>
        <w:t xml:space="preserve"> &lt;</w:t>
      </w:r>
      <w:hyperlink r:id="rId96" w:tgtFrame="_blank">
        <w:r>
          <w:rPr>
            <w:rFonts w:cs="Calibri" w:ascii="Bookman Old Style" w:hAnsi="Bookman Old Style"/>
            <w:color w:val="0563C1"/>
            <w:sz w:val="20"/>
            <w:szCs w:val="20"/>
            <w:u w:val="single"/>
          </w:rPr>
          <w:t>geyner.blanco@presidencia.go.cr</w:t>
        </w:r>
      </w:hyperlink>
      <w:r>
        <w:rPr>
          <w:rFonts w:cs="Calibri" w:ascii="Bookman Old Style" w:hAnsi="Bookman Old Style"/>
          <w:color w:val="000000"/>
          <w:sz w:val="20"/>
          <w:szCs w:val="20"/>
        </w:rPr>
        <w:t xml:space="preserve">&gt;; </w:t>
      </w:r>
      <w:hyperlink r:id="rId97" w:tgtFrame="_blank">
        <w:r>
          <w:rPr>
            <w:rFonts w:cs="Calibri" w:ascii="Bookman Old Style" w:hAnsi="Bookman Old Style"/>
            <w:color w:val="0563C1"/>
            <w:sz w:val="20"/>
            <w:szCs w:val="20"/>
            <w:u w:val="single"/>
          </w:rPr>
          <w:t>vvaras@inamu.go.cr</w:t>
        </w:r>
      </w:hyperlink>
      <w:r>
        <w:rPr>
          <w:rFonts w:cs="Calibri" w:ascii="Bookman Old Style" w:hAnsi="Bookman Old Style"/>
          <w:color w:val="000000"/>
          <w:sz w:val="20"/>
          <w:szCs w:val="20"/>
        </w:rPr>
        <w:t xml:space="preserve"> &lt;</w:t>
      </w:r>
      <w:hyperlink r:id="rId98" w:tgtFrame="_blank">
        <w:r>
          <w:rPr>
            <w:rFonts w:cs="Calibri" w:ascii="Bookman Old Style" w:hAnsi="Bookman Old Style"/>
            <w:color w:val="0563C1"/>
            <w:sz w:val="20"/>
            <w:szCs w:val="20"/>
            <w:u w:val="single"/>
          </w:rPr>
          <w:t>vvaras@inamu.go.cr</w:t>
        </w:r>
      </w:hyperlink>
      <w:r>
        <w:rPr>
          <w:rFonts w:cs="Calibri" w:ascii="Bookman Old Style" w:hAnsi="Bookman Old Style"/>
          <w:color w:val="000000"/>
          <w:sz w:val="20"/>
          <w:szCs w:val="20"/>
        </w:rPr>
        <w:t>&gt;; Jean Carlo Monge Madrigal &lt;</w:t>
      </w:r>
      <w:hyperlink r:id="rId99" w:tgtFrame="_blank">
        <w:r>
          <w:rPr>
            <w:rFonts w:cs="Calibri" w:ascii="Bookman Old Style" w:hAnsi="Bookman Old Style"/>
            <w:color w:val="0563C1"/>
            <w:sz w:val="20"/>
            <w:szCs w:val="20"/>
            <w:u w:val="single"/>
          </w:rPr>
          <w:t>jmongema@Poder-Judicial.go.cr</w:t>
        </w:r>
      </w:hyperlink>
      <w:r>
        <w:rPr>
          <w:rFonts w:cs="Calibri" w:ascii="Bookman Old Style" w:hAnsi="Bookman Old Style"/>
          <w:color w:val="000000"/>
          <w:sz w:val="20"/>
          <w:szCs w:val="20"/>
        </w:rPr>
        <w:t>&gt;; Ligia Jeannette Jiménez Zamora &lt;</w:t>
      </w:r>
      <w:hyperlink r:id="rId100" w:tgtFrame="_blank">
        <w:r>
          <w:rPr>
            <w:rFonts w:cs="Calibri" w:ascii="Bookman Old Style" w:hAnsi="Bookman Old Style"/>
            <w:color w:val="0563C1"/>
            <w:sz w:val="20"/>
            <w:szCs w:val="20"/>
            <w:u w:val="single"/>
          </w:rPr>
          <w:t>ljimenezz@Poder-Judicial.go.cr</w:t>
        </w:r>
      </w:hyperlink>
      <w:r>
        <w:rPr>
          <w:rFonts w:cs="Calibri" w:ascii="Bookman Old Style" w:hAnsi="Bookman Old Style"/>
          <w:color w:val="000000"/>
          <w:sz w:val="20"/>
          <w:szCs w:val="20"/>
        </w:rPr>
        <w:t xml:space="preserve">&gt;; </w:t>
      </w:r>
      <w:hyperlink r:id="rId101" w:tgtFrame="_blank">
        <w:r>
          <w:rPr>
            <w:rFonts w:cs="Calibri" w:ascii="Bookman Old Style" w:hAnsi="Bookman Old Style"/>
            <w:color w:val="0563C1"/>
            <w:sz w:val="20"/>
            <w:szCs w:val="20"/>
            <w:u w:val="single"/>
          </w:rPr>
          <w:t>marcos.guevara@ucr.ac.cr</w:t>
        </w:r>
      </w:hyperlink>
      <w:r>
        <w:rPr>
          <w:rFonts w:cs="Calibri" w:ascii="Bookman Old Style" w:hAnsi="Bookman Old Style"/>
          <w:color w:val="000000"/>
          <w:sz w:val="20"/>
          <w:szCs w:val="20"/>
        </w:rPr>
        <w:t xml:space="preserve"> &lt;</w:t>
      </w:r>
      <w:hyperlink r:id="rId102" w:tgtFrame="_blank">
        <w:r>
          <w:rPr>
            <w:rFonts w:cs="Calibri" w:ascii="Bookman Old Style" w:hAnsi="Bookman Old Style"/>
            <w:color w:val="0563C1"/>
            <w:sz w:val="20"/>
            <w:szCs w:val="20"/>
            <w:u w:val="single"/>
          </w:rPr>
          <w:t>marcos.guevara@ucr.ac.cr</w:t>
        </w:r>
      </w:hyperlink>
      <w:r>
        <w:rPr>
          <w:rFonts w:cs="Calibri" w:ascii="Bookman Old Style" w:hAnsi="Bookman Old Style"/>
          <w:color w:val="000000"/>
          <w:sz w:val="20"/>
          <w:szCs w:val="20"/>
        </w:rPr>
        <w:t xml:space="preserve">&gt;; </w:t>
      </w:r>
      <w:hyperlink r:id="rId103" w:tgtFrame="_blank">
        <w:r>
          <w:rPr>
            <w:rFonts w:cs="Calibri" w:ascii="Bookman Old Style" w:hAnsi="Bookman Old Style"/>
            <w:color w:val="0563C1"/>
            <w:sz w:val="20"/>
            <w:szCs w:val="20"/>
            <w:u w:val="single"/>
          </w:rPr>
          <w:t>mherrera@dhr.go.cr</w:t>
        </w:r>
      </w:hyperlink>
      <w:r>
        <w:rPr>
          <w:rFonts w:cs="Calibri" w:ascii="Bookman Old Style" w:hAnsi="Bookman Old Style"/>
          <w:color w:val="000000"/>
          <w:sz w:val="20"/>
          <w:szCs w:val="20"/>
        </w:rPr>
        <w:t xml:space="preserve"> &lt;</w:t>
      </w:r>
      <w:hyperlink r:id="rId104" w:tgtFrame="_blank">
        <w:r>
          <w:rPr>
            <w:rFonts w:cs="Calibri" w:ascii="Bookman Old Style" w:hAnsi="Bookman Old Style"/>
            <w:color w:val="0563C1"/>
            <w:sz w:val="20"/>
            <w:szCs w:val="20"/>
            <w:u w:val="single"/>
          </w:rPr>
          <w:t>mherrera@dhr.go.cr</w:t>
        </w:r>
      </w:hyperlink>
      <w:r>
        <w:rPr>
          <w:rFonts w:cs="Calibri" w:ascii="Bookman Old Style" w:hAnsi="Bookman Old Style"/>
          <w:color w:val="000000"/>
          <w:sz w:val="20"/>
          <w:szCs w:val="20"/>
        </w:rPr>
        <w:t>&gt;; Sandra Pizarro Gutiérrez &lt;</w:t>
      </w:r>
      <w:hyperlink r:id="rId105" w:tgtFrame="_blank">
        <w:r>
          <w:rPr>
            <w:rFonts w:cs="Calibri" w:ascii="Bookman Old Style" w:hAnsi="Bookman Old Style"/>
            <w:color w:val="0563C1"/>
            <w:sz w:val="20"/>
            <w:szCs w:val="20"/>
            <w:u w:val="single"/>
          </w:rPr>
          <w:t>spizarro@Poder-Judicial.go.cr</w:t>
        </w:r>
      </w:hyperlink>
      <w:r>
        <w:rPr>
          <w:rFonts w:cs="Calibri" w:ascii="Bookman Old Style" w:hAnsi="Bookman Old Style"/>
          <w:color w:val="000000"/>
          <w:sz w:val="20"/>
          <w:szCs w:val="20"/>
        </w:rPr>
        <w:t>&gt;; Vanessa Villalobos Montero &lt;</w:t>
      </w:r>
      <w:hyperlink r:id="rId106" w:tgtFrame="_blank">
        <w:r>
          <w:rPr>
            <w:rFonts w:cs="Calibri" w:ascii="Bookman Old Style" w:hAnsi="Bookman Old Style"/>
            <w:color w:val="0563C1"/>
            <w:sz w:val="20"/>
            <w:szCs w:val="20"/>
            <w:u w:val="single"/>
          </w:rPr>
          <w:t>vvillalobos@Poder-Judicial.go.cr</w:t>
        </w:r>
      </w:hyperlink>
      <w:r>
        <w:rPr>
          <w:rFonts w:cs="Calibri" w:ascii="Bookman Old Style" w:hAnsi="Bookman Old Style"/>
          <w:color w:val="000000"/>
          <w:sz w:val="20"/>
          <w:szCs w:val="20"/>
        </w:rPr>
        <w:t>&gt;; Yorleny Ferreto Solano &lt;</w:t>
      </w:r>
      <w:hyperlink r:id="rId107" w:tgtFrame="_blank">
        <w:r>
          <w:rPr>
            <w:rFonts w:cs="Calibri" w:ascii="Bookman Old Style" w:hAnsi="Bookman Old Style"/>
            <w:color w:val="0563C1"/>
            <w:sz w:val="20"/>
            <w:szCs w:val="20"/>
            <w:u w:val="single"/>
          </w:rPr>
          <w:t>yferreto@Poder-Judicial.go.cr</w:t>
        </w:r>
      </w:hyperlink>
      <w:r>
        <w:rPr>
          <w:rFonts w:cs="Calibri" w:ascii="Bookman Old Style" w:hAnsi="Bookman Old Style"/>
          <w:color w:val="000000"/>
          <w:sz w:val="20"/>
          <w:szCs w:val="20"/>
        </w:rPr>
        <w:t>&gt;; CONAMAJ - Participación Ciudadana &lt;</w:t>
      </w:r>
      <w:hyperlink r:id="rId108" w:tgtFrame="_blank">
        <w:r>
          <w:rPr>
            <w:rFonts w:cs="Calibri" w:ascii="Bookman Old Style" w:hAnsi="Bookman Old Style"/>
            <w:color w:val="0563C1"/>
            <w:sz w:val="20"/>
            <w:szCs w:val="20"/>
            <w:u w:val="single"/>
          </w:rPr>
          <w:t>conamaj-pciudadana@Poder-Judicial.go.cr</w:t>
        </w:r>
      </w:hyperlink>
      <w:r>
        <w:rPr>
          <w:rFonts w:cs="Calibri" w:ascii="Bookman Old Style" w:hAnsi="Bookman Old Style"/>
          <w:color w:val="000000"/>
          <w:sz w:val="20"/>
          <w:szCs w:val="20"/>
        </w:rPr>
        <w:t>&gt;; Jorge Olaso Alvarez &lt;</w:t>
      </w:r>
      <w:hyperlink r:id="rId109" w:tgtFrame="_blank">
        <w:r>
          <w:rPr>
            <w:rFonts w:cs="Calibri" w:ascii="Bookman Old Style" w:hAnsi="Bookman Old Style"/>
            <w:color w:val="0563C1"/>
            <w:sz w:val="20"/>
            <w:szCs w:val="20"/>
            <w:u w:val="single"/>
          </w:rPr>
          <w:t>jolaso@Poder-Judicial.go.cr</w:t>
        </w:r>
      </w:hyperlink>
      <w:r>
        <w:rPr>
          <w:rFonts w:cs="Calibri" w:ascii="Bookman Old Style" w:hAnsi="Bookman Old Style"/>
          <w:color w:val="000000"/>
          <w:sz w:val="20"/>
          <w:szCs w:val="20"/>
        </w:rPr>
        <w:t>&gt;; Jovanna Calderón Altamirano &lt;</w:t>
      </w:r>
      <w:hyperlink r:id="rId110" w:tgtFrame="_blank">
        <w:r>
          <w:rPr>
            <w:rFonts w:cs="Calibri" w:ascii="Bookman Old Style" w:hAnsi="Bookman Old Style"/>
            <w:color w:val="0563C1"/>
            <w:sz w:val="20"/>
            <w:szCs w:val="20"/>
            <w:u w:val="single"/>
          </w:rPr>
          <w:t>jcalderona@Poder-Judicial.go.cr</w:t>
        </w:r>
      </w:hyperlink>
      <w:r>
        <w:rPr>
          <w:rFonts w:cs="Calibri" w:ascii="Bookman Old Style" w:hAnsi="Bookman Old Style"/>
          <w:color w:val="000000"/>
          <w:sz w:val="20"/>
          <w:szCs w:val="20"/>
        </w:rPr>
        <w:t>&gt;; Melissa Benavides Víquez &lt;</w:t>
      </w:r>
      <w:hyperlink r:id="rId111" w:tgtFrame="_blank">
        <w:r>
          <w:rPr>
            <w:rFonts w:cs="Calibri" w:ascii="Bookman Old Style" w:hAnsi="Bookman Old Style"/>
            <w:color w:val="0563C1"/>
            <w:sz w:val="20"/>
            <w:szCs w:val="20"/>
            <w:u w:val="single"/>
          </w:rPr>
          <w:t>mbenavidesv@Poder-Judicial.go.cr</w:t>
        </w:r>
      </w:hyperlink>
      <w:r>
        <w:rPr>
          <w:rFonts w:cs="Calibri" w:ascii="Bookman Old Style" w:hAnsi="Bookman Old Style"/>
          <w:color w:val="000000"/>
          <w:sz w:val="20"/>
          <w:szCs w:val="20"/>
        </w:rPr>
        <w:t>&gt;</w:t>
        <w:br/>
      </w:r>
      <w:r>
        <w:rPr>
          <w:rFonts w:cs="Calibri" w:ascii="Bookman Old Style" w:hAnsi="Bookman Old Style"/>
          <w:b/>
          <w:bCs/>
          <w:color w:val="000000"/>
          <w:sz w:val="20"/>
          <w:szCs w:val="20"/>
        </w:rPr>
        <w:t>Cc:</w:t>
      </w:r>
      <w:r>
        <w:rPr>
          <w:rFonts w:cs="Calibri" w:ascii="Bookman Old Style" w:hAnsi="Bookman Old Style"/>
          <w:color w:val="000000"/>
          <w:sz w:val="20"/>
          <w:szCs w:val="20"/>
        </w:rPr>
        <w:t xml:space="preserve"> Damaris Vargas Vásquez &lt;</w:t>
      </w:r>
      <w:hyperlink r:id="rId112" w:tgtFrame="_blank">
        <w:r>
          <w:rPr>
            <w:rFonts w:cs="Calibri" w:ascii="Bookman Old Style" w:hAnsi="Bookman Old Style"/>
            <w:color w:val="0563C1"/>
            <w:sz w:val="20"/>
            <w:szCs w:val="20"/>
            <w:u w:val="single"/>
          </w:rPr>
          <w:t>dvargas@Poder-Judicial.go.cr</w:t>
        </w:r>
      </w:hyperlink>
      <w:r>
        <w:rPr>
          <w:rFonts w:cs="Calibri" w:ascii="Bookman Old Style" w:hAnsi="Bookman Old Style"/>
          <w:color w:val="000000"/>
          <w:sz w:val="20"/>
          <w:szCs w:val="20"/>
        </w:rPr>
        <w:t>&gt;; Lizeth Orozco Bolaños &lt;</w:t>
      </w:r>
      <w:hyperlink r:id="rId113" w:tgtFrame="_blank">
        <w:r>
          <w:rPr>
            <w:rFonts w:cs="Calibri" w:ascii="Bookman Old Style" w:hAnsi="Bookman Old Style"/>
            <w:color w:val="0563C1"/>
            <w:sz w:val="20"/>
            <w:szCs w:val="20"/>
            <w:u w:val="single"/>
          </w:rPr>
          <w:t>lorozcob@Poder-Judicial.go.cr</w:t>
        </w:r>
      </w:hyperlink>
      <w:r>
        <w:rPr>
          <w:rFonts w:cs="Calibri" w:ascii="Bookman Old Style" w:hAnsi="Bookman Old Style"/>
          <w:color w:val="000000"/>
          <w:sz w:val="20"/>
          <w:szCs w:val="20"/>
        </w:rPr>
        <w:t>&gt;; Marianela Campos Soto &lt;</w:t>
      </w:r>
      <w:hyperlink r:id="rId114" w:tgtFrame="_blank">
        <w:r>
          <w:rPr>
            <w:rFonts w:cs="Calibri" w:ascii="Bookman Old Style" w:hAnsi="Bookman Old Style"/>
            <w:color w:val="0563C1"/>
            <w:sz w:val="20"/>
            <w:szCs w:val="20"/>
            <w:u w:val="single"/>
          </w:rPr>
          <w:t>mcamposs@Poder-Judicial.go.cr</w:t>
        </w:r>
      </w:hyperlink>
      <w:r>
        <w:rPr>
          <w:rFonts w:cs="Calibri" w:ascii="Bookman Old Style" w:hAnsi="Bookman Old Style"/>
          <w:color w:val="000000"/>
          <w:sz w:val="20"/>
          <w:szCs w:val="20"/>
        </w:rPr>
        <w:t>&gt;</w:t>
        <w:br/>
      </w:r>
      <w:r>
        <w:rPr>
          <w:rFonts w:cs="Calibri" w:ascii="Bookman Old Style" w:hAnsi="Bookman Old Style"/>
          <w:b/>
          <w:bCs/>
          <w:color w:val="000000"/>
          <w:sz w:val="20"/>
          <w:szCs w:val="20"/>
        </w:rPr>
        <w:t>Asunto:</w:t>
      </w:r>
      <w:r>
        <w:rPr>
          <w:rFonts w:cs="Calibri" w:ascii="Bookman Old Style" w:hAnsi="Bookman Old Style"/>
          <w:color w:val="000000"/>
          <w:sz w:val="20"/>
          <w:szCs w:val="20"/>
        </w:rPr>
        <w:t xml:space="preserve"> Oficio CACC-148-2020 Personas Integrantes la Subcomisión de Acceso a la Justicia de Pueblos Indígenas y del Comite de Capacitación en Temática Indígena</w:t>
      </w:r>
      <w:r>
        <w:rPr>
          <w:rFonts w:cs="Calibri" w:ascii="Bookman Old Style" w:hAnsi="Bookman Old Style"/>
          <w:color w:val="201F1E"/>
          <w:sz w:val="20"/>
          <w:szCs w:val="20"/>
        </w:rPr>
        <w:t xml:space="preserve">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p>
    <w:p>
      <w:pPr>
        <w:pStyle w:val="Normal"/>
        <w:jc w:val="both"/>
        <w:rPr>
          <w:rFonts w:ascii="Bookman Old Style" w:hAnsi="Bookman Old Style" w:cs="Calibri"/>
          <w:color w:val="201F1E"/>
          <w:sz w:val="20"/>
          <w:szCs w:val="20"/>
        </w:rPr>
      </w:pPr>
      <w:r>
        <w:rPr>
          <w:rFonts w:cs="Calibri" w:ascii="Bookman Old Style" w:hAnsi="Bookman Old Style"/>
          <w:b/>
          <w:bCs/>
          <w:color w:val="201F1E"/>
          <w:sz w:val="20"/>
          <w:szCs w:val="20"/>
        </w:rPr>
        <w:t>Señoras y señores</w:t>
      </w:r>
    </w:p>
    <w:p>
      <w:pPr>
        <w:pStyle w:val="Normal"/>
        <w:jc w:val="both"/>
        <w:rPr>
          <w:rFonts w:ascii="Bookman Old Style" w:hAnsi="Bookman Old Style" w:cs="Calibri"/>
          <w:color w:val="201F1E"/>
          <w:sz w:val="20"/>
          <w:szCs w:val="20"/>
        </w:rPr>
      </w:pPr>
      <w:r>
        <w:rPr>
          <w:rFonts w:cs="Calibri" w:ascii="Bookman Old Style" w:hAnsi="Bookman Old Style"/>
          <w:b/>
          <w:bCs/>
          <w:color w:val="201F1E"/>
          <w:sz w:val="20"/>
          <w:szCs w:val="20"/>
        </w:rPr>
        <w:t xml:space="preserve">Integrantes del Comité de Capacitación de la Subcomisión </w:t>
      </w:r>
    </w:p>
    <w:p>
      <w:pPr>
        <w:pStyle w:val="Normal"/>
        <w:jc w:val="both"/>
        <w:rPr>
          <w:rFonts w:ascii="Bookman Old Style" w:hAnsi="Bookman Old Style" w:cs="Calibri"/>
          <w:color w:val="201F1E"/>
          <w:sz w:val="20"/>
          <w:szCs w:val="20"/>
        </w:rPr>
      </w:pPr>
      <w:r>
        <w:rPr>
          <w:rFonts w:cs="Calibri" w:ascii="Bookman Old Style" w:hAnsi="Bookman Old Style"/>
          <w:b/>
          <w:bCs/>
          <w:color w:val="201F1E"/>
          <w:sz w:val="20"/>
          <w:szCs w:val="20"/>
        </w:rPr>
        <w:t>Subcomisión de Acceso a la Justicia de Pueblos Indígenas</w:t>
      </w:r>
    </w:p>
    <w:p>
      <w:pPr>
        <w:pStyle w:val="Normal"/>
        <w:jc w:val="both"/>
        <w:rPr>
          <w:rFonts w:ascii="Bookman Old Style" w:hAnsi="Bookman Old Style" w:cs="Calibri"/>
          <w:color w:val="201F1E"/>
          <w:sz w:val="20"/>
          <w:szCs w:val="20"/>
        </w:rPr>
      </w:pPr>
      <w:r>
        <w:rPr>
          <w:rFonts w:cs="Calibri" w:ascii="Bookman Old Style" w:hAnsi="Bookman Old Style"/>
          <w:b/>
          <w:bCs/>
          <w:color w:val="201F1E"/>
          <w:sz w:val="20"/>
          <w:szCs w:val="20"/>
        </w:rPr>
        <w:t>Poder Judicial</w:t>
      </w:r>
    </w:p>
    <w:p>
      <w:pPr>
        <w:pStyle w:val="Normal"/>
        <w:jc w:val="both"/>
        <w:rPr>
          <w:rFonts w:ascii="Bookman Old Style" w:hAnsi="Bookman Old Style" w:cs="Calibri"/>
          <w:color w:val="201F1E"/>
          <w:sz w:val="20"/>
          <w:szCs w:val="20"/>
        </w:rPr>
      </w:pPr>
      <w:r>
        <w:rPr>
          <w:rFonts w:cs="Calibri" w:ascii="Bookman Old Style" w:hAnsi="Bookman Old Style"/>
          <w:b/>
          <w:bCs/>
          <w:color w:val="201F1E"/>
          <w:sz w:val="20"/>
          <w:szCs w:val="20"/>
        </w:rPr>
        <w:t xml:space="preserve">S.D. </w:t>
      </w:r>
    </w:p>
    <w:p>
      <w:pPr>
        <w:pStyle w:val="Normal"/>
        <w:jc w:val="both"/>
        <w:rPr>
          <w:rFonts w:ascii="Bookman Old Style" w:hAnsi="Bookman Old Style" w:cs="Calibri"/>
          <w:color w:val="201F1E"/>
          <w:sz w:val="20"/>
          <w:szCs w:val="20"/>
        </w:rPr>
      </w:pPr>
      <w:r>
        <w:rPr>
          <w:rFonts w:cs="Calibri" w:ascii="Bookman Old Style" w:hAnsi="Bookman Old Style"/>
          <w:b/>
          <w:bCs/>
          <w:color w:val="201F1E"/>
          <w:sz w:val="20"/>
          <w:szCs w:val="20"/>
        </w:rPr>
        <w:t> </w:t>
      </w:r>
    </w:p>
    <w:p>
      <w:pPr>
        <w:pStyle w:val="Normal"/>
        <w:jc w:val="both"/>
        <w:rPr>
          <w:rFonts w:ascii="Bookman Old Style" w:hAnsi="Bookman Old Style" w:cs="Calibri"/>
          <w:color w:val="201F1E"/>
          <w:sz w:val="20"/>
          <w:szCs w:val="20"/>
        </w:rPr>
      </w:pPr>
      <w:r>
        <w:rPr>
          <w:rFonts w:cs="Calibri" w:ascii="Bookman Old Style" w:hAnsi="Bookman Old Style"/>
          <w:color w:val="201F1E"/>
          <w:sz w:val="20"/>
          <w:szCs w:val="20"/>
        </w:rPr>
        <w:t xml:space="preserve">Estimadas señoras, estimados señores: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Reciban un cordial saludo. Por medio de la presente, se remite el Oficio CACC-148-2020 para su estimable conocimiento.</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r>
        <w:rPr>
          <w:rFonts w:cs="Calibri" w:ascii="Bookman Old Style" w:hAnsi="Bookman Old Style"/>
          <w:color w:val="201F1E"/>
          <w:sz w:val="20"/>
          <w:szCs w:val="20"/>
        </w:rPr>
        <w:t xml:space="preserve">Muchas gracias por su atención,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p>
    <w:p>
      <w:pPr>
        <w:pStyle w:val="Normal"/>
        <w:rPr>
          <w:rFonts w:ascii="Bookman Old Style" w:hAnsi="Bookman Old Style" w:cs="Segoe UI"/>
          <w:color w:val="323130"/>
          <w:sz w:val="20"/>
          <w:szCs w:val="20"/>
          <w:lang w:val="es-ES"/>
        </w:rPr>
      </w:pPr>
      <w:r>
        <w:rPr>
          <w:rFonts w:cs="Segoe UI" w:ascii="Bookman Old Style" w:hAnsi="Bookman Old Style"/>
          <w:color w:val="323130"/>
          <w:sz w:val="20"/>
          <w:szCs w:val="20"/>
          <w:lang w:val="es-ES"/>
        </w:rPr>
      </w:r>
    </w:p>
    <w:p>
      <w:pPr>
        <w:pStyle w:val="Normal"/>
        <w:spacing w:before="0" w:after="0"/>
        <w:contextualSpacing/>
        <w:jc w:val="right"/>
        <w:rPr>
          <w:rFonts w:ascii="Bookman Old Style" w:hAnsi="Bookman Old Style"/>
          <w:b/>
          <w:b/>
          <w:sz w:val="20"/>
          <w:szCs w:val="20"/>
        </w:rPr>
      </w:pPr>
      <w:r>
        <w:rPr>
          <w:rFonts w:ascii="Bookman Old Style" w:hAnsi="Bookman Old Style"/>
          <w:b/>
          <w:sz w:val="20"/>
          <w:szCs w:val="20"/>
        </w:rPr>
        <w:t>San José, 23 de abril de 2020</w:t>
      </w:r>
    </w:p>
    <w:p>
      <w:pPr>
        <w:pStyle w:val="Normal"/>
        <w:spacing w:before="0" w:after="0"/>
        <w:contextualSpacing/>
        <w:jc w:val="right"/>
        <w:rPr>
          <w:rFonts w:ascii="Bookman Old Style" w:hAnsi="Bookman Old Style"/>
          <w:b/>
          <w:b/>
          <w:sz w:val="20"/>
          <w:szCs w:val="20"/>
        </w:rPr>
      </w:pPr>
      <w:r>
        <w:rPr>
          <w:rFonts w:ascii="Bookman Old Style" w:hAnsi="Bookman Old Style"/>
          <w:b/>
          <w:sz w:val="20"/>
          <w:szCs w:val="20"/>
        </w:rPr>
        <w:t>Oficio CACC-148-2020</w:t>
      </w:r>
    </w:p>
    <w:p>
      <w:pPr>
        <w:pStyle w:val="Normal"/>
        <w:spacing w:before="0" w:after="0"/>
        <w:contextualSpacing/>
        <w:jc w:val="right"/>
        <w:rPr>
          <w:rFonts w:ascii="Bookman Old Style" w:hAnsi="Bookman Old Style"/>
          <w:sz w:val="20"/>
          <w:szCs w:val="20"/>
        </w:rPr>
      </w:pPr>
      <w:r>
        <w:rPr>
          <w:rFonts w:ascii="Bookman Old Style" w:hAnsi="Bookman Old Style"/>
          <w:sz w:val="20"/>
          <w:szCs w:val="20"/>
        </w:rPr>
        <w:t>Al contestar refiérase a este # de oficio</w:t>
      </w:r>
    </w:p>
    <w:p>
      <w:pPr>
        <w:pStyle w:val="Normal"/>
        <w:spacing w:before="0" w:after="0"/>
        <w:contextualSpacing/>
        <w:jc w:val="both"/>
        <w:rPr>
          <w:rFonts w:ascii="Bookman Old Style" w:hAnsi="Bookman Old Style"/>
          <w:bCs/>
          <w:sz w:val="20"/>
          <w:szCs w:val="20"/>
        </w:rPr>
      </w:pPr>
      <w:r>
        <w:rPr>
          <w:rFonts w:ascii="Bookman Old Style" w:hAnsi="Bookman Old Style"/>
          <w:bCs/>
          <w:sz w:val="20"/>
          <w:szCs w:val="20"/>
        </w:rPr>
      </w:r>
    </w:p>
    <w:p>
      <w:pPr>
        <w:pStyle w:val="Normal"/>
        <w:spacing w:before="0" w:after="0"/>
        <w:contextualSpacing/>
        <w:jc w:val="both"/>
        <w:rPr>
          <w:rFonts w:ascii="Bookman Old Style" w:hAnsi="Bookman Old Style"/>
          <w:b/>
          <w:b/>
          <w:sz w:val="20"/>
          <w:szCs w:val="20"/>
        </w:rPr>
      </w:pPr>
      <w:r>
        <w:rPr>
          <w:rFonts w:ascii="Bookman Old Style" w:hAnsi="Bookman Old Style"/>
          <w:b/>
          <w:sz w:val="20"/>
          <w:szCs w:val="20"/>
        </w:rPr>
      </w:r>
    </w:p>
    <w:p>
      <w:pPr>
        <w:pStyle w:val="Normal"/>
        <w:spacing w:before="0" w:after="0"/>
        <w:contextualSpacing/>
        <w:jc w:val="both"/>
        <w:rPr>
          <w:rStyle w:val="Strong"/>
          <w:rFonts w:ascii="Bookman Old Style" w:hAnsi="Bookman Old Style" w:eastAsia="Batang"/>
          <w:sz w:val="20"/>
          <w:szCs w:val="20"/>
        </w:rPr>
      </w:pPr>
      <w:r>
        <w:rPr>
          <w:rFonts w:eastAsia="Batang" w:ascii="Bookman Old Style" w:hAnsi="Bookman Old Style"/>
          <w:sz w:val="20"/>
          <w:szCs w:val="20"/>
        </w:rPr>
      </w:r>
    </w:p>
    <w:p>
      <w:pPr>
        <w:pStyle w:val="Normal"/>
        <w:spacing w:before="0" w:after="0"/>
        <w:contextualSpacing/>
        <w:jc w:val="both"/>
        <w:rPr>
          <w:rFonts w:ascii="Bookman Old Style" w:hAnsi="Bookman Old Style" w:eastAsia="Batang"/>
          <w:sz w:val="20"/>
          <w:szCs w:val="20"/>
        </w:rPr>
      </w:pPr>
      <w:r>
        <w:rPr>
          <w:rStyle w:val="Strong"/>
          <w:rFonts w:eastAsia="Batang" w:ascii="Bookman Old Style" w:hAnsi="Bookman Old Style"/>
          <w:sz w:val="20"/>
          <w:szCs w:val="20"/>
        </w:rPr>
        <w:t>Señoras y señores</w:t>
      </w:r>
    </w:p>
    <w:p>
      <w:pPr>
        <w:pStyle w:val="Normal"/>
        <w:spacing w:before="0" w:after="0"/>
        <w:contextualSpacing/>
        <w:jc w:val="both"/>
        <w:rPr>
          <w:rFonts w:ascii="Bookman Old Style" w:hAnsi="Bookman Old Style"/>
          <w:color w:val="000000" w:themeColor="text1"/>
          <w:sz w:val="20"/>
          <w:szCs w:val="20"/>
          <w:u w:val="single"/>
        </w:rPr>
      </w:pPr>
      <w:r>
        <w:rPr>
          <w:rStyle w:val="Strong"/>
          <w:rFonts w:eastAsia="Batang" w:ascii="Bookman Old Style" w:hAnsi="Bookman Old Style"/>
          <w:sz w:val="20"/>
          <w:szCs w:val="20"/>
        </w:rPr>
        <w:t xml:space="preserve">Integrantes del Comité de Capacitación de la Subcomisión </w:t>
      </w:r>
    </w:p>
    <w:p>
      <w:pPr>
        <w:pStyle w:val="Normal"/>
        <w:spacing w:before="0" w:after="0"/>
        <w:contextualSpacing/>
        <w:jc w:val="both"/>
        <w:rPr>
          <w:rFonts w:ascii="Bookman Old Style" w:hAnsi="Bookman Old Style"/>
          <w:color w:val="000000" w:themeColor="text1"/>
          <w:sz w:val="20"/>
          <w:szCs w:val="20"/>
          <w:u w:val="single"/>
        </w:rPr>
      </w:pPr>
      <w:r>
        <w:rPr>
          <w:rStyle w:val="Strong"/>
          <w:rFonts w:eastAsia="Batang" w:ascii="Bookman Old Style" w:hAnsi="Bookman Old Style"/>
          <w:sz w:val="20"/>
          <w:szCs w:val="20"/>
        </w:rPr>
        <w:t>Subcomisión de Acceso a la Justicia de Pueblos Indígenas</w:t>
      </w:r>
    </w:p>
    <w:p>
      <w:pPr>
        <w:pStyle w:val="Normal"/>
        <w:spacing w:before="0" w:after="0"/>
        <w:contextualSpacing/>
        <w:jc w:val="both"/>
        <w:rPr>
          <w:rFonts w:ascii="Bookman Old Style" w:hAnsi="Bookman Old Style" w:eastAsia="Batang"/>
          <w:sz w:val="20"/>
          <w:szCs w:val="20"/>
        </w:rPr>
      </w:pPr>
      <w:r>
        <w:rPr>
          <w:rStyle w:val="Strong"/>
          <w:rFonts w:eastAsia="Batang" w:ascii="Bookman Old Style" w:hAnsi="Bookman Old Style"/>
          <w:sz w:val="20"/>
          <w:szCs w:val="20"/>
        </w:rPr>
        <w:t>Poder Judicial</w:t>
      </w:r>
    </w:p>
    <w:p>
      <w:pPr>
        <w:pStyle w:val="Normal"/>
        <w:spacing w:before="0" w:after="0"/>
        <w:contextualSpacing/>
        <w:jc w:val="both"/>
        <w:rPr>
          <w:rFonts w:ascii="Bookman Old Style" w:hAnsi="Bookman Old Style" w:eastAsia="Batang"/>
          <w:sz w:val="20"/>
          <w:szCs w:val="20"/>
        </w:rPr>
      </w:pPr>
      <w:r>
        <w:rPr>
          <w:rStyle w:val="Strong"/>
          <w:rFonts w:eastAsia="Batang" w:ascii="Bookman Old Style" w:hAnsi="Bookman Old Style"/>
          <w:sz w:val="20"/>
          <w:szCs w:val="20"/>
        </w:rPr>
        <w:t xml:space="preserve">S.D. </w:t>
      </w:r>
    </w:p>
    <w:p>
      <w:pPr>
        <w:pStyle w:val="Normal"/>
        <w:spacing w:before="0" w:after="0"/>
        <w:contextualSpacing/>
        <w:jc w:val="both"/>
        <w:rPr>
          <w:rStyle w:val="Strong"/>
          <w:rFonts w:ascii="Bookman Old Style" w:hAnsi="Bookman Old Style" w:eastAsia="Batang"/>
          <w:sz w:val="20"/>
          <w:szCs w:val="20"/>
        </w:rPr>
      </w:pPr>
      <w:r>
        <w:rPr>
          <w:rFonts w:eastAsia="Batang" w:ascii="Bookman Old Style" w:hAnsi="Bookman Old Style"/>
          <w:sz w:val="20"/>
          <w:szCs w:val="20"/>
        </w:rPr>
      </w:r>
    </w:p>
    <w:p>
      <w:pPr>
        <w:pStyle w:val="Normal"/>
        <w:spacing w:before="0" w:after="0"/>
        <w:contextualSpacing/>
        <w:jc w:val="both"/>
        <w:rPr>
          <w:rStyle w:val="Strong"/>
          <w:rFonts w:ascii="Bookman Old Style" w:hAnsi="Bookman Old Style" w:eastAsia="Batang"/>
          <w:sz w:val="20"/>
          <w:szCs w:val="20"/>
        </w:rPr>
      </w:pPr>
      <w:r>
        <w:rPr>
          <w:rFonts w:eastAsia="Batang" w:ascii="Bookman Old Style" w:hAnsi="Bookman Old Style"/>
          <w:sz w:val="20"/>
          <w:szCs w:val="20"/>
        </w:rPr>
      </w:r>
    </w:p>
    <w:p>
      <w:pPr>
        <w:pStyle w:val="Normal"/>
        <w:spacing w:before="0" w:after="0"/>
        <w:contextualSpacing/>
        <w:jc w:val="both"/>
        <w:rPr>
          <w:rFonts w:ascii="Bookman Old Style" w:hAnsi="Bookman Old Style" w:eastAsia="Batang"/>
          <w:b/>
          <w:b/>
          <w:sz w:val="20"/>
          <w:szCs w:val="20"/>
        </w:rPr>
      </w:pPr>
      <w:r>
        <w:rPr>
          <w:rStyle w:val="Strong"/>
          <w:rFonts w:eastAsia="Batang" w:ascii="Bookman Old Style" w:hAnsi="Bookman Old Style"/>
          <w:sz w:val="20"/>
          <w:szCs w:val="20"/>
        </w:rPr>
        <w:t xml:space="preserve">Estimadas señoras, estimados señores: </w:t>
      </w:r>
    </w:p>
    <w:p>
      <w:pPr>
        <w:pStyle w:val="Normal"/>
        <w:spacing w:before="0" w:after="0"/>
        <w:contextualSpacing/>
        <w:jc w:val="both"/>
        <w:rPr>
          <w:rStyle w:val="Strong"/>
          <w:rFonts w:ascii="Bookman Old Style" w:hAnsi="Bookman Old Style" w:eastAsia="Batang"/>
          <w:sz w:val="20"/>
          <w:szCs w:val="20"/>
        </w:rPr>
      </w:pPr>
      <w:r>
        <w:rPr>
          <w:rFonts w:eastAsia="Batang" w:ascii="Bookman Old Style" w:hAnsi="Bookman Old Style"/>
          <w:sz w:val="20"/>
          <w:szCs w:val="20"/>
        </w:rPr>
      </w:r>
    </w:p>
    <w:p>
      <w:pPr>
        <w:pStyle w:val="Normal"/>
        <w:spacing w:before="0" w:after="0"/>
        <w:contextualSpacing/>
        <w:jc w:val="both"/>
        <w:rPr>
          <w:rFonts w:ascii="Bookman Old Style" w:hAnsi="Bookman Old Style"/>
          <w:sz w:val="20"/>
          <w:szCs w:val="20"/>
        </w:rPr>
      </w:pPr>
      <w:r>
        <w:rPr>
          <w:rFonts w:ascii="Bookman Old Style" w:hAnsi="Bookman Old Style"/>
          <w:sz w:val="20"/>
          <w:szCs w:val="20"/>
        </w:rPr>
        <w:t xml:space="preserve">Por este medio se remite para su estimable conocimiento, el acuerdo tomado por la </w:t>
      </w:r>
      <w:r>
        <w:rPr>
          <w:rStyle w:val="Strong"/>
          <w:rFonts w:eastAsia="Batang" w:ascii="Bookman Old Style" w:hAnsi="Bookman Old Style"/>
          <w:sz w:val="20"/>
          <w:szCs w:val="20"/>
        </w:rPr>
        <w:t xml:space="preserve">Subcomisión de Acceso a la Justicia de Pueblos Indígenas </w:t>
      </w:r>
      <w:r>
        <w:rPr>
          <w:rFonts w:ascii="Bookman Old Style" w:hAnsi="Bookman Old Style"/>
          <w:sz w:val="20"/>
          <w:szCs w:val="20"/>
        </w:rPr>
        <w:t>celebrada el pasado 03 de Abril de 2020, en donde se acordó:</w:t>
      </w:r>
    </w:p>
    <w:p>
      <w:pPr>
        <w:pStyle w:val="Normal"/>
        <w:jc w:val="center"/>
        <w:rPr>
          <w:rFonts w:ascii="Bookman Old Style" w:hAnsi="Bookman Old Style"/>
          <w:b/>
          <w:b/>
          <w:bCs/>
          <w:i/>
          <w:i/>
          <w:color w:val="000000" w:themeColor="text1"/>
          <w:sz w:val="20"/>
          <w:szCs w:val="20"/>
          <w:u w:val="single"/>
        </w:rPr>
      </w:pPr>
      <w:r>
        <w:rPr>
          <w:rFonts w:ascii="Bookman Old Style" w:hAnsi="Bookman Old Style"/>
          <w:b/>
          <w:bCs/>
          <w:i/>
          <w:color w:val="000000" w:themeColor="text1"/>
          <w:sz w:val="20"/>
          <w:szCs w:val="20"/>
          <w:u w:val="single"/>
        </w:rPr>
        <w:t>“</w:t>
      </w:r>
      <w:r>
        <w:rPr>
          <w:rFonts w:ascii="Bookman Old Style" w:hAnsi="Bookman Old Style"/>
          <w:b/>
          <w:bCs/>
          <w:i/>
          <w:color w:val="000000" w:themeColor="text1"/>
          <w:sz w:val="20"/>
          <w:szCs w:val="20"/>
          <w:u w:val="single"/>
        </w:rPr>
        <w:t>ARTICULO XIV</w:t>
      </w:r>
    </w:p>
    <w:p>
      <w:pPr>
        <w:pStyle w:val="Xmsonormal"/>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La Dirección Nacional de Justicia Restaurativa remitió el Oficio 048-DNJR-20/Mag. Gerardo Rubén Alfaro de 9 de marzo de 2020, el cual se hizo de conocimiento de las y los integrantes de la Subcomisión de Acceso a la Justicia de Pueblos Indígenas. A la vez, a efecto de dar una respuesta oportuna, se les solicitó informar en el plazo de 3 días:</w:t>
      </w:r>
    </w:p>
    <w:p>
      <w:pPr>
        <w:pStyle w:val="Xmsonormal"/>
        <w:spacing w:lineRule="auto" w:line="276"/>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 </w:t>
      </w:r>
    </w:p>
    <w:p>
      <w:pPr>
        <w:pStyle w:val="Xmsolistparagraph"/>
        <w:spacing w:lineRule="auto" w:line="276" w:before="280" w:after="280"/>
        <w:ind w:hanging="36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 xml:space="preserve">1. Si alguna de las personas integrantes de la Subcomisión tiene disposición de apoyar a la DNJR en la construcción del diseño de capacitación de </w:t>
      </w:r>
      <w:r>
        <w:rPr>
          <w:rFonts w:ascii="Bookman Old Style" w:hAnsi="Bookman Old Style"/>
          <w:i/>
          <w:iCs/>
          <w:color w:val="000000" w:themeColor="text1"/>
          <w:sz w:val="20"/>
          <w:szCs w:val="20"/>
        </w:rPr>
        <w:t>Atención de población indígenas con enfoque restaurativo</w:t>
      </w:r>
      <w:r>
        <w:rPr>
          <w:rFonts w:ascii="Bookman Old Style" w:hAnsi="Bookman Old Style"/>
          <w:i/>
          <w:color w:val="000000" w:themeColor="text1"/>
          <w:sz w:val="20"/>
          <w:szCs w:val="20"/>
        </w:rPr>
        <w:t xml:space="preserve"> para personal judicial y autoridades institucionales.</w:t>
      </w:r>
    </w:p>
    <w:p>
      <w:pPr>
        <w:pStyle w:val="Xmsolistparagraph"/>
        <w:spacing w:lineRule="auto" w:line="276" w:before="280" w:after="280"/>
        <w:ind w:hanging="36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2.   Sugerencias de al menos una persona líder y una lideresa indígena por zona: Salitre, Cabagra y Térraba, para que se integren a la construcción del diseño de capacitación, mencionado en el punto número uno. En el caso de Térraba sugiero a don Pablo Sibar.</w:t>
      </w:r>
    </w:p>
    <w:p>
      <w:pPr>
        <w:pStyle w:val="Xmsonormal"/>
        <w:spacing w:lineRule="auto" w:line="276"/>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 </w:t>
      </w:r>
    </w:p>
    <w:p>
      <w:pPr>
        <w:pStyle w:val="Xmsolistparagraph"/>
        <w:numPr>
          <w:ilvl w:val="0"/>
          <w:numId w:val="4"/>
        </w:numPr>
        <w:spacing w:lineRule="auto" w:line="276" w:beforeAutospacing="0" w:before="280" w:afterAutospacing="0" w:after="28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Sugerencias de al menos 2 líderes y 2 lideresas de cada uno de los pueblos: Salitre, Cabagra y Térraba, para invitarles a realizar, en forma conjunta, la construcción del “Protocolo de Justicia Penal Restaurativa para la atención de casos con intervinientes indígenas” y de igual forma, el nombre de alguna persona de la Subcomisión de Asuntos Indígenas, que colabore en esta elaboración. Por Térraba sugiero a don Pablo Sibar.</w:t>
      </w:r>
    </w:p>
    <w:p>
      <w:pPr>
        <w:pStyle w:val="Xmsolistparagraph"/>
        <w:spacing w:lineRule="auto" w:line="276" w:before="280" w:after="28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r>
    </w:p>
    <w:p>
      <w:pPr>
        <w:pStyle w:val="Xmsolistparagraph"/>
        <w:spacing w:lineRule="auto" w:line="276" w:before="280" w:after="28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 xml:space="preserve">El señor Jean Carlo Monge, juez Penal, en comunicado electrónico del 24 de marzo pasado, señaló: </w:t>
      </w:r>
    </w:p>
    <w:p>
      <w:pPr>
        <w:pStyle w:val="Xmsolistparagraph"/>
        <w:spacing w:lineRule="auto" w:line="276" w:before="280" w:after="280"/>
        <w:jc w:val="both"/>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w:t>
      </w:r>
      <w:r>
        <w:rPr>
          <w:rFonts w:ascii="Bookman Old Style" w:hAnsi="Bookman Old Style"/>
          <w:i/>
          <w:iCs/>
          <w:color w:val="000000" w:themeColor="text1"/>
          <w:sz w:val="20"/>
          <w:szCs w:val="20"/>
        </w:rPr>
        <w:t>En cuanto al punto 1 y por supuesto en respeto de lo que indique la Subcomisión, mi persona estaría interesada en apoyar a la DNJR. Sin embargo, por la carga de trabajo que actualmente tengo y otras obligaciones que se derivan de mi cargo, me gustaría saber si existe un calendario de actividades de dicha Dirección, a efecto de programarme y conversarlo con la coordinación de mi oficina. En cuanto a los puntos 2 y 3, por Cabagra se podría pensar en el señor Rafael Delgado y don José Maximiliano Torres. El primero como integrante del Tribunal de Derecho Propio y el segundo como integrante del Consejo de Mayores. Ambos tienen posiciones disímiles en cuanto a varios aspectos de la temática indígena, por lo que resultaría importante contar con la visión de ambos.”</w:t>
      </w:r>
    </w:p>
    <w:p>
      <w:pPr>
        <w:pStyle w:val="Xmsolistparagraph"/>
        <w:spacing w:lineRule="auto" w:line="276" w:before="280" w:after="28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r>
    </w:p>
    <w:p>
      <w:pPr>
        <w:pStyle w:val="Xmsolistparagraph"/>
        <w:spacing w:lineRule="auto" w:line="276" w:before="280" w:after="280"/>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 xml:space="preserve">La señora Ligia Jiménez, Defensora Pública Indígena, informó: </w:t>
      </w:r>
    </w:p>
    <w:p>
      <w:pPr>
        <w:pStyle w:val="Normal"/>
        <w:jc w:val="both"/>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w:t>
      </w:r>
      <w:r>
        <w:rPr>
          <w:rFonts w:ascii="Bookman Old Style" w:hAnsi="Bookman Old Style"/>
          <w:i/>
          <w:iCs/>
          <w:color w:val="000000" w:themeColor="text1"/>
          <w:sz w:val="20"/>
          <w:szCs w:val="20"/>
        </w:rPr>
        <w:t>Buenas tardes estimadas señoras y señores. Reciban un cordial saludo. Reenvío el correo que remití en horas de la mañana, y lo amplío en el siguiente sentido: Después de conversar con la Coordinadora de la Unidad de Justicia Restaurativa de la Defensa Pública, y valorando la necesaria visión que desde nuestra Institución se debe tener en Justicia Restaurativa, también quisiéramos formar parte del diseño de la Capacitación, junto con el Lic. Monge Madrigal. Las personas interesadas seríamos la Licda. Adriana Gómez Calderón, y   mi persona. Buenos días, me parece muy bien que el compañero Monge Madrigal participe en esta construcción. Desde la Defensa Pública la Lic. Adriana Gómez como coordinadora de Justicia Restaurativa, y mi persona, participamos en la construcción del Protocolo. En cuanto al punto 2 es importante que en todos los casos haya mujeres lideresas, en este caso sugiero que Valeria Varas que trabaja con las mujeres indígenas nos pueda indicar varios nombres, según los grupos a los que ellas representan. En cuanto al punto 3, desde la Defensa Pública se ha indicado, que en Salitre hay por lo menos de 5 a 6 grupos con miradas diferentes, por lo que habría que reunirse con cada grupo por separado, de lo contrario se escucharían parcialmente a unas personas y otras no, y sesgaría la forma de resolución, además resulta necesario, como lo indicó doña Valeria Varas en la reunión de la Sub Comisión, que se integren mujeres en esta construcción. Me parece que quien maneja más adecuadamente los diferentes grupos es la Defensoría de los Habitantes, por lo que invito a Marjorie Herrera para nos pueda decir los posibles nombres de personas por grupo. En ese lugar como mínimo habría que hacer 5 reuniones. En el caso de Cabagra, me parece que hay tres grupos definidos, y en Térraba también, por lo que hablaríamos de seis reuniones más. Recordemos que la idea es construir un protocolo, no llevar un documento para que las personas indígenas lo validen.”</w:t>
      </w:r>
    </w:p>
    <w:p>
      <w:pPr>
        <w:pStyle w:val="Normal"/>
        <w:jc w:val="both"/>
        <w:rPr>
          <w:rFonts w:ascii="Bookman Old Style" w:hAnsi="Bookman Old Style"/>
          <w:i/>
          <w:i/>
          <w:iCs/>
          <w:color w:val="000000" w:themeColor="text1"/>
          <w:sz w:val="20"/>
          <w:szCs w:val="20"/>
        </w:rPr>
      </w:pPr>
      <w:r>
        <w:rPr>
          <w:rFonts w:ascii="Bookman Old Style" w:hAnsi="Bookman Old Style"/>
          <w:i/>
          <w:iCs/>
          <w:color w:val="000000" w:themeColor="text1"/>
          <w:sz w:val="20"/>
          <w:szCs w:val="20"/>
        </w:rPr>
      </w:r>
    </w:p>
    <w:p>
      <w:pPr>
        <w:pStyle w:val="Normal"/>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Por su parte, el señor Carlos Romero, Contralor de servicios del Primer Circuito Judicial de la Zona Sur, señaló:</w:t>
      </w:r>
    </w:p>
    <w:p>
      <w:pPr>
        <w:pStyle w:val="Xmsonormal"/>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t>“</w:t>
      </w:r>
      <w:r>
        <w:rPr>
          <w:rFonts w:ascii="Bookman Old Style" w:hAnsi="Bookman Old Style"/>
          <w:i/>
          <w:color w:val="000000" w:themeColor="text1"/>
          <w:sz w:val="20"/>
          <w:szCs w:val="20"/>
        </w:rPr>
        <w:t>Respecto a su solicitud, la opinión por parte de la Contraloría de Servicios va muy de acorde al criterio de otras personas integrantes de la Subcomisión.  Al no tener conocimiento de las personas líderes o lideresas de los diferentes territorios, y los perfiles que se necesitan para el trabajo de la construcción del Diseño de Capacitación, así como para el Protocolo de Justicia Penal Restaurativa, consideramos importante, que la búsqueda de estas personas se realice por medio de las organizaciones correspondientes y con los perfiles necesarios, para poder cumplir con los objetivos propuestos. Lo anterior, nos asegura, continuar con la línea que hemos venido implementando de participación ciudadana, no solo dando cumplimiento a la política existente, sino a toda la normativa vigente, relacionada con este tipo de población. Espero dejarle debidamente informada.”</w:t>
      </w:r>
    </w:p>
    <w:p>
      <w:pPr>
        <w:pStyle w:val="Xmsonormal"/>
        <w:jc w:val="both"/>
        <w:rPr>
          <w:rFonts w:ascii="Bookman Old Style" w:hAnsi="Bookman Old Style"/>
          <w:i/>
          <w:i/>
          <w:color w:val="000000" w:themeColor="text1"/>
          <w:sz w:val="20"/>
          <w:szCs w:val="20"/>
        </w:rPr>
      </w:pPr>
      <w:r>
        <w:rPr>
          <w:rFonts w:ascii="Bookman Old Style" w:hAnsi="Bookman Old Style"/>
          <w:i/>
          <w:color w:val="000000" w:themeColor="text1"/>
          <w:sz w:val="20"/>
          <w:szCs w:val="20"/>
        </w:rPr>
      </w:r>
    </w:p>
    <w:p>
      <w:pPr>
        <w:pStyle w:val="Normal"/>
        <w:numPr>
          <w:ilvl w:val="0"/>
          <w:numId w:val="0"/>
        </w:numPr>
        <w:outlineLvl w:val="0"/>
        <w:rPr>
          <w:rFonts w:ascii="Bookman Old Style" w:hAnsi="Bookman Old Style"/>
          <w:b/>
          <w:b/>
          <w:bCs/>
          <w:i/>
          <w:i/>
          <w:color w:val="000000" w:themeColor="text1"/>
          <w:sz w:val="20"/>
          <w:szCs w:val="20"/>
          <w:lang w:val="es-ES"/>
        </w:rPr>
      </w:pPr>
      <w:r>
        <w:rPr>
          <w:rFonts w:ascii="Bookman Old Style" w:hAnsi="Bookman Old Style"/>
          <w:b/>
          <w:bCs/>
          <w:i/>
          <w:color w:val="000000" w:themeColor="text1"/>
          <w:sz w:val="20"/>
          <w:szCs w:val="20"/>
          <w:lang w:val="es-ES"/>
        </w:rPr>
      </w:r>
    </w:p>
    <w:p>
      <w:pPr>
        <w:pStyle w:val="Normal"/>
        <w:numPr>
          <w:ilvl w:val="0"/>
          <w:numId w:val="0"/>
        </w:numPr>
        <w:outlineLvl w:val="0"/>
        <w:rPr>
          <w:rFonts w:ascii="Bookman Old Style" w:hAnsi="Bookman Old Style"/>
          <w:i/>
          <w:i/>
          <w:color w:val="000000" w:themeColor="text1"/>
          <w:sz w:val="20"/>
          <w:szCs w:val="20"/>
          <w:lang w:val="es-ES"/>
        </w:rPr>
      </w:pPr>
      <w:r>
        <w:rPr>
          <w:rFonts w:ascii="Bookman Old Style" w:hAnsi="Bookman Old Style"/>
          <w:i/>
          <w:color w:val="000000" w:themeColor="text1"/>
          <w:sz w:val="20"/>
          <w:szCs w:val="20"/>
          <w:lang w:val="es-ES"/>
        </w:rPr>
        <w:t xml:space="preserve">La señora Flor Arroyo Morera de la Escuela Judicial, en comunicado electrónico del 27 de marzo de 2020, 4:04 p. m., señaló: </w:t>
      </w:r>
    </w:p>
    <w:p>
      <w:pPr>
        <w:pStyle w:val="Normal"/>
        <w:numPr>
          <w:ilvl w:val="0"/>
          <w:numId w:val="0"/>
        </w:numPr>
        <w:jc w:val="both"/>
        <w:outlineLvl w:val="0"/>
        <w:rPr>
          <w:rFonts w:ascii="Bookman Old Style" w:hAnsi="Bookman Old Style"/>
          <w:i/>
          <w:i/>
          <w:iCs/>
          <w:color w:val="000000" w:themeColor="text1"/>
          <w:sz w:val="20"/>
          <w:szCs w:val="20"/>
        </w:rPr>
      </w:pPr>
      <w:r>
        <w:rPr>
          <w:rFonts w:ascii="Bookman Old Style" w:hAnsi="Bookman Old Style"/>
          <w:i/>
          <w:iCs/>
          <w:color w:val="000000" w:themeColor="text1"/>
          <w:sz w:val="20"/>
          <w:szCs w:val="20"/>
          <w:lang w:val="es-ES"/>
        </w:rPr>
        <w:t xml:space="preserve">“… </w:t>
      </w:r>
      <w:r>
        <w:rPr>
          <w:rFonts w:ascii="Bookman Old Style" w:hAnsi="Bookman Old Style"/>
          <w:i/>
          <w:iCs/>
          <w:color w:val="000000" w:themeColor="text1"/>
          <w:sz w:val="20"/>
          <w:szCs w:val="20"/>
        </w:rPr>
        <w:t>De conformidad con su solicitud de crear el perfil de las personas indígenas que colaborarán con el diseño de la actividad académica y de la creación del protocolo, nuestra especialista en métodos de enseñanza, doña Marisol Barboza, ha propuesto el siguiente perfil:</w:t>
      </w:r>
    </w:p>
    <w:p>
      <w:pPr>
        <w:pStyle w:val="Normal"/>
        <w:numPr>
          <w:ilvl w:val="0"/>
          <w:numId w:val="5"/>
        </w:numPr>
        <w:spacing w:beforeAutospacing="1" w:after="0"/>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líder o lideresa de un pueblo indígena,</w:t>
      </w:r>
    </w:p>
    <w:p>
      <w:pPr>
        <w:pStyle w:val="Normal"/>
        <w:numPr>
          <w:ilvl w:val="0"/>
          <w:numId w:val="5"/>
        </w:numPr>
        <w:spacing w:before="0" w:after="0"/>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persona conocedora de la labor del Poder Judicial,</w:t>
      </w:r>
    </w:p>
    <w:p>
      <w:pPr>
        <w:pStyle w:val="Normal"/>
        <w:numPr>
          <w:ilvl w:val="0"/>
          <w:numId w:val="5"/>
        </w:numPr>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persona conocedora de los procesos de acuerdo dentro de los pueblos indígenas,</w:t>
      </w:r>
    </w:p>
    <w:p>
      <w:pPr>
        <w:pStyle w:val="Normal"/>
        <w:numPr>
          <w:ilvl w:val="0"/>
          <w:numId w:val="5"/>
        </w:numPr>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que hable español, (esto puede resolverse con una persona traductora)</w:t>
      </w:r>
    </w:p>
    <w:p>
      <w:pPr>
        <w:pStyle w:val="Normal"/>
        <w:numPr>
          <w:ilvl w:val="0"/>
          <w:numId w:val="5"/>
        </w:numPr>
        <w:spacing w:before="0" w:afterAutospacing="1"/>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con disposición para colaborar.</w:t>
      </w:r>
    </w:p>
    <w:p>
      <w:pPr>
        <w:pStyle w:val="Normal"/>
        <w:rPr>
          <w:rFonts w:ascii="Bookman Old Style" w:hAnsi="Bookman Old Style"/>
          <w:i/>
          <w:i/>
          <w:iCs/>
          <w:color w:val="000000" w:themeColor="text1"/>
          <w:sz w:val="20"/>
          <w:szCs w:val="20"/>
        </w:rPr>
      </w:pPr>
      <w:r>
        <w:rPr>
          <w:rFonts w:ascii="Bookman Old Style" w:hAnsi="Bookman Old Style"/>
          <w:i/>
          <w:iCs/>
          <w:color w:val="000000" w:themeColor="text1"/>
          <w:sz w:val="20"/>
          <w:szCs w:val="20"/>
        </w:rPr>
        <w:t>El correo de doña Marisol se encuentra de seguido, por si quisieran tomar nota de las recomendaciones que ella propone para este proceso.”</w:t>
      </w:r>
    </w:p>
    <w:p>
      <w:pPr>
        <w:pStyle w:val="Normal"/>
        <w:rPr>
          <w:rFonts w:ascii="Bookman Old Style" w:hAnsi="Bookman Old Style"/>
          <w:i/>
          <w:i/>
          <w:iCs/>
          <w:color w:val="000000" w:themeColor="text1"/>
          <w:sz w:val="20"/>
          <w:szCs w:val="20"/>
        </w:rPr>
      </w:pPr>
      <w:r>
        <w:rPr>
          <w:rFonts w:ascii="Bookman Old Style" w:hAnsi="Bookman Old Style"/>
          <w:i/>
          <w:iCs/>
          <w:color w:val="000000" w:themeColor="text1"/>
          <w:sz w:val="20"/>
          <w:szCs w:val="20"/>
        </w:rPr>
      </w:r>
    </w:p>
    <w:p>
      <w:pPr>
        <w:pStyle w:val="Normal"/>
        <w:rPr>
          <w:rFonts w:ascii="Bookman Old Style" w:hAnsi="Bookman Old Style"/>
          <w:i/>
          <w:i/>
          <w:iCs/>
          <w:color w:val="000000" w:themeColor="text1"/>
          <w:sz w:val="20"/>
          <w:szCs w:val="20"/>
        </w:rPr>
      </w:pPr>
      <w:r>
        <w:rPr>
          <w:rFonts w:ascii="Bookman Old Style" w:hAnsi="Bookman Old Style"/>
          <w:i/>
          <w:iCs/>
          <w:color w:val="000000" w:themeColor="text1"/>
          <w:sz w:val="20"/>
          <w:szCs w:val="20"/>
        </w:rPr>
      </w:r>
    </w:p>
    <w:p>
      <w:pPr>
        <w:pStyle w:val="Normal"/>
        <w:rPr>
          <w:rFonts w:ascii="Bookman Old Style" w:hAnsi="Bookman Old Style"/>
          <w:i/>
          <w:i/>
          <w:iCs/>
          <w:color w:val="000000" w:themeColor="text1"/>
          <w:sz w:val="20"/>
          <w:szCs w:val="20"/>
        </w:rPr>
      </w:pPr>
      <w:r>
        <w:rPr>
          <w:rFonts w:ascii="Bookman Old Style" w:hAnsi="Bookman Old Style"/>
          <w:i/>
          <w:iCs/>
          <w:color w:val="000000" w:themeColor="text1"/>
          <w:sz w:val="20"/>
          <w:szCs w:val="20"/>
        </w:rPr>
      </w:r>
    </w:p>
    <w:p>
      <w:pPr>
        <w:pStyle w:val="Normal"/>
        <w:rPr>
          <w:rFonts w:ascii="Bookman Old Style" w:hAnsi="Bookman Old Style"/>
          <w:i/>
          <w:i/>
          <w:iCs/>
          <w:color w:val="000000" w:themeColor="text1"/>
          <w:sz w:val="20"/>
          <w:szCs w:val="20"/>
        </w:rPr>
      </w:pPr>
      <w:r>
        <w:rPr>
          <w:rFonts w:ascii="Bookman Old Style" w:hAnsi="Bookman Old Style"/>
          <w:i/>
          <w:iCs/>
          <w:color w:val="000000" w:themeColor="text1"/>
          <w:sz w:val="20"/>
          <w:szCs w:val="20"/>
        </w:rPr>
      </w:r>
    </w:p>
    <w:p>
      <w:pPr>
        <w:pStyle w:val="Xmsonormal"/>
        <w:rPr>
          <w:rFonts w:ascii="Bookman Old Style" w:hAnsi="Bookman Old Style"/>
          <w:i/>
          <w:i/>
          <w:color w:val="000000" w:themeColor="text1"/>
          <w:sz w:val="20"/>
          <w:szCs w:val="20"/>
        </w:rPr>
      </w:pPr>
      <w:r>
        <w:rPr>
          <w:rFonts w:ascii="Bookman Old Style" w:hAnsi="Bookman Old Style"/>
          <w:i/>
          <w:color w:val="000000" w:themeColor="text1"/>
          <w:sz w:val="20"/>
          <w:szCs w:val="20"/>
        </w:rPr>
        <w:t> </w:t>
      </w:r>
    </w:p>
    <w:p>
      <w:pPr>
        <w:pStyle w:val="Xmsolistparagraph"/>
        <w:spacing w:lineRule="auto" w:line="276" w:before="280" w:after="280"/>
        <w:jc w:val="both"/>
        <w:rPr>
          <w:rFonts w:ascii="Bookman Old Style" w:hAnsi="Bookman Old Style"/>
          <w:i/>
          <w:i/>
          <w:color w:val="000000" w:themeColor="text1"/>
          <w:sz w:val="20"/>
          <w:szCs w:val="20"/>
        </w:rPr>
      </w:pPr>
      <w:r>
        <w:rPr>
          <w:rFonts w:ascii="Bookman Old Style" w:hAnsi="Bookman Old Style"/>
          <w:b/>
          <w:bCs/>
          <w:i/>
          <w:color w:val="000000" w:themeColor="text1"/>
          <w:sz w:val="20"/>
          <w:szCs w:val="20"/>
          <w:u w:val="single"/>
        </w:rPr>
        <w:t>SE ACUERDA:</w:t>
      </w:r>
      <w:r>
        <w:rPr>
          <w:rFonts w:ascii="Bookman Old Style" w:hAnsi="Bookman Old Style"/>
          <w:i/>
          <w:color w:val="000000" w:themeColor="text1"/>
          <w:sz w:val="20"/>
          <w:szCs w:val="20"/>
        </w:rPr>
        <w:t xml:space="preserve"> </w:t>
      </w:r>
      <w:r>
        <w:rPr>
          <w:rFonts w:ascii="Bookman Old Style" w:hAnsi="Bookman Old Style"/>
          <w:b/>
          <w:bCs/>
          <w:i/>
          <w:color w:val="000000" w:themeColor="text1"/>
          <w:sz w:val="20"/>
          <w:szCs w:val="20"/>
        </w:rPr>
        <w:t>1°</w:t>
      </w:r>
      <w:r>
        <w:rPr>
          <w:rFonts w:ascii="Bookman Old Style" w:hAnsi="Bookman Old Style"/>
          <w:i/>
          <w:color w:val="000000" w:themeColor="text1"/>
          <w:sz w:val="20"/>
          <w:szCs w:val="20"/>
        </w:rPr>
        <w:t xml:space="preserve"> Se toma nota del Oficio 048-DNJR-20/Mag. Gerardo Rubén Alfaro de 9 de marzo de 2020, dirigido por la Dirección Nacional de Justicia Restaurativa y de la integrante Ligia Jiménez, Defensora Pública Indígena, el señor Jean Carlos Monge, juez penal y el señor Carlos Romero, Contralor de Servicios del Primer Circuito Judicial de la Zona Sur. </w:t>
      </w:r>
      <w:r>
        <w:rPr>
          <w:rFonts w:ascii="Bookman Old Style" w:hAnsi="Bookman Old Style"/>
          <w:b/>
          <w:bCs/>
          <w:i/>
          <w:color w:val="000000" w:themeColor="text1"/>
          <w:sz w:val="20"/>
          <w:szCs w:val="20"/>
        </w:rPr>
        <w:t>2°</w:t>
      </w:r>
      <w:r>
        <w:rPr>
          <w:rFonts w:ascii="Bookman Old Style" w:hAnsi="Bookman Old Style"/>
          <w:i/>
          <w:color w:val="000000" w:themeColor="text1"/>
          <w:sz w:val="20"/>
          <w:szCs w:val="20"/>
        </w:rPr>
        <w:t xml:space="preserve"> Solicitar a las Unidades de Capacitación y a la DNJR incluir en el proceso de construcción de los diseños de capacitación a personas indígenas, mujeres y hombres, representantes de pueblos indígenas, con el objetivo de que participen activamente en su elaboración en cumplimiento de la Circular 188-19 de Corte Plena, quienes cuenten con el perfil específico que se construya para esa población, luego de la propuesta formulada por la señora Marisol Barboza Rodríguez, especialista en métodos de enseñanza. De igual forma, instar a la DNJR incorpore población indígena para que participe en el proceso de construcción del Protocolo de Justicia Penal Restaurativa. Tomando en consideración que en los territorios indígenas hay diferentes tipos de liderazgos de la población indígena, lo ideal es contar con personas que puedan aportar sustancialmente e incidir en la construcción de ambos procesos, no en forma accesoria. Con el objetivo de que la participación no sea impuesta desde el Poder Judicial, y garantizar que la designación se realice desde los pueblos indígenas, se dispone a solicitar a la Defensoría de los Habitantes de la República colaboración para que, en forma coordinada con la Contraloría de Servicios del Poder Judicial, se pueda tener contacto con las diferentes organizaciones de personas indígenas y los listados. En tanto se superan las limitaciones generadas por la Pandemia Covid-19, y para mayor celeridad, instar a la Defensoría de los Habitantes de la República colaboración para poder contactar al Grupo de Peticionarios de las Medidas Cautelares 321-12 de la CIDH que cubre a los pueblos de Salitre y Térraba, el Foro Nacional de Mujeres Indígenas; además, al Tribunal de Derecho Propio de Boruca, Tribunal de Derecho Propio de Cabagra y el Tribunal Indígena de Bribri Talamanca, a fin de que designen una persona por cada organización que colabore con el diseño y la ejecución de las actividades de capacitación. Para hacer efectiva la participación de las personas indígenas, remitir solicitud a la Escuela Judicial acerca de la posibilidad de contar con recursos institucionales para cubrir la alimentación, viáticos y demás requerimientos de las personas indígenas; así como a las y los representantes ante la Subcomisión del INAMU, la DHR y el Viceministerio de Diálogo Ciudadano, entre otros, a efecto de informen si hay opciones de colaboración. Las personas indígenas seleccionadas se integrarán al Comité de Capacitación de la Subcomisión de Acceso a la Justicia de Pueblos Indígenas previamente seleccionado al que se incorporan además la señora Marjorie Herrera por la DHR y la señora Jovanna Calderón por la DNJR. </w:t>
      </w:r>
      <w:r>
        <w:rPr>
          <w:rFonts w:ascii="Bookman Old Style" w:hAnsi="Bookman Old Style"/>
          <w:b/>
          <w:bCs/>
          <w:i/>
          <w:color w:val="000000" w:themeColor="text1"/>
          <w:sz w:val="20"/>
          <w:szCs w:val="20"/>
        </w:rPr>
        <w:t>3°</w:t>
      </w:r>
      <w:r>
        <w:rPr>
          <w:rFonts w:ascii="Bookman Old Style" w:hAnsi="Bookman Old Style"/>
          <w:i/>
          <w:color w:val="000000" w:themeColor="text1"/>
          <w:sz w:val="20"/>
          <w:szCs w:val="20"/>
        </w:rPr>
        <w:t xml:space="preserve"> Se designa al juez Jean Carlos Monge para que coordine con la licenciada Ligia Jiménez, Defensora Pública Indígena y la señora Ariana Céspedes, Fiscala Indígena o a su suplente, la Fiscala Tatiana García, a efecto de que preparen una propuesta de capacitación integral que sirva de base al Comité de Capacitación para su análisis, previo a ser sometida a aprobación de la Subcomisión en pleno. </w:t>
      </w:r>
      <w:r>
        <w:rPr>
          <w:rFonts w:ascii="Bookman Old Style" w:hAnsi="Bookman Old Style"/>
          <w:b/>
          <w:bCs/>
          <w:i/>
          <w:color w:val="000000" w:themeColor="text1"/>
          <w:sz w:val="20"/>
          <w:szCs w:val="20"/>
        </w:rPr>
        <w:t>4°</w:t>
      </w:r>
      <w:r>
        <w:rPr>
          <w:rFonts w:ascii="Bookman Old Style" w:hAnsi="Bookman Old Style"/>
          <w:i/>
          <w:color w:val="000000" w:themeColor="text1"/>
          <w:sz w:val="20"/>
          <w:szCs w:val="20"/>
        </w:rPr>
        <w:t xml:space="preserve"> Se tiene por planteado el perfil de las personas indígenas que participarán en el proceso de construcción de la capacitación, propuesto por la señora Marisol Barboza Rodríguez, especialista en métodos de enseñanza de la Escuela Judicial, en el que se señala debe tratarse de personas indígenas: a) líder o lideresa de un pueblo indígena, b) persona conocedora de la labor del Poder Judicial, c) persona conocedora de los procesos de acuerdo dentro de los pueblos indígenas, d) que hable español o en su defecto se le asignará una persona traductora, y con disposición para colaborar. </w:t>
      </w:r>
      <w:r>
        <w:rPr>
          <w:rFonts w:ascii="Bookman Old Style" w:hAnsi="Bookman Old Style"/>
          <w:b/>
          <w:bCs/>
          <w:i/>
          <w:color w:val="000000" w:themeColor="text1"/>
          <w:sz w:val="20"/>
          <w:szCs w:val="20"/>
        </w:rPr>
        <w:t xml:space="preserve">5° </w:t>
      </w:r>
      <w:r>
        <w:rPr>
          <w:rFonts w:ascii="Bookman Old Style" w:hAnsi="Bookman Old Style"/>
          <w:i/>
          <w:color w:val="000000" w:themeColor="text1"/>
          <w:sz w:val="20"/>
          <w:szCs w:val="20"/>
        </w:rPr>
        <w:t>Se declara firme este acuerdo por unanimidad para su ejecución. Comuníquese integralmente a la DNJR, la DHR, la Escuela Judicial y Unidades de Capacitación del Poder Judicial; además, a las y los integrantes del Comité de Capacitación de la Subcomisión de Acceso a la Justicia de Pueblos Indígenas; para lo que se solicitará colaboración a la Unidad de Acceso a la Justicia.</w:t>
      </w:r>
    </w:p>
    <w:p>
      <w:pPr>
        <w:pStyle w:val="Xmsolistparagraph"/>
        <w:spacing w:lineRule="auto" w:line="276" w:before="280" w:after="280"/>
        <w:jc w:val="center"/>
        <w:rPr>
          <w:rFonts w:ascii="Bookman Old Style" w:hAnsi="Bookman Old Style"/>
          <w:b/>
          <w:b/>
          <w:bCs/>
          <w:color w:val="000000" w:themeColor="text1"/>
          <w:sz w:val="20"/>
          <w:szCs w:val="20"/>
          <w:u w:val="single"/>
        </w:rPr>
      </w:pPr>
      <w:r>
        <w:rPr>
          <w:rFonts w:ascii="Bookman Old Style" w:hAnsi="Bookman Old Style"/>
          <w:b/>
          <w:bCs/>
          <w:color w:val="000000" w:themeColor="text1"/>
          <w:sz w:val="20"/>
          <w:szCs w:val="20"/>
          <w:u w:val="single"/>
        </w:rPr>
      </w:r>
    </w:p>
    <w:p>
      <w:pPr>
        <w:pStyle w:val="Normal"/>
        <w:spacing w:lineRule="auto" w:line="360"/>
        <w:jc w:val="center"/>
        <w:rPr>
          <w:rFonts w:ascii="Bookman Old Style" w:hAnsi="Bookman Old Style"/>
          <w:b/>
          <w:b/>
          <w:color w:val="000000" w:themeColor="text1"/>
          <w:sz w:val="20"/>
          <w:szCs w:val="20"/>
          <w:u w:val="single"/>
        </w:rPr>
      </w:pPr>
      <w:r>
        <w:rPr>
          <w:rFonts w:ascii="Bookman Old Style" w:hAnsi="Bookman Old Style"/>
          <w:b/>
          <w:color w:val="000000" w:themeColor="text1"/>
          <w:sz w:val="20"/>
          <w:szCs w:val="20"/>
          <w:u w:val="single"/>
        </w:rPr>
      </w:r>
    </w:p>
    <w:p>
      <w:pPr>
        <w:pStyle w:val="Normal"/>
        <w:tabs>
          <w:tab w:val="clear" w:pos="708"/>
          <w:tab w:val="left" w:pos="720" w:leader="none"/>
        </w:tabs>
        <w:jc w:val="both"/>
        <w:rPr>
          <w:rFonts w:ascii="Bookman Old Style" w:hAnsi="Bookman Old Style"/>
          <w:sz w:val="20"/>
          <w:szCs w:val="20"/>
        </w:rPr>
      </w:pPr>
      <w:r>
        <w:rPr>
          <w:rFonts w:ascii="Bookman Old Style" w:hAnsi="Bookman Old Style"/>
          <w:sz w:val="20"/>
          <w:szCs w:val="20"/>
        </w:rPr>
        <w:t xml:space="preserve">Cordialmente. </w:t>
      </w:r>
    </w:p>
    <w:p>
      <w:pPr>
        <w:pStyle w:val="Normal"/>
        <w:tabs>
          <w:tab w:val="clear" w:pos="708"/>
          <w:tab w:val="left" w:pos="720" w:leader="none"/>
        </w:tabs>
        <w:jc w:val="both"/>
        <w:rPr>
          <w:rFonts w:ascii="Bookman Old Style" w:hAnsi="Bookman Old Style"/>
          <w:sz w:val="20"/>
          <w:szCs w:val="20"/>
        </w:rPr>
      </w:pPr>
      <w:r>
        <w:rPr>
          <w:rFonts w:ascii="Bookman Old Style" w:hAnsi="Bookman Old Style"/>
          <w:sz w:val="20"/>
          <w:szCs w:val="20"/>
        </w:rPr>
      </w:r>
    </w:p>
    <w:p>
      <w:pPr>
        <w:pStyle w:val="Normal"/>
        <w:tabs>
          <w:tab w:val="clear" w:pos="708"/>
          <w:tab w:val="left" w:pos="720" w:leader="none"/>
        </w:tabs>
        <w:spacing w:before="0" w:after="0"/>
        <w:contextualSpacing/>
        <w:jc w:val="center"/>
        <w:rPr>
          <w:rFonts w:ascii="Bookman Old Style" w:hAnsi="Bookman Old Style"/>
          <w:b/>
          <w:b/>
          <w:sz w:val="20"/>
          <w:szCs w:val="20"/>
        </w:rPr>
      </w:pPr>
      <w:r>
        <w:rPr>
          <w:rFonts w:ascii="Bookman Old Style" w:hAnsi="Bookman Old Style"/>
          <w:b/>
          <w:sz w:val="20"/>
          <w:szCs w:val="20"/>
        </w:rPr>
        <w:t>Máster Melissa Benavides Víquez</w:t>
      </w:r>
    </w:p>
    <w:p>
      <w:pPr>
        <w:pStyle w:val="Normal"/>
        <w:tabs>
          <w:tab w:val="clear" w:pos="708"/>
          <w:tab w:val="left" w:pos="720" w:leader="none"/>
        </w:tabs>
        <w:spacing w:before="0" w:after="0"/>
        <w:contextualSpacing/>
        <w:jc w:val="center"/>
        <w:rPr>
          <w:rFonts w:ascii="Bookman Old Style" w:hAnsi="Bookman Old Style"/>
          <w:b/>
          <w:b/>
          <w:sz w:val="20"/>
          <w:szCs w:val="20"/>
        </w:rPr>
      </w:pPr>
      <w:r>
        <w:rPr>
          <w:rFonts w:ascii="Bookman Old Style" w:hAnsi="Bookman Old Style"/>
          <w:b/>
          <w:sz w:val="20"/>
          <w:szCs w:val="20"/>
        </w:rPr>
        <w:t>Coordinadora</w:t>
      </w:r>
    </w:p>
    <w:p>
      <w:pPr>
        <w:pStyle w:val="Normal"/>
        <w:tabs>
          <w:tab w:val="clear" w:pos="708"/>
          <w:tab w:val="left" w:pos="720" w:leader="none"/>
        </w:tabs>
        <w:spacing w:before="0" w:after="0"/>
        <w:contextualSpacing/>
        <w:jc w:val="center"/>
        <w:rPr>
          <w:rFonts w:ascii="Bookman Old Style" w:hAnsi="Bookman Old Style"/>
          <w:b/>
          <w:b/>
          <w:sz w:val="20"/>
          <w:szCs w:val="20"/>
        </w:rPr>
      </w:pPr>
      <w:r>
        <w:rPr>
          <w:rFonts w:ascii="Bookman Old Style" w:hAnsi="Bookman Old Style"/>
          <w:b/>
          <w:sz w:val="20"/>
          <w:szCs w:val="20"/>
        </w:rPr>
        <w:t>Unidad de Acceso a la Justicia</w:t>
      </w:r>
    </w:p>
    <w:p>
      <w:pPr>
        <w:pStyle w:val="Normal"/>
        <w:tabs>
          <w:tab w:val="clear" w:pos="708"/>
          <w:tab w:val="left" w:pos="720" w:leader="none"/>
        </w:tabs>
        <w:spacing w:before="0" w:after="0"/>
        <w:contextualSpacing/>
        <w:jc w:val="center"/>
        <w:rPr>
          <w:rFonts w:ascii="Bookman Old Style" w:hAnsi="Bookman Old Style"/>
          <w:b/>
          <w:b/>
          <w:sz w:val="20"/>
          <w:szCs w:val="20"/>
        </w:rPr>
      </w:pPr>
      <w:r>
        <w:rPr>
          <w:rFonts w:ascii="Bookman Old Style" w:hAnsi="Bookman Old Style"/>
          <w:b/>
          <w:sz w:val="20"/>
          <w:szCs w:val="20"/>
        </w:rPr>
        <w:t>Poder Judicial</w:t>
      </w:r>
    </w:p>
    <w:p>
      <w:pPr>
        <w:pStyle w:val="Normal"/>
        <w:tabs>
          <w:tab w:val="clear" w:pos="708"/>
          <w:tab w:val="left" w:pos="720" w:leader="none"/>
        </w:tabs>
        <w:spacing w:before="0" w:after="0"/>
        <w:contextualSpacing/>
        <w:jc w:val="both"/>
        <w:rPr>
          <w:rFonts w:ascii="Bookman Old Style" w:hAnsi="Bookman Old Style"/>
          <w:b/>
          <w:b/>
          <w:sz w:val="20"/>
          <w:szCs w:val="20"/>
        </w:rPr>
      </w:pPr>
      <w:r>
        <w:rPr>
          <w:rFonts w:ascii="Bookman Old Style" w:hAnsi="Bookman Old Style"/>
          <w:b/>
          <w:sz w:val="20"/>
          <w:szCs w:val="20"/>
        </w:rPr>
      </w:r>
    </w:p>
    <w:p>
      <w:pPr>
        <w:pStyle w:val="Normal"/>
        <w:tabs>
          <w:tab w:val="clear" w:pos="708"/>
          <w:tab w:val="left" w:pos="720" w:leader="none"/>
        </w:tabs>
        <w:spacing w:before="0" w:after="0"/>
        <w:contextualSpacing/>
        <w:jc w:val="both"/>
        <w:rPr>
          <w:rFonts w:ascii="Bookman Old Style" w:hAnsi="Bookman Old Style"/>
          <w:b/>
          <w:b/>
          <w:sz w:val="20"/>
          <w:szCs w:val="20"/>
        </w:rPr>
      </w:pPr>
      <w:r>
        <w:rPr>
          <w:rFonts w:ascii="Bookman Old Style" w:hAnsi="Bookman Old Style"/>
          <w:b/>
          <w:sz w:val="20"/>
          <w:szCs w:val="20"/>
        </w:rPr>
      </w:r>
    </w:p>
    <w:p>
      <w:pPr>
        <w:pStyle w:val="ListParagraph"/>
        <w:tabs>
          <w:tab w:val="clear" w:pos="708"/>
          <w:tab w:val="left" w:pos="720" w:leader="none"/>
        </w:tabs>
        <w:spacing w:lineRule="auto" w:line="276" w:before="0" w:after="200"/>
        <w:contextualSpacing/>
        <w:jc w:val="both"/>
        <w:rPr>
          <w:rFonts w:ascii="Bookman Old Style" w:hAnsi="Bookman Old Style" w:eastAsia="Calibri" w:eastAsiaTheme="minorHAnsi"/>
          <w:b/>
          <w:b/>
          <w:bCs/>
          <w:i/>
          <w:i/>
          <w:sz w:val="20"/>
        </w:rPr>
      </w:pPr>
      <w:r>
        <w:rPr>
          <w:rFonts w:eastAsia="Calibri" w:ascii="Bookman Old Style" w:hAnsi="Bookman Old Style" w:eastAsiaTheme="minorHAnsi"/>
          <w:b/>
          <w:bCs/>
          <w:i/>
          <w:sz w:val="20"/>
        </w:rPr>
        <w:t xml:space="preserve"> </w:t>
      </w:r>
    </w:p>
    <w:p>
      <w:pPr>
        <w:pStyle w:val="Normal"/>
        <w:jc w:val="both"/>
        <w:rPr>
          <w:rFonts w:ascii="Bookman Old Style" w:hAnsi="Bookman Old Style" w:cs="Segoe UI"/>
          <w:color w:val="323130"/>
          <w:sz w:val="20"/>
          <w:szCs w:val="20"/>
          <w:lang w:val="es-ES"/>
        </w:rPr>
      </w:pPr>
      <w:r>
        <w:rPr>
          <w:rFonts w:cs="Tahoma" w:ascii="Bookman Old Style" w:hAnsi="Bookman Old Style"/>
          <w:bCs/>
          <w:iCs/>
          <w:sz w:val="20"/>
          <w:szCs w:val="20"/>
        </w:rPr>
        <w:t>La Defensora Pública Ligia Jeannette Jiménez Zamora, en correo electrónico de data 27 de abril de 2020, señaló:</w:t>
      </w:r>
    </w:p>
    <w:p>
      <w:pPr>
        <w:pStyle w:val="Normal"/>
        <w:rPr>
          <w:rFonts w:ascii="Bookman Old Style" w:hAnsi="Bookman Old Style" w:cs="Segoe UI"/>
          <w:color w:val="323130"/>
          <w:sz w:val="20"/>
          <w:szCs w:val="20"/>
          <w:lang w:val="es-ES"/>
        </w:rPr>
      </w:pPr>
      <w:r>
        <w:rPr>
          <w:rFonts w:cs="Segoe UI" w:ascii="Bookman Old Style" w:hAnsi="Bookman Old Style"/>
          <w:color w:val="323130"/>
          <w:sz w:val="20"/>
          <w:szCs w:val="20"/>
          <w:lang w:val="es-ES"/>
        </w:rPr>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p>
    <w:p>
      <w:pPr>
        <w:pStyle w:val="Normal"/>
        <w:rPr>
          <w:rFonts w:ascii="Bookman Old Style" w:hAnsi="Bookman Old Style" w:cs="Calibri"/>
          <w:color w:val="201F1E"/>
          <w:sz w:val="20"/>
          <w:szCs w:val="20"/>
        </w:rPr>
      </w:pPr>
      <w:r>
        <w:rPr>
          <w:rFonts w:cs="Calibri" w:ascii="Bookman Old Style" w:hAnsi="Bookman Old Style"/>
          <w:b/>
          <w:bCs/>
          <w:color w:val="201F1E"/>
          <w:sz w:val="20"/>
          <w:szCs w:val="20"/>
          <w:lang w:val="es-ES"/>
        </w:rPr>
        <w:t>De:</w:t>
      </w:r>
      <w:r>
        <w:rPr>
          <w:rFonts w:cs="Calibri" w:ascii="Bookman Old Style" w:hAnsi="Bookman Old Style"/>
          <w:color w:val="201F1E"/>
          <w:sz w:val="20"/>
          <w:szCs w:val="20"/>
          <w:lang w:val="es-ES"/>
        </w:rPr>
        <w:t xml:space="preserve"> Ligia Jeannette Jiménez Zamora &lt;ljimenezz@Poder-Judicial.go.cr&gt; </w:t>
        <w:br/>
      </w:r>
      <w:r>
        <w:rPr>
          <w:rFonts w:cs="Calibri" w:ascii="Bookman Old Style" w:hAnsi="Bookman Old Style"/>
          <w:b/>
          <w:bCs/>
          <w:color w:val="201F1E"/>
          <w:sz w:val="20"/>
          <w:szCs w:val="20"/>
          <w:lang w:val="es-ES"/>
        </w:rPr>
        <w:t>Enviado el:</w:t>
      </w:r>
      <w:r>
        <w:rPr>
          <w:rFonts w:cs="Calibri" w:ascii="Bookman Old Style" w:hAnsi="Bookman Old Style"/>
          <w:color w:val="201F1E"/>
          <w:sz w:val="20"/>
          <w:szCs w:val="20"/>
          <w:lang w:val="es-ES"/>
        </w:rPr>
        <w:t xml:space="preserve"> lunes, 27 de abril de 2020 7:21 a. m.</w:t>
        <w:br/>
      </w:r>
      <w:r>
        <w:rPr>
          <w:rFonts w:cs="Calibri" w:ascii="Bookman Old Style" w:hAnsi="Bookman Old Style"/>
          <w:b/>
          <w:bCs/>
          <w:color w:val="201F1E"/>
          <w:sz w:val="20"/>
          <w:szCs w:val="20"/>
          <w:lang w:val="es-ES"/>
        </w:rPr>
        <w:t>Para:</w:t>
      </w:r>
      <w:r>
        <w:rPr>
          <w:rFonts w:cs="Calibri" w:ascii="Bookman Old Style" w:hAnsi="Bookman Old Style"/>
          <w:color w:val="201F1E"/>
          <w:sz w:val="20"/>
          <w:szCs w:val="20"/>
          <w:lang w:val="es-ES"/>
        </w:rPr>
        <w:t xml:space="preserve"> Katherine Salazar Duarte &lt;ksalazard@Poder-Judicial.go.cr&gt;; fpaniagua@mj.go.cr; kpiedrac@mj.go.cr; Wilbert Kidd Alvarado &lt;wkidd@Poder-Judicial.go.cr&gt;; Miguel Ovares Chavarría &lt;movares@Poder-Judicial.go.cr&gt;; Roman Bresciani Quirós &lt;rbresciani@Poder-Judicial.go.cr&gt;; Francia Leon Gonzalez &lt;fleong@poder-judicial.go.cr&gt;; Daniel Villalobos Araya &lt;dvillalobosa@Poder-Judicial.go.cr&gt;; Vivian Rímola Soto &lt;vrimola@Poder-Judicial.go.cr&gt;; Dixon Li Morales &lt;dlim@Poder-Judicial.go.cr&gt;; Jeannette Durán Alemán &lt;jduranal@Poder-Judicial.go.cr&gt;; Roberth García González &lt;rgarciag@Poder-Judicial.go.cr&gt;; Jeremy Eduarte Aleman &lt;jeduarte@Poder-Judicial.go.cr&gt;; william.vega@one.un.org; Cristian Alberto Martínez Hernández &lt;cmartinezh@Poder-Judicial.go.cr&gt;; Rocío Rivera Cascante &lt;rriveraca@Poder-Judicial.go.cr&gt;; Patricia Bonilla Rodríguez &lt;pbonilla@Poder-Judicial.go.cr&gt;; Roxana Arrieta Meléndez &lt;rarrieta@Poder-Judicial.go.cr&gt;; Alex Guevara Meza &lt;aguevarame@Poder-Judicial.go.cr&gt;; cescotofer@gmail.com; Tattiana Garcia Chaves &lt;tgarciach@Poder-Judicial.go.cr&gt;; Ariana Céspedes López &lt;acespedesl@Poder-Judicial.go.cr&gt;; ali.garcia@ucr.ac.cr; Alba Gutiérrez Villalobos &lt;agutierrezv@poder-judicial.go.cr&gt;; Carlos Romero Rivera &lt;cromero@poder-judicial.go.cr&gt;; Ericka Chavarría Astorga &lt;echavarriaa@Poder-Judicial.go.cr&gt;; Erick Alfaro Romero &lt;ealfaror@Poder-Judicial.go.cr&gt;; geyner.blanco@presidencia.go.cr; vvaras@inamu.go.cr; Jean Carlo Monge Madrigal &lt;jmongema@Poder-Judicial.go.cr&gt;; marcos.guevara@ucr.ac.cr; mherrera@dhr.go.cr; Sandra Pizarro Gutiérrez &lt;spizarro@Poder-Judicial.go.cr&gt;; Vanessa Villalobos Montero &lt;vvillalobos@Poder-Judicial.go.cr&gt;; Yorleny Ferreto Solano &lt;yferreto@Poder-Judicial.go.cr&gt;; CONAMAJ - Participación Ciudadana &lt;conamaj-pciudadana@Poder-Judicial.go.cr&gt;; Jorge Olaso Alvarez &lt;jolaso@Poder-Judicial.go.cr&gt;; Jovanna Calderón Altamirano &lt;jcalderona@Poder-Judicial.go.cr&gt;; Melissa Benavides Víquez &lt;mbenavidesv@Poder-Judicial.go.cr&gt;</w:t>
        <w:br/>
      </w:r>
      <w:r>
        <w:rPr>
          <w:rFonts w:cs="Calibri" w:ascii="Bookman Old Style" w:hAnsi="Bookman Old Style"/>
          <w:b/>
          <w:bCs/>
          <w:color w:val="201F1E"/>
          <w:sz w:val="20"/>
          <w:szCs w:val="20"/>
          <w:lang w:val="es-ES"/>
        </w:rPr>
        <w:t>CC:</w:t>
      </w:r>
      <w:r>
        <w:rPr>
          <w:rFonts w:cs="Calibri" w:ascii="Bookman Old Style" w:hAnsi="Bookman Old Style"/>
          <w:color w:val="201F1E"/>
          <w:sz w:val="20"/>
          <w:szCs w:val="20"/>
          <w:lang w:val="es-ES"/>
        </w:rPr>
        <w:t xml:space="preserve"> Damaris Vargas Vásquez &lt;dvargas@Poder-Judicial.go.cr&gt;; Lizeth Orozco Bolaños &lt;lorozcob@Poder-Judicial.go.cr&gt;; Marianela Campos Soto &lt;mcamposs@Poder-Judicial.go.cr&gt;</w:t>
        <w:br/>
      </w:r>
      <w:r>
        <w:rPr>
          <w:rFonts w:cs="Calibri" w:ascii="Bookman Old Style" w:hAnsi="Bookman Old Style"/>
          <w:b/>
          <w:bCs/>
          <w:color w:val="201F1E"/>
          <w:sz w:val="20"/>
          <w:szCs w:val="20"/>
          <w:lang w:val="es-ES"/>
        </w:rPr>
        <w:t>Asunto:</w:t>
      </w:r>
      <w:r>
        <w:rPr>
          <w:rFonts w:cs="Calibri" w:ascii="Bookman Old Style" w:hAnsi="Bookman Old Style"/>
          <w:color w:val="201F1E"/>
          <w:sz w:val="20"/>
          <w:szCs w:val="20"/>
          <w:lang w:val="es-ES"/>
        </w:rPr>
        <w:t xml:space="preserve"> RE: Oficio CACC-148-2020 Personas Integrantes la Subcomisión de Acceso a la Justicia de Pueblos Indígenas y del Comite de Capacitación en Temática Indígena</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Buenos días estimados y estimadas señoras. Reciban un cordial saludo.</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Sobre el documento remitido, en el acuerdo 4 se indica:</w:t>
      </w:r>
    </w:p>
    <w:p>
      <w:pPr>
        <w:pStyle w:val="Normal"/>
        <w:spacing w:beforeAutospacing="1" w:afterAutospacing="1"/>
        <w:rPr>
          <w:rFonts w:ascii="Bookman Old Style" w:hAnsi="Bookman Old Style" w:cs="Segoe UI"/>
          <w:color w:val="201F1E"/>
          <w:sz w:val="20"/>
          <w:szCs w:val="20"/>
        </w:rPr>
      </w:pPr>
      <w:r>
        <w:rPr>
          <w:rFonts w:cs="Segoe UI" w:ascii="Bookman Old Style" w:hAnsi="Bookman Old Style"/>
          <w:color w:val="000000"/>
          <w:sz w:val="20"/>
          <w:szCs w:val="20"/>
        </w:rPr>
        <w:t>" 4° Se tiene por planteado el perfil de las personas indígenas que participarán en el proceso de construcción de la capacitación, propuesto por la señora Marisol Barboza Rodríguez, especialista en métodos de enseñanza de la Escuela Judicial, en el que se señala debe tratarse de personas indígenas: a) líder o lideresa de un pueblo indígena, b) persona conocedora de la labor del Poder Judicial, c) persona conocedora de los procesos de acuerdo dentro de los pueblos indígenas, d) que hable español o en su defecto se le asignará una persona traductora, y con disposición para colaborar."</w:t>
      </w:r>
    </w:p>
    <w:p>
      <w:pPr>
        <w:pStyle w:val="Normal"/>
        <w:spacing w:beforeAutospacing="1" w:afterAutospacing="1"/>
        <w:rPr>
          <w:rFonts w:ascii="Bookman Old Style" w:hAnsi="Bookman Old Style" w:cs="Segoe UI"/>
          <w:color w:val="201F1E"/>
          <w:sz w:val="20"/>
          <w:szCs w:val="20"/>
        </w:rPr>
      </w:pPr>
      <w:r>
        <w:rPr>
          <w:rFonts w:cs="Segoe UI" w:ascii="Bookman Old Style" w:hAnsi="Bookman Old Style"/>
          <w:color w:val="000000"/>
          <w:sz w:val="20"/>
          <w:szCs w:val="20"/>
        </w:rPr>
        <w:t> </w:t>
      </w:r>
    </w:p>
    <w:p>
      <w:pPr>
        <w:pStyle w:val="Normal"/>
        <w:spacing w:beforeAutospacing="1" w:afterAutospacing="1"/>
        <w:rPr>
          <w:rFonts w:ascii="Bookman Old Style" w:hAnsi="Bookman Old Style" w:cs="Segoe UI"/>
          <w:color w:val="201F1E"/>
          <w:sz w:val="20"/>
          <w:szCs w:val="20"/>
        </w:rPr>
      </w:pPr>
      <w:r>
        <w:rPr>
          <w:rFonts w:cs="Segoe UI" w:ascii="Bookman Old Style" w:hAnsi="Bookman Old Style"/>
          <w:color w:val="000000"/>
          <w:sz w:val="20"/>
          <w:szCs w:val="20"/>
        </w:rPr>
        <w:t>Con el mayor de los respetos, solicito se reconsidere este acuerdo, y lo someto a la  consideración de las otras personas integrantes, ya que de forma amplia previamente en otro correo expliqué los motivos por lo que los puntos b) y d) no son interculturales, e incluso podrían ser valorados como irrespetuosos y discriminatorios por parte de las personas indígenas. A los puntos que señalé se sumó Jean Carlo, Cheryl, y creo que Marjorie.</w:t>
      </w:r>
    </w:p>
    <w:p>
      <w:pPr>
        <w:pStyle w:val="Normal"/>
        <w:spacing w:beforeAutospacing="1" w:afterAutospacing="1"/>
        <w:rPr>
          <w:rFonts w:ascii="Bookman Old Style" w:hAnsi="Bookman Old Style" w:cs="Segoe UI"/>
          <w:color w:val="201F1E"/>
          <w:sz w:val="20"/>
          <w:szCs w:val="20"/>
        </w:rPr>
      </w:pPr>
      <w:r>
        <w:rPr>
          <w:rFonts w:cs="Segoe UI" w:ascii="Bookman Old Style" w:hAnsi="Bookman Old Style"/>
          <w:color w:val="000000"/>
          <w:sz w:val="20"/>
          <w:szCs w:val="20"/>
        </w:rPr>
        <w:t>En el correo del 30 de marzo señalé:</w:t>
      </w:r>
    </w:p>
    <w:p>
      <w:pPr>
        <w:pStyle w:val="Normal"/>
        <w:spacing w:beforeAutospacing="1" w:afterAutospacing="1"/>
        <w:rPr>
          <w:rFonts w:ascii="Bookman Old Style" w:hAnsi="Bookman Old Style" w:cs="Segoe UI"/>
          <w:color w:val="201F1E"/>
          <w:sz w:val="20"/>
          <w:szCs w:val="20"/>
        </w:rPr>
      </w:pPr>
      <w:r>
        <w:rPr>
          <w:rFonts w:cs="Segoe UI" w:ascii="Bookman Old Style" w:hAnsi="Bookman Old Style"/>
          <w:color w:val="000000"/>
          <w:sz w:val="20"/>
          <w:szCs w:val="20"/>
        </w:rPr>
        <w:t>"Buenos días estimados señores y señoras, reciban un cordial saludo.</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En atención a la propuesta del perfil de persona indígenas para participar como facilitadores en procesos de capacitación del Poder Judicial, con el mayor de los respetos, considero que si lo tienen a bien, podríamos valorar algunas sugerencias. No se qué piensan las otras compañeras y compañeros:</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w:t>
      </w:r>
    </w:p>
    <w:p>
      <w:pPr>
        <w:pStyle w:val="Normal"/>
        <w:rPr>
          <w:rFonts w:ascii="Bookman Old Style" w:hAnsi="Bookman Old Style" w:cs="Calibri"/>
          <w:color w:val="201F1E"/>
          <w:sz w:val="20"/>
          <w:szCs w:val="20"/>
        </w:rPr>
      </w:pPr>
      <w:r>
        <w:rPr>
          <w:rFonts w:cs="Calibri" w:ascii="Bookman Old Style" w:hAnsi="Bookman Old Style"/>
          <w:b/>
          <w:bCs/>
          <w:color w:val="000000"/>
          <w:sz w:val="20"/>
          <w:szCs w:val="20"/>
        </w:rPr>
        <w:t>-líder o líderesa de un pueblo indígena</w:t>
      </w:r>
      <w:r>
        <w:rPr>
          <w:rFonts w:cs="Calibri" w:ascii="Bookman Old Style" w:hAnsi="Bookman Old Style"/>
          <w:color w:val="000000"/>
          <w:sz w:val="20"/>
          <w:szCs w:val="20"/>
        </w:rPr>
        <w:t>: Me parece que para ser más respetuosos con las personas indígenas facilitadoras, podríamos proponer: Persona que se autoidentifique como persona indígena, y tenga el reconocimiento de un grupo comunal. Hay líderes y lideresas, pero también estudiantes, o cualquier persona de la comunidad que podrían participar, aportar y acercarse al Poder Judicial</w:t>
      </w:r>
      <w:r>
        <w:rPr>
          <w:rFonts w:cs="Calibri" w:ascii="Bookman Old Style" w:hAnsi="Bookman Old Style"/>
          <w:b/>
          <w:bCs/>
          <w:color w:val="000000"/>
          <w:sz w:val="20"/>
          <w:szCs w:val="20"/>
        </w:rPr>
        <w:t>.</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w:t>
      </w:r>
      <w:r>
        <w:rPr>
          <w:rFonts w:cs="Calibri" w:ascii="Bookman Old Style" w:hAnsi="Bookman Old Style"/>
          <w:color w:val="000000"/>
          <w:sz w:val="20"/>
          <w:szCs w:val="20"/>
        </w:rPr>
        <w:t xml:space="preserve">Pienso en el joven que nunca había tenido relación alguna con el Poder Judicial, pero quería trabajar en el Poder Judicial, y en un taller de la Defensa se acercó para pedir información, tiempo después empezó como facilitador judicial, luego intérprete y ahora auxiliar judicial, pero en este proceso pasaron varios años y requirió ayuda de varias personas. </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xml:space="preserve">·  </w:t>
      </w:r>
      <w:r>
        <w:rPr>
          <w:rFonts w:cs="Calibri" w:ascii="Bookman Old Style" w:hAnsi="Bookman Old Style"/>
          <w:b/>
          <w:bCs/>
          <w:color w:val="000000"/>
          <w:sz w:val="20"/>
          <w:szCs w:val="20"/>
        </w:rPr>
        <w:t>-persona conocedora de la labor del Poder Judicial:</w:t>
      </w:r>
      <w:r>
        <w:rPr>
          <w:rFonts w:cs="Calibri" w:ascii="Bookman Old Style" w:hAnsi="Bookman Old Style"/>
          <w:color w:val="000000"/>
          <w:sz w:val="20"/>
          <w:szCs w:val="20"/>
        </w:rPr>
        <w:t xml:space="preserve"> Con todo respeto este aspecto me parece que no se debería de indicar, ya que le estamos trasladando una necesidad del Poder Judicial a una persona indígena. Pueden haber personas muy valiosas, que por diferentes situaciones, entre ellas no requerirlo, no tienen conocimiento de la labor del Poder Judicial, pienso en personas mayores, mujeres, estudiantes, que han resuelto sus conflictos a lo interno de su pueblo por ejemplo. Resulta una limitante, y está destinado para un pequeño grupo. </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Más bien me parece que esa  sería una labor del Poder Judicial para con las personas indígenas, explicarles qué es lo que hacemos. Sugiero: persona indígena conocedora de sus costumbres y la cosmovisión de su pueblo</w:t>
      </w:r>
      <w:r>
        <w:rPr>
          <w:rFonts w:cs="Calibri" w:ascii="Bookman Old Style" w:hAnsi="Bookman Old Style"/>
          <w:b/>
          <w:bCs/>
          <w:color w:val="000000"/>
          <w:sz w:val="20"/>
          <w:szCs w:val="20"/>
        </w:rPr>
        <w:t>.</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 xml:space="preserve">·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xml:space="preserve">·  </w:t>
      </w:r>
      <w:r>
        <w:rPr>
          <w:rFonts w:cs="Calibri" w:ascii="Bookman Old Style" w:hAnsi="Bookman Old Style"/>
          <w:b/>
          <w:bCs/>
          <w:color w:val="000000"/>
          <w:sz w:val="20"/>
          <w:szCs w:val="20"/>
        </w:rPr>
        <w:t xml:space="preserve">-persona conocedora de los procesos de acuerdo dentro de los pueblos indígenas.  </w:t>
      </w:r>
      <w:r>
        <w:rPr>
          <w:rFonts w:cs="Calibri" w:ascii="Bookman Old Style" w:hAnsi="Bookman Old Style"/>
          <w:color w:val="000000"/>
          <w:sz w:val="20"/>
          <w:szCs w:val="20"/>
        </w:rPr>
        <w:t>De repente, si lo tienen a bien, podría considerarse: Persona indígena conocedora de las formas de resolver conflictos y llegar a acuerdos en su territorio. Véase que cada pueblo y territorio es diferente, así que cada persona puede referirse al que pertenece</w:t>
      </w:r>
      <w:r>
        <w:rPr>
          <w:rFonts w:cs="Calibri" w:ascii="Bookman Old Style" w:hAnsi="Bookman Old Style"/>
          <w:b/>
          <w:bCs/>
          <w:color w:val="000000"/>
          <w:sz w:val="20"/>
          <w:szCs w:val="20"/>
        </w:rPr>
        <w:t>.</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xml:space="preserve">·  </w:t>
      </w:r>
      <w:r>
        <w:rPr>
          <w:rFonts w:cs="Calibri" w:ascii="Bookman Old Style" w:hAnsi="Bookman Old Style"/>
          <w:b/>
          <w:bCs/>
          <w:color w:val="000000"/>
          <w:sz w:val="20"/>
          <w:szCs w:val="20"/>
        </w:rPr>
        <w:t>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xml:space="preserve">·  </w:t>
      </w:r>
      <w:r>
        <w:rPr>
          <w:rFonts w:cs="Calibri" w:ascii="Bookman Old Style" w:hAnsi="Bookman Old Style"/>
          <w:b/>
          <w:bCs/>
          <w:color w:val="000000"/>
          <w:sz w:val="20"/>
          <w:szCs w:val="20"/>
        </w:rPr>
        <w:t>-que hable español, (esto puede resolverse con una persona traductora).</w:t>
      </w:r>
      <w:r>
        <w:rPr>
          <w:rFonts w:cs="Calibri" w:ascii="Bookman Old Style" w:hAnsi="Bookman Old Style"/>
          <w:color w:val="000000"/>
          <w:sz w:val="20"/>
          <w:szCs w:val="20"/>
        </w:rPr>
        <w:t xml:space="preserve"> Me parece que este punto no habría que indicarlo. Es una forma de imposición del idioma y de la visión de este idioma</w:t>
      </w:r>
      <w:r>
        <w:rPr>
          <w:rFonts w:cs="Calibri" w:ascii="Bookman Old Style" w:hAnsi="Bookman Old Style"/>
          <w:b/>
          <w:bCs/>
          <w:color w:val="000000"/>
          <w:sz w:val="20"/>
          <w:szCs w:val="20"/>
        </w:rPr>
        <w:t xml:space="preserve">. </w:t>
      </w:r>
      <w:r>
        <w:rPr>
          <w:rFonts w:cs="Calibri" w:ascii="Bookman Old Style" w:hAnsi="Bookman Old Style"/>
          <w:color w:val="000000"/>
          <w:sz w:val="20"/>
          <w:szCs w:val="20"/>
        </w:rPr>
        <w:t>L</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xml:space="preserve">·  </w:t>
      </w:r>
      <w:r>
        <w:rPr>
          <w:rFonts w:cs="Calibri" w:ascii="Bookman Old Style" w:hAnsi="Bookman Old Style"/>
          <w:color w:val="000000"/>
          <w:sz w:val="20"/>
          <w:szCs w:val="20"/>
        </w:rPr>
        <w:t>La palabra más apropiada es intérprete</w:t>
      </w:r>
      <w:r>
        <w:rPr>
          <w:rFonts w:cs="Calibri" w:ascii="Bookman Old Style" w:hAnsi="Bookman Old Style"/>
          <w:b/>
          <w:bCs/>
          <w:color w:val="000000"/>
          <w:sz w:val="20"/>
          <w:szCs w:val="20"/>
        </w:rPr>
        <w:t>.</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xml:space="preserve">·  </w:t>
      </w:r>
    </w:p>
    <w:p>
      <w:pPr>
        <w:pStyle w:val="Normal"/>
        <w:rPr>
          <w:rFonts w:ascii="Bookman Old Style" w:hAnsi="Bookman Old Style" w:cs="Calibri"/>
          <w:color w:val="201F1E"/>
          <w:sz w:val="20"/>
          <w:szCs w:val="20"/>
        </w:rPr>
      </w:pPr>
      <w:r>
        <w:rPr>
          <w:rFonts w:cs="Calibri" w:ascii="Bookman Old Style" w:hAnsi="Bookman Old Style"/>
          <w:color w:val="201F1E"/>
          <w:sz w:val="20"/>
          <w:szCs w:val="20"/>
        </w:rPr>
        <w:t xml:space="preserve">·  </w:t>
      </w:r>
      <w:r>
        <w:rPr>
          <w:rFonts w:cs="Calibri" w:ascii="Bookman Old Style" w:hAnsi="Bookman Old Style"/>
          <w:b/>
          <w:bCs/>
          <w:color w:val="000000"/>
          <w:sz w:val="20"/>
          <w:szCs w:val="20"/>
        </w:rPr>
        <w:t>-con disposición para colaborar.</w:t>
      </w:r>
      <w:r>
        <w:rPr>
          <w:rFonts w:cs="Calibri" w:ascii="Bookman Old Style" w:hAnsi="Bookman Old Style"/>
          <w:color w:val="000000"/>
          <w:sz w:val="20"/>
          <w:szCs w:val="20"/>
        </w:rPr>
        <w:t xml:space="preserve"> Esto me parece muy bien."</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Propongo con el mayor de los respetos que por favor valoremos las condiciones que estamos señalando. En cada uno de los puntos se realizó una sugerencia de cómo podrían ser esas condiciones.</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Es por lo anterior, que solicito que por favor varémos las condiciones.</w:t>
      </w:r>
    </w:p>
    <w:p>
      <w:pPr>
        <w:pStyle w:val="Normal"/>
        <w:rPr>
          <w:rFonts w:ascii="Bookman Old Style" w:hAnsi="Bookman Old Style" w:cs="Calibri"/>
          <w:color w:val="201F1E"/>
          <w:sz w:val="20"/>
          <w:szCs w:val="20"/>
        </w:rPr>
      </w:pPr>
      <w:r>
        <w:rPr>
          <w:rFonts w:cs="Calibri" w:ascii="Bookman Old Style" w:hAnsi="Bookman Old Style"/>
          <w:color w:val="000000"/>
          <w:sz w:val="20"/>
          <w:szCs w:val="20"/>
        </w:rPr>
        <w:t>Gracias.</w:t>
      </w:r>
    </w:p>
    <w:p>
      <w:pPr>
        <w:pStyle w:val="Normal"/>
        <w:spacing w:beforeAutospacing="1" w:afterAutospacing="1"/>
        <w:rPr>
          <w:rFonts w:ascii="Bookman Old Style" w:hAnsi="Bookman Old Style" w:cs="Segoe UI"/>
          <w:color w:val="201F1E"/>
          <w:sz w:val="20"/>
          <w:szCs w:val="20"/>
        </w:rPr>
      </w:pPr>
      <w:r>
        <w:rPr>
          <w:rFonts w:cs="Segoe UI" w:ascii="Bookman Old Style" w:hAnsi="Bookman Old Style"/>
          <w:color w:val="000000"/>
          <w:sz w:val="20"/>
          <w:szCs w:val="20"/>
        </w:rPr>
        <w:t> </w:t>
      </w:r>
    </w:p>
    <w:p>
      <w:pPr>
        <w:pStyle w:val="Normal"/>
        <w:spacing w:beforeAutospacing="1" w:afterAutospacing="1"/>
        <w:rPr>
          <w:rFonts w:ascii="Bookman Old Style" w:hAnsi="Bookman Old Style" w:cs="Segoe UI"/>
          <w:color w:val="201F1E"/>
          <w:sz w:val="20"/>
          <w:szCs w:val="20"/>
        </w:rPr>
      </w:pPr>
      <w:r>
        <w:rPr>
          <w:rFonts w:ascii="Bookman Old Style" w:hAnsi="Bookman Old Style"/>
          <w:b/>
          <w:bCs/>
          <w:color w:val="1F497D"/>
          <w:sz w:val="20"/>
          <w:szCs w:val="20"/>
        </w:rPr>
        <w:t xml:space="preserve">Ligia Jiménez Zamora </w:t>
      </w:r>
    </w:p>
    <w:p>
      <w:pPr>
        <w:pStyle w:val="Normal"/>
        <w:spacing w:beforeAutospacing="1" w:afterAutospacing="1"/>
        <w:rPr>
          <w:rFonts w:ascii="Bookman Old Style" w:hAnsi="Bookman Old Style" w:cs="Segoe UI"/>
          <w:color w:val="201F1E"/>
          <w:sz w:val="20"/>
          <w:szCs w:val="20"/>
        </w:rPr>
      </w:pPr>
      <w:r>
        <w:rPr>
          <w:rFonts w:ascii="Bookman Old Style" w:hAnsi="Bookman Old Style"/>
          <w:b/>
          <w:bCs/>
          <w:color w:val="1F497D"/>
          <w:sz w:val="20"/>
          <w:szCs w:val="20"/>
        </w:rPr>
        <w:t>Defensa Pública</w:t>
      </w:r>
    </w:p>
    <w:p>
      <w:pPr>
        <w:pStyle w:val="Normal"/>
        <w:rPr>
          <w:rFonts w:ascii="Bookman Old Style" w:hAnsi="Bookman Old Style" w:cs="Segoe UI"/>
          <w:color w:val="201F1E"/>
          <w:sz w:val="20"/>
          <w:szCs w:val="20"/>
          <w:lang w:val="es-ES"/>
        </w:rPr>
      </w:pPr>
      <w:r>
        <w:rPr>
          <w:rFonts w:cs="Segoe UI" w:ascii="Bookman Old Style" w:hAnsi="Bookman Old Style"/>
          <w:color w:val="201F1E"/>
          <w:sz w:val="20"/>
          <w:szCs w:val="20"/>
          <w:lang w:val="es-ES"/>
        </w:rPr>
      </w:r>
    </w:p>
    <w:p>
      <w:pPr>
        <w:pStyle w:val="Normal"/>
        <w:rPr>
          <w:rFonts w:ascii="Bookman Old Style" w:hAnsi="Bookman Old Style" w:cs="Tahoma"/>
          <w:color w:val="201F1E"/>
          <w:sz w:val="20"/>
          <w:szCs w:val="20"/>
          <w:lang w:val="es-ES"/>
        </w:rPr>
      </w:pPr>
      <w:r>
        <w:rPr>
          <w:rFonts w:cs="Tahoma" w:ascii="Bookman Old Style" w:hAnsi="Bookman Old Style"/>
          <w:color w:val="201F1E"/>
          <w:sz w:val="20"/>
          <w:szCs w:val="20"/>
          <w:lang w:val="es-ES"/>
        </w:rPr>
      </w:r>
    </w:p>
    <w:p>
      <w:pPr>
        <w:pStyle w:val="Normal"/>
        <w:jc w:val="both"/>
        <w:rPr>
          <w:rFonts w:ascii="Bookman Old Style" w:hAnsi="Bookman Old Style" w:cs="Tahoma"/>
          <w:color w:val="201F1E"/>
          <w:sz w:val="20"/>
          <w:szCs w:val="20"/>
          <w:lang w:val="es-ES"/>
        </w:rPr>
      </w:pPr>
      <w:r>
        <w:rPr>
          <w:rFonts w:cs="Tahoma" w:ascii="Bookman Old Style" w:hAnsi="Bookman Old Style"/>
          <w:color w:val="201F1E"/>
          <w:sz w:val="20"/>
          <w:szCs w:val="20"/>
          <w:lang w:val="es-ES"/>
        </w:rPr>
        <w:t>El señor Jean Carlo Monge Madrigal y la señora Marjorie Herrera, en correos electrónicos de datas 27 de abril de 2020, se refirieron sobre lo expresado por la defensora Ligia Jiménez, de la siguiente manera:</w:t>
      </w:r>
    </w:p>
    <w:p>
      <w:pPr>
        <w:pStyle w:val="Normal"/>
        <w:jc w:val="both"/>
        <w:rPr>
          <w:rFonts w:ascii="Bookman Old Style" w:hAnsi="Bookman Old Style" w:cs="Tahoma"/>
          <w:color w:val="201F1E"/>
          <w:sz w:val="20"/>
          <w:szCs w:val="20"/>
          <w:lang w:val="es-ES"/>
        </w:rPr>
      </w:pPr>
      <w:r>
        <w:rPr>
          <w:rFonts w:cs="Tahoma" w:ascii="Bookman Old Style" w:hAnsi="Bookman Old Style"/>
          <w:color w:val="201F1E"/>
          <w:sz w:val="20"/>
          <w:szCs w:val="20"/>
          <w:lang w:val="es-ES"/>
        </w:rPr>
      </w:r>
    </w:p>
    <w:p>
      <w:pPr>
        <w:pStyle w:val="Normal"/>
        <w:rPr>
          <w:rFonts w:ascii="Bookman Old Style" w:hAnsi="Bookman Old Style" w:cs="Segoe UI"/>
          <w:color w:val="201F1E"/>
          <w:sz w:val="20"/>
          <w:szCs w:val="20"/>
          <w:lang w:val="es-ES"/>
        </w:rPr>
      </w:pPr>
      <w:r>
        <w:rPr>
          <w:rFonts w:cs="Segoe UI" w:ascii="Bookman Old Style" w:hAnsi="Bookman Old Style"/>
          <w:color w:val="201F1E"/>
          <w:sz w:val="20"/>
          <w:szCs w:val="20"/>
          <w:lang w:val="es-ES"/>
        </w:rPr>
        <w:br/>
        <w:br/>
      </w:r>
      <w:r>
        <w:rPr>
          <w:rFonts w:cs="Arial" w:ascii="Bookman Old Style" w:hAnsi="Bookman Old Style"/>
          <w:color w:val="5F5F5F"/>
          <w:sz w:val="20"/>
          <w:szCs w:val="20"/>
          <w:lang w:val="es-ES"/>
        </w:rPr>
        <w:t>De:        </w:t>
      </w:r>
      <w:r>
        <w:rPr>
          <w:rFonts w:cs="Arial" w:ascii="Bookman Old Style" w:hAnsi="Bookman Old Style"/>
          <w:color w:val="201F1E"/>
          <w:sz w:val="20"/>
          <w:szCs w:val="20"/>
          <w:lang w:val="es-ES"/>
        </w:rPr>
        <w:t>Jean Carlo Monge Madrigal &lt;jmongema@Poder-Judicial.go.cr&gt;</w:t>
      </w:r>
      <w:r>
        <w:rPr>
          <w:rFonts w:cs="Segoe UI" w:ascii="Bookman Old Style" w:hAnsi="Bookman Old Style"/>
          <w:color w:val="201F1E"/>
          <w:sz w:val="20"/>
          <w:szCs w:val="20"/>
          <w:lang w:val="es-ES"/>
        </w:rPr>
        <w:t xml:space="preserve"> </w:t>
        <w:br/>
      </w:r>
      <w:r>
        <w:rPr>
          <w:rFonts w:cs="Arial" w:ascii="Bookman Old Style" w:hAnsi="Bookman Old Style"/>
          <w:color w:val="5F5F5F"/>
          <w:sz w:val="20"/>
          <w:szCs w:val="20"/>
          <w:lang w:val="es-ES"/>
        </w:rPr>
        <w:t>Para:        </w:t>
      </w:r>
      <w:r>
        <w:rPr>
          <w:rFonts w:cs="Arial" w:ascii="Bookman Old Style" w:hAnsi="Bookman Old Style"/>
          <w:color w:val="201F1E"/>
          <w:sz w:val="20"/>
          <w:szCs w:val="20"/>
          <w:lang w:val="es-ES"/>
        </w:rPr>
        <w:t>"Ligia Jeannette Jiménez Zamora" &lt;ljimenezz@Poder-Judicial.go.cr&gt;, Katherine Salazar Duarte &lt;ksalazard@Poder-Judicial.go.cr&gt;, "fpaniagua@mj.go.cr" &lt;fpaniagua@mj.go.cr&gt;, "kpiedrac@mj.go.cr" &lt;kpiedrac@mj.go.cr&gt;, Wilbert Kidd Alvarado &lt;wkidd@Poder-Judicial.go.cr&gt;, "Miguel Ovares Chavarría" &lt;movares@Poder-Judicial.go.cr&gt;, "Roman Bresciani Quirós" &lt;rbresciani@Poder-Judicial.go.cr&gt;, Francia Leon Gonzalez &lt;fleong@poder-judicial.go.cr&gt;, Daniel Villalobos Araya &lt;dvillalobosa@Poder-Judicial.go.cr&gt;, "Vivian Rímola Soto" &lt;vrimola@Poder-Judicial.go.cr&gt;, Dixon Li Morales &lt;dlim@Poder-Judicial.go.cr&gt;, "Jeannette Durán Alemán" &lt;jduranal@Poder-Judicial.go.cr&gt;, "Roberth García González" &lt;rgarciag@Poder-Judicial.go.cr&gt;, Jeremy Eduarte Aleman &lt;jeduarte@Poder-Judicial.go.cr&gt;, "william.vega@one.un.org" &lt;william.vega@one.un.org&gt;, "Cristian Alberto Martínez Hernández" &lt;cmartinezh@Poder-Judicial.go.cr&gt;, "Rocío Rivera Cascante" &lt;rriveraca@Poder-Judicial.go.cr&gt;, "Patricia Bonilla Rodríguez" &lt;pbonilla@Poder-Judicial.go.cr&gt;, "Roxana Arrieta Meléndez" &lt;rarrieta@Poder-Judicial.go.cr&gt;, Alex Guevara Meza &lt;aguevarame@Poder-Judicial.go.cr&gt;, "cescotofer@gmail.com" &lt;cescotofer@gmail.com&gt;, Tattiana Garcia Chaves &lt;tgarciach@Poder-Judicial.go.cr&gt;, "Ariana Céspedes López" &lt;acespedesl@Poder-Judicial.go.cr&gt;, "ali.garcia@ucr.ac.cr" &lt;ali.garcia@ucr.ac.cr&gt;, "Alba Gutiérrez Villalobos" &lt;agutierrezv@poder-judicial.go.cr&gt;, Carlos Romero Rivera &lt;cromero@poder-judicial.go.cr&gt;, "Ericka Chavarría Astorga" &lt;echavarriaa@Poder-Judicial.go.cr&gt;, Erick Alfaro Romero &lt;ealfaror@Poder-Judicial.go.cr&gt;, "geyner.blanco@presidencia.go.cr" &lt;geyner.blanco@presidencia.go.cr&gt;, "vvaras@inamu.go.cr" &lt;vvaras@inamu.go.cr&gt;, "marcos.guevara@ucr.ac.cr" &lt;marcos.guevara@ucr.ac.cr&gt;, "mherrera@dhr.go.cr" &lt;mherrera@dhr.go.cr&gt;, "Sandra Pizarro Gutiérrez" &lt;spizarro@Poder-Judicial.go.cr&gt;, Vanessa Villalobos Montero &lt;vvillalobos@Poder-Judicial.go.cr&gt;, Yorleny Ferreto Solano &lt;yferreto@Poder-Judicial.go.cr&gt;, "CONAMAJ - Participación Ciudadana" &lt;conamaj-pciudadana@Poder-Judicial.go.cr&gt;, Jorge Olaso Alvarez &lt;jolaso@Poder-Judicial.go.cr&gt;, "Jovanna Calderón Altamirano" &lt;jcalderona@Poder-Judicial.go.cr&gt;, "Melissa Benavides Víquez" &lt;mbenavidesv@Poder-Judicial.go.cr&gt;</w:t>
      </w:r>
      <w:r>
        <w:rPr>
          <w:rFonts w:cs="Segoe UI" w:ascii="Bookman Old Style" w:hAnsi="Bookman Old Style"/>
          <w:color w:val="201F1E"/>
          <w:sz w:val="20"/>
          <w:szCs w:val="20"/>
          <w:lang w:val="es-ES"/>
        </w:rPr>
        <w:t xml:space="preserve"> </w:t>
        <w:br/>
      </w:r>
      <w:r>
        <w:rPr>
          <w:rFonts w:cs="Arial" w:ascii="Bookman Old Style" w:hAnsi="Bookman Old Style"/>
          <w:color w:val="5F5F5F"/>
          <w:sz w:val="20"/>
          <w:szCs w:val="20"/>
          <w:lang w:val="es-ES"/>
        </w:rPr>
        <w:t>cc:        </w:t>
      </w:r>
      <w:r>
        <w:rPr>
          <w:rFonts w:cs="Arial" w:ascii="Bookman Old Style" w:hAnsi="Bookman Old Style"/>
          <w:color w:val="201F1E"/>
          <w:sz w:val="20"/>
          <w:szCs w:val="20"/>
          <w:lang w:val="es-ES"/>
        </w:rPr>
        <w:t>"Damaris Vargas Vásquez" &lt;dvargas@Poder-Judicial.go.cr&gt;, "Lizeth Orozco Bolaños" &lt;lorozcob@Poder-Judicial.go.cr&gt;, Marianela Campos Soto &lt;mcamposs@Poder-Judicial.go.cr&gt;</w:t>
      </w:r>
      <w:r>
        <w:rPr>
          <w:rFonts w:cs="Segoe UI" w:ascii="Bookman Old Style" w:hAnsi="Bookman Old Style"/>
          <w:color w:val="201F1E"/>
          <w:sz w:val="20"/>
          <w:szCs w:val="20"/>
          <w:lang w:val="es-ES"/>
        </w:rPr>
        <w:t xml:space="preserve"> </w:t>
        <w:br/>
      </w:r>
      <w:r>
        <w:rPr>
          <w:rFonts w:cs="Arial" w:ascii="Bookman Old Style" w:hAnsi="Bookman Old Style"/>
          <w:color w:val="5F5F5F"/>
          <w:sz w:val="20"/>
          <w:szCs w:val="20"/>
          <w:lang w:val="es-ES"/>
        </w:rPr>
        <w:t>Fecha:        </w:t>
      </w:r>
      <w:r>
        <w:rPr>
          <w:rFonts w:cs="Arial" w:ascii="Bookman Old Style" w:hAnsi="Bookman Old Style"/>
          <w:color w:val="201F1E"/>
          <w:sz w:val="20"/>
          <w:szCs w:val="20"/>
          <w:lang w:val="es-ES"/>
        </w:rPr>
        <w:t>27/04/2020 08:25 a.m.</w:t>
      </w:r>
      <w:r>
        <w:rPr>
          <w:rFonts w:cs="Segoe UI" w:ascii="Bookman Old Style" w:hAnsi="Bookman Old Style"/>
          <w:color w:val="201F1E"/>
          <w:sz w:val="20"/>
          <w:szCs w:val="20"/>
          <w:lang w:val="es-ES"/>
        </w:rPr>
        <w:t xml:space="preserve"> </w:t>
        <w:br/>
      </w:r>
      <w:r>
        <w:rPr>
          <w:rFonts w:cs="Arial" w:ascii="Bookman Old Style" w:hAnsi="Bookman Old Style"/>
          <w:color w:val="5F5F5F"/>
          <w:sz w:val="20"/>
          <w:szCs w:val="20"/>
          <w:lang w:val="es-ES"/>
        </w:rPr>
        <w:t>Asunto:        </w:t>
      </w:r>
      <w:r>
        <w:rPr>
          <w:rFonts w:cs="Arial" w:ascii="Bookman Old Style" w:hAnsi="Bookman Old Style"/>
          <w:color w:val="201F1E"/>
          <w:sz w:val="20"/>
          <w:szCs w:val="20"/>
          <w:lang w:val="es-ES"/>
        </w:rPr>
        <w:t>RE: Oficio CACC-148-2020 Personas Integrantes la Subcomisión de Acceso a la Justicia de Pueblos Indígenas y del Comite de Capacitación en Temática Indígena</w:t>
      </w:r>
      <w:r>
        <w:rPr>
          <w:rFonts w:cs="Segoe UI" w:ascii="Bookman Old Style" w:hAnsi="Bookman Old Style"/>
          <w:color w:val="201F1E"/>
          <w:sz w:val="20"/>
          <w:szCs w:val="20"/>
          <w:lang w:val="es-ES"/>
        </w:rPr>
        <w:t xml:space="preserve"> </w:t>
      </w:r>
    </w:p>
    <w:p>
      <w:pPr>
        <w:pStyle w:val="Normal"/>
        <w:rPr>
          <w:rFonts w:ascii="Bookman Old Style" w:hAnsi="Bookman Old Style" w:cs="Segoe UI"/>
          <w:color w:val="201F1E"/>
          <w:sz w:val="20"/>
          <w:szCs w:val="20"/>
          <w:lang w:val="es-ES"/>
        </w:rPr>
      </w:pPr>
      <w:r>
        <w:rPr/>
        <mc:AlternateContent>
          <mc:Choice Requires="wps">
            <w:drawing>
              <wp:inline distT="0" distB="0" distL="0" distR="0">
                <wp:extent cx="5612765" cy="19685"/>
                <wp:effectExtent l="0" t="0" r="0" b="0"/>
                <wp:docPr id="29" name=""/>
                <a:graphic xmlns:a="http://schemas.openxmlformats.org/drawingml/2006/main">
                  <a:graphicData uri="http://schemas.microsoft.com/office/word/2010/wordprocessingShape">
                    <wps:wsp>
                      <wps:cNvSpPr/>
                      <wps:nvSpPr>
                        <wps:cNvPr id="0" name="Rectangle 1"/>
                        <wps:cNvSpPr/>
                      </wps:nvSpPr>
                      <wps:spPr>
                        <a:xfrm>
                          <a:off x="0" y="0"/>
                          <a:ext cx="561204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style="position:absolute;margin-left:0pt;margin-top:-1.55pt;width:441.8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before="0" w:after="240"/>
        <w:rPr>
          <w:rFonts w:ascii="Bookman Old Style" w:hAnsi="Bookman Old Style" w:cs="Segoe UI"/>
          <w:color w:val="201F1E"/>
          <w:sz w:val="20"/>
          <w:szCs w:val="20"/>
          <w:lang w:val="es-ES"/>
        </w:rPr>
      </w:pPr>
      <w:r>
        <w:rPr>
          <w:rFonts w:cs="Segoe UI" w:ascii="Bookman Old Style" w:hAnsi="Bookman Old Style"/>
          <w:color w:val="201F1E"/>
          <w:sz w:val="20"/>
          <w:szCs w:val="20"/>
          <w:lang w:val="es-ES"/>
        </w:rPr>
        <w:br/>
        <w:br/>
        <w:br/>
      </w:r>
      <w:r>
        <w:rPr>
          <w:rFonts w:cs="Calibri" w:ascii="Bookman Old Style" w:hAnsi="Bookman Old Style"/>
          <w:color w:val="201F1E"/>
          <w:sz w:val="20"/>
          <w:szCs w:val="20"/>
          <w:lang w:val="es-ES"/>
        </w:rPr>
        <w:t xml:space="preserve">Buenos días a todas las personas integrantes de la Subcomisión. </w:t>
      </w:r>
      <w:r>
        <w:rPr>
          <w:rFonts w:cs="Segoe UI" w:ascii="Bookman Old Style" w:hAnsi="Bookman Old Style"/>
          <w:color w:val="201F1E"/>
          <w:sz w:val="20"/>
          <w:szCs w:val="20"/>
          <w:lang w:val="es-ES"/>
        </w:rPr>
        <w:br/>
        <w:br/>
      </w:r>
      <w:r>
        <w:rPr>
          <w:rFonts w:cs="Calibri" w:ascii="Bookman Old Style" w:hAnsi="Bookman Old Style"/>
          <w:color w:val="201F1E"/>
          <w:sz w:val="20"/>
          <w:szCs w:val="20"/>
          <w:lang w:val="es-ES"/>
        </w:rPr>
        <w:t>En efecto, yo también creo que es importante revisar lo indicado por doña Ligia, en virtud de las consideraciones que se expusieron tiempo atrás.</w:t>
      </w:r>
      <w:r>
        <w:rPr>
          <w:rFonts w:cs="Segoe UI" w:ascii="Bookman Old Style" w:hAnsi="Bookman Old Style"/>
          <w:color w:val="201F1E"/>
          <w:sz w:val="20"/>
          <w:szCs w:val="20"/>
          <w:lang w:val="es-ES"/>
        </w:rPr>
        <w:t xml:space="preserve"> </w:t>
        <w:br/>
      </w:r>
    </w:p>
    <w:p>
      <w:pPr>
        <w:pStyle w:val="Normal"/>
        <w:rPr>
          <w:rFonts w:ascii="Bookman Old Style" w:hAnsi="Bookman Old Style" w:cs="Segoe UI"/>
          <w:color w:val="201F1E"/>
          <w:sz w:val="20"/>
          <w:szCs w:val="20"/>
          <w:lang w:val="es-ES"/>
        </w:rPr>
      </w:pPr>
      <w:r>
        <w:rPr>
          <w:rFonts w:cs="Calibri" w:ascii="Bookman Old Style" w:hAnsi="Bookman Old Style"/>
          <w:b/>
          <w:bCs/>
          <w:color w:val="000000"/>
          <w:sz w:val="20"/>
          <w:szCs w:val="20"/>
          <w:lang w:val="es-ES"/>
        </w:rPr>
        <w:t>De:</w:t>
      </w:r>
      <w:r>
        <w:rPr>
          <w:rFonts w:cs="Calibri" w:ascii="Bookman Old Style" w:hAnsi="Bookman Old Style"/>
          <w:color w:val="000000"/>
          <w:sz w:val="20"/>
          <w:szCs w:val="20"/>
          <w:lang w:val="es-ES"/>
        </w:rPr>
        <w:t xml:space="preserve"> Marjorie Herrera &lt;mherrera@dhr.go.cr&gt;</w:t>
        <w:br/>
      </w:r>
      <w:r>
        <w:rPr>
          <w:rFonts w:cs="Calibri" w:ascii="Bookman Old Style" w:hAnsi="Bookman Old Style"/>
          <w:b/>
          <w:bCs/>
          <w:color w:val="000000"/>
          <w:sz w:val="20"/>
          <w:szCs w:val="20"/>
          <w:lang w:val="es-ES"/>
        </w:rPr>
        <w:t>Enviado:</w:t>
      </w:r>
      <w:r>
        <w:rPr>
          <w:rFonts w:cs="Calibri" w:ascii="Bookman Old Style" w:hAnsi="Bookman Old Style"/>
          <w:color w:val="000000"/>
          <w:sz w:val="20"/>
          <w:szCs w:val="20"/>
          <w:lang w:val="es-ES"/>
        </w:rPr>
        <w:t xml:space="preserve"> Monday, April 27, 2020 9:54:42 AM</w:t>
        <w:br/>
      </w:r>
      <w:r>
        <w:rPr>
          <w:rFonts w:cs="Calibri" w:ascii="Bookman Old Style" w:hAnsi="Bookman Old Style"/>
          <w:b/>
          <w:bCs/>
          <w:color w:val="000000"/>
          <w:sz w:val="20"/>
          <w:szCs w:val="20"/>
          <w:lang w:val="es-ES"/>
        </w:rPr>
        <w:t>Para:</w:t>
      </w:r>
      <w:r>
        <w:rPr>
          <w:rFonts w:cs="Calibri" w:ascii="Bookman Old Style" w:hAnsi="Bookman Old Style"/>
          <w:color w:val="000000"/>
          <w:sz w:val="20"/>
          <w:szCs w:val="20"/>
          <w:lang w:val="es-ES"/>
        </w:rPr>
        <w:t xml:space="preserve"> Ligia Jeannette Jiménez Zamora &lt;ljimenezz@Poder-Judicial.go.cr&gt;; Jean Carlo Monge Madrigal &lt;jmongema@Poder-Judicial.go.cr&gt;</w:t>
        <w:br/>
      </w:r>
      <w:r>
        <w:rPr>
          <w:rFonts w:cs="Calibri" w:ascii="Bookman Old Style" w:hAnsi="Bookman Old Style"/>
          <w:b/>
          <w:bCs/>
          <w:color w:val="000000"/>
          <w:sz w:val="20"/>
          <w:szCs w:val="20"/>
          <w:lang w:val="es-ES"/>
        </w:rPr>
        <w:t>Cc:</w:t>
      </w:r>
      <w:r>
        <w:rPr>
          <w:rFonts w:cs="Calibri" w:ascii="Bookman Old Style" w:hAnsi="Bookman Old Style"/>
          <w:color w:val="000000"/>
          <w:sz w:val="20"/>
          <w:szCs w:val="20"/>
          <w:lang w:val="es-ES"/>
        </w:rPr>
        <w:t xml:space="preserve"> Ariana Céspedes López &lt;acespedesl@Poder-Judicial.go.cr&gt;; Alex Guevara Meza &lt;aguevarame@Poder-Judicial.go.cr&gt;; Alba Gutiérrez Villalobos &lt;agutierrezv@poder-judicial.go.cr&gt;; ali.garcia@ucr.ac.cr &lt;ali.garcia@ucr.ac.cr&gt;; cescotofer@gmail.com &lt;cescotofer@gmail.com&gt;; Cristian Alberto Martínez Hernández &lt;cmartinezh@Poder-Judicial.go.cr&gt;; CONAMAJ - Participación Ciudadana &lt;conamaj-pciudadana@Poder-Judicial.go.cr&gt;; Carlos Romero Rivera &lt;cromero@poder-judicial.go.cr&gt;; Dixon Li Morales &lt;dlim@Poder-Judicial.go.cr&gt;; Damaris Vargas Vásquez &lt;dvargas@Poder-Judicial.go.cr&gt;; Daniel Villalobos Araya &lt;dvillalobosa@Poder-Judicial.go.cr&gt;; Erick Alfaro Romero &lt;ealfaror@Poder-Judicial.go.cr&gt;; Ericka Chavarría Astorga &lt;echavarriaa@Poder-Judicial.go.cr&gt;; Francia Leon Gonzalez &lt;fleong@poder-judicial.go.cr&gt;; fpaniagua@mj.go.cr &lt;fpaniagua@mj.go.cr&gt;; geyner.blanco@presidencia.go.cr &lt;geyner.blanco@presidencia.go.cr&gt;; Jovanna Calderón Altamirano &lt;jcalderona@Poder-Judicial.go.cr&gt;; Jeannette Durán Alemán &lt;jduranal@Poder-Judicial.go.cr&gt;; Jeremy Eduarte Aleman &lt;jeduarte@Poder-Judicial.go.cr&gt;; Jorge Olaso Alvarez &lt;jolaso@Poder-Judicial.go.cr&gt;; kpiedrac@mj.go.cr &lt;kpiedrac@mj.go.cr&gt;; Katherine Salazar Duarte &lt;ksalazard@Poder-Judicial.go.cr&gt;; Ligia Jeannette Jiménez Zamora &lt;ljimenezz@Poder-Judicial.go.cr&gt;; Lizeth Orozco Bolaños &lt;lorozcob@Poder-Judicial.go.cr&gt;; marcos.guevara@ucr.ac.cr &lt;marcos.guevara@ucr.ac.cr&gt;; Melissa Benavides Víquez &lt;mbenavidesv@Poder-Judicial.go.cr&gt;; Marianela Campos Soto &lt;mcamposs@Poder-Judicial.go.cr&gt;; Miguel Ovares Chavarría &lt;movares@Poder-Judicial.go.cr&gt;; Patricia Bonilla Rodríguez &lt;pbonilla@Poder-Judicial.go.cr&gt;; Roxana Arrieta Meléndez &lt;rarrieta@Poder-Judicial.go.cr&gt;; Roman Bresciani Quirós &lt;rbresciani@Poder-Judicial.go.cr&gt;; Roberth García González &lt;rgarciag@Poder-Judicial.go.cr&gt;; Rocío Rivera Cascante &lt;rriveraca@Poder-Judicial.go.cr&gt;; Sandra Pizarro Gutiérrez &lt;spizarro@Poder-Judicial.go.cr&gt;; Tattiana Garcia Chaves &lt;tgarciach@Poder-Judicial.go.cr&gt;; Vivian Rímola Soto &lt;vrimola@Poder-Judicial.go.cr&gt;; vvaras@inamu.go.cr &lt;vvaras@inamu.go.cr&gt;; Vanessa Villalobos Montero &lt;vvillalobos@Poder-Judicial.go.cr&gt;; william.vega@one.un.org &lt;william.vega@one.un.org&gt;; Wilbert Kidd Alvarado &lt;wkidd@Poder-Judicial.go.cr&gt;; Yorleny Ferreto Solano &lt;yferreto@Poder-Judicial.go.cr&gt;</w:t>
        <w:br/>
      </w:r>
      <w:r>
        <w:rPr>
          <w:rFonts w:cs="Calibri" w:ascii="Bookman Old Style" w:hAnsi="Bookman Old Style"/>
          <w:b/>
          <w:bCs/>
          <w:color w:val="000000"/>
          <w:sz w:val="20"/>
          <w:szCs w:val="20"/>
          <w:lang w:val="es-ES"/>
        </w:rPr>
        <w:t>Asunto:</w:t>
      </w:r>
      <w:r>
        <w:rPr>
          <w:rFonts w:cs="Calibri" w:ascii="Bookman Old Style" w:hAnsi="Bookman Old Style"/>
          <w:color w:val="000000"/>
          <w:sz w:val="20"/>
          <w:szCs w:val="20"/>
          <w:lang w:val="es-ES"/>
        </w:rPr>
        <w:t xml:space="preserve"> RE: Oficio CACC-148-2020 Personas Integrantes la Subcomisión de Acceso a la Justicia de Pueblos Indígenas y del Comite de Capacitación en Temática Indígena</w:t>
      </w:r>
      <w:r>
        <w:rPr>
          <w:rFonts w:cs="Segoe UI" w:ascii="Bookman Old Style" w:hAnsi="Bookman Old Style"/>
          <w:color w:val="201F1E"/>
          <w:sz w:val="20"/>
          <w:szCs w:val="20"/>
          <w:lang w:val="es-ES"/>
        </w:rPr>
        <w:t xml:space="preserve"> </w:t>
      </w:r>
    </w:p>
    <w:p>
      <w:pPr>
        <w:pStyle w:val="Normal"/>
        <w:rPr>
          <w:rFonts w:ascii="Bookman Old Style" w:hAnsi="Bookman Old Style" w:cs="Segoe UI"/>
          <w:color w:val="201F1E"/>
          <w:sz w:val="20"/>
          <w:szCs w:val="20"/>
          <w:lang w:val="es-ES"/>
        </w:rPr>
      </w:pPr>
      <w:r>
        <w:rPr>
          <w:rFonts w:cs="Segoe UI" w:ascii="Bookman Old Style" w:hAnsi="Bookman Old Style"/>
          <w:color w:val="201F1E"/>
          <w:sz w:val="20"/>
          <w:szCs w:val="20"/>
          <w:lang w:val="es-ES"/>
        </w:rPr>
        <w:t> </w:t>
      </w:r>
    </w:p>
    <w:p>
      <w:pPr>
        <w:pStyle w:val="Normal"/>
        <w:spacing w:beforeAutospacing="1" w:afterAutospacing="1"/>
        <w:jc w:val="both"/>
        <w:rPr>
          <w:rFonts w:ascii="Bookman Old Style" w:hAnsi="Bookman Old Style" w:cs="Segoe UI"/>
          <w:color w:val="201F1E"/>
          <w:sz w:val="20"/>
          <w:szCs w:val="20"/>
        </w:rPr>
      </w:pPr>
      <w:r>
        <w:rPr>
          <w:rFonts w:cs="Tahoma" w:ascii="Bookman Old Style" w:hAnsi="Bookman Old Style"/>
          <w:color w:val="201F1E"/>
          <w:sz w:val="20"/>
          <w:szCs w:val="20"/>
          <w:lang w:val="es-ES"/>
        </w:rPr>
        <w:t xml:space="preserve">Buenos días, </w:t>
      </w:r>
      <w:r>
        <w:rPr>
          <w:rFonts w:cs="Segoe UI" w:ascii="Bookman Old Style" w:hAnsi="Bookman Old Style"/>
          <w:color w:val="201F1E"/>
          <w:sz w:val="20"/>
          <w:szCs w:val="20"/>
          <w:lang w:val="es-ES"/>
        </w:rPr>
        <w:br/>
        <w:br/>
      </w:r>
      <w:r>
        <w:rPr>
          <w:rFonts w:cs="Tahoma" w:ascii="Bookman Old Style" w:hAnsi="Bookman Old Style"/>
          <w:color w:val="201F1E"/>
          <w:sz w:val="20"/>
          <w:szCs w:val="20"/>
          <w:lang w:val="es-ES"/>
        </w:rPr>
        <w:t xml:space="preserve">Manifiesto mi acuerdo con lo planteado por Ligia y Jean Carlo. En correos previos se habían enviado observaciones y recomendaciones a partir de la experiencia del trabajo con pueblos indígenas. </w:t>
      </w:r>
      <w:r>
        <w:rPr>
          <w:rFonts w:cs="Segoe UI" w:ascii="Bookman Old Style" w:hAnsi="Bookman Old Style"/>
          <w:color w:val="201F1E"/>
          <w:sz w:val="20"/>
          <w:szCs w:val="20"/>
          <w:lang w:val="es-ES"/>
        </w:rPr>
        <w:br/>
      </w:r>
      <w:r>
        <w:rPr>
          <w:rFonts w:cs="Tahoma" w:ascii="Bookman Old Style" w:hAnsi="Bookman Old Style"/>
          <w:color w:val="201F1E"/>
          <w:sz w:val="20"/>
          <w:szCs w:val="20"/>
          <w:lang w:val="es-ES"/>
        </w:rPr>
        <w:br/>
        <w:t>Si bien es de reconocer y muy positivo todo el esfuerzo del Poder Judicial en incorporar a las personas indígenas en estos procesos institucionales, el respeto a su identidad cultural y cosmovisiones es esencial para lograr un proceso verdaderamente intercultural.</w:t>
      </w:r>
      <w:r>
        <w:rPr>
          <w:rFonts w:cs="Segoe UI" w:ascii="Bookman Old Style" w:hAnsi="Bookman Old Style"/>
          <w:color w:val="201F1E"/>
          <w:sz w:val="20"/>
          <w:szCs w:val="20"/>
          <w:lang w:val="es-ES"/>
        </w:rPr>
        <w:t xml:space="preserve"> </w:t>
        <w:br/>
        <w:br/>
      </w:r>
      <w:r>
        <w:rPr>
          <w:rFonts w:cs="Tahoma" w:ascii="Bookman Old Style" w:hAnsi="Bookman Old Style"/>
          <w:color w:val="201F1E"/>
          <w:sz w:val="20"/>
          <w:szCs w:val="20"/>
          <w:lang w:val="es-ES"/>
        </w:rPr>
        <w:t>Atentamente,</w:t>
      </w:r>
      <w:r>
        <w:rPr>
          <w:rFonts w:cs="Segoe UI" w:ascii="Bookman Old Style" w:hAnsi="Bookman Old Style"/>
          <w:color w:val="201F1E"/>
          <w:sz w:val="20"/>
          <w:szCs w:val="20"/>
          <w:lang w:val="es-ES"/>
        </w:rPr>
        <w:t xml:space="preserve"> </w:t>
        <w:br/>
      </w:r>
    </w:p>
    <w:p>
      <w:pPr>
        <w:pStyle w:val="Normal"/>
        <w:spacing w:beforeAutospacing="1" w:afterAutospacing="1"/>
        <w:jc w:val="center"/>
        <w:rPr>
          <w:rFonts w:ascii="Bookman Old Style" w:hAnsi="Bookman Old Style" w:cs="Segoe UI"/>
          <w:color w:val="201F1E"/>
          <w:sz w:val="20"/>
          <w:szCs w:val="20"/>
        </w:rPr>
      </w:pPr>
      <w:r>
        <w:rPr>
          <w:rFonts w:cs="Segoe UI" w:ascii="Bookman Old Style" w:hAnsi="Bookman Old Style"/>
          <w:color w:val="201F1E"/>
          <w:sz w:val="20"/>
          <w:szCs w:val="20"/>
        </w:rPr>
        <w:t>-0-</w:t>
      </w:r>
    </w:p>
    <w:p>
      <w:pPr>
        <w:pStyle w:val="Normal"/>
        <w:jc w:val="both"/>
        <w:rPr>
          <w:rFonts w:ascii="Bookman Old Style" w:hAnsi="Bookman Old Style" w:cs="Tahoma"/>
          <w:sz w:val="20"/>
          <w:szCs w:val="20"/>
        </w:rPr>
      </w:pPr>
      <w:r>
        <w:rPr>
          <w:rFonts w:cs="Tahoma" w:ascii="Bookman Old Style" w:hAnsi="Bookman Old Style"/>
          <w:sz w:val="20"/>
          <w:szCs w:val="20"/>
        </w:rPr>
      </w:r>
    </w:p>
    <w:p>
      <w:pPr>
        <w:pStyle w:val="Normal"/>
        <w:jc w:val="both"/>
        <w:rPr>
          <w:rFonts w:ascii="Bookman Old Style" w:hAnsi="Bookman Old Style"/>
          <w:sz w:val="20"/>
          <w:szCs w:val="20"/>
        </w:rPr>
      </w:pPr>
      <w:r>
        <w:rPr>
          <w:rFonts w:cs="Tahoma" w:ascii="Bookman Old Style" w:hAnsi="Bookman Old Style"/>
          <w:sz w:val="20"/>
          <w:szCs w:val="20"/>
        </w:rPr>
        <w:t>La señora Ingrid Bermúdez Vindas, Directora Ejecutiva a.i. de CONAMAJ, en oficio  Of-123-CONAMAJ-2020, comunicó lo siguiente:</w:t>
      </w:r>
    </w:p>
    <w:p>
      <w:pPr>
        <w:pStyle w:val="Normal"/>
        <w:jc w:val="both"/>
        <w:rPr>
          <w:rFonts w:ascii="Bookman Old Style" w:hAnsi="Bookman Old Style"/>
          <w:sz w:val="20"/>
          <w:szCs w:val="20"/>
        </w:rPr>
      </w:pPr>
      <w:r>
        <w:rPr>
          <w:rFonts w:ascii="Bookman Old Style" w:hAnsi="Bookman Old Style"/>
          <w:sz w:val="20"/>
          <w:szCs w:val="20"/>
        </w:rPr>
      </w:r>
    </w:p>
    <w:p>
      <w:pPr>
        <w:pStyle w:val="Normal"/>
        <w:jc w:val="right"/>
        <w:rPr>
          <w:rFonts w:ascii="Bookman Old Style" w:hAnsi="Bookman Old Style"/>
          <w:sz w:val="20"/>
          <w:szCs w:val="20"/>
        </w:rPr>
      </w:pPr>
      <w:r>
        <w:rPr>
          <w:rFonts w:ascii="Bookman Old Style" w:hAnsi="Bookman Old Style"/>
          <w:sz w:val="20"/>
          <w:szCs w:val="20"/>
        </w:rPr>
        <w:t>San José, 28 de abril de 2020</w:t>
      </w:r>
    </w:p>
    <w:p>
      <w:pPr>
        <w:pStyle w:val="Normal"/>
        <w:jc w:val="right"/>
        <w:rPr>
          <w:rFonts w:ascii="Bookman Old Style" w:hAnsi="Bookman Old Style"/>
          <w:sz w:val="20"/>
          <w:szCs w:val="20"/>
        </w:rPr>
      </w:pPr>
      <w:r>
        <w:rPr>
          <w:rFonts w:ascii="Bookman Old Style" w:hAnsi="Bookman Old Style"/>
          <w:sz w:val="20"/>
          <w:szCs w:val="20"/>
        </w:rPr>
      </w:r>
    </w:p>
    <w:p>
      <w:pPr>
        <w:pStyle w:val="Normal"/>
        <w:jc w:val="right"/>
        <w:rPr>
          <w:rFonts w:ascii="Bookman Old Style" w:hAnsi="Bookman Old Style"/>
          <w:sz w:val="20"/>
          <w:szCs w:val="20"/>
        </w:rPr>
      </w:pPr>
      <w:r>
        <w:rPr>
          <w:rFonts w:ascii="Bookman Old Style" w:hAnsi="Bookman Old Style"/>
          <w:sz w:val="20"/>
          <w:szCs w:val="20"/>
        </w:rPr>
        <w:t>0f-123-CONAMAJ-2020</w:t>
      </w:r>
    </w:p>
    <w:p>
      <w:pPr>
        <w:pStyle w:val="Normal"/>
        <w:jc w:val="right"/>
        <w:rPr>
          <w:rFonts w:ascii="Bookman Old Style" w:hAnsi="Bookman Old Style"/>
          <w:sz w:val="20"/>
          <w:szCs w:val="20"/>
        </w:rPr>
      </w:pPr>
      <w:r>
        <w:rPr>
          <w:rFonts w:ascii="Bookman Old Style" w:hAnsi="Bookman Old Style"/>
          <w:sz w:val="20"/>
          <w:szCs w:val="20"/>
        </w:rPr>
      </w:r>
    </w:p>
    <w:p>
      <w:pPr>
        <w:pStyle w:val="Normal"/>
        <w:jc w:val="right"/>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Señores, señoras</w:t>
      </w:r>
    </w:p>
    <w:p>
      <w:pPr>
        <w:pStyle w:val="Normal"/>
        <w:jc w:val="both"/>
        <w:rPr>
          <w:rFonts w:ascii="Bookman Old Style" w:hAnsi="Bookman Old Style"/>
          <w:sz w:val="20"/>
          <w:szCs w:val="20"/>
        </w:rPr>
      </w:pPr>
      <w:r>
        <w:rPr>
          <w:rFonts w:ascii="Bookman Old Style" w:hAnsi="Bookman Old Style"/>
          <w:sz w:val="20"/>
          <w:szCs w:val="20"/>
        </w:rPr>
        <w:t>Subcomisión de Acceso a la Justicia de Pueblos Indígenas</w:t>
      </w:r>
    </w:p>
    <w:p>
      <w:pPr>
        <w:pStyle w:val="Normal"/>
        <w:jc w:val="both"/>
        <w:rPr>
          <w:rFonts w:ascii="Bookman Old Style" w:hAnsi="Bookman Old Style"/>
          <w:sz w:val="20"/>
          <w:szCs w:val="20"/>
        </w:rPr>
      </w:pPr>
      <w:r>
        <w:rPr>
          <w:rFonts w:ascii="Bookman Old Style" w:hAnsi="Bookman Old Style"/>
          <w:sz w:val="20"/>
          <w:szCs w:val="20"/>
        </w:rPr>
        <w:t>Comité de capacitación en temática indígena</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b/>
          <w:b/>
          <w:bCs/>
          <w:sz w:val="20"/>
          <w:szCs w:val="20"/>
        </w:rPr>
      </w:pPr>
      <w:r>
        <w:rPr>
          <w:rFonts w:ascii="Bookman Old Style" w:hAnsi="Bookman Old Style"/>
          <w:b/>
          <w:bCs/>
          <w:sz w:val="20"/>
          <w:szCs w:val="20"/>
        </w:rPr>
        <w:t>Asunto: Referencia of: CACC-148-2020.</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Estimados, estimadas</w:t>
      </w:r>
    </w:p>
    <w:p>
      <w:pPr>
        <w:pStyle w:val="Normal"/>
        <w:jc w:val="both"/>
        <w:rPr>
          <w:rFonts w:ascii="Bookman Old Style" w:hAnsi="Bookman Old Style"/>
          <w:sz w:val="20"/>
          <w:szCs w:val="20"/>
        </w:rPr>
      </w:pPr>
      <w:r>
        <w:rPr>
          <w:rFonts w:ascii="Bookman Old Style" w:hAnsi="Bookman Old Style"/>
          <w:sz w:val="20"/>
          <w:szCs w:val="20"/>
        </w:rPr>
      </w:r>
    </w:p>
    <w:p>
      <w:pPr>
        <w:pStyle w:val="Normal"/>
        <w:shd w:val="clear" w:color="auto" w:fill="FFFFFF"/>
        <w:jc w:val="both"/>
        <w:textAlignment w:val="baseline"/>
        <w:rPr>
          <w:rFonts w:ascii="Bookman Old Style" w:hAnsi="Bookman Old Style"/>
          <w:sz w:val="20"/>
          <w:szCs w:val="20"/>
        </w:rPr>
      </w:pPr>
      <w:r>
        <w:rPr>
          <w:rFonts w:ascii="Bookman Old Style" w:hAnsi="Bookman Old Style"/>
          <w:sz w:val="20"/>
          <w:szCs w:val="20"/>
        </w:rPr>
        <w:t>Reciban un cordial saludo. En atención al Oficio CACC-148-2020, que en su acuerdo 4 se señala: “</w:t>
      </w:r>
      <w:r>
        <w:rPr>
          <w:rFonts w:cs="Calibri" w:ascii="Bookman Old Style" w:hAnsi="Bookman Old Style"/>
          <w:color w:val="000000"/>
          <w:sz w:val="20"/>
          <w:szCs w:val="20"/>
          <w:shd w:fill="FFFFFF" w:val="clear"/>
        </w:rPr>
        <w:t>Se tiene por planteado el perfil de las personas indígenas que participarán en el proceso de construcción de la capacitación, propuesto por la señora Marisol Barboza Rodríguez, especialista en métodos de enseñanza de la Escuela Judicial, en el que se señala debe tratarse de personas indígenas: a) líder o lideresa de un pueblo indígena, b) persona conocedora de la labor del Poder Judicial, c) persona conocedora de los procesos de acuerdo dentro de los pueblos indígenas, d) que hable español o en su defecto se le asignará una persona traductora, y con disposición para colaborar."</w:t>
      </w:r>
      <w:r>
        <w:rPr>
          <w:rFonts w:ascii="Bookman Old Style" w:hAnsi="Bookman Old Style"/>
          <w:sz w:val="20"/>
          <w:szCs w:val="20"/>
        </w:rPr>
        <w:t xml:space="preserve"> </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 xml:space="preserve">Al respecto, me permito solicitar se valore la figura de la persona facilitadora judicial para tal función. Las personas facilitadoras judiciales son líderes y lideresas elegidas de manera democrática en asambleas comunitarias por sus vecinos y vecinas. Tienen reconocimiento y legitimidad por parte de la comunidad donde viven y realizan sus funciones, y además ya son un enlace entre el Poder Judicial y su comunidad, debidamente reconocido. Las personas facilitadoras judiciales reciben capacitaciones constantes del Poder Judicial y otras instituciones públicas, y son un recurso con el que ya cuenta la institución para comunicarse y multiplicar información en las comunidades. </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 xml:space="preserve">Actualmente, el Servicio Nacional de Facilitadoras y Facilitadores Judiciales, se encuentra presente en los territorios indígenas de Guatuso, Curré, Osa, Conteburica, Coto Brus y Chirripó. En Conamaj contamos con una base de datos de las personas facilitadoras judiciales indígenas, que ponemos a disposición de la Subcomisión de Acceso a la Justicia a Pueblos Indígenas, en caso de requerirla. </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 xml:space="preserve">Utilizar este recurso ya existente, permite que no se dupliquen funciones y se maximice el uso de los recursos institucionales existentes. </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 xml:space="preserve">Agradeciendo la atención brindada, se despide atentamente, </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drawing>
          <wp:anchor behindDoc="0" distT="0" distB="0" distL="114300" distR="114300" simplePos="0" locked="0" layoutInCell="0" allowOverlap="1" relativeHeight="26">
            <wp:simplePos x="0" y="0"/>
            <wp:positionH relativeFrom="column">
              <wp:posOffset>60960</wp:posOffset>
            </wp:positionH>
            <wp:positionV relativeFrom="paragraph">
              <wp:posOffset>-58420</wp:posOffset>
            </wp:positionV>
            <wp:extent cx="1645920" cy="521970"/>
            <wp:effectExtent l="0" t="0" r="0" b="0"/>
            <wp:wrapSquare wrapText="bothSides"/>
            <wp:docPr id="30"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9" descr=""/>
                    <pic:cNvPicPr>
                      <a:picLocks noChangeAspect="1" noChangeArrowheads="1"/>
                    </pic:cNvPicPr>
                  </pic:nvPicPr>
                  <pic:blipFill>
                    <a:blip r:embed="rId115"/>
                    <a:stretch>
                      <a:fillRect/>
                    </a:stretch>
                  </pic:blipFill>
                  <pic:spPr bwMode="auto">
                    <a:xfrm>
                      <a:off x="0" y="0"/>
                      <a:ext cx="1645920" cy="521970"/>
                    </a:xfrm>
                    <a:prstGeom prst="rect">
                      <a:avLst/>
                    </a:prstGeom>
                  </pic:spPr>
                </pic:pic>
              </a:graphicData>
            </a:graphic>
          </wp:anchor>
        </w:drawing>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 xml:space="preserve">Ingrid Bermúdez Vindas </w:t>
      </w:r>
    </w:p>
    <w:p>
      <w:pPr>
        <w:pStyle w:val="Normal"/>
        <w:jc w:val="both"/>
        <w:rPr>
          <w:rFonts w:ascii="Bookman Old Style" w:hAnsi="Bookman Old Style"/>
          <w:sz w:val="20"/>
          <w:szCs w:val="20"/>
        </w:rPr>
      </w:pPr>
      <w:r>
        <w:rPr>
          <w:rFonts w:ascii="Bookman Old Style" w:hAnsi="Bookman Old Style"/>
          <w:sz w:val="20"/>
          <w:szCs w:val="20"/>
        </w:rPr>
        <w:t>Directora Ejecutiva a.i.</w:t>
      </w:r>
    </w:p>
    <w:p>
      <w:pPr>
        <w:pStyle w:val="Normal"/>
        <w:jc w:val="both"/>
        <w:rPr>
          <w:rFonts w:ascii="Bookman Old Style" w:hAnsi="Bookman Old Style"/>
          <w:sz w:val="20"/>
          <w:szCs w:val="20"/>
        </w:rPr>
      </w:pPr>
      <w:r>
        <w:rPr>
          <w:rFonts w:ascii="Bookman Old Style" w:hAnsi="Bookman Old Style"/>
          <w:sz w:val="20"/>
          <w:szCs w:val="20"/>
        </w:rPr>
        <w:t>CONAMAJ</w:t>
      </w:r>
    </w:p>
    <w:p>
      <w:pPr>
        <w:pStyle w:val="Normal"/>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center"/>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t>-0-</w:t>
      </w:r>
    </w:p>
    <w:p>
      <w:pPr>
        <w:pStyle w:val="Normal"/>
        <w:spacing w:beforeAutospacing="1" w:afterAutospacing="1"/>
        <w:jc w:val="both"/>
        <w:rPr>
          <w:rFonts w:ascii="Bookman Old Style" w:hAnsi="Bookman Old Style" w:cs="Segoe UI"/>
          <w:color w:val="201F1E"/>
          <w:sz w:val="20"/>
          <w:szCs w:val="20"/>
        </w:rPr>
      </w:pPr>
      <w:r>
        <w:rPr>
          <w:rFonts w:cs="Segoe UI" w:ascii="Bookman Old Style" w:hAnsi="Bookman Old Style"/>
          <w:color w:val="201F1E"/>
          <w:sz w:val="20"/>
          <w:szCs w:val="20"/>
        </w:rPr>
        <w:t>Se recibieron mensajes orales del señor Geyner Blanco en los que remitió sugerencias acerca de la participación de las personas indígenas en el diseño y la capacitación en temas indígenas del Poder Judicial, propuestas que también están pendientes de estudio por parte del Comité de Capacitación, en forma previa a remitir una propuesta a la Subcomisión.</w:t>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XII</w:t>
      </w:r>
      <w:r>
        <w:rPr>
          <w:rFonts w:cs="Tahoma" w:ascii="Bookman Old Style" w:hAnsi="Bookman Old Style"/>
          <w:b/>
          <w:color w:val="000000" w:themeColor="text1"/>
          <w:sz w:val="20"/>
          <w:szCs w:val="20"/>
          <w:u w:val="single"/>
        </w:rPr>
        <w:t>I</w:t>
      </w:r>
    </w:p>
    <w:p>
      <w:pPr>
        <w:pStyle w:val="Normal"/>
        <w:jc w:val="both"/>
        <w:rPr>
          <w:rFonts w:ascii="Bookman Old Style" w:hAnsi="Bookman Old Style" w:cs="Tahoma"/>
          <w:bCs/>
          <w:iCs/>
          <w:sz w:val="20"/>
          <w:szCs w:val="20"/>
        </w:rPr>
      </w:pPr>
      <w:r>
        <w:rPr>
          <w:rFonts w:cs="Tahoma" w:ascii="Bookman Old Style" w:hAnsi="Bookman Old Style"/>
          <w:bCs/>
          <w:iCs/>
          <w:sz w:val="20"/>
          <w:szCs w:val="20"/>
        </w:rPr>
        <w:t>El señor Roberth Morales, habitante de la comunidad de Crun Shurin, remitió copia a la Magistrada Damaris Vargas Vásquez, Coordinadora de la Subcomisión de Pueblos Indígenas, correo electrónico de 18 de abril pasado, dirigido a la señora Yamileth Astorga, Gerenta de Acueductos y Alcantarillados, informando acerca de la escasez de agua en la zona.</w:t>
      </w:r>
    </w:p>
    <w:p>
      <w:pPr>
        <w:pStyle w:val="Normal"/>
        <w:jc w:val="both"/>
        <w:rPr>
          <w:rFonts w:ascii="Bookman Old Style" w:hAnsi="Bookman Old Style" w:cs="Tahoma"/>
          <w:bCs/>
          <w:i/>
          <w:i/>
          <w:iCs/>
          <w:sz w:val="20"/>
          <w:szCs w:val="20"/>
        </w:rPr>
      </w:pPr>
      <w:r>
        <w:rPr>
          <w:rFonts w:cs="Tahoma" w:ascii="Bookman Old Style" w:hAnsi="Bookman Old Style"/>
          <w:bCs/>
          <w:i/>
          <w:iCs/>
          <w:sz w:val="20"/>
          <w:szCs w:val="20"/>
        </w:rPr>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b/>
          <w:bCs/>
          <w:i/>
          <w:iCs/>
          <w:color w:val="323130"/>
          <w:sz w:val="20"/>
          <w:szCs w:val="20"/>
          <w:lang w:val="es-ES"/>
        </w:rPr>
        <w:t>“</w:t>
      </w:r>
      <w:r>
        <w:rPr>
          <w:rFonts w:cs="Calibri" w:ascii="Bookman Old Style" w:hAnsi="Bookman Old Style"/>
          <w:b/>
          <w:bCs/>
          <w:i/>
          <w:iCs/>
          <w:color w:val="323130"/>
          <w:sz w:val="20"/>
          <w:szCs w:val="20"/>
          <w:lang w:val="es-ES"/>
        </w:rPr>
        <w:t>De:</w:t>
      </w:r>
      <w:r>
        <w:rPr>
          <w:rFonts w:cs="Calibri" w:ascii="Bookman Old Style" w:hAnsi="Bookman Old Style"/>
          <w:i/>
          <w:iCs/>
          <w:color w:val="323130"/>
          <w:sz w:val="20"/>
          <w:szCs w:val="20"/>
          <w:lang w:val="es-ES"/>
        </w:rPr>
        <w:t> Roberth Morales &lt;</w:t>
      </w:r>
      <w:hyperlink r:id="rId116" w:tgtFrame="_blank">
        <w:r>
          <w:rPr>
            <w:rFonts w:cs="Calibri" w:ascii="Bookman Old Style" w:hAnsi="Bookman Old Style"/>
            <w:i/>
            <w:iCs/>
            <w:color w:val="0563C1"/>
            <w:sz w:val="20"/>
            <w:szCs w:val="20"/>
            <w:u w:val="single"/>
            <w:lang w:val="es-ES"/>
          </w:rPr>
          <w:t>roberthmv1974@gmail.com</w:t>
        </w:r>
      </w:hyperlink>
      <w:r>
        <w:rPr>
          <w:rFonts w:cs="Calibri" w:ascii="Bookman Old Style" w:hAnsi="Bookman Old Style"/>
          <w:i/>
          <w:iCs/>
          <w:color w:val="323130"/>
          <w:sz w:val="20"/>
          <w:szCs w:val="20"/>
          <w:lang w:val="es-ES"/>
        </w:rPr>
        <w:t>&gt;</w:t>
        <w:br/>
      </w:r>
      <w:r>
        <w:rPr>
          <w:rFonts w:cs="Calibri" w:ascii="Bookman Old Style" w:hAnsi="Bookman Old Style"/>
          <w:b/>
          <w:bCs/>
          <w:i/>
          <w:iCs/>
          <w:color w:val="323130"/>
          <w:sz w:val="20"/>
          <w:szCs w:val="20"/>
          <w:lang w:val="es-ES"/>
        </w:rPr>
        <w:t>Enviado el:</w:t>
      </w:r>
      <w:r>
        <w:rPr>
          <w:rFonts w:cs="Calibri" w:ascii="Bookman Old Style" w:hAnsi="Bookman Old Style"/>
          <w:i/>
          <w:iCs/>
          <w:color w:val="323130"/>
          <w:sz w:val="20"/>
          <w:szCs w:val="20"/>
          <w:lang w:val="es-ES"/>
        </w:rPr>
        <w:t> sábado, 18 de abril de 2020 9:06 p. m.</w:t>
        <w:br/>
      </w:r>
      <w:r>
        <w:rPr>
          <w:rFonts w:cs="Calibri" w:ascii="Bookman Old Style" w:hAnsi="Bookman Old Style"/>
          <w:b/>
          <w:bCs/>
          <w:i/>
          <w:iCs/>
          <w:color w:val="323130"/>
          <w:sz w:val="20"/>
          <w:szCs w:val="20"/>
          <w:lang w:val="es-ES"/>
        </w:rPr>
        <w:t>Para:</w:t>
      </w:r>
      <w:r>
        <w:rPr>
          <w:rFonts w:cs="Calibri" w:ascii="Bookman Old Style" w:hAnsi="Bookman Old Style"/>
          <w:i/>
          <w:iCs/>
          <w:color w:val="323130"/>
          <w:sz w:val="20"/>
          <w:szCs w:val="20"/>
          <w:lang w:val="es-ES"/>
        </w:rPr>
        <w:t> </w:t>
      </w:r>
      <w:hyperlink r:id="rId117" w:tgtFrame="_blank">
        <w:r>
          <w:rPr>
            <w:rFonts w:cs="Calibri" w:ascii="Bookman Old Style" w:hAnsi="Bookman Old Style"/>
            <w:i/>
            <w:iCs/>
            <w:color w:val="0563C1"/>
            <w:sz w:val="20"/>
            <w:szCs w:val="20"/>
            <w:u w:val="single"/>
            <w:lang w:val="es-ES"/>
          </w:rPr>
          <w:t>yastorga@aya.go.cr</w:t>
        </w:r>
      </w:hyperlink>
      <w:r>
        <w:rPr>
          <w:rFonts w:cs="Calibri" w:ascii="Bookman Old Style" w:hAnsi="Bookman Old Style"/>
          <w:i/>
          <w:iCs/>
          <w:color w:val="323130"/>
          <w:sz w:val="20"/>
          <w:szCs w:val="20"/>
          <w:lang w:val="es-ES"/>
        </w:rPr>
        <w:br/>
      </w:r>
      <w:r>
        <w:rPr>
          <w:rFonts w:cs="Calibri" w:ascii="Bookman Old Style" w:hAnsi="Bookman Old Style"/>
          <w:b/>
          <w:bCs/>
          <w:i/>
          <w:iCs/>
          <w:color w:val="323130"/>
          <w:sz w:val="20"/>
          <w:szCs w:val="20"/>
          <w:lang w:val="es-ES"/>
        </w:rPr>
        <w:t>CC:</w:t>
      </w:r>
      <w:r>
        <w:rPr>
          <w:rFonts w:cs="Calibri" w:ascii="Bookman Old Style" w:hAnsi="Bookman Old Style"/>
          <w:i/>
          <w:iCs/>
          <w:color w:val="323130"/>
          <w:sz w:val="20"/>
          <w:szCs w:val="20"/>
          <w:lang w:val="es-ES"/>
        </w:rPr>
        <w:t> </w:t>
      </w:r>
      <w:hyperlink r:id="rId118" w:tgtFrame="_blank">
        <w:r>
          <w:rPr>
            <w:rFonts w:cs="Calibri" w:ascii="Bookman Old Style" w:hAnsi="Bookman Old Style"/>
            <w:i/>
            <w:iCs/>
            <w:color w:val="0563C1"/>
            <w:sz w:val="20"/>
            <w:szCs w:val="20"/>
            <w:u w:val="single"/>
            <w:lang w:val="es-ES"/>
          </w:rPr>
          <w:t>ggamboa@aya.go.cr</w:t>
        </w:r>
      </w:hyperlink>
      <w:r>
        <w:rPr>
          <w:rFonts w:cs="Calibri" w:ascii="Bookman Old Style" w:hAnsi="Bookman Old Style"/>
          <w:i/>
          <w:iCs/>
          <w:color w:val="323130"/>
          <w:sz w:val="20"/>
          <w:szCs w:val="20"/>
          <w:lang w:val="es-ES"/>
        </w:rPr>
        <w:t>; </w:t>
      </w:r>
      <w:hyperlink r:id="rId119" w:tgtFrame="_blank">
        <w:r>
          <w:rPr>
            <w:rFonts w:cs="Calibri" w:ascii="Bookman Old Style" w:hAnsi="Bookman Old Style"/>
            <w:i/>
            <w:iCs/>
            <w:color w:val="0563C1"/>
            <w:sz w:val="20"/>
            <w:szCs w:val="20"/>
            <w:u w:val="single"/>
            <w:lang w:val="es-ES"/>
          </w:rPr>
          <w:t>alice.harding.shackelford@one.un.org</w:t>
        </w:r>
      </w:hyperlink>
      <w:r>
        <w:rPr>
          <w:rFonts w:cs="Calibri" w:ascii="Bookman Old Style" w:hAnsi="Bookman Old Style"/>
          <w:i/>
          <w:iCs/>
          <w:color w:val="323130"/>
          <w:sz w:val="20"/>
          <w:szCs w:val="20"/>
          <w:lang w:val="es-ES"/>
        </w:rPr>
        <w:t>; </w:t>
      </w:r>
      <w:hyperlink r:id="rId120" w:tgtFrame="_blank">
        <w:r>
          <w:rPr>
            <w:rFonts w:cs="Calibri" w:ascii="Bookman Old Style" w:hAnsi="Bookman Old Style"/>
            <w:i/>
            <w:iCs/>
            <w:color w:val="0563C1"/>
            <w:sz w:val="20"/>
            <w:szCs w:val="20"/>
            <w:u w:val="single"/>
            <w:lang w:val="es-ES"/>
          </w:rPr>
          <w:t>dialogociudadano@presidencia.go.cr</w:t>
        </w:r>
      </w:hyperlink>
      <w:r>
        <w:rPr>
          <w:rFonts w:cs="Calibri" w:ascii="Bookman Old Style" w:hAnsi="Bookman Old Style"/>
          <w:i/>
          <w:iCs/>
          <w:color w:val="323130"/>
          <w:sz w:val="20"/>
          <w:szCs w:val="20"/>
          <w:lang w:val="es-ES"/>
        </w:rPr>
        <w:t>; </w:t>
      </w:r>
      <w:hyperlink r:id="rId121" w:tgtFrame="_blank">
        <w:r>
          <w:rPr>
            <w:rFonts w:cs="Calibri" w:ascii="Bookman Old Style" w:hAnsi="Bookman Old Style"/>
            <w:i/>
            <w:iCs/>
            <w:color w:val="0563C1"/>
            <w:sz w:val="20"/>
            <w:szCs w:val="20"/>
            <w:u w:val="single"/>
            <w:lang w:val="es-ES"/>
          </w:rPr>
          <w:t>vjimenez342@gmail.com</w:t>
        </w:r>
      </w:hyperlink>
      <w:r>
        <w:rPr>
          <w:rFonts w:cs="Calibri" w:ascii="Bookman Old Style" w:hAnsi="Bookman Old Style"/>
          <w:i/>
          <w:iCs/>
          <w:color w:val="323130"/>
          <w:sz w:val="20"/>
          <w:szCs w:val="20"/>
          <w:lang w:val="es-ES"/>
        </w:rPr>
        <w:t>; Damaris Vargas Vásquez &lt;</w:t>
      </w:r>
      <w:hyperlink r:id="rId122" w:tgtFrame="_blank">
        <w:r>
          <w:rPr>
            <w:rFonts w:cs="Calibri" w:ascii="Bookman Old Style" w:hAnsi="Bookman Old Style"/>
            <w:i/>
            <w:iCs/>
            <w:color w:val="0563C1"/>
            <w:sz w:val="20"/>
            <w:szCs w:val="20"/>
            <w:u w:val="single"/>
            <w:lang w:val="es-ES"/>
          </w:rPr>
          <w:t>dvargas@Poder-Judicial.go.cr</w:t>
        </w:r>
      </w:hyperlink>
      <w:r>
        <w:rPr>
          <w:rFonts w:cs="Calibri" w:ascii="Bookman Old Style" w:hAnsi="Bookman Old Style"/>
          <w:i/>
          <w:iCs/>
          <w:color w:val="323130"/>
          <w:sz w:val="20"/>
          <w:szCs w:val="20"/>
          <w:lang w:val="es-ES"/>
        </w:rPr>
        <w:t>&gt;; </w:t>
      </w:r>
      <w:hyperlink r:id="rId123" w:tgtFrame="_blank">
        <w:r>
          <w:rPr>
            <w:rFonts w:cs="Calibri" w:ascii="Bookman Old Style" w:hAnsi="Bookman Old Style"/>
            <w:i/>
            <w:iCs/>
            <w:color w:val="0563C1"/>
            <w:sz w:val="20"/>
            <w:szCs w:val="20"/>
            <w:u w:val="single"/>
            <w:lang w:val="es-ES"/>
          </w:rPr>
          <w:t>mherrera@dhr.go.cr</w:t>
        </w:r>
      </w:hyperlink>
      <w:r>
        <w:rPr>
          <w:rFonts w:cs="Calibri" w:ascii="Bookman Old Style" w:hAnsi="Bookman Old Style"/>
          <w:i/>
          <w:iCs/>
          <w:color w:val="323130"/>
          <w:sz w:val="20"/>
          <w:szCs w:val="20"/>
          <w:lang w:val="es-ES"/>
        </w:rPr>
        <w:br/>
      </w:r>
      <w:r>
        <w:rPr>
          <w:rFonts w:cs="Calibri" w:ascii="Bookman Old Style" w:hAnsi="Bookman Old Style"/>
          <w:b/>
          <w:bCs/>
          <w:i/>
          <w:iCs/>
          <w:color w:val="323130"/>
          <w:sz w:val="20"/>
          <w:szCs w:val="20"/>
          <w:lang w:val="es-ES"/>
        </w:rPr>
        <w:t>Asunto:</w:t>
      </w:r>
      <w:r>
        <w:rPr>
          <w:rFonts w:cs="Calibri" w:ascii="Bookman Old Style" w:hAnsi="Bookman Old Style"/>
          <w:i/>
          <w:iCs/>
          <w:color w:val="323130"/>
          <w:sz w:val="20"/>
          <w:szCs w:val="20"/>
          <w:lang w:val="es-ES"/>
        </w:rPr>
        <w:t> Falta de agua en Crun Shurin</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Sra Yamilleth Astorga, Gerente .</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Esperando que se encuentre bien de salud,  acudimos nuevamente a usted que en su nota recibida menciona que nuestro caso ya esta siendo atendido, sin embargo no se puede decir que la comunidad de Crun Shurin esta siendo atendida ya que somos 16 recuperadores y sus familias, de la cual  el agua que nos suministra el AYA solo nos alcanza  para tomar y para cocinar algunos alimentos. También tenemos serios problemas para  el aseo personal y limpieza de nuestras casas y con el COVID-19 es un atentado para nuestra población.</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Llevamos dos años en esta recuperación, la cual no estamos en una ruta remota si no al frente de la carretera interamericana. Sin embargo sentimos un proceso de discriminación desde el inicio de la recuperación, ya que duraron mucho tiempo para instalar  un tanque de agua. y desde ese momento hemos venido solicitándoles la necesidad urgente de solventar el problema de abastecimiento para las 16 recuperadores, por lo que le solicitamos que nos digan claramente con tiempos establecidos si seremos beneficiados con el agua requerida ya que esta finca no cuenta con agua, ademas somos beneficiarios de la medida cautelar CM-321-12 .</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Cordial mente Roberth Morales”</w:t>
      </w:r>
    </w:p>
    <w:p>
      <w:pPr>
        <w:pStyle w:val="Normal"/>
        <w:jc w:val="both"/>
        <w:rPr>
          <w:rFonts w:ascii="Bookman Old Style" w:hAnsi="Bookman Old Style" w:cs="Tahoma"/>
          <w:bCs/>
          <w:iCs/>
          <w:sz w:val="20"/>
          <w:szCs w:val="20"/>
        </w:rPr>
      </w:pPr>
      <w:r>
        <w:rPr>
          <w:rFonts w:cs="Tahoma" w:ascii="Bookman Old Style" w:hAnsi="Bookman Old Style"/>
          <w:bCs/>
          <w:iCs/>
          <w:sz w:val="20"/>
          <w:szCs w:val="20"/>
        </w:rPr>
      </w:r>
    </w:p>
    <w:p>
      <w:pPr>
        <w:pStyle w:val="Normal"/>
        <w:jc w:val="both"/>
        <w:rPr>
          <w:rFonts w:ascii="Bookman Old Style" w:hAnsi="Bookman Old Style" w:cs="Tahoma"/>
          <w:bCs/>
          <w:iCs/>
          <w:sz w:val="20"/>
          <w:szCs w:val="20"/>
        </w:rPr>
      </w:pPr>
      <w:r>
        <w:rPr>
          <w:rFonts w:cs="Tahoma" w:ascii="Bookman Old Style" w:hAnsi="Bookman Old Style"/>
          <w:bCs/>
          <w:iCs/>
          <w:sz w:val="20"/>
          <w:szCs w:val="20"/>
        </w:rPr>
        <w:t xml:space="preserve">La Magistrada Damaris Vargas Vásquez, Coordinadora </w:t>
      </w:r>
      <w:r>
        <w:rPr>
          <w:rFonts w:cs="Tahoma" w:ascii="Bookman Old Style" w:hAnsi="Bookman Old Style"/>
          <w:bCs/>
          <w:sz w:val="20"/>
          <w:szCs w:val="20"/>
          <w:lang w:val="es-ES"/>
        </w:rPr>
        <w:t>Coordinadora Subcomisión Acceso a la Justicia de Pueblos Indígenas</w:t>
      </w:r>
      <w:r>
        <w:rPr>
          <w:rFonts w:cs="Tahoma" w:ascii="Bookman Old Style" w:hAnsi="Bookman Old Style"/>
          <w:bCs/>
          <w:iCs/>
          <w:sz w:val="20"/>
          <w:szCs w:val="20"/>
        </w:rPr>
        <w:t>, mediante comunicados electrónicos de 20 de abril de 2020, puso en conocimiento de la situación reportada, a la señora Diana Montero Montero, Jefa de la Defensa Pública; a la Contraloría de Servicios y al señor Carlos Romero Rivera.</w:t>
      </w:r>
    </w:p>
    <w:p>
      <w:pPr>
        <w:pStyle w:val="Normal"/>
        <w:jc w:val="both"/>
        <w:rPr>
          <w:rFonts w:ascii="Bookman Old Style" w:hAnsi="Bookman Old Style" w:cs="Tahoma"/>
          <w:bCs/>
          <w:iCs/>
          <w:sz w:val="20"/>
          <w:szCs w:val="20"/>
        </w:rPr>
      </w:pPr>
      <w:r>
        <w:rPr>
          <w:rFonts w:cs="Tahoma" w:ascii="Bookman Old Style" w:hAnsi="Bookman Old Style"/>
          <w:bCs/>
          <w:iCs/>
          <w:sz w:val="20"/>
          <w:szCs w:val="20"/>
        </w:rPr>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b/>
          <w:bCs/>
          <w:i/>
          <w:iCs/>
          <w:color w:val="323130"/>
          <w:sz w:val="20"/>
          <w:szCs w:val="20"/>
          <w:lang w:val="es-ES"/>
        </w:rPr>
        <w:t>De:</w:t>
      </w:r>
      <w:r>
        <w:rPr>
          <w:rFonts w:cs="Calibri" w:ascii="Bookman Old Style" w:hAnsi="Bookman Old Style"/>
          <w:i/>
          <w:iCs/>
          <w:color w:val="323130"/>
          <w:sz w:val="20"/>
          <w:szCs w:val="20"/>
          <w:lang w:val="es-ES"/>
        </w:rPr>
        <w:t> Damaris Vargas Vásquez</w:t>
        <w:br/>
      </w:r>
      <w:r>
        <w:rPr>
          <w:rFonts w:cs="Calibri" w:ascii="Bookman Old Style" w:hAnsi="Bookman Old Style"/>
          <w:b/>
          <w:bCs/>
          <w:i/>
          <w:iCs/>
          <w:color w:val="323130"/>
          <w:sz w:val="20"/>
          <w:szCs w:val="20"/>
          <w:lang w:val="es-ES"/>
        </w:rPr>
        <w:t>Enviado el:</w:t>
      </w:r>
      <w:r>
        <w:rPr>
          <w:rFonts w:cs="Calibri" w:ascii="Bookman Old Style" w:hAnsi="Bookman Old Style"/>
          <w:i/>
          <w:iCs/>
          <w:color w:val="323130"/>
          <w:sz w:val="20"/>
          <w:szCs w:val="20"/>
          <w:lang w:val="es-ES"/>
        </w:rPr>
        <w:t> lunes, 20 de abril de 2020 12:09 a. m.</w:t>
        <w:br/>
      </w:r>
      <w:r>
        <w:rPr>
          <w:rFonts w:cs="Calibri" w:ascii="Bookman Old Style" w:hAnsi="Bookman Old Style"/>
          <w:b/>
          <w:bCs/>
          <w:i/>
          <w:iCs/>
          <w:color w:val="323130"/>
          <w:sz w:val="20"/>
          <w:szCs w:val="20"/>
          <w:lang w:val="es-ES"/>
        </w:rPr>
        <w:t>Para:</w:t>
      </w:r>
      <w:r>
        <w:rPr>
          <w:rFonts w:cs="Calibri" w:ascii="Bookman Old Style" w:hAnsi="Bookman Old Style"/>
          <w:i/>
          <w:iCs/>
          <w:color w:val="323130"/>
          <w:sz w:val="20"/>
          <w:szCs w:val="20"/>
          <w:lang w:val="es-ES"/>
        </w:rPr>
        <w:t> Roberth Morales &lt;</w:t>
      </w:r>
      <w:hyperlink r:id="rId124" w:tgtFrame="_blank">
        <w:r>
          <w:rPr>
            <w:rFonts w:cs="Calibri" w:ascii="Bookman Old Style" w:hAnsi="Bookman Old Style"/>
            <w:i/>
            <w:iCs/>
            <w:color w:val="0563C1"/>
            <w:sz w:val="20"/>
            <w:szCs w:val="20"/>
            <w:u w:val="single"/>
            <w:lang w:val="es-ES"/>
          </w:rPr>
          <w:t>roberthmv1974@gmail.com</w:t>
        </w:r>
      </w:hyperlink>
      <w:r>
        <w:rPr>
          <w:rFonts w:cs="Calibri" w:ascii="Bookman Old Style" w:hAnsi="Bookman Old Style"/>
          <w:i/>
          <w:iCs/>
          <w:color w:val="323130"/>
          <w:sz w:val="20"/>
          <w:szCs w:val="20"/>
          <w:lang w:val="es-ES"/>
        </w:rPr>
        <w:t>&gt;; Yamileth Astorga Espeleta &lt;</w:t>
      </w:r>
      <w:hyperlink r:id="rId125" w:tgtFrame="_blank">
        <w:r>
          <w:rPr>
            <w:rFonts w:cs="Calibri" w:ascii="Bookman Old Style" w:hAnsi="Bookman Old Style"/>
            <w:i/>
            <w:iCs/>
            <w:color w:val="0563C1"/>
            <w:sz w:val="20"/>
            <w:szCs w:val="20"/>
            <w:u w:val="single"/>
            <w:lang w:val="es-ES"/>
          </w:rPr>
          <w:t>yastorga@aya.go.cr</w:t>
        </w:r>
      </w:hyperlink>
      <w:r>
        <w:rPr>
          <w:rFonts w:cs="Calibri" w:ascii="Bookman Old Style" w:hAnsi="Bookman Old Style"/>
          <w:i/>
          <w:iCs/>
          <w:color w:val="323130"/>
          <w:sz w:val="20"/>
          <w:szCs w:val="20"/>
          <w:lang w:val="es-ES"/>
        </w:rPr>
        <w:t>&gt;</w:t>
        <w:br/>
      </w:r>
      <w:r>
        <w:rPr>
          <w:rFonts w:cs="Calibri" w:ascii="Bookman Old Style" w:hAnsi="Bookman Old Style"/>
          <w:b/>
          <w:bCs/>
          <w:i/>
          <w:iCs/>
          <w:color w:val="323130"/>
          <w:sz w:val="20"/>
          <w:szCs w:val="20"/>
          <w:lang w:val="es-ES"/>
        </w:rPr>
        <w:t>CC:</w:t>
      </w:r>
      <w:r>
        <w:rPr>
          <w:rFonts w:cs="Calibri" w:ascii="Bookman Old Style" w:hAnsi="Bookman Old Style"/>
          <w:i/>
          <w:iCs/>
          <w:color w:val="323130"/>
          <w:sz w:val="20"/>
          <w:szCs w:val="20"/>
          <w:lang w:val="es-ES"/>
        </w:rPr>
        <w:t> </w:t>
      </w:r>
      <w:hyperlink r:id="rId126" w:tgtFrame="_blank">
        <w:r>
          <w:rPr>
            <w:rFonts w:cs="Calibri" w:ascii="Bookman Old Style" w:hAnsi="Bookman Old Style"/>
            <w:i/>
            <w:iCs/>
            <w:color w:val="0563C1"/>
            <w:sz w:val="20"/>
            <w:szCs w:val="20"/>
            <w:u w:val="single"/>
            <w:lang w:val="es-ES"/>
          </w:rPr>
          <w:t>ggamboa@aya.go.cr</w:t>
        </w:r>
      </w:hyperlink>
      <w:r>
        <w:rPr>
          <w:rFonts w:cs="Calibri" w:ascii="Bookman Old Style" w:hAnsi="Bookman Old Style"/>
          <w:i/>
          <w:iCs/>
          <w:color w:val="323130"/>
          <w:sz w:val="20"/>
          <w:szCs w:val="20"/>
          <w:lang w:val="es-ES"/>
        </w:rPr>
        <w:t>; </w:t>
      </w:r>
      <w:hyperlink r:id="rId127" w:tgtFrame="_blank">
        <w:r>
          <w:rPr>
            <w:rFonts w:cs="Calibri" w:ascii="Bookman Old Style" w:hAnsi="Bookman Old Style"/>
            <w:i/>
            <w:iCs/>
            <w:color w:val="0563C1"/>
            <w:sz w:val="20"/>
            <w:szCs w:val="20"/>
            <w:u w:val="single"/>
            <w:lang w:val="es-ES"/>
          </w:rPr>
          <w:t>alice.harding.shackelford@one.un.org</w:t>
        </w:r>
      </w:hyperlink>
      <w:r>
        <w:rPr>
          <w:rFonts w:cs="Calibri" w:ascii="Bookman Old Style" w:hAnsi="Bookman Old Style"/>
          <w:i/>
          <w:iCs/>
          <w:color w:val="323130"/>
          <w:sz w:val="20"/>
          <w:szCs w:val="20"/>
          <w:lang w:val="es-ES"/>
        </w:rPr>
        <w:t>; </w:t>
      </w:r>
      <w:hyperlink r:id="rId128" w:tgtFrame="_blank">
        <w:r>
          <w:rPr>
            <w:rFonts w:cs="Calibri" w:ascii="Bookman Old Style" w:hAnsi="Bookman Old Style"/>
            <w:i/>
            <w:iCs/>
            <w:color w:val="0563C1"/>
            <w:sz w:val="20"/>
            <w:szCs w:val="20"/>
            <w:u w:val="single"/>
            <w:lang w:val="es-ES"/>
          </w:rPr>
          <w:t>dialogociudadano@presidencia.go.cr</w:t>
        </w:r>
      </w:hyperlink>
      <w:r>
        <w:rPr>
          <w:rFonts w:cs="Calibri" w:ascii="Bookman Old Style" w:hAnsi="Bookman Old Style"/>
          <w:i/>
          <w:iCs/>
          <w:color w:val="323130"/>
          <w:sz w:val="20"/>
          <w:szCs w:val="20"/>
          <w:lang w:val="es-ES"/>
        </w:rPr>
        <w:t>; </w:t>
      </w:r>
      <w:hyperlink r:id="rId129" w:tgtFrame="_blank">
        <w:r>
          <w:rPr>
            <w:rFonts w:cs="Calibri" w:ascii="Bookman Old Style" w:hAnsi="Bookman Old Style"/>
            <w:i/>
            <w:iCs/>
            <w:color w:val="0563C1"/>
            <w:sz w:val="20"/>
            <w:szCs w:val="20"/>
            <w:u w:val="single"/>
            <w:lang w:val="es-ES"/>
          </w:rPr>
          <w:t>vjimenez342@gmail.com</w:t>
        </w:r>
      </w:hyperlink>
      <w:r>
        <w:rPr>
          <w:rFonts w:cs="Calibri" w:ascii="Bookman Old Style" w:hAnsi="Bookman Old Style"/>
          <w:i/>
          <w:iCs/>
          <w:color w:val="323130"/>
          <w:sz w:val="20"/>
          <w:szCs w:val="20"/>
          <w:lang w:val="es-ES"/>
        </w:rPr>
        <w:t>; </w:t>
      </w:r>
      <w:hyperlink r:id="rId130" w:tgtFrame="_blank">
        <w:r>
          <w:rPr>
            <w:rFonts w:cs="Calibri" w:ascii="Bookman Old Style" w:hAnsi="Bookman Old Style"/>
            <w:i/>
            <w:iCs/>
            <w:color w:val="0563C1"/>
            <w:sz w:val="20"/>
            <w:szCs w:val="20"/>
            <w:u w:val="single"/>
            <w:lang w:val="es-ES"/>
          </w:rPr>
          <w:t>mherrera@dhr.go.cr</w:t>
        </w:r>
      </w:hyperlink>
      <w:r>
        <w:rPr>
          <w:rFonts w:cs="Calibri" w:ascii="Bookman Old Style" w:hAnsi="Bookman Old Style"/>
          <w:i/>
          <w:iCs/>
          <w:color w:val="323130"/>
          <w:sz w:val="20"/>
          <w:szCs w:val="20"/>
          <w:lang w:val="es-ES"/>
        </w:rPr>
        <w:br/>
      </w:r>
      <w:r>
        <w:rPr>
          <w:rFonts w:cs="Calibri" w:ascii="Bookman Old Style" w:hAnsi="Bookman Old Style"/>
          <w:b/>
          <w:bCs/>
          <w:i/>
          <w:iCs/>
          <w:color w:val="323130"/>
          <w:sz w:val="20"/>
          <w:szCs w:val="20"/>
          <w:lang w:val="es-ES"/>
        </w:rPr>
        <w:t>Asunto:</w:t>
      </w:r>
      <w:r>
        <w:rPr>
          <w:rFonts w:cs="Calibri" w:ascii="Bookman Old Style" w:hAnsi="Bookman Old Style"/>
          <w:i/>
          <w:iCs/>
          <w:color w:val="323130"/>
          <w:sz w:val="20"/>
          <w:szCs w:val="20"/>
          <w:lang w:val="es-ES"/>
        </w:rPr>
        <w:t> RE: Falta de agua en Crun Shurin</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Señor</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Roberth Morales</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Acuso recibido de su gestión. A la vez, sin referirme al caso concreto por limitaciones legales con ocasión de mi función, hago de su conocimiento que de conformidad con la Ley de Acceso a la Justicia de Pueblos Indígenas de Costa Rica usted tiene derecho, de requerirlo, a acudir a la Defensa Pública, a efecto de que atiendan su defensa especializada de estimar pertinente acudir a los tribunales de justicia.</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Cordialmente,</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Damaris Vargas Vásquez</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Coordinadora</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Subcomisión Acceso a la Justicia de Pueblos Indígenas</w:t>
      </w:r>
    </w:p>
    <w:p>
      <w:pPr>
        <w:pStyle w:val="Normal"/>
        <w:shd w:val="clear" w:color="auto" w:fill="FAF9F8"/>
        <w:textAlignment w:val="baseline"/>
        <w:rPr>
          <w:rFonts w:ascii="Bookman Old Style" w:hAnsi="Bookman Old Style" w:cs="Calibri"/>
          <w:b/>
          <w:b/>
          <w:bCs/>
          <w:i/>
          <w:i/>
          <w:iCs/>
          <w:color w:val="323130"/>
          <w:sz w:val="20"/>
          <w:szCs w:val="20"/>
          <w:lang w:val="es-ES"/>
        </w:rPr>
      </w:pPr>
      <w:r>
        <w:rPr>
          <w:rFonts w:cs="Calibri" w:ascii="Bookman Old Style" w:hAnsi="Bookman Old Style"/>
          <w:b/>
          <w:bCs/>
          <w:i/>
          <w:iCs/>
          <w:color w:val="323130"/>
          <w:sz w:val="20"/>
          <w:szCs w:val="20"/>
          <w:lang w:val="es-ES"/>
        </w:rPr>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b/>
          <w:bCs/>
          <w:i/>
          <w:iCs/>
          <w:color w:val="323130"/>
          <w:sz w:val="20"/>
          <w:szCs w:val="20"/>
          <w:lang w:val="es-ES"/>
        </w:rPr>
        <w:t>De:</w:t>
      </w:r>
      <w:r>
        <w:rPr>
          <w:rFonts w:cs="Calibri" w:ascii="Bookman Old Style" w:hAnsi="Bookman Old Style"/>
          <w:i/>
          <w:iCs/>
          <w:color w:val="323130"/>
          <w:sz w:val="20"/>
          <w:szCs w:val="20"/>
          <w:lang w:val="es-ES"/>
        </w:rPr>
        <w:t> Damaris Vargas Vásquez</w:t>
        <w:br/>
      </w:r>
      <w:r>
        <w:rPr>
          <w:rFonts w:cs="Calibri" w:ascii="Bookman Old Style" w:hAnsi="Bookman Old Style"/>
          <w:b/>
          <w:bCs/>
          <w:i/>
          <w:iCs/>
          <w:color w:val="323130"/>
          <w:sz w:val="20"/>
          <w:szCs w:val="20"/>
          <w:lang w:val="es-ES"/>
        </w:rPr>
        <w:t>Enviado el:</w:t>
      </w:r>
      <w:r>
        <w:rPr>
          <w:rFonts w:cs="Calibri" w:ascii="Bookman Old Style" w:hAnsi="Bookman Old Style"/>
          <w:i/>
          <w:iCs/>
          <w:color w:val="323130"/>
          <w:sz w:val="20"/>
          <w:szCs w:val="20"/>
          <w:lang w:val="es-ES"/>
        </w:rPr>
        <w:t> lunes, 20 de abril de 2020 12:11 a. m.</w:t>
        <w:br/>
      </w:r>
      <w:r>
        <w:rPr>
          <w:rFonts w:cs="Calibri" w:ascii="Bookman Old Style" w:hAnsi="Bookman Old Style"/>
          <w:b/>
          <w:bCs/>
          <w:i/>
          <w:iCs/>
          <w:color w:val="323130"/>
          <w:sz w:val="20"/>
          <w:szCs w:val="20"/>
          <w:lang w:val="es-ES"/>
        </w:rPr>
        <w:t>Para:</w:t>
      </w:r>
      <w:r>
        <w:rPr>
          <w:rFonts w:cs="Calibri" w:ascii="Bookman Old Style" w:hAnsi="Bookman Old Style"/>
          <w:i/>
          <w:iCs/>
          <w:color w:val="323130"/>
          <w:sz w:val="20"/>
          <w:szCs w:val="20"/>
          <w:lang w:val="es-ES"/>
        </w:rPr>
        <w:t> Diana Montero Montero &lt;</w:t>
      </w:r>
      <w:hyperlink r:id="rId131" w:tgtFrame="_blank">
        <w:r>
          <w:rPr>
            <w:rFonts w:cs="Calibri" w:ascii="Bookman Old Style" w:hAnsi="Bookman Old Style"/>
            <w:i/>
            <w:iCs/>
            <w:color w:val="0563C1"/>
            <w:sz w:val="20"/>
            <w:szCs w:val="20"/>
            <w:u w:val="single"/>
            <w:lang w:val="es-ES"/>
          </w:rPr>
          <w:t>dmonterom@Poder-Judicial.go.cr</w:t>
        </w:r>
      </w:hyperlink>
      <w:r>
        <w:rPr>
          <w:rFonts w:cs="Calibri" w:ascii="Bookman Old Style" w:hAnsi="Bookman Old Style"/>
          <w:i/>
          <w:iCs/>
          <w:color w:val="323130"/>
          <w:sz w:val="20"/>
          <w:szCs w:val="20"/>
          <w:lang w:val="es-ES"/>
        </w:rPr>
        <w:t>&gt;; Secretaría Defensa Publica I Circuito Judicial &lt;</w:t>
      </w:r>
      <w:hyperlink r:id="rId132" w:tgtFrame="_blank">
        <w:r>
          <w:rPr>
            <w:rFonts w:cs="Calibri" w:ascii="Bookman Old Style" w:hAnsi="Bookman Old Style"/>
            <w:i/>
            <w:iCs/>
            <w:color w:val="0563C1"/>
            <w:sz w:val="20"/>
            <w:szCs w:val="20"/>
            <w:u w:val="single"/>
            <w:lang w:val="es-ES"/>
          </w:rPr>
          <w:t>defensapublica@Poder-Judicial.go.cr</w:t>
        </w:r>
      </w:hyperlink>
      <w:r>
        <w:rPr>
          <w:rFonts w:cs="Calibri" w:ascii="Bookman Old Style" w:hAnsi="Bookman Old Style"/>
          <w:i/>
          <w:iCs/>
          <w:color w:val="323130"/>
          <w:sz w:val="20"/>
          <w:szCs w:val="20"/>
          <w:lang w:val="es-ES"/>
        </w:rPr>
        <w:t>&gt;</w:t>
        <w:br/>
      </w:r>
      <w:r>
        <w:rPr>
          <w:rFonts w:cs="Calibri" w:ascii="Bookman Old Style" w:hAnsi="Bookman Old Style"/>
          <w:b/>
          <w:bCs/>
          <w:i/>
          <w:iCs/>
          <w:color w:val="323130"/>
          <w:sz w:val="20"/>
          <w:szCs w:val="20"/>
          <w:lang w:val="es-ES"/>
        </w:rPr>
        <w:t>CC:</w:t>
      </w:r>
      <w:r>
        <w:rPr>
          <w:rFonts w:cs="Calibri" w:ascii="Bookman Old Style" w:hAnsi="Bookman Old Style"/>
          <w:i/>
          <w:iCs/>
          <w:color w:val="323130"/>
          <w:sz w:val="20"/>
          <w:szCs w:val="20"/>
          <w:lang w:val="es-ES"/>
        </w:rPr>
        <w:t> Erick Núñez Rodríguez &lt;</w:t>
      </w:r>
      <w:hyperlink r:id="rId133" w:tgtFrame="_blank">
        <w:r>
          <w:rPr>
            <w:rFonts w:cs="Calibri" w:ascii="Bookman Old Style" w:hAnsi="Bookman Old Style"/>
            <w:i/>
            <w:iCs/>
            <w:color w:val="0563C1"/>
            <w:sz w:val="20"/>
            <w:szCs w:val="20"/>
            <w:u w:val="single"/>
            <w:lang w:val="es-ES"/>
          </w:rPr>
          <w:t>enunezr@Poder-Judicial.go.cr</w:t>
        </w:r>
      </w:hyperlink>
      <w:r>
        <w:rPr>
          <w:rFonts w:cs="Calibri" w:ascii="Bookman Old Style" w:hAnsi="Bookman Old Style"/>
          <w:i/>
          <w:iCs/>
          <w:color w:val="323130"/>
          <w:sz w:val="20"/>
          <w:szCs w:val="20"/>
          <w:lang w:val="es-ES"/>
        </w:rPr>
        <w:t>&gt;; Ligia Jeannette Jiménez Zamora &lt;</w:t>
      </w:r>
      <w:hyperlink r:id="rId134" w:tgtFrame="_blank">
        <w:r>
          <w:rPr>
            <w:rFonts w:cs="Calibri" w:ascii="Bookman Old Style" w:hAnsi="Bookman Old Style"/>
            <w:i/>
            <w:iCs/>
            <w:color w:val="0563C1"/>
            <w:sz w:val="20"/>
            <w:szCs w:val="20"/>
            <w:u w:val="single"/>
            <w:lang w:val="es-ES"/>
          </w:rPr>
          <w:t>ljimenezz@Poder-Judicial.go.cr</w:t>
        </w:r>
      </w:hyperlink>
      <w:r>
        <w:rPr>
          <w:rFonts w:cs="Calibri" w:ascii="Bookman Old Style" w:hAnsi="Bookman Old Style"/>
          <w:i/>
          <w:iCs/>
          <w:color w:val="323130"/>
          <w:sz w:val="20"/>
          <w:szCs w:val="20"/>
          <w:lang w:val="es-ES"/>
        </w:rPr>
        <w:t>&gt;</w:t>
        <w:br/>
      </w:r>
      <w:r>
        <w:rPr>
          <w:rFonts w:cs="Calibri" w:ascii="Bookman Old Style" w:hAnsi="Bookman Old Style"/>
          <w:b/>
          <w:bCs/>
          <w:i/>
          <w:iCs/>
          <w:color w:val="323130"/>
          <w:sz w:val="20"/>
          <w:szCs w:val="20"/>
          <w:lang w:val="es-ES"/>
        </w:rPr>
        <w:t>Asunto:</w:t>
      </w:r>
      <w:r>
        <w:rPr>
          <w:rFonts w:cs="Calibri" w:ascii="Bookman Old Style" w:hAnsi="Bookman Old Style"/>
          <w:i/>
          <w:iCs/>
          <w:color w:val="323130"/>
          <w:sz w:val="20"/>
          <w:szCs w:val="20"/>
          <w:lang w:val="es-ES"/>
        </w:rPr>
        <w:t> RV: Falta de agua en Crun Shurin</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Estimada doña Diana:</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Buenos días. Remito para su conocimiento. El señor Morales es parte de las personas beneficiarias de las Medidas Cautelares 321-12 de la CIDH contra el Estado.</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Saludos cordiales,</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Damaris Vargas Vásquez</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Coordinadora</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Subcomisión Acceso a la Justicia de Pueblos Indígenas</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r>
        <w:rPr>
          <w:rFonts w:cs="Calibri" w:ascii="Bookman Old Style" w:hAnsi="Bookman Old Style"/>
          <w:b/>
          <w:bCs/>
          <w:i/>
          <w:iCs/>
          <w:color w:val="323130"/>
          <w:sz w:val="20"/>
          <w:szCs w:val="20"/>
          <w:lang w:val="es-ES"/>
        </w:rPr>
        <w:t>De:</w:t>
      </w:r>
      <w:r>
        <w:rPr>
          <w:rFonts w:cs="Calibri" w:ascii="Bookman Old Style" w:hAnsi="Bookman Old Style"/>
          <w:i/>
          <w:iCs/>
          <w:color w:val="323130"/>
          <w:sz w:val="20"/>
          <w:szCs w:val="20"/>
          <w:lang w:val="es-ES"/>
        </w:rPr>
        <w:t> Damaris Vargas Vásquez</w:t>
        <w:br/>
      </w:r>
      <w:r>
        <w:rPr>
          <w:rFonts w:cs="Calibri" w:ascii="Bookman Old Style" w:hAnsi="Bookman Old Style"/>
          <w:b/>
          <w:bCs/>
          <w:i/>
          <w:iCs/>
          <w:color w:val="323130"/>
          <w:sz w:val="20"/>
          <w:szCs w:val="20"/>
          <w:lang w:val="es-ES"/>
        </w:rPr>
        <w:t>Enviado el:</w:t>
      </w:r>
      <w:r>
        <w:rPr>
          <w:rFonts w:cs="Calibri" w:ascii="Bookman Old Style" w:hAnsi="Bookman Old Style"/>
          <w:i/>
          <w:iCs/>
          <w:color w:val="323130"/>
          <w:sz w:val="20"/>
          <w:szCs w:val="20"/>
          <w:lang w:val="es-ES"/>
        </w:rPr>
        <w:t> lunes, 20 de abril de 2020 12:12 a. m.</w:t>
        <w:br/>
      </w:r>
      <w:r>
        <w:rPr>
          <w:rFonts w:cs="Calibri" w:ascii="Bookman Old Style" w:hAnsi="Bookman Old Style"/>
          <w:b/>
          <w:bCs/>
          <w:i/>
          <w:iCs/>
          <w:color w:val="323130"/>
          <w:sz w:val="20"/>
          <w:szCs w:val="20"/>
          <w:lang w:val="es-ES"/>
        </w:rPr>
        <w:t>Para:</w:t>
      </w:r>
      <w:r>
        <w:rPr>
          <w:rFonts w:cs="Calibri" w:ascii="Bookman Old Style" w:hAnsi="Bookman Old Style"/>
          <w:i/>
          <w:iCs/>
          <w:color w:val="323130"/>
          <w:sz w:val="20"/>
          <w:szCs w:val="20"/>
          <w:lang w:val="es-ES"/>
        </w:rPr>
        <w:t> Carlos Romero Rivera &lt;cromero@poder-judicial.go.cr&gt;; Contraloría de Servicios de Pérez Zeledón &lt;pze-contraloria@Poder-Judicial.go.cr&gt;</w:t>
        <w:br/>
      </w:r>
      <w:r>
        <w:rPr>
          <w:rFonts w:cs="Calibri" w:ascii="Bookman Old Style" w:hAnsi="Bookman Old Style"/>
          <w:b/>
          <w:bCs/>
          <w:i/>
          <w:iCs/>
          <w:color w:val="323130"/>
          <w:sz w:val="20"/>
          <w:szCs w:val="20"/>
          <w:lang w:val="es-ES"/>
        </w:rPr>
        <w:t>CC:</w:t>
      </w:r>
      <w:r>
        <w:rPr>
          <w:rFonts w:cs="Calibri" w:ascii="Bookman Old Style" w:hAnsi="Bookman Old Style"/>
          <w:i/>
          <w:iCs/>
          <w:color w:val="323130"/>
          <w:sz w:val="20"/>
          <w:szCs w:val="20"/>
          <w:lang w:val="es-ES"/>
        </w:rPr>
        <w:t> Marianela Campos Soto &lt;mcamposs@Poder-Judicial.go.cr&gt;</w:t>
        <w:br/>
      </w:r>
      <w:r>
        <w:rPr>
          <w:rFonts w:cs="Calibri" w:ascii="Bookman Old Style" w:hAnsi="Bookman Old Style"/>
          <w:b/>
          <w:bCs/>
          <w:i/>
          <w:iCs/>
          <w:color w:val="323130"/>
          <w:sz w:val="20"/>
          <w:szCs w:val="20"/>
          <w:lang w:val="es-ES"/>
        </w:rPr>
        <w:t>Asunto:</w:t>
      </w:r>
      <w:r>
        <w:rPr>
          <w:rFonts w:cs="Calibri" w:ascii="Bookman Old Style" w:hAnsi="Bookman Old Style"/>
          <w:i/>
          <w:iCs/>
          <w:color w:val="323130"/>
          <w:sz w:val="20"/>
          <w:szCs w:val="20"/>
          <w:lang w:val="es-ES"/>
        </w:rPr>
        <w:t> RV: Falta de agua en Crun Shurin</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Estimado don Carlos:</w:t>
      </w:r>
    </w:p>
    <w:p>
      <w:pPr>
        <w:pStyle w:val="Normal"/>
        <w:shd w:val="clear" w:color="auto" w:fill="FAF9F8"/>
        <w:textAlignment w:val="baseline"/>
        <w:rPr>
          <w:rFonts w:ascii="Bookman Old Style" w:hAnsi="Bookman Old Style" w:cs="Calibri"/>
          <w:color w:val="323130"/>
          <w:sz w:val="20"/>
          <w:szCs w:val="20"/>
        </w:rPr>
      </w:pPr>
      <w:r>
        <w:rPr>
          <w:rFonts w:cs="Calibri" w:ascii="Bookman Old Style" w:hAnsi="Bookman Old Style"/>
          <w:i/>
          <w:iCs/>
          <w:color w:val="323130"/>
          <w:sz w:val="20"/>
          <w:szCs w:val="20"/>
        </w:rPr>
        <w:t>Buenos días. Remito para su conocimiento.-</w:t>
      </w:r>
    </w:p>
    <w:p>
      <w:pPr>
        <w:pStyle w:val="Normal"/>
        <w:shd w:val="clear" w:color="auto" w:fill="FAF9F8"/>
        <w:textAlignment w:val="baseline"/>
        <w:rPr>
          <w:rFonts w:ascii="Bookman Old Style" w:hAnsi="Bookman Old Style" w:cs="Calibri"/>
          <w:color w:val="323130"/>
          <w:sz w:val="20"/>
          <w:szCs w:val="20"/>
        </w:rPr>
      </w:pPr>
      <w:r>
        <w:rPr>
          <w:rFonts w:cs="Calibri" w:ascii="Bookman Old Style" w:hAnsi="Bookman Old Style"/>
          <w:color w:val="323130"/>
          <w:sz w:val="20"/>
          <w:szCs w:val="20"/>
        </w:rPr>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color w:val="323130"/>
          <w:sz w:val="20"/>
          <w:szCs w:val="20"/>
        </w:rPr>
        <w:t>La Defensora Pública Ligia Jiménez coordinó con la señora Marjorie Herrera de la Defensoría de los Habitantes de la República la gestión planteada.</w:t>
      </w:r>
      <w:r>
        <w:rPr>
          <w:rFonts w:cs="Calibri" w:ascii="Bookman Old Style" w:hAnsi="Bookman Old Style"/>
          <w:i/>
          <w:iCs/>
          <w:color w:val="323130"/>
          <w:sz w:val="20"/>
          <w:szCs w:val="20"/>
        </w:rPr>
        <w:t> </w:t>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XIV</w:t>
      </w:r>
    </w:p>
    <w:p>
      <w:pPr>
        <w:pStyle w:val="Normal"/>
        <w:jc w:val="both"/>
        <w:rPr>
          <w:rFonts w:ascii="Bookman Old Style" w:hAnsi="Bookman Old Style" w:cs="Tahoma"/>
          <w:bCs/>
          <w:iCs/>
          <w:sz w:val="20"/>
          <w:szCs w:val="20"/>
        </w:rPr>
      </w:pPr>
      <w:r>
        <w:rPr>
          <w:rFonts w:cs="Tahoma" w:ascii="Bookman Old Style" w:hAnsi="Bookman Old Style"/>
          <w:bCs/>
          <w:iCs/>
          <w:sz w:val="20"/>
          <w:szCs w:val="20"/>
        </w:rPr>
        <w:t>El señor Róger Mata Brenes, director del Despacho de la Presidencia, comunicó a la Máster Melissa Benavides Víquez,</w:t>
      </w:r>
      <w:r>
        <w:rPr>
          <w:rFonts w:cs="Tahoma" w:ascii="Bookman Old Style" w:hAnsi="Bookman Old Style"/>
          <w:sz w:val="20"/>
          <w:szCs w:val="20"/>
        </w:rPr>
        <w:t xml:space="preserve"> Coordinadora de la Unidad de Acceso a la Justicia del Poder Judicial, que no es posible integrar al señor Jorge David Morales Ramírez, Asesor del Despacho de la Presidencia, como integrante de la Subcomisión de Acceso a la Justicia de Pueblos Indígenas, según se desprende del siguiente comunicado:</w:t>
      </w:r>
    </w:p>
    <w:p>
      <w:pPr>
        <w:pStyle w:val="Normal"/>
        <w:shd w:val="clear" w:color="auto" w:fill="FFFFFF"/>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textAlignment w:val="baseline"/>
        <w:rPr>
          <w:rFonts w:ascii="Bookman Old Style" w:hAnsi="Bookman Old Style" w:cs="Calibri"/>
          <w:i/>
          <w:i/>
          <w:iCs/>
          <w:color w:val="201F1E"/>
          <w:sz w:val="20"/>
          <w:szCs w:val="20"/>
        </w:rPr>
      </w:pPr>
      <w:r>
        <w:rPr>
          <w:rFonts w:cs="Calibri" w:ascii="Bookman Old Style" w:hAnsi="Bookman Old Style"/>
          <w:b/>
          <w:bCs/>
          <w:i/>
          <w:iCs/>
          <w:color w:val="201F1E"/>
          <w:sz w:val="20"/>
          <w:szCs w:val="20"/>
          <w:lang w:val="es-ES"/>
        </w:rPr>
        <w:t>De:</w:t>
      </w:r>
      <w:r>
        <w:rPr>
          <w:rFonts w:cs="Calibri" w:ascii="Bookman Old Style" w:hAnsi="Bookman Old Style"/>
          <w:i/>
          <w:iCs/>
          <w:color w:val="201F1E"/>
          <w:sz w:val="20"/>
          <w:szCs w:val="20"/>
          <w:lang w:val="es-ES"/>
        </w:rPr>
        <w:t> Despacho de la Presidencia de la Corte &lt;</w:t>
      </w:r>
      <w:hyperlink r:id="rId135" w:tgtFrame="_blank">
        <w:r>
          <w:rPr>
            <w:rFonts w:cs="Calibri" w:ascii="Bookman Old Style" w:hAnsi="Bookman Old Style"/>
            <w:i/>
            <w:iCs/>
            <w:color w:val="0000FF"/>
            <w:sz w:val="20"/>
            <w:szCs w:val="20"/>
            <w:u w:val="single"/>
            <w:lang w:val="es-ES"/>
          </w:rPr>
          <w:t>despacho_pre@Poder-Judicial.go.cr</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Enviado el:</w:t>
      </w:r>
      <w:r>
        <w:rPr>
          <w:rFonts w:cs="Calibri" w:ascii="Bookman Old Style" w:hAnsi="Bookman Old Style"/>
          <w:i/>
          <w:iCs/>
          <w:color w:val="201F1E"/>
          <w:sz w:val="20"/>
          <w:szCs w:val="20"/>
          <w:lang w:val="es-ES"/>
        </w:rPr>
        <w:t> martes, 24 de septiembre de 2019 6:47 p. m.</w:t>
        <w:br/>
      </w:r>
      <w:r>
        <w:rPr>
          <w:rFonts w:cs="Calibri" w:ascii="Bookman Old Style" w:hAnsi="Bookman Old Style"/>
          <w:b/>
          <w:bCs/>
          <w:i/>
          <w:iCs/>
          <w:color w:val="201F1E"/>
          <w:sz w:val="20"/>
          <w:szCs w:val="20"/>
          <w:lang w:val="es-ES"/>
        </w:rPr>
        <w:t>Para:</w:t>
      </w:r>
      <w:r>
        <w:rPr>
          <w:rFonts w:cs="Calibri" w:ascii="Bookman Old Style" w:hAnsi="Bookman Old Style"/>
          <w:i/>
          <w:iCs/>
          <w:color w:val="201F1E"/>
          <w:sz w:val="20"/>
          <w:szCs w:val="20"/>
          <w:lang w:val="es-ES"/>
        </w:rPr>
        <w:t> Melissa Benavides Víquez &lt;</w:t>
      </w:r>
      <w:hyperlink r:id="rId136" w:tgtFrame="_blank">
        <w:r>
          <w:rPr>
            <w:rFonts w:cs="Calibri" w:ascii="Bookman Old Style" w:hAnsi="Bookman Old Style"/>
            <w:i/>
            <w:iCs/>
            <w:color w:val="0000FF"/>
            <w:sz w:val="20"/>
            <w:szCs w:val="20"/>
            <w:u w:val="single"/>
            <w:lang w:val="es-ES"/>
          </w:rPr>
          <w:t>mbenavidesv@Poder-Judicial.go.cr</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CC:</w:t>
      </w:r>
      <w:r>
        <w:rPr>
          <w:rFonts w:cs="Calibri" w:ascii="Bookman Old Style" w:hAnsi="Bookman Old Style"/>
          <w:i/>
          <w:iCs/>
          <w:color w:val="201F1E"/>
          <w:sz w:val="20"/>
          <w:szCs w:val="20"/>
          <w:lang w:val="es-ES"/>
        </w:rPr>
        <w:t> Jorge David Morales Ramírez &lt;</w:t>
      </w:r>
      <w:hyperlink r:id="rId137" w:tgtFrame="_blank">
        <w:r>
          <w:rPr>
            <w:rFonts w:cs="Calibri" w:ascii="Bookman Old Style" w:hAnsi="Bookman Old Style"/>
            <w:i/>
            <w:iCs/>
            <w:color w:val="0000FF"/>
            <w:sz w:val="20"/>
            <w:szCs w:val="20"/>
            <w:u w:val="single"/>
            <w:lang w:val="es-ES"/>
          </w:rPr>
          <w:t>jmoralesr@Poder-Judicial.go.cr</w:t>
        </w:r>
      </w:hyperlink>
      <w:r>
        <w:rPr>
          <w:rFonts w:cs="Calibri" w:ascii="Bookman Old Style" w:hAnsi="Bookman Old Style"/>
          <w:i/>
          <w:iCs/>
          <w:color w:val="201F1E"/>
          <w:sz w:val="20"/>
          <w:szCs w:val="20"/>
          <w:lang w:val="es-ES"/>
        </w:rPr>
        <w:t>&gt;; Damaris Vargas Vásquez &lt;</w:t>
      </w:r>
      <w:hyperlink r:id="rId138" w:tgtFrame="_blank">
        <w:r>
          <w:rPr>
            <w:rFonts w:cs="Calibri" w:ascii="Bookman Old Style" w:hAnsi="Bookman Old Style"/>
            <w:i/>
            <w:iCs/>
            <w:color w:val="0000FF"/>
            <w:sz w:val="20"/>
            <w:szCs w:val="20"/>
            <w:u w:val="single"/>
            <w:lang w:val="es-ES"/>
          </w:rPr>
          <w:t>dvargas@Poder-Judicial.go.cr</w:t>
        </w:r>
      </w:hyperlink>
      <w:r>
        <w:rPr>
          <w:rFonts w:cs="Calibri" w:ascii="Bookman Old Style" w:hAnsi="Bookman Old Style"/>
          <w:i/>
          <w:iCs/>
          <w:color w:val="201F1E"/>
          <w:sz w:val="20"/>
          <w:szCs w:val="20"/>
          <w:lang w:val="es-ES"/>
        </w:rPr>
        <w:t>&gt;; Katherine Salazar Duarte &lt;</w:t>
      </w:r>
      <w:hyperlink r:id="rId139" w:tgtFrame="_blank">
        <w:r>
          <w:rPr>
            <w:rFonts w:cs="Calibri" w:ascii="Bookman Old Style" w:hAnsi="Bookman Old Style"/>
            <w:i/>
            <w:iCs/>
            <w:color w:val="0000FF"/>
            <w:sz w:val="20"/>
            <w:szCs w:val="20"/>
            <w:u w:val="single"/>
            <w:lang w:val="es-ES"/>
          </w:rPr>
          <w:t>ksalazard@Poder-Judicial.go.cr</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Asunto:</w:t>
      </w:r>
      <w:r>
        <w:rPr>
          <w:rFonts w:cs="Calibri" w:ascii="Bookman Old Style" w:hAnsi="Bookman Old Style"/>
          <w:i/>
          <w:iCs/>
          <w:color w:val="201F1E"/>
          <w:sz w:val="20"/>
          <w:szCs w:val="20"/>
          <w:lang w:val="es-ES"/>
        </w:rPr>
        <w:t> RE: Oficio CACC-296-2019 Roger Mata Brenes - Acuerdo de Subcomisión de Pueblos Indígenas</w:t>
      </w:r>
    </w:p>
    <w:p>
      <w:pPr>
        <w:pStyle w:val="Normal"/>
        <w:shd w:val="clear" w:color="auto" w:fill="FFFFFF"/>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Máster</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Melissa Benavides Víquez</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Coordinadora</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Unidad de Acceso a la Justicia</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Estimada señora:</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Es un gusto saludarla. Siguiendo indicaciones del señor Director Róger Mata y en atención al oficio CACC-296-2019, respetuosamente, me permito informar que, no es posible incorporar a uno de los Asesores de la Presidencia a la Subcomisión de Acceso a la Justicia de Pueblos Indígenas. Lo anterior, debido a la cantidad de Comisiones, Acuerdos de Corte Plena y Consejo Superior que se tienen asignados; así como las diferentes coordinaciones interinstitucionales.</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Cabe indicar que, este despacho brindará colaboración en situaciones puntuales, sin embargo, no de forma permanente.</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jc w:val="both"/>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Atentamente,</w:t>
      </w:r>
    </w:p>
    <w:p>
      <w:pPr>
        <w:pStyle w:val="Normal"/>
        <w:shd w:val="clear" w:color="auto" w:fill="FFFFFF"/>
        <w:textAlignment w:val="baseline"/>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shd w:val="clear" w:color="auto" w:fill="FFFFFF"/>
        <w:textAlignment w:val="baseline"/>
        <w:rPr>
          <w:rFonts w:ascii="Bookman Old Style" w:hAnsi="Bookman Old Style" w:cs="Calibri"/>
          <w:i/>
          <w:i/>
          <w:iCs/>
          <w:color w:val="201F1E"/>
          <w:sz w:val="20"/>
          <w:szCs w:val="20"/>
        </w:rPr>
      </w:pPr>
      <w:r>
        <w:rPr/>
        <w:drawing>
          <wp:inline distT="0" distB="0" distL="0" distR="0">
            <wp:extent cx="1680845" cy="447040"/>
            <wp:effectExtent l="0" t="0" r="0" b="0"/>
            <wp:docPr id="31"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3" descr=""/>
                    <pic:cNvPicPr>
                      <a:picLocks noChangeAspect="1" noChangeArrowheads="1"/>
                    </pic:cNvPicPr>
                  </pic:nvPicPr>
                  <pic:blipFill>
                    <a:blip r:embed="rId140"/>
                    <a:stretch>
                      <a:fillRect/>
                    </a:stretch>
                  </pic:blipFill>
                  <pic:spPr bwMode="auto">
                    <a:xfrm>
                      <a:off x="0" y="0"/>
                      <a:ext cx="1680845" cy="447040"/>
                    </a:xfrm>
                    <a:prstGeom prst="rect">
                      <a:avLst/>
                    </a:prstGeom>
                  </pic:spPr>
                </pic:pic>
              </a:graphicData>
            </a:graphic>
          </wp:inline>
        </w:drawing>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w:t>
      </w:r>
      <w:r>
        <w:rPr>
          <w:rFonts w:cs="Tahoma" w:ascii="Bookman Old Style" w:hAnsi="Bookman Old Style"/>
          <w:b/>
          <w:color w:val="000000" w:themeColor="text1"/>
          <w:sz w:val="20"/>
          <w:szCs w:val="20"/>
          <w:u w:val="single"/>
        </w:rPr>
        <w:t>V</w:t>
      </w:r>
    </w:p>
    <w:p>
      <w:pPr>
        <w:pStyle w:val="Normal"/>
        <w:jc w:val="both"/>
        <w:rPr>
          <w:rFonts w:ascii="Bookman Old Style" w:hAnsi="Bookman Old Style" w:cs="Tahoma"/>
          <w:bCs/>
          <w:iCs/>
          <w:sz w:val="20"/>
          <w:szCs w:val="20"/>
        </w:rPr>
      </w:pPr>
      <w:r>
        <w:rPr>
          <w:rFonts w:cs="Tahoma" w:ascii="Bookman Old Style" w:hAnsi="Bookman Old Style"/>
          <w:bCs/>
          <w:iCs/>
          <w:sz w:val="20"/>
          <w:szCs w:val="20"/>
        </w:rPr>
        <w:t xml:space="preserve">La Magistrada Damaris Vargas Vásquez, </w:t>
      </w:r>
      <w:r>
        <w:rPr>
          <w:rFonts w:cs="Tahoma" w:ascii="Bookman Old Style" w:hAnsi="Bookman Old Style"/>
          <w:bCs/>
          <w:sz w:val="20"/>
          <w:szCs w:val="20"/>
          <w:lang w:val="es-ES"/>
        </w:rPr>
        <w:t>Coordinadora Subcomisión Acceso a la Justicia de Pueblos Indígenas</w:t>
      </w:r>
      <w:r>
        <w:rPr>
          <w:rFonts w:cs="Tahoma" w:ascii="Bookman Old Style" w:hAnsi="Bookman Old Style"/>
          <w:bCs/>
          <w:iCs/>
          <w:sz w:val="20"/>
          <w:szCs w:val="20"/>
        </w:rPr>
        <w:t>, mediante correo electrónico de data 20 de abril de 2020, remitió a la Dra. Emilia Navas Aparicio, Fiscala General de la República, el correo recibido de la Asociación de Iniciativas Populares Ditsö, en relación a la omisión del Estado de Costa Rica ante las amenazas contra los miembros de Ditsö.</w:t>
      </w:r>
    </w:p>
    <w:p>
      <w:pPr>
        <w:pStyle w:val="Normal"/>
        <w:jc w:val="both"/>
        <w:rPr>
          <w:rFonts w:ascii="Bookman Old Style" w:hAnsi="Bookman Old Style" w:cs="Tahoma"/>
          <w:bCs/>
          <w:iCs/>
          <w:sz w:val="20"/>
          <w:szCs w:val="20"/>
        </w:rPr>
      </w:pPr>
      <w:r>
        <w:rPr>
          <w:rFonts w:cs="Tahoma" w:ascii="Bookman Old Style" w:hAnsi="Bookman Old Style"/>
          <w:bCs/>
          <w:iCs/>
          <w:sz w:val="20"/>
          <w:szCs w:val="20"/>
        </w:rPr>
      </w:r>
    </w:p>
    <w:p>
      <w:pPr>
        <w:pStyle w:val="Normal"/>
        <w:jc w:val="both"/>
        <w:rPr>
          <w:rFonts w:ascii="Bookman Old Style" w:hAnsi="Bookman Old Style" w:cs="Tahoma"/>
          <w:bCs/>
          <w:iCs/>
          <w:sz w:val="20"/>
          <w:szCs w:val="20"/>
        </w:rPr>
      </w:pPr>
      <w:r>
        <w:rPr>
          <w:rFonts w:cs="Tahoma" w:ascii="Bookman Old Style" w:hAnsi="Bookman Old Style"/>
          <w:bCs/>
          <w:iCs/>
          <w:sz w:val="20"/>
          <w:szCs w:val="20"/>
        </w:rPr>
      </w:r>
    </w:p>
    <w:p>
      <w:pPr>
        <w:pStyle w:val="Normal"/>
        <w:rPr>
          <w:rFonts w:ascii="Bookman Old Style" w:hAnsi="Bookman Old Style" w:cs="Calibri"/>
          <w:i/>
          <w:i/>
          <w:iCs/>
          <w:color w:val="201F1E"/>
          <w:sz w:val="20"/>
          <w:szCs w:val="20"/>
        </w:rPr>
      </w:pPr>
      <w:r>
        <w:rPr>
          <w:rFonts w:cs="Calibri" w:ascii="Bookman Old Style" w:hAnsi="Bookman Old Style"/>
          <w:b/>
          <w:bCs/>
          <w:i/>
          <w:iCs/>
          <w:color w:val="201F1E"/>
          <w:sz w:val="20"/>
          <w:szCs w:val="20"/>
          <w:lang w:val="es-ES"/>
        </w:rPr>
        <w:t>De:</w:t>
      </w:r>
      <w:r>
        <w:rPr>
          <w:rFonts w:cs="Calibri" w:ascii="Bookman Old Style" w:hAnsi="Bookman Old Style"/>
          <w:i/>
          <w:iCs/>
          <w:color w:val="201F1E"/>
          <w:sz w:val="20"/>
          <w:szCs w:val="20"/>
          <w:lang w:val="es-ES"/>
        </w:rPr>
        <w:t xml:space="preserve"> Damaris Vargas Vásquez &lt;</w:t>
      </w:r>
      <w:hyperlink r:id="rId141" w:tgtFrame="_blank">
        <w:r>
          <w:rPr>
            <w:rFonts w:cs="Calibri" w:ascii="Bookman Old Style" w:hAnsi="Bookman Old Style"/>
            <w:i/>
            <w:iCs/>
            <w:color w:val="0000FF"/>
            <w:sz w:val="20"/>
            <w:szCs w:val="20"/>
            <w:u w:val="single"/>
            <w:lang w:val="es-ES"/>
          </w:rPr>
          <w:t>dvargas@Poder-Judicial.go.cr</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Enviado el:</w:t>
      </w:r>
      <w:r>
        <w:rPr>
          <w:rFonts w:cs="Calibri" w:ascii="Bookman Old Style" w:hAnsi="Bookman Old Style"/>
          <w:i/>
          <w:iCs/>
          <w:color w:val="201F1E"/>
          <w:sz w:val="20"/>
          <w:szCs w:val="20"/>
          <w:lang w:val="es-ES"/>
        </w:rPr>
        <w:t xml:space="preserve"> lunes, 20 de abril de 2020 13:16</w:t>
        <w:br/>
      </w:r>
      <w:r>
        <w:rPr>
          <w:rFonts w:cs="Calibri" w:ascii="Bookman Old Style" w:hAnsi="Bookman Old Style"/>
          <w:b/>
          <w:bCs/>
          <w:i/>
          <w:iCs/>
          <w:color w:val="201F1E"/>
          <w:sz w:val="20"/>
          <w:szCs w:val="20"/>
          <w:lang w:val="es-ES"/>
        </w:rPr>
        <w:t>Para:</w:t>
      </w:r>
      <w:r>
        <w:rPr>
          <w:rFonts w:cs="Calibri" w:ascii="Bookman Old Style" w:hAnsi="Bookman Old Style"/>
          <w:i/>
          <w:iCs/>
          <w:color w:val="201F1E"/>
          <w:sz w:val="20"/>
          <w:szCs w:val="20"/>
          <w:lang w:val="es-ES"/>
        </w:rPr>
        <w:t xml:space="preserve"> Fiscalía General &lt;</w:t>
      </w:r>
      <w:hyperlink r:id="rId142" w:tgtFrame="_blank">
        <w:r>
          <w:rPr>
            <w:rFonts w:cs="Calibri" w:ascii="Bookman Old Style" w:hAnsi="Bookman Old Style"/>
            <w:i/>
            <w:iCs/>
            <w:color w:val="0000FF"/>
            <w:sz w:val="20"/>
            <w:szCs w:val="20"/>
            <w:u w:val="single"/>
            <w:lang w:val="es-ES"/>
          </w:rPr>
          <w:t>fgeneral@Poder-Judicial.go.cr</w:t>
        </w:r>
      </w:hyperlink>
      <w:r>
        <w:rPr>
          <w:rFonts w:cs="Calibri" w:ascii="Bookman Old Style" w:hAnsi="Bookman Old Style"/>
          <w:i/>
          <w:iCs/>
          <w:color w:val="201F1E"/>
          <w:sz w:val="20"/>
          <w:szCs w:val="20"/>
          <w:lang w:val="es-ES"/>
        </w:rPr>
        <w:t>&gt;; Emilia Navas Aparicio &lt;</w:t>
      </w:r>
      <w:hyperlink r:id="rId143" w:tgtFrame="_blank">
        <w:r>
          <w:rPr>
            <w:rFonts w:cs="Calibri" w:ascii="Bookman Old Style" w:hAnsi="Bookman Old Style"/>
            <w:i/>
            <w:iCs/>
            <w:color w:val="0000FF"/>
            <w:sz w:val="20"/>
            <w:szCs w:val="20"/>
            <w:u w:val="single"/>
            <w:lang w:val="es-ES"/>
          </w:rPr>
          <w:t>enavas@Poder-Judicial.go.cr</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CC:</w:t>
      </w:r>
      <w:r>
        <w:rPr>
          <w:rFonts w:cs="Calibri" w:ascii="Bookman Old Style" w:hAnsi="Bookman Old Style"/>
          <w:i/>
          <w:iCs/>
          <w:color w:val="201F1E"/>
          <w:sz w:val="20"/>
          <w:szCs w:val="20"/>
          <w:lang w:val="es-ES"/>
        </w:rPr>
        <w:t xml:space="preserve"> Fiscalía de Asuntos Indígenas &lt;</w:t>
      </w:r>
      <w:hyperlink r:id="rId144" w:tgtFrame="_blank">
        <w:r>
          <w:rPr>
            <w:rFonts w:cs="Calibri" w:ascii="Bookman Old Style" w:hAnsi="Bookman Old Style"/>
            <w:i/>
            <w:iCs/>
            <w:color w:val="0000FF"/>
            <w:sz w:val="20"/>
            <w:szCs w:val="20"/>
            <w:u w:val="single"/>
            <w:lang w:val="es-ES"/>
          </w:rPr>
          <w:t>fai-mp@Poder-Judicial.go.cr</w:t>
        </w:r>
      </w:hyperlink>
      <w:r>
        <w:rPr>
          <w:rFonts w:cs="Calibri" w:ascii="Bookman Old Style" w:hAnsi="Bookman Old Style"/>
          <w:i/>
          <w:iCs/>
          <w:color w:val="201F1E"/>
          <w:sz w:val="20"/>
          <w:szCs w:val="20"/>
          <w:lang w:val="es-ES"/>
        </w:rPr>
        <w:t>&gt;; Ariana Céspedes López &lt;</w:t>
      </w:r>
      <w:hyperlink r:id="rId145" w:tgtFrame="_blank">
        <w:r>
          <w:rPr>
            <w:rFonts w:cs="Calibri" w:ascii="Bookman Old Style" w:hAnsi="Bookman Old Style"/>
            <w:i/>
            <w:iCs/>
            <w:color w:val="0000FF"/>
            <w:sz w:val="20"/>
            <w:szCs w:val="20"/>
            <w:u w:val="single"/>
            <w:lang w:val="es-ES"/>
          </w:rPr>
          <w:t>acespedesl@Poder-Judicial.go.cr</w:t>
        </w:r>
      </w:hyperlink>
      <w:r>
        <w:rPr>
          <w:rFonts w:cs="Calibri" w:ascii="Bookman Old Style" w:hAnsi="Bookman Old Style"/>
          <w:i/>
          <w:iCs/>
          <w:color w:val="201F1E"/>
          <w:sz w:val="20"/>
          <w:szCs w:val="20"/>
          <w:lang w:val="es-ES"/>
        </w:rPr>
        <w:t>&gt;; Tattiana Garcia Chaves &lt;</w:t>
      </w:r>
      <w:hyperlink r:id="rId146" w:tgtFrame="_blank">
        <w:r>
          <w:rPr>
            <w:rFonts w:cs="Calibri" w:ascii="Bookman Old Style" w:hAnsi="Bookman Old Style"/>
            <w:i/>
            <w:iCs/>
            <w:color w:val="0000FF"/>
            <w:sz w:val="20"/>
            <w:szCs w:val="20"/>
            <w:u w:val="single"/>
            <w:lang w:val="es-ES"/>
          </w:rPr>
          <w:t>tgarciach@Poder-Judicial.go.cr</w:t>
        </w:r>
      </w:hyperlink>
      <w:r>
        <w:rPr>
          <w:rFonts w:cs="Calibri" w:ascii="Bookman Old Style" w:hAnsi="Bookman Old Style"/>
          <w:i/>
          <w:iCs/>
          <w:color w:val="201F1E"/>
          <w:sz w:val="20"/>
          <w:szCs w:val="20"/>
          <w:lang w:val="es-ES"/>
        </w:rPr>
        <w:t>&gt;; Oficina Atención a la Victima del Delito &lt;</w:t>
      </w:r>
      <w:hyperlink r:id="rId147" w:tgtFrame="_blank">
        <w:r>
          <w:rPr>
            <w:rFonts w:cs="Calibri" w:ascii="Bookman Old Style" w:hAnsi="Bookman Old Style"/>
            <w:i/>
            <w:iCs/>
            <w:color w:val="0000FF"/>
            <w:sz w:val="20"/>
            <w:szCs w:val="20"/>
            <w:u w:val="single"/>
            <w:lang w:val="es-ES"/>
          </w:rPr>
          <w:t>victimadelito@Poder-Judicial.go.cr</w:t>
        </w:r>
      </w:hyperlink>
      <w:r>
        <w:rPr>
          <w:rFonts w:cs="Calibri" w:ascii="Bookman Old Style" w:hAnsi="Bookman Old Style"/>
          <w:i/>
          <w:iCs/>
          <w:color w:val="201F1E"/>
          <w:sz w:val="20"/>
          <w:szCs w:val="20"/>
          <w:lang w:val="es-ES"/>
        </w:rPr>
        <w:t>&gt;; Sara Arce Moya &lt;</w:t>
      </w:r>
      <w:hyperlink r:id="rId148" w:tgtFrame="_blank">
        <w:r>
          <w:rPr>
            <w:rFonts w:cs="Calibri" w:ascii="Bookman Old Style" w:hAnsi="Bookman Old Style"/>
            <w:i/>
            <w:iCs/>
            <w:color w:val="0000FF"/>
            <w:sz w:val="20"/>
            <w:szCs w:val="20"/>
            <w:u w:val="single"/>
            <w:lang w:val="es-ES"/>
          </w:rPr>
          <w:t>sarcemo@Poder-Judicial.go.cr</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Asunto:</w:t>
      </w:r>
      <w:r>
        <w:rPr>
          <w:rFonts w:cs="Calibri" w:ascii="Bookman Old Style" w:hAnsi="Bookman Old Style"/>
          <w:i/>
          <w:iCs/>
          <w:color w:val="201F1E"/>
          <w:sz w:val="20"/>
          <w:szCs w:val="20"/>
          <w:lang w:val="es-ES"/>
        </w:rPr>
        <w:t xml:space="preserve"> RV: </w:t>
      </w:r>
      <w:r>
        <w:rPr>
          <w:rFonts w:cs="Calibri" w:ascii="Bookman Old Style" w:hAnsi="Bookman Old Style"/>
          <w:i/>
          <w:iCs/>
          <w:color w:val="000000"/>
          <w:sz w:val="20"/>
          <w:szCs w:val="20"/>
          <w:shd w:fill="FFF100" w:val="clear"/>
          <w:lang w:val="es-ES"/>
        </w:rPr>
        <w:t>ACCION</w:t>
      </w:r>
      <w:r>
        <w:rPr>
          <w:rFonts w:cs="Calibri" w:ascii="Bookman Old Style" w:hAnsi="Bookman Old Style"/>
          <w:i/>
          <w:iCs/>
          <w:color w:val="201F1E"/>
          <w:sz w:val="20"/>
          <w:szCs w:val="20"/>
          <w:lang w:val="es-ES"/>
        </w:rPr>
        <w:t xml:space="preserve"> </w:t>
      </w:r>
      <w:r>
        <w:rPr>
          <w:rFonts w:cs="Calibri" w:ascii="Bookman Old Style" w:hAnsi="Bookman Old Style"/>
          <w:i/>
          <w:iCs/>
          <w:color w:val="000000"/>
          <w:sz w:val="20"/>
          <w:szCs w:val="20"/>
          <w:shd w:fill="FFF100" w:val="clear"/>
          <w:lang w:val="es-ES"/>
        </w:rPr>
        <w:t>URGENTE</w:t>
      </w:r>
      <w:r>
        <w:rPr>
          <w:rFonts w:cs="Calibri" w:ascii="Bookman Old Style" w:hAnsi="Bookman Old Style"/>
          <w:i/>
          <w:iCs/>
          <w:color w:val="201F1E"/>
          <w:sz w:val="20"/>
          <w:szCs w:val="20"/>
          <w:lang w:val="es-ES"/>
        </w:rPr>
        <w:t>: OMISION DEL ESTADO DE COSTA RICA ANTE AMENAZAS CONTRA MIEMBROS DE DITSO</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xml:space="preserve">Señora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Dra. Emilia Navas Aparicio</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Fiscala General de la República</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Poder Judicial</w:t>
      </w:r>
    </w:p>
    <w:p>
      <w:pPr>
        <w:pStyle w:val="Normal"/>
        <w:ind w:left="720" w:hanging="360"/>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Estimada Señora:</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 xml:space="preserve">Remito para su conocimiento comunicado remitido por el señor </w:t>
      </w:r>
      <w:r>
        <w:rPr>
          <w:rFonts w:cs="Calibri" w:ascii="Bookman Old Style" w:hAnsi="Bookman Old Style"/>
          <w:i/>
          <w:iCs/>
          <w:color w:val="201F1E"/>
          <w:sz w:val="20"/>
          <w:szCs w:val="20"/>
          <w:lang w:val="fr-FR"/>
        </w:rPr>
        <w:t>Jeffery López Castro, Presidente y representante legal de la Asociación de Iniciativas Populares Ditsö, el pasado 4 de marzo denominado «Omisión por parte del Estado de Costa Rica ante amenazas de muerte, hostigamiento, difamación, incitación a hechos de violencia y apología del delito en contra de los defensores de derechos humanos Gustavo Oreamuno Vignet y Jeffery López Castro, miembros de la Asociación de Iniciativas Populares Ditsö», en el que se solicita a las autoridades gubernamentales cumplir con lo siguiente:</w:t>
      </w:r>
    </w:p>
    <w:p>
      <w:pPr>
        <w:pStyle w:val="Normal"/>
        <w:numPr>
          <w:ilvl w:val="0"/>
          <w:numId w:val="29"/>
        </w:numPr>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Tomar de manera inmediata las medidas apropiadas para garantizar la seguridad, vida e integridad física y psicológica de los miembros de la Asociación de Iniciativas Populares Ditsö.</w:t>
      </w:r>
    </w:p>
    <w:p>
      <w:pPr>
        <w:pStyle w:val="Normal"/>
        <w:numPr>
          <w:ilvl w:val="0"/>
          <w:numId w:val="30"/>
        </w:numPr>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Realizar una investigación inmediata, exhaustiva e imparcial sobre los hechos descritos, que los resultados de esa investigación se hagan públicos y que los responsables de esos hechos comparezcan ante la justicia.</w:t>
      </w:r>
    </w:p>
    <w:p>
      <w:pPr>
        <w:pStyle w:val="Normal"/>
        <w:numPr>
          <w:ilvl w:val="0"/>
          <w:numId w:val="31"/>
        </w:numPr>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 xml:space="preserve">Conformar sus </w:t>
      </w:r>
      <w:r>
        <w:rPr>
          <w:rFonts w:cs="Calibri" w:ascii="Bookman Old Style" w:hAnsi="Bookman Old Style"/>
          <w:i/>
          <w:iCs/>
          <w:color w:val="000000"/>
          <w:sz w:val="20"/>
          <w:szCs w:val="20"/>
          <w:shd w:fill="FFF100" w:val="clear"/>
          <w:lang w:val="fr-FR"/>
        </w:rPr>
        <w:t>accion</w:t>
      </w:r>
      <w:r>
        <w:rPr>
          <w:rFonts w:cs="Calibri" w:ascii="Bookman Old Style" w:hAnsi="Bookman Old Style"/>
          <w:i/>
          <w:iCs/>
          <w:color w:val="201F1E"/>
          <w:sz w:val="20"/>
          <w:szCs w:val="20"/>
          <w:lang w:val="fr-FR"/>
        </w:rPr>
        <w:t>es a lo dispuesto por los Pactos y Convenios Internacionales de derechos humanos firmados y ratificados por Costa Rica.</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 xml:space="preserve">Lo anterior, para su conocimiento conforme a sus competencias, con la atenta solicitud de que las </w:t>
      </w:r>
      <w:r>
        <w:rPr>
          <w:rFonts w:cs="Calibri" w:ascii="Bookman Old Style" w:hAnsi="Bookman Old Style"/>
          <w:i/>
          <w:iCs/>
          <w:color w:val="000000"/>
          <w:sz w:val="20"/>
          <w:szCs w:val="20"/>
          <w:shd w:fill="FFF100" w:val="clear"/>
          <w:lang w:val="fr-FR"/>
        </w:rPr>
        <w:t>accion</w:t>
      </w:r>
      <w:r>
        <w:rPr>
          <w:rFonts w:cs="Calibri" w:ascii="Bookman Old Style" w:hAnsi="Bookman Old Style"/>
          <w:i/>
          <w:iCs/>
          <w:color w:val="201F1E"/>
          <w:sz w:val="20"/>
          <w:szCs w:val="20"/>
          <w:lang w:val="fr-FR"/>
        </w:rPr>
        <w:t>es que se realicen respondan a la pertinencia cultural de la población indígena conforme lo establece el Convenio 169 de la OIT, así como la normativa internacional referida a la protección de los defensores de los derechos humanos, de carácter supraconstitucional.</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Anexo copia literal de la solicitud.</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Desde la Subcomisión de Acceso la Justicia de Pueblos Indígenas se está en la mayor disposición de brindarle la colaboración que sea necesaria.</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Magistrada Damaris Vargas Vásquez</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Coordinadora</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Subcomisión de Acceso a la Justicia de Pueblos Indígenas</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lang w:val="fr-FR"/>
        </w:rPr>
        <w:t> </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b/>
          <w:bCs/>
          <w:i/>
          <w:iCs/>
          <w:color w:val="201F1E"/>
          <w:sz w:val="20"/>
          <w:szCs w:val="20"/>
          <w:lang w:val="es-ES"/>
        </w:rPr>
        <w:t>De:</w:t>
      </w:r>
      <w:r>
        <w:rPr>
          <w:rFonts w:cs="Calibri" w:ascii="Bookman Old Style" w:hAnsi="Bookman Old Style"/>
          <w:i/>
          <w:iCs/>
          <w:color w:val="201F1E"/>
          <w:sz w:val="20"/>
          <w:szCs w:val="20"/>
          <w:lang w:val="es-ES"/>
        </w:rPr>
        <w:t xml:space="preserve"> Asociación de Iniciativas Populares Ditsö &lt;</w:t>
      </w:r>
      <w:hyperlink r:id="rId149" w:tgtFrame="_blank">
        <w:r>
          <w:rPr>
            <w:rFonts w:cs="Calibri" w:ascii="Bookman Old Style" w:hAnsi="Bookman Old Style"/>
            <w:i/>
            <w:iCs/>
            <w:color w:val="0000FF"/>
            <w:sz w:val="20"/>
            <w:szCs w:val="20"/>
            <w:u w:val="single"/>
            <w:lang w:val="es-ES"/>
          </w:rPr>
          <w:t>ditso.org@gmail.com</w:t>
        </w:r>
      </w:hyperlink>
      <w:r>
        <w:rPr>
          <w:rFonts w:cs="Calibri" w:ascii="Bookman Old Style" w:hAnsi="Bookman Old Style"/>
          <w:i/>
          <w:iCs/>
          <w:color w:val="201F1E"/>
          <w:sz w:val="20"/>
          <w:szCs w:val="20"/>
          <w:lang w:val="es-ES"/>
        </w:rPr>
        <w:t>&gt;</w:t>
        <w:br/>
      </w:r>
      <w:r>
        <w:rPr>
          <w:rFonts w:cs="Calibri" w:ascii="Bookman Old Style" w:hAnsi="Bookman Old Style"/>
          <w:b/>
          <w:bCs/>
          <w:i/>
          <w:iCs/>
          <w:color w:val="201F1E"/>
          <w:sz w:val="20"/>
          <w:szCs w:val="20"/>
          <w:lang w:val="es-ES"/>
        </w:rPr>
        <w:t>Enviado el:</w:t>
      </w:r>
      <w:r>
        <w:rPr>
          <w:rFonts w:cs="Calibri" w:ascii="Bookman Old Style" w:hAnsi="Bookman Old Style"/>
          <w:i/>
          <w:iCs/>
          <w:color w:val="201F1E"/>
          <w:sz w:val="20"/>
          <w:szCs w:val="20"/>
          <w:lang w:val="es-ES"/>
        </w:rPr>
        <w:t xml:space="preserve"> miércoles, 4 de marzo de 2020 12:45 p. m.</w:t>
        <w:br/>
      </w:r>
      <w:r>
        <w:rPr>
          <w:rFonts w:cs="Calibri" w:ascii="Bookman Old Style" w:hAnsi="Bookman Old Style"/>
          <w:b/>
          <w:bCs/>
          <w:i/>
          <w:iCs/>
          <w:color w:val="201F1E"/>
          <w:sz w:val="20"/>
          <w:szCs w:val="20"/>
          <w:lang w:val="es-ES"/>
        </w:rPr>
        <w:t>Para:</w:t>
      </w:r>
      <w:r>
        <w:rPr>
          <w:rFonts w:cs="Calibri" w:ascii="Bookman Old Style" w:hAnsi="Bookman Old Style"/>
          <w:i/>
          <w:iCs/>
          <w:color w:val="201F1E"/>
          <w:sz w:val="20"/>
          <w:szCs w:val="20"/>
          <w:lang w:val="es-ES"/>
        </w:rPr>
        <w:t xml:space="preserve"> </w:t>
      </w:r>
      <w:hyperlink r:id="rId150" w:tgtFrame="_blank">
        <w:r>
          <w:rPr>
            <w:rFonts w:cs="Calibri" w:ascii="Bookman Old Style" w:hAnsi="Bookman Old Style"/>
            <w:i/>
            <w:iCs/>
            <w:color w:val="0000FF"/>
            <w:sz w:val="20"/>
            <w:szCs w:val="20"/>
            <w:u w:val="single"/>
            <w:lang w:val="es-ES"/>
          </w:rPr>
          <w:t>despachopresidente@presidencia.go.cr</w:t>
        </w:r>
      </w:hyperlink>
      <w:r>
        <w:rPr>
          <w:rFonts w:cs="Calibri" w:ascii="Bookman Old Style" w:hAnsi="Bookman Old Style"/>
          <w:i/>
          <w:iCs/>
          <w:color w:val="201F1E"/>
          <w:sz w:val="20"/>
          <w:szCs w:val="20"/>
          <w:lang w:val="es-ES"/>
        </w:rPr>
        <w:t xml:space="preserve">; </w:t>
      </w:r>
      <w:hyperlink r:id="rId151" w:tgtFrame="_blank">
        <w:r>
          <w:rPr>
            <w:rFonts w:cs="Calibri" w:ascii="Bookman Old Style" w:hAnsi="Bookman Old Style"/>
            <w:i/>
            <w:iCs/>
            <w:color w:val="0000FF"/>
            <w:sz w:val="20"/>
            <w:szCs w:val="20"/>
            <w:u w:val="single"/>
            <w:lang w:val="es-ES"/>
          </w:rPr>
          <w:t>randall.otarola@presidencia.go.cr</w:t>
        </w:r>
      </w:hyperlink>
      <w:r>
        <w:rPr>
          <w:rFonts w:cs="Calibri" w:ascii="Bookman Old Style" w:hAnsi="Bookman Old Style"/>
          <w:i/>
          <w:iCs/>
          <w:color w:val="201F1E"/>
          <w:sz w:val="20"/>
          <w:szCs w:val="20"/>
          <w:lang w:val="es-ES"/>
        </w:rPr>
        <w:t>; Damaris Vargas Vásquez &lt;</w:t>
      </w:r>
      <w:hyperlink r:id="rId152" w:tgtFrame="_blank">
        <w:r>
          <w:rPr>
            <w:rFonts w:cs="Calibri" w:ascii="Bookman Old Style" w:hAnsi="Bookman Old Style"/>
            <w:i/>
            <w:iCs/>
            <w:color w:val="0000FF"/>
            <w:sz w:val="20"/>
            <w:szCs w:val="20"/>
            <w:u w:val="single"/>
            <w:lang w:val="es-ES"/>
          </w:rPr>
          <w:t>dvargas@Poder-Judicial.go.cr</w:t>
        </w:r>
      </w:hyperlink>
      <w:r>
        <w:rPr>
          <w:rFonts w:cs="Calibri" w:ascii="Bookman Old Style" w:hAnsi="Bookman Old Style"/>
          <w:i/>
          <w:iCs/>
          <w:color w:val="201F1E"/>
          <w:sz w:val="20"/>
          <w:szCs w:val="20"/>
          <w:lang w:val="es-ES"/>
        </w:rPr>
        <w:t xml:space="preserve">&gt;; </w:t>
      </w:r>
      <w:hyperlink r:id="rId153" w:tgtFrame="_blank">
        <w:r>
          <w:rPr>
            <w:rFonts w:cs="Calibri" w:ascii="Bookman Old Style" w:hAnsi="Bookman Old Style"/>
            <w:i/>
            <w:iCs/>
            <w:color w:val="0000FF"/>
            <w:sz w:val="20"/>
            <w:szCs w:val="20"/>
            <w:u w:val="single"/>
            <w:lang w:val="es-ES"/>
          </w:rPr>
          <w:t>despachoministro@seguridadpublica.go.cr</w:t>
        </w:r>
      </w:hyperlink>
      <w:r>
        <w:rPr>
          <w:rFonts w:cs="Calibri" w:ascii="Bookman Old Style" w:hAnsi="Bookman Old Style"/>
          <w:i/>
          <w:iCs/>
          <w:color w:val="201F1E"/>
          <w:sz w:val="20"/>
          <w:szCs w:val="20"/>
          <w:lang w:val="es-ES"/>
        </w:rPr>
        <w:t xml:space="preserve">; </w:t>
      </w:r>
      <w:hyperlink r:id="rId154" w:tgtFrame="_blank">
        <w:r>
          <w:rPr>
            <w:rFonts w:cs="Calibri" w:ascii="Bookman Old Style" w:hAnsi="Bookman Old Style"/>
            <w:i/>
            <w:iCs/>
            <w:color w:val="0000FF"/>
            <w:sz w:val="20"/>
            <w:szCs w:val="20"/>
            <w:u w:val="single"/>
            <w:lang w:val="es-ES"/>
          </w:rPr>
          <w:t>despacho@inamu.go.cr</w:t>
        </w:r>
      </w:hyperlink>
      <w:r>
        <w:rPr>
          <w:rFonts w:cs="Calibri" w:ascii="Bookman Old Style" w:hAnsi="Bookman Old Style"/>
          <w:i/>
          <w:iCs/>
          <w:color w:val="201F1E"/>
          <w:sz w:val="20"/>
          <w:szCs w:val="20"/>
          <w:lang w:val="es-ES"/>
        </w:rPr>
        <w:t xml:space="preserve">; </w:t>
      </w:r>
      <w:hyperlink r:id="rId155" w:tgtFrame="_blank">
        <w:r>
          <w:rPr>
            <w:rFonts w:cs="Calibri" w:ascii="Bookman Old Style" w:hAnsi="Bookman Old Style"/>
            <w:i/>
            <w:iCs/>
            <w:color w:val="0000FF"/>
            <w:sz w:val="20"/>
            <w:szCs w:val="20"/>
            <w:u w:val="single"/>
            <w:lang w:val="es-ES"/>
          </w:rPr>
          <w:t>apaniagua@dhr.go.cr</w:t>
        </w:r>
      </w:hyperlink>
      <w:r>
        <w:rPr>
          <w:rFonts w:cs="Calibri" w:ascii="Bookman Old Style" w:hAnsi="Bookman Old Style"/>
          <w:i/>
          <w:iCs/>
          <w:color w:val="201F1E"/>
          <w:sz w:val="20"/>
          <w:szCs w:val="20"/>
          <w:lang w:val="es-ES"/>
        </w:rPr>
        <w:t xml:space="preserve">; </w:t>
      </w:r>
      <w:hyperlink r:id="rId156" w:tgtFrame="_blank">
        <w:r>
          <w:rPr>
            <w:rFonts w:cs="Calibri" w:ascii="Bookman Old Style" w:hAnsi="Bookman Old Style"/>
            <w:i/>
            <w:iCs/>
            <w:color w:val="0000FF"/>
            <w:sz w:val="20"/>
            <w:szCs w:val="20"/>
            <w:u w:val="single"/>
            <w:lang w:val="es-ES"/>
          </w:rPr>
          <w:t>alice.harding.shakelford@one.un.org</w:t>
        </w:r>
      </w:hyperlink>
      <w:r>
        <w:rPr>
          <w:rFonts w:cs="Calibri" w:ascii="Bookman Old Style" w:hAnsi="Bookman Old Style"/>
          <w:i/>
          <w:iCs/>
          <w:color w:val="201F1E"/>
          <w:sz w:val="20"/>
          <w:szCs w:val="20"/>
          <w:lang w:val="es-ES"/>
        </w:rPr>
        <w:t xml:space="preserve">; </w:t>
      </w:r>
      <w:hyperlink r:id="rId157" w:tgtFrame="_blank">
        <w:r>
          <w:rPr>
            <w:rFonts w:cs="Calibri" w:ascii="Bookman Old Style" w:hAnsi="Bookman Old Style"/>
            <w:i/>
            <w:iCs/>
            <w:color w:val="0000FF"/>
            <w:sz w:val="20"/>
            <w:szCs w:val="20"/>
            <w:u w:val="single"/>
            <w:lang w:val="es-ES"/>
          </w:rPr>
          <w:t>bacheltm@ohchr.org</w:t>
        </w:r>
      </w:hyperlink>
      <w:r>
        <w:rPr>
          <w:rFonts w:cs="Calibri" w:ascii="Bookman Old Style" w:hAnsi="Bookman Old Style"/>
          <w:i/>
          <w:iCs/>
          <w:color w:val="201F1E"/>
          <w:sz w:val="20"/>
          <w:szCs w:val="20"/>
          <w:lang w:val="es-ES"/>
        </w:rPr>
        <w:t xml:space="preserve">; </w:t>
      </w:r>
      <w:hyperlink r:id="rId158" w:tgtFrame="_blank">
        <w:r>
          <w:rPr>
            <w:rFonts w:cs="Calibri" w:ascii="Bookman Old Style" w:hAnsi="Bookman Old Style"/>
            <w:i/>
            <w:iCs/>
            <w:color w:val="0000FF"/>
            <w:sz w:val="20"/>
            <w:szCs w:val="20"/>
            <w:u w:val="single"/>
            <w:lang w:val="es-ES"/>
          </w:rPr>
          <w:t>PAbrao@oas.org</w:t>
        </w:r>
      </w:hyperlink>
      <w:r>
        <w:rPr>
          <w:rFonts w:cs="Calibri" w:ascii="Bookman Old Style" w:hAnsi="Bookman Old Style"/>
          <w:i/>
          <w:iCs/>
          <w:color w:val="201F1E"/>
          <w:sz w:val="20"/>
          <w:szCs w:val="20"/>
          <w:lang w:val="es-ES"/>
        </w:rPr>
        <w:br/>
      </w:r>
      <w:r>
        <w:rPr>
          <w:rFonts w:cs="Calibri" w:ascii="Bookman Old Style" w:hAnsi="Bookman Old Style"/>
          <w:b/>
          <w:bCs/>
          <w:i/>
          <w:iCs/>
          <w:color w:val="201F1E"/>
          <w:sz w:val="20"/>
          <w:szCs w:val="20"/>
          <w:lang w:val="es-ES"/>
        </w:rPr>
        <w:t>Asunto:</w:t>
      </w:r>
      <w:r>
        <w:rPr>
          <w:rFonts w:cs="Calibri" w:ascii="Bookman Old Style" w:hAnsi="Bookman Old Style"/>
          <w:i/>
          <w:iCs/>
          <w:color w:val="201F1E"/>
          <w:sz w:val="20"/>
          <w:szCs w:val="20"/>
          <w:lang w:val="es-ES"/>
        </w:rPr>
        <w:t xml:space="preserve"> </w:t>
      </w:r>
      <w:r>
        <w:rPr>
          <w:rFonts w:cs="Calibri" w:ascii="Bookman Old Style" w:hAnsi="Bookman Old Style"/>
          <w:i/>
          <w:iCs/>
          <w:color w:val="000000"/>
          <w:sz w:val="20"/>
          <w:szCs w:val="20"/>
          <w:shd w:fill="FFF100" w:val="clear"/>
          <w:lang w:val="es-ES"/>
        </w:rPr>
        <w:t>ACCION</w:t>
      </w:r>
      <w:r>
        <w:rPr>
          <w:rFonts w:cs="Calibri" w:ascii="Bookman Old Style" w:hAnsi="Bookman Old Style"/>
          <w:i/>
          <w:iCs/>
          <w:color w:val="201F1E"/>
          <w:sz w:val="20"/>
          <w:szCs w:val="20"/>
          <w:lang w:val="es-ES"/>
        </w:rPr>
        <w:t xml:space="preserve"> </w:t>
      </w:r>
      <w:r>
        <w:rPr>
          <w:rFonts w:cs="Calibri" w:ascii="Bookman Old Style" w:hAnsi="Bookman Old Style"/>
          <w:i/>
          <w:iCs/>
          <w:color w:val="000000"/>
          <w:sz w:val="20"/>
          <w:szCs w:val="20"/>
          <w:shd w:fill="FFF100" w:val="clear"/>
          <w:lang w:val="es-ES"/>
        </w:rPr>
        <w:t>URGENTE</w:t>
      </w:r>
      <w:r>
        <w:rPr>
          <w:rFonts w:cs="Calibri" w:ascii="Bookman Old Style" w:hAnsi="Bookman Old Style"/>
          <w:i/>
          <w:iCs/>
          <w:color w:val="201F1E"/>
          <w:sz w:val="20"/>
          <w:szCs w:val="20"/>
          <w:lang w:val="es-ES"/>
        </w:rPr>
        <w:t>: OMISION DEL ESTADO DE COSTA RICA ANTE AMENAZAS CONTRA MIEMBROS DE DITSO</w:t>
      </w:r>
    </w:p>
    <w:p>
      <w:pPr>
        <w:pStyle w:val="Normal"/>
        <w:spacing w:lineRule="auto" w:line="360"/>
        <w:jc w:val="center"/>
        <w:rPr>
          <w:rFonts w:ascii="Bookman Old Style" w:hAnsi="Bookman Old Style" w:cs="Tahoma"/>
          <w:b/>
          <w:b/>
          <w:i/>
          <w:i/>
          <w:iCs/>
          <w:color w:val="000000" w:themeColor="text1"/>
          <w:sz w:val="20"/>
          <w:szCs w:val="20"/>
          <w:u w:val="single"/>
        </w:rPr>
      </w:pPr>
      <w:r>
        <w:rPr>
          <w:rFonts w:cs="Tahoma" w:ascii="Bookman Old Style" w:hAnsi="Bookman Old Style"/>
          <w:b/>
          <w:i/>
          <w:iCs/>
          <w:color w:val="000000" w:themeColor="text1"/>
          <w:sz w:val="20"/>
          <w:szCs w:val="20"/>
          <w:u w:val="single"/>
        </w:rPr>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b/>
          <w:bCs/>
          <w:i/>
          <w:iCs/>
          <w:color w:val="323130"/>
          <w:sz w:val="20"/>
          <w:szCs w:val="20"/>
          <w:lang w:val="es-ES"/>
        </w:rPr>
        <w:t>De:</w:t>
      </w:r>
      <w:r>
        <w:rPr>
          <w:rFonts w:cs="Calibri" w:ascii="Bookman Old Style" w:hAnsi="Bookman Old Style"/>
          <w:i/>
          <w:iCs/>
          <w:color w:val="323130"/>
          <w:sz w:val="20"/>
          <w:szCs w:val="20"/>
          <w:lang w:val="es-ES"/>
        </w:rPr>
        <w:t> Asociación de Iniciativas Populares Ditsö &lt;</w:t>
      </w:r>
      <w:hyperlink r:id="rId159" w:tgtFrame="_blank">
        <w:r>
          <w:rPr>
            <w:rFonts w:cs="Calibri" w:ascii="Bookman Old Style" w:hAnsi="Bookman Old Style"/>
            <w:i/>
            <w:iCs/>
            <w:color w:val="0000FF"/>
            <w:sz w:val="20"/>
            <w:szCs w:val="20"/>
            <w:u w:val="single"/>
            <w:lang w:val="es-ES"/>
          </w:rPr>
          <w:t>ditso.org@gmail.com</w:t>
        </w:r>
      </w:hyperlink>
      <w:r>
        <w:rPr>
          <w:rFonts w:cs="Calibri" w:ascii="Bookman Old Style" w:hAnsi="Bookman Old Style"/>
          <w:i/>
          <w:iCs/>
          <w:color w:val="323130"/>
          <w:sz w:val="20"/>
          <w:szCs w:val="20"/>
          <w:lang w:val="es-ES"/>
        </w:rPr>
        <w:t>&gt;</w:t>
        <w:br/>
      </w:r>
      <w:r>
        <w:rPr>
          <w:rFonts w:cs="Calibri" w:ascii="Bookman Old Style" w:hAnsi="Bookman Old Style"/>
          <w:b/>
          <w:bCs/>
          <w:i/>
          <w:iCs/>
          <w:color w:val="323130"/>
          <w:sz w:val="20"/>
          <w:szCs w:val="20"/>
          <w:lang w:val="es-ES"/>
        </w:rPr>
        <w:t>Enviado el:</w:t>
      </w:r>
      <w:r>
        <w:rPr>
          <w:rFonts w:cs="Calibri" w:ascii="Bookman Old Style" w:hAnsi="Bookman Old Style"/>
          <w:i/>
          <w:iCs/>
          <w:color w:val="323130"/>
          <w:sz w:val="20"/>
          <w:szCs w:val="20"/>
          <w:lang w:val="es-ES"/>
        </w:rPr>
        <w:t> miércoles, 4 de marzo de 2020 12:45 p. m.</w:t>
        <w:br/>
      </w:r>
      <w:r>
        <w:rPr>
          <w:rFonts w:cs="Calibri" w:ascii="Bookman Old Style" w:hAnsi="Bookman Old Style"/>
          <w:b/>
          <w:bCs/>
          <w:i/>
          <w:iCs/>
          <w:color w:val="323130"/>
          <w:sz w:val="20"/>
          <w:szCs w:val="20"/>
          <w:lang w:val="es-ES"/>
        </w:rPr>
        <w:t>Para:</w:t>
      </w:r>
      <w:r>
        <w:rPr>
          <w:rFonts w:cs="Calibri" w:ascii="Bookman Old Style" w:hAnsi="Bookman Old Style"/>
          <w:i/>
          <w:iCs/>
          <w:color w:val="323130"/>
          <w:sz w:val="20"/>
          <w:szCs w:val="20"/>
          <w:lang w:val="es-ES"/>
        </w:rPr>
        <w:t> </w:t>
      </w:r>
      <w:hyperlink r:id="rId160" w:tgtFrame="_blank">
        <w:r>
          <w:rPr>
            <w:rFonts w:cs="Calibri" w:ascii="Bookman Old Style" w:hAnsi="Bookman Old Style"/>
            <w:i/>
            <w:iCs/>
            <w:color w:val="0000FF"/>
            <w:sz w:val="20"/>
            <w:szCs w:val="20"/>
            <w:u w:val="single"/>
            <w:lang w:val="es-ES"/>
          </w:rPr>
          <w:t>despachopresidente@presidencia.go.cr</w:t>
        </w:r>
      </w:hyperlink>
      <w:r>
        <w:rPr>
          <w:rFonts w:cs="Calibri" w:ascii="Bookman Old Style" w:hAnsi="Bookman Old Style"/>
          <w:i/>
          <w:iCs/>
          <w:color w:val="323130"/>
          <w:sz w:val="20"/>
          <w:szCs w:val="20"/>
          <w:lang w:val="es-ES"/>
        </w:rPr>
        <w:t>; </w:t>
      </w:r>
      <w:hyperlink r:id="rId161" w:tgtFrame="_blank">
        <w:r>
          <w:rPr>
            <w:rFonts w:cs="Calibri" w:ascii="Bookman Old Style" w:hAnsi="Bookman Old Style"/>
            <w:i/>
            <w:iCs/>
            <w:color w:val="0000FF"/>
            <w:sz w:val="20"/>
            <w:szCs w:val="20"/>
            <w:u w:val="single"/>
            <w:lang w:val="es-ES"/>
          </w:rPr>
          <w:t>randall.otarola@presidencia.go.cr</w:t>
        </w:r>
      </w:hyperlink>
      <w:r>
        <w:rPr>
          <w:rFonts w:cs="Calibri" w:ascii="Bookman Old Style" w:hAnsi="Bookman Old Style"/>
          <w:i/>
          <w:iCs/>
          <w:color w:val="323130"/>
          <w:sz w:val="20"/>
          <w:szCs w:val="20"/>
          <w:lang w:val="es-ES"/>
        </w:rPr>
        <w:t>; Damaris Vargas Vásquez &lt;</w:t>
      </w:r>
      <w:hyperlink r:id="rId162" w:tgtFrame="_blank">
        <w:r>
          <w:rPr>
            <w:rFonts w:cs="Calibri" w:ascii="Bookman Old Style" w:hAnsi="Bookman Old Style"/>
            <w:i/>
            <w:iCs/>
            <w:color w:val="0000FF"/>
            <w:sz w:val="20"/>
            <w:szCs w:val="20"/>
            <w:u w:val="single"/>
            <w:lang w:val="es-ES"/>
          </w:rPr>
          <w:t>dvargas@Poder-Judicial.go.cr</w:t>
        </w:r>
      </w:hyperlink>
      <w:r>
        <w:rPr>
          <w:rFonts w:cs="Calibri" w:ascii="Bookman Old Style" w:hAnsi="Bookman Old Style"/>
          <w:i/>
          <w:iCs/>
          <w:color w:val="323130"/>
          <w:sz w:val="20"/>
          <w:szCs w:val="20"/>
          <w:lang w:val="es-ES"/>
        </w:rPr>
        <w:t>&gt;; </w:t>
      </w:r>
      <w:hyperlink r:id="rId163" w:tgtFrame="_blank">
        <w:r>
          <w:rPr>
            <w:rFonts w:cs="Calibri" w:ascii="Bookman Old Style" w:hAnsi="Bookman Old Style"/>
            <w:i/>
            <w:iCs/>
            <w:color w:val="0000FF"/>
            <w:sz w:val="20"/>
            <w:szCs w:val="20"/>
            <w:u w:val="single"/>
            <w:lang w:val="es-ES"/>
          </w:rPr>
          <w:t>despachoministro@seguridadpublica.go.cr</w:t>
        </w:r>
      </w:hyperlink>
      <w:r>
        <w:rPr>
          <w:rFonts w:cs="Calibri" w:ascii="Bookman Old Style" w:hAnsi="Bookman Old Style"/>
          <w:i/>
          <w:iCs/>
          <w:color w:val="323130"/>
          <w:sz w:val="20"/>
          <w:szCs w:val="20"/>
          <w:lang w:val="es-ES"/>
        </w:rPr>
        <w:t>; </w:t>
      </w:r>
      <w:hyperlink r:id="rId164" w:tgtFrame="_blank">
        <w:r>
          <w:rPr>
            <w:rFonts w:cs="Calibri" w:ascii="Bookman Old Style" w:hAnsi="Bookman Old Style"/>
            <w:i/>
            <w:iCs/>
            <w:color w:val="0000FF"/>
            <w:sz w:val="20"/>
            <w:szCs w:val="20"/>
            <w:u w:val="single"/>
            <w:lang w:val="es-ES"/>
          </w:rPr>
          <w:t>despacho@inamu.go.cr</w:t>
        </w:r>
      </w:hyperlink>
      <w:r>
        <w:rPr>
          <w:rFonts w:cs="Calibri" w:ascii="Bookman Old Style" w:hAnsi="Bookman Old Style"/>
          <w:i/>
          <w:iCs/>
          <w:color w:val="323130"/>
          <w:sz w:val="20"/>
          <w:szCs w:val="20"/>
          <w:lang w:val="es-ES"/>
        </w:rPr>
        <w:t>; </w:t>
      </w:r>
      <w:hyperlink r:id="rId165" w:tgtFrame="_blank">
        <w:r>
          <w:rPr>
            <w:rFonts w:cs="Calibri" w:ascii="Bookman Old Style" w:hAnsi="Bookman Old Style"/>
            <w:i/>
            <w:iCs/>
            <w:color w:val="0000FF"/>
            <w:sz w:val="20"/>
            <w:szCs w:val="20"/>
            <w:u w:val="single"/>
            <w:lang w:val="es-ES"/>
          </w:rPr>
          <w:t>apaniagua@dhr.go.cr</w:t>
        </w:r>
      </w:hyperlink>
      <w:r>
        <w:rPr>
          <w:rFonts w:cs="Calibri" w:ascii="Bookman Old Style" w:hAnsi="Bookman Old Style"/>
          <w:i/>
          <w:iCs/>
          <w:color w:val="323130"/>
          <w:sz w:val="20"/>
          <w:szCs w:val="20"/>
          <w:lang w:val="es-ES"/>
        </w:rPr>
        <w:t>; </w:t>
      </w:r>
      <w:hyperlink r:id="rId166" w:tgtFrame="_blank">
        <w:r>
          <w:rPr>
            <w:rFonts w:cs="Calibri" w:ascii="Bookman Old Style" w:hAnsi="Bookman Old Style"/>
            <w:i/>
            <w:iCs/>
            <w:color w:val="0000FF"/>
            <w:sz w:val="20"/>
            <w:szCs w:val="20"/>
            <w:u w:val="single"/>
            <w:lang w:val="es-ES"/>
          </w:rPr>
          <w:t>alice.harding.shakelford@one.un.org</w:t>
        </w:r>
      </w:hyperlink>
      <w:r>
        <w:rPr>
          <w:rFonts w:cs="Calibri" w:ascii="Bookman Old Style" w:hAnsi="Bookman Old Style"/>
          <w:i/>
          <w:iCs/>
          <w:color w:val="323130"/>
          <w:sz w:val="20"/>
          <w:szCs w:val="20"/>
          <w:lang w:val="es-ES"/>
        </w:rPr>
        <w:t>; </w:t>
      </w:r>
      <w:hyperlink r:id="rId167" w:tgtFrame="_blank">
        <w:r>
          <w:rPr>
            <w:rFonts w:cs="Calibri" w:ascii="Bookman Old Style" w:hAnsi="Bookman Old Style"/>
            <w:i/>
            <w:iCs/>
            <w:color w:val="0000FF"/>
            <w:sz w:val="20"/>
            <w:szCs w:val="20"/>
            <w:u w:val="single"/>
            <w:lang w:val="es-ES"/>
          </w:rPr>
          <w:t>bacheltm@ohchr.org</w:t>
        </w:r>
      </w:hyperlink>
      <w:r>
        <w:rPr>
          <w:rFonts w:cs="Calibri" w:ascii="Bookman Old Style" w:hAnsi="Bookman Old Style"/>
          <w:i/>
          <w:iCs/>
          <w:color w:val="323130"/>
          <w:sz w:val="20"/>
          <w:szCs w:val="20"/>
          <w:lang w:val="es-ES"/>
        </w:rPr>
        <w:t>; </w:t>
      </w:r>
      <w:hyperlink r:id="rId168" w:tgtFrame="_blank">
        <w:r>
          <w:rPr>
            <w:rFonts w:cs="Calibri" w:ascii="Bookman Old Style" w:hAnsi="Bookman Old Style"/>
            <w:i/>
            <w:iCs/>
            <w:color w:val="0000FF"/>
            <w:sz w:val="20"/>
            <w:szCs w:val="20"/>
            <w:u w:val="single"/>
            <w:lang w:val="es-ES"/>
          </w:rPr>
          <w:t>PAbrao@oas.org</w:t>
        </w:r>
      </w:hyperlink>
      <w:r>
        <w:rPr>
          <w:rFonts w:cs="Calibri" w:ascii="Bookman Old Style" w:hAnsi="Bookman Old Style"/>
          <w:i/>
          <w:iCs/>
          <w:color w:val="323130"/>
          <w:sz w:val="20"/>
          <w:szCs w:val="20"/>
          <w:lang w:val="es-ES"/>
        </w:rPr>
        <w:br/>
      </w:r>
      <w:r>
        <w:rPr>
          <w:rFonts w:cs="Calibri" w:ascii="Bookman Old Style" w:hAnsi="Bookman Old Style"/>
          <w:b/>
          <w:bCs/>
          <w:i/>
          <w:iCs/>
          <w:color w:val="323130"/>
          <w:sz w:val="20"/>
          <w:szCs w:val="20"/>
          <w:lang w:val="es-ES"/>
        </w:rPr>
        <w:t>Asunto:</w:t>
      </w:r>
      <w:r>
        <w:rPr>
          <w:rFonts w:cs="Calibri" w:ascii="Bookman Old Style" w:hAnsi="Bookman Old Style"/>
          <w:i/>
          <w:iCs/>
          <w:color w:val="323130"/>
          <w:sz w:val="20"/>
          <w:szCs w:val="20"/>
          <w:lang w:val="es-ES"/>
        </w:rPr>
        <w:t> ACCION URGENTE: OMISION DEL ESTADO DE COSTA RICA ANTE AMENAZAS CONTRA MIEMBROS DE DITSO</w:t>
      </w:r>
    </w:p>
    <w:p>
      <w:pPr>
        <w:pStyle w:val="Normal"/>
        <w:shd w:val="clear" w:color="auto" w:fill="FAF9F8"/>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t> </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ACCIÓN URGENTE:</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Omisión por parte del Estado de Costa Rica ante amenazas de muerte, hostigamiento, difamación, incitación a hechos de violencia y apología del delito en contra de los defensores de derechos humanos Gustavo Oreamuno Vignet y Jeffery López Castro, miembros de la Asociación de Iniciativas Populares Ditsö</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shd w:val="clear" w:color="auto" w:fill="FAF9F8"/>
        <w:jc w:val="right"/>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AU-01/San José/Costa Rica/-04/03/2020</w:t>
      </w:r>
    </w:p>
    <w:p>
      <w:pPr>
        <w:pStyle w:val="Normal"/>
        <w:shd w:val="clear" w:color="auto" w:fill="FAF9F8"/>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shd w:val="clear" w:color="auto" w:fill="FAF9F8"/>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Carlos Alvarado Quesada</w:t>
      </w:r>
      <w:r>
        <w:rPr>
          <w:rFonts w:cs="Arial" w:ascii="Bookman Old Style" w:hAnsi="Bookman Old Style"/>
          <w:i/>
          <w:iCs/>
          <w:color w:val="323130"/>
          <w:sz w:val="20"/>
          <w:szCs w:val="20"/>
          <w:lang w:val="fr-FR"/>
        </w:rPr>
        <w:br/>
        <w:t>Presidente de la República de Costa Rica</w:t>
        <w:br/>
      </w:r>
      <w:r>
        <w:rPr>
          <w:rFonts w:cs="Arial" w:ascii="Bookman Old Style" w:hAnsi="Bookman Old Style"/>
          <w:b/>
          <w:bCs/>
          <w:i/>
          <w:iCs/>
          <w:color w:val="323130"/>
          <w:sz w:val="20"/>
          <w:szCs w:val="20"/>
          <w:lang w:val="fr-FR"/>
        </w:rPr>
        <w:t>Randall Otárola</w:t>
      </w:r>
      <w:r>
        <w:rPr>
          <w:rFonts w:cs="Arial" w:ascii="Bookman Old Style" w:hAnsi="Bookman Old Style"/>
          <w:i/>
          <w:iCs/>
          <w:color w:val="000000"/>
          <w:sz w:val="20"/>
          <w:szCs w:val="20"/>
          <w:shd w:fill="FFFF00" w:val="clear"/>
          <w:lang w:val="fr-FR"/>
        </w:rPr>
        <w:br/>
      </w:r>
      <w:r>
        <w:rPr>
          <w:rFonts w:cs="Arial" w:ascii="Bookman Old Style" w:hAnsi="Bookman Old Style"/>
          <w:i/>
          <w:iCs/>
          <w:color w:val="323130"/>
          <w:sz w:val="20"/>
          <w:szCs w:val="20"/>
          <w:lang w:val="fr-FR"/>
        </w:rPr>
        <w:t>Viceministro de Diálogo Social</w:t>
        <w:br/>
      </w:r>
      <w:r>
        <w:rPr>
          <w:rFonts w:cs="Arial" w:ascii="Bookman Old Style" w:hAnsi="Bookman Old Style"/>
          <w:b/>
          <w:bCs/>
          <w:i/>
          <w:iCs/>
          <w:color w:val="323130"/>
          <w:sz w:val="20"/>
          <w:szCs w:val="20"/>
          <w:lang w:val="fr-FR"/>
        </w:rPr>
        <w:t>Damaris Vargas</w:t>
      </w:r>
      <w:r>
        <w:rPr>
          <w:rFonts w:cs="Arial" w:ascii="Bookman Old Style" w:hAnsi="Bookman Old Style"/>
          <w:i/>
          <w:iCs/>
          <w:color w:val="323130"/>
          <w:sz w:val="20"/>
          <w:szCs w:val="20"/>
          <w:lang w:val="fr-FR"/>
        </w:rPr>
        <w:br/>
        <w:t>Magistrada encargada de la Comisión de Acceso a la Justicia de los Pueblos Indígenas del Poder Judicial</w:t>
        <w:br/>
      </w:r>
      <w:r>
        <w:rPr>
          <w:rFonts w:cs="Arial" w:ascii="Bookman Old Style" w:hAnsi="Bookman Old Style"/>
          <w:b/>
          <w:bCs/>
          <w:i/>
          <w:iCs/>
          <w:color w:val="323130"/>
          <w:sz w:val="20"/>
          <w:szCs w:val="20"/>
          <w:lang w:val="fr-FR"/>
        </w:rPr>
        <w:t>Michael Soto Rojas</w:t>
      </w:r>
      <w:r>
        <w:rPr>
          <w:rFonts w:cs="Arial" w:ascii="Bookman Old Style" w:hAnsi="Bookman Old Style"/>
          <w:i/>
          <w:iCs/>
          <w:color w:val="323130"/>
          <w:sz w:val="20"/>
          <w:szCs w:val="20"/>
          <w:lang w:val="fr-FR"/>
        </w:rPr>
        <w:br/>
        <w:t>Ministro de Seguridad Pública</w:t>
        <w:br/>
      </w:r>
      <w:r>
        <w:rPr>
          <w:rFonts w:cs="Arial" w:ascii="Bookman Old Style" w:hAnsi="Bookman Old Style"/>
          <w:b/>
          <w:bCs/>
          <w:i/>
          <w:iCs/>
          <w:color w:val="323130"/>
          <w:sz w:val="20"/>
          <w:szCs w:val="20"/>
          <w:lang w:val="fr-FR"/>
        </w:rPr>
        <w:t>Patricia Mora Castellanos</w:t>
      </w:r>
      <w:r>
        <w:rPr>
          <w:rFonts w:cs="Arial" w:ascii="Bookman Old Style" w:hAnsi="Bookman Old Style"/>
          <w:i/>
          <w:iCs/>
          <w:color w:val="323130"/>
          <w:sz w:val="20"/>
          <w:szCs w:val="20"/>
          <w:lang w:val="fr-FR"/>
        </w:rPr>
        <w:br/>
        <w:t>Ministra de la Condición de la Mujer</w:t>
        <w:br/>
      </w:r>
      <w:r>
        <w:rPr>
          <w:rFonts w:cs="Arial" w:ascii="Bookman Old Style" w:hAnsi="Bookman Old Style"/>
          <w:b/>
          <w:bCs/>
          <w:i/>
          <w:iCs/>
          <w:color w:val="323130"/>
          <w:sz w:val="20"/>
          <w:szCs w:val="20"/>
          <w:lang w:val="fr-FR"/>
        </w:rPr>
        <w:t>Álvaro Paniagua</w:t>
      </w:r>
      <w:r>
        <w:rPr>
          <w:rFonts w:cs="Arial" w:ascii="Bookman Old Style" w:hAnsi="Bookman Old Style"/>
          <w:i/>
          <w:iCs/>
          <w:color w:val="323130"/>
          <w:sz w:val="20"/>
          <w:szCs w:val="20"/>
          <w:lang w:val="fr-FR"/>
        </w:rPr>
        <w:br/>
        <w:t>Director de la Oficina de Atención Especial de la Defensoría de los Habitantes de Costa Rica</w:t>
        <w:br/>
      </w:r>
      <w:r>
        <w:rPr>
          <w:rFonts w:cs="Arial" w:ascii="Bookman Old Style" w:hAnsi="Bookman Old Style"/>
          <w:b/>
          <w:bCs/>
          <w:i/>
          <w:iCs/>
          <w:color w:val="323130"/>
          <w:sz w:val="20"/>
          <w:szCs w:val="20"/>
          <w:lang w:val="fr-FR"/>
        </w:rPr>
        <w:t>Alice Shackelford</w:t>
      </w:r>
      <w:r>
        <w:rPr>
          <w:rFonts w:cs="Arial" w:ascii="Bookman Old Style" w:hAnsi="Bookman Old Style"/>
          <w:i/>
          <w:iCs/>
          <w:color w:val="323130"/>
          <w:sz w:val="20"/>
          <w:szCs w:val="20"/>
          <w:lang w:val="fr-FR"/>
        </w:rPr>
        <w:br/>
        <w:t>Coordinadora Residente de la ONU en Costa Rica</w:t>
        <w:br/>
      </w:r>
      <w:r>
        <w:rPr>
          <w:rFonts w:cs="Arial" w:ascii="Bookman Old Style" w:hAnsi="Bookman Old Style"/>
          <w:b/>
          <w:bCs/>
          <w:i/>
          <w:iCs/>
          <w:color w:val="323130"/>
          <w:sz w:val="20"/>
          <w:szCs w:val="20"/>
          <w:lang w:val="fr-FR"/>
        </w:rPr>
        <w:t>Michelle Bachelet</w:t>
      </w:r>
      <w:r>
        <w:rPr>
          <w:rFonts w:cs="Arial" w:ascii="Bookman Old Style" w:hAnsi="Bookman Old Style"/>
          <w:i/>
          <w:iCs/>
          <w:color w:val="323130"/>
          <w:sz w:val="20"/>
          <w:szCs w:val="20"/>
          <w:lang w:val="fr-FR"/>
        </w:rPr>
        <w:br/>
        <w:t>Alta Comisionada para los Derechos Humanos de la ONU</w:t>
      </w:r>
    </w:p>
    <w:p>
      <w:pPr>
        <w:pStyle w:val="Normal"/>
        <w:shd w:val="clear" w:color="auto" w:fill="FAF9F8"/>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Paulo Abrão</w:t>
      </w:r>
    </w:p>
    <w:p>
      <w:pPr>
        <w:pStyle w:val="Normal"/>
        <w:shd w:val="clear" w:color="auto" w:fill="FAF9F8"/>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Secretario Ejecutivo de la CIDH</w:t>
      </w:r>
    </w:p>
    <w:p>
      <w:pPr>
        <w:pStyle w:val="Normal"/>
        <w:shd w:val="clear" w:color="auto" w:fill="FAF9F8"/>
        <w:jc w:val="both"/>
        <w:textAlignment w:val="baseline"/>
        <w:rPr>
          <w:rFonts w:ascii="Bookman Old Style" w:hAnsi="Bookman Old Style" w:cs="Arial"/>
          <w:i/>
          <w:i/>
          <w:iCs/>
          <w:color w:val="323130"/>
          <w:sz w:val="20"/>
          <w:szCs w:val="20"/>
          <w:lang w:val="fr-FR"/>
        </w:rPr>
      </w:pPr>
      <w:r>
        <w:rPr>
          <w:rFonts w:cs="Arial" w:ascii="Bookman Old Style" w:hAnsi="Bookman Old Style"/>
          <w:i/>
          <w:iCs/>
          <w:color w:val="323130"/>
          <w:sz w:val="20"/>
          <w:szCs w:val="20"/>
          <w:lang w:val="fr-FR"/>
        </w:rPr>
        <w:t>La Asociación de Iniciativas Populares Ditsö, con correo electrónico: </w:t>
      </w:r>
      <w:hyperlink r:id="rId169" w:tgtFrame="_blank">
        <w:r>
          <w:rPr>
            <w:rFonts w:cs="Arial" w:ascii="Bookman Old Style" w:hAnsi="Bookman Old Style"/>
            <w:i/>
            <w:iCs/>
            <w:color w:val="0000FF"/>
            <w:sz w:val="20"/>
            <w:szCs w:val="20"/>
            <w:u w:val="single"/>
            <w:lang w:val="fr-FR"/>
          </w:rPr>
          <w:t>ditso.org@gmail.com</w:t>
        </w:r>
      </w:hyperlink>
      <w:r>
        <w:rPr>
          <w:rFonts w:cs="Arial" w:ascii="Bookman Old Style" w:hAnsi="Bookman Old Style"/>
          <w:i/>
          <w:iCs/>
          <w:color w:val="323130"/>
          <w:sz w:val="20"/>
          <w:szCs w:val="20"/>
          <w:lang w:val="fr-FR"/>
        </w:rPr>
        <w:t> para oír y recibir comunicaciones, solicita su intervención urgente ante la:</w:t>
      </w:r>
    </w:p>
    <w:p>
      <w:pPr>
        <w:pStyle w:val="Normal"/>
        <w:shd w:val="clear" w:color="auto" w:fill="FAF9F8"/>
        <w:jc w:val="both"/>
        <w:textAlignment w:val="baseline"/>
        <w:rPr>
          <w:rFonts w:ascii="Bookman Old Style" w:hAnsi="Bookman Old Style" w:cs="Calibri"/>
          <w:i/>
          <w:i/>
          <w:iCs/>
          <w:color w:val="323130"/>
          <w:sz w:val="20"/>
          <w:szCs w:val="20"/>
        </w:rPr>
      </w:pPr>
      <w:r>
        <w:rPr>
          <w:rFonts w:cs="Calibri" w:ascii="Bookman Old Style" w:hAnsi="Bookman Old Style"/>
          <w:i/>
          <w:iCs/>
          <w:color w:val="323130"/>
          <w:sz w:val="20"/>
          <w:szCs w:val="20"/>
        </w:rPr>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Omisión por parte del Estado de Costa Rica ante amenazas de muerte, hostigamiento, difamación, incitación a hechos de violencia y apología del delito en contra de los defensores de derechos humanos Gustavo Oreamuno Vignet y Jeffery López Castro, miembros de la Asociación de Iniciativas Populares Ditsö</w:t>
      </w:r>
    </w:p>
    <w:p>
      <w:pPr>
        <w:pStyle w:val="Normal"/>
        <w:shd w:val="clear" w:color="auto" w:fill="FAF9F8"/>
        <w:jc w:val="center"/>
        <w:textAlignment w:val="baseline"/>
        <w:rPr>
          <w:rFonts w:ascii="Bookman Old Style" w:hAnsi="Bookman Old Style" w:cs="Calibri"/>
          <w:i/>
          <w:i/>
          <w:iCs/>
          <w:color w:val="323130"/>
          <w:sz w:val="20"/>
          <w:szCs w:val="20"/>
        </w:rPr>
      </w:pPr>
      <w:r>
        <w:rPr>
          <w:rFonts w:ascii="Bookman Old Style" w:hAnsi="Bookman Old Style"/>
          <w:i/>
          <w:iCs/>
          <w:color w:val="323130"/>
          <w:sz w:val="20"/>
          <w:szCs w:val="20"/>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Hechos: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Debido a la labor de defensa de los derechos humanos y a partir de la denuncia pública del asesinato del defensor Jerhy Rivera, los miembros de la Asociación de Iniciativas Populares Ditsö: Gustavo Oreamuno Vignet de 47 años de edad, Coordinador para Pueblos Originaros y Jeffery López Castro de 47 años de edad, presidente y representante legal de la organización, desde el domingo 23 de febrero hasta el lunes 02 de marzo han sido víctimas de mensajes difamatorios, hostigamiento y amenazas de muerte difundidas por las páginas de Facebook “Verdades de Salitre”, “Campesinos de Buenos Aires”, así como de cuentas personales de “Eduardo Lopez Torres”, “Lico Soloni”, “Armando Cortes”, “Mary CB”, “Thais Vidal”, “Karol Alvarado”, “Jorge Barboza”, “Yeltsin Andrey Garbanzo Granados”, “Ani Barrantes”, “Serrano Jon”, “Byron Granados Delgado”, “Dony Garbanzo”, “Figueroa Noél”, “Miriam Ortiz Torres”  y la empresa de comunicación “Brunca TV Digital” quienes además constantemente incitan a realizar actos de violencia y hacen apología del delito en contra del señor Oreamuno y el señor López.</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Estas amenazas también se han manifestado en contra de familiares de los y las miembros de la Asociación de Iniciativas Populares Ditsö.</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Además, se han publicado datos personales de los y las demás miembros de la Asociación de Iniciativas Populares Ditsö como sus cédulas de identidad, lugar de residencia y puestos que ocupan en la Junta Directiva. Se han compartido los datos registrales del vehículo institucional para facilitar su identificación, lo cual aumenta el riesgo de violencia en contra de la integridad física y psicológica de los miembros de la organización, en especial, contra Gustavo Oreamuno Vignet.</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Ante lo anterior, Gustavo Oreamuno Vignet, el 3 de marzo del 2020, interpuso la denuncia ante el Organismo de Investigación Judicial, la cual quedo registrada con el N° Único 20-006343-0042-PE. A su vez, Jeffery López Castro, el mismo 3 de marzo del 2020 amplió la denuncia N° Único 20-006343-0042-PE, por los hechos antes mencionados.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Antecedentes:</w:t>
      </w:r>
    </w:p>
    <w:p>
      <w:pPr>
        <w:pStyle w:val="Normal"/>
        <w:shd w:val="clear" w:color="auto" w:fill="FAF9F8"/>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Hace aproximadamente 10 años se reiniciaron los procesos de recuperación de tierra-territorio en varios Territorios de Pueblos Originarios de la zona sur de Costa Rica. Ante este ejercicio del derecho a la tierra y a la autonomía, grupos de personas impulsadas por finqueros y terratenientes que ocupan ilegalmente esos territorios, han ejecutado diversos actos de violencia contra defensores y defensoras de Derechos Humanos de los pueblos originarios.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A partir de ese momento y hasta la actualidad se han incrementado en cantidad, frecuencia e intensidad los actos de violencia contra estos pueblos; por lo que en el año 2015 la Comisión Interamericana de Derechos Humanos (CIDH) dictó Medidas Cautelares a favor del Pueblo Bribri de Salitre y del Pueblo Bröran de Térraba para que el Estado costarricense protegiera la vida y la integridad de las personas que habitan ambos pueblos.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No obstante, a pesar de la existencia de estas Medidas Cautelares, el 18 de marzo del 2019 fue asesinado Sergio Roja Ortiz, del Clan Uniwak del pueblo Bribri de Salitre, por su labor en la defensa del territorio y naturaleza y quien fue un reconocido líder de los pueblos originarios. Casi un año después, este asesinato se mantiene en la impunidad.</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El pasado domingo 23 de febrero del 2020 se iniciaron nuevos procesos de recuperación de tierra-territorio en el Territorio Bröran de Térraba. Ese mismo día los recuperadores y recuperadoras fueron víctimas de agresiones, amenazas e intento de homicidio por parte de un grupo de aproximadamente 150 personas, instigadas a cometer dichos actos por finqueros que usurpan esas tierras.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El lunes 24 de febrero del 2020, en horas de la noche, fue asesinado de 5 disparos en la espalda el defensor  de derechos de los pueblos originarios Jerhy Rivera Rivera, quien había sido víctima de una tentativa de homicidio en el año 2013. A pesar de ser identificados y procesados judicialmente el asesino confeso y su hermano, ambos quedaron en libertad por una resolución del Juzgado Penal de Buenos Aires de Puntarenas. Decisión que fue apelada por el Ministerio Público debido a la gravedad del crimen.</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Durante estos últimos 10 años, la Asociación de Iniciativas Populares Ditsö ha acompañado y apoyado a las organizaciones de los pueblos originarios en el ejercicio de sus derechos colectivos, el fortalecimiento de su autonomía, en la incidencia de cara a las instituciones públicas para facilitar el acceso a la justicia y en la denuncia a través de las redes sociales y distintos medios de comunicación de las violaciones graves de Derechos Humanos, cometidas contra los defensores y defensoras de los pueblos originarios.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br/>
      </w:r>
      <w:r>
        <w:rPr>
          <w:rFonts w:cs="Arial" w:ascii="Bookman Old Style" w:hAnsi="Bookman Old Style"/>
          <w:b/>
          <w:bCs/>
          <w:i/>
          <w:iCs/>
          <w:color w:val="323130"/>
          <w:sz w:val="20"/>
          <w:szCs w:val="20"/>
          <w:lang w:val="fr-FR"/>
        </w:rPr>
        <w:t>Por lo tanto, la Asociación de Iniciativas Populares Ditsö solicita al gobierno costarricense:</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numPr>
          <w:ilvl w:val="0"/>
          <w:numId w:val="25"/>
        </w:numPr>
        <w:shd w:val="clear" w:color="auto" w:fill="FAF9F8"/>
        <w:ind w:left="1620" w:hanging="360"/>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Tomar de manera inmediata las medidas apropiadas para garantizar la seguridad, vida e integridad física y psicológica de los miembros de la Asociación de Iniciativas Populares Ditsö.</w:t>
      </w:r>
    </w:p>
    <w:p>
      <w:pPr>
        <w:pStyle w:val="Normal"/>
        <w:numPr>
          <w:ilvl w:val="0"/>
          <w:numId w:val="26"/>
        </w:numPr>
        <w:shd w:val="clear" w:color="auto" w:fill="FAF9F8"/>
        <w:ind w:left="1620" w:hanging="360"/>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Realizar una investigación inmediata, exhaustiva e imparcial sobre los hechos descritos, que los resultados de esa investigación se hagan públicos y que los responsables de esos hechos comparezcan ante la justicia.</w:t>
      </w:r>
    </w:p>
    <w:p>
      <w:pPr>
        <w:pStyle w:val="Normal"/>
        <w:numPr>
          <w:ilvl w:val="0"/>
          <w:numId w:val="27"/>
        </w:numPr>
        <w:shd w:val="clear" w:color="auto" w:fill="FAF9F8"/>
        <w:ind w:left="1620" w:hanging="360"/>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Conformar sus acciones a lo dispuesto por los Pactos y Convenios Internacionales de derechos humanos firmados y ratificados por Costa Rica.</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A los organismos nacionales e internacionales de protección de derechos humanos: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 </w:t>
      </w:r>
    </w:p>
    <w:p>
      <w:pPr>
        <w:pStyle w:val="Normal"/>
        <w:numPr>
          <w:ilvl w:val="0"/>
          <w:numId w:val="28"/>
        </w:numPr>
        <w:shd w:val="clear" w:color="auto" w:fill="FAF9F8"/>
        <w:ind w:left="1620" w:hanging="360"/>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Externar al Gobierno de Costa Rica su preocupación ante la gravedad de los hechos y que insten al Gobierno de Costa Rica a que atienda las peticiones planteadas</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both"/>
        <w:textAlignment w:val="baseline"/>
        <w:rPr>
          <w:rFonts w:ascii="Bookman Old Style" w:hAnsi="Bookman Old Style" w:cs="Calibri"/>
          <w:i/>
          <w:i/>
          <w:iCs/>
          <w:color w:val="323130"/>
          <w:sz w:val="20"/>
          <w:szCs w:val="20"/>
        </w:rPr>
      </w:pPr>
      <w:r>
        <w:rPr>
          <w:rFonts w:cs="Arial" w:ascii="Bookman Old Style" w:hAnsi="Bookman Old Style"/>
          <w:i/>
          <w:iCs/>
          <w:color w:val="323130"/>
          <w:sz w:val="20"/>
          <w:szCs w:val="20"/>
          <w:lang w:val="fr-FR"/>
        </w:rPr>
        <w:t> </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Atentamente,</w:t>
      </w:r>
    </w:p>
    <w:p>
      <w:pPr>
        <w:pStyle w:val="Normal"/>
        <w:shd w:val="clear" w:color="auto" w:fill="FAF9F8"/>
        <w:jc w:val="center"/>
        <w:textAlignment w:val="baseline"/>
        <w:rPr>
          <w:rFonts w:ascii="Bookman Old Style" w:hAnsi="Bookman Old Style" w:cs="Calibri"/>
          <w:i/>
          <w:i/>
          <w:iCs/>
          <w:color w:val="323130"/>
          <w:sz w:val="20"/>
          <w:szCs w:val="20"/>
        </w:rPr>
      </w:pPr>
      <w:r>
        <w:rPr>
          <w:rFonts w:cs="Arial" w:ascii="Bookman Old Style" w:hAnsi="Bookman Old Style"/>
          <w:b/>
          <w:bCs/>
          <w:i/>
          <w:iCs/>
          <w:color w:val="323130"/>
          <w:sz w:val="20"/>
          <w:szCs w:val="20"/>
          <w:lang w:val="fr-FR"/>
        </w:rPr>
        <w:t>Jeffery López Castro</w:t>
      </w:r>
    </w:p>
    <w:p>
      <w:pPr>
        <w:pStyle w:val="Normal"/>
        <w:shd w:val="clear" w:color="auto" w:fill="FAF9F8"/>
        <w:jc w:val="center"/>
        <w:textAlignment w:val="baseline"/>
        <w:rPr>
          <w:rFonts w:ascii="Bookman Old Style" w:hAnsi="Bookman Old Style" w:cs="Calibri"/>
          <w:i/>
          <w:i/>
          <w:iCs/>
          <w:color w:val="323130"/>
          <w:sz w:val="20"/>
          <w:szCs w:val="20"/>
        </w:rPr>
      </w:pPr>
      <w:bookmarkStart w:id="18" w:name="x__30j0zll"/>
      <w:bookmarkEnd w:id="18"/>
      <w:r>
        <w:rPr>
          <w:rFonts w:cs="Arial" w:ascii="Bookman Old Style" w:hAnsi="Bookman Old Style"/>
          <w:b/>
          <w:bCs/>
          <w:i/>
          <w:iCs/>
          <w:color w:val="323130"/>
          <w:sz w:val="20"/>
          <w:szCs w:val="20"/>
          <w:lang w:val="fr-FR"/>
        </w:rPr>
        <w:t>Presidente y representante legal de la Asociación de Iniciativas Populares Ditsö</w:t>
      </w:r>
    </w:p>
    <w:p>
      <w:pPr>
        <w:pStyle w:val="Normal"/>
        <w:jc w:val="both"/>
        <w:rPr>
          <w:rFonts w:ascii="Bookman Old Style" w:hAnsi="Bookman Old Style" w:cs="Tahoma"/>
          <w:bCs/>
          <w:i/>
          <w:i/>
          <w:iCs/>
          <w:sz w:val="20"/>
          <w:szCs w:val="20"/>
        </w:rPr>
      </w:pPr>
      <w:r>
        <w:rPr>
          <w:rFonts w:cs="Tahoma" w:ascii="Bookman Old Style" w:hAnsi="Bookman Old Style"/>
          <w:bCs/>
          <w:i/>
          <w:iCs/>
          <w:sz w:val="20"/>
          <w:szCs w:val="20"/>
        </w:rPr>
      </w:r>
    </w:p>
    <w:p>
      <w:pPr>
        <w:pStyle w:val="Normal"/>
        <w:jc w:val="both"/>
        <w:rPr>
          <w:rFonts w:ascii="Bookman Old Style" w:hAnsi="Bookman Old Style" w:cs="Tahoma"/>
          <w:bCs/>
          <w:i/>
          <w:i/>
          <w:iCs/>
          <w:sz w:val="20"/>
          <w:szCs w:val="20"/>
        </w:rPr>
      </w:pPr>
      <w:r>
        <w:rPr>
          <w:rFonts w:cs="Tahoma" w:ascii="Bookman Old Style" w:hAnsi="Bookman Old Style"/>
          <w:bCs/>
          <w:i/>
          <w:iCs/>
          <w:sz w:val="20"/>
          <w:szCs w:val="20"/>
        </w:rPr>
      </w:r>
    </w:p>
    <w:p>
      <w:pPr>
        <w:pStyle w:val="Normal"/>
        <w:jc w:val="center"/>
        <w:rPr>
          <w:rFonts w:ascii="Bookman Old Style" w:hAnsi="Bookman Old Style" w:cs="Tahoma"/>
          <w:bCs/>
          <w:i/>
          <w:i/>
          <w:iCs/>
          <w:sz w:val="20"/>
          <w:szCs w:val="20"/>
        </w:rPr>
      </w:pPr>
      <w:r>
        <w:rPr>
          <w:rFonts w:cs="Tahoma" w:ascii="Bookman Old Style" w:hAnsi="Bookman Old Style"/>
          <w:bCs/>
          <w:i/>
          <w:iCs/>
          <w:sz w:val="20"/>
          <w:szCs w:val="20"/>
        </w:rPr>
        <w:t>-0-</w:t>
      </w:r>
    </w:p>
    <w:p>
      <w:pPr>
        <w:pStyle w:val="Normal"/>
        <w:jc w:val="center"/>
        <w:rPr>
          <w:rFonts w:ascii="Bookman Old Style" w:hAnsi="Bookman Old Style" w:cs="Tahoma"/>
          <w:bCs/>
          <w:i/>
          <w:i/>
          <w:iCs/>
          <w:sz w:val="20"/>
          <w:szCs w:val="20"/>
        </w:rPr>
      </w:pPr>
      <w:r>
        <w:rPr>
          <w:rFonts w:cs="Tahoma" w:ascii="Bookman Old Style" w:hAnsi="Bookman Old Style"/>
          <w:bCs/>
          <w:i/>
          <w:iCs/>
          <w:sz w:val="20"/>
          <w:szCs w:val="20"/>
        </w:rPr>
      </w:r>
    </w:p>
    <w:p>
      <w:pPr>
        <w:pStyle w:val="Normal"/>
        <w:jc w:val="both"/>
        <w:rPr>
          <w:rFonts w:ascii="Bookman Old Style" w:hAnsi="Bookman Old Style" w:cs="Tahoma"/>
          <w:bCs/>
          <w:sz w:val="20"/>
          <w:szCs w:val="20"/>
        </w:rPr>
      </w:pPr>
      <w:r>
        <w:rPr>
          <w:rFonts w:cs="Tahoma" w:ascii="Bookman Old Style" w:hAnsi="Bookman Old Style"/>
          <w:bCs/>
          <w:sz w:val="20"/>
          <w:szCs w:val="20"/>
        </w:rPr>
        <w:t>La Dra. Emilia Navas Aparicio, Fiscala General de la República, comunicó en  correo del 20 de abril de 2020, lo siguiente:</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rPr>
          <w:rFonts w:ascii="Bookman Old Style" w:hAnsi="Bookman Old Style" w:cs="Calibri"/>
          <w:i/>
          <w:i/>
          <w:iCs/>
          <w:color w:val="201F1E"/>
          <w:sz w:val="20"/>
          <w:szCs w:val="20"/>
        </w:rPr>
      </w:pPr>
      <w:r>
        <w:rPr>
          <w:rFonts w:cs="Calibri" w:ascii="Bookman Old Style" w:hAnsi="Bookman Old Style"/>
          <w:b/>
          <w:bCs/>
          <w:i/>
          <w:iCs/>
          <w:color w:val="201F1E"/>
          <w:sz w:val="20"/>
          <w:szCs w:val="20"/>
          <w:lang w:val="es-ES"/>
        </w:rPr>
        <w:t>De:</w:t>
      </w:r>
      <w:r>
        <w:rPr>
          <w:rFonts w:cs="Calibri" w:ascii="Bookman Old Style" w:hAnsi="Bookman Old Style"/>
          <w:i/>
          <w:iCs/>
          <w:color w:val="201F1E"/>
          <w:sz w:val="20"/>
          <w:szCs w:val="20"/>
          <w:lang w:val="es-ES"/>
        </w:rPr>
        <w:t xml:space="preserve"> Emilia Navas Aparicio &lt;enavas@Poder-Judicial.go.cr&gt; </w:t>
        <w:br/>
      </w:r>
      <w:r>
        <w:rPr>
          <w:rFonts w:cs="Calibri" w:ascii="Bookman Old Style" w:hAnsi="Bookman Old Style"/>
          <w:b/>
          <w:bCs/>
          <w:i/>
          <w:iCs/>
          <w:color w:val="201F1E"/>
          <w:sz w:val="20"/>
          <w:szCs w:val="20"/>
          <w:lang w:val="es-ES"/>
        </w:rPr>
        <w:t>Enviado el:</w:t>
      </w:r>
      <w:r>
        <w:rPr>
          <w:rFonts w:cs="Calibri" w:ascii="Bookman Old Style" w:hAnsi="Bookman Old Style"/>
          <w:i/>
          <w:iCs/>
          <w:color w:val="201F1E"/>
          <w:sz w:val="20"/>
          <w:szCs w:val="20"/>
          <w:lang w:val="es-ES"/>
        </w:rPr>
        <w:t xml:space="preserve"> lunes, 20 de abril de 2020 2:01 p. m.</w:t>
        <w:br/>
      </w:r>
      <w:r>
        <w:rPr>
          <w:rFonts w:cs="Calibri" w:ascii="Bookman Old Style" w:hAnsi="Bookman Old Style"/>
          <w:b/>
          <w:bCs/>
          <w:i/>
          <w:iCs/>
          <w:color w:val="201F1E"/>
          <w:sz w:val="20"/>
          <w:szCs w:val="20"/>
          <w:lang w:val="es-ES"/>
        </w:rPr>
        <w:t>Para:</w:t>
      </w:r>
      <w:r>
        <w:rPr>
          <w:rFonts w:cs="Calibri" w:ascii="Bookman Old Style" w:hAnsi="Bookman Old Style"/>
          <w:i/>
          <w:iCs/>
          <w:color w:val="201F1E"/>
          <w:sz w:val="20"/>
          <w:szCs w:val="20"/>
          <w:lang w:val="es-ES"/>
        </w:rPr>
        <w:t xml:space="preserve"> Damaris Vargas Vásquez &lt;dvargas@Poder-Judicial.go.cr&gt;; Fiscalía General &lt;fgeneral@Poder-Judicial.go.cr&gt;; Freddy Fallas Barrantes &lt;ffallasb@Poder-Judicial.go.cr&gt;; Tattiana Garcia Chaves &lt;tgarciach@Poder-Judicial.go.cr&gt;</w:t>
        <w:br/>
      </w:r>
      <w:r>
        <w:rPr>
          <w:rFonts w:cs="Calibri" w:ascii="Bookman Old Style" w:hAnsi="Bookman Old Style"/>
          <w:b/>
          <w:bCs/>
          <w:i/>
          <w:iCs/>
          <w:color w:val="201F1E"/>
          <w:sz w:val="20"/>
          <w:szCs w:val="20"/>
          <w:lang w:val="es-ES"/>
        </w:rPr>
        <w:t>CC:</w:t>
      </w:r>
      <w:r>
        <w:rPr>
          <w:rFonts w:cs="Calibri" w:ascii="Bookman Old Style" w:hAnsi="Bookman Old Style"/>
          <w:i/>
          <w:iCs/>
          <w:color w:val="201F1E"/>
          <w:sz w:val="20"/>
          <w:szCs w:val="20"/>
          <w:lang w:val="es-ES"/>
        </w:rPr>
        <w:t xml:space="preserve"> Fiscalía de Asuntos Indígenas &lt;fai-mp@Poder-Judicial.go.cr&gt;; Tattiana Garcia Chaves &lt;tgarciach@Poder-Judicial.go.cr&gt;; Oficina Atención a la Victima del Delito &lt;victimadelito@Poder-Judicial.go.cr&gt;; Sara Arce Moya &lt;sarcemo@Poder-Judicial.go.cr&gt;</w:t>
        <w:br/>
      </w:r>
      <w:r>
        <w:rPr>
          <w:rFonts w:cs="Calibri" w:ascii="Bookman Old Style" w:hAnsi="Bookman Old Style"/>
          <w:b/>
          <w:bCs/>
          <w:i/>
          <w:iCs/>
          <w:color w:val="201F1E"/>
          <w:sz w:val="20"/>
          <w:szCs w:val="20"/>
          <w:lang w:val="es-ES"/>
        </w:rPr>
        <w:t>Asunto:</w:t>
      </w:r>
      <w:r>
        <w:rPr>
          <w:rFonts w:cs="Calibri" w:ascii="Bookman Old Style" w:hAnsi="Bookman Old Style"/>
          <w:i/>
          <w:iCs/>
          <w:color w:val="201F1E"/>
          <w:sz w:val="20"/>
          <w:szCs w:val="20"/>
          <w:lang w:val="es-ES"/>
        </w:rPr>
        <w:t xml:space="preserve"> RE: </w:t>
      </w:r>
      <w:r>
        <w:rPr>
          <w:rFonts w:cs="Calibri" w:ascii="Bookman Old Style" w:hAnsi="Bookman Old Style"/>
          <w:i/>
          <w:iCs/>
          <w:color w:val="000000"/>
          <w:sz w:val="20"/>
          <w:szCs w:val="20"/>
          <w:shd w:fill="FFF100" w:val="clear"/>
          <w:lang w:val="es-ES"/>
        </w:rPr>
        <w:t>ACCION</w:t>
      </w:r>
      <w:r>
        <w:rPr>
          <w:rFonts w:cs="Calibri" w:ascii="Bookman Old Style" w:hAnsi="Bookman Old Style"/>
          <w:i/>
          <w:iCs/>
          <w:color w:val="201F1E"/>
          <w:sz w:val="20"/>
          <w:szCs w:val="20"/>
          <w:lang w:val="es-ES"/>
        </w:rPr>
        <w:t xml:space="preserve"> </w:t>
      </w:r>
      <w:r>
        <w:rPr>
          <w:rFonts w:cs="Calibri" w:ascii="Bookman Old Style" w:hAnsi="Bookman Old Style"/>
          <w:i/>
          <w:iCs/>
          <w:color w:val="000000"/>
          <w:sz w:val="20"/>
          <w:szCs w:val="20"/>
          <w:shd w:fill="FFF100" w:val="clear"/>
          <w:lang w:val="es-ES"/>
        </w:rPr>
        <w:t>URGENTE</w:t>
      </w:r>
      <w:r>
        <w:rPr>
          <w:rFonts w:cs="Calibri" w:ascii="Bookman Old Style" w:hAnsi="Bookman Old Style"/>
          <w:i/>
          <w:iCs/>
          <w:color w:val="201F1E"/>
          <w:sz w:val="20"/>
          <w:szCs w:val="20"/>
          <w:lang w:val="es-ES"/>
        </w:rPr>
        <w:t>: OMISION DEL ESTADO DE COSTA RICA ANTE AMENAZAS CONTRA MIEMBROS DE DITSO</w:t>
      </w:r>
    </w:p>
    <w:p>
      <w:pPr>
        <w:pStyle w:val="Normal"/>
        <w:rPr>
          <w:rFonts w:ascii="Bookman Old Style" w:hAnsi="Bookman Old Style" w:cs="Calibri"/>
          <w:i/>
          <w:i/>
          <w:iCs/>
          <w:color w:val="201F1E"/>
          <w:sz w:val="20"/>
          <w:szCs w:val="20"/>
        </w:rPr>
      </w:pPr>
      <w:r>
        <w:rPr>
          <w:rFonts w:cs="Calibri" w:ascii="Bookman Old Style" w:hAnsi="Bookman Old Style"/>
          <w:i/>
          <w:iCs/>
          <w:color w:val="201F1E"/>
          <w:sz w:val="20"/>
          <w:szCs w:val="20"/>
        </w:rPr>
        <w:t> </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t>Buenas tardes doña Damaris: Me permito saludarla, esperando se encuentre bien. Inmediatamente procederemos conforme corresponde. Copio a la Licda. Tatiana García Chaves, quien está desempeñándose por los próximos cuatro meses como Fiscala Adjunta de Asuntos Indígenas. Muchas gracias,”</w:t>
      </w:r>
    </w:p>
    <w:p>
      <w:pPr>
        <w:pStyle w:val="Normal"/>
        <w:jc w:val="both"/>
        <w:rPr>
          <w:rFonts w:ascii="Bookman Old Style" w:hAnsi="Bookman Old Style" w:cs="Calibri"/>
          <w:i/>
          <w:i/>
          <w:iCs/>
          <w:color w:val="201F1E"/>
          <w:sz w:val="20"/>
          <w:szCs w:val="20"/>
        </w:rPr>
      </w:pPr>
      <w:r>
        <w:rPr>
          <w:rFonts w:cs="Calibri" w:ascii="Bookman Old Style" w:hAnsi="Bookman Old Style"/>
          <w:i/>
          <w:iCs/>
          <w:color w:val="201F1E"/>
          <w:sz w:val="20"/>
          <w:szCs w:val="20"/>
        </w:rPr>
      </w:r>
    </w:p>
    <w:p>
      <w:pPr>
        <w:pStyle w:val="Normal"/>
        <w:jc w:val="both"/>
        <w:rPr>
          <w:rFonts w:ascii="Bookman Old Style" w:hAnsi="Bookman Old Style" w:cs="Calibri"/>
          <w:color w:val="201F1E"/>
          <w:sz w:val="20"/>
          <w:szCs w:val="20"/>
        </w:rPr>
      </w:pPr>
      <w:r>
        <w:rPr>
          <w:rFonts w:cs="Calibri" w:ascii="Bookman Old Style" w:hAnsi="Bookman Old Style"/>
          <w:color w:val="201F1E"/>
          <w:sz w:val="20"/>
          <w:szCs w:val="20"/>
        </w:rPr>
        <w:t>La Fiscalía General de la República se pronunció en relación con dicha gestión a fin de que se haga de conocimiento de la gestionante. </w:t>
      </w:r>
    </w:p>
    <w:p>
      <w:pPr>
        <w:pStyle w:val="Normal"/>
        <w:jc w:val="both"/>
        <w:rPr>
          <w:rFonts w:ascii="Bookman Old Style" w:hAnsi="Bookman Old Style" w:cs="Calibri"/>
          <w:color w:val="323130"/>
          <w:sz w:val="20"/>
          <w:szCs w:val="20"/>
        </w:rPr>
      </w:pPr>
      <w:r>
        <w:rPr>
          <w:rFonts w:cs="Calibri" w:ascii="Bookman Old Style" w:hAnsi="Bookman Old Style"/>
          <w:color w:val="323130"/>
          <w:sz w:val="20"/>
          <w:szCs w:val="20"/>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XVI</w:t>
      </w:r>
    </w:p>
    <w:p>
      <w:pPr>
        <w:pStyle w:val="Normal"/>
        <w:jc w:val="both"/>
        <w:rPr>
          <w:rFonts w:ascii="Bookman Old Style" w:hAnsi="Bookman Old Style" w:cs="Tahoma"/>
          <w:color w:val="201F1E"/>
          <w:sz w:val="20"/>
          <w:szCs w:val="20"/>
        </w:rPr>
      </w:pPr>
      <w:r>
        <w:rPr>
          <w:rFonts w:cs="Tahoma" w:ascii="Bookman Old Style" w:hAnsi="Bookman Old Style"/>
          <w:bCs/>
          <w:iCs/>
          <w:sz w:val="20"/>
          <w:szCs w:val="20"/>
        </w:rPr>
        <w:t xml:space="preserve">La señora Stephannie Phillips Asch, mediante correo electrónico del 22 de abril de 2020, dirigido a la señora Damaris Vargas Vásquez con copia al señor Hugo Vega Castro y a la señora Ana Lucía Vásquez Rivera, remitió para revisión, la propuesta de </w:t>
      </w:r>
      <w:r>
        <w:rPr>
          <w:rFonts w:cs="Tahoma" w:ascii="Bookman Old Style" w:hAnsi="Bookman Old Style"/>
          <w:color w:val="201F1E"/>
          <w:sz w:val="20"/>
          <w:szCs w:val="20"/>
        </w:rPr>
        <w:t>campaña de divulgación de la Circular 188-19, ejes 6 y 7, de Corte Plena, dividida en cuatro cápsulas; así como la campaña de la Ley de Acceso a la Justicia de Pueblos Indígenas de Costa Rica.</w:t>
      </w:r>
    </w:p>
    <w:p>
      <w:pPr>
        <w:pStyle w:val="Normal"/>
        <w:jc w:val="both"/>
        <w:rPr>
          <w:rFonts w:ascii="Bookman Old Style" w:hAnsi="Bookman Old Style" w:cs="Tahoma"/>
          <w:color w:val="201F1E"/>
          <w:sz w:val="20"/>
          <w:szCs w:val="20"/>
        </w:rPr>
      </w:pPr>
      <w:r>
        <w:rPr>
          <w:rFonts w:cs="Tahoma" w:ascii="Bookman Old Style" w:hAnsi="Bookman Old Style"/>
          <w:color w:val="201F1E"/>
          <w:sz w:val="20"/>
          <w:szCs w:val="20"/>
        </w:rPr>
      </w:r>
    </w:p>
    <w:p>
      <w:pPr>
        <w:pStyle w:val="Normal"/>
        <w:jc w:val="both"/>
        <w:rPr>
          <w:rFonts w:ascii="Bookman Old Style" w:hAnsi="Bookman Old Style" w:cs="Calibri"/>
          <w:color w:val="201F1E"/>
          <w:sz w:val="20"/>
          <w:szCs w:val="20"/>
          <w:lang w:val="es-ES"/>
        </w:rPr>
      </w:pPr>
      <w:r>
        <w:rPr>
          <w:rFonts w:cs="Calibri" w:ascii="Bookman Old Style" w:hAnsi="Bookman Old Style"/>
          <w:color w:val="201F1E"/>
          <w:sz w:val="20"/>
          <w:szCs w:val="20"/>
          <w:lang w:val="es-ES"/>
        </w:rPr>
        <w:t>La propuesta se hizo de conocimiento de las y los integrantes de la Subcomisión de Acceso a la Justicia de Pueblos Indígenas mediante correo electrónico del 5 de mayo, para que emitan sus sugerencias y observaciones.</w:t>
      </w:r>
    </w:p>
    <w:p>
      <w:pPr>
        <w:pStyle w:val="Normal"/>
        <w:jc w:val="both"/>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rPr>
          <w:rFonts w:ascii="Bookman Old Style" w:hAnsi="Bookman Old Style"/>
          <w:sz w:val="20"/>
          <w:szCs w:val="20"/>
        </w:rPr>
      </w:pPr>
      <w:r>
        <w:rPr>
          <w:rFonts w:ascii="Bookman Old Style" w:hAnsi="Bookman Old Style"/>
          <w:sz w:val="20"/>
          <w:szCs w:val="20"/>
        </w:rPr>
        <w:t xml:space="preserve">De una vez, se remitió atenta invitación a la señora </w:t>
      </w:r>
      <w:r>
        <w:rPr>
          <w:rFonts w:cs="Tahoma" w:ascii="Bookman Old Style" w:hAnsi="Bookman Old Style"/>
          <w:bCs/>
          <w:iCs/>
          <w:sz w:val="20"/>
          <w:szCs w:val="20"/>
        </w:rPr>
        <w:t>Stephannie Phillips Asch para que siguiera asistiendo a las sesiones de la S</w:t>
      </w:r>
      <w:r>
        <w:rPr>
          <w:rFonts w:ascii="Bookman Old Style" w:hAnsi="Bookman Old Style"/>
          <w:sz w:val="20"/>
          <w:szCs w:val="20"/>
        </w:rPr>
        <w:t>ubcomisión, informando dará la prioridad necesaria a aquellas reuniones en las que pueda participar considerando su carga laboral.</w:t>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xml:space="preserve">: Se toma nota y se solicita </w:t>
      </w:r>
      <w:r>
        <w:rPr>
          <w:rFonts w:cs="Tahoma" w:ascii="Bookman Old Style" w:hAnsi="Bookman Old Style"/>
          <w:bCs/>
          <w:iCs/>
          <w:sz w:val="20"/>
          <w:szCs w:val="20"/>
        </w:rPr>
        <w:t>Stephannie Phillips Asch remitir una nueva propuesta considerando las observaciones que ya se le enviaron.</w:t>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center"/>
        <w:rPr>
          <w:rFonts w:ascii="Bookman Old Style" w:hAnsi="Bookman Old Style" w:cs="Tahoma"/>
          <w:b/>
          <w:b/>
          <w:color w:val="000000" w:themeColor="text1"/>
          <w:sz w:val="20"/>
          <w:szCs w:val="20"/>
          <w:highlight w:val="yellow"/>
          <w:u w:val="single"/>
        </w:rPr>
      </w:pPr>
      <w:r>
        <w:rPr>
          <w:rFonts w:cs="Tahoma" w:ascii="Bookman Old Style" w:hAnsi="Bookman Old Style"/>
          <w:b/>
          <w:color w:val="000000" w:themeColor="text1"/>
          <w:sz w:val="20"/>
          <w:szCs w:val="20"/>
          <w:highlight w:val="yellow"/>
          <w:u w:val="single"/>
        </w:rPr>
        <w:t>ARTÍCULO XVII</w:t>
      </w:r>
    </w:p>
    <w:p>
      <w:pPr>
        <w:pStyle w:val="Normal"/>
        <w:jc w:val="both"/>
        <w:rPr>
          <w:rFonts w:ascii="Bookman Old Style" w:hAnsi="Bookman Old Style"/>
          <w:sz w:val="20"/>
          <w:szCs w:val="20"/>
        </w:rPr>
      </w:pPr>
      <w:r>
        <w:rPr>
          <w:rFonts w:cs="Tahoma" w:ascii="Bookman Old Style" w:hAnsi="Bookman Old Style"/>
          <w:sz w:val="20"/>
          <w:szCs w:val="20"/>
        </w:rPr>
        <w:t>El Magistrado Gerardo Rubén Alfaro Vargas, Rector de Justicia Restaurativa, en oficio  063-DNJR-20, comunicó lo siguiente:</w:t>
      </w:r>
    </w:p>
    <w:p>
      <w:pPr>
        <w:pStyle w:val="Normal"/>
        <w:ind w:left="5670" w:hanging="6"/>
        <w:rPr>
          <w:rFonts w:ascii="Bookman Old Style" w:hAnsi="Bookman Old Style"/>
          <w:sz w:val="20"/>
          <w:szCs w:val="20"/>
        </w:rPr>
      </w:pPr>
      <w:r>
        <w:rPr>
          <w:rFonts w:ascii="Bookman Old Style" w:hAnsi="Bookman Old Style"/>
          <w:sz w:val="20"/>
          <w:szCs w:val="20"/>
        </w:rPr>
      </w:r>
    </w:p>
    <w:p>
      <w:pPr>
        <w:pStyle w:val="Normal"/>
        <w:ind w:left="5670" w:hanging="6"/>
        <w:jc w:val="right"/>
        <w:rPr>
          <w:rFonts w:ascii="Bookman Old Style" w:hAnsi="Bookman Old Style"/>
          <w:sz w:val="20"/>
          <w:szCs w:val="20"/>
        </w:rPr>
      </w:pPr>
      <w:r>
        <w:rPr>
          <w:rFonts w:ascii="Bookman Old Style" w:hAnsi="Bookman Old Style"/>
          <w:sz w:val="20"/>
          <w:szCs w:val="20"/>
        </w:rPr>
        <w:t>01 de abril  del  2020</w:t>
      </w:r>
    </w:p>
    <w:p>
      <w:pPr>
        <w:pStyle w:val="Normal"/>
        <w:ind w:left="4956" w:firstLine="708"/>
        <w:jc w:val="right"/>
        <w:rPr>
          <w:rFonts w:ascii="Bookman Old Style" w:hAnsi="Bookman Old Style"/>
          <w:sz w:val="20"/>
          <w:szCs w:val="20"/>
        </w:rPr>
      </w:pPr>
      <w:r>
        <w:rPr>
          <w:rFonts w:ascii="Bookman Old Style" w:hAnsi="Bookman Old Style"/>
          <w:sz w:val="20"/>
          <w:szCs w:val="20"/>
        </w:rPr>
        <w:t>No. 063-DNJR-20</w:t>
      </w:r>
    </w:p>
    <w:p>
      <w:pPr>
        <w:pStyle w:val="Normal"/>
        <w:ind w:left="4956" w:firstLine="708"/>
        <w:jc w:val="center"/>
        <w:rPr>
          <w:rFonts w:ascii="Bookman Old Style" w:hAnsi="Bookman Old Style"/>
          <w:sz w:val="20"/>
          <w:szCs w:val="20"/>
        </w:rPr>
      </w:pPr>
      <w:r>
        <w:rPr>
          <w:rFonts w:ascii="Bookman Old Style" w:hAnsi="Bookman Old Style"/>
          <w:sz w:val="20"/>
          <w:szCs w:val="20"/>
        </w:rPr>
      </w:r>
    </w:p>
    <w:p>
      <w:pPr>
        <w:pStyle w:val="Normal"/>
        <w:tabs>
          <w:tab w:val="clear" w:pos="708"/>
          <w:tab w:val="left" w:pos="720" w:leader="none"/>
        </w:tabs>
        <w:spacing w:before="0" w:after="0"/>
        <w:ind w:left="-142" w:hanging="0"/>
        <w:contextualSpacing/>
        <w:rPr>
          <w:rFonts w:ascii="Bookman Old Style" w:hAnsi="Bookman Old Style"/>
          <w:sz w:val="20"/>
          <w:szCs w:val="20"/>
        </w:rPr>
      </w:pPr>
      <w:r>
        <w:rPr>
          <w:rFonts w:ascii="Bookman Old Style" w:hAnsi="Bookman Old Style"/>
          <w:sz w:val="20"/>
          <w:szCs w:val="20"/>
        </w:rPr>
        <w:t xml:space="preserve">Máster </w:t>
      </w:r>
    </w:p>
    <w:p>
      <w:pPr>
        <w:pStyle w:val="Normal"/>
        <w:tabs>
          <w:tab w:val="clear" w:pos="708"/>
          <w:tab w:val="left" w:pos="720" w:leader="none"/>
        </w:tabs>
        <w:spacing w:before="0" w:after="0"/>
        <w:ind w:left="-142" w:hanging="0"/>
        <w:contextualSpacing/>
        <w:rPr>
          <w:rFonts w:ascii="Bookman Old Style" w:hAnsi="Bookman Old Style"/>
          <w:sz w:val="20"/>
          <w:szCs w:val="20"/>
        </w:rPr>
      </w:pPr>
      <w:r>
        <w:rPr>
          <w:rFonts w:ascii="Bookman Old Style" w:hAnsi="Bookman Old Style"/>
          <w:sz w:val="20"/>
          <w:szCs w:val="20"/>
        </w:rPr>
        <w:t>Melissa Benavides Víquez</w:t>
      </w:r>
    </w:p>
    <w:p>
      <w:pPr>
        <w:pStyle w:val="Normal"/>
        <w:tabs>
          <w:tab w:val="clear" w:pos="708"/>
          <w:tab w:val="left" w:pos="720" w:leader="none"/>
        </w:tabs>
        <w:spacing w:before="0" w:after="0"/>
        <w:ind w:left="-142" w:hanging="0"/>
        <w:contextualSpacing/>
        <w:rPr>
          <w:rFonts w:ascii="Bookman Old Style" w:hAnsi="Bookman Old Style"/>
          <w:sz w:val="20"/>
          <w:szCs w:val="20"/>
        </w:rPr>
      </w:pPr>
      <w:r>
        <w:rPr>
          <w:rFonts w:ascii="Bookman Old Style" w:hAnsi="Bookman Old Style"/>
          <w:sz w:val="20"/>
          <w:szCs w:val="20"/>
        </w:rPr>
        <w:t>Coordinadora</w:t>
      </w:r>
    </w:p>
    <w:p>
      <w:pPr>
        <w:pStyle w:val="Normal"/>
        <w:tabs>
          <w:tab w:val="clear" w:pos="708"/>
          <w:tab w:val="left" w:pos="720" w:leader="none"/>
        </w:tabs>
        <w:spacing w:before="0" w:after="0"/>
        <w:ind w:left="-142" w:hanging="0"/>
        <w:contextualSpacing/>
        <w:rPr>
          <w:rFonts w:ascii="Bookman Old Style" w:hAnsi="Bookman Old Style"/>
          <w:sz w:val="20"/>
          <w:szCs w:val="20"/>
        </w:rPr>
      </w:pPr>
      <w:r>
        <w:rPr>
          <w:rFonts w:ascii="Bookman Old Style" w:hAnsi="Bookman Old Style"/>
          <w:sz w:val="20"/>
          <w:szCs w:val="20"/>
        </w:rPr>
        <w:t>Unidad de Acceso a la Justicia</w:t>
      </w:r>
    </w:p>
    <w:p>
      <w:pPr>
        <w:pStyle w:val="Normal"/>
        <w:tabs>
          <w:tab w:val="clear" w:pos="708"/>
          <w:tab w:val="left" w:pos="720" w:leader="none"/>
        </w:tabs>
        <w:spacing w:before="0" w:after="0"/>
        <w:ind w:left="-142" w:hanging="0"/>
        <w:contextualSpacing/>
        <w:rPr>
          <w:rFonts w:ascii="Bookman Old Style" w:hAnsi="Bookman Old Style"/>
          <w:sz w:val="20"/>
          <w:szCs w:val="20"/>
        </w:rPr>
      </w:pPr>
      <w:r>
        <w:rPr>
          <w:rFonts w:ascii="Bookman Old Style" w:hAnsi="Bookman Old Style"/>
          <w:sz w:val="20"/>
          <w:szCs w:val="20"/>
        </w:rPr>
        <w:t>Poder Judicial</w:t>
      </w:r>
    </w:p>
    <w:p>
      <w:pPr>
        <w:pStyle w:val="Normal"/>
        <w:ind w:left="-709" w:hanging="0"/>
        <w:jc w:val="both"/>
        <w:rPr>
          <w:rFonts w:ascii="Bookman Old Style" w:hAnsi="Bookman Old Style"/>
          <w:sz w:val="20"/>
          <w:szCs w:val="20"/>
        </w:rPr>
      </w:pPr>
      <w:r>
        <w:rPr>
          <w:rFonts w:ascii="Bookman Old Style" w:hAnsi="Bookman Old Style"/>
          <w:sz w:val="20"/>
          <w:szCs w:val="20"/>
        </w:rPr>
      </w:r>
    </w:p>
    <w:p>
      <w:pPr>
        <w:pStyle w:val="Normal"/>
        <w:ind w:left="-709" w:firstLine="567"/>
        <w:jc w:val="both"/>
        <w:rPr>
          <w:rFonts w:ascii="Bookman Old Style" w:hAnsi="Bookman Old Style"/>
          <w:sz w:val="20"/>
          <w:szCs w:val="20"/>
        </w:rPr>
      </w:pPr>
      <w:r>
        <w:rPr>
          <w:rFonts w:ascii="Bookman Old Style" w:hAnsi="Bookman Old Style"/>
          <w:sz w:val="20"/>
          <w:szCs w:val="20"/>
        </w:rPr>
        <w:t>Estimada doña Melissa:</w:t>
      </w:r>
    </w:p>
    <w:p>
      <w:pPr>
        <w:pStyle w:val="Normal"/>
        <w:ind w:left="-709" w:hanging="0"/>
        <w:jc w:val="both"/>
        <w:rPr>
          <w:rFonts w:ascii="Bookman Old Style" w:hAnsi="Bookman Old Style"/>
          <w:sz w:val="20"/>
          <w:szCs w:val="20"/>
        </w:rPr>
      </w:pPr>
      <w:r>
        <w:rPr>
          <w:rFonts w:ascii="Bookman Old Style" w:hAnsi="Bookman Old Style"/>
          <w:sz w:val="20"/>
          <w:szCs w:val="20"/>
        </w:rPr>
      </w:r>
    </w:p>
    <w:p>
      <w:pPr>
        <w:pStyle w:val="Normal"/>
        <w:ind w:left="-709" w:firstLine="567"/>
        <w:jc w:val="both"/>
        <w:rPr>
          <w:rFonts w:ascii="Bookman Old Style" w:hAnsi="Bookman Old Style"/>
          <w:sz w:val="20"/>
          <w:szCs w:val="20"/>
        </w:rPr>
      </w:pPr>
      <w:r>
        <w:rPr>
          <w:rFonts w:ascii="Bookman Old Style" w:hAnsi="Bookman Old Style"/>
          <w:sz w:val="20"/>
          <w:szCs w:val="20"/>
        </w:rPr>
        <w:t>Reciba un cordial y atento saludo.</w:t>
      </w:r>
    </w:p>
    <w:p>
      <w:pPr>
        <w:pStyle w:val="Normal"/>
        <w:ind w:left="-709" w:firstLine="567"/>
        <w:jc w:val="both"/>
        <w:rPr>
          <w:rFonts w:ascii="Bookman Old Style" w:hAnsi="Bookman Old Style"/>
          <w:sz w:val="20"/>
          <w:szCs w:val="20"/>
        </w:rPr>
      </w:pPr>
      <w:r>
        <w:rPr>
          <w:rFonts w:ascii="Bookman Old Style" w:hAnsi="Bookman Old Style"/>
          <w:sz w:val="20"/>
          <w:szCs w:val="20"/>
        </w:rPr>
      </w:r>
    </w:p>
    <w:p>
      <w:pPr>
        <w:pStyle w:val="Normal"/>
        <w:ind w:left="-142" w:hanging="0"/>
        <w:jc w:val="both"/>
        <w:rPr>
          <w:rFonts w:ascii="Bookman Old Style" w:hAnsi="Bookman Old Style"/>
          <w:sz w:val="20"/>
          <w:szCs w:val="20"/>
        </w:rPr>
      </w:pPr>
      <w:r>
        <w:rPr>
          <w:rFonts w:ascii="Bookman Old Style" w:hAnsi="Bookman Old Style"/>
          <w:sz w:val="20"/>
          <w:szCs w:val="20"/>
        </w:rPr>
        <w:t>Por este medio, me permito acusar recibo del oficio No. CACC-103-20202.</w:t>
      </w:r>
    </w:p>
    <w:p>
      <w:pPr>
        <w:pStyle w:val="Normal"/>
        <w:ind w:left="-142" w:hanging="0"/>
        <w:jc w:val="both"/>
        <w:rPr>
          <w:rFonts w:ascii="Bookman Old Style" w:hAnsi="Bookman Old Style"/>
          <w:sz w:val="20"/>
          <w:szCs w:val="20"/>
        </w:rPr>
      </w:pPr>
      <w:r>
        <w:rPr>
          <w:rFonts w:ascii="Bookman Old Style" w:hAnsi="Bookman Old Style"/>
          <w:sz w:val="20"/>
          <w:szCs w:val="20"/>
        </w:rPr>
      </w:r>
    </w:p>
    <w:p>
      <w:pPr>
        <w:pStyle w:val="Normal"/>
        <w:ind w:left="-142" w:hanging="0"/>
        <w:jc w:val="both"/>
        <w:rPr>
          <w:rFonts w:ascii="Bookman Old Style" w:hAnsi="Bookman Old Style"/>
          <w:sz w:val="20"/>
          <w:szCs w:val="20"/>
        </w:rPr>
      </w:pPr>
      <w:r>
        <w:rPr>
          <w:rFonts w:ascii="Bookman Old Style" w:hAnsi="Bookman Old Style"/>
          <w:sz w:val="20"/>
          <w:szCs w:val="20"/>
        </w:rPr>
        <w:t>Agradecemos a la Subcomisión de Asuntos Indígenas las gestiones y recomendaciones realizadas, que enriquecen el trabajo conjunto que venimos realizando para el acceso de la población indígena a los procesos de la Justicia Restaurativa.</w:t>
      </w:r>
    </w:p>
    <w:p>
      <w:pPr>
        <w:pStyle w:val="Normal"/>
        <w:ind w:left="-709" w:firstLine="567"/>
        <w:jc w:val="both"/>
        <w:rPr>
          <w:rFonts w:ascii="Bookman Old Style" w:hAnsi="Bookman Old Style"/>
          <w:sz w:val="20"/>
          <w:szCs w:val="20"/>
        </w:rPr>
      </w:pPr>
      <w:r>
        <w:rPr>
          <w:rFonts w:ascii="Bookman Old Style" w:hAnsi="Bookman Old Style"/>
          <w:sz w:val="20"/>
          <w:szCs w:val="20"/>
        </w:rPr>
      </w:r>
    </w:p>
    <w:p>
      <w:pPr>
        <w:pStyle w:val="Normal"/>
        <w:jc w:val="both"/>
        <w:rPr>
          <w:rFonts w:ascii="Bookman Old Style" w:hAnsi="Bookman Old Style"/>
          <w:sz w:val="20"/>
          <w:szCs w:val="20"/>
        </w:rPr>
      </w:pPr>
      <w:r>
        <w:rPr>
          <w:rFonts w:ascii="Bookman Old Style" w:hAnsi="Bookman Old Style"/>
          <w:sz w:val="20"/>
          <w:szCs w:val="20"/>
        </w:rPr>
        <w:t>Cordiales saludos,</w:t>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rFonts w:ascii="Bookman Old Style" w:hAnsi="Bookman Old Style"/>
          <w:sz w:val="20"/>
          <w:szCs w:val="20"/>
        </w:rPr>
      </w:r>
    </w:p>
    <w:p>
      <w:pPr>
        <w:pStyle w:val="Normal"/>
        <w:rPr>
          <w:rFonts w:ascii="Bookman Old Style" w:hAnsi="Bookman Old Style"/>
          <w:sz w:val="20"/>
          <w:szCs w:val="20"/>
        </w:rPr>
      </w:pPr>
      <w:r>
        <w:rPr/>
        <w:drawing>
          <wp:inline distT="0" distB="0" distL="0" distR="0">
            <wp:extent cx="1767840" cy="589280"/>
            <wp:effectExtent l="0" t="0" r="0" b="0"/>
            <wp:docPr id="32"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6" descr=""/>
                    <pic:cNvPicPr>
                      <a:picLocks noChangeAspect="1" noChangeArrowheads="1"/>
                    </pic:cNvPicPr>
                  </pic:nvPicPr>
                  <pic:blipFill>
                    <a:blip r:embed="rId170"/>
                    <a:stretch>
                      <a:fillRect/>
                    </a:stretch>
                  </pic:blipFill>
                  <pic:spPr bwMode="auto">
                    <a:xfrm>
                      <a:off x="0" y="0"/>
                      <a:ext cx="1767840" cy="589280"/>
                    </a:xfrm>
                    <a:prstGeom prst="rect">
                      <a:avLst/>
                    </a:prstGeom>
                  </pic:spPr>
                </pic:pic>
              </a:graphicData>
            </a:graphic>
          </wp:inline>
        </w:drawing>
      </w:r>
    </w:p>
    <w:p>
      <w:pPr>
        <w:pStyle w:val="Normal"/>
        <w:tabs>
          <w:tab w:val="clear" w:pos="708"/>
          <w:tab w:val="left" w:pos="2580" w:leader="none"/>
        </w:tabs>
        <w:jc w:val="center"/>
        <w:rPr>
          <w:rFonts w:ascii="Bookman Old Style" w:hAnsi="Bookman Old Style"/>
          <w:sz w:val="20"/>
          <w:szCs w:val="20"/>
        </w:rPr>
      </w:pPr>
      <w:r>
        <w:rPr>
          <w:rFonts w:ascii="Bookman Old Style" w:hAnsi="Bookman Old Style"/>
          <w:sz w:val="20"/>
          <w:szCs w:val="20"/>
        </w:rPr>
      </w:r>
    </w:p>
    <w:p>
      <w:pPr>
        <w:pStyle w:val="Normal"/>
        <w:tabs>
          <w:tab w:val="clear" w:pos="708"/>
          <w:tab w:val="left" w:pos="2580" w:leader="none"/>
        </w:tabs>
        <w:rPr>
          <w:rFonts w:ascii="Bookman Old Style" w:hAnsi="Bookman Old Style"/>
          <w:sz w:val="20"/>
          <w:szCs w:val="20"/>
        </w:rPr>
      </w:pPr>
      <w:r>
        <w:rPr>
          <w:rFonts w:ascii="Bookman Old Style" w:hAnsi="Bookman Old Style"/>
          <w:sz w:val="20"/>
          <w:szCs w:val="20"/>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w:t>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jc w:val="both"/>
        <w:rPr>
          <w:rFonts w:ascii="Bookman Old Style" w:hAnsi="Bookman Old Style" w:cs="Tahoma"/>
          <w:b/>
          <w:b/>
          <w:bCs/>
          <w:color w:val="000000" w:themeColor="text1"/>
          <w:sz w:val="20"/>
          <w:szCs w:val="20"/>
          <w:u w:val="single"/>
          <w:lang w:val="es-ES"/>
        </w:rPr>
      </w:pPr>
      <w:r>
        <w:rPr>
          <w:rFonts w:cs="Tahoma" w:ascii="Bookman Old Style" w:hAnsi="Bookman Old Style"/>
          <w:b/>
          <w:bCs/>
          <w:color w:val="000000" w:themeColor="text1"/>
          <w:sz w:val="20"/>
          <w:szCs w:val="20"/>
          <w:u w:val="single"/>
          <w:lang w:val="es-ES"/>
        </w:rPr>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highlight w:val="yellow"/>
          <w:u w:val="single"/>
        </w:rPr>
        <w:t>ARTÍCULO XVIII</w:t>
      </w:r>
    </w:p>
    <w:p>
      <w:pPr>
        <w:pStyle w:val="Normal"/>
        <w:jc w:val="both"/>
        <w:rPr>
          <w:rFonts w:ascii="Bookman Old Style" w:hAnsi="Bookman Old Style" w:cs="Arial"/>
          <w:i/>
          <w:i/>
          <w:sz w:val="20"/>
          <w:szCs w:val="20"/>
        </w:rPr>
      </w:pPr>
      <w:r>
        <w:rPr>
          <w:rFonts w:cs="Tahoma" w:ascii="Bookman Old Style" w:hAnsi="Bookman Old Style"/>
          <w:sz w:val="20"/>
          <w:szCs w:val="20"/>
        </w:rPr>
        <w:t xml:space="preserve">La Unidad de Acceso a la Justicia comunicó mediante el Oficio CACC-98-2020 al Departamento de Trabajo Social y Psicología y al Consejo de la Administración del Primer Circuito Judicial de la Zona Atlántica, </w:t>
      </w:r>
      <w:r>
        <w:rPr>
          <w:rFonts w:cs="Tahoma" w:ascii="Bookman Old Style" w:hAnsi="Bookman Old Style"/>
          <w:sz w:val="20"/>
          <w:szCs w:val="20"/>
          <w:lang w:val="es-ES"/>
        </w:rPr>
        <w:t xml:space="preserve">el acuerdo estipulado en el punto 4° de la sesión celebrada el 30 de marzo de 2020, el cual se transcribe literalmente: “… </w:t>
      </w:r>
      <w:r>
        <w:rPr>
          <w:rFonts w:cs="Arial" w:ascii="Bookman Old Style" w:hAnsi="Bookman Old Style"/>
          <w:i/>
          <w:sz w:val="20"/>
          <w:szCs w:val="20"/>
        </w:rPr>
        <w:t>4° Solicitar al Departamento de Trabajo Social y Psicología y al Consejo de Administración del Primer Circuito Judicial de la Zona Atlántica informe sobre las soluciones brindadas a efecto de la plaza creada para que brinde el servicio en Bribrí se encuentre radicada en esa zona para el servicio de la población indígena.”</w:t>
      </w:r>
    </w:p>
    <w:p>
      <w:pPr>
        <w:pStyle w:val="Normal"/>
        <w:spacing w:lineRule="auto" w:line="360"/>
        <w:jc w:val="center"/>
        <w:rPr>
          <w:rFonts w:ascii="Bookman Old Style" w:hAnsi="Bookman Old Style" w:cs="Tahoma"/>
          <w:b/>
          <w:b/>
          <w:color w:val="000000" w:themeColor="text1"/>
          <w:sz w:val="20"/>
          <w:szCs w:val="20"/>
          <w:u w:val="single"/>
        </w:rPr>
      </w:pPr>
      <w:r>
        <w:rPr>
          <w:rFonts w:cs="Tahoma" w:ascii="Bookman Old Style" w:hAnsi="Bookman Old Style"/>
          <w:b/>
          <w:color w:val="000000" w:themeColor="text1"/>
          <w:sz w:val="20"/>
          <w:szCs w:val="20"/>
          <w:u w:val="single"/>
        </w:rPr>
      </w:r>
    </w:p>
    <w:p>
      <w:pPr>
        <w:pStyle w:val="Normal"/>
        <w:jc w:val="both"/>
        <w:rPr>
          <w:rFonts w:ascii="Bookman Old Style" w:hAnsi="Bookman Old Style" w:cs="Tahoma"/>
          <w:sz w:val="20"/>
          <w:szCs w:val="20"/>
        </w:rPr>
      </w:pPr>
      <w:r>
        <w:rPr>
          <w:rFonts w:cs="Tahoma" w:ascii="Bookman Old Style" w:hAnsi="Bookman Old Style"/>
          <w:sz w:val="20"/>
          <w:szCs w:val="20"/>
        </w:rPr>
        <w:t>La MSc. Alba Gutiérrez Villalobos, Jefa del Departamento de Trabajo Social y Psicología, en oficio DTSP-035-2020 del 15 de abril de 2020, comunicó lo siguiente:</w:t>
      </w:r>
    </w:p>
    <w:p>
      <w:pPr>
        <w:pStyle w:val="Normal"/>
        <w:rPr>
          <w:rFonts w:ascii="Bookman Old Style" w:hAnsi="Bookman Old Style" w:cs="Arial"/>
          <w:sz w:val="20"/>
          <w:szCs w:val="20"/>
        </w:rPr>
      </w:pPr>
      <w:r>
        <w:rPr>
          <w:rFonts w:cs="Arial" w:ascii="Bookman Old Style" w:hAnsi="Bookman Old Style"/>
          <w:sz w:val="20"/>
          <w:szCs w:val="20"/>
        </w:rPr>
      </w:r>
    </w:p>
    <w:p>
      <w:pPr>
        <w:pStyle w:val="Normal"/>
        <w:jc w:val="right"/>
        <w:rPr>
          <w:rFonts w:ascii="Bookman Old Style" w:hAnsi="Bookman Old Style" w:eastAsia="Calibri" w:cs="Arial"/>
          <w:sz w:val="20"/>
          <w:szCs w:val="20"/>
          <w:lang w:val="es-MX" w:eastAsia="en-US"/>
        </w:rPr>
      </w:pPr>
      <w:r>
        <w:rPr>
          <w:rFonts w:eastAsia="Calibri" w:cs="Arial" w:ascii="Bookman Old Style" w:hAnsi="Bookman Old Style"/>
          <w:sz w:val="20"/>
          <w:szCs w:val="20"/>
          <w:lang w:val="es-MX" w:eastAsia="en-US"/>
        </w:rPr>
      </w:r>
    </w:p>
    <w:p>
      <w:pPr>
        <w:pStyle w:val="Normal"/>
        <w:jc w:val="right"/>
        <w:rPr>
          <w:rFonts w:ascii="Bookman Old Style" w:hAnsi="Bookman Old Style" w:cs="Arial"/>
          <w:i/>
          <w:i/>
          <w:iCs/>
          <w:sz w:val="20"/>
          <w:szCs w:val="20"/>
        </w:rPr>
      </w:pPr>
      <w:r>
        <w:rPr>
          <w:rFonts w:cs="Arial" w:ascii="Bookman Old Style" w:hAnsi="Bookman Old Style"/>
          <w:i/>
          <w:iCs/>
          <w:sz w:val="20"/>
          <w:szCs w:val="20"/>
        </w:rPr>
        <w:t>“</w:t>
      </w:r>
      <w:r>
        <w:rPr>
          <w:rFonts w:cs="Arial" w:ascii="Bookman Old Style" w:hAnsi="Bookman Old Style"/>
          <w:i/>
          <w:iCs/>
          <w:sz w:val="20"/>
          <w:szCs w:val="20"/>
        </w:rPr>
        <w:t>15 de abril de 2020</w:t>
      </w:r>
    </w:p>
    <w:p>
      <w:pPr>
        <w:pStyle w:val="Normal"/>
        <w:jc w:val="right"/>
        <w:rPr>
          <w:rFonts w:ascii="Bookman Old Style" w:hAnsi="Bookman Old Style" w:cs="Arial"/>
          <w:b/>
          <w:b/>
          <w:i/>
          <w:i/>
          <w:iCs/>
          <w:sz w:val="20"/>
          <w:szCs w:val="20"/>
        </w:rPr>
      </w:pPr>
      <w:r>
        <w:rPr>
          <w:rFonts w:cs="Arial" w:ascii="Bookman Old Style" w:hAnsi="Bookman Old Style"/>
          <w:b/>
          <w:i/>
          <w:iCs/>
          <w:sz w:val="20"/>
          <w:szCs w:val="20"/>
        </w:rPr>
        <w:t>DTSP-035-2020</w:t>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b/>
          <w:b/>
          <w:bCs/>
          <w:i/>
          <w:i/>
          <w:iCs/>
          <w:sz w:val="20"/>
          <w:szCs w:val="20"/>
        </w:rPr>
      </w:pPr>
      <w:r>
        <w:rPr>
          <w:rFonts w:cs="Arial" w:ascii="Bookman Old Style" w:hAnsi="Bookman Old Style"/>
          <w:b/>
          <w:bCs/>
          <w:i/>
          <w:iCs/>
          <w:sz w:val="20"/>
          <w:szCs w:val="20"/>
        </w:rPr>
        <w:t xml:space="preserve">Máster </w:t>
      </w:r>
    </w:p>
    <w:p>
      <w:pPr>
        <w:pStyle w:val="Normal"/>
        <w:jc w:val="both"/>
        <w:rPr>
          <w:rFonts w:ascii="Bookman Old Style" w:hAnsi="Bookman Old Style" w:cs="Arial"/>
          <w:b/>
          <w:b/>
          <w:bCs/>
          <w:i/>
          <w:i/>
          <w:iCs/>
          <w:sz w:val="20"/>
          <w:szCs w:val="20"/>
        </w:rPr>
      </w:pPr>
      <w:r>
        <w:rPr>
          <w:rFonts w:cs="Arial" w:ascii="Bookman Old Style" w:hAnsi="Bookman Old Style"/>
          <w:b/>
          <w:bCs/>
          <w:i/>
          <w:iCs/>
          <w:sz w:val="20"/>
          <w:szCs w:val="20"/>
        </w:rPr>
        <w:t>Melissa Benavides Víquez</w:t>
      </w:r>
    </w:p>
    <w:p>
      <w:pPr>
        <w:pStyle w:val="Normal"/>
        <w:jc w:val="both"/>
        <w:rPr>
          <w:rFonts w:ascii="Bookman Old Style" w:hAnsi="Bookman Old Style" w:cs="Arial"/>
          <w:b/>
          <w:b/>
          <w:bCs/>
          <w:i/>
          <w:i/>
          <w:iCs/>
          <w:sz w:val="20"/>
          <w:szCs w:val="20"/>
        </w:rPr>
      </w:pPr>
      <w:r>
        <w:rPr>
          <w:rFonts w:cs="Arial" w:ascii="Bookman Old Style" w:hAnsi="Bookman Old Style"/>
          <w:b/>
          <w:bCs/>
          <w:i/>
          <w:iCs/>
          <w:sz w:val="20"/>
          <w:szCs w:val="20"/>
        </w:rPr>
        <w:t>Coordinadora</w:t>
      </w:r>
    </w:p>
    <w:p>
      <w:pPr>
        <w:pStyle w:val="Normal"/>
        <w:jc w:val="both"/>
        <w:rPr>
          <w:rFonts w:ascii="Bookman Old Style" w:hAnsi="Bookman Old Style" w:cs="Arial"/>
          <w:b/>
          <w:b/>
          <w:bCs/>
          <w:i/>
          <w:i/>
          <w:iCs/>
          <w:sz w:val="20"/>
          <w:szCs w:val="20"/>
        </w:rPr>
      </w:pPr>
      <w:r>
        <w:rPr>
          <w:rFonts w:cs="Arial" w:ascii="Bookman Old Style" w:hAnsi="Bookman Old Style"/>
          <w:b/>
          <w:bCs/>
          <w:i/>
          <w:iCs/>
          <w:sz w:val="20"/>
          <w:szCs w:val="20"/>
        </w:rPr>
        <w:t>Unidad de Acceso a la Justicia</w:t>
      </w:r>
    </w:p>
    <w:p>
      <w:pPr>
        <w:pStyle w:val="Normal"/>
        <w:jc w:val="both"/>
        <w:rPr>
          <w:rFonts w:ascii="Bookman Old Style" w:hAnsi="Bookman Old Style" w:cs="Arial"/>
          <w:b/>
          <w:b/>
          <w:bCs/>
          <w:i/>
          <w:i/>
          <w:iCs/>
          <w:sz w:val="20"/>
          <w:szCs w:val="20"/>
        </w:rPr>
      </w:pPr>
      <w:r>
        <w:rPr>
          <w:rFonts w:cs="Arial" w:ascii="Bookman Old Style" w:hAnsi="Bookman Old Style"/>
          <w:b/>
          <w:bCs/>
          <w:i/>
          <w:iCs/>
          <w:sz w:val="20"/>
          <w:szCs w:val="20"/>
        </w:rPr>
        <w:t>Poder Judicial</w:t>
      </w:r>
    </w:p>
    <w:p>
      <w:pPr>
        <w:pStyle w:val="Normal"/>
        <w:jc w:val="both"/>
        <w:rPr>
          <w:rFonts w:ascii="Bookman Old Style" w:hAnsi="Bookman Old Style" w:cs="Arial"/>
          <w:b/>
          <w:b/>
          <w:bCs/>
          <w:i/>
          <w:i/>
          <w:iCs/>
          <w:sz w:val="20"/>
          <w:szCs w:val="20"/>
        </w:rPr>
      </w:pPr>
      <w:r>
        <w:rPr>
          <w:rFonts w:cs="Arial" w:ascii="Bookman Old Style" w:hAnsi="Bookman Old Style"/>
          <w:b/>
          <w:bCs/>
          <w:i/>
          <w:iCs/>
          <w:sz w:val="20"/>
          <w:szCs w:val="20"/>
        </w:rPr>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i/>
          <w:i/>
          <w:iCs/>
          <w:sz w:val="20"/>
          <w:szCs w:val="20"/>
        </w:rPr>
      </w:pPr>
      <w:r>
        <w:rPr>
          <w:rFonts w:cs="Arial" w:ascii="Bookman Old Style" w:hAnsi="Bookman Old Style"/>
          <w:i/>
          <w:iCs/>
          <w:sz w:val="20"/>
          <w:szCs w:val="20"/>
        </w:rPr>
        <w:t>Estimada señora:</w:t>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bCs/>
          <w:i/>
          <w:i/>
          <w:iCs/>
          <w:sz w:val="20"/>
          <w:szCs w:val="20"/>
        </w:rPr>
      </w:pPr>
      <w:r>
        <w:rPr>
          <w:rFonts w:cs="Arial" w:ascii="Bookman Old Style" w:hAnsi="Bookman Old Style"/>
          <w:i/>
          <w:iCs/>
          <w:sz w:val="20"/>
          <w:szCs w:val="20"/>
        </w:rPr>
        <w:t>Reciba un cordial saludo. En atención al oficio</w:t>
      </w:r>
      <w:r>
        <w:rPr>
          <w:rFonts w:cs="Arial" w:ascii="Bookman Old Style" w:hAnsi="Bookman Old Style"/>
          <w:b/>
          <w:i/>
          <w:iCs/>
          <w:sz w:val="20"/>
          <w:szCs w:val="20"/>
        </w:rPr>
        <w:t xml:space="preserve"> </w:t>
      </w:r>
      <w:r>
        <w:rPr>
          <w:rFonts w:cs="Arial" w:ascii="Bookman Old Style" w:hAnsi="Bookman Old Style"/>
          <w:bCs/>
          <w:i/>
          <w:iCs/>
          <w:sz w:val="20"/>
          <w:szCs w:val="20"/>
        </w:rPr>
        <w:t>CACC-98-2020 re</w:t>
      </w:r>
      <w:r>
        <w:rPr>
          <w:rFonts w:cs="Arial" w:ascii="Bookman Old Style" w:hAnsi="Bookman Old Style"/>
          <w:i/>
          <w:iCs/>
          <w:sz w:val="20"/>
          <w:szCs w:val="20"/>
        </w:rPr>
        <w:t xml:space="preserve">mitido el 30 de marzo de 2020, en el que se informa del acuerdo tomado por la </w:t>
      </w:r>
      <w:r>
        <w:rPr>
          <w:rFonts w:cs="Arial" w:ascii="Bookman Old Style" w:hAnsi="Bookman Old Style"/>
          <w:bCs/>
          <w:i/>
          <w:iCs/>
          <w:sz w:val="20"/>
          <w:szCs w:val="20"/>
        </w:rPr>
        <w:t>Subcomisión de Acceso a la Justicia de Pueblos Indígenas: “</w:t>
      </w:r>
      <w:r>
        <w:rPr>
          <w:rFonts w:cs="Arial" w:ascii="Bookman Old Style" w:hAnsi="Bookman Old Style"/>
          <w:b/>
          <w:i/>
          <w:iCs/>
          <w:sz w:val="20"/>
          <w:szCs w:val="20"/>
          <w:u w:val="single"/>
        </w:rPr>
        <w:t>4° Solicitar al Departamento de Trabajo Social y Psicología y al Consejo de Administración del Primer Circuito Judicial de la Zona Atlántica informe sobre las soluciones brindadas a efecto de la plaza creada para que brinde el servicio en Bribrí se encuentre radicada en esa zona para el servicio de la población indígena.”</w:t>
      </w:r>
      <w:r>
        <w:rPr>
          <w:rFonts w:cs="Arial" w:ascii="Bookman Old Style" w:hAnsi="Bookman Old Style"/>
          <w:b/>
          <w:i/>
          <w:iCs/>
          <w:sz w:val="20"/>
          <w:szCs w:val="20"/>
        </w:rPr>
        <w:t xml:space="preserve">, </w:t>
      </w:r>
      <w:r>
        <w:rPr>
          <w:rFonts w:cs="Arial" w:ascii="Bookman Old Style" w:hAnsi="Bookman Old Style"/>
          <w:bCs/>
          <w:i/>
          <w:iCs/>
          <w:sz w:val="20"/>
          <w:szCs w:val="20"/>
        </w:rPr>
        <w:t xml:space="preserve">procedo a comunicar lo siguiente. </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 xml:space="preserve">Desde la aprobación presupuestaria para crear en Bribrí el equipo psicosocial (una plaza de trabajo social y una de psicología) en el año 2015, se iniciaron las gestiones con la administración regional del </w:t>
      </w:r>
      <w:bookmarkStart w:id="19" w:name="_Hlk37836873"/>
      <w:r>
        <w:rPr>
          <w:rFonts w:cs="Arial" w:ascii="Bookman Old Style" w:hAnsi="Bookman Old Style"/>
          <w:i/>
          <w:iCs/>
          <w:sz w:val="20"/>
          <w:szCs w:val="20"/>
        </w:rPr>
        <w:t xml:space="preserve">I Circuito Judicial de la Zona Atlántica </w:t>
      </w:r>
      <w:bookmarkEnd w:id="19"/>
      <w:r>
        <w:rPr>
          <w:rFonts w:cs="Arial" w:ascii="Bookman Old Style" w:hAnsi="Bookman Old Style"/>
          <w:i/>
          <w:iCs/>
          <w:sz w:val="20"/>
          <w:szCs w:val="20"/>
        </w:rPr>
        <w:t xml:space="preserve">para que se habilitaran las condiciones de espacio para ubicar ese personal profesional en la región para la que fue creado y la debida atención de las personas usuarias. </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No obstante, dado que no se contaba con las condiciones de infraestructura en Bribrí, se ubicaron temporalmente en la Oficina de Trabajo Social y Psicología en los Tribunales de Limón, como sede para realizar labores administrativas y de redacción de las pericias, mientras que para la atención de las personas usuarias se desplazaban a Bribrí. Ahí el equipo psicosocial mediante coordinaciones con instituciones y organizaciones de la zona logró hacer uso de las instalaciones de estas en calidad de préstamo para realizar las entrevistas y valoraciones, pese a que los espacios no siempre reunían las condiciones ideales para el servicio público. Se atendió a las personas usuarias en espacios de la Iglesia Católica, la Municipalidad, la Caja Costarricense de Seguro Social (oficina de Trabajo Social y la Clínica), el Instituto Nacional de Aprendizaje, las Asociaciones de Desarrollo de los territorios indígenas y escuelas.</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Luego debido a cambios en las condiciones o por la preocupación de estas instancias acerca de eventuales riesgos que pudieran enfrentar al no contar con un respaldo legal del préstamo de sus instalaciones a personal de Poder Judicial para valorar personas usuarias, se fueron limitando las opciones en la zona, por lo que se debió buscar alternativas dentro de los Tribunales de Bribrí, pese a conocer la realidad de carencia de espacio.</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En los Tribunales se han utilizado oficinas de profesionales de la Fiscalía, Defensa Pública y del Organismo de Investigación Judicial (OIJ), quienes han sido muy colaboradores y colaboradoras al ceder por momentos su espacio laboral, algunos que son inclusive compartidos con otra persona, pese a la afectación que para esta representa.</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También se ha coordinado el uso de la sala de juicios de Bribrí, la cual cuenta con mejores condiciones de privacidad, pero no siempre ha sido posible disponer de este recurso por el fin para el cual está destinado. Además, se ha recurrido a solicitar las instalaciones del Juzgado Contravencional, no obstante, ha sido en menor medida, ya que el espacio con que cuenta este despacho es un comedor del personal, que no reúne condiciones adecuadas ni seguridad para las personas usuarias internas y externas, pero que al no existir otra opción se ha atendido en el lugar.</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En su oportunidad se contó además con el apoyo del Lic. Román Marchena Marín, entonces jefe del OIJ del I Circuito Judicial de la Zona Atlántica, quien autorizó el uso de una oficina compartida con el médico forense, no obstante en el mes de febrero del año en curso, el Lic. Diego Castillo Gómez jefatura interina del OIJ de Bribrí, sin previo aviso informó la prohibición de hacer uso de la oficina indicada, por lo que ante esta situación adversa se debió reprogramar las asuntos y/o atender a algunas personas usuarias en Limón, pese a la afectación que implicaba para estas su traslado.</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Por lo anterior, la Licda. Inés Rivera Poveda, coordinadora de la Oficina de Trabajo Social y Psicología de Limón y Bribrí, quien siempre ha realizado los esfuerzos necesarios para la debida atención de la población usuaria, retomó las coordinaciones con el Lic. Cristhian Douglas Campbell, jefe titular del OIJ de Bribrí, solicitando la reconsideración para el uso de la oficina, quien se mostró dispuesto a ceder su oficina personal de forma provisional y para que algunos días el equipo de Trabajo Social y Psicología atendiera los casos agendados, así se acordó detallar las fechas programadas, mismas que le fueron remitidas hasta el mes de julio del año en curso, periodo que se espera se logre encontrar una alternativa de solución.</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Además de lo expuesto, es importante indicar que desde la creación de las plazas y hasta el presente año se ha solicitado y ha sido aprobado en el presupuesto de la Oficina de Trabajo Social y Psicología de Limón, el monto necesario para el alquiler de un inmueble en la zona de Bribrí, no obstante, no se ha hecho efectivo por no existir una oficina con las condiciones necesarias, acorde con lo indicado por la administración regional.</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En el transcurso de estos años la Licda. Inés Rivera ha realizado reuniones con la Licda. Maribel López Bermúdez, administradora del I Circuito Judicial de la Zona Atlántica, para conocer de las posibles alternativas, pero no se ha identificado alguna solución.</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También se ha identificado en el SEVRI de la Oficina el riesgo por la carencia de espacio físico en Bribrí.</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Entre otras gestiones realizadas para que se habilite el espacio en esa zona para el funcionamiento de la Oficina de Trabajo Social y Psicología, la coordinadora ha destacado y hecho de conocimiento la situación al Consejo de Administración del I Circuito Judicial de la Zona Atlántica desde el año 2015 y hasta la fecha, cada vez que se brinda la Rendición de Cuentas, sin que se haya obtenido información o respuesta de alguna diligencia por parte de ese Consejo.</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En síntesis, a 5 años de haberse creado el equipo de Trabajo Social y Psicología de Bribrí, no se ha logrado la instalación del personal ahí, como corresponde por derecho de acceso a la justicia de las personas indígenas de la zona y demás población usuaria, sino que se ha mantenido el recurso humano en sede de la Oficina de Trabajo Social y Psicología en los Tribunales de Limón. Esto implica un desplazamiento de las profesionales de alrededor de hora y media ida y otra hora y media de regreso entre los Tribunales de Limón y Bribrí en transporte público y en vehículo institucional alrededor de una hora ida y una hora de regreso aproximadamente, aunado a las dificultades para realizar las valoraciones sin las condiciones idóneas del espacio y de las herramientas tecnológicas necesarias en el lugar, tales como equipo de cómputo y acceso al expediente digital, entre otros, así que tampoco cuentan con condiciones para realizar ellas su tiempo de almuerzo y otras necesidades que como personas y funcionarias tienen.</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Se adjuntan fotografías de los espacios que se han utilizado para realizar las valoraciones, donde se evidencian las inadecuadas condiciones tanto para las profesionales del equipo psicosocial como para las personas usuarias.</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 xml:space="preserve">De momento no se visualiza solución cercana a la situación planteada, la cual se sale de la capacidad resolutiva de este Departamento, quedando en manos del área administrativa de la institución, pues como se desprende de todo lo expuesto, de nuestra parte, principalmente de la coordinadora de la Oficina regional, se han realizado todas las posibles acciones para que el equipo psicosocial se ubique en Bribrí y no ha sido posible. </w:t>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r>
    </w:p>
    <w:p>
      <w:pPr>
        <w:pStyle w:val="Normal"/>
        <w:spacing w:lineRule="auto" w:line="360"/>
        <w:jc w:val="both"/>
        <w:rPr>
          <w:rFonts w:ascii="Bookman Old Style" w:hAnsi="Bookman Old Style" w:cs="Arial"/>
          <w:i/>
          <w:i/>
          <w:iCs/>
          <w:sz w:val="20"/>
          <w:szCs w:val="20"/>
        </w:rPr>
      </w:pPr>
      <w:r>
        <w:rPr>
          <w:rFonts w:cs="Arial" w:ascii="Bookman Old Style" w:hAnsi="Bookman Old Style"/>
          <w:i/>
          <w:iCs/>
          <w:sz w:val="20"/>
          <w:szCs w:val="20"/>
        </w:rPr>
        <w:t xml:space="preserve">A las órdenes, suscribe, </w:t>
      </w:r>
    </w:p>
    <w:p>
      <w:pPr>
        <w:pStyle w:val="Normal"/>
        <w:jc w:val="center"/>
        <w:rPr>
          <w:rFonts w:ascii="Bookman Old Style" w:hAnsi="Bookman Old Style" w:cs="Arial"/>
          <w:i/>
          <w:i/>
          <w:iCs/>
          <w:sz w:val="20"/>
          <w:szCs w:val="20"/>
        </w:rPr>
      </w:pPr>
      <w:r>
        <w:rPr>
          <w:rFonts w:cs="Arial" w:ascii="Bookman Old Style" w:hAnsi="Bookman Old Style"/>
          <w:i/>
          <w:iCs/>
          <w:sz w:val="20"/>
          <w:szCs w:val="20"/>
        </w:rPr>
      </w:r>
    </w:p>
    <w:p>
      <w:pPr>
        <w:pStyle w:val="Normal"/>
        <w:jc w:val="center"/>
        <w:rPr>
          <w:rFonts w:ascii="Bookman Old Style" w:hAnsi="Bookman Old Style" w:cs="Arial"/>
          <w:i/>
          <w:i/>
          <w:iCs/>
          <w:sz w:val="20"/>
          <w:szCs w:val="20"/>
        </w:rPr>
      </w:pPr>
      <w:r>
        <w:rPr>
          <w:rFonts w:cs="Arial" w:ascii="Bookman Old Style" w:hAnsi="Bookman Old Style"/>
          <w:i/>
          <w:iCs/>
          <w:sz w:val="20"/>
          <w:szCs w:val="20"/>
        </w:rPr>
        <w:t>Atentamente,</w:t>
      </w:r>
    </w:p>
    <w:p>
      <w:pPr>
        <w:pStyle w:val="Normal"/>
        <w:jc w:val="center"/>
        <w:rPr>
          <w:rFonts w:ascii="Bookman Old Style" w:hAnsi="Bookman Old Style" w:cs="Arial"/>
          <w:i/>
          <w:i/>
          <w:iCs/>
          <w:sz w:val="20"/>
          <w:szCs w:val="20"/>
        </w:rPr>
      </w:pPr>
      <w:r>
        <w:rPr>
          <w:rFonts w:cs="Arial" w:ascii="Bookman Old Style" w:hAnsi="Bookman Old Style"/>
          <w:i/>
          <w:iCs/>
          <w:sz w:val="20"/>
          <w:szCs w:val="20"/>
        </w:rPr>
      </w:r>
    </w:p>
    <w:p>
      <w:pPr>
        <w:pStyle w:val="Normal"/>
        <w:jc w:val="center"/>
        <w:rPr>
          <w:rFonts w:ascii="Bookman Old Style" w:hAnsi="Bookman Old Style" w:cs="Arial"/>
          <w:i/>
          <w:i/>
          <w:iCs/>
          <w:sz w:val="20"/>
          <w:szCs w:val="20"/>
        </w:rPr>
      </w:pPr>
      <w:r>
        <w:rPr>
          <w:rFonts w:cs="Arial" w:ascii="Bookman Old Style" w:hAnsi="Bookman Old Style"/>
          <w:i/>
          <w:iCs/>
          <w:sz w:val="20"/>
          <w:szCs w:val="20"/>
        </w:rPr>
      </w:r>
    </w:p>
    <w:p>
      <w:pPr>
        <w:pStyle w:val="Normal"/>
        <w:jc w:val="center"/>
        <w:rPr>
          <w:rFonts w:ascii="Bookman Old Style" w:hAnsi="Bookman Old Style" w:cs="Arial"/>
          <w:i/>
          <w:i/>
          <w:iCs/>
          <w:sz w:val="20"/>
          <w:szCs w:val="20"/>
        </w:rPr>
      </w:pPr>
      <w:r>
        <w:rPr>
          <w:rFonts w:cs="Arial" w:ascii="Bookman Old Style" w:hAnsi="Bookman Old Style"/>
          <w:i/>
          <w:iCs/>
          <w:sz w:val="20"/>
          <w:szCs w:val="20"/>
        </w:rPr>
      </w:r>
    </w:p>
    <w:p>
      <w:pPr>
        <w:pStyle w:val="Normal"/>
        <w:jc w:val="center"/>
        <w:rPr>
          <w:rFonts w:ascii="Bookman Old Style" w:hAnsi="Bookman Old Style" w:cs="Arial"/>
          <w:i/>
          <w:i/>
          <w:iCs/>
          <w:sz w:val="20"/>
          <w:szCs w:val="20"/>
        </w:rPr>
      </w:pPr>
      <w:r>
        <w:rPr>
          <w:rFonts w:cs="Arial" w:ascii="Bookman Old Style" w:hAnsi="Bookman Old Style"/>
          <w:i/>
          <w:iCs/>
          <w:sz w:val="20"/>
          <w:szCs w:val="20"/>
        </w:rPr>
        <w:t>MSc.  Alba Gutiérrez Villalobos</w:t>
      </w:r>
    </w:p>
    <w:p>
      <w:pPr>
        <w:pStyle w:val="Normal"/>
        <w:jc w:val="center"/>
        <w:rPr>
          <w:rFonts w:ascii="Bookman Old Style" w:hAnsi="Bookman Old Style" w:cs="Arial"/>
          <w:i/>
          <w:i/>
          <w:iCs/>
          <w:sz w:val="20"/>
          <w:szCs w:val="20"/>
        </w:rPr>
      </w:pPr>
      <w:r>
        <w:rPr>
          <w:rFonts w:cs="Arial" w:ascii="Bookman Old Style" w:hAnsi="Bookman Old Style"/>
          <w:i/>
          <w:iCs/>
          <w:sz w:val="20"/>
          <w:szCs w:val="20"/>
        </w:rPr>
        <w:t>Jefa, Departamento de Trabajo Social y Psicología</w:t>
      </w:r>
    </w:p>
    <w:p>
      <w:pPr>
        <w:pStyle w:val="Normal"/>
        <w:jc w:val="center"/>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cs="Arial"/>
          <w:b/>
          <w:b/>
          <w:bCs/>
          <w:i/>
          <w:i/>
          <w:iCs/>
          <w:sz w:val="20"/>
          <w:szCs w:val="20"/>
        </w:rPr>
      </w:pPr>
      <w:r>
        <w:rPr>
          <w:rFonts w:cs="Arial" w:ascii="Bookman Old Style" w:hAnsi="Bookman Old Style"/>
          <w:i/>
          <w:iCs/>
          <w:sz w:val="20"/>
          <w:szCs w:val="20"/>
        </w:rPr>
        <w:t>CC. Magistrada Damaris Vargas Vásquez</w:t>
      </w:r>
    </w:p>
    <w:p>
      <w:pPr>
        <w:pStyle w:val="Normal"/>
        <w:ind w:firstLine="420"/>
        <w:jc w:val="both"/>
        <w:rPr>
          <w:rFonts w:ascii="Bookman Old Style" w:hAnsi="Bookman Old Style" w:cs="Arial"/>
          <w:i/>
          <w:i/>
          <w:iCs/>
          <w:sz w:val="20"/>
          <w:szCs w:val="20"/>
        </w:rPr>
      </w:pPr>
      <w:r>
        <w:rPr>
          <w:rFonts w:cs="Arial" w:ascii="Bookman Old Style" w:hAnsi="Bookman Old Style"/>
          <w:i/>
          <w:iCs/>
          <w:sz w:val="20"/>
          <w:szCs w:val="20"/>
        </w:rPr>
        <w:t>Archivo</w:t>
      </w:r>
    </w:p>
    <w:p>
      <w:pPr>
        <w:pStyle w:val="Normal"/>
        <w:jc w:val="both"/>
        <w:rPr>
          <w:rFonts w:ascii="Bookman Old Style" w:hAnsi="Bookman Old Style" w:cs="Arial"/>
          <w:i/>
          <w:i/>
          <w:iCs/>
          <w:sz w:val="20"/>
          <w:szCs w:val="20"/>
        </w:rPr>
      </w:pPr>
      <w:r>
        <w:rPr>
          <w:rFonts w:cs="Arial" w:ascii="Bookman Old Style" w:hAnsi="Bookman Old Style"/>
          <w:i/>
          <w:iCs/>
          <w:sz w:val="20"/>
          <w:szCs w:val="20"/>
        </w:rPr>
      </w:r>
    </w:p>
    <w:p>
      <w:pPr>
        <w:pStyle w:val="Normal"/>
        <w:jc w:val="both"/>
        <w:rPr>
          <w:rFonts w:ascii="Bookman Old Style" w:hAnsi="Bookman Old Style"/>
          <w:b/>
          <w:b/>
          <w:i/>
          <w:i/>
          <w:iCs/>
          <w:sz w:val="20"/>
          <w:szCs w:val="20"/>
          <w:shd w:fill="FFFFFF" w:val="clear"/>
          <w:lang w:val="es-ES_tradnl"/>
        </w:rPr>
      </w:pPr>
      <w:r>
        <w:rPr>
          <w:rFonts w:ascii="Bookman Old Style" w:hAnsi="Bookman Old Style"/>
          <w:b/>
          <w:i/>
          <w:iCs/>
          <w:sz w:val="20"/>
          <w:szCs w:val="20"/>
          <w:shd w:fill="FFFFFF" w:val="clear"/>
          <w:lang w:val="es-ES_tradnl"/>
        </w:rPr>
      </w:r>
    </w:p>
    <w:p>
      <w:pPr>
        <w:pStyle w:val="Normal"/>
        <w:spacing w:lineRule="auto" w:line="360"/>
        <w:jc w:val="both"/>
        <w:rPr>
          <w:rFonts w:ascii="Bookman Old Style" w:hAnsi="Bookman Old Style" w:cs="Tahoma"/>
          <w:color w:val="000000" w:themeColor="text1"/>
          <w:sz w:val="20"/>
          <w:szCs w:val="20"/>
        </w:rPr>
      </w:pPr>
      <w:r>
        <w:rPr>
          <w:rFonts w:cs="Tahoma" w:ascii="Bookman Old Style" w:hAnsi="Bookman Old Style"/>
          <w:color w:val="000000" w:themeColor="text1"/>
          <w:sz w:val="20"/>
          <w:szCs w:val="20"/>
        </w:rPr>
        <w:t>El señor Wilberth Kidd refiere gestionará con la Administración Regional una posible solución a esta problemática; mientras que la señora Ligia Jiménez, representante de la Defensa Pública, refiere a la problemática que la separación de oficinas en Bribri está generando a la Defensa y a las personas usuarias considerando los costos de traslados (varios buses), entre otros.</w:t>
      </w:r>
    </w:p>
    <w:p>
      <w:pPr>
        <w:pStyle w:val="Normal"/>
        <w:spacing w:lineRule="auto" w:line="360"/>
        <w:jc w:val="both"/>
        <w:rPr>
          <w:rFonts w:ascii="Bookman Old Style" w:hAnsi="Bookman Old Style" w:cs="Tahoma"/>
          <w:color w:val="000000" w:themeColor="text1"/>
          <w:sz w:val="20"/>
          <w:szCs w:val="20"/>
        </w:rPr>
      </w:pPr>
      <w:r>
        <w:rPr>
          <w:rFonts w:cs="Tahoma" w:ascii="Bookman Old Style" w:hAnsi="Bookman Old Style"/>
          <w:color w:val="000000" w:themeColor="text1"/>
          <w:sz w:val="20"/>
          <w:szCs w:val="20"/>
        </w:rPr>
      </w:r>
    </w:p>
    <w:p>
      <w:pPr>
        <w:pStyle w:val="Normal"/>
        <w:spacing w:lineRule="auto" w:line="360"/>
        <w:jc w:val="both"/>
        <w:rPr>
          <w:rFonts w:ascii="Bookman Old Style" w:hAnsi="Bookman Old Style" w:cs="Tahoma"/>
          <w:color w:val="000000" w:themeColor="text1"/>
          <w:sz w:val="20"/>
          <w:szCs w:val="20"/>
          <w:lang w:val="es-ES"/>
        </w:rPr>
      </w:pPr>
      <w:r>
        <w:rPr>
          <w:rFonts w:cs="Tahoma" w:ascii="Bookman Old Style" w:hAnsi="Bookman Old Style"/>
          <w:b/>
          <w:bCs/>
          <w:color w:val="000000" w:themeColor="text1"/>
          <w:sz w:val="20"/>
          <w:szCs w:val="20"/>
          <w:u w:val="single"/>
          <w:lang w:val="es-ES"/>
        </w:rPr>
        <w:t>SE ACUERDA</w:t>
      </w:r>
      <w:r>
        <w:rPr>
          <w:rFonts w:cs="Tahoma" w:ascii="Bookman Old Style" w:hAnsi="Bookman Old Style"/>
          <w:color w:val="000000" w:themeColor="text1"/>
          <w:sz w:val="20"/>
          <w:szCs w:val="20"/>
          <w:lang w:val="es-ES"/>
        </w:rPr>
        <w:t>: Se toma nota del oficio. Trasladar la situación expuesta a la Presidencia de la Corte Suprema de Justicia, la Comisión de Construcciones y la Dirección Ejecutiva solicitándoles solución ante la afectación que se está presentando a la población indígena usuaria, y a las personas servidoras judiciales involucradas en la atención de los procesos judiciales. Por la importancia que reviste este acuerdo se declara firme por unanimidad y se dispone comunicarlo por la Unidad de Acceso a la Justicia a la Presidencia de la Corte Suprema de Justicia, Comisión de Construcciones, Dirección Ejecutiva y Departamento de Trabajo Social y Psicología, para lo de su cargo.</w:t>
      </w:r>
    </w:p>
    <w:p>
      <w:pPr>
        <w:pStyle w:val="Normal"/>
        <w:spacing w:lineRule="auto" w:line="360"/>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r>
    </w:p>
    <w:p>
      <w:pPr>
        <w:pStyle w:val="Normal"/>
        <w:spacing w:lineRule="auto" w:line="360"/>
        <w:jc w:val="both"/>
        <w:rPr>
          <w:rFonts w:ascii="Bookman Old Style" w:hAnsi="Bookman Old Style" w:cs="Tahoma"/>
          <w:color w:val="000000" w:themeColor="text1"/>
          <w:sz w:val="20"/>
          <w:szCs w:val="20"/>
          <w:lang w:val="es-ES"/>
        </w:rPr>
      </w:pPr>
      <w:r>
        <w:rPr>
          <w:rFonts w:cs="Tahoma" w:ascii="Bookman Old Style" w:hAnsi="Bookman Old Style"/>
          <w:color w:val="000000" w:themeColor="text1"/>
          <w:sz w:val="20"/>
          <w:szCs w:val="20"/>
          <w:lang w:val="es-ES"/>
        </w:rPr>
        <w:t>Se concluye la sesión al ser las 17 horas 10 minutos.-</w:t>
      </w:r>
    </w:p>
    <w:p>
      <w:pPr>
        <w:pStyle w:val="Normal"/>
        <w:spacing w:lineRule="auto" w:line="360"/>
        <w:jc w:val="both"/>
        <w:rPr>
          <w:rFonts w:ascii="Bookman Old Style" w:hAnsi="Bookman Old Style" w:cs="Tahoma"/>
          <w:color w:val="000000" w:themeColor="text1"/>
          <w:sz w:val="20"/>
          <w:szCs w:val="20"/>
          <w:lang w:val="es-ES"/>
        </w:rPr>
      </w:pPr>
      <w:r>
        <w:rPr/>
      </w:r>
    </w:p>
    <w:sectPr>
      <w:footerReference w:type="default" r:id="rId171"/>
      <w:type w:val="nextPage"/>
      <w:pgSz w:w="12240" w:h="15840"/>
      <w:pgMar w:left="1701" w:right="1701" w:header="0"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Calibri Light">
    <w:charset w:val="00"/>
    <w:family w:val="roman"/>
    <w:pitch w:val="variable"/>
  </w:font>
  <w:font w:name="Tahoma">
    <w:charset w:val="00"/>
    <w:family w:val="roman"/>
    <w:pitch w:val="variable"/>
  </w:font>
  <w:font w:name="Book Antiqua">
    <w:charset w:val="00"/>
    <w:family w:val="roman"/>
    <w:pitch w:val="variable"/>
  </w:font>
  <w:font w:name="Verdana">
    <w:charset w:val="00"/>
    <w:family w:val="roman"/>
    <w:pitch w:val="variable"/>
  </w:font>
  <w:font w:name="Liberation Sans">
    <w:altName w:val="Arial"/>
    <w:charset w:val="00"/>
    <w:family w:val="swiss"/>
    <w:pitch w:val="variable"/>
  </w:font>
  <w:font w:name="Arial">
    <w:charset w:val="00"/>
    <w:family w:val="roman"/>
    <w:pitch w:val="variable"/>
  </w:font>
  <w:font w:name="Trebuchet MS">
    <w:charset w:val="00"/>
    <w:family w:val="roman"/>
    <w:pitch w:val="variable"/>
  </w:font>
  <w:font w:name="Bookman Old Style">
    <w:charset w:val="00"/>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caps/>
        <w:color w:val="4F81BD" w:themeColor="accent1"/>
      </w:rPr>
    </w:pPr>
    <w:r>
      <w:rPr>
        <w:caps/>
        <w:color w:val="4F81BD" w:themeColor="accent1"/>
      </w:rPr>
      <w:fldChar w:fldCharType="begin"/>
    </w:r>
    <w:r>
      <w:rPr>
        <w:caps/>
        <w:color w:val="4F81BD"/>
      </w:rPr>
      <w:instrText> PAGE </w:instrText>
    </w:r>
    <w:r>
      <w:rPr>
        <w:caps/>
        <w:color w:val="4F81BD"/>
      </w:rPr>
      <w:fldChar w:fldCharType="separate"/>
    </w:r>
    <w:r>
      <w:rPr>
        <w:caps/>
        <w:color w:val="4F81BD"/>
      </w:rPr>
      <w:t>84</w:t>
    </w:r>
    <w:r>
      <w:rPr>
        <w:caps/>
        <w:color w:val="4F81BD"/>
      </w:rPr>
      <w:fldChar w:fldCharType="end"/>
    </w:r>
  </w:p>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caps/>
        <w:color w:val="4F81BD" w:themeColor="accent1"/>
      </w:rPr>
    </w:pPr>
    <w:r>
      <w:rPr>
        <w:caps/>
        <w:color w:val="4F81BD" w:themeColor="accent1"/>
      </w:rPr>
      <w:fldChar w:fldCharType="begin"/>
    </w:r>
    <w:r>
      <w:rPr>
        <w:caps/>
        <w:color w:val="4F81BD"/>
      </w:rPr>
      <w:instrText> PAGE </w:instrText>
    </w:r>
    <w:r>
      <w:rPr>
        <w:caps/>
        <w:color w:val="4F81BD"/>
      </w:rPr>
      <w:fldChar w:fldCharType="separate"/>
    </w:r>
    <w:r>
      <w:rPr>
        <w:caps/>
        <w:color w:val="4F81BD"/>
      </w:rPr>
      <w:t>120</w:t>
    </w:r>
    <w:r>
      <w:rPr>
        <w:caps/>
        <w:color w:val="4F81BD"/>
      </w:rPr>
      <w:fldChar w:fldCharType="end"/>
    </w:r>
  </w:p>
  <w:p>
    <w:pPr>
      <w:pStyle w:val="Piedepgin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upperRoman"/>
      <w:lvlText w:val="%1."/>
      <w:lvlJc w:val="left"/>
      <w:pPr>
        <w:tabs>
          <w:tab w:val="num" w:pos="0"/>
        </w:tabs>
        <w:ind w:left="0" w:hanging="0"/>
      </w:pPr>
    </w:lvl>
    <w:lvl w:ilvl="1">
      <w:start w:val="1"/>
      <w:numFmt w:val="lowerLetter"/>
      <w:lvlText w:val="%2."/>
      <w:lvlJc w:val="left"/>
      <w:pPr>
        <w:tabs>
          <w:tab w:val="num" w:pos="0"/>
        </w:tabs>
        <w:ind w:left="720" w:hanging="0"/>
      </w:pPr>
    </w:lvl>
    <w:lvl w:ilvl="2">
      <w:start w:val="1"/>
      <w:numFmt w:val="decimal"/>
      <w:lvlText w:val="%3."/>
      <w:lvlJc w:val="left"/>
      <w:pPr>
        <w:tabs>
          <w:tab w:val="num" w:pos="0"/>
        </w:tabs>
        <w:ind w:left="1440" w:hanging="0"/>
      </w:pPr>
    </w:lvl>
    <w:lvl w:ilvl="3">
      <w:start w:val="1"/>
      <w:numFmt w:val="lowerLetter"/>
      <w:lvlText w:val="%4)"/>
      <w:lvlJc w:val="left"/>
      <w:pPr>
        <w:tabs>
          <w:tab w:val="num" w:pos="0"/>
        </w:tabs>
        <w:ind w:left="2160" w:hanging="0"/>
      </w:pPr>
    </w:lvl>
    <w:lvl w:ilvl="4">
      <w:start w:val="1"/>
      <w:numFmt w:val="decimal"/>
      <w:lvlText w:val="(%5)"/>
      <w:lvlJc w:val="left"/>
      <w:pPr>
        <w:tabs>
          <w:tab w:val="num" w:pos="0"/>
        </w:tabs>
        <w:ind w:left="2880" w:hanging="0"/>
      </w:pPr>
    </w:lvl>
    <w:lvl w:ilvl="5">
      <w:start w:val="1"/>
      <w:numFmt w:val="lowerLetter"/>
      <w:lvlText w:val="(%6)"/>
      <w:lvlJc w:val="left"/>
      <w:pPr>
        <w:tabs>
          <w:tab w:val="num" w:pos="0"/>
        </w:tabs>
        <w:ind w:left="3600" w:hanging="0"/>
      </w:pPr>
    </w:lvl>
    <w:lvl w:ilvl="6">
      <w:start w:val="1"/>
      <w:numFmt w:val="lowerRoman"/>
      <w:lvlText w:val="(%7)"/>
      <w:lvlJc w:val="left"/>
      <w:pPr>
        <w:tabs>
          <w:tab w:val="num" w:pos="0"/>
        </w:tabs>
        <w:ind w:left="4320" w:hanging="0"/>
      </w:pPr>
    </w:lvl>
    <w:lvl w:ilvl="7">
      <w:start w:val="1"/>
      <w:numFmt w:val="lowerLetter"/>
      <w:lvlText w:val="(%8)"/>
      <w:lvlJc w:val="left"/>
      <w:pPr>
        <w:tabs>
          <w:tab w:val="num" w:pos="0"/>
        </w:tabs>
        <w:ind w:left="5040" w:hanging="0"/>
      </w:pPr>
    </w:lvl>
    <w:lvl w:ilvl="8">
      <w:start w:val="1"/>
      <w:numFmt w:val="lowerRoman"/>
      <w:lvlText w:val="(%9)"/>
      <w:lvlJc w:val="left"/>
      <w:pPr>
        <w:tabs>
          <w:tab w:val="num" w:pos="0"/>
        </w:tabs>
        <w:ind w:left="5760" w:hanging="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6"/>
      <w:numFmt w:val="decimal"/>
      <w:lvlText w:val="%1"/>
      <w:lvlJc w:val="left"/>
      <w:pPr>
        <w:tabs>
          <w:tab w:val="num" w:pos="0"/>
        </w:tabs>
        <w:ind w:left="360" w:hanging="360"/>
      </w:pPr>
    </w:lvl>
    <w:lvl w:ilvl="1">
      <w:start w:val="4"/>
      <w:numFmt w:val="decimal"/>
      <w:lvlText w:val="%1.%2"/>
      <w:lvlJc w:val="left"/>
      <w:pPr>
        <w:tabs>
          <w:tab w:val="num" w:pos="0"/>
        </w:tabs>
        <w:ind w:left="967" w:hanging="360"/>
      </w:pPr>
    </w:lvl>
    <w:lvl w:ilvl="2">
      <w:start w:val="1"/>
      <w:numFmt w:val="decimal"/>
      <w:lvlText w:val="%1.%2.%3"/>
      <w:lvlJc w:val="left"/>
      <w:pPr>
        <w:tabs>
          <w:tab w:val="num" w:pos="0"/>
        </w:tabs>
        <w:ind w:left="1934" w:hanging="720"/>
      </w:pPr>
    </w:lvl>
    <w:lvl w:ilvl="3">
      <w:start w:val="1"/>
      <w:numFmt w:val="decimal"/>
      <w:lvlText w:val="%1.%2.%3.%4"/>
      <w:lvlJc w:val="left"/>
      <w:pPr>
        <w:tabs>
          <w:tab w:val="num" w:pos="0"/>
        </w:tabs>
        <w:ind w:left="2541" w:hanging="720"/>
      </w:pPr>
    </w:lvl>
    <w:lvl w:ilvl="4">
      <w:start w:val="1"/>
      <w:numFmt w:val="decimal"/>
      <w:lvlText w:val="%1.%2.%3.%4.%5"/>
      <w:lvlJc w:val="left"/>
      <w:pPr>
        <w:tabs>
          <w:tab w:val="num" w:pos="0"/>
        </w:tabs>
        <w:ind w:left="3508" w:hanging="1080"/>
      </w:pPr>
    </w:lvl>
    <w:lvl w:ilvl="5">
      <w:start w:val="1"/>
      <w:numFmt w:val="decimal"/>
      <w:lvlText w:val="%1.%2.%3.%4.%5.%6"/>
      <w:lvlJc w:val="left"/>
      <w:pPr>
        <w:tabs>
          <w:tab w:val="num" w:pos="0"/>
        </w:tabs>
        <w:ind w:left="4115" w:hanging="1080"/>
      </w:pPr>
    </w:lvl>
    <w:lvl w:ilvl="6">
      <w:start w:val="1"/>
      <w:numFmt w:val="decimal"/>
      <w:lvlText w:val="%1.%2.%3.%4.%5.%6.%7"/>
      <w:lvlJc w:val="left"/>
      <w:pPr>
        <w:tabs>
          <w:tab w:val="num" w:pos="0"/>
        </w:tabs>
        <w:ind w:left="5082" w:hanging="1440"/>
      </w:pPr>
    </w:lvl>
    <w:lvl w:ilvl="7">
      <w:start w:val="1"/>
      <w:numFmt w:val="decimal"/>
      <w:lvlText w:val="%1.%2.%3.%4.%5.%6.%7.%8"/>
      <w:lvlJc w:val="left"/>
      <w:pPr>
        <w:tabs>
          <w:tab w:val="num" w:pos="0"/>
        </w:tabs>
        <w:ind w:left="6049" w:hanging="1800"/>
      </w:pPr>
    </w:lvl>
    <w:lvl w:ilvl="8">
      <w:start w:val="1"/>
      <w:numFmt w:val="decimal"/>
      <w:lvlText w:val="%1.%2.%3.%4.%5.%6.%7.%8.%9"/>
      <w:lvlJc w:val="left"/>
      <w:pPr>
        <w:tabs>
          <w:tab w:val="num" w:pos="0"/>
        </w:tabs>
        <w:ind w:left="6656" w:hanging="1800"/>
      </w:p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6"/>
      <w:numFmt w:val="decimal"/>
      <w:lvlText w:val="%1"/>
      <w:lvlJc w:val="left"/>
      <w:pPr>
        <w:tabs>
          <w:tab w:val="num" w:pos="0"/>
        </w:tabs>
        <w:ind w:left="360" w:hanging="360"/>
      </w:pPr>
    </w:lvl>
    <w:lvl w:ilvl="1">
      <w:start w:val="1"/>
      <w:numFmt w:val="decimal"/>
      <w:lvlText w:val="%1.%2"/>
      <w:lvlJc w:val="left"/>
      <w:pPr>
        <w:tabs>
          <w:tab w:val="num" w:pos="0"/>
        </w:tabs>
        <w:ind w:left="607" w:hanging="360"/>
      </w:pPr>
    </w:lvl>
    <w:lvl w:ilvl="2">
      <w:start w:val="1"/>
      <w:numFmt w:val="decimal"/>
      <w:lvlText w:val="%1.%2.%3"/>
      <w:lvlJc w:val="left"/>
      <w:pPr>
        <w:tabs>
          <w:tab w:val="num" w:pos="0"/>
        </w:tabs>
        <w:ind w:left="1214" w:hanging="720"/>
      </w:pPr>
    </w:lvl>
    <w:lvl w:ilvl="3">
      <w:start w:val="1"/>
      <w:numFmt w:val="decimal"/>
      <w:lvlText w:val="%1.%2.%3.%4"/>
      <w:lvlJc w:val="left"/>
      <w:pPr>
        <w:tabs>
          <w:tab w:val="num" w:pos="0"/>
        </w:tabs>
        <w:ind w:left="1461" w:hanging="720"/>
      </w:pPr>
    </w:lvl>
    <w:lvl w:ilvl="4">
      <w:start w:val="1"/>
      <w:numFmt w:val="decimal"/>
      <w:lvlText w:val="%1.%2.%3.%4.%5"/>
      <w:lvlJc w:val="left"/>
      <w:pPr>
        <w:tabs>
          <w:tab w:val="num" w:pos="0"/>
        </w:tabs>
        <w:ind w:left="2068" w:hanging="1080"/>
      </w:pPr>
    </w:lvl>
    <w:lvl w:ilvl="5">
      <w:start w:val="1"/>
      <w:numFmt w:val="decimal"/>
      <w:lvlText w:val="%1.%2.%3.%4.%5.%6"/>
      <w:lvlJc w:val="left"/>
      <w:pPr>
        <w:tabs>
          <w:tab w:val="num" w:pos="0"/>
        </w:tabs>
        <w:ind w:left="2315" w:hanging="1080"/>
      </w:pPr>
    </w:lvl>
    <w:lvl w:ilvl="6">
      <w:start w:val="1"/>
      <w:numFmt w:val="decimal"/>
      <w:lvlText w:val="%1.%2.%3.%4.%5.%6.%7"/>
      <w:lvlJc w:val="left"/>
      <w:pPr>
        <w:tabs>
          <w:tab w:val="num" w:pos="0"/>
        </w:tabs>
        <w:ind w:left="2922" w:hanging="1440"/>
      </w:pPr>
    </w:lvl>
    <w:lvl w:ilvl="7">
      <w:start w:val="1"/>
      <w:numFmt w:val="decimal"/>
      <w:lvlText w:val="%1.%2.%3.%4.%5.%6.%7.%8"/>
      <w:lvlJc w:val="left"/>
      <w:pPr>
        <w:tabs>
          <w:tab w:val="num" w:pos="0"/>
        </w:tabs>
        <w:ind w:left="3529" w:hanging="1800"/>
      </w:pPr>
    </w:lvl>
    <w:lvl w:ilvl="8">
      <w:start w:val="1"/>
      <w:numFmt w:val="decimal"/>
      <w:lvlText w:val="%1.%2.%3.%4.%5.%6.%7.%8.%9"/>
      <w:lvlJc w:val="left"/>
      <w:pPr>
        <w:tabs>
          <w:tab w:val="num" w:pos="0"/>
        </w:tabs>
        <w:ind w:left="3776" w:hanging="1800"/>
      </w:pPr>
    </w:lvl>
  </w:abstractNum>
  <w:abstractNum w:abstractNumId="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20"/>
    <w:lvlOverride w:ilvl="0">
      <w:startOverride w:val="1"/>
    </w:lvlOverride>
  </w:num>
  <w:num w:numId="37">
    <w:abstractNumId w:val="10"/>
    <w:lvlOverride w:ilvl="0">
      <w:startOverride w:val="1"/>
    </w:lvlOverride>
  </w:num>
  <w:num w:numId="38">
    <w:abstractNumId w:val="10"/>
  </w:num>
  <w:num w:numId="39">
    <w:abstractNumId w:val="10"/>
    <w:lvlOverride w:ilvl="0">
      <w:startOverride w:val="1"/>
    </w:lvlOverride>
  </w:num>
  <w:num w:numId="40">
    <w:abstractNumId w:val="10"/>
    <w:lvlOverride w:ilvl="0">
      <w:startOverride w:val="1"/>
    </w:lvlOverride>
  </w:num>
  <w:num w:numId="41">
    <w:abstractNumId w:val="10"/>
  </w:num>
  <w:num w:numId="42">
    <w:abstractNumId w:val="10"/>
    <w:lvlOverride w:ilvl="0">
      <w:startOverride w:val="1"/>
    </w:lvlOverride>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1f23"/>
    <w:pPr>
      <w:widowControl/>
      <w:bidi w:val="0"/>
      <w:spacing w:lineRule="auto" w:line="240" w:before="0" w:after="0"/>
      <w:jc w:val="left"/>
    </w:pPr>
    <w:rPr>
      <w:rFonts w:ascii="Times New Roman" w:hAnsi="Times New Roman" w:eastAsia="Times New Roman" w:cs="Times New Roman"/>
      <w:color w:val="auto"/>
      <w:kern w:val="0"/>
      <w:sz w:val="24"/>
      <w:szCs w:val="24"/>
      <w:lang w:eastAsia="es-CR" w:val="es-CR" w:bidi="ar-SA"/>
    </w:rPr>
  </w:style>
  <w:style w:type="paragraph" w:styleId="Ttulo1">
    <w:name w:val="Heading 1"/>
    <w:basedOn w:val="Normal"/>
    <w:next w:val="Normal"/>
    <w:link w:val="Ttulo1Car"/>
    <w:uiPriority w:val="9"/>
    <w:qFormat/>
    <w:rsid w:val="00000b08"/>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tulo2">
    <w:name w:val="Heading 2"/>
    <w:basedOn w:val="Normal"/>
    <w:next w:val="Normal"/>
    <w:link w:val="Ttulo2Car"/>
    <w:uiPriority w:val="9"/>
    <w:unhideWhenUsed/>
    <w:qFormat/>
    <w:rsid w:val="00a21881"/>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next w:val="Normal"/>
    <w:link w:val="Ttulo3Car"/>
    <w:uiPriority w:val="9"/>
    <w:unhideWhenUsed/>
    <w:qFormat/>
    <w:rsid w:val="00a21881"/>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4">
    <w:name w:val="Heading 4"/>
    <w:basedOn w:val="Normal"/>
    <w:next w:val="Normal"/>
    <w:link w:val="Ttulo4Car"/>
    <w:uiPriority w:val="9"/>
    <w:semiHidden/>
    <w:unhideWhenUsed/>
    <w:qFormat/>
    <w:rsid w:val="00000b08"/>
    <w:pPr>
      <w:keepNext w:val="true"/>
      <w:spacing w:lineRule="auto" w:line="360" w:before="240" w:after="60"/>
      <w:ind w:left="2160" w:hanging="0"/>
      <w:jc w:val="both"/>
      <w:outlineLvl w:val="3"/>
    </w:pPr>
    <w:rPr>
      <w:rFonts w:ascii="Calibri" w:hAnsi="Calibri"/>
      <w:b/>
      <w:bCs/>
      <w:sz w:val="28"/>
      <w:szCs w:val="28"/>
      <w:lang w:val="x-none"/>
    </w:rPr>
  </w:style>
  <w:style w:type="paragraph" w:styleId="Ttulo5">
    <w:name w:val="Heading 5"/>
    <w:basedOn w:val="Normal"/>
    <w:next w:val="Normal"/>
    <w:link w:val="Ttulo5Car"/>
    <w:uiPriority w:val="9"/>
    <w:unhideWhenUsed/>
    <w:qFormat/>
    <w:rsid w:val="00000b08"/>
    <w:pPr>
      <w:spacing w:lineRule="auto" w:line="360" w:before="240" w:after="60"/>
      <w:ind w:left="2880" w:hanging="0"/>
      <w:jc w:val="both"/>
      <w:outlineLvl w:val="4"/>
    </w:pPr>
    <w:rPr>
      <w:rFonts w:ascii="Calibri" w:hAnsi="Calibri"/>
      <w:b/>
      <w:bCs/>
      <w:i/>
      <w:iCs/>
      <w:sz w:val="26"/>
      <w:szCs w:val="26"/>
      <w:lang w:val="x-none"/>
    </w:rPr>
  </w:style>
  <w:style w:type="paragraph" w:styleId="Ttulo6">
    <w:name w:val="Heading 6"/>
    <w:basedOn w:val="Normal"/>
    <w:next w:val="Normal"/>
    <w:link w:val="Ttulo6Car"/>
    <w:uiPriority w:val="9"/>
    <w:semiHidden/>
    <w:unhideWhenUsed/>
    <w:qFormat/>
    <w:rsid w:val="00000b08"/>
    <w:pPr>
      <w:spacing w:lineRule="auto" w:line="360" w:before="240" w:after="60"/>
      <w:ind w:left="3600" w:hanging="0"/>
      <w:jc w:val="both"/>
      <w:outlineLvl w:val="5"/>
    </w:pPr>
    <w:rPr>
      <w:rFonts w:ascii="Calibri" w:hAnsi="Calibri"/>
      <w:b/>
      <w:bCs/>
      <w:lang w:val="x-none"/>
    </w:rPr>
  </w:style>
  <w:style w:type="paragraph" w:styleId="Ttulo7">
    <w:name w:val="Heading 7"/>
    <w:basedOn w:val="Normal"/>
    <w:next w:val="Normal"/>
    <w:link w:val="Ttulo7Car"/>
    <w:uiPriority w:val="9"/>
    <w:semiHidden/>
    <w:unhideWhenUsed/>
    <w:qFormat/>
    <w:rsid w:val="003f653d"/>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paragraph" w:styleId="Ttulo8">
    <w:name w:val="Heading 8"/>
    <w:basedOn w:val="Normal"/>
    <w:next w:val="Normal"/>
    <w:link w:val="Ttulo8Car"/>
    <w:uiPriority w:val="9"/>
    <w:semiHidden/>
    <w:unhideWhenUsed/>
    <w:qFormat/>
    <w:rsid w:val="00000b08"/>
    <w:pPr>
      <w:spacing w:lineRule="auto" w:line="360" w:before="240" w:after="60"/>
      <w:ind w:left="5040" w:hanging="0"/>
      <w:jc w:val="both"/>
      <w:outlineLvl w:val="7"/>
    </w:pPr>
    <w:rPr>
      <w:rFonts w:ascii="Calibri" w:hAnsi="Calibri"/>
      <w:i/>
      <w:iCs/>
      <w:lang w:val="x-none"/>
    </w:rPr>
  </w:style>
  <w:style w:type="paragraph" w:styleId="Ttulo9">
    <w:name w:val="Heading 9"/>
    <w:basedOn w:val="Normal"/>
    <w:next w:val="Normal"/>
    <w:link w:val="Ttulo9Car"/>
    <w:uiPriority w:val="9"/>
    <w:semiHidden/>
    <w:unhideWhenUsed/>
    <w:qFormat/>
    <w:rsid w:val="00000b08"/>
    <w:pPr>
      <w:spacing w:lineRule="auto" w:line="360" w:before="240" w:after="60"/>
      <w:ind w:left="5760" w:hanging="0"/>
      <w:jc w:val="both"/>
      <w:outlineLvl w:val="8"/>
    </w:pPr>
    <w:rPr>
      <w:rFonts w:ascii="Calibri Light" w:hAnsi="Calibri Light"/>
      <w:lang w:val="x-none"/>
    </w:rPr>
  </w:style>
  <w:style w:type="character" w:styleId="DefaultParagraphFont" w:default="1">
    <w:name w:val="Default Paragraph Font"/>
    <w:uiPriority w:val="1"/>
    <w:semiHidden/>
    <w:unhideWhenUsed/>
    <w:qFormat/>
    <w:rPr/>
  </w:style>
  <w:style w:type="character" w:styleId="Ttulo7Car" w:customStyle="1">
    <w:name w:val="Título 7 Car"/>
    <w:basedOn w:val="DefaultParagraphFont"/>
    <w:link w:val="Ttulo7"/>
    <w:uiPriority w:val="9"/>
    <w:semiHidden/>
    <w:qFormat/>
    <w:rsid w:val="003f653d"/>
    <w:rPr>
      <w:rFonts w:ascii="Cambria" w:hAnsi="Cambria" w:eastAsia="" w:cs="" w:asciiTheme="majorHAnsi" w:cstheme="majorBidi" w:eastAsiaTheme="majorEastAsia" w:hAnsiTheme="majorHAnsi"/>
      <w:i/>
      <w:iCs/>
      <w:color w:val="404040" w:themeColor="text1" w:themeTint="bf"/>
    </w:rPr>
  </w:style>
  <w:style w:type="character" w:styleId="Strong">
    <w:name w:val="Strong"/>
    <w:basedOn w:val="DefaultParagraphFont"/>
    <w:uiPriority w:val="22"/>
    <w:qFormat/>
    <w:rsid w:val="003f653d"/>
    <w:rPr>
      <w:b/>
      <w:bCs/>
    </w:rPr>
  </w:style>
  <w:style w:type="character" w:styleId="EncabezadoCar" w:customStyle="1">
    <w:name w:val="Encabezado Car"/>
    <w:basedOn w:val="DefaultParagraphFont"/>
    <w:link w:val="Encabezado"/>
    <w:qFormat/>
    <w:rsid w:val="009a6945"/>
    <w:rPr/>
  </w:style>
  <w:style w:type="character" w:styleId="NormalWebCar" w:customStyle="1">
    <w:name w:val="Normal (Web) Car"/>
    <w:link w:val="NormalWeb"/>
    <w:uiPriority w:val="99"/>
    <w:qFormat/>
    <w:locked/>
    <w:rsid w:val="009a6945"/>
    <w:rPr>
      <w:rFonts w:ascii="Times New Roman" w:hAnsi="Times New Roman" w:cs="Times New Roman"/>
      <w:sz w:val="24"/>
      <w:szCs w:val="24"/>
      <w:lang w:eastAsia="es-CR"/>
    </w:rPr>
  </w:style>
  <w:style w:type="character" w:styleId="TextoindependienteCar" w:customStyle="1">
    <w:name w:val="Texto independiente Car"/>
    <w:basedOn w:val="DefaultParagraphFont"/>
    <w:link w:val="Textoindependiente"/>
    <w:uiPriority w:val="99"/>
    <w:qFormat/>
    <w:rsid w:val="009a6945"/>
    <w:rPr>
      <w:rFonts w:ascii="Calibri Light" w:hAnsi="Calibri Light" w:eastAsia="Calibri Light" w:cs="Calibri Light"/>
      <w:sz w:val="24"/>
      <w:szCs w:val="24"/>
      <w:lang w:val="es-ES" w:eastAsia="es-ES" w:bidi="es-ES"/>
    </w:rPr>
  </w:style>
  <w:style w:type="character" w:styleId="EnlacedeInternet">
    <w:name w:val="Enlace de Internet"/>
    <w:uiPriority w:val="99"/>
    <w:rsid w:val="009a6945"/>
    <w:rPr>
      <w:color w:val="000080"/>
      <w:u w:val="single"/>
    </w:rPr>
  </w:style>
  <w:style w:type="character" w:styleId="PiedepginaCar" w:customStyle="1">
    <w:name w:val="Pie de página Car"/>
    <w:basedOn w:val="DefaultParagraphFont"/>
    <w:link w:val="Piedepgina"/>
    <w:uiPriority w:val="99"/>
    <w:qFormat/>
    <w:rsid w:val="00a21881"/>
    <w:rPr/>
  </w:style>
  <w:style w:type="character" w:styleId="Ttulo3Car" w:customStyle="1">
    <w:name w:val="Título 3 Car"/>
    <w:basedOn w:val="DefaultParagraphFont"/>
    <w:link w:val="Ttulo3"/>
    <w:uiPriority w:val="9"/>
    <w:qFormat/>
    <w:rsid w:val="00a21881"/>
    <w:rPr>
      <w:rFonts w:ascii="Cambria" w:hAnsi="Cambria" w:eastAsia="" w:cs="" w:asciiTheme="majorHAnsi" w:cstheme="majorBidi" w:eastAsiaTheme="majorEastAsia" w:hAnsiTheme="majorHAnsi"/>
      <w:b/>
      <w:bCs/>
      <w:color w:val="4F81BD" w:themeColor="accent1"/>
    </w:rPr>
  </w:style>
  <w:style w:type="character" w:styleId="Ttulo2Car" w:customStyle="1">
    <w:name w:val="Título 2 Car"/>
    <w:basedOn w:val="DefaultParagraphFont"/>
    <w:link w:val="Ttulo2"/>
    <w:uiPriority w:val="9"/>
    <w:qFormat/>
    <w:rsid w:val="00a21881"/>
    <w:rPr>
      <w:rFonts w:ascii="Cambria" w:hAnsi="Cambria" w:eastAsia="" w:cs="" w:asciiTheme="majorHAnsi" w:cstheme="majorBidi" w:eastAsiaTheme="majorEastAsia" w:hAnsiTheme="majorHAnsi"/>
      <w:b/>
      <w:bCs/>
      <w:color w:val="4F81BD" w:themeColor="accent1"/>
      <w:sz w:val="26"/>
      <w:szCs w:val="26"/>
    </w:rPr>
  </w:style>
  <w:style w:type="character" w:styleId="TextodegloboCar" w:customStyle="1">
    <w:name w:val="Texto de globo Car"/>
    <w:basedOn w:val="DefaultParagraphFont"/>
    <w:link w:val="Textodeglobo"/>
    <w:uiPriority w:val="99"/>
    <w:semiHidden/>
    <w:qFormat/>
    <w:rsid w:val="00487961"/>
    <w:rPr>
      <w:rFonts w:ascii="Tahoma" w:hAnsi="Tahoma" w:cs="Tahoma"/>
      <w:sz w:val="16"/>
      <w:szCs w:val="16"/>
    </w:rPr>
  </w:style>
  <w:style w:type="character" w:styleId="EnlacedeInternetvisitado">
    <w:name w:val="Enlace de Internet visitado"/>
    <w:basedOn w:val="DefaultParagraphFont"/>
    <w:uiPriority w:val="99"/>
    <w:semiHidden/>
    <w:unhideWhenUsed/>
    <w:rsid w:val="00e179c7"/>
    <w:rPr>
      <w:color w:val="800080"/>
      <w:u w:val="single"/>
    </w:rPr>
  </w:style>
  <w:style w:type="character" w:styleId="Xmsohyperlink" w:customStyle="1">
    <w:name w:val="x_msohyperlink"/>
    <w:basedOn w:val="DefaultParagraphFont"/>
    <w:qFormat/>
    <w:rsid w:val="00e179c7"/>
    <w:rPr>
      <w:color w:val="0000FF"/>
      <w:u w:val="single"/>
    </w:rPr>
  </w:style>
  <w:style w:type="character" w:styleId="Xmsohyperlinkfollowed" w:customStyle="1">
    <w:name w:val="x_msohyperlinkfollowed"/>
    <w:basedOn w:val="DefaultParagraphFont"/>
    <w:qFormat/>
    <w:rsid w:val="00e179c7"/>
    <w:rPr>
      <w:color w:val="800080"/>
      <w:u w:val="single"/>
    </w:rPr>
  </w:style>
  <w:style w:type="character" w:styleId="Xestilocorreo23" w:customStyle="1">
    <w:name w:val="x_estilocorreo23"/>
    <w:basedOn w:val="DefaultParagraphFont"/>
    <w:qFormat/>
    <w:rsid w:val="00e179c7"/>
    <w:rPr>
      <w:rFonts w:ascii="Calibri" w:hAnsi="Calibri" w:cs="Calibri"/>
      <w:color w:val="auto"/>
    </w:rPr>
  </w:style>
  <w:style w:type="character" w:styleId="Estilocorreo27" w:customStyle="1">
    <w:name w:val="estilocorreo27"/>
    <w:basedOn w:val="DefaultParagraphFont"/>
    <w:semiHidden/>
    <w:qFormat/>
    <w:rsid w:val="00e179c7"/>
    <w:rPr>
      <w:rFonts w:ascii="Calibri" w:hAnsi="Calibri" w:cs="Calibri"/>
      <w:color w:val="auto"/>
    </w:rPr>
  </w:style>
  <w:style w:type="character" w:styleId="Estilocorreo28" w:customStyle="1">
    <w:name w:val="estilocorreo28"/>
    <w:basedOn w:val="DefaultParagraphFont"/>
    <w:semiHidden/>
    <w:qFormat/>
    <w:rsid w:val="00e179c7"/>
    <w:rPr>
      <w:rFonts w:ascii="Calibri" w:hAnsi="Calibri" w:cs="Calibri"/>
      <w:color w:val="auto"/>
    </w:rPr>
  </w:style>
  <w:style w:type="character" w:styleId="Estilocorreo31" w:customStyle="1">
    <w:name w:val="estilocorreo31"/>
    <w:basedOn w:val="DefaultParagraphFont"/>
    <w:semiHidden/>
    <w:qFormat/>
    <w:rsid w:val="00e179c7"/>
    <w:rPr>
      <w:rFonts w:ascii="Calibri" w:hAnsi="Calibri" w:eastAsia="Calibri" w:cs="" w:asciiTheme="minorHAnsi" w:cstheme="minorBidi" w:eastAsiaTheme="minorHAnsi" w:hAnsiTheme="minorHAnsi"/>
      <w:color w:val="auto"/>
      <w:sz w:val="22"/>
      <w:szCs w:val="22"/>
    </w:rPr>
  </w:style>
  <w:style w:type="character" w:styleId="Ancladenotaalpie" w:customStyle="1">
    <w:name w:val="Ancla de nota al pie"/>
    <w:basedOn w:val="DefaultParagraphFont"/>
    <w:uiPriority w:val="99"/>
    <w:rsid w:val="00495783"/>
    <w:rPr>
      <w:vertAlign w:val="superscript"/>
    </w:rPr>
  </w:style>
  <w:style w:type="character" w:styleId="FootnoteCharacters">
    <w:name w:val="Footnote Characters"/>
    <w:unhideWhenUsed/>
    <w:qFormat/>
    <w:rsid w:val="00000b08"/>
    <w:rPr>
      <w:vertAlign w:val="superscript"/>
    </w:rPr>
  </w:style>
  <w:style w:type="character" w:styleId="Caracteresdenotaalpie" w:customStyle="1">
    <w:name w:val="Caracteres de nota al pie"/>
    <w:basedOn w:val="DefaultParagraphFont"/>
    <w:uiPriority w:val="99"/>
    <w:qFormat/>
    <w:rsid w:val="00495783"/>
    <w:rPr>
      <w:vertAlign w:val="superscript"/>
    </w:rPr>
  </w:style>
  <w:style w:type="character" w:styleId="Ttulo1Car" w:customStyle="1">
    <w:name w:val="Título 1 Car"/>
    <w:basedOn w:val="DefaultParagraphFont"/>
    <w:link w:val="Ttulo1"/>
    <w:uiPriority w:val="9"/>
    <w:qFormat/>
    <w:rsid w:val="00000b08"/>
    <w:rPr>
      <w:rFonts w:ascii="Cambria" w:hAnsi="Cambria" w:eastAsia="" w:cs="" w:asciiTheme="majorHAnsi" w:cstheme="majorBidi" w:eastAsiaTheme="majorEastAsia" w:hAnsiTheme="majorHAnsi"/>
      <w:color w:val="365F91" w:themeColor="accent1" w:themeShade="bf"/>
      <w:sz w:val="32"/>
      <w:szCs w:val="32"/>
    </w:rPr>
  </w:style>
  <w:style w:type="character" w:styleId="Ttulo4Car" w:customStyle="1">
    <w:name w:val="Título 4 Car"/>
    <w:basedOn w:val="DefaultParagraphFont"/>
    <w:link w:val="Ttulo4"/>
    <w:uiPriority w:val="9"/>
    <w:semiHidden/>
    <w:qFormat/>
    <w:rsid w:val="00000b08"/>
    <w:rPr>
      <w:rFonts w:ascii="Calibri" w:hAnsi="Calibri" w:eastAsia="Times New Roman" w:cs="Times New Roman"/>
      <w:b/>
      <w:bCs/>
      <w:sz w:val="28"/>
      <w:szCs w:val="28"/>
      <w:lang w:val="x-none"/>
    </w:rPr>
  </w:style>
  <w:style w:type="character" w:styleId="Ttulo5Car" w:customStyle="1">
    <w:name w:val="Título 5 Car"/>
    <w:basedOn w:val="DefaultParagraphFont"/>
    <w:link w:val="Ttulo5"/>
    <w:uiPriority w:val="9"/>
    <w:qFormat/>
    <w:rsid w:val="00000b08"/>
    <w:rPr>
      <w:rFonts w:ascii="Calibri" w:hAnsi="Calibri" w:eastAsia="Times New Roman" w:cs="Times New Roman"/>
      <w:b/>
      <w:bCs/>
      <w:i/>
      <w:iCs/>
      <w:sz w:val="26"/>
      <w:szCs w:val="26"/>
      <w:lang w:val="x-none"/>
    </w:rPr>
  </w:style>
  <w:style w:type="character" w:styleId="Ttulo6Car" w:customStyle="1">
    <w:name w:val="Título 6 Car"/>
    <w:basedOn w:val="DefaultParagraphFont"/>
    <w:link w:val="Ttulo6"/>
    <w:uiPriority w:val="9"/>
    <w:semiHidden/>
    <w:qFormat/>
    <w:rsid w:val="00000b08"/>
    <w:rPr>
      <w:rFonts w:ascii="Calibri" w:hAnsi="Calibri" w:eastAsia="Times New Roman" w:cs="Times New Roman"/>
      <w:b/>
      <w:bCs/>
      <w:sz w:val="24"/>
      <w:lang w:val="x-none"/>
    </w:rPr>
  </w:style>
  <w:style w:type="character" w:styleId="Ttulo8Car" w:customStyle="1">
    <w:name w:val="Título 8 Car"/>
    <w:basedOn w:val="DefaultParagraphFont"/>
    <w:link w:val="Ttulo8"/>
    <w:uiPriority w:val="9"/>
    <w:semiHidden/>
    <w:qFormat/>
    <w:rsid w:val="00000b08"/>
    <w:rPr>
      <w:rFonts w:ascii="Calibri" w:hAnsi="Calibri" w:eastAsia="Times New Roman" w:cs="Times New Roman"/>
      <w:i/>
      <w:iCs/>
      <w:sz w:val="24"/>
      <w:szCs w:val="24"/>
      <w:lang w:val="x-none"/>
    </w:rPr>
  </w:style>
  <w:style w:type="character" w:styleId="Ttulo9Car" w:customStyle="1">
    <w:name w:val="Título 9 Car"/>
    <w:basedOn w:val="DefaultParagraphFont"/>
    <w:link w:val="Ttulo9"/>
    <w:uiPriority w:val="9"/>
    <w:semiHidden/>
    <w:qFormat/>
    <w:rsid w:val="00000b08"/>
    <w:rPr>
      <w:rFonts w:ascii="Calibri Light" w:hAnsi="Calibri Light" w:eastAsia="Times New Roman" w:cs="Times New Roman"/>
      <w:sz w:val="24"/>
      <w:lang w:val="x-none"/>
    </w:rPr>
  </w:style>
  <w:style w:type="character" w:styleId="Pagenumber">
    <w:name w:val="page number"/>
    <w:basedOn w:val="DefaultParagraphFont"/>
    <w:qFormat/>
    <w:rsid w:val="00000b08"/>
    <w:rPr/>
  </w:style>
  <w:style w:type="character" w:styleId="Textoindependiente2Car" w:customStyle="1">
    <w:name w:val="Texto independiente 2 Car"/>
    <w:basedOn w:val="DefaultParagraphFont"/>
    <w:link w:val="Textoindependiente2"/>
    <w:qFormat/>
    <w:rsid w:val="00000b08"/>
    <w:rPr>
      <w:rFonts w:ascii="Book Antiqua" w:hAnsi="Book Antiqua" w:eastAsia="Times New Roman" w:cs="Times New Roman"/>
      <w:sz w:val="24"/>
      <w:szCs w:val="24"/>
      <w:lang w:val="es-ES" w:eastAsia="es-ES"/>
    </w:rPr>
  </w:style>
  <w:style w:type="character" w:styleId="TextonotapieCar" w:customStyle="1">
    <w:name w:val="Texto nota pie Car"/>
    <w:basedOn w:val="DefaultParagraphFont"/>
    <w:link w:val="Textonotapie"/>
    <w:uiPriority w:val="99"/>
    <w:qFormat/>
    <w:rsid w:val="00000b08"/>
    <w:rPr>
      <w:rFonts w:ascii="Calibri" w:hAnsi="Calibri" w:eastAsia="Calibri" w:cs="Times New Roman"/>
      <w:sz w:val="20"/>
      <w:szCs w:val="20"/>
      <w:lang w:val="x-none"/>
    </w:rPr>
  </w:style>
  <w:style w:type="character" w:styleId="TextocomentarioCar" w:customStyle="1">
    <w:name w:val="Texto comentario Car"/>
    <w:basedOn w:val="DefaultParagraphFont"/>
    <w:link w:val="Textocomentario"/>
    <w:qFormat/>
    <w:rsid w:val="00000b08"/>
    <w:rPr>
      <w:rFonts w:ascii="Calibri" w:hAnsi="Calibri" w:eastAsia="Calibri" w:cs="Times New Roman"/>
      <w:sz w:val="20"/>
      <w:szCs w:val="20"/>
      <w:lang w:val="x-none"/>
    </w:rPr>
  </w:style>
  <w:style w:type="character" w:styleId="AsuntodelcomentarioCar" w:customStyle="1">
    <w:name w:val="Asunto del comentario Car"/>
    <w:basedOn w:val="TextocomentarioCar"/>
    <w:link w:val="Asuntodelcomentario"/>
    <w:uiPriority w:val="99"/>
    <w:semiHidden/>
    <w:qFormat/>
    <w:rsid w:val="00000b08"/>
    <w:rPr>
      <w:rFonts w:ascii="Calibri" w:hAnsi="Calibri" w:eastAsia="Calibri" w:cs="Times New Roman"/>
      <w:b/>
      <w:bCs/>
      <w:sz w:val="20"/>
      <w:szCs w:val="20"/>
      <w:lang w:val="x-none"/>
    </w:rPr>
  </w:style>
  <w:style w:type="character" w:styleId="St1" w:customStyle="1">
    <w:name w:val="st1"/>
    <w:qFormat/>
    <w:rsid w:val="00000b08"/>
    <w:rPr/>
  </w:style>
  <w:style w:type="character" w:styleId="Destacado">
    <w:name w:val="Destacado"/>
    <w:uiPriority w:val="20"/>
    <w:qFormat/>
    <w:rsid w:val="00000b08"/>
    <w:rPr>
      <w:b/>
      <w:bCs/>
      <w:i w:val="false"/>
      <w:iCs w:val="false"/>
    </w:rPr>
  </w:style>
  <w:style w:type="character" w:styleId="TtuloCar" w:customStyle="1">
    <w:name w:val="Título Car"/>
    <w:basedOn w:val="DefaultParagraphFont"/>
    <w:link w:val="Ttulo"/>
    <w:uiPriority w:val="10"/>
    <w:qFormat/>
    <w:rsid w:val="00000b08"/>
    <w:rPr>
      <w:rFonts w:ascii="Book Antiqua" w:hAnsi="Book Antiqua" w:eastAsia="Arial" w:cs="Arial"/>
      <w:color w:val="2E74B5"/>
      <w:kern w:val="2"/>
      <w:szCs w:val="32"/>
    </w:rPr>
  </w:style>
  <w:style w:type="character" w:styleId="Annotationreference">
    <w:name w:val="annotation reference"/>
    <w:qFormat/>
    <w:rsid w:val="00000b08"/>
    <w:rPr>
      <w:sz w:val="16"/>
      <w:szCs w:val="16"/>
    </w:rPr>
  </w:style>
  <w:style w:type="character" w:styleId="PrrafodelistaCar" w:customStyle="1">
    <w:name w:val="Párrafo de lista Car"/>
    <w:link w:val="Prrafodelista"/>
    <w:uiPriority w:val="34"/>
    <w:qFormat/>
    <w:rsid w:val="00000b08"/>
    <w:rPr>
      <w:rFonts w:ascii="Times New Roman" w:hAnsi="Times New Roman" w:eastAsia="Times New Roman" w:cs="Times New Roman"/>
      <w:sz w:val="24"/>
      <w:szCs w:val="20"/>
      <w:lang w:val="es-ES" w:eastAsia="es-ES"/>
    </w:rPr>
  </w:style>
  <w:style w:type="character" w:styleId="Mention">
    <w:name w:val="Mention"/>
    <w:uiPriority w:val="99"/>
    <w:unhideWhenUsed/>
    <w:qFormat/>
    <w:rsid w:val="00000b08"/>
    <w:rPr>
      <w:color w:val="2B579A"/>
      <w:shd w:fill="E6E6E6" w:val="clear"/>
    </w:rPr>
  </w:style>
  <w:style w:type="character" w:styleId="Textoennegrita1" w:customStyle="1">
    <w:name w:val="Texto en negrita1"/>
    <w:qFormat/>
    <w:rsid w:val="001170c1"/>
    <w:rPr>
      <w:rFonts w:cs="Times New Roman"/>
      <w:b/>
      <w:bCs/>
    </w:rPr>
  </w:style>
  <w:style w:type="character" w:styleId="Msbuttonflexcontainer" w:customStyle="1">
    <w:name w:val="ms-button-flexcontainer"/>
    <w:basedOn w:val="DefaultParagraphFont"/>
    <w:qFormat/>
    <w:rsid w:val="00f33086"/>
    <w:rPr/>
  </w:style>
  <w:style w:type="character" w:styleId="N4wykkvprqols4vnse5wf1" w:customStyle="1">
    <w:name w:val="n4wykkvprqols4vnse5wf1"/>
    <w:basedOn w:val="DefaultParagraphFont"/>
    <w:qFormat/>
    <w:rsid w:val="00f33086"/>
    <w:rPr>
      <w:color w:val="605E5C"/>
    </w:rPr>
  </w:style>
  <w:style w:type="character" w:styleId="Msbuttonlabel10" w:customStyle="1">
    <w:name w:val="ms-button-label10"/>
    <w:basedOn w:val="DefaultParagraphFont"/>
    <w:qFormat/>
    <w:rsid w:val="00f33086"/>
    <w:rPr/>
  </w:style>
  <w:style w:type="character" w:styleId="Msbuttonlabel11" w:customStyle="1">
    <w:name w:val="ms-button-label11"/>
    <w:basedOn w:val="DefaultParagraphFont"/>
    <w:qFormat/>
    <w:rsid w:val="00f33086"/>
    <w:rPr/>
  </w:style>
  <w:style w:type="character" w:styleId="NormalWebCar1" w:customStyle="1">
    <w:name w:val="Normal (Web) Car1"/>
    <w:qFormat/>
    <w:locked/>
    <w:rsid w:val="00537369"/>
    <w:rPr>
      <w:rFonts w:eastAsia="Arial Unicode MS"/>
      <w:kern w:val="2"/>
      <w:sz w:val="24"/>
      <w:szCs w:val="24"/>
      <w:lang w:val="es-ES_tradnl" w:bidi="ar-SA"/>
    </w:rPr>
  </w:style>
  <w:style w:type="character" w:styleId="Markqupeyenrc" w:customStyle="1">
    <w:name w:val="markqupeyenrc"/>
    <w:basedOn w:val="DefaultParagraphFont"/>
    <w:qFormat/>
    <w:rsid w:val="0005078f"/>
    <w:rPr/>
  </w:style>
  <w:style w:type="character" w:styleId="Markhsb09h28q" w:customStyle="1">
    <w:name w:val="markhsb09h28q"/>
    <w:basedOn w:val="DefaultParagraphFont"/>
    <w:qFormat/>
    <w:rsid w:val="00b61f23"/>
    <w:rPr/>
  </w:style>
  <w:style w:type="character" w:styleId="Markkxym3hrwx" w:customStyle="1">
    <w:name w:val="markkxym3hrwx"/>
    <w:basedOn w:val="DefaultParagraphFont"/>
    <w:qFormat/>
    <w:rsid w:val="00b61f23"/>
    <w:rPr/>
  </w:style>
  <w:style w:type="character" w:styleId="Estilocorreo18" w:customStyle="1">
    <w:name w:val="estilocorreo18"/>
    <w:basedOn w:val="DefaultParagraphFont"/>
    <w:semiHidden/>
    <w:qFormat/>
    <w:rsid w:val="00465b47"/>
    <w:rPr>
      <w:rFonts w:ascii="Verdana" w:hAnsi="Verdana"/>
      <w:b w:val="false"/>
      <w:bCs w:val="false"/>
      <w:i w:val="false"/>
      <w:iCs w:val="false"/>
      <w:color w:val="auto"/>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uiPriority w:val="99"/>
    <w:qFormat/>
    <w:rsid w:val="009a6945"/>
    <w:pPr>
      <w:widowControl w:val="false"/>
    </w:pPr>
    <w:rPr>
      <w:rFonts w:ascii="Calibri Light" w:hAnsi="Calibri Light" w:eastAsia="Calibri Light" w:cs="Calibri Light"/>
      <w:lang w:val="es-ES" w:eastAsia="es-ES" w:bidi="es-ES"/>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link w:val="EncabezadoCar"/>
    <w:unhideWhenUsed/>
    <w:rsid w:val="009a6945"/>
    <w:pPr>
      <w:tabs>
        <w:tab w:val="clear" w:pos="708"/>
        <w:tab w:val="center" w:pos="4419" w:leader="none"/>
        <w:tab w:val="right" w:pos="8838" w:leader="none"/>
      </w:tabs>
    </w:pPr>
    <w:rPr/>
  </w:style>
  <w:style w:type="paragraph" w:styleId="NormalWeb">
    <w:name w:val="Normal (Web)"/>
    <w:basedOn w:val="Normal"/>
    <w:link w:val="NormalWebCar"/>
    <w:uiPriority w:val="99"/>
    <w:unhideWhenUsed/>
    <w:qFormat/>
    <w:rsid w:val="009a6945"/>
    <w:pPr>
      <w:spacing w:beforeAutospacing="1" w:afterAutospacing="1"/>
    </w:pPr>
    <w:rPr/>
  </w:style>
  <w:style w:type="paragraph" w:styleId="ListParagraph">
    <w:name w:val="List Paragraph"/>
    <w:basedOn w:val="Normal"/>
    <w:link w:val="PrrafodelistaCar"/>
    <w:uiPriority w:val="34"/>
    <w:qFormat/>
    <w:rsid w:val="009a6945"/>
    <w:pPr>
      <w:spacing w:before="0" w:after="0"/>
      <w:ind w:left="720" w:hanging="0"/>
      <w:contextualSpacing/>
    </w:pPr>
    <w:rPr>
      <w:szCs w:val="20"/>
      <w:lang w:val="es-ES" w:eastAsia="es-ES"/>
    </w:rPr>
  </w:style>
  <w:style w:type="paragraph" w:styleId="Ttulo51" w:customStyle="1">
    <w:name w:val="Título 51"/>
    <w:next w:val="Normal"/>
    <w:qFormat/>
    <w:rsid w:val="009a6945"/>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tandard" w:customStyle="1">
    <w:name w:val="Standard"/>
    <w:qFormat/>
    <w:rsid w:val="009a6945"/>
    <w:pPr>
      <w:widowControl/>
      <w:suppressAutoHyphens w:val="true"/>
      <w:bidi w:val="0"/>
      <w:spacing w:lineRule="auto" w:line="240" w:before="0" w:after="0"/>
      <w:jc w:val="left"/>
      <w:textAlignment w:val="baseline"/>
    </w:pPr>
    <w:rPr>
      <w:rFonts w:ascii="Liberation Serif" w:hAnsi="Liberation Serif" w:eastAsia="SimSun" w:cs="Arial Unicode MS"/>
      <w:color w:val="auto"/>
      <w:kern w:val="2"/>
      <w:sz w:val="24"/>
      <w:szCs w:val="24"/>
      <w:lang w:eastAsia="zh-CN" w:bidi="hi-IN" w:val="es-CR"/>
    </w:rPr>
  </w:style>
  <w:style w:type="paragraph" w:styleId="Xmsonormal" w:customStyle="1">
    <w:name w:val="x_msonormal"/>
    <w:basedOn w:val="Normal"/>
    <w:uiPriority w:val="99"/>
    <w:qFormat/>
    <w:rsid w:val="009a6945"/>
    <w:pPr/>
    <w:rPr>
      <w:rFonts w:ascii="Calibri" w:hAnsi="Calibri" w:cs="Calibri"/>
    </w:rPr>
  </w:style>
  <w:style w:type="paragraph" w:styleId="Xmsolistparagraph" w:customStyle="1">
    <w:name w:val="x_msolistparagraph"/>
    <w:basedOn w:val="Normal"/>
    <w:qFormat/>
    <w:rsid w:val="009a6945"/>
    <w:pPr>
      <w:spacing w:beforeAutospacing="1" w:afterAutospacing="1"/>
    </w:pPr>
    <w:rPr>
      <w:rFonts w:ascii="Calibri" w:hAnsi="Calibri" w:cs="Calibri"/>
    </w:rPr>
  </w:style>
  <w:style w:type="paragraph" w:styleId="Piedepgina">
    <w:name w:val="Footer"/>
    <w:basedOn w:val="Normal"/>
    <w:link w:val="PiedepginaCar"/>
    <w:uiPriority w:val="99"/>
    <w:unhideWhenUsed/>
    <w:rsid w:val="00a21881"/>
    <w:pPr>
      <w:tabs>
        <w:tab w:val="clear" w:pos="708"/>
        <w:tab w:val="center" w:pos="4419" w:leader="none"/>
        <w:tab w:val="right" w:pos="8838" w:leader="none"/>
      </w:tabs>
    </w:pPr>
    <w:rPr/>
  </w:style>
  <w:style w:type="paragraph" w:styleId="NoSpacing">
    <w:name w:val="No Spacing"/>
    <w:uiPriority w:val="1"/>
    <w:qFormat/>
    <w:rsid w:val="00a2188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Xxxxmsonormal" w:customStyle="1">
    <w:name w:val="xxxxmsonormal"/>
    <w:basedOn w:val="Normal"/>
    <w:uiPriority w:val="99"/>
    <w:semiHidden/>
    <w:qFormat/>
    <w:rsid w:val="00487961"/>
    <w:pPr/>
    <w:rPr/>
  </w:style>
  <w:style w:type="paragraph" w:styleId="BalloonText">
    <w:name w:val="Balloon Text"/>
    <w:basedOn w:val="Normal"/>
    <w:link w:val="TextodegloboCar"/>
    <w:uiPriority w:val="99"/>
    <w:semiHidden/>
    <w:unhideWhenUsed/>
    <w:qFormat/>
    <w:rsid w:val="00487961"/>
    <w:pPr/>
    <w:rPr>
      <w:rFonts w:ascii="Tahoma" w:hAnsi="Tahoma" w:cs="Tahoma"/>
      <w:sz w:val="16"/>
      <w:szCs w:val="16"/>
    </w:rPr>
  </w:style>
  <w:style w:type="paragraph" w:styleId="Xxmsonormal" w:customStyle="1">
    <w:name w:val="xxmsonormal"/>
    <w:basedOn w:val="Normal"/>
    <w:uiPriority w:val="99"/>
    <w:semiHidden/>
    <w:qFormat/>
    <w:rsid w:val="00a21214"/>
    <w:pPr/>
    <w:rPr>
      <w:rFonts w:ascii="Calibri" w:hAnsi="Calibri" w:cs="Calibri"/>
    </w:rPr>
  </w:style>
  <w:style w:type="paragraph" w:styleId="Xxxmsonormal" w:customStyle="1">
    <w:name w:val="xxxmsonormal"/>
    <w:basedOn w:val="Normal"/>
    <w:uiPriority w:val="99"/>
    <w:semiHidden/>
    <w:qFormat/>
    <w:rsid w:val="00a21214"/>
    <w:pPr/>
    <w:rPr>
      <w:rFonts w:ascii="Calibri" w:hAnsi="Calibri" w:cs="Calibri"/>
    </w:rPr>
  </w:style>
  <w:style w:type="paragraph" w:styleId="TableParagraph" w:customStyle="1">
    <w:name w:val="Table Paragraph"/>
    <w:basedOn w:val="Normal"/>
    <w:uiPriority w:val="1"/>
    <w:qFormat/>
    <w:rsid w:val="00d521af"/>
    <w:pPr>
      <w:widowControl w:val="false"/>
    </w:pPr>
    <w:rPr>
      <w:rFonts w:ascii="Book Antiqua" w:hAnsi="Book Antiqua" w:eastAsia="Book Antiqua" w:cs="Book Antiqua"/>
      <w:lang w:val="es-ES" w:eastAsia="es-ES" w:bidi="es-ES"/>
    </w:rPr>
  </w:style>
  <w:style w:type="paragraph" w:styleId="Default" w:customStyle="1">
    <w:name w:val="Default"/>
    <w:qFormat/>
    <w:rsid w:val="008a237e"/>
    <w:pPr>
      <w:widowControl/>
      <w:bidi w:val="0"/>
      <w:spacing w:lineRule="auto" w:line="240" w:before="0" w:after="0"/>
      <w:jc w:val="left"/>
    </w:pPr>
    <w:rPr>
      <w:rFonts w:ascii="Arial" w:hAnsi="Arial" w:cs="Arial" w:eastAsia="Calibri"/>
      <w:color w:val="000000"/>
      <w:kern w:val="0"/>
      <w:sz w:val="24"/>
      <w:szCs w:val="24"/>
      <w:lang w:val="es-CR" w:eastAsia="en-US" w:bidi="ar-SA"/>
    </w:rPr>
  </w:style>
  <w:style w:type="paragraph" w:styleId="Msonormal" w:customStyle="1">
    <w:name w:val="msonormal"/>
    <w:basedOn w:val="Normal"/>
    <w:qFormat/>
    <w:rsid w:val="00e179c7"/>
    <w:pPr/>
    <w:rPr>
      <w:rFonts w:ascii="Calibri" w:hAnsi="Calibri" w:cs="Calibri"/>
    </w:rPr>
  </w:style>
  <w:style w:type="paragraph" w:styleId="Xmsonormal0" w:customStyle="1">
    <w:name w:val="x_msonormal0"/>
    <w:basedOn w:val="Normal"/>
    <w:uiPriority w:val="99"/>
    <w:semiHidden/>
    <w:qFormat/>
    <w:rsid w:val="00e179c7"/>
    <w:pPr/>
    <w:rPr>
      <w:rFonts w:ascii="Calibri" w:hAnsi="Calibri" w:cs="Calibri"/>
    </w:rPr>
  </w:style>
  <w:style w:type="paragraph" w:styleId="Xxmsonormal1" w:customStyle="1">
    <w:name w:val="x_xmsonormal"/>
    <w:basedOn w:val="Normal"/>
    <w:uiPriority w:val="99"/>
    <w:semiHidden/>
    <w:qFormat/>
    <w:rsid w:val="00e179c7"/>
    <w:pPr/>
    <w:rPr>
      <w:rFonts w:ascii="Calibri" w:hAnsi="Calibri" w:cs="Calibri"/>
    </w:rPr>
  </w:style>
  <w:style w:type="paragraph" w:styleId="Xxxmsonormal1" w:customStyle="1">
    <w:name w:val="x_xxmsonormal"/>
    <w:basedOn w:val="Normal"/>
    <w:qFormat/>
    <w:rsid w:val="00e179c7"/>
    <w:pPr/>
    <w:rPr>
      <w:rFonts w:ascii="Calibri" w:hAnsi="Calibri" w:cs="Calibri"/>
    </w:rPr>
  </w:style>
  <w:style w:type="paragraph" w:styleId="Xxxmsolistparagraph" w:customStyle="1">
    <w:name w:val="x_xxmsolistparagraph"/>
    <w:basedOn w:val="Normal"/>
    <w:uiPriority w:val="99"/>
    <w:semiHidden/>
    <w:qFormat/>
    <w:rsid w:val="00e179c7"/>
    <w:pPr/>
    <w:rPr>
      <w:rFonts w:ascii="Calibri" w:hAnsi="Calibri" w:cs="Calibri"/>
    </w:rPr>
  </w:style>
  <w:style w:type="paragraph" w:styleId="Xmsochpdefault" w:customStyle="1">
    <w:name w:val="x_msochpdefault"/>
    <w:basedOn w:val="Normal"/>
    <w:uiPriority w:val="99"/>
    <w:semiHidden/>
    <w:qFormat/>
    <w:rsid w:val="00e179c7"/>
    <w:pPr>
      <w:spacing w:beforeAutospacing="1" w:afterAutospacing="1"/>
    </w:pPr>
    <w:rPr>
      <w:rFonts w:ascii="Calibri" w:hAnsi="Calibri" w:cs="Calibri"/>
      <w:sz w:val="20"/>
      <w:szCs w:val="20"/>
    </w:rPr>
  </w:style>
  <w:style w:type="paragraph" w:styleId="Normal1" w:customStyle="1">
    <w:name w:val="Normal1"/>
    <w:basedOn w:val="Normal"/>
    <w:qFormat/>
    <w:rsid w:val="00495783"/>
    <w:pPr/>
    <w:rPr>
      <w:rFonts w:ascii="Arial" w:hAnsi="Arial" w:cs="Arial"/>
      <w:lang w:eastAsia="es-ES"/>
    </w:rPr>
  </w:style>
  <w:style w:type="paragraph" w:styleId="Tulo1" w:customStyle="1">
    <w:name w:val="T稚ulo 1"/>
    <w:basedOn w:val="Normal"/>
    <w:qFormat/>
    <w:rsid w:val="00495783"/>
    <w:pPr>
      <w:keepNext w:val="true"/>
      <w:shd w:val="clear" w:color="auto" w:fill="FFFFFF"/>
      <w:jc w:val="both"/>
    </w:pPr>
    <w:rPr>
      <w:rFonts w:ascii="Arial" w:hAnsi="Arial" w:cs="Arial"/>
      <w:b/>
      <w:bCs/>
      <w:u w:val="single"/>
      <w:lang w:eastAsia="ar-SA"/>
    </w:rPr>
  </w:style>
  <w:style w:type="paragraph" w:styleId="Textonotapie1" w:customStyle="1">
    <w:name w:val="Texto nota pie1"/>
    <w:basedOn w:val="Normal"/>
    <w:uiPriority w:val="99"/>
    <w:qFormat/>
    <w:rsid w:val="00495783"/>
    <w:pPr/>
    <w:rPr>
      <w:rFonts w:ascii="Trebuchet MS" w:hAnsi="Trebuchet MS" w:cs="Calibri"/>
      <w:color w:val="000000"/>
      <w:sz w:val="48"/>
      <w:szCs w:val="48"/>
      <w:lang w:eastAsia="es-ES"/>
    </w:rPr>
  </w:style>
  <w:style w:type="paragraph" w:styleId="Textodecampo" w:customStyle="1">
    <w:name w:val="Texto de campo"/>
    <w:basedOn w:val="Normal"/>
    <w:qFormat/>
    <w:rsid w:val="00000b08"/>
    <w:pPr>
      <w:spacing w:before="60" w:after="60"/>
      <w:jc w:val="both"/>
    </w:pPr>
    <w:rPr>
      <w:rFonts w:ascii="Arial" w:hAnsi="Arial" w:cs="Arial"/>
      <w:sz w:val="19"/>
      <w:szCs w:val="19"/>
      <w:lang w:val="en-US" w:bidi="en-US"/>
    </w:rPr>
  </w:style>
  <w:style w:type="paragraph" w:styleId="Etiquetadecampo" w:customStyle="1">
    <w:name w:val="Etiqueta de campo"/>
    <w:basedOn w:val="Normal"/>
    <w:qFormat/>
    <w:rsid w:val="00000b08"/>
    <w:pPr>
      <w:spacing w:before="60" w:after="60"/>
      <w:jc w:val="both"/>
    </w:pPr>
    <w:rPr>
      <w:rFonts w:ascii="Arial" w:hAnsi="Arial" w:cs="Arial"/>
      <w:b/>
      <w:sz w:val="19"/>
      <w:szCs w:val="19"/>
      <w:lang w:val="en-US" w:bidi="en-US"/>
    </w:rPr>
  </w:style>
  <w:style w:type="paragraph" w:styleId="BodyText2">
    <w:name w:val="Body Text 2"/>
    <w:basedOn w:val="Normal"/>
    <w:link w:val="Textoindependiente2Car"/>
    <w:qFormat/>
    <w:rsid w:val="00000b08"/>
    <w:pPr>
      <w:widowControl w:val="false"/>
      <w:spacing w:before="240" w:after="0"/>
      <w:jc w:val="both"/>
    </w:pPr>
    <w:rPr>
      <w:rFonts w:ascii="Book Antiqua" w:hAnsi="Book Antiqua"/>
      <w:lang w:val="es-ES" w:eastAsia="es-ES"/>
    </w:rPr>
  </w:style>
  <w:style w:type="paragraph" w:styleId="Revision">
    <w:name w:val="Revision"/>
    <w:uiPriority w:val="99"/>
    <w:semiHidden/>
    <w:qFormat/>
    <w:rsid w:val="00000b08"/>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es-CR" w:eastAsia="en-US" w:bidi="ar-SA"/>
    </w:rPr>
  </w:style>
  <w:style w:type="paragraph" w:styleId="Notaalpie">
    <w:name w:val="Footnote Text"/>
    <w:basedOn w:val="Normal"/>
    <w:link w:val="TextonotapieCar"/>
    <w:uiPriority w:val="99"/>
    <w:unhideWhenUsed/>
    <w:qFormat/>
    <w:rsid w:val="00000b08"/>
    <w:pPr>
      <w:spacing w:before="240" w:after="0"/>
      <w:jc w:val="both"/>
    </w:pPr>
    <w:rPr>
      <w:rFonts w:ascii="Calibri" w:hAnsi="Calibri" w:eastAsia="Calibri"/>
      <w:sz w:val="20"/>
      <w:szCs w:val="20"/>
      <w:lang w:val="x-none"/>
    </w:rPr>
  </w:style>
  <w:style w:type="paragraph" w:styleId="Annotationtext">
    <w:name w:val="annotation text"/>
    <w:basedOn w:val="Normal"/>
    <w:link w:val="TextocomentarioCar"/>
    <w:unhideWhenUsed/>
    <w:qFormat/>
    <w:rsid w:val="00000b08"/>
    <w:pPr>
      <w:spacing w:before="240" w:after="240"/>
      <w:jc w:val="both"/>
    </w:pPr>
    <w:rPr>
      <w:rFonts w:ascii="Calibri" w:hAnsi="Calibri" w:eastAsia="Calibri"/>
      <w:sz w:val="20"/>
      <w:szCs w:val="20"/>
      <w:lang w:val="x-none"/>
    </w:rPr>
  </w:style>
  <w:style w:type="paragraph" w:styleId="Annotationsubject">
    <w:name w:val="annotation subject"/>
    <w:basedOn w:val="Annotationtext"/>
    <w:next w:val="Annotationtext"/>
    <w:link w:val="AsuntodelcomentarioCar"/>
    <w:uiPriority w:val="99"/>
    <w:semiHidden/>
    <w:unhideWhenUsed/>
    <w:qFormat/>
    <w:rsid w:val="00000b08"/>
    <w:pPr/>
    <w:rPr>
      <w:b/>
      <w:bCs/>
    </w:rPr>
  </w:style>
  <w:style w:type="paragraph" w:styleId="Western" w:customStyle="1">
    <w:name w:val="western"/>
    <w:basedOn w:val="Normal"/>
    <w:qFormat/>
    <w:rsid w:val="00000b08"/>
    <w:pPr>
      <w:spacing w:beforeAutospacing="1" w:after="119"/>
      <w:jc w:val="both"/>
    </w:pPr>
    <w:rPr>
      <w:color w:val="000000"/>
    </w:rPr>
  </w:style>
  <w:style w:type="paragraph" w:styleId="Ttulogeneral">
    <w:name w:val="Title"/>
    <w:basedOn w:val="Ttulo3"/>
    <w:next w:val="Normal"/>
    <w:link w:val="TtuloCar"/>
    <w:uiPriority w:val="10"/>
    <w:qFormat/>
    <w:rsid w:val="00000b08"/>
    <w:pPr>
      <w:keepLines w:val="false"/>
      <w:spacing w:lineRule="auto" w:line="360" w:before="240" w:after="240"/>
      <w:ind w:left="720" w:hanging="360"/>
      <w:jc w:val="both"/>
      <w:outlineLvl w:val="0"/>
    </w:pPr>
    <w:rPr>
      <w:rFonts w:ascii="Book Antiqua" w:hAnsi="Book Antiqua" w:eastAsia="Arial" w:cs="Arial"/>
      <w:b w:val="false"/>
      <w:bCs w:val="false"/>
      <w:color w:val="2E74B5"/>
      <w:kern w:val="2"/>
      <w:szCs w:val="32"/>
    </w:rPr>
  </w:style>
  <w:style w:type="paragraph" w:styleId="Prrafodelista1" w:customStyle="1">
    <w:name w:val="Párrafo de lista1"/>
    <w:basedOn w:val="Normal"/>
    <w:uiPriority w:val="34"/>
    <w:qFormat/>
    <w:rsid w:val="00000b08"/>
    <w:pPr>
      <w:spacing w:lineRule="auto" w:line="360" w:before="0" w:after="0"/>
      <w:ind w:left="720" w:hanging="0"/>
      <w:contextualSpacing/>
      <w:jc w:val="both"/>
    </w:pPr>
    <w:rPr>
      <w:rFonts w:ascii="Arial" w:hAnsi="Arial" w:eastAsia="Calibri"/>
    </w:rPr>
  </w:style>
  <w:style w:type="paragraph" w:styleId="Estilopredeterminado" w:customStyle="1">
    <w:name w:val="Estilo predeterminado"/>
    <w:qFormat/>
    <w:rsid w:val="00000b08"/>
    <w:pPr>
      <w:widowControl/>
      <w:suppressAutoHyphens w:val="true"/>
      <w:bidi w:val="0"/>
      <w:spacing w:lineRule="atLeast" w:line="100" w:before="0" w:after="0"/>
      <w:jc w:val="left"/>
    </w:pPr>
    <w:rPr>
      <w:rFonts w:ascii="Times New Roman" w:hAnsi="Times New Roman" w:eastAsia="SimSun" w:cs="Times New Roman"/>
      <w:color w:val="000000"/>
      <w:kern w:val="0"/>
      <w:sz w:val="24"/>
      <w:szCs w:val="24"/>
      <w:lang w:val="es-ES" w:eastAsia="en-US" w:bidi="ar-SA"/>
    </w:rPr>
  </w:style>
  <w:style w:type="paragraph" w:styleId="ListParagraph0" w:customStyle="1">
    <w:name w:val="List Paragraph0"/>
    <w:basedOn w:val="Normal"/>
    <w:qFormat/>
    <w:rsid w:val="00000b08"/>
    <w:pPr>
      <w:spacing w:lineRule="auto" w:line="360" w:before="240" w:after="240"/>
      <w:ind w:left="720" w:hanging="0"/>
      <w:contextualSpacing/>
      <w:jc w:val="both"/>
    </w:pPr>
    <w:rPr>
      <w:rFonts w:ascii="Arial" w:hAnsi="Arial"/>
      <w:lang w:val="es-ES"/>
    </w:rPr>
  </w:style>
  <w:style w:type="paragraph" w:styleId="Caption">
    <w:name w:val="caption"/>
    <w:basedOn w:val="Normal"/>
    <w:next w:val="Normal"/>
    <w:uiPriority w:val="35"/>
    <w:unhideWhenUsed/>
    <w:qFormat/>
    <w:rsid w:val="00000b08"/>
    <w:pPr>
      <w:spacing w:lineRule="auto" w:line="360" w:before="240" w:after="240"/>
      <w:jc w:val="both"/>
    </w:pPr>
    <w:rPr>
      <w:rFonts w:ascii="Arial" w:hAnsi="Arial" w:eastAsia="Calibri"/>
      <w:b/>
      <w:bCs/>
      <w:sz w:val="20"/>
      <w:szCs w:val="20"/>
    </w:rPr>
  </w:style>
  <w:style w:type="paragraph" w:styleId="Xmsobodytext" w:customStyle="1">
    <w:name w:val="x_msobodytext"/>
    <w:basedOn w:val="Normal"/>
    <w:uiPriority w:val="99"/>
    <w:qFormat/>
    <w:rsid w:val="00e55870"/>
    <w:pPr>
      <w:spacing w:before="0" w:after="120"/>
    </w:pPr>
    <w:rPr/>
  </w:style>
  <w:style w:type="paragraph" w:styleId="Xmsoplaintext" w:customStyle="1">
    <w:name w:val="x_msoplaintext"/>
    <w:basedOn w:val="Normal"/>
    <w:uiPriority w:val="99"/>
    <w:semiHidden/>
    <w:qFormat/>
    <w:rsid w:val="00e55870"/>
    <w:pPr/>
    <w:rPr/>
  </w:style>
  <w:style w:type="paragraph" w:styleId="Gmailm4214538879123250192default" w:customStyle="1">
    <w:name w:val="gmail-m_-4214538879123250192default"/>
    <w:basedOn w:val="Normal"/>
    <w:uiPriority w:val="99"/>
    <w:semiHidden/>
    <w:qFormat/>
    <w:rsid w:val="00e55870"/>
    <w:pPr>
      <w:spacing w:beforeAutospacing="1" w:afterAutospacing="1"/>
    </w:pPr>
    <w:rPr>
      <w:rFonts w:ascii="Calibri" w:hAnsi="Calibri" w:cs="Calibri"/>
    </w:rPr>
  </w:style>
  <w:style w:type="paragraph" w:styleId="Ttulo11" w:customStyle="1">
    <w:name w:val="Título 11"/>
    <w:basedOn w:val="Normal"/>
    <w:uiPriority w:val="1"/>
    <w:qFormat/>
    <w:rsid w:val="00e55870"/>
    <w:pPr>
      <w:widowControl w:val="false"/>
      <w:ind w:left="119" w:hanging="0"/>
      <w:outlineLvl w:val="1"/>
    </w:pPr>
    <w:rPr>
      <w:rFonts w:ascii="Calibri Light" w:hAnsi="Calibri Light" w:eastAsia="Calibri Light" w:cs="Calibri Light"/>
      <w:b/>
      <w:bCs/>
      <w:lang w:val="es-ES" w:eastAsia="es-ES" w:bidi="es-ES"/>
    </w:rPr>
  </w:style>
  <w:style w:type="paragraph" w:styleId="Ttulo21" w:customStyle="1">
    <w:name w:val="Título 21"/>
    <w:basedOn w:val="Normal"/>
    <w:uiPriority w:val="1"/>
    <w:qFormat/>
    <w:rsid w:val="00e55870"/>
    <w:pPr>
      <w:widowControl w:val="false"/>
      <w:spacing w:before="43" w:after="0"/>
      <w:ind w:left="2726" w:right="2725" w:hanging="0"/>
      <w:jc w:val="center"/>
      <w:outlineLvl w:val="2"/>
    </w:pPr>
    <w:rPr>
      <w:rFonts w:ascii="Calibri" w:hAnsi="Calibri" w:eastAsia="Calibri" w:cs="Calibri"/>
      <w:b/>
      <w:bCs/>
      <w:i/>
      <w:lang w:val="es-ES" w:eastAsia="es-ES" w:bidi="es-ES"/>
    </w:rPr>
  </w:style>
  <w:style w:type="paragraph" w:styleId="Ttulo54" w:customStyle="1">
    <w:name w:val="Título 54"/>
    <w:next w:val="Normal"/>
    <w:qFormat/>
    <w:rsid w:val="00e55870"/>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inespaciado1" w:customStyle="1">
    <w:name w:val="Sin espaciado1"/>
    <w:qFormat/>
    <w:rsid w:val="00e55870"/>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Sinespaciado2" w:customStyle="1">
    <w:name w:val="Sin espaciado2"/>
    <w:qFormat/>
    <w:rsid w:val="00e55870"/>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Xdefault" w:customStyle="1">
    <w:name w:val="x_default"/>
    <w:basedOn w:val="Normal"/>
    <w:qFormat/>
    <w:rsid w:val="00a03d22"/>
    <w:pPr/>
    <w:rPr>
      <w:rFonts w:ascii="Calibri" w:hAnsi="Calibri" w:cs="Calibri"/>
    </w:rPr>
  </w:style>
  <w:style w:type="paragraph" w:styleId="Contenidodelatabla" w:customStyle="1">
    <w:name w:val="Contenido de la tabla"/>
    <w:basedOn w:val="Normal"/>
    <w:qFormat/>
    <w:rsid w:val="00d9581d"/>
    <w:pPr>
      <w:suppressLineNumbers/>
      <w:suppressAutoHyphens w:val="true"/>
    </w:pPr>
    <w:rPr>
      <w:rFonts w:ascii="Liberation Serif" w:hAnsi="Liberation Serif" w:eastAsia="NSimSun" w:cs="Arial"/>
      <w:kern w:val="2"/>
      <w:lang w:eastAsia="zh-CN" w:bidi="hi-IN"/>
    </w:rPr>
  </w:style>
  <w:style w:type="paragraph" w:styleId="3zedxoi1pg9tqfd8az2z3" w:customStyle="1">
    <w:name w:val="_3zedxoi_1pg9tqfd8az2z3"/>
    <w:basedOn w:val="Normal"/>
    <w:qFormat/>
    <w:rsid w:val="00f33086"/>
    <w:pPr>
      <w:spacing w:beforeAutospacing="1" w:afterAutospacing="1"/>
      <w:textAlignment w:val="top"/>
    </w:pPr>
    <w:rPr/>
  </w:style>
  <w:style w:type="paragraph" w:styleId="Xmsonormal1" w:customStyle="1">
    <w:name w:val="x_msonormal1"/>
    <w:basedOn w:val="Normal"/>
    <w:qFormat/>
    <w:rsid w:val="00f33086"/>
    <w:pPr/>
    <w:rPr>
      <w:rFonts w:ascii="Calibri" w:hAnsi="Calibri" w:cs="Calibri"/>
    </w:rPr>
  </w:style>
  <w:style w:type="paragraph" w:styleId="Xxmsolistparagraph2" w:customStyle="1">
    <w:name w:val="x_xmsolistparagraph2"/>
    <w:basedOn w:val="Normal"/>
    <w:qFormat/>
    <w:rsid w:val="00f33086"/>
    <w:pPr>
      <w:ind w:left="720" w:hanging="0"/>
    </w:pPr>
    <w:rPr>
      <w:rFonts w:ascii="Calibri" w:hAnsi="Calibri" w:cs="Calibri"/>
    </w:rPr>
  </w:style>
  <w:style w:type="paragraph" w:styleId="Ttulo52" w:customStyle="1">
    <w:name w:val="Título 52"/>
    <w:next w:val="Normal"/>
    <w:qFormat/>
    <w:rsid w:val="00537369"/>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Xmsonormal2" w:customStyle="1">
    <w:name w:val="x_msonormal2"/>
    <w:basedOn w:val="Normal"/>
    <w:qFormat/>
    <w:rsid w:val="00b61f23"/>
    <w:pPr/>
    <w:rPr>
      <w:rFonts w:ascii="Calibri" w:hAnsi="Calibri" w:cs="Calibri"/>
      <w:sz w:val="22"/>
      <w:szCs w:val="22"/>
    </w:rPr>
  </w:style>
  <w:style w:type="paragraph" w:styleId="Prrafodelista2" w:customStyle="1">
    <w:name w:val="Párrafo de lista2"/>
    <w:basedOn w:val="Normal"/>
    <w:qFormat/>
    <w:rsid w:val="00cd0526"/>
    <w:pPr>
      <w:spacing w:lineRule="auto" w:line="276" w:before="0" w:after="200"/>
      <w:ind w:left="720" w:hanging="0"/>
      <w:contextualSpacing/>
    </w:pPr>
    <w:rPr>
      <w:rFonts w:ascii="Calibri" w:hAnsi="Calibri"/>
      <w:sz w:val="22"/>
      <w:szCs w:val="22"/>
      <w:lang w:val="es-ES" w:eastAsia="en-US"/>
    </w:rPr>
  </w:style>
  <w:style w:type="paragraph" w:styleId="Ttulo53" w:customStyle="1">
    <w:name w:val="Título 53"/>
    <w:next w:val="Normal"/>
    <w:qFormat/>
    <w:rsid w:val="00af5bda"/>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inespaciado3" w:customStyle="1">
    <w:name w:val="Sin espaciado3"/>
    <w:qFormat/>
    <w:rsid w:val="000e6adf"/>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Xmsoheader" w:customStyle="1">
    <w:name w:val="x_msoheader"/>
    <w:basedOn w:val="Normal"/>
    <w:uiPriority w:val="99"/>
    <w:semiHidden/>
    <w:qFormat/>
    <w:rsid w:val="00cc64fc"/>
    <w:pPr/>
    <w:rPr>
      <w:rFonts w:ascii="Calibri" w:hAnsi="Calibri" w:eastAsia="Calibri" w:cs="Calibri" w:eastAsiaTheme="minorHAnsi"/>
      <w:sz w:val="22"/>
      <w:szCs w:val="22"/>
    </w:rPr>
  </w:style>
  <w:style w:type="paragraph" w:styleId="Xxxmsoheader" w:customStyle="1">
    <w:name w:val="x_xxmsoheader"/>
    <w:basedOn w:val="Normal"/>
    <w:qFormat/>
    <w:rsid w:val="00146d95"/>
    <w:pPr/>
    <w:rPr>
      <w:rFonts w:ascii="Calibri" w:hAnsi="Calibri" w:eastAsia="Calibri" w:eastAsiaTheme="minorHAnsi"/>
      <w:sz w:val="22"/>
      <w:szCs w:val="22"/>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e55870"/>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8d6796"/>
    <w:pPr>
      <w:spacing w:after="0" w:line="240" w:lineRule="auto"/>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d521af"/>
    <w:pPr>
      <w:spacing w:after="0" w:line="240" w:lineRule="auto"/>
    </w:pPr>
    <w:rPr>
      <w:lang w:val="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b864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a-nfasis5">
    <w:name w:val="Grid Table 1 Light Accent 5"/>
    <w:basedOn w:val="Tablanormal"/>
    <w:uiPriority w:val="46"/>
    <w:rsid w:val="0090096d"/>
    <w:pPr>
      <w:spacing w:after="0" w:line="240" w:lineRule="auto"/>
    </w:pPr>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sz="12" w:space="0"/>
        </w:tcBorders>
      </w:tcPr>
    </w:tblStylePr>
    <w:tblStylePr w:type="lastRow">
      <w:rPr>
        <w:b/>
        <w:bCs/>
      </w:rPr>
      <w:tblPr/>
      <w:tcPr>
        <w:tcBorders>
          <w:top w:val="double" w:color="92CDDC" w:themeColor="accent5"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aguero@poder-judicial.go.cr"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hyperlink" Target="mailto:planificacion@poder-judicial.go.cr" TargetMode="External"/><Relationship Id="rId8" Type="http://schemas.openxmlformats.org/officeDocument/2006/relationships/image" Target="media/image5.png"/><Relationship Id="rId9" Type="http://schemas.openxmlformats.org/officeDocument/2006/relationships/chart" Target="charts/chart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package" Target="embeddings/oleObject1.xlsx"/><Relationship Id="rId20" Type="http://schemas.openxmlformats.org/officeDocument/2006/relationships/image" Target="media/image13.wmf"/><Relationship Id="rId21" Type="http://schemas.openxmlformats.org/officeDocument/2006/relationships/package" Target="embeddings/oleObject2.xlsx"/><Relationship Id="rId22" Type="http://schemas.openxmlformats.org/officeDocument/2006/relationships/image" Target="media/image15.wmf"/><Relationship Id="rId23" Type="http://schemas.openxmlformats.org/officeDocument/2006/relationships/oleObject" Target="embeddings/oleObject3.bin"/><Relationship Id="rId24" Type="http://schemas.openxmlformats.org/officeDocument/2006/relationships/image" Target="media/image16.wmf"/><Relationship Id="rId25" Type="http://schemas.openxmlformats.org/officeDocument/2006/relationships/oleObject" Target="embeddings/oleObject4.bin"/><Relationship Id="rId26" Type="http://schemas.openxmlformats.org/officeDocument/2006/relationships/image" Target="media/image17.wmf"/><Relationship Id="rId27" Type="http://schemas.openxmlformats.org/officeDocument/2006/relationships/oleObject" Target="embeddings/oleObject5.bin"/><Relationship Id="rId28" Type="http://schemas.openxmlformats.org/officeDocument/2006/relationships/image" Target="media/image18.wmf"/><Relationship Id="rId29" Type="http://schemas.openxmlformats.org/officeDocument/2006/relationships/oleObject" Target="embeddings/oleObject6.bin"/><Relationship Id="rId30" Type="http://schemas.openxmlformats.org/officeDocument/2006/relationships/image" Target="media/image19.wmf"/><Relationship Id="rId31" Type="http://schemas.openxmlformats.org/officeDocument/2006/relationships/oleObject" Target="embeddings/oleObject7.bin"/><Relationship Id="rId32" Type="http://schemas.openxmlformats.org/officeDocument/2006/relationships/image" Target="media/image20.wmf"/><Relationship Id="rId33" Type="http://schemas.openxmlformats.org/officeDocument/2006/relationships/oleObject" Target="embeddings/oleObject8.xls"/><Relationship Id="rId34" Type="http://schemas.openxmlformats.org/officeDocument/2006/relationships/image" Target="media/image21.wmf"/><Relationship Id="rId35" Type="http://schemas.openxmlformats.org/officeDocument/2006/relationships/package" Target="embeddings/oleObject9.xlsx"/><Relationship Id="rId36" Type="http://schemas.openxmlformats.org/officeDocument/2006/relationships/image" Target="media/image22.wmf"/><Relationship Id="rId37" Type="http://schemas.openxmlformats.org/officeDocument/2006/relationships/oleObject" Target="embeddings/oleObject10.doc"/><Relationship Id="rId38" Type="http://schemas.openxmlformats.org/officeDocument/2006/relationships/image" Target="media/image23.wmf"/><Relationship Id="rId39" Type="http://schemas.openxmlformats.org/officeDocument/2006/relationships/oleObject" Target="embeddings/oleObject11.bin"/><Relationship Id="rId40" Type="http://schemas.openxmlformats.org/officeDocument/2006/relationships/image" Target="media/image24.wmf"/><Relationship Id="rId41" Type="http://schemas.openxmlformats.org/officeDocument/2006/relationships/oleObject" Target="embeddings/oleObject12.bin"/><Relationship Id="rId42" Type="http://schemas.openxmlformats.org/officeDocument/2006/relationships/image" Target="media/image25.wmf"/><Relationship Id="rId43" Type="http://schemas.openxmlformats.org/officeDocument/2006/relationships/package" Target="embeddings/oleObject13.docx"/><Relationship Id="rId44" Type="http://schemas.openxmlformats.org/officeDocument/2006/relationships/image" Target="media/image2.wmf"/><Relationship Id="rId45" Type="http://schemas.openxmlformats.org/officeDocument/2006/relationships/oleObject" Target="embeddings/oleObject14.doc"/><Relationship Id="rId46" Type="http://schemas.openxmlformats.org/officeDocument/2006/relationships/image" Target="media/image3.wmf"/><Relationship Id="rId47" Type="http://schemas.openxmlformats.org/officeDocument/2006/relationships/oleObject" Target="embeddings/oleObject15.bin"/><Relationship Id="rId48" Type="http://schemas.openxmlformats.org/officeDocument/2006/relationships/image" Target="media/image4.wmf"/><Relationship Id="rId49" Type="http://schemas.openxmlformats.org/officeDocument/2006/relationships/image" Target="media/image5.wmf"/><Relationship Id="rId50" Type="http://schemas.openxmlformats.org/officeDocument/2006/relationships/chart" Target="charts/chart4.xml"/><Relationship Id="rId51" Type="http://schemas.openxmlformats.org/officeDocument/2006/relationships/image" Target="media/image6.png"/><Relationship Id="rId52" Type="http://schemas.openxmlformats.org/officeDocument/2006/relationships/image" Target="media/image7.png"/><Relationship Id="rId53" Type="http://schemas.openxmlformats.org/officeDocument/2006/relationships/image" Target="media/image8.png"/><Relationship Id="rId54" Type="http://schemas.openxmlformats.org/officeDocument/2006/relationships/image" Target="media/image9.png"/><Relationship Id="rId55" Type="http://schemas.openxmlformats.org/officeDocument/2006/relationships/hyperlink" Target="mailto:consejomayores.iriria@gmail.com" TargetMode="External"/><Relationship Id="rId56" Type="http://schemas.openxmlformats.org/officeDocument/2006/relationships/image" Target="media/image10.jpeg"/><Relationship Id="rId57" Type="http://schemas.openxmlformats.org/officeDocument/2006/relationships/footer" Target="footer1.xml"/><Relationship Id="rId58" Type="http://schemas.openxmlformats.org/officeDocument/2006/relationships/image" Target="media/image11.png"/><Relationship Id="rId59" Type="http://schemas.openxmlformats.org/officeDocument/2006/relationships/image" Target="media/image12.jpeg"/><Relationship Id="rId60" Type="http://schemas.openxmlformats.org/officeDocument/2006/relationships/image" Target="media/image13.jpeg"/><Relationship Id="rId61" Type="http://schemas.openxmlformats.org/officeDocument/2006/relationships/image" Target="media/image14.jpeg"/><Relationship Id="rId62" Type="http://schemas.openxmlformats.org/officeDocument/2006/relationships/hyperlink" Target="mailto:consejomayores.iriria@gmail.com" TargetMode="External"/><Relationship Id="rId63" Type="http://schemas.openxmlformats.org/officeDocument/2006/relationships/hyperlink" Target="mailto:ksalazard@Poder-Judicial.go.cr" TargetMode="External"/><Relationship Id="rId64" Type="http://schemas.openxmlformats.org/officeDocument/2006/relationships/hyperlink" Target="mailto:fpaniagua@mj.go.cr" TargetMode="External"/><Relationship Id="rId65" Type="http://schemas.openxmlformats.org/officeDocument/2006/relationships/hyperlink" Target="mailto:fpaniagua@mj.go.cr" TargetMode="External"/><Relationship Id="rId66" Type="http://schemas.openxmlformats.org/officeDocument/2006/relationships/hyperlink" Target="mailto:kpiedrac@mj.go.cr" TargetMode="External"/><Relationship Id="rId67" Type="http://schemas.openxmlformats.org/officeDocument/2006/relationships/hyperlink" Target="mailto:kpiedrac@mj.go.cr" TargetMode="External"/><Relationship Id="rId68" Type="http://schemas.openxmlformats.org/officeDocument/2006/relationships/hyperlink" Target="mailto:wkidd@Poder-Judicial.go.cr" TargetMode="External"/><Relationship Id="rId69" Type="http://schemas.openxmlformats.org/officeDocument/2006/relationships/hyperlink" Target="mailto:movares@Poder-Judicial.go.cr" TargetMode="External"/><Relationship Id="rId70" Type="http://schemas.openxmlformats.org/officeDocument/2006/relationships/hyperlink" Target="mailto:rbresciani@Poder-Judicial.go.cr" TargetMode="External"/><Relationship Id="rId71" Type="http://schemas.openxmlformats.org/officeDocument/2006/relationships/hyperlink" Target="mailto:fleong@poder-judicial.go.cr" TargetMode="External"/><Relationship Id="rId72" Type="http://schemas.openxmlformats.org/officeDocument/2006/relationships/hyperlink" Target="mailto:dvillalobosa@Poder-Judicial.go.cr" TargetMode="External"/><Relationship Id="rId73" Type="http://schemas.openxmlformats.org/officeDocument/2006/relationships/hyperlink" Target="mailto:vrimola@Poder-Judicial.go.cr" TargetMode="External"/><Relationship Id="rId74" Type="http://schemas.openxmlformats.org/officeDocument/2006/relationships/hyperlink" Target="mailto:dlim@Poder-Judicial.go.cr" TargetMode="External"/><Relationship Id="rId75" Type="http://schemas.openxmlformats.org/officeDocument/2006/relationships/hyperlink" Target="mailto:jduranal@Poder-Judicial.go.cr" TargetMode="External"/><Relationship Id="rId76" Type="http://schemas.openxmlformats.org/officeDocument/2006/relationships/hyperlink" Target="mailto:rgarciag@Poder-Judicial.go.cr" TargetMode="External"/><Relationship Id="rId77" Type="http://schemas.openxmlformats.org/officeDocument/2006/relationships/hyperlink" Target="mailto:jeduarte@Poder-Judicial.go.cr" TargetMode="External"/><Relationship Id="rId78" Type="http://schemas.openxmlformats.org/officeDocument/2006/relationships/hyperlink" Target="mailto:william.vega@one.un.org" TargetMode="External"/><Relationship Id="rId79" Type="http://schemas.openxmlformats.org/officeDocument/2006/relationships/hyperlink" Target="mailto:william.vega@one.un.org" TargetMode="External"/><Relationship Id="rId80" Type="http://schemas.openxmlformats.org/officeDocument/2006/relationships/hyperlink" Target="mailto:cmartinezh@Poder-Judicial.go.cr" TargetMode="External"/><Relationship Id="rId81" Type="http://schemas.openxmlformats.org/officeDocument/2006/relationships/hyperlink" Target="mailto:rriveraca@Poder-Judicial.go.cr" TargetMode="External"/><Relationship Id="rId82" Type="http://schemas.openxmlformats.org/officeDocument/2006/relationships/hyperlink" Target="mailto:pbonilla@Poder-Judicial.go.cr" TargetMode="External"/><Relationship Id="rId83" Type="http://schemas.openxmlformats.org/officeDocument/2006/relationships/hyperlink" Target="mailto:rarrieta@Poder-Judicial.go.cr" TargetMode="External"/><Relationship Id="rId84" Type="http://schemas.openxmlformats.org/officeDocument/2006/relationships/hyperlink" Target="mailto:aguevarame@Poder-Judicial.go.cr" TargetMode="External"/><Relationship Id="rId85" Type="http://schemas.openxmlformats.org/officeDocument/2006/relationships/hyperlink" Target="mailto:cescotofer@gmail.com" TargetMode="External"/><Relationship Id="rId86" Type="http://schemas.openxmlformats.org/officeDocument/2006/relationships/hyperlink" Target="mailto:cescotofer@gmail.com" TargetMode="External"/><Relationship Id="rId87" Type="http://schemas.openxmlformats.org/officeDocument/2006/relationships/hyperlink" Target="mailto:tgarciach@Poder-Judicial.go.cr" TargetMode="External"/><Relationship Id="rId88" Type="http://schemas.openxmlformats.org/officeDocument/2006/relationships/hyperlink" Target="mailto:acespedesl@Poder-Judicial.go.cr" TargetMode="External"/><Relationship Id="rId89" Type="http://schemas.openxmlformats.org/officeDocument/2006/relationships/hyperlink" Target="mailto:ali.garcia@ucr.ac.cr" TargetMode="External"/><Relationship Id="rId90" Type="http://schemas.openxmlformats.org/officeDocument/2006/relationships/hyperlink" Target="mailto:ali.garcia@ucr.ac.cr" TargetMode="External"/><Relationship Id="rId91" Type="http://schemas.openxmlformats.org/officeDocument/2006/relationships/hyperlink" Target="mailto:agutierrezv@poder-judicial.go.cr" TargetMode="External"/><Relationship Id="rId92" Type="http://schemas.openxmlformats.org/officeDocument/2006/relationships/hyperlink" Target="mailto:cromero@poder-judicial.go.cr" TargetMode="External"/><Relationship Id="rId93" Type="http://schemas.openxmlformats.org/officeDocument/2006/relationships/hyperlink" Target="mailto:echavarriaa@Poder-Judicial.go.cr" TargetMode="External"/><Relationship Id="rId94" Type="http://schemas.openxmlformats.org/officeDocument/2006/relationships/hyperlink" Target="mailto:ealfaror@Poder-Judicial.go.cr" TargetMode="External"/><Relationship Id="rId95" Type="http://schemas.openxmlformats.org/officeDocument/2006/relationships/hyperlink" Target="mailto:geyner.blanco@presidencia.go.cr" TargetMode="External"/><Relationship Id="rId96" Type="http://schemas.openxmlformats.org/officeDocument/2006/relationships/hyperlink" Target="mailto:geyner.blanco@presidencia.go.cr" TargetMode="External"/><Relationship Id="rId97" Type="http://schemas.openxmlformats.org/officeDocument/2006/relationships/hyperlink" Target="mailto:vvaras@inamu.go.cr" TargetMode="External"/><Relationship Id="rId98" Type="http://schemas.openxmlformats.org/officeDocument/2006/relationships/hyperlink" Target="mailto:vvaras@inamu.go.cr" TargetMode="External"/><Relationship Id="rId99" Type="http://schemas.openxmlformats.org/officeDocument/2006/relationships/hyperlink" Target="mailto:jmongema@Poder-Judicial.go.cr" TargetMode="External"/><Relationship Id="rId100" Type="http://schemas.openxmlformats.org/officeDocument/2006/relationships/hyperlink" Target="mailto:ljimenezz@Poder-Judicial.go.cr" TargetMode="External"/><Relationship Id="rId101" Type="http://schemas.openxmlformats.org/officeDocument/2006/relationships/hyperlink" Target="mailto:marcos.guevara@ucr.ac.cr" TargetMode="External"/><Relationship Id="rId102" Type="http://schemas.openxmlformats.org/officeDocument/2006/relationships/hyperlink" Target="mailto:marcos.guevara@ucr.ac.cr" TargetMode="External"/><Relationship Id="rId103" Type="http://schemas.openxmlformats.org/officeDocument/2006/relationships/hyperlink" Target="mailto:mherrera@dhr.go.cr" TargetMode="External"/><Relationship Id="rId104" Type="http://schemas.openxmlformats.org/officeDocument/2006/relationships/hyperlink" Target="mailto:mherrera@dhr.go.cr" TargetMode="External"/><Relationship Id="rId105" Type="http://schemas.openxmlformats.org/officeDocument/2006/relationships/hyperlink" Target="mailto:spizarro@Poder-Judicial.go.cr" TargetMode="External"/><Relationship Id="rId106" Type="http://schemas.openxmlformats.org/officeDocument/2006/relationships/hyperlink" Target="mailto:vvillalobos@Poder-Judicial.go.cr" TargetMode="External"/><Relationship Id="rId107" Type="http://schemas.openxmlformats.org/officeDocument/2006/relationships/hyperlink" Target="mailto:yferreto@Poder-Judicial.go.cr" TargetMode="External"/><Relationship Id="rId108" Type="http://schemas.openxmlformats.org/officeDocument/2006/relationships/hyperlink" Target="mailto:conamaj-pciudadana@Poder-Judicial.go.cr" TargetMode="External"/><Relationship Id="rId109" Type="http://schemas.openxmlformats.org/officeDocument/2006/relationships/hyperlink" Target="mailto:jolaso@Poder-Judicial.go.cr" TargetMode="External"/><Relationship Id="rId110" Type="http://schemas.openxmlformats.org/officeDocument/2006/relationships/hyperlink" Target="mailto:jcalderona@Poder-Judicial.go.cr" TargetMode="External"/><Relationship Id="rId111" Type="http://schemas.openxmlformats.org/officeDocument/2006/relationships/hyperlink" Target="mailto:mbenavidesv@Poder-Judicial.go.cr" TargetMode="External"/><Relationship Id="rId112" Type="http://schemas.openxmlformats.org/officeDocument/2006/relationships/hyperlink" Target="mailto:dvargas@Poder-Judicial.go.cr" TargetMode="External"/><Relationship Id="rId113" Type="http://schemas.openxmlformats.org/officeDocument/2006/relationships/hyperlink" Target="mailto:lorozcob@Poder-Judicial.go.cr" TargetMode="External"/><Relationship Id="rId114" Type="http://schemas.openxmlformats.org/officeDocument/2006/relationships/hyperlink" Target="mailto:mcamposs@Poder-Judicial.go.cr" TargetMode="External"/><Relationship Id="rId115" Type="http://schemas.openxmlformats.org/officeDocument/2006/relationships/image" Target="media/image15.wmf"/><Relationship Id="rId116" Type="http://schemas.openxmlformats.org/officeDocument/2006/relationships/hyperlink" Target="mailto:roberthmv1974@gmail.com" TargetMode="External"/><Relationship Id="rId117" Type="http://schemas.openxmlformats.org/officeDocument/2006/relationships/hyperlink" Target="mailto:yastorga@aya.go.cr" TargetMode="External"/><Relationship Id="rId118" Type="http://schemas.openxmlformats.org/officeDocument/2006/relationships/hyperlink" Target="mailto:ggamboa@aya.go.cr" TargetMode="External"/><Relationship Id="rId119" Type="http://schemas.openxmlformats.org/officeDocument/2006/relationships/hyperlink" Target="mailto:alice.harding.shackelford@one.un.org" TargetMode="External"/><Relationship Id="rId120" Type="http://schemas.openxmlformats.org/officeDocument/2006/relationships/hyperlink" Target="mailto:dialogociudadano@presidencia.go.cr" TargetMode="External"/><Relationship Id="rId121" Type="http://schemas.openxmlformats.org/officeDocument/2006/relationships/hyperlink" Target="mailto:vjimenez342@gmail.com" TargetMode="External"/><Relationship Id="rId122" Type="http://schemas.openxmlformats.org/officeDocument/2006/relationships/hyperlink" Target="mailto:dvargas@Poder-Judicial.go.cr" TargetMode="External"/><Relationship Id="rId123" Type="http://schemas.openxmlformats.org/officeDocument/2006/relationships/hyperlink" Target="mailto:mherrera@dhr.go.cr" TargetMode="External"/><Relationship Id="rId124" Type="http://schemas.openxmlformats.org/officeDocument/2006/relationships/hyperlink" Target="mailto:roberthmv1974@gmail.com" TargetMode="External"/><Relationship Id="rId125" Type="http://schemas.openxmlformats.org/officeDocument/2006/relationships/hyperlink" Target="mailto:yastorga@aya.go.cr" TargetMode="External"/><Relationship Id="rId126" Type="http://schemas.openxmlformats.org/officeDocument/2006/relationships/hyperlink" Target="mailto:ggamboa@aya.go.cr" TargetMode="External"/><Relationship Id="rId127" Type="http://schemas.openxmlformats.org/officeDocument/2006/relationships/hyperlink" Target="mailto:alice.harding.shackelford@one.un.org" TargetMode="External"/><Relationship Id="rId128" Type="http://schemas.openxmlformats.org/officeDocument/2006/relationships/hyperlink" Target="mailto:dialogociudadano@presidencia.go.cr" TargetMode="External"/><Relationship Id="rId129" Type="http://schemas.openxmlformats.org/officeDocument/2006/relationships/hyperlink" Target="mailto:vjimenez342@gmail.com" TargetMode="External"/><Relationship Id="rId130" Type="http://schemas.openxmlformats.org/officeDocument/2006/relationships/hyperlink" Target="mailto:mherrera@dhr.go.cr" TargetMode="External"/><Relationship Id="rId131" Type="http://schemas.openxmlformats.org/officeDocument/2006/relationships/hyperlink" Target="mailto:dmonterom@Poder-Judicial.go.cr" TargetMode="External"/><Relationship Id="rId132" Type="http://schemas.openxmlformats.org/officeDocument/2006/relationships/hyperlink" Target="mailto:defensapublica@Poder-Judicial.go.cr" TargetMode="External"/><Relationship Id="rId133" Type="http://schemas.openxmlformats.org/officeDocument/2006/relationships/hyperlink" Target="mailto:enunezr@Poder-Judicial.go.cr" TargetMode="External"/><Relationship Id="rId134" Type="http://schemas.openxmlformats.org/officeDocument/2006/relationships/hyperlink" Target="mailto:ljimenezz@Poder-Judicial.go.cr" TargetMode="External"/><Relationship Id="rId135" Type="http://schemas.openxmlformats.org/officeDocument/2006/relationships/hyperlink" Target="mailto:despacho_pre@Poder-Judicial.go.cr" TargetMode="External"/><Relationship Id="rId136" Type="http://schemas.openxmlformats.org/officeDocument/2006/relationships/hyperlink" Target="mailto:mbenavidesv@Poder-Judicial.go.cr" TargetMode="External"/><Relationship Id="rId137" Type="http://schemas.openxmlformats.org/officeDocument/2006/relationships/hyperlink" Target="mailto:jmoralesr@Poder-Judicial.go.cr" TargetMode="External"/><Relationship Id="rId138" Type="http://schemas.openxmlformats.org/officeDocument/2006/relationships/hyperlink" Target="mailto:dvargas@Poder-Judicial.go.cr" TargetMode="External"/><Relationship Id="rId139" Type="http://schemas.openxmlformats.org/officeDocument/2006/relationships/hyperlink" Target="mailto:ksalazard@Poder-Judicial.go.cr" TargetMode="External"/><Relationship Id="rId140" Type="http://schemas.openxmlformats.org/officeDocument/2006/relationships/image" Target="media/image16.png"/><Relationship Id="rId141" Type="http://schemas.openxmlformats.org/officeDocument/2006/relationships/hyperlink" Target="mailto:dvargas@Poder-Judicial.go.cr" TargetMode="External"/><Relationship Id="rId142" Type="http://schemas.openxmlformats.org/officeDocument/2006/relationships/hyperlink" Target="mailto:fgeneral@Poder-Judicial.go.cr" TargetMode="External"/><Relationship Id="rId143" Type="http://schemas.openxmlformats.org/officeDocument/2006/relationships/hyperlink" Target="mailto:enavas@Poder-Judicial.go.cr" TargetMode="External"/><Relationship Id="rId144" Type="http://schemas.openxmlformats.org/officeDocument/2006/relationships/hyperlink" Target="mailto:fai-mp@Poder-Judicial.go.cr" TargetMode="External"/><Relationship Id="rId145" Type="http://schemas.openxmlformats.org/officeDocument/2006/relationships/hyperlink" Target="mailto:acespedesl@Poder-Judicial.go.cr" TargetMode="External"/><Relationship Id="rId146" Type="http://schemas.openxmlformats.org/officeDocument/2006/relationships/hyperlink" Target="mailto:tgarciach@Poder-Judicial.go.cr" TargetMode="External"/><Relationship Id="rId147" Type="http://schemas.openxmlformats.org/officeDocument/2006/relationships/hyperlink" Target="mailto:victimadelito@Poder-Judicial.go.cr" TargetMode="External"/><Relationship Id="rId148" Type="http://schemas.openxmlformats.org/officeDocument/2006/relationships/hyperlink" Target="mailto:sarcemo@Poder-Judicial.go.cr" TargetMode="External"/><Relationship Id="rId149" Type="http://schemas.openxmlformats.org/officeDocument/2006/relationships/hyperlink" Target="mailto:ditso.org@gmail.com" TargetMode="External"/><Relationship Id="rId150" Type="http://schemas.openxmlformats.org/officeDocument/2006/relationships/hyperlink" Target="mailto:despachopresidente@presidencia.go.cr" TargetMode="External"/><Relationship Id="rId151" Type="http://schemas.openxmlformats.org/officeDocument/2006/relationships/hyperlink" Target="mailto:randall.otarola@presidencia.go.cr" TargetMode="External"/><Relationship Id="rId152" Type="http://schemas.openxmlformats.org/officeDocument/2006/relationships/hyperlink" Target="mailto:dvargas@Poder-Judicial.go.cr" TargetMode="External"/><Relationship Id="rId153" Type="http://schemas.openxmlformats.org/officeDocument/2006/relationships/hyperlink" Target="mailto:despachoministro@seguridadpublica.go.cr" TargetMode="External"/><Relationship Id="rId154" Type="http://schemas.openxmlformats.org/officeDocument/2006/relationships/hyperlink" Target="mailto:despacho@inamu.go.cr" TargetMode="External"/><Relationship Id="rId155" Type="http://schemas.openxmlformats.org/officeDocument/2006/relationships/hyperlink" Target="mailto:apaniagua@dhr.go.cr" TargetMode="External"/><Relationship Id="rId156" Type="http://schemas.openxmlformats.org/officeDocument/2006/relationships/hyperlink" Target="mailto:alice.harding.shakelford@one.un.org" TargetMode="External"/><Relationship Id="rId157" Type="http://schemas.openxmlformats.org/officeDocument/2006/relationships/hyperlink" Target="mailto:bacheltm@ohchr.org" TargetMode="External"/><Relationship Id="rId158" Type="http://schemas.openxmlformats.org/officeDocument/2006/relationships/hyperlink" Target="mailto:PAbrao@oas.org" TargetMode="External"/><Relationship Id="rId159" Type="http://schemas.openxmlformats.org/officeDocument/2006/relationships/hyperlink" Target="mailto:ditso.org@gmail.com" TargetMode="External"/><Relationship Id="rId160" Type="http://schemas.openxmlformats.org/officeDocument/2006/relationships/hyperlink" Target="mailto:despachopresidente@presidencia.go.cr" TargetMode="External"/><Relationship Id="rId161" Type="http://schemas.openxmlformats.org/officeDocument/2006/relationships/hyperlink" Target="mailto:randall.otarola@presidencia.go.cr" TargetMode="External"/><Relationship Id="rId162" Type="http://schemas.openxmlformats.org/officeDocument/2006/relationships/hyperlink" Target="mailto:dvargas@Poder-Judicial.go.cr" TargetMode="External"/><Relationship Id="rId163" Type="http://schemas.openxmlformats.org/officeDocument/2006/relationships/hyperlink" Target="mailto:despachoministro@seguridadpublica.go.cr" TargetMode="External"/><Relationship Id="rId164" Type="http://schemas.openxmlformats.org/officeDocument/2006/relationships/hyperlink" Target="mailto:despacho@inamu.go.cr" TargetMode="External"/><Relationship Id="rId165" Type="http://schemas.openxmlformats.org/officeDocument/2006/relationships/hyperlink" Target="mailto:apaniagua@dhr.go.cr" TargetMode="External"/><Relationship Id="rId166" Type="http://schemas.openxmlformats.org/officeDocument/2006/relationships/hyperlink" Target="mailto:alice.harding.shakelford@one.un.org" TargetMode="External"/><Relationship Id="rId167" Type="http://schemas.openxmlformats.org/officeDocument/2006/relationships/hyperlink" Target="mailto:bacheltm@ohchr.org" TargetMode="External"/><Relationship Id="rId168" Type="http://schemas.openxmlformats.org/officeDocument/2006/relationships/hyperlink" Target="mailto:PAbrao@oas.org" TargetMode="External"/><Relationship Id="rId169" Type="http://schemas.openxmlformats.org/officeDocument/2006/relationships/hyperlink" Target="mailto:ditso.org@gmail.com" TargetMode="External"/><Relationship Id="rId170" Type="http://schemas.openxmlformats.org/officeDocument/2006/relationships/image" Target="media/image17.jpeg"/><Relationship Id="rId171" Type="http://schemas.openxmlformats.org/officeDocument/2006/relationships/footer" Target="footer2.xml"/><Relationship Id="rId172" Type="http://schemas.openxmlformats.org/officeDocument/2006/relationships/numbering" Target="numbering.xml"/><Relationship Id="rId173" Type="http://schemas.openxmlformats.org/officeDocument/2006/relationships/fontTable" Target="fontTable.xml"/><Relationship Id="rId174" Type="http://schemas.openxmlformats.org/officeDocument/2006/relationships/settings" Target="settings.xml"/><Relationship Id="rId175" Type="http://schemas.openxmlformats.org/officeDocument/2006/relationships/theme" Target="theme/theme1.xml"/><Relationship Id="rId176" Type="http://schemas.openxmlformats.org/officeDocument/2006/relationships/customXml" Target="../customXml/item1.xml"/>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Total</c:v>
                </c:pt>
              </c:strCache>
            </c:strRef>
          </c:tx>
          <c:spPr>
            <a:solidFill>
              <a:srgbClr val="4f81bd"/>
            </a:solidFill>
            <a:ln w="0">
              <a:noFill/>
            </a:ln>
          </c:spPr>
          <c:explosion val="0"/>
          <c:dPt>
            <c:idx val="0"/>
            <c:spPr>
              <a:gradFill>
                <a:gsLst>
                  <a:gs pos="0">
                    <a:srgbClr val="688fc4"/>
                  </a:gs>
                  <a:gs pos="100000">
                    <a:srgbClr val="487fc1"/>
                  </a:gs>
                </a:gsLst>
                <a:lin ang="5400000"/>
              </a:gradFill>
              <a:ln w="0">
                <a:noFill/>
              </a:ln>
            </c:spPr>
          </c:dPt>
          <c:dPt>
            <c:idx val="1"/>
            <c:spPr>
              <a:gradFill>
                <a:gsLst>
                  <a:gs pos="0">
                    <a:srgbClr val="c76866"/>
                  </a:gs>
                  <a:gs pos="100000">
                    <a:srgbClr val="c54a47"/>
                  </a:gs>
                </a:gsLst>
                <a:lin ang="5400000"/>
              </a:gradFill>
              <a:ln w="0">
                <a:noFill/>
              </a:ln>
            </c:spPr>
          </c:dPt>
          <c:dPt>
            <c:idx val="2"/>
            <c:spPr>
              <a:gradFill>
                <a:gsLst>
                  <a:gs pos="0">
                    <a:srgbClr val="a6c26f"/>
                  </a:gs>
                  <a:gs pos="100000">
                    <a:srgbClr val="9cbf54"/>
                  </a:gs>
                </a:gsLst>
                <a:lin ang="5400000"/>
              </a:gradFill>
              <a:ln w="0">
                <a:noFill/>
              </a:ln>
            </c:spPr>
          </c:dPt>
          <c:dPt>
            <c:idx val="3"/>
            <c:spPr>
              <a:gradFill>
                <a:gsLst>
                  <a:gs pos="0">
                    <a:srgbClr val="8e77ac"/>
                  </a:gs>
                  <a:gs pos="100000">
                    <a:srgbClr val="7f60a4"/>
                  </a:gs>
                </a:gsLst>
                <a:lin ang="5400000"/>
              </a:gradFill>
              <a:ln w="0">
                <a:noFill/>
              </a:ln>
            </c:spPr>
          </c:dPt>
          <c:dPt>
            <c:idx val="4"/>
            <c:spPr>
              <a:gradFill>
                <a:gsLst>
                  <a:gs pos="0">
                    <a:srgbClr val="65b5cc"/>
                  </a:gs>
                  <a:gs pos="100000">
                    <a:srgbClr val="44afcc"/>
                  </a:gs>
                </a:gsLst>
                <a:lin ang="5400000"/>
              </a:gradFill>
              <a:ln w="0">
                <a:noFill/>
              </a:ln>
            </c:spPr>
          </c:dPt>
          <c:dPt>
            <c:idx val="5"/>
            <c:spPr>
              <a:gradFill>
                <a:gsLst>
                  <a:gs pos="0">
                    <a:srgbClr val="faa163"/>
                  </a:gs>
                  <a:gs pos="100000">
                    <a:srgbClr val="ff943d"/>
                  </a:gs>
                </a:gsLst>
                <a:lin ang="5400000"/>
              </a:gradFill>
              <a:ln w="0">
                <a:noFill/>
              </a:ln>
            </c:spPr>
          </c:dPt>
          <c:dPt>
            <c:idx val="6"/>
            <c:spPr>
              <a:gradFill>
                <a:gsLst>
                  <a:gs pos="0">
                    <a:srgbClr val="536685"/>
                  </a:gs>
                  <a:gs pos="100000">
                    <a:srgbClr val="274c78"/>
                  </a:gs>
                </a:gsLst>
                <a:lin ang="5400000"/>
              </a:gradFill>
              <a:ln w="0">
                <a:noFill/>
              </a:ln>
            </c:spPr>
          </c:dPt>
          <c:dPt>
            <c:idx val="7"/>
            <c:spPr>
              <a:gradFill>
                <a:gsLst>
                  <a:gs pos="0">
                    <a:srgbClr val="885352"/>
                  </a:gs>
                  <a:gs pos="100000">
                    <a:srgbClr val="7a2825"/>
                  </a:gs>
                </a:gsLst>
                <a:lin ang="5400000"/>
              </a:gradFill>
              <a:ln w="0">
                <a:noFill/>
              </a:ln>
            </c:spPr>
          </c:dPt>
          <c:dPt>
            <c:idx val="8"/>
            <c:spPr>
              <a:gradFill>
                <a:gsLst>
                  <a:gs pos="0">
                    <a:srgbClr val="738655"/>
                  </a:gs>
                  <a:gs pos="100000">
                    <a:srgbClr val="60782d"/>
                  </a:gs>
                </a:gsLst>
                <a:lin ang="5400000"/>
              </a:gradFill>
              <a:ln w="0">
                <a:noFill/>
              </a:ln>
            </c:spPr>
          </c:dPt>
          <c:dPt>
            <c:idx val="9"/>
            <c:spPr>
              <a:gradFill>
                <a:gsLst>
                  <a:gs pos="0">
                    <a:srgbClr val="665b76"/>
                  </a:gs>
                  <a:gs pos="100000">
                    <a:srgbClr val="4c3863"/>
                  </a:gs>
                </a:gsLst>
                <a:lin ang="5400000"/>
              </a:gradFill>
              <a:ln w="0">
                <a:noFill/>
              </a:ln>
            </c:spPr>
          </c:dPt>
          <c:dPt>
            <c:idx val="10"/>
            <c:spPr>
              <a:gradFill>
                <a:gsLst>
                  <a:gs pos="0">
                    <a:srgbClr val="517c8c"/>
                  </a:gs>
                  <a:gs pos="100000">
                    <a:srgbClr val="226c80"/>
                  </a:gs>
                </a:gsLst>
                <a:lin ang="5400000"/>
              </a:gradFill>
              <a:ln w="0">
                <a:noFill/>
              </a:ln>
            </c:spPr>
          </c:dPt>
          <c:dPt>
            <c:idx val="11"/>
            <c:spPr>
              <a:gradFill>
                <a:gsLst>
                  <a:gs pos="0">
                    <a:srgbClr val="c16c4b"/>
                  </a:gs>
                  <a:gs pos="100000">
                    <a:srgbClr val="bd5500"/>
                  </a:gs>
                </a:gsLst>
                <a:lin ang="5400000"/>
              </a:gradFill>
              <a:ln w="0">
                <a:noFill/>
              </a:ln>
            </c:spPr>
          </c:dPt>
          <c:dPt>
            <c:idx val="12"/>
            <c:spPr>
              <a:gradFill>
                <a:gsLst>
                  <a:gs pos="0">
                    <a:srgbClr val="83a5d0"/>
                  </a:gs>
                  <a:gs pos="100000">
                    <a:srgbClr val="6e99ce"/>
                  </a:gs>
                </a:gsLst>
                <a:lin ang="5400000"/>
              </a:gradFill>
              <a:ln w="0">
                <a:noFill/>
              </a:ln>
            </c:spPr>
          </c:dPt>
          <c:dPt>
            <c:idx val="13"/>
            <c:spPr>
              <a:gradFill>
                <a:gsLst>
                  <a:gs pos="0">
                    <a:srgbClr val="d38382"/>
                  </a:gs>
                  <a:gs pos="100000">
                    <a:srgbClr val="d06f6b"/>
                  </a:gs>
                </a:gsLst>
                <a:lin ang="5400000"/>
              </a:gradFill>
              <a:ln w="0">
                <a:noFill/>
              </a:ln>
            </c:spPr>
          </c:dPt>
          <c:dPt>
            <c:idx val="14"/>
            <c:spPr>
              <a:gradFill>
                <a:gsLst>
                  <a:gs pos="0">
                    <a:srgbClr val="b7cf8a"/>
                  </a:gs>
                  <a:gs pos="100000">
                    <a:srgbClr val="afcc75"/>
                  </a:gs>
                </a:gsLst>
                <a:lin ang="5400000"/>
              </a:gradFill>
              <a:ln w="0">
                <a:noFill/>
              </a:ln>
            </c:spPr>
          </c:dPt>
          <c:dLbls>
            <c:dLbl>
              <c:idx val="0"/>
              <c:txPr>
                <a:bodyPr wrap="square"/>
                <a:lstStyle/>
                <a:p>
                  <a:pPr>
                    <a:defRPr b="0" sz="1050" spc="-1" strike="noStrike">
                      <a:solidFill>
                        <a:srgbClr val="404040"/>
                      </a:solidFill>
                      <a:latin typeface="Calibri"/>
                    </a:defRPr>
                  </a:pPr>
                </a:p>
              </c:txPr>
              <c:tx>
                <c:rich>
                  <a:bodyPr/>
                  <a:p>
                    <a:r>
                      <a:rPr b="0" sz="1050" spc="-1" strike="noStrike">
                        <a:solidFill>
                          <a:srgbClr val="404040"/>
                        </a:solidFill>
                        <a:latin typeface="Calibri"/>
                      </a:rPr>
                      <a:t>29 %</a:t>
                    </a:r>
                  </a:p>
                </c:rich>
              </c:tx>
              <c:dLblPos val="bestFit"/>
              <c:showLegendKey val="0"/>
              <c:showVal val="0"/>
              <c:showCatName val="0"/>
              <c:showSerName val="0"/>
              <c:showPercent val="1"/>
              <c:separator>
</c:separator>
            </c:dLbl>
            <c:dLbl>
              <c:idx val="1"/>
              <c:txPr>
                <a:bodyPr wrap="square"/>
                <a:lstStyle/>
                <a:p>
                  <a:pPr>
                    <a:defRPr b="0" sz="1050" spc="-1" strike="noStrike">
                      <a:solidFill>
                        <a:srgbClr val="404040"/>
                      </a:solidFill>
                      <a:latin typeface="Calibri"/>
                    </a:defRPr>
                  </a:pPr>
                </a:p>
              </c:txPr>
              <c:tx>
                <c:rich>
                  <a:bodyPr/>
                  <a:p>
                    <a:r>
                      <a:rPr b="0" sz="1050" spc="-1" strike="noStrike">
                        <a:solidFill>
                          <a:srgbClr val="404040"/>
                        </a:solidFill>
                        <a:latin typeface="Calibri"/>
                      </a:rPr>
                      <a:t>26 %</a:t>
                    </a:r>
                  </a:p>
                </c:rich>
              </c:tx>
              <c:dLblPos val="bestFit"/>
              <c:showLegendKey val="0"/>
              <c:showVal val="0"/>
              <c:showCatName val="0"/>
              <c:showSerName val="0"/>
              <c:showPercent val="1"/>
              <c:separator>
</c:separator>
            </c:dLbl>
            <c:dLbl>
              <c:idx val="2"/>
              <c:txPr>
                <a:bodyPr wrap="square"/>
                <a:lstStyle/>
                <a:p>
                  <a:pPr>
                    <a:defRPr b="0" sz="1050" spc="-1" strike="noStrike">
                      <a:solidFill>
                        <a:srgbClr val="404040"/>
                      </a:solidFill>
                      <a:latin typeface="Calibri"/>
                    </a:defRPr>
                  </a:pPr>
                </a:p>
              </c:txPr>
              <c:tx>
                <c:rich>
                  <a:bodyPr/>
                  <a:p>
                    <a:r>
                      <a:rPr b="0" sz="1050" spc="-1" strike="noStrike">
                        <a:solidFill>
                          <a:srgbClr val="404040"/>
                        </a:solidFill>
                        <a:latin typeface="Calibri"/>
                      </a:rPr>
                      <a:t>12 %</a:t>
                    </a:r>
                  </a:p>
                </c:rich>
              </c:tx>
              <c:dLblPos val="bestFit"/>
              <c:showLegendKey val="0"/>
              <c:showVal val="0"/>
              <c:showCatName val="0"/>
              <c:showSerName val="0"/>
              <c:showPercent val="1"/>
              <c:separator>
</c:separator>
            </c:dLbl>
            <c:dLbl>
              <c:idx val="3"/>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4"/>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5"/>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6"/>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7"/>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8"/>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9"/>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0"/>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1"/>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2"/>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3"/>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4"/>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showLeaderLines val="0"/>
          </c:dLbls>
          <c:cat>
            <c:strRef>
              <c:f>categories</c:f>
              <c:strCache>
                <c:ptCount val="15"/>
                <c:pt idx="0">
                  <c:v>DEFENSA PÚBLICA DE BRIBRI</c:v>
                </c:pt>
                <c:pt idx="1">
                  <c:v>DEFENSA PÚBLICA DE BUENOS AIRES</c:v>
                </c:pt>
                <c:pt idx="2">
                  <c:v>DEFENSA PÚBLICA DE LIMÓN</c:v>
                </c:pt>
                <c:pt idx="3">
                  <c:v>DEFENSA PÚBLICA DE TURRIALBA</c:v>
                </c:pt>
                <c:pt idx="4">
                  <c:v>DEFENSA PÚBLICA DE CORREDORES</c:v>
                </c:pt>
                <c:pt idx="5">
                  <c:v>DEFENSA PÚBLICA DE SAN JOSÉ</c:v>
                </c:pt>
                <c:pt idx="6">
                  <c:v>DEFENSA PÚBLICA DE COTO BRUS</c:v>
                </c:pt>
                <c:pt idx="7">
                  <c:v>DEFENSA PÚBLICA NICOYA</c:v>
                </c:pt>
                <c:pt idx="8">
                  <c:v>DEFENSA PÚBLICA SAN CARLOS</c:v>
                </c:pt>
                <c:pt idx="9">
                  <c:v>DEFENSA PÚBLICA GUATUSO</c:v>
                </c:pt>
                <c:pt idx="10">
                  <c:v>DEFENSA PÚBLICA DE BATAÁN</c:v>
                </c:pt>
                <c:pt idx="11">
                  <c:v>DEFENSA PÚBLICA DE GOLFITO</c:v>
                </c:pt>
                <c:pt idx="12">
                  <c:v>DEFENSA PÚBLICA DE PURISCAL</c:v>
                </c:pt>
                <c:pt idx="13">
                  <c:v>DEFENSA PÚBLICA DE SIQUIRRES</c:v>
                </c:pt>
                <c:pt idx="14">
                  <c:v>DEFENSA PÚBLICA DE PÉREZ ZELEDÓN</c:v>
                </c:pt>
              </c:strCache>
            </c:strRef>
          </c:cat>
          <c:val>
            <c:numRef>
              <c:f>0</c:f>
              <c:numCache>
                <c:formatCode>General</c:formatCode>
                <c:ptCount val="15"/>
                <c:pt idx="0">
                  <c:v>0.287062398908078</c:v>
                </c:pt>
                <c:pt idx="1">
                  <c:v>0.262197265453856</c:v>
                </c:pt>
                <c:pt idx="2">
                  <c:v>0.12425865924149</c:v>
                </c:pt>
                <c:pt idx="3">
                  <c:v>0.0782973362761885</c:v>
                </c:pt>
                <c:pt idx="4">
                  <c:v>0.0692141401375005</c:v>
                </c:pt>
                <c:pt idx="5">
                  <c:v>0.0405140856032733</c:v>
                </c:pt>
                <c:pt idx="6">
                  <c:v>0.0368028716548818</c:v>
                </c:pt>
                <c:pt idx="7">
                  <c:v>0.0347410861279977</c:v>
                </c:pt>
                <c:pt idx="8">
                  <c:v>0.0144995067178127</c:v>
                </c:pt>
                <c:pt idx="9">
                  <c:v>0.0144995067178127</c:v>
                </c:pt>
                <c:pt idx="10">
                  <c:v>0.0127995645508967</c:v>
                </c:pt>
                <c:pt idx="11">
                  <c:v>0.0103295454896895</c:v>
                </c:pt>
                <c:pt idx="12">
                  <c:v>0.0093192705815163</c:v>
                </c:pt>
                <c:pt idx="13">
                  <c:v>0.00329988773577806</c:v>
                </c:pt>
                <c:pt idx="14">
                  <c:v>0.00216487480322834</c:v>
                </c:pt>
              </c:numCache>
            </c:numRef>
          </c:val>
        </c:ser>
        <c:firstSliceAng val="0"/>
      </c:pieChart>
      <c:spPr>
        <a:noFill/>
        <a:ln w="0">
          <a:noFill/>
        </a:ln>
      </c:spPr>
    </c:plotArea>
    <c:legend>
      <c:legendPos val="r"/>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Suma de Circulante inicial</c:v>
                </c:pt>
              </c:strCache>
            </c:strRef>
          </c:tx>
          <c:spPr>
            <a:gradFill>
              <a:gsLst>
                <a:gs pos="0">
                  <a:srgbClr val="bfd4fe"/>
                </a:gs>
                <a:gs pos="100000">
                  <a:srgbClr val="e5efff"/>
                </a:gs>
              </a:gsLst>
              <a:lin ang="16200000"/>
            </a:gradFill>
            <a:ln w="9360">
              <a:solidFill>
                <a:srgbClr val="4d7eb8"/>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Total</c:v>
                </c:pt>
              </c:strCache>
            </c:strRef>
          </c:cat>
          <c:val>
            <c:numRef>
              <c:f>0</c:f>
              <c:numCache>
                <c:formatCode>General</c:formatCode>
                <c:ptCount val="1"/>
                <c:pt idx="0">
                  <c:v>1848</c:v>
                </c:pt>
              </c:numCache>
            </c:numRef>
          </c:val>
        </c:ser>
        <c:ser>
          <c:idx val="1"/>
          <c:order val="1"/>
          <c:tx>
            <c:strRef>
              <c:f>label 1</c:f>
              <c:strCache>
                <c:ptCount val="1"/>
                <c:pt idx="0">
                  <c:v>Suma de Entrados </c:v>
                </c:pt>
              </c:strCache>
            </c:strRef>
          </c:tx>
          <c:spPr>
            <a:gradFill>
              <a:gsLst>
                <a:gs pos="0">
                  <a:srgbClr val="ffc1be"/>
                </a:gs>
                <a:gs pos="100000">
                  <a:srgbClr val="ffe5e5"/>
                </a:gs>
              </a:gsLst>
              <a:lin ang="16200000"/>
            </a:gradFill>
            <a:ln w="9360">
              <a:solidFill>
                <a:srgbClr val="bb4e4b"/>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Total</c:v>
                </c:pt>
              </c:strCache>
            </c:strRef>
          </c:cat>
          <c:val>
            <c:numRef>
              <c:f>1</c:f>
              <c:numCache>
                <c:formatCode>General</c:formatCode>
                <c:ptCount val="1"/>
                <c:pt idx="0">
                  <c:v>1317</c:v>
                </c:pt>
              </c:numCache>
            </c:numRef>
          </c:val>
        </c:ser>
        <c:ser>
          <c:idx val="2"/>
          <c:order val="2"/>
          <c:tx>
            <c:strRef>
              <c:f>label 2</c:f>
              <c:strCache>
                <c:ptCount val="1"/>
                <c:pt idx="0">
                  <c:v>Suma de Terminados</c:v>
                </c:pt>
              </c:strCache>
            </c:strRef>
          </c:tx>
          <c:spPr>
            <a:gradFill>
              <a:gsLst>
                <a:gs pos="0">
                  <a:srgbClr val="e3fbc2"/>
                </a:gs>
                <a:gs pos="100000">
                  <a:srgbClr val="f4ffe6"/>
                </a:gs>
              </a:gsLst>
              <a:lin ang="16200000"/>
            </a:gradFill>
            <a:ln w="9360">
              <a:solidFill>
                <a:srgbClr val="97b657"/>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Total</c:v>
                </c:pt>
              </c:strCache>
            </c:strRef>
          </c:cat>
          <c:val>
            <c:numRef>
              <c:f>2</c:f>
              <c:numCache>
                <c:formatCode>General</c:formatCode>
                <c:ptCount val="1"/>
                <c:pt idx="0">
                  <c:v>975</c:v>
                </c:pt>
              </c:numCache>
            </c:numRef>
          </c:val>
        </c:ser>
        <c:ser>
          <c:idx val="3"/>
          <c:order val="3"/>
          <c:tx>
            <c:strRef>
              <c:f>label 3</c:f>
              <c:strCache>
                <c:ptCount val="1"/>
                <c:pt idx="0">
                  <c:v>Suma de Circulante final</c:v>
                </c:pt>
              </c:strCache>
            </c:strRef>
          </c:tx>
          <c:spPr>
            <a:gradFill>
              <a:gsLst>
                <a:gs pos="0">
                  <a:srgbClr val="d9caee"/>
                </a:gs>
                <a:gs pos="100000">
                  <a:srgbClr val="f1eaf8"/>
                </a:gs>
              </a:gsLst>
              <a:lin ang="16200000"/>
            </a:gradFill>
            <a:ln w="9360">
              <a:solidFill>
                <a:srgbClr val="7d619e"/>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Total</c:v>
                </c:pt>
              </c:strCache>
            </c:strRef>
          </c:cat>
          <c:val>
            <c:numRef>
              <c:f>3</c:f>
              <c:numCache>
                <c:formatCode>General</c:formatCode>
                <c:ptCount val="1"/>
                <c:pt idx="0">
                  <c:v>2454</c:v>
                </c:pt>
              </c:numCache>
            </c:numRef>
          </c:val>
        </c:ser>
        <c:gapWidth val="100"/>
        <c:overlap val="-24"/>
        <c:axId val="17967817"/>
        <c:axId val="89930837"/>
      </c:barChart>
      <c:catAx>
        <c:axId val="17967817"/>
        <c:scaling>
          <c:orientation val="minMax"/>
        </c:scaling>
        <c:delete val="1"/>
        <c:axPos val="b"/>
        <c:numFmt formatCode="[$-140A]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89930837"/>
        <c:auto val="1"/>
        <c:lblAlgn val="ctr"/>
        <c:lblOffset val="100"/>
        <c:noMultiLvlLbl val="0"/>
      </c:catAx>
      <c:valAx>
        <c:axId val="8993083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808080"/>
                </a:solidFill>
                <a:latin typeface="Calibri"/>
              </a:defRPr>
            </a:pPr>
          </a:p>
        </c:txPr>
        <c:crossAx val="17967817"/>
        <c:crosses val="autoZero"/>
        <c:crossBetween val="between"/>
      </c:valAx>
      <c:spPr>
        <a:noFill/>
        <a:ln w="0">
          <a:noFill/>
        </a:ln>
      </c:spPr>
    </c:plotArea>
    <c:legend>
      <c:legendPos val="r"/>
      <c:overlay val="0"/>
      <c:spPr>
        <a:noFill/>
        <a:ln w="0">
          <a:noFill/>
        </a:ln>
      </c:spPr>
      <c:txPr>
        <a:bodyPr/>
        <a:lstStyle/>
        <a:p>
          <a:pPr>
            <a:defRPr b="0" sz="900" spc="-1" strike="noStrike">
              <a:solidFill>
                <a:srgbClr val="808080"/>
              </a:solidFill>
              <a:latin typeface="Calibri"/>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Suma de Juzdos Agrarios</c:v>
                </c:pt>
              </c:strCache>
            </c:strRef>
          </c:tx>
          <c:spPr>
            <a:gradFill>
              <a:gsLst>
                <a:gs pos="0">
                  <a:srgbClr val="2e5f99"/>
                </a:gs>
                <a:gs pos="100000">
                  <a:srgbClr val="3c7ac7"/>
                </a:gs>
              </a:gsLst>
              <a:lin ang="16200000"/>
            </a:gra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Total</c:v>
                </c:pt>
              </c:strCache>
            </c:strRef>
          </c:cat>
          <c:val>
            <c:numRef>
              <c:f>0</c:f>
              <c:numCache>
                <c:formatCode>General</c:formatCode>
                <c:ptCount val="1"/>
                <c:pt idx="0">
                  <c:v>2822</c:v>
                </c:pt>
              </c:numCache>
            </c:numRef>
          </c:val>
        </c:ser>
        <c:ser>
          <c:idx val="1"/>
          <c:order val="1"/>
          <c:tx>
            <c:strRef>
              <c:f>label 1</c:f>
              <c:strCache>
                <c:ptCount val="1"/>
                <c:pt idx="0">
                  <c:v>Suma de Defensa Pública</c:v>
                </c:pt>
              </c:strCache>
            </c:strRef>
          </c:tx>
          <c:spPr>
            <a:gradFill>
              <a:gsLst>
                <a:gs pos="0">
                  <a:srgbClr val="9c2f2c"/>
                </a:gs>
                <a:gs pos="100000">
                  <a:srgbClr val="cb3d39"/>
                </a:gs>
              </a:gsLst>
              <a:lin ang="16200000"/>
            </a:gra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Total</c:v>
                </c:pt>
              </c:strCache>
            </c:strRef>
          </c:cat>
          <c:val>
            <c:numRef>
              <c:f>1</c:f>
              <c:numCache>
                <c:formatCode>General</c:formatCode>
                <c:ptCount val="1"/>
                <c:pt idx="0">
                  <c:v>975</c:v>
                </c:pt>
              </c:numCache>
            </c:numRef>
          </c:val>
        </c:ser>
        <c:gapWidth val="150"/>
        <c:overlap val="-25"/>
        <c:axId val="9092672"/>
        <c:axId val="53996549"/>
      </c:barChart>
      <c:catAx>
        <c:axId val="9092672"/>
        <c:scaling>
          <c:orientation val="minMax"/>
        </c:scaling>
        <c:delete val="1"/>
        <c:axPos val="b"/>
        <c:numFmt formatCode="[$-140A]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3996549"/>
        <c:auto val="1"/>
        <c:lblAlgn val="ctr"/>
        <c:lblOffset val="100"/>
        <c:noMultiLvlLbl val="0"/>
      </c:catAx>
      <c:valAx>
        <c:axId val="53996549"/>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9092672"/>
        <c:crossBetween val="between"/>
      </c:valAx>
      <c:spPr>
        <a:noFill/>
        <a:ln w="0">
          <a:noFill/>
        </a:ln>
      </c:spPr>
    </c:plotArea>
    <c:legend>
      <c:legendPos val="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217375"/>
          <c:y val="0.088"/>
          <c:w val="0.7020625"/>
          <c:h val="0.698777777777778"/>
        </c:manualLayout>
      </c:layout>
      <c:barChart>
        <c:barDir val="col"/>
        <c:grouping val="clustered"/>
        <c:varyColors val="0"/>
        <c:ser>
          <c:idx val="0"/>
          <c:order val="0"/>
          <c:tx>
            <c:strRef>
              <c:f>label 0</c:f>
              <c:strCache>
                <c:ptCount val="1"/>
                <c:pt idx="0">
                  <c:v>Monto</c:v>
                </c:pt>
              </c:strCache>
            </c:strRef>
          </c:tx>
          <c:spPr>
            <a:solidFill>
              <a:srgbClr val="4f81bd"/>
            </a:solidFill>
            <a:ln w="0">
              <a:noFill/>
            </a:ln>
          </c:spPr>
          <c:invertIfNegative val="0"/>
          <c:dLbls>
            <c:txPr>
              <a:bodyPr wrap="none"/>
              <a:lstStyle/>
              <a:p>
                <a:pPr>
                  <a:defRPr b="0" sz="800" spc="-1" strike="noStrike">
                    <a:solidFill>
                      <a:srgbClr val="000000"/>
                    </a:solidFill>
                    <a:latin typeface="Arial"/>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5"/>
                <c:pt idx="0">
                  <c:v>2017</c:v>
                </c:pt>
                <c:pt idx="1">
                  <c:v>2018</c:v>
                </c:pt>
                <c:pt idx="2">
                  <c:v>2019</c:v>
                </c:pt>
                <c:pt idx="3">
                  <c:v>2020</c:v>
                </c:pt>
                <c:pt idx="4">
                  <c:v>2021</c:v>
                </c:pt>
              </c:strCache>
            </c:strRef>
          </c:cat>
          <c:val>
            <c:numRef>
              <c:f>0</c:f>
              <c:numCache>
                <c:formatCode>General</c:formatCode>
                <c:ptCount val="5"/>
                <c:pt idx="0">
                  <c:v>484302851</c:v>
                </c:pt>
                <c:pt idx="1">
                  <c:v>490432063</c:v>
                </c:pt>
                <c:pt idx="2">
                  <c:v>569632194</c:v>
                </c:pt>
                <c:pt idx="3">
                  <c:v>582373843</c:v>
                </c:pt>
                <c:pt idx="4">
                  <c:v>613869873</c:v>
                </c:pt>
              </c:numCache>
            </c:numRef>
          </c:val>
        </c:ser>
        <c:gapWidth val="150"/>
        <c:overlap val="0"/>
        <c:axId val="55171050"/>
        <c:axId val="27743202"/>
      </c:barChart>
      <c:lineChart>
        <c:grouping val="standard"/>
        <c:varyColors val="0"/>
        <c:ser>
          <c:idx val="1"/>
          <c:order val="1"/>
          <c:tx>
            <c:strRef>
              <c:f>label 1</c:f>
              <c:strCache>
                <c:ptCount val="1"/>
                <c:pt idx="0">
                  <c:v>Monto</c:v>
                </c:pt>
              </c:strCache>
            </c:strRef>
          </c:tx>
          <c:spPr>
            <a:solidFill>
              <a:srgbClr val="c0504d"/>
            </a:solidFill>
            <a:ln cap="rnd" w="12600">
              <a:solidFill>
                <a:srgbClr val="c0504d"/>
              </a:solidFill>
              <a:round/>
            </a:ln>
          </c:spPr>
          <c:marker>
            <c:symbol val="circle"/>
            <c:size val="5"/>
            <c:spPr>
              <a:solidFill>
                <a:srgbClr val="c0504d"/>
              </a:solidFill>
            </c:spPr>
          </c:marker>
          <c:dLbls>
            <c:txPr>
              <a:bodyPr wrap="none"/>
              <a:lstStyle/>
              <a:p>
                <a:pPr>
                  <a:defRPr b="0" sz="800" spc="-1" strike="noStrike">
                    <a:solidFill>
                      <a:srgbClr val="000000"/>
                    </a:solidFill>
                    <a:latin typeface="Arial"/>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5"/>
                <c:pt idx="0">
                  <c:v>2017</c:v>
                </c:pt>
                <c:pt idx="1">
                  <c:v>2018</c:v>
                </c:pt>
                <c:pt idx="2">
                  <c:v>2019</c:v>
                </c:pt>
                <c:pt idx="3">
                  <c:v>2020</c:v>
                </c:pt>
                <c:pt idx="4">
                  <c:v>2021</c:v>
                </c:pt>
              </c:strCache>
            </c:strRef>
          </c:cat>
          <c:val>
            <c:numRef>
              <c:f>1</c:f>
              <c:numCache>
                <c:formatCode>General</c:formatCode>
                <c:ptCount val="5"/>
                <c:pt idx="0">
                  <c:v>484302851</c:v>
                </c:pt>
                <c:pt idx="1">
                  <c:v>490432063</c:v>
                </c:pt>
                <c:pt idx="2">
                  <c:v>569632194</c:v>
                </c:pt>
                <c:pt idx="3">
                  <c:v>582373843</c:v>
                </c:pt>
                <c:pt idx="4">
                  <c:v>613869873</c:v>
                </c:pt>
              </c:numCache>
            </c:numRef>
          </c:val>
          <c:smooth val="0"/>
        </c:ser>
        <c:hiLowLines>
          <c:spPr>
            <a:ln w="0">
              <a:noFill/>
            </a:ln>
          </c:spPr>
        </c:hiLowLines>
        <c:marker val="1"/>
        <c:axId val="55171050"/>
        <c:axId val="27743202"/>
      </c:lineChart>
      <c:lineChart>
        <c:grouping val="standard"/>
        <c:varyColors val="0"/>
        <c:ser>
          <c:idx val="2"/>
          <c:order val="2"/>
          <c:tx>
            <c:strRef>
              <c:f>label 2</c:f>
              <c:strCache>
                <c:ptCount val="1"/>
                <c:pt idx="0">
                  <c:v>Variación</c:v>
                </c:pt>
              </c:strCache>
            </c:strRef>
          </c:tx>
          <c:spPr>
            <a:solidFill>
              <a:srgbClr val="99ccff"/>
            </a:solidFill>
            <a:ln w="28440">
              <a:noFill/>
            </a:ln>
          </c:spPr>
          <c:marker>
            <c:symbol val="none"/>
          </c:marker>
          <c:dPt>
            <c:idx val="1"/>
            <c:marker>
              <c:symbol val="none"/>
            </c:marker>
          </c:dPt>
          <c:dPt>
            <c:idx val="2"/>
            <c:marker>
              <c:symbol val="none"/>
            </c:marker>
          </c:dPt>
          <c:dPt>
            <c:idx val="3"/>
            <c:marker>
              <c:symbol val="none"/>
            </c:marker>
          </c:dPt>
          <c:dPt>
            <c:idx val="4"/>
            <c:marker>
              <c:symbol val="none"/>
            </c:marker>
          </c:dPt>
          <c:dLbls>
            <c:numFmt formatCode="0.0%" sourceLinked="0"/>
            <c:dLbl>
              <c:idx val="1"/>
              <c:layout>
                <c:manualLayout>
                  <c:x val="-0.0537504960421061"/>
                  <c:y val="-0.493692684387606"/>
                </c:manualLayout>
              </c:layout>
              <c:numFmt formatCode="0.0%" sourceLinked="0"/>
              <c:txPr>
                <a:bodyPr wrap="square"/>
                <a:lstStyle/>
                <a:p>
                  <a:pPr>
                    <a:defRPr b="1" sz="800" spc="-1" strike="noStrike">
                      <a:solidFill>
                        <a:srgbClr val="404040"/>
                      </a:solidFill>
                      <a:latin typeface="Arial"/>
                    </a:defRPr>
                  </a:pPr>
                </a:p>
              </c:txPr>
              <c:dLblPos val="r"/>
              <c:showLegendKey val="0"/>
              <c:showVal val="1"/>
              <c:showCatName val="0"/>
              <c:showSerName val="0"/>
              <c:showPercent val="0"/>
              <c:separator>; </c:separator>
            </c:dLbl>
            <c:dLbl>
              <c:idx val="2"/>
              <c:layout>
                <c:manualLayout>
                  <c:x val="-0.0558230121765283"/>
                  <c:y val="-0.0206750162941042"/>
                </c:manualLayout>
              </c:layout>
              <c:numFmt formatCode="0.0%" sourceLinked="0"/>
              <c:txPr>
                <a:bodyPr wrap="square"/>
                <a:lstStyle/>
                <a:p>
                  <a:pPr>
                    <a:defRPr b="1" sz="800" spc="-1" strike="noStrike">
                      <a:solidFill>
                        <a:srgbClr val="404040"/>
                      </a:solidFill>
                      <a:latin typeface="Arial"/>
                    </a:defRPr>
                  </a:pPr>
                </a:p>
              </c:txPr>
              <c:dLblPos val="r"/>
              <c:showLegendKey val="0"/>
              <c:showVal val="1"/>
              <c:showCatName val="0"/>
              <c:showSerName val="0"/>
              <c:showPercent val="0"/>
              <c:separator>; </c:separator>
            </c:dLbl>
            <c:dLbl>
              <c:idx val="3"/>
              <c:layout>
                <c:manualLayout>
                  <c:x val="-0.0587796319889722"/>
                  <c:y val="-0.558973031055682"/>
                </c:manualLayout>
              </c:layout>
              <c:numFmt formatCode="0.0%" sourceLinked="0"/>
              <c:txPr>
                <a:bodyPr wrap="square"/>
                <a:lstStyle/>
                <a:p>
                  <a:pPr>
                    <a:defRPr b="1" sz="800" spc="-1" strike="noStrike">
                      <a:solidFill>
                        <a:srgbClr val="404040"/>
                      </a:solidFill>
                      <a:latin typeface="Arial"/>
                    </a:defRPr>
                  </a:pPr>
                </a:p>
              </c:txPr>
              <c:dLblPos val="r"/>
              <c:showLegendKey val="0"/>
              <c:showVal val="1"/>
              <c:showCatName val="0"/>
              <c:showSerName val="0"/>
              <c:showPercent val="0"/>
              <c:separator>; </c:separator>
            </c:dLbl>
            <c:dLbl>
              <c:idx val="4"/>
              <c:layout>
                <c:manualLayout>
                  <c:x val="-0.0478654524948307"/>
                  <c:y val="-0.459606827670031"/>
                </c:manualLayout>
              </c:layout>
              <c:numFmt formatCode="0.0%" sourceLinked="0"/>
              <c:txPr>
                <a:bodyPr wrap="square"/>
                <a:lstStyle/>
                <a:p>
                  <a:pPr>
                    <a:defRPr b="1" sz="800" spc="-1" strike="noStrike">
                      <a:solidFill>
                        <a:srgbClr val="404040"/>
                      </a:solidFill>
                      <a:latin typeface="Arial"/>
                    </a:defRPr>
                  </a:pPr>
                </a:p>
              </c:txPr>
              <c:dLblPos val="r"/>
              <c:showLegendKey val="0"/>
              <c:showVal val="1"/>
              <c:showCatName val="0"/>
              <c:showSerName val="0"/>
              <c:showPercent val="0"/>
              <c:separator>; </c:separator>
            </c:dLbl>
            <c:txPr>
              <a:bodyPr wrap="square"/>
              <a:lstStyle/>
              <a:p>
                <a:pPr>
                  <a:defRPr b="1" sz="800" spc="-1" strike="noStrike">
                    <a:solidFill>
                      <a:srgbClr val="404040"/>
                    </a:solidFill>
                    <a:latin typeface="Arial"/>
                  </a:defRPr>
                </a:pPr>
              </a:p>
            </c:txPr>
            <c:dLblPos val="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5"/>
                <c:pt idx="0">
                  <c:v>2017</c:v>
                </c:pt>
                <c:pt idx="1">
                  <c:v>2018</c:v>
                </c:pt>
                <c:pt idx="2">
                  <c:v>2019</c:v>
                </c:pt>
                <c:pt idx="3">
                  <c:v>2020</c:v>
                </c:pt>
                <c:pt idx="4">
                  <c:v>2021</c:v>
                </c:pt>
              </c:strCache>
            </c:strRef>
          </c:cat>
          <c:val>
            <c:numRef>
              <c:f>2</c:f>
              <c:numCache>
                <c:formatCode>General</c:formatCode>
                <c:ptCount val="5"/>
                <c:pt idx="1">
                  <c:v>0.0126557421401593</c:v>
                </c:pt>
                <c:pt idx="2">
                  <c:v>0.16149052432569</c:v>
                </c:pt>
                <c:pt idx="3">
                  <c:v>0.0223682037887065</c:v>
                </c:pt>
                <c:pt idx="4">
                  <c:v>0.0540821508015428</c:v>
                </c:pt>
              </c:numCache>
            </c:numRef>
          </c:val>
          <c:smooth val="0"/>
        </c:ser>
        <c:hiLowLines>
          <c:spPr>
            <a:ln w="0">
              <a:noFill/>
            </a:ln>
          </c:spPr>
        </c:hiLowLines>
        <c:marker val="1"/>
        <c:axId val="12666443"/>
        <c:axId val="84445892"/>
      </c:lineChart>
      <c:catAx>
        <c:axId val="5517105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800" spc="-1" strike="noStrike">
                <a:solidFill>
                  <a:srgbClr val="595959"/>
                </a:solidFill>
                <a:latin typeface="Arial"/>
              </a:defRPr>
            </a:pPr>
          </a:p>
        </c:txPr>
        <c:crossAx val="27743202"/>
        <c:crosses val="autoZero"/>
        <c:auto val="1"/>
        <c:lblAlgn val="ctr"/>
        <c:lblOffset val="100"/>
        <c:noMultiLvlLbl val="0"/>
      </c:catAx>
      <c:valAx>
        <c:axId val="27743202"/>
        <c:scaling>
          <c:orientation val="minMax"/>
        </c:scaling>
        <c:delete val="0"/>
        <c:axPos val="l"/>
        <c:numFmt formatCode="#,##0\ ;\-#,##0\ " sourceLinked="0"/>
        <c:majorTickMark val="none"/>
        <c:minorTickMark val="none"/>
        <c:tickLblPos val="nextTo"/>
        <c:spPr>
          <a:ln w="9360">
            <a:noFill/>
          </a:ln>
        </c:spPr>
        <c:txPr>
          <a:bodyPr/>
          <a:lstStyle/>
          <a:p>
            <a:pPr>
              <a:defRPr b="0" sz="800" spc="-1" strike="noStrike">
                <a:solidFill>
                  <a:srgbClr val="595959"/>
                </a:solidFill>
                <a:latin typeface="Arial"/>
              </a:defRPr>
            </a:pPr>
          </a:p>
        </c:txPr>
        <c:crossAx val="55171050"/>
        <c:crosses val="autoZero"/>
        <c:crossBetween val="between"/>
      </c:valAx>
      <c:catAx>
        <c:axId val="12666443"/>
        <c:scaling>
          <c:orientation val="minMax"/>
        </c:scaling>
        <c:delete val="1"/>
        <c:axPos val="t"/>
        <c:numFmt formatCode="[$-140A]dd/mm/yyyy" sourceLinked="1"/>
        <c:majorTickMark val="out"/>
        <c:minorTickMark val="none"/>
        <c:tickLblPos val="nextTo"/>
        <c:spPr>
          <a:ln w="9360">
            <a:solidFill>
              <a:srgbClr val="878787"/>
            </a:solidFill>
            <a:round/>
          </a:ln>
        </c:spPr>
        <c:txPr>
          <a:bodyPr/>
          <a:lstStyle/>
          <a:p>
            <a:pPr>
              <a:defRPr b="0" sz="800" spc="-1" strike="noStrike">
                <a:solidFill>
                  <a:srgbClr val="000000"/>
                </a:solidFill>
                <a:latin typeface="Arial"/>
              </a:defRPr>
            </a:pPr>
          </a:p>
        </c:txPr>
        <c:crossAx val="84445892"/>
        <c:auto val="1"/>
        <c:lblAlgn val="ctr"/>
        <c:lblOffset val="100"/>
        <c:noMultiLvlLbl val="0"/>
      </c:catAx>
      <c:valAx>
        <c:axId val="84445892"/>
        <c:scaling>
          <c:orientation val="minMax"/>
        </c:scaling>
        <c:delete val="0"/>
        <c:axPos val="r"/>
        <c:numFmt formatCode="0.0%" sourceLinked="0"/>
        <c:majorTickMark val="out"/>
        <c:minorTickMark val="none"/>
        <c:tickLblPos val="nextTo"/>
        <c:spPr>
          <a:ln w="9360">
            <a:noFill/>
          </a:ln>
        </c:spPr>
        <c:txPr>
          <a:bodyPr/>
          <a:lstStyle/>
          <a:p>
            <a:pPr>
              <a:defRPr b="0" sz="800" spc="-1" strike="noStrike">
                <a:solidFill>
                  <a:srgbClr val="ffffff"/>
                </a:solidFill>
                <a:latin typeface="Arial"/>
              </a:defRPr>
            </a:pPr>
          </a:p>
        </c:txPr>
        <c:crossAx val="12666443"/>
        <c:crosses val="max"/>
        <c:crossBetween val="between"/>
      </c:valAx>
      <c:spPr>
        <a:noFill/>
        <a:ln w="0">
          <a:noFill/>
        </a:ln>
      </c:spPr>
    </c:plotArea>
    <c:legend>
      <c:legendPos val="b"/>
      <c:overlay val="0"/>
      <c:spPr>
        <a:noFill/>
        <a:ln w="0">
          <a:noFill/>
        </a:ln>
      </c:spPr>
      <c:txPr>
        <a:bodyPr/>
        <a:lstStyle/>
        <a:p>
          <a:pPr>
            <a:defRPr b="0" sz="800" spc="-1" strike="noStrike">
              <a:solidFill>
                <a:srgbClr val="595959"/>
              </a:solidFill>
              <a:latin typeface="Arial"/>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6CE1DA-1B27-45C3-8745-4E496017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LibreOffice/7.0.3.1$Windows_x86 LibreOffice_project/d7547858d014d4cf69878db179d326fc3483e082</Application>
  <Pages>73</Pages>
  <Words>54699</Words>
  <Characters>301242</Characters>
  <CharactersWithSpaces>354689</CharactersWithSpaces>
  <Paragraphs>2524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2021-02-16T22:45:00Z</dcterms:created>
  <dc:creator>KSALAZARD</dc:creator>
  <dc:description/>
  <dc:language>es-CR</dc:language>
  <cp:lastModifiedBy>Francini Vindas Vargas</cp:lastModifiedBy>
  <cp:lastPrinted>2020-04-14T02:06:00Z</cp:lastPrinted>
  <dcterms:modified xsi:type="dcterms:W3CDTF">2021-02-16T22:45:00Z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