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wmf" ContentType="image/x-wmf"/>
  <Override PartName="/word/media/image4.jpeg" ContentType="image/jpeg"/>
  <Override PartName="/word/media/image3.wmf" ContentType="image/x-wmf"/>
  <Override PartName="/word/media/image5.wmf" ContentType="image/x-wmf"/>
  <Override PartName="/word/media/image6.wmf" ContentType="image/x-wmf"/>
  <Override PartName="/word/media/image7.jpeg" ContentType="image/jpeg"/>
  <Override PartName="/word/media/image8.jpeg" ContentType="image/jpeg"/>
  <Override PartName="/word/media/image6.png" ContentType="image/png"/>
  <Override PartName="/word/media/image17.wmf" ContentType="image/x-wmf"/>
  <Override PartName="/word/media/image7.png" ContentType="image/png"/>
  <Override PartName="/word/media/image18.wmf" ContentType="image/x-wmf"/>
  <Override PartName="/word/media/image8.png" ContentType="image/png"/>
  <Override PartName="/word/media/image19.wmf" ContentType="image/x-wmf"/>
  <Override PartName="/word/media/image9.png" ContentType="image/png"/>
  <Override PartName="/word/media/image10.wmf" ContentType="image/x-wmf"/>
  <Override PartName="/word/media/image11.png" ContentType="image/png"/>
  <Override PartName="/word/media/image12.jpeg" ContentType="image/jpeg"/>
  <Override PartName="/word/media/image13.jpeg" ContentType="image/jpeg"/>
  <Override PartName="/word/media/image14.wmf" ContentType="image/x-wmf"/>
  <Override PartName="/word/media/image15.wmf" ContentType="image/x-wmf"/>
  <Override PartName="/word/media/image16.wmf" ContentType="image/x-wmf"/>
  <Override PartName="/word/media/image20.jpeg" ContentType="image/jpeg"/>
  <Override PartName="/word/header2.xml" ContentType="application/vnd.openxmlformats-officedocument.wordprocessingml.header+xml"/>
  <Override PartName="/word/embeddings/oleObject1.docx" ContentType="application/vnd.openxmlformats-officedocument.wordprocessingml.document"/>
  <Override PartName="/word/embeddings/oleObject6.doc" ContentType="application/msword"/>
  <Override PartName="/word/embeddings/oleObject2.doc" ContentType="application/msword"/>
  <Override PartName="/word/embeddings/oleObject3.docx" ContentType="application/vnd.openxmlformats-officedocument.wordprocessingml.document"/>
  <Override PartName="/word/embeddings/oleObject8.doc" ContentType="application/msword"/>
  <Override PartName="/word/embeddings/oleObject4.bin" ContentType="application/vnd.openxmlformats-officedocument.oleObject"/>
  <Override PartName="/word/embeddings/oleObject7.doc" ContentType="application/msword"/>
  <Override PartName="/word/embeddings/oleObject5.doc" ContentType="application/msword"/>
  <Override PartName="/word/embeddings/oleObject9.doc" ContentType="application/msword"/>
  <Override PartName="/word/header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4.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Tahoma" w:hAnsi="Tahoma" w:cs="Tahoma"/>
          <w:sz w:val="20"/>
          <w:szCs w:val="20"/>
        </w:rPr>
      </w:pPr>
      <w:r>
        <w:rPr>
          <w:rFonts w:cs="Tahoma" w:ascii="Tahoma" w:hAnsi="Tahoma"/>
          <w:sz w:val="20"/>
          <w:szCs w:val="20"/>
        </w:rPr>
        <mc:AlternateContent>
          <mc:Choice Requires="wps">
            <w:drawing>
              <wp:anchor behindDoc="0" distT="0" distB="0" distL="0" distR="0" simplePos="0" locked="0" layoutInCell="0" allowOverlap="1" relativeHeight="16" wp14:anchorId="4403179B">
                <wp:simplePos x="0" y="0"/>
                <wp:positionH relativeFrom="column">
                  <wp:posOffset>154940</wp:posOffset>
                </wp:positionH>
                <wp:positionV relativeFrom="paragraph">
                  <wp:posOffset>82550</wp:posOffset>
                </wp:positionV>
                <wp:extent cx="5264785" cy="1257935"/>
                <wp:effectExtent l="0" t="0" r="12700" b="38100"/>
                <wp:wrapNone/>
                <wp:docPr id="1" name="Text Box 11"/>
                <a:graphic xmlns:a="http://schemas.openxmlformats.org/drawingml/2006/main">
                  <a:graphicData uri="http://schemas.microsoft.com/office/word/2010/wordprocessingShape">
                    <wps:wsp>
                      <wps:cNvSpPr/>
                      <wps:spPr>
                        <a:xfrm>
                          <a:off x="0" y="0"/>
                          <a:ext cx="5264280" cy="1257480"/>
                        </a:xfrm>
                        <a:prstGeom prst="rect">
                          <a:avLst/>
                        </a:prstGeom>
                        <a:noFill/>
                        <a:ln w="19050">
                          <a:solidFill>
                            <a:srgbClr val="f2f2f2"/>
                          </a:solidFill>
                          <a:miter/>
                        </a:ln>
                        <a:effectLst>
                          <a:outerShdw algn="ctr" dir="3825519" dist="28496" rotWithShape="0">
                            <a:srgbClr val="205867">
                              <a:alpha val="50000"/>
                            </a:srgbClr>
                          </a:outerShdw>
                        </a:effectLst>
                      </wps:spPr>
                      <wps:style>
                        <a:lnRef idx="0"/>
                        <a:fillRef idx="0"/>
                        <a:effectRef idx="0"/>
                        <a:fontRef idx="minor"/>
                      </wps:style>
                      <wps:txbx>
                        <w:txbxContent>
                          <w:p>
                            <w:pPr>
                              <w:pStyle w:val="Contenidodelmarco"/>
                              <w:jc w:val="center"/>
                              <w:rPr>
                                <w:rFonts w:ascii="Verdana" w:hAnsi="Verdana"/>
                                <w:b/>
                                <w:b/>
                              </w:rPr>
                            </w:pPr>
                            <w:r>
                              <w:rPr>
                                <w:rFonts w:ascii="Verdana" w:hAnsi="Verdana"/>
                                <w:b/>
                              </w:rPr>
                              <w:t>ACTA SESIÓN ORDINARIA N° 03-2020</w:t>
                            </w:r>
                          </w:p>
                          <w:p>
                            <w:pPr>
                              <w:pStyle w:val="Contenidodelmarco"/>
                              <w:jc w:val="center"/>
                              <w:rPr>
                                <w:rFonts w:ascii="Verdana" w:hAnsi="Verdana"/>
                                <w:b/>
                                <w:b/>
                              </w:rPr>
                            </w:pPr>
                            <w:r>
                              <w:rPr>
                                <w:rFonts w:ascii="Verdana" w:hAnsi="Verdana"/>
                                <w:b/>
                              </w:rPr>
                              <w:t xml:space="preserve">SUBCOMISIÓN DE ACCESO A LA JUSTICIA DE  PUEBLOS INDÍGENAS </w:t>
                            </w:r>
                          </w:p>
                          <w:p>
                            <w:pPr>
                              <w:pStyle w:val="Contenidodelmarco"/>
                              <w:jc w:val="center"/>
                              <w:rPr>
                                <w:rFonts w:ascii="Verdana" w:hAnsi="Verdana"/>
                                <w:b/>
                                <w:b/>
                              </w:rPr>
                            </w:pPr>
                            <w:r>
                              <w:rPr>
                                <w:rFonts w:ascii="Verdana" w:hAnsi="Verdana"/>
                                <w:b/>
                              </w:rPr>
                              <w:t xml:space="preserve">06 de marzo de 2020 </w:t>
                            </w:r>
                          </w:p>
                          <w:p>
                            <w:pPr>
                              <w:pStyle w:val="Contenidodelmarco"/>
                              <w:jc w:val="center"/>
                              <w:rPr>
                                <w:rFonts w:ascii="Cambria" w:hAnsi="Cambria"/>
                                <w:b/>
                                <w:b/>
                                <w:sz w:val="28"/>
                                <w:szCs w:val="28"/>
                              </w:rPr>
                            </w:pPr>
                            <w:r>
                              <w:rPr>
                                <w:rFonts w:ascii="Cambria" w:hAnsi="Cambria"/>
                                <w:b/>
                                <w:sz w:val="28"/>
                                <w:szCs w:val="28"/>
                              </w:rPr>
                            </w:r>
                          </w:p>
                          <w:p>
                            <w:pPr>
                              <w:pStyle w:val="Contenidodelmarco"/>
                              <w:jc w:val="center"/>
                              <w:rPr>
                                <w:rFonts w:ascii="Cambria" w:hAnsi="Cambria"/>
                                <w:b/>
                                <w:b/>
                              </w:rPr>
                            </w:pPr>
                            <w:r>
                              <w:rPr>
                                <w:rFonts w:ascii="Cambria" w:hAnsi="Cambria"/>
                                <w:b/>
                              </w:rPr>
                              <w:t>Febrero 2020</w:t>
                            </w:r>
                          </w:p>
                          <w:p>
                            <w:pPr>
                              <w:pStyle w:val="Contenidodelmarco"/>
                              <w:jc w:val="center"/>
                              <w:rPr>
                                <w:rFonts w:ascii="Cambria" w:hAnsi="Cambria"/>
                                <w:b/>
                                <w:b/>
                              </w:rPr>
                            </w:pPr>
                            <w:r>
                              <w:rPr>
                                <w:rFonts w:ascii="Cambria" w:hAnsi="Cambria"/>
                                <w:b/>
                              </w:rPr>
                            </w:r>
                          </w:p>
                          <w:p>
                            <w:pPr>
                              <w:pStyle w:val="Contenidodelmarco"/>
                              <w:spacing w:before="0" w:after="200"/>
                              <w:rPr>
                                <w:rFonts w:ascii="Cambria" w:hAnsi="Cambria"/>
                              </w:rPr>
                            </w:pPr>
                            <w:r>
                              <w:rPr/>
                            </w:r>
                          </w:p>
                        </w:txbxContent>
                      </wps:txbx>
                      <wps:bodyPr>
                        <a:noAutofit/>
                      </wps:bodyPr>
                    </wps:wsp>
                  </a:graphicData>
                </a:graphic>
              </wp:anchor>
            </w:drawing>
          </mc:Choice>
          <mc:Fallback>
            <w:pict>
              <v:rect id="shape_0" ID="Text Box 11" stroked="t" style="position:absolute;margin-left:12.2pt;margin-top:6.5pt;width:414.45pt;height:98.95pt;mso-wrap-style:square;v-text-anchor:top" wp14:anchorId="4403179B">
                <v:fill o:detectmouseclick="t" on="false"/>
                <v:stroke color="#f2f2f2" weight="19080" joinstyle="miter" endcap="flat"/>
                <v:shadow on="t" obscured="f" color="#205867"/>
                <v:textbox>
                  <w:txbxContent>
                    <w:p>
                      <w:pPr>
                        <w:pStyle w:val="Contenidodelmarco"/>
                        <w:jc w:val="center"/>
                        <w:rPr>
                          <w:rFonts w:ascii="Verdana" w:hAnsi="Verdana"/>
                          <w:b/>
                          <w:b/>
                        </w:rPr>
                      </w:pPr>
                      <w:r>
                        <w:rPr>
                          <w:rFonts w:ascii="Verdana" w:hAnsi="Verdana"/>
                          <w:b/>
                        </w:rPr>
                        <w:t>ACTA SESIÓN ORDINARIA N° 03-2020</w:t>
                      </w:r>
                    </w:p>
                    <w:p>
                      <w:pPr>
                        <w:pStyle w:val="Contenidodelmarco"/>
                        <w:jc w:val="center"/>
                        <w:rPr>
                          <w:rFonts w:ascii="Verdana" w:hAnsi="Verdana"/>
                          <w:b/>
                          <w:b/>
                        </w:rPr>
                      </w:pPr>
                      <w:r>
                        <w:rPr>
                          <w:rFonts w:ascii="Verdana" w:hAnsi="Verdana"/>
                          <w:b/>
                        </w:rPr>
                        <w:t xml:space="preserve">SUBCOMISIÓN DE ACCESO A LA JUSTICIA DE  PUEBLOS INDÍGENAS </w:t>
                      </w:r>
                    </w:p>
                    <w:p>
                      <w:pPr>
                        <w:pStyle w:val="Contenidodelmarco"/>
                        <w:jc w:val="center"/>
                        <w:rPr>
                          <w:rFonts w:ascii="Verdana" w:hAnsi="Verdana"/>
                          <w:b/>
                          <w:b/>
                        </w:rPr>
                      </w:pPr>
                      <w:r>
                        <w:rPr>
                          <w:rFonts w:ascii="Verdana" w:hAnsi="Verdana"/>
                          <w:b/>
                        </w:rPr>
                        <w:t xml:space="preserve">06 de marzo de 2020 </w:t>
                      </w:r>
                    </w:p>
                    <w:p>
                      <w:pPr>
                        <w:pStyle w:val="Contenidodelmarco"/>
                        <w:jc w:val="center"/>
                        <w:rPr>
                          <w:rFonts w:ascii="Cambria" w:hAnsi="Cambria"/>
                          <w:b/>
                          <w:b/>
                          <w:sz w:val="28"/>
                          <w:szCs w:val="28"/>
                        </w:rPr>
                      </w:pPr>
                      <w:r>
                        <w:rPr>
                          <w:rFonts w:ascii="Cambria" w:hAnsi="Cambria"/>
                          <w:b/>
                          <w:sz w:val="28"/>
                          <w:szCs w:val="28"/>
                        </w:rPr>
                      </w:r>
                    </w:p>
                    <w:p>
                      <w:pPr>
                        <w:pStyle w:val="Contenidodelmarco"/>
                        <w:jc w:val="center"/>
                        <w:rPr>
                          <w:rFonts w:ascii="Cambria" w:hAnsi="Cambria"/>
                          <w:b/>
                          <w:b/>
                        </w:rPr>
                      </w:pPr>
                      <w:r>
                        <w:rPr>
                          <w:rFonts w:ascii="Cambria" w:hAnsi="Cambria"/>
                          <w:b/>
                        </w:rPr>
                        <w:t>Febrero 2020</w:t>
                      </w:r>
                    </w:p>
                    <w:p>
                      <w:pPr>
                        <w:pStyle w:val="Contenidodelmarco"/>
                        <w:jc w:val="center"/>
                        <w:rPr>
                          <w:rFonts w:ascii="Cambria" w:hAnsi="Cambria"/>
                          <w:b/>
                          <w:b/>
                        </w:rPr>
                      </w:pPr>
                      <w:r>
                        <w:rPr>
                          <w:rFonts w:ascii="Cambria" w:hAnsi="Cambria"/>
                          <w:b/>
                        </w:rPr>
                      </w:r>
                    </w:p>
                    <w:p>
                      <w:pPr>
                        <w:pStyle w:val="Contenidodelmarco"/>
                        <w:spacing w:before="0" w:after="200"/>
                        <w:rPr>
                          <w:rFonts w:ascii="Cambria" w:hAnsi="Cambria"/>
                        </w:rPr>
                      </w:pPr>
                      <w:r>
                        <w:rPr/>
                      </w:r>
                    </w:p>
                  </w:txbxContent>
                </v:textbox>
                <w10:wrap type="none"/>
              </v:rect>
            </w:pict>
          </mc:Fallback>
        </mc:AlternateContent>
      </w:r>
    </w:p>
    <w:p>
      <w:pPr>
        <w:pStyle w:val="Normal"/>
        <w:rPr>
          <w:rFonts w:ascii="Tahoma" w:hAnsi="Tahoma" w:cs="Tahoma"/>
          <w:sz w:val="20"/>
          <w:szCs w:val="20"/>
        </w:rPr>
      </w:pPr>
      <w:r>
        <w:rPr>
          <w:rFonts w:cs="Tahoma" w:ascii="Tahoma" w:hAnsi="Tahoma"/>
          <w:sz w:val="20"/>
          <w:szCs w:val="20"/>
        </w:rPr>
      </w:r>
    </w:p>
    <w:p>
      <w:pPr>
        <w:pStyle w:val="Normal"/>
        <w:rPr>
          <w:rFonts w:ascii="Tahoma" w:hAnsi="Tahoma" w:cs="Tahoma"/>
          <w:sz w:val="20"/>
          <w:szCs w:val="20"/>
        </w:rPr>
      </w:pPr>
      <w:r>
        <w:rPr>
          <w:rFonts w:cs="Tahoma" w:ascii="Tahoma" w:hAnsi="Tahoma"/>
          <w:sz w:val="20"/>
          <w:szCs w:val="20"/>
        </w:rPr>
      </w:r>
    </w:p>
    <w:p>
      <w:pPr>
        <w:pStyle w:val="Normal"/>
        <w:rPr>
          <w:rFonts w:ascii="Tahoma" w:hAnsi="Tahoma" w:cs="Tahoma"/>
          <w:sz w:val="20"/>
          <w:szCs w:val="20"/>
        </w:rPr>
      </w:pPr>
      <w:r>
        <w:rPr>
          <w:rFonts w:cs="Tahoma" w:ascii="Tahoma" w:hAnsi="Tahoma"/>
          <w:sz w:val="20"/>
          <w:szCs w:val="20"/>
        </w:rPr>
      </w:r>
    </w:p>
    <w:p>
      <w:pPr>
        <w:pStyle w:val="Normal"/>
        <w:rPr>
          <w:rFonts w:ascii="Tahoma" w:hAnsi="Tahoma" w:cs="Tahoma"/>
          <w:sz w:val="20"/>
          <w:szCs w:val="20"/>
        </w:rPr>
      </w:pPr>
      <w:r>
        <w:rPr>
          <w:rFonts w:cs="Tahoma" w:ascii="Tahoma" w:hAnsi="Tahoma"/>
          <w:sz w:val="20"/>
          <w:szCs w:val="20"/>
        </w:rPr>
      </w:r>
    </w:p>
    <w:p>
      <w:pPr>
        <w:pStyle w:val="Normal"/>
        <w:rPr>
          <w:rFonts w:ascii="Tahoma" w:hAnsi="Tahoma" w:cs="Tahoma"/>
          <w:sz w:val="20"/>
          <w:szCs w:val="20"/>
        </w:rPr>
      </w:pPr>
      <w:r>
        <w:rPr>
          <w:rFonts w:cs="Tahoma" w:ascii="Tahoma" w:hAnsi="Tahoma"/>
          <w:sz w:val="20"/>
          <w:szCs w:val="20"/>
        </w:rPr>
      </w:r>
    </w:p>
    <w:p>
      <w:pPr>
        <w:pStyle w:val="Ttulo2"/>
        <w:jc w:val="both"/>
        <w:rPr>
          <w:rFonts w:ascii="Tahoma" w:hAnsi="Tahoma" w:cs="Tahoma"/>
          <w:color w:val="auto"/>
          <w:sz w:val="20"/>
          <w:szCs w:val="20"/>
        </w:rPr>
      </w:pPr>
      <w:r>
        <w:rPr>
          <w:rFonts w:cs="Tahoma" w:ascii="Tahoma" w:hAnsi="Tahoma"/>
          <w:color w:val="auto"/>
          <w:sz w:val="20"/>
          <w:szCs w:val="20"/>
        </w:rPr>
        <w:t xml:space="preserve">Fecha: 6 de marzo de 2020 </w:t>
      </w:r>
    </w:p>
    <w:p>
      <w:pPr>
        <w:pStyle w:val="Ttulo2"/>
        <w:jc w:val="both"/>
        <w:rPr>
          <w:rFonts w:ascii="Tahoma" w:hAnsi="Tahoma" w:cs="Tahoma"/>
          <w:b w:val="false"/>
          <w:b w:val="false"/>
          <w:color w:val="auto"/>
          <w:sz w:val="20"/>
          <w:szCs w:val="20"/>
        </w:rPr>
      </w:pPr>
      <w:r>
        <w:rPr>
          <w:rFonts w:cs="Tahoma" w:ascii="Tahoma" w:hAnsi="Tahoma"/>
          <w:color w:val="auto"/>
          <w:sz w:val="20"/>
          <w:szCs w:val="20"/>
        </w:rPr>
        <w:t>Hora: 10:00 a.m. a 12:30 pm.</w:t>
      </w:r>
    </w:p>
    <w:p>
      <w:pPr>
        <w:pStyle w:val="Ttulo2"/>
        <w:jc w:val="both"/>
        <w:rPr>
          <w:rFonts w:ascii="Tahoma" w:hAnsi="Tahoma" w:cs="Tahoma"/>
          <w:b w:val="false"/>
          <w:b w:val="false"/>
          <w:color w:val="auto"/>
          <w:sz w:val="20"/>
          <w:szCs w:val="20"/>
        </w:rPr>
      </w:pPr>
      <w:r>
        <w:rPr>
          <w:rFonts w:cs="Tahoma" w:ascii="Tahoma" w:hAnsi="Tahoma"/>
          <w:color w:val="auto"/>
          <w:sz w:val="20"/>
          <w:szCs w:val="20"/>
        </w:rPr>
        <w:t xml:space="preserve">Lugar: Salón de Servidor Judicial (piso 3 edificios de Corte Suprema de Justicia) </w:t>
      </w:r>
    </w:p>
    <w:p>
      <w:pPr>
        <w:pStyle w:val="NoSpacing"/>
        <w:rPr>
          <w:rFonts w:ascii="Tahoma" w:hAnsi="Tahoma" w:cs="Tahoma"/>
          <w:b/>
          <w:b/>
          <w:sz w:val="20"/>
          <w:szCs w:val="20"/>
        </w:rPr>
      </w:pPr>
      <w:r>
        <w:rPr>
          <w:rFonts w:cs="Tahoma" w:ascii="Tahoma" w:hAnsi="Tahoma"/>
          <w:b/>
          <w:sz w:val="20"/>
          <w:szCs w:val="20"/>
        </w:rPr>
      </w:r>
    </w:p>
    <w:tbl>
      <w:tblPr>
        <w:tblW w:w="882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5770"/>
        <w:gridCol w:w="3057"/>
      </w:tblGrid>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5350" w:leader="none"/>
              </w:tabs>
              <w:spacing w:before="0" w:after="200"/>
              <w:jc w:val="both"/>
              <w:rPr>
                <w:rStyle w:val="Ttulo3Car"/>
                <w:rFonts w:ascii="Tahoma" w:hAnsi="Tahoma" w:cs="Tahoma"/>
                <w:b/>
                <w:b/>
                <w:bCs/>
                <w:i/>
                <w:i/>
                <w:color w:val="auto"/>
                <w:sz w:val="20"/>
                <w:szCs w:val="20"/>
              </w:rPr>
            </w:pPr>
            <w:r>
              <w:rPr>
                <w:rStyle w:val="Ttulo3Car"/>
                <w:rFonts w:cs="Tahoma" w:ascii="Tahoma" w:hAnsi="Tahoma"/>
                <w:b/>
                <w:bCs/>
                <w:color w:val="auto"/>
                <w:sz w:val="20"/>
                <w:szCs w:val="20"/>
              </w:rPr>
              <w:t>INTEGRANTES</w:t>
              <w:tab/>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5350" w:leader="none"/>
              </w:tabs>
              <w:spacing w:before="0" w:after="200"/>
              <w:jc w:val="both"/>
              <w:rPr>
                <w:rStyle w:val="Ttulo3Car"/>
                <w:rFonts w:ascii="Tahoma" w:hAnsi="Tahoma" w:cs="Tahoma"/>
                <w:b/>
                <w:b/>
                <w:bCs/>
                <w:i/>
                <w:i/>
                <w:color w:val="auto"/>
                <w:sz w:val="20"/>
                <w:szCs w:val="20"/>
              </w:rPr>
            </w:pPr>
            <w:r>
              <w:rPr>
                <w:rStyle w:val="Ttulo3Car"/>
                <w:rFonts w:cs="Tahoma" w:ascii="Tahoma" w:hAnsi="Tahoma"/>
                <w:b/>
                <w:bCs/>
                <w:color w:val="auto"/>
                <w:sz w:val="20"/>
                <w:szCs w:val="20"/>
              </w:rPr>
              <w:t>ASISTENTES</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Style w:val="Ttulo3Car"/>
                <w:rFonts w:ascii="Tahoma" w:hAnsi="Tahoma" w:cs="Tahoma"/>
                <w:bCs/>
                <w:i/>
                <w:i/>
                <w:iCs/>
                <w:color w:val="auto"/>
                <w:sz w:val="20"/>
                <w:szCs w:val="20"/>
              </w:rPr>
            </w:pPr>
            <w:r>
              <w:rPr>
                <w:rStyle w:val="Ttulo3Car"/>
                <w:rFonts w:cs="Tahoma" w:ascii="Tahoma" w:hAnsi="Tahoma"/>
                <w:bCs/>
                <w:i/>
                <w:iCs/>
                <w:color w:val="auto"/>
                <w:sz w:val="20"/>
                <w:szCs w:val="20"/>
              </w:rPr>
              <w:t>Sr. Jorge Olaso Álvarez, Coordinador Comisión de Acceso a la Justicia</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Style w:val="Ttulo3Car"/>
                <w:rFonts w:ascii="Tahoma" w:hAnsi="Tahoma" w:cs="Tahoma"/>
                <w:bCs/>
                <w:i/>
                <w:i/>
                <w:color w:val="auto"/>
                <w:sz w:val="20"/>
                <w:szCs w:val="20"/>
              </w:rPr>
            </w:pPr>
            <w:r>
              <w:rPr>
                <w:rFonts w:cs="Tahoma" w:ascii="Tahoma" w:hAnsi="Tahoma"/>
                <w:bCs/>
                <w:i/>
                <w:sz w:val="20"/>
                <w:szCs w:val="20"/>
              </w:rPr>
              <w:t>Ausente por motivos laborales</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Style w:val="Ttulo3Car"/>
                <w:rFonts w:ascii="Tahoma" w:hAnsi="Tahoma" w:cs="Tahoma"/>
                <w:bCs/>
                <w:i/>
                <w:i/>
                <w:iCs/>
                <w:color w:val="auto"/>
                <w:sz w:val="20"/>
                <w:szCs w:val="20"/>
              </w:rPr>
            </w:pPr>
            <w:r>
              <w:rPr>
                <w:rFonts w:cs="Tahoma" w:ascii="Tahoma" w:hAnsi="Tahoma"/>
                <w:bCs/>
                <w:i/>
                <w:sz w:val="20"/>
                <w:szCs w:val="20"/>
              </w:rPr>
              <w:t>Sra. Damaris Vargas Vásquez, Coordinadora Subcomisión Acceso a la Justicia de Pueblos Indígenas</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Presente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iCs/>
                <w:sz w:val="20"/>
                <w:szCs w:val="20"/>
              </w:rPr>
            </w:pPr>
            <w:r>
              <w:rPr>
                <w:rFonts w:cs="Tahoma" w:ascii="Tahoma" w:hAnsi="Tahoma"/>
                <w:bCs/>
                <w:i/>
                <w:iCs/>
                <w:sz w:val="20"/>
                <w:szCs w:val="20"/>
              </w:rPr>
              <w:t>Sra. Melissa Benavides Víquez, Coordinadora Unidad de Acceso a la Justicia</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Ausente por motivos laborales</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Sra. Sandra Pizarro, representante Consejo Superior</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Ausente por motivos laborales</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 Jorge Morales, Despacho de la Presidencia de la Corte Suprema de Justicia</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Ausente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 Wilbert Kidd, Subdirector Ejecutivo del PJ</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Presente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 Dixon Li, Subdirector de Planificación</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Presente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 Marcos Guevara Berger, representante Escuela de Antropología de la UCR</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Ausente por motivos laborales</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Cs/>
                <w:i/>
                <w:i/>
                <w:sz w:val="20"/>
                <w:szCs w:val="20"/>
              </w:rPr>
            </w:pPr>
            <w:r>
              <w:rPr>
                <w:rFonts w:cs="Tahoma" w:ascii="Tahoma" w:hAnsi="Tahoma"/>
                <w:bCs/>
                <w:i/>
                <w:sz w:val="20"/>
                <w:szCs w:val="20"/>
              </w:rPr>
              <w:t>Sr. Román Bresciani Quirós, Escuela Judicial</w:t>
            </w:r>
          </w:p>
          <w:p>
            <w:pPr>
              <w:pStyle w:val="Normal"/>
              <w:widowControl w:val="false"/>
              <w:spacing w:before="0" w:after="200"/>
              <w:jc w:val="both"/>
              <w:rPr>
                <w:rFonts w:ascii="Tahoma" w:hAnsi="Tahoma" w:cs="Tahoma"/>
                <w:bCs/>
                <w:i/>
                <w:i/>
                <w:sz w:val="20"/>
                <w:szCs w:val="20"/>
              </w:rPr>
            </w:pPr>
            <w:r>
              <w:rPr>
                <w:rFonts w:cs="Tahoma" w:ascii="Tahoma" w:hAnsi="Tahoma"/>
                <w:bCs/>
                <w:i/>
                <w:sz w:val="20"/>
                <w:szCs w:val="20"/>
              </w:rPr>
              <w:t>Suplente Sra. Francia León</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Cs/>
                <w:i/>
                <w:i/>
                <w:sz w:val="20"/>
                <w:szCs w:val="20"/>
              </w:rPr>
            </w:pPr>
            <w:r>
              <w:rPr>
                <w:rFonts w:cs="Tahoma" w:ascii="Tahoma" w:hAnsi="Tahoma"/>
                <w:bCs/>
                <w:i/>
                <w:sz w:val="20"/>
                <w:szCs w:val="20"/>
              </w:rPr>
              <w:t>Ausente</w:t>
            </w:r>
          </w:p>
          <w:p>
            <w:pPr>
              <w:pStyle w:val="Normal"/>
              <w:widowControl w:val="false"/>
              <w:spacing w:before="0" w:after="200"/>
              <w:jc w:val="both"/>
              <w:rPr>
                <w:rFonts w:ascii="Tahoma" w:hAnsi="Tahoma" w:cs="Tahoma"/>
                <w:bCs/>
                <w:i/>
                <w:i/>
                <w:sz w:val="20"/>
                <w:szCs w:val="20"/>
              </w:rPr>
            </w:pPr>
            <w:r>
              <w:rPr>
                <w:rFonts w:cs="Tahoma" w:ascii="Tahoma" w:hAnsi="Tahoma"/>
                <w:bCs/>
                <w:i/>
                <w:sz w:val="20"/>
                <w:szCs w:val="20"/>
              </w:rPr>
              <w:t>Presente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 Jean Carlo Monge, Judicatura Penal</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Ausente por motivos laborales</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 Geyner Blanco, Asesor de Casa Presidencial</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Ausente por motivos laborales</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Sra. Valeria Varas, Asesora INAMU</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Presente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 Alí García, Profesor UCR</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Presente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Sra. Vanessa Villalobos Montero, Departamento de Trabajo Social y Psicología</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Presente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 xml:space="preserve">Sra. Carmen María Escoto Fernández, sociedad civil </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Ausente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Sra. Ariana Céspedes, Fiscala Indígena</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Presente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Sra. Ligia Jeannette Jiménez, Defensora Indígena</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Presente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Cs/>
                <w:i/>
                <w:i/>
                <w:sz w:val="20"/>
                <w:szCs w:val="20"/>
              </w:rPr>
            </w:pPr>
            <w:r>
              <w:rPr>
                <w:rFonts w:cs="Tahoma" w:ascii="Tahoma" w:hAnsi="Tahoma"/>
                <w:bCs/>
                <w:i/>
                <w:sz w:val="20"/>
                <w:szCs w:val="20"/>
              </w:rPr>
              <w:t>Sr. Erick Alfaro, Contralor de Servicios Poder Judicial</w:t>
            </w:r>
          </w:p>
          <w:p>
            <w:pPr>
              <w:pStyle w:val="Normal"/>
              <w:widowControl w:val="false"/>
              <w:spacing w:before="0" w:after="200"/>
              <w:jc w:val="both"/>
              <w:rPr>
                <w:rFonts w:ascii="Tahoma" w:hAnsi="Tahoma" w:cs="Tahoma"/>
                <w:bCs/>
                <w:i/>
                <w:i/>
                <w:sz w:val="20"/>
                <w:szCs w:val="20"/>
              </w:rPr>
            </w:pPr>
            <w:r>
              <w:rPr>
                <w:rFonts w:cs="Tahoma" w:ascii="Tahoma" w:hAnsi="Tahoma"/>
                <w:bCs/>
                <w:i/>
                <w:sz w:val="20"/>
                <w:szCs w:val="20"/>
              </w:rPr>
              <w:t>Suplente Sr. Carlos Romero, Contralor de Servicios del Primer Circuito Judicial de la Zona Sur</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Cs/>
                <w:i/>
                <w:i/>
                <w:sz w:val="20"/>
                <w:szCs w:val="20"/>
              </w:rPr>
            </w:pPr>
            <w:r>
              <w:rPr>
                <w:rFonts w:cs="Tahoma" w:ascii="Tahoma" w:hAnsi="Tahoma"/>
                <w:bCs/>
                <w:i/>
                <w:sz w:val="20"/>
                <w:szCs w:val="20"/>
              </w:rPr>
              <w:t>Ausente</w:t>
            </w:r>
          </w:p>
          <w:p>
            <w:pPr>
              <w:pStyle w:val="Normal"/>
              <w:widowControl w:val="false"/>
              <w:spacing w:before="0" w:after="200"/>
              <w:jc w:val="both"/>
              <w:rPr>
                <w:rFonts w:ascii="Tahoma" w:hAnsi="Tahoma" w:cs="Tahoma"/>
                <w:bCs/>
                <w:i/>
                <w:i/>
                <w:sz w:val="20"/>
                <w:szCs w:val="20"/>
              </w:rPr>
            </w:pPr>
            <w:r>
              <w:rPr>
                <w:rFonts w:cs="Tahoma" w:ascii="Tahoma" w:hAnsi="Tahoma"/>
                <w:bCs/>
                <w:i/>
                <w:sz w:val="20"/>
                <w:szCs w:val="20"/>
              </w:rPr>
              <w:t>Presente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Sra. Vivian Rímola Soto, Tecnología de la Información</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Ausente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Sra. Marjorie Herrera, Defensoría de los Habitantes de la República</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Ausente por motivos laborales</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Sra. Yorleny Ferreto, Organismo de Investigación Judicial</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Ausente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Cs/>
                <w:i/>
                <w:i/>
                <w:sz w:val="20"/>
                <w:szCs w:val="20"/>
              </w:rPr>
            </w:pPr>
            <w:r>
              <w:rPr>
                <w:rFonts w:cs="Tahoma" w:ascii="Tahoma" w:hAnsi="Tahoma"/>
                <w:bCs/>
                <w:i/>
                <w:sz w:val="20"/>
                <w:szCs w:val="20"/>
              </w:rPr>
              <w:t>Sr. Hugo Hernández, Oficina de Control Interno</w:t>
            </w:r>
          </w:p>
          <w:p>
            <w:pPr>
              <w:pStyle w:val="Normal"/>
              <w:widowControl w:val="false"/>
              <w:spacing w:before="0" w:after="200"/>
              <w:jc w:val="both"/>
              <w:rPr>
                <w:rFonts w:ascii="Tahoma" w:hAnsi="Tahoma" w:cs="Tahoma"/>
                <w:bCs/>
                <w:i/>
                <w:i/>
                <w:sz w:val="20"/>
                <w:szCs w:val="20"/>
              </w:rPr>
            </w:pPr>
            <w:r>
              <w:rPr>
                <w:rFonts w:cs="Tahoma" w:ascii="Tahoma" w:hAnsi="Tahoma"/>
                <w:bCs/>
                <w:i/>
                <w:sz w:val="20"/>
                <w:szCs w:val="20"/>
              </w:rPr>
              <w:t>Suplente: Señora Indira Alfaro</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Cs/>
                <w:i/>
                <w:i/>
                <w:sz w:val="20"/>
                <w:szCs w:val="20"/>
              </w:rPr>
            </w:pPr>
            <w:r>
              <w:rPr>
                <w:rFonts w:cs="Tahoma" w:ascii="Tahoma" w:hAnsi="Tahoma"/>
                <w:bCs/>
                <w:i/>
                <w:sz w:val="20"/>
                <w:szCs w:val="20"/>
              </w:rPr>
              <w:t>Ausente</w:t>
            </w:r>
          </w:p>
          <w:p>
            <w:pPr>
              <w:pStyle w:val="Normal"/>
              <w:widowControl w:val="false"/>
              <w:spacing w:before="0" w:after="200"/>
              <w:jc w:val="both"/>
              <w:rPr>
                <w:rFonts w:ascii="Tahoma" w:hAnsi="Tahoma" w:cs="Tahoma"/>
                <w:bCs/>
                <w:i/>
                <w:i/>
                <w:sz w:val="20"/>
                <w:szCs w:val="20"/>
              </w:rPr>
            </w:pPr>
            <w:r>
              <w:rPr>
                <w:rFonts w:cs="Tahoma" w:ascii="Tahoma" w:hAnsi="Tahoma"/>
                <w:bCs/>
                <w:i/>
                <w:sz w:val="20"/>
                <w:szCs w:val="20"/>
              </w:rPr>
              <w:t>Presente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Sra. Cheryl Bolaños Madrigal, Gestión Humana</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Presente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 Robert García González, Auditoría Judicial</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Ausente por motivos laborales</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 William Vega, ONU</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Ausente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 Cristian Alberto Martínez Hernández: Centro de Apoyo, Coordinación y Mejoramiento de la Función Jurisdiccional</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Presente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Sra. Rocío Rivera Cascante: Departamento de Prensa y Comunicación Organizacional</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Ausente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Sra. Patricia Bonilla Rodríguez, Centro de Información Jurisprudencial</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Ausente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Cs/>
                <w:i/>
                <w:i/>
                <w:sz w:val="20"/>
                <w:szCs w:val="20"/>
              </w:rPr>
            </w:pPr>
            <w:r>
              <w:rPr>
                <w:rFonts w:cs="Tahoma" w:ascii="Tahoma" w:hAnsi="Tahoma"/>
                <w:bCs/>
                <w:i/>
                <w:sz w:val="20"/>
                <w:szCs w:val="20"/>
              </w:rPr>
              <w:t>Sra. Roxana Arrieta Meléndez, Directora de Gestión Humana</w:t>
            </w:r>
          </w:p>
          <w:p>
            <w:pPr>
              <w:pStyle w:val="Normal"/>
              <w:widowControl w:val="false"/>
              <w:spacing w:before="0" w:after="200"/>
              <w:jc w:val="both"/>
              <w:rPr>
                <w:rFonts w:ascii="Tahoma" w:hAnsi="Tahoma" w:cs="Tahoma"/>
                <w:bCs/>
                <w:i/>
                <w:i/>
                <w:sz w:val="20"/>
                <w:szCs w:val="20"/>
              </w:rPr>
            </w:pPr>
            <w:r>
              <w:rPr>
                <w:rFonts w:cs="Tahoma" w:ascii="Tahoma" w:hAnsi="Tahoma"/>
                <w:bCs/>
                <w:i/>
                <w:sz w:val="20"/>
                <w:szCs w:val="20"/>
              </w:rPr>
              <w:t>Suplente: Alex Guevara, jefe de UISA</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Cs/>
                <w:i/>
                <w:i/>
                <w:sz w:val="20"/>
                <w:szCs w:val="20"/>
              </w:rPr>
            </w:pPr>
            <w:r>
              <w:rPr>
                <w:rFonts w:cs="Tahoma" w:ascii="Tahoma" w:hAnsi="Tahoma"/>
                <w:bCs/>
                <w:i/>
                <w:sz w:val="20"/>
                <w:szCs w:val="20"/>
              </w:rPr>
              <w:t>Ausente</w:t>
            </w:r>
          </w:p>
          <w:p>
            <w:pPr>
              <w:pStyle w:val="Normal"/>
              <w:widowControl w:val="false"/>
              <w:spacing w:before="0" w:after="200"/>
              <w:jc w:val="both"/>
              <w:rPr>
                <w:rFonts w:ascii="Tahoma" w:hAnsi="Tahoma" w:cs="Tahoma"/>
                <w:bCs/>
                <w:i/>
                <w:i/>
                <w:sz w:val="20"/>
                <w:szCs w:val="20"/>
              </w:rPr>
            </w:pPr>
            <w:r>
              <w:rPr>
                <w:rFonts w:cs="Tahoma" w:ascii="Tahoma" w:hAnsi="Tahoma"/>
                <w:bCs/>
                <w:i/>
                <w:sz w:val="20"/>
                <w:szCs w:val="20"/>
              </w:rPr>
              <w:t>Ausente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Sra. Michelle Mayorga, Dirección Nacional de Justicia Restaurativa</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Presente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Cs/>
                <w:i/>
                <w:i/>
                <w:sz w:val="20"/>
                <w:szCs w:val="20"/>
              </w:rPr>
            </w:pPr>
            <w:r>
              <w:rPr>
                <w:rFonts w:cs="Tahoma" w:ascii="Tahoma" w:hAnsi="Tahoma"/>
                <w:bCs/>
                <w:i/>
                <w:sz w:val="20"/>
                <w:szCs w:val="20"/>
              </w:rPr>
              <w:t>Sr. Franklin Paniagua, Ministerio de Justicia, DINARAC</w:t>
            </w:r>
          </w:p>
          <w:p>
            <w:pPr>
              <w:pStyle w:val="Normal"/>
              <w:widowControl w:val="false"/>
              <w:spacing w:before="0" w:after="200"/>
              <w:jc w:val="both"/>
              <w:rPr>
                <w:rFonts w:ascii="Tahoma" w:hAnsi="Tahoma" w:cs="Tahoma"/>
                <w:bCs/>
                <w:i/>
                <w:i/>
                <w:sz w:val="20"/>
                <w:szCs w:val="20"/>
              </w:rPr>
            </w:pPr>
            <w:r>
              <w:rPr>
                <w:rFonts w:cs="Tahoma" w:ascii="Tahoma" w:hAnsi="Tahoma"/>
                <w:bCs/>
                <w:i/>
                <w:sz w:val="20"/>
                <w:szCs w:val="20"/>
              </w:rPr>
              <w:t>Suplente: Sra. Kathy Piedra Corella</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Cs/>
                <w:i/>
                <w:i/>
                <w:sz w:val="20"/>
                <w:szCs w:val="20"/>
              </w:rPr>
            </w:pPr>
            <w:r>
              <w:rPr>
                <w:rFonts w:cs="Tahoma" w:ascii="Tahoma" w:hAnsi="Tahoma"/>
                <w:bCs/>
                <w:i/>
                <w:sz w:val="20"/>
                <w:szCs w:val="20"/>
              </w:rPr>
              <w:t>Ausente por motivos laborales</w:t>
            </w:r>
          </w:p>
          <w:p>
            <w:pPr>
              <w:pStyle w:val="Normal"/>
              <w:widowControl w:val="false"/>
              <w:spacing w:before="0" w:after="200"/>
              <w:jc w:val="both"/>
              <w:rPr>
                <w:rFonts w:ascii="Tahoma" w:hAnsi="Tahoma" w:cs="Tahoma"/>
                <w:bCs/>
                <w:i/>
                <w:i/>
                <w:sz w:val="20"/>
                <w:szCs w:val="20"/>
              </w:rPr>
            </w:pPr>
            <w:r>
              <w:rPr>
                <w:rFonts w:cs="Tahoma" w:ascii="Tahoma" w:hAnsi="Tahoma"/>
                <w:bCs/>
                <w:i/>
                <w:sz w:val="20"/>
                <w:szCs w:val="20"/>
              </w:rPr>
              <w:t>Ausente por motivos laborales</w:t>
            </w:r>
          </w:p>
        </w:tc>
      </w:tr>
    </w:tbl>
    <w:p>
      <w:pPr>
        <w:pStyle w:val="NoSpacing"/>
        <w:jc w:val="center"/>
        <w:rPr>
          <w:rFonts w:ascii="Tahoma" w:hAnsi="Tahoma" w:cs="Tahoma"/>
          <w:b/>
          <w:b/>
          <w:sz w:val="20"/>
          <w:szCs w:val="20"/>
        </w:rPr>
      </w:pPr>
      <w:r>
        <w:rPr>
          <w:rFonts w:cs="Tahoma" w:ascii="Tahoma" w:hAnsi="Tahoma"/>
          <w:b/>
          <w:sz w:val="20"/>
          <w:szCs w:val="20"/>
        </w:rPr>
      </w:r>
    </w:p>
    <w:p>
      <w:pPr>
        <w:pStyle w:val="Normal"/>
        <w:spacing w:lineRule="auto" w:line="360"/>
        <w:jc w:val="center"/>
        <w:rPr>
          <w:rFonts w:ascii="Tahoma" w:hAnsi="Tahoma" w:cs="Tahoma"/>
          <w:b/>
          <w:b/>
          <w:sz w:val="20"/>
          <w:szCs w:val="20"/>
          <w:u w:val="single"/>
        </w:rPr>
      </w:pPr>
      <w:r>
        <w:rPr>
          <w:rFonts w:cs="Tahoma" w:ascii="Tahoma" w:hAnsi="Tahoma"/>
          <w:b/>
          <w:sz w:val="20"/>
          <w:szCs w:val="20"/>
          <w:highlight w:val="yellow"/>
          <w:u w:val="single"/>
        </w:rPr>
        <w:t>ARTICULO I</w:t>
      </w:r>
    </w:p>
    <w:p>
      <w:pPr>
        <w:pStyle w:val="Normal"/>
        <w:rPr>
          <w:rFonts w:ascii="Tahoma" w:hAnsi="Tahoma" w:cs="Tahoma"/>
          <w:sz w:val="20"/>
          <w:szCs w:val="20"/>
          <w:lang w:val="es-ES"/>
        </w:rPr>
      </w:pPr>
      <w:r>
        <w:rPr>
          <w:rFonts w:cs="Tahoma" w:ascii="Tahoma" w:hAnsi="Tahoma"/>
          <w:b/>
          <w:sz w:val="20"/>
          <w:szCs w:val="20"/>
        </w:rPr>
        <w:t>TEMA:</w:t>
      </w:r>
      <w:r>
        <w:rPr>
          <w:rFonts w:cs="Tahoma" w:ascii="Tahoma" w:hAnsi="Tahoma"/>
          <w:i/>
          <w:sz w:val="20"/>
          <w:szCs w:val="20"/>
        </w:rPr>
        <w:t xml:space="preserve"> </w:t>
      </w:r>
      <w:r>
        <w:rPr>
          <w:rFonts w:cs="Tahoma" w:ascii="Tahoma" w:hAnsi="Tahoma"/>
          <w:b/>
          <w:i/>
          <w:sz w:val="20"/>
          <w:szCs w:val="20"/>
        </w:rPr>
        <w:t>PROTOCOLO PARA LA ATENCIÓN DE CAUSAS PENALES CON INTERVINIENTES INDÍGENAS.</w:t>
      </w:r>
    </w:p>
    <w:p>
      <w:pPr>
        <w:pStyle w:val="Normal"/>
        <w:jc w:val="both"/>
        <w:rPr>
          <w:rFonts w:ascii="Tahoma" w:hAnsi="Tahoma" w:cs="Tahoma"/>
          <w:sz w:val="20"/>
          <w:szCs w:val="20"/>
          <w:lang w:val="es-ES"/>
        </w:rPr>
      </w:pPr>
      <w:r>
        <w:rPr>
          <w:rFonts w:cs="Tahoma" w:ascii="Tahoma" w:hAnsi="Tahoma"/>
          <w:sz w:val="20"/>
          <w:szCs w:val="20"/>
          <w:lang w:val="es-ES"/>
        </w:rPr>
        <w:t xml:space="preserve">La Unidad de Acceso a la Justicia comunicó mediante </w:t>
      </w:r>
      <w:r>
        <w:rPr>
          <w:rFonts w:cs="Tahoma" w:ascii="Tahoma" w:hAnsi="Tahoma"/>
          <w:b/>
          <w:sz w:val="20"/>
          <w:szCs w:val="20"/>
          <w:lang w:val="es-ES"/>
        </w:rPr>
        <w:t>el Oficio CACC-04-2020</w:t>
      </w:r>
      <w:r>
        <w:rPr>
          <w:rFonts w:cs="Tahoma" w:ascii="Tahoma" w:hAnsi="Tahoma"/>
          <w:sz w:val="20"/>
          <w:szCs w:val="20"/>
          <w:lang w:val="es-ES"/>
        </w:rPr>
        <w:t xml:space="preserve"> a la Dirección Nacional de Justicia Restaurativa, el acuerdo estipulado en el Artículo VIII  del Acta 10-19 el cual se transcribe literalmente: </w:t>
      </w:r>
    </w:p>
    <w:p>
      <w:pPr>
        <w:pStyle w:val="NormalWeb"/>
        <w:spacing w:lineRule="auto" w:line="276" w:before="280" w:after="0"/>
        <w:jc w:val="both"/>
        <w:rPr>
          <w:rFonts w:ascii="Tahoma" w:hAnsi="Tahoma" w:cs="Tahoma"/>
          <w:b/>
          <w:b/>
          <w:bCs/>
          <w:i/>
          <w:i/>
          <w:iCs/>
          <w:sz w:val="20"/>
          <w:szCs w:val="20"/>
        </w:rPr>
      </w:pPr>
      <w:r>
        <w:rPr>
          <w:rFonts w:cs="Tahoma" w:ascii="Tahoma" w:hAnsi="Tahoma"/>
          <w:b/>
          <w:bCs/>
          <w:i/>
          <w:iCs/>
          <w:sz w:val="20"/>
          <w:szCs w:val="20"/>
          <w:u w:val="single"/>
        </w:rPr>
        <w:t>SE ACUERDA:</w:t>
      </w:r>
      <w:r>
        <w:rPr>
          <w:rFonts w:cs="Tahoma" w:ascii="Tahoma" w:hAnsi="Tahoma"/>
          <w:b/>
          <w:bCs/>
          <w:i/>
          <w:iCs/>
          <w:sz w:val="20"/>
          <w:szCs w:val="20"/>
        </w:rPr>
        <w:t xml:space="preserve"> </w:t>
      </w:r>
    </w:p>
    <w:p>
      <w:pPr>
        <w:pStyle w:val="NormalWeb"/>
        <w:spacing w:lineRule="auto" w:line="276" w:before="280" w:after="0"/>
        <w:jc w:val="both"/>
        <w:rPr>
          <w:rFonts w:ascii="Tahoma" w:hAnsi="Tahoma" w:cs="Tahoma"/>
          <w:i/>
          <w:i/>
          <w:sz w:val="20"/>
          <w:szCs w:val="20"/>
        </w:rPr>
      </w:pPr>
      <w:r>
        <w:rPr>
          <w:rFonts w:cs="Tahoma" w:ascii="Tahoma" w:hAnsi="Tahoma"/>
          <w:b/>
          <w:i/>
          <w:sz w:val="20"/>
          <w:szCs w:val="20"/>
        </w:rPr>
        <w:t>1°.</w:t>
      </w:r>
      <w:r>
        <w:rPr>
          <w:rFonts w:cs="Tahoma" w:ascii="Tahoma" w:hAnsi="Tahoma"/>
          <w:i/>
          <w:sz w:val="20"/>
          <w:szCs w:val="20"/>
        </w:rPr>
        <w:t xml:space="preserve"> Se toma nota de la propuesta de Protocolo para la atención de causas penales con intervinientes indígenas mediante de Justicia Restaurativa planteada por la Dirección Nacional de Justicia Restaurativa. </w:t>
      </w:r>
    </w:p>
    <w:p>
      <w:pPr>
        <w:pStyle w:val="NormalWeb"/>
        <w:spacing w:lineRule="auto" w:line="276" w:before="280" w:after="0"/>
        <w:jc w:val="both"/>
        <w:rPr>
          <w:rFonts w:ascii="Tahoma" w:hAnsi="Tahoma" w:cs="Tahoma"/>
          <w:i/>
          <w:i/>
          <w:sz w:val="20"/>
          <w:szCs w:val="20"/>
        </w:rPr>
      </w:pPr>
      <w:r>
        <w:rPr>
          <w:rFonts w:cs="Tahoma" w:ascii="Tahoma" w:hAnsi="Tahoma"/>
          <w:b/>
          <w:i/>
          <w:sz w:val="20"/>
          <w:szCs w:val="20"/>
        </w:rPr>
        <w:t>2°.</w:t>
      </w:r>
      <w:r>
        <w:rPr>
          <w:rFonts w:cs="Tahoma" w:ascii="Tahoma" w:hAnsi="Tahoma"/>
          <w:i/>
          <w:sz w:val="20"/>
          <w:szCs w:val="20"/>
        </w:rPr>
        <w:t xml:space="preserve"> Consultar a la DNJR el estado de dicho documento y la programación de actividades del 2020 para dar inicio a la implementación de Justicia Restaurativa en procesos penales, contravencionales y agrarios, según lo acordado. </w:t>
      </w:r>
    </w:p>
    <w:p>
      <w:pPr>
        <w:pStyle w:val="NormalWeb"/>
        <w:spacing w:lineRule="auto" w:line="276" w:before="280" w:after="0"/>
        <w:jc w:val="both"/>
        <w:rPr>
          <w:rFonts w:ascii="Tahoma" w:hAnsi="Tahoma" w:cs="Tahoma"/>
          <w:i/>
          <w:i/>
          <w:iCs/>
          <w:sz w:val="20"/>
          <w:szCs w:val="20"/>
        </w:rPr>
      </w:pPr>
      <w:r>
        <w:rPr>
          <w:rFonts w:cs="Tahoma" w:ascii="Tahoma" w:hAnsi="Tahoma"/>
          <w:b/>
          <w:i/>
          <w:sz w:val="20"/>
          <w:szCs w:val="20"/>
        </w:rPr>
        <w:t>3°</w:t>
      </w:r>
      <w:r>
        <w:rPr>
          <w:rFonts w:cs="Tahoma" w:ascii="Tahoma" w:hAnsi="Tahoma"/>
          <w:i/>
          <w:sz w:val="20"/>
          <w:szCs w:val="20"/>
        </w:rPr>
        <w:t>. Comunicar este acuerdo a la DNJR por medio de la Unidad de Acceso a la Justicia. Se declara firme este acuerdo por unanimidad.”</w:t>
      </w:r>
    </w:p>
    <w:p>
      <w:pPr>
        <w:pStyle w:val="Normal"/>
        <w:jc w:val="both"/>
        <w:rPr>
          <w:rFonts w:ascii="Tahoma" w:hAnsi="Tahoma" w:cs="Tahoma"/>
          <w:b/>
          <w:b/>
          <w:sz w:val="20"/>
          <w:szCs w:val="20"/>
          <w:lang w:val="es-ES"/>
        </w:rPr>
      </w:pPr>
      <w:r>
        <w:rPr>
          <w:rFonts w:cs="Tahoma" w:ascii="Tahoma" w:hAnsi="Tahoma"/>
          <w:sz w:val="20"/>
          <w:szCs w:val="20"/>
          <w:lang w:val="es-ES"/>
        </w:rPr>
        <w:t>El Magistrado Gerardo Rubén Alfaro, Rector de la Dirección Nacional de Justicia Restaurativa, remitió Oficio N° 036-DNJD-20 de 14 de febrero pasado, en el que informa:</w:t>
      </w:r>
    </w:p>
    <w:p>
      <w:pPr>
        <w:pStyle w:val="Normal"/>
        <w:jc w:val="right"/>
        <w:rPr>
          <w:rFonts w:ascii="Tahoma" w:hAnsi="Tahoma" w:cs="Tahoma"/>
          <w:i/>
          <w:i/>
          <w:iCs/>
          <w:sz w:val="20"/>
          <w:szCs w:val="20"/>
        </w:rPr>
      </w:pPr>
      <w:r>
        <w:rPr>
          <w:rFonts w:cs="Tahoma" w:ascii="Tahoma" w:hAnsi="Tahoma"/>
          <w:i/>
          <w:iCs/>
          <w:sz w:val="20"/>
          <w:szCs w:val="20"/>
        </w:rPr>
        <w:t>14 de febrero del 2020</w:t>
      </w:r>
    </w:p>
    <w:p>
      <w:pPr>
        <w:pStyle w:val="Normal"/>
        <w:rPr>
          <w:rFonts w:ascii="Tahoma" w:hAnsi="Tahoma" w:cs="Tahoma"/>
          <w:i/>
          <w:i/>
          <w:iCs/>
          <w:sz w:val="20"/>
          <w:szCs w:val="20"/>
        </w:rPr>
      </w:pPr>
      <w:r>
        <w:rPr>
          <w:rFonts w:cs="Tahoma" w:ascii="Tahoma" w:hAnsi="Tahoma"/>
          <w:i/>
          <w:iCs/>
          <w:sz w:val="20"/>
          <w:szCs w:val="20"/>
        </w:rPr>
        <w:tab/>
        <w:tab/>
        <w:tab/>
        <w:tab/>
        <w:tab/>
        <w:tab/>
        <w:tab/>
        <w:tab/>
        <w:tab/>
        <w:tab/>
        <w:tab/>
        <w:t xml:space="preserve">        No. 036-DNJR-20</w:t>
        <w:tab/>
        <w:tab/>
        <w:tab/>
        <w:tab/>
        <w:tab/>
        <w:tab/>
        <w:tab/>
        <w:tab/>
        <w:tab/>
      </w:r>
    </w:p>
    <w:p>
      <w:pPr>
        <w:pStyle w:val="NormalWeb"/>
        <w:spacing w:beforeAutospacing="0" w:before="0" w:afterAutospacing="0" w:after="0"/>
        <w:jc w:val="right"/>
        <w:rPr>
          <w:rFonts w:ascii="Tahoma" w:hAnsi="Tahoma" w:cs="Tahoma"/>
          <w:i/>
          <w:i/>
          <w:iCs/>
          <w:sz w:val="20"/>
          <w:szCs w:val="20"/>
        </w:rPr>
      </w:pPr>
      <w:r>
        <w:rPr>
          <w:rFonts w:cs="Tahoma" w:ascii="Tahoma" w:hAnsi="Tahoma"/>
          <w:i/>
          <w:iCs/>
          <w:sz w:val="20"/>
          <w:szCs w:val="20"/>
        </w:rPr>
      </w:r>
    </w:p>
    <w:p>
      <w:pPr>
        <w:pStyle w:val="Normal"/>
        <w:jc w:val="both"/>
        <w:rPr>
          <w:rFonts w:ascii="Tahoma" w:hAnsi="Tahoma" w:cs="Tahoma"/>
          <w:i/>
          <w:i/>
          <w:iCs/>
          <w:sz w:val="20"/>
          <w:szCs w:val="20"/>
        </w:rPr>
      </w:pPr>
      <w:r>
        <w:rPr>
          <w:rFonts w:cs="Tahoma" w:ascii="Tahoma" w:hAnsi="Tahoma"/>
          <w:i/>
          <w:iCs/>
          <w:sz w:val="20"/>
          <w:szCs w:val="20"/>
        </w:rPr>
        <w:t>Msc. Damaris Vargas Vásquez</w:t>
      </w:r>
    </w:p>
    <w:p>
      <w:pPr>
        <w:pStyle w:val="Normal"/>
        <w:jc w:val="both"/>
        <w:rPr>
          <w:rFonts w:ascii="Tahoma" w:hAnsi="Tahoma" w:cs="Tahoma"/>
          <w:i/>
          <w:i/>
          <w:iCs/>
          <w:sz w:val="20"/>
          <w:szCs w:val="20"/>
        </w:rPr>
      </w:pPr>
      <w:r>
        <w:rPr>
          <w:rFonts w:cs="Tahoma" w:ascii="Tahoma" w:hAnsi="Tahoma"/>
          <w:i/>
          <w:iCs/>
          <w:sz w:val="20"/>
          <w:szCs w:val="20"/>
        </w:rPr>
        <w:t>Magistrada</w:t>
      </w:r>
    </w:p>
    <w:p>
      <w:pPr>
        <w:pStyle w:val="Normal"/>
        <w:jc w:val="both"/>
        <w:rPr>
          <w:rFonts w:ascii="Tahoma" w:hAnsi="Tahoma" w:cs="Tahoma"/>
          <w:i/>
          <w:i/>
          <w:iCs/>
          <w:sz w:val="20"/>
          <w:szCs w:val="20"/>
        </w:rPr>
      </w:pPr>
      <w:r>
        <w:rPr>
          <w:rFonts w:cs="Tahoma" w:ascii="Tahoma" w:hAnsi="Tahoma"/>
          <w:i/>
          <w:iCs/>
          <w:sz w:val="20"/>
          <w:szCs w:val="20"/>
        </w:rPr>
        <w:t>Sala Primera</w:t>
      </w:r>
    </w:p>
    <w:p>
      <w:pPr>
        <w:pStyle w:val="Normal"/>
        <w:jc w:val="both"/>
        <w:rPr>
          <w:rFonts w:ascii="Tahoma" w:hAnsi="Tahoma" w:cs="Tahoma"/>
          <w:i/>
          <w:i/>
          <w:iCs/>
          <w:sz w:val="20"/>
          <w:szCs w:val="20"/>
        </w:rPr>
      </w:pPr>
      <w:r>
        <w:rPr>
          <w:rFonts w:cs="Tahoma" w:ascii="Tahoma" w:hAnsi="Tahoma"/>
          <w:i/>
          <w:iCs/>
          <w:sz w:val="20"/>
          <w:szCs w:val="20"/>
        </w:rPr>
        <w:t>Su Despacho</w:t>
      </w:r>
    </w:p>
    <w:p>
      <w:pPr>
        <w:pStyle w:val="NormalWeb"/>
        <w:spacing w:beforeAutospacing="0" w:before="0" w:afterAutospacing="0" w:after="0"/>
        <w:jc w:val="both"/>
        <w:rPr>
          <w:rFonts w:ascii="Tahoma" w:hAnsi="Tahoma" w:cs="Tahoma"/>
          <w:i/>
          <w:i/>
          <w:iCs/>
          <w:sz w:val="20"/>
          <w:szCs w:val="20"/>
        </w:rPr>
      </w:pPr>
      <w:r>
        <w:rPr>
          <w:rFonts w:cs="Tahoma" w:ascii="Tahoma" w:hAnsi="Tahoma"/>
          <w:i/>
          <w:iCs/>
          <w:sz w:val="20"/>
          <w:szCs w:val="20"/>
        </w:rPr>
        <w:t>Estimada Magistrada Vargas:</w:t>
      </w:r>
    </w:p>
    <w:p>
      <w:pPr>
        <w:pStyle w:val="Normal"/>
        <w:spacing w:lineRule="auto" w:line="360"/>
        <w:jc w:val="both"/>
        <w:rPr>
          <w:rFonts w:ascii="Tahoma" w:hAnsi="Tahoma" w:cs="Tahoma"/>
          <w:i/>
          <w:i/>
          <w:iCs/>
          <w:sz w:val="20"/>
          <w:szCs w:val="20"/>
        </w:rPr>
      </w:pPr>
      <w:r>
        <w:rPr>
          <w:rFonts w:cs="Tahoma" w:ascii="Tahoma" w:hAnsi="Tahoma"/>
          <w:i/>
          <w:iCs/>
          <w:sz w:val="20"/>
          <w:szCs w:val="20"/>
        </w:rPr>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t xml:space="preserve">Reciba un atento saludo. </w:t>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t xml:space="preserve">Por medio de la presente me dirijo a usted, muy respetuosamente, con la finalidad de dar respuesta a su correo electrónico mediante el cual nos solicita </w:t>
      </w:r>
      <w:r>
        <w:rPr>
          <w:rFonts w:cs="Tahoma" w:ascii="Tahoma" w:hAnsi="Tahoma"/>
          <w:i/>
          <w:iCs/>
          <w:color w:val="201F1E"/>
          <w:sz w:val="20"/>
          <w:szCs w:val="20"/>
          <w:shd w:fill="FFFFFF" w:val="clear"/>
        </w:rPr>
        <w:t>la planificación de la Dirección Nacional de Justicia Restaurativa para colaborar con el Plan de Descongestionamiento de los despachos agrarios en 2020 y proyección al 2021, específicamente con los procesos agrarios vinculados con población indígena en cumplimiento de la Ley de Acceso a la Justicia de Pueblos Indígenas de Costa Rica.</w:t>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t>Inicialmente, agradecemos que la Justicia Restaurativa sea contemplada como una alternativa para la resolución de conflictos judiciales en los que están involucradas personas indígenas. Para ello, desde la Dirección Nacional de Justicia Restaurativa se han realizado las siguientes acciones:</w:t>
      </w:r>
    </w:p>
    <w:p>
      <w:pPr>
        <w:pStyle w:val="ListParagraph"/>
        <w:numPr>
          <w:ilvl w:val="0"/>
          <w:numId w:val="1"/>
        </w:numPr>
        <w:shd w:val="clear" w:color="auto" w:fill="FFFFFF"/>
        <w:spacing w:lineRule="auto" w:line="360"/>
        <w:jc w:val="both"/>
        <w:rPr>
          <w:rFonts w:ascii="Tahoma" w:hAnsi="Tahoma" w:cs="Tahoma"/>
          <w:b/>
          <w:b/>
          <w:i/>
          <w:i/>
          <w:iCs/>
          <w:sz w:val="20"/>
        </w:rPr>
      </w:pPr>
      <w:r>
        <w:rPr>
          <w:rFonts w:cs="Tahoma" w:ascii="Tahoma" w:hAnsi="Tahoma"/>
          <w:b/>
          <w:i/>
          <w:iCs/>
          <w:sz w:val="20"/>
        </w:rPr>
        <w:t xml:space="preserve">Formación de personal judicial sobre Justicia Restaurativa en Asuntos Indígenas </w:t>
      </w:r>
    </w:p>
    <w:p>
      <w:pPr>
        <w:pStyle w:val="ListParagraph"/>
        <w:shd w:val="clear" w:color="auto" w:fill="FFFFFF"/>
        <w:spacing w:lineRule="auto" w:line="360"/>
        <w:jc w:val="both"/>
        <w:rPr>
          <w:rFonts w:ascii="Tahoma" w:hAnsi="Tahoma" w:cs="Tahoma"/>
          <w:i/>
          <w:i/>
          <w:iCs/>
          <w:sz w:val="20"/>
        </w:rPr>
      </w:pPr>
      <w:r>
        <w:rPr>
          <w:rFonts w:cs="Tahoma" w:ascii="Tahoma" w:hAnsi="Tahoma"/>
          <w:i/>
          <w:iCs/>
          <w:sz w:val="20"/>
        </w:rPr>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t>En el marco del Proyecto de Fortalecimiento de la Justicia Restaurativa que se ejecuta en los Poderes Judiciales de Costa Rica, Colombia y México, nuestro país como coordinador del proyecto ha promovido un acercamiento a la población indígena al incluir una perspectiva intercultural en los procesos de Justicia Restaurativa.</w:t>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t>Para ello, se han realizado diversas actividades de sensibilización y capacitación para las personas funcionarias de estos tres poderes y sociedad civil, tales como el diseño de capacitación para el Estado de México en la cual participó personal judicial de Costa Rica. Adicionalmente, la delegación costarricense recibió una charla sobre los territorios indígenas en el Estado de México, obteniendo conocimientos que pueden trasladarse a Costa Rica.</w:t>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t>Como parte de las actividades en el extranjero, el personal judicial de Costa Rica realizó una visita a la Universidad Intercultural en el Estado de México, en la que se desarrollan actividades de formación con la cosmovisión de los pueblos indígenas.</w:t>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t xml:space="preserve">A nivel nacional, en los Tribunales de Justicia de Turrialba se llevó a cabo una inducción para el personal judicial en la que participó una persona indígena quien colabora como intérprete del idioma cabécar que colabora en los procesos judiciales, especialmente aquellos derivados de la zona de Grano de Oro. </w:t>
      </w:r>
    </w:p>
    <w:p>
      <w:pPr>
        <w:pStyle w:val="ListParagraph"/>
        <w:shd w:val="clear" w:color="auto" w:fill="FFFFFF"/>
        <w:spacing w:lineRule="auto" w:line="360"/>
        <w:ind w:left="1080" w:hanging="0"/>
        <w:jc w:val="both"/>
        <w:rPr>
          <w:rFonts w:ascii="Tahoma" w:hAnsi="Tahoma" w:cs="Tahoma"/>
          <w:b/>
          <w:b/>
          <w:i/>
          <w:i/>
          <w:iCs/>
          <w:sz w:val="20"/>
        </w:rPr>
      </w:pPr>
      <w:r>
        <w:rPr>
          <w:rFonts w:cs="Tahoma" w:ascii="Tahoma" w:hAnsi="Tahoma"/>
          <w:b/>
          <w:i/>
          <w:iCs/>
          <w:sz w:val="20"/>
        </w:rPr>
      </w:r>
    </w:p>
    <w:p>
      <w:pPr>
        <w:pStyle w:val="ListParagraph"/>
        <w:shd w:val="clear" w:color="auto" w:fill="FFFFFF"/>
        <w:spacing w:lineRule="auto" w:line="360"/>
        <w:ind w:left="1080" w:hanging="0"/>
        <w:jc w:val="both"/>
        <w:rPr>
          <w:rFonts w:ascii="Tahoma" w:hAnsi="Tahoma" w:cs="Tahoma"/>
          <w:b/>
          <w:b/>
          <w:i/>
          <w:i/>
          <w:iCs/>
          <w:sz w:val="20"/>
        </w:rPr>
      </w:pPr>
      <w:r>
        <w:rPr>
          <w:rFonts w:cs="Tahoma" w:ascii="Tahoma" w:hAnsi="Tahoma"/>
          <w:b/>
          <w:i/>
          <w:iCs/>
          <w:sz w:val="20"/>
        </w:rPr>
      </w:r>
    </w:p>
    <w:p>
      <w:pPr>
        <w:pStyle w:val="ListParagraph"/>
        <w:shd w:val="clear" w:color="auto" w:fill="FFFFFF"/>
        <w:spacing w:lineRule="auto" w:line="360"/>
        <w:ind w:left="1080" w:hanging="0"/>
        <w:jc w:val="both"/>
        <w:rPr>
          <w:rFonts w:ascii="Tahoma" w:hAnsi="Tahoma" w:cs="Tahoma"/>
          <w:b/>
          <w:b/>
          <w:i/>
          <w:i/>
          <w:iCs/>
          <w:sz w:val="20"/>
        </w:rPr>
      </w:pPr>
      <w:r>
        <w:rPr>
          <w:rFonts w:cs="Tahoma" w:ascii="Tahoma" w:hAnsi="Tahoma"/>
          <w:b/>
          <w:i/>
          <w:iCs/>
          <w:sz w:val="20"/>
        </w:rPr>
      </w:r>
    </w:p>
    <w:p>
      <w:pPr>
        <w:pStyle w:val="ListParagraph"/>
        <w:numPr>
          <w:ilvl w:val="0"/>
          <w:numId w:val="1"/>
        </w:numPr>
        <w:shd w:val="clear" w:color="auto" w:fill="FFFFFF"/>
        <w:spacing w:lineRule="auto" w:line="360"/>
        <w:jc w:val="both"/>
        <w:rPr>
          <w:rFonts w:ascii="Tahoma" w:hAnsi="Tahoma" w:cs="Tahoma"/>
          <w:b/>
          <w:b/>
          <w:i/>
          <w:i/>
          <w:iCs/>
          <w:sz w:val="20"/>
        </w:rPr>
      </w:pPr>
      <w:r>
        <w:rPr>
          <w:rFonts w:cs="Tahoma" w:ascii="Tahoma" w:hAnsi="Tahoma"/>
          <w:b/>
          <w:i/>
          <w:iCs/>
          <w:sz w:val="20"/>
        </w:rPr>
        <w:t>Coordinaciones Interinstitucionales</w:t>
      </w:r>
    </w:p>
    <w:p>
      <w:pPr>
        <w:pStyle w:val="ListParagraph"/>
        <w:shd w:val="clear" w:color="auto" w:fill="FFFFFF"/>
        <w:spacing w:lineRule="auto" w:line="360"/>
        <w:ind w:left="1080" w:hanging="0"/>
        <w:jc w:val="both"/>
        <w:rPr>
          <w:rFonts w:ascii="Tahoma" w:hAnsi="Tahoma" w:cs="Tahoma"/>
          <w:b/>
          <w:b/>
          <w:i/>
          <w:i/>
          <w:iCs/>
          <w:sz w:val="20"/>
        </w:rPr>
      </w:pPr>
      <w:r>
        <w:rPr>
          <w:rFonts w:cs="Tahoma" w:ascii="Tahoma" w:hAnsi="Tahoma"/>
          <w:b/>
          <w:i/>
          <w:iCs/>
          <w:sz w:val="20"/>
        </w:rPr>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t xml:space="preserve"> </w:t>
      </w:r>
      <w:r>
        <w:rPr>
          <w:rFonts w:cs="Tahoma" w:ascii="Tahoma" w:hAnsi="Tahoma"/>
          <w:i/>
          <w:iCs/>
          <w:sz w:val="20"/>
          <w:szCs w:val="20"/>
        </w:rPr>
        <w:t>La Dirección Nacional de Justicia Restaurativa gracias a la cooperación institucional ha realizado enlaces con el Centro de Investigación Antropológicas de la Universidad de Costa Rica, la Oficina de Acceso a la Justicia, la Subcomisión de Acceso a la Justicia de Pueblos Indígenas y la Escuela Judicial para promover la sensibilización y capacitación de las personas funcionarias que participan en los procesos de Justicia Restaurativa, en materia de Acceso a la Justicia Intercultural, para el mejoramiento de capacidades de actuación con pertinencia cultural.</w:t>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t>Gracias a estas coordinaciones se participó en el conversatorio “Conflictos territoriales y pueblos indígenas: experiencias latinoamericanas”, realizado en la Escuela de Antropología de la Universidad de Costa Rica.</w:t>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t>Además, el Equipo de Justicia Penal Restaurativa de Pérez Zeledón participó en el</w:t>
      </w:r>
      <w:r>
        <w:rPr>
          <w:rFonts w:cs="Tahoma" w:ascii="Tahoma" w:hAnsi="Tahoma"/>
          <w:b/>
          <w:bCs/>
          <w:i/>
          <w:iCs/>
          <w:sz w:val="20"/>
          <w:szCs w:val="20"/>
        </w:rPr>
        <w:t xml:space="preserve"> “</w:t>
      </w:r>
      <w:r>
        <w:rPr>
          <w:rFonts w:cs="Tahoma" w:ascii="Tahoma" w:hAnsi="Tahoma"/>
          <w:i/>
          <w:iCs/>
          <w:sz w:val="20"/>
          <w:szCs w:val="20"/>
        </w:rPr>
        <w:t>Módulo didáctico para la promoción de los derechos humanos de los pueblos indígenas” organizado por la Escuela Judicial y realizado en el Colegio Técnico Profesional de Buenos Aires de Puntarenas.</w:t>
      </w:r>
    </w:p>
    <w:p>
      <w:pPr>
        <w:pStyle w:val="ListParagraph"/>
        <w:shd w:val="clear" w:color="auto" w:fill="FFFFFF"/>
        <w:spacing w:lineRule="auto" w:line="360"/>
        <w:ind w:left="1080" w:hanging="0"/>
        <w:jc w:val="both"/>
        <w:rPr>
          <w:rFonts w:ascii="Tahoma" w:hAnsi="Tahoma" w:cs="Tahoma"/>
          <w:b/>
          <w:b/>
          <w:i/>
          <w:i/>
          <w:iCs/>
          <w:sz w:val="20"/>
        </w:rPr>
      </w:pPr>
      <w:r>
        <w:rPr>
          <w:rFonts w:cs="Tahoma" w:ascii="Tahoma" w:hAnsi="Tahoma"/>
          <w:b/>
          <w:i/>
          <w:iCs/>
          <w:sz w:val="20"/>
        </w:rPr>
      </w:r>
    </w:p>
    <w:p>
      <w:pPr>
        <w:pStyle w:val="ListParagraph"/>
        <w:numPr>
          <w:ilvl w:val="0"/>
          <w:numId w:val="1"/>
        </w:numPr>
        <w:shd w:val="clear" w:color="auto" w:fill="FFFFFF"/>
        <w:spacing w:lineRule="auto" w:line="360"/>
        <w:jc w:val="both"/>
        <w:rPr>
          <w:rFonts w:ascii="Tahoma" w:hAnsi="Tahoma" w:cs="Tahoma"/>
          <w:b/>
          <w:b/>
          <w:i/>
          <w:i/>
          <w:iCs/>
          <w:sz w:val="20"/>
        </w:rPr>
      </w:pPr>
      <w:r>
        <w:rPr>
          <w:rFonts w:cs="Tahoma" w:ascii="Tahoma" w:hAnsi="Tahoma"/>
          <w:b/>
          <w:i/>
          <w:iCs/>
          <w:sz w:val="20"/>
        </w:rPr>
        <w:t xml:space="preserve">Construcción de Instrumentos. </w:t>
      </w:r>
    </w:p>
    <w:p>
      <w:pPr>
        <w:pStyle w:val="ListParagraph"/>
        <w:shd w:val="clear" w:color="auto" w:fill="FFFFFF"/>
        <w:spacing w:lineRule="auto" w:line="360"/>
        <w:ind w:left="1080" w:hanging="0"/>
        <w:jc w:val="both"/>
        <w:rPr>
          <w:rFonts w:ascii="Tahoma" w:hAnsi="Tahoma" w:cs="Tahoma"/>
          <w:b/>
          <w:b/>
          <w:i/>
          <w:i/>
          <w:iCs/>
          <w:sz w:val="20"/>
        </w:rPr>
      </w:pPr>
      <w:r>
        <w:rPr>
          <w:rFonts w:cs="Tahoma" w:ascii="Tahoma" w:hAnsi="Tahoma"/>
          <w:b/>
          <w:i/>
          <w:iCs/>
          <w:sz w:val="20"/>
        </w:rPr>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t xml:space="preserve">En Justicia Penal Restaurativa, gracias al trabajo conjunto con la Defensa Pública, el Ministerio Público y el Departamento de Trabajo Social y Psicología se elaboró una propuesta de </w:t>
      </w:r>
      <w:r>
        <w:rPr>
          <w:rFonts w:cs="Tahoma" w:ascii="Tahoma" w:hAnsi="Tahoma"/>
          <w:b/>
          <w:bCs/>
          <w:i/>
          <w:iCs/>
          <w:sz w:val="20"/>
          <w:szCs w:val="20"/>
        </w:rPr>
        <w:t>Protocolo para la atención de causas penales con intervinientes indígenas mediante de Justicia Restaurativa</w:t>
      </w:r>
      <w:r>
        <w:rPr>
          <w:rFonts w:cs="Tahoma" w:ascii="Tahoma" w:hAnsi="Tahoma"/>
          <w:bCs/>
          <w:i/>
          <w:iCs/>
          <w:sz w:val="20"/>
          <w:szCs w:val="20"/>
        </w:rPr>
        <w:t xml:space="preserve"> con u</w:t>
      </w:r>
      <w:r>
        <w:rPr>
          <w:rFonts w:cs="Tahoma" w:ascii="Tahoma" w:hAnsi="Tahoma"/>
          <w:i/>
          <w:iCs/>
          <w:sz w:val="20"/>
          <w:szCs w:val="20"/>
        </w:rPr>
        <w:t>n enfoque intercultural, así como su plan de implementación en la zona de Buenos Aires, por parte de la Oficina de Justicia Restaurativa de Pérez Zeledón.</w:t>
      </w:r>
    </w:p>
    <w:p>
      <w:pPr>
        <w:pStyle w:val="NormalWeb"/>
        <w:spacing w:lineRule="auto" w:line="360" w:before="280" w:after="280"/>
        <w:ind w:firstLine="708"/>
        <w:jc w:val="both"/>
        <w:rPr>
          <w:rFonts w:ascii="Tahoma" w:hAnsi="Tahoma" w:cs="Tahoma"/>
          <w:i/>
          <w:i/>
          <w:iCs/>
          <w:sz w:val="20"/>
          <w:szCs w:val="20"/>
          <w:lang w:eastAsia="es-ES"/>
        </w:rPr>
      </w:pPr>
      <w:r>
        <w:rPr>
          <w:rFonts w:cs="Tahoma" w:ascii="Tahoma" w:hAnsi="Tahoma"/>
          <w:i/>
          <w:iCs/>
          <w:sz w:val="20"/>
          <w:szCs w:val="20"/>
          <w:lang w:eastAsia="es-ES"/>
        </w:rPr>
      </w:r>
    </w:p>
    <w:p>
      <w:pPr>
        <w:pStyle w:val="NormalWeb"/>
        <w:spacing w:lineRule="auto" w:line="360" w:before="280" w:after="280"/>
        <w:ind w:firstLine="708"/>
        <w:jc w:val="both"/>
        <w:rPr>
          <w:rFonts w:ascii="Tahoma" w:hAnsi="Tahoma" w:cs="Tahoma"/>
          <w:i/>
          <w:i/>
          <w:iCs/>
          <w:sz w:val="20"/>
          <w:szCs w:val="20"/>
          <w:lang w:val="es-ES" w:eastAsia="es-ES"/>
        </w:rPr>
      </w:pPr>
      <w:r>
        <w:rPr>
          <w:rFonts w:cs="Tahoma" w:ascii="Tahoma" w:hAnsi="Tahoma"/>
          <w:i/>
          <w:iCs/>
          <w:sz w:val="20"/>
          <w:szCs w:val="20"/>
          <w:lang w:val="es-ES" w:eastAsia="es-ES"/>
        </w:rPr>
        <w:t>En el mes de octubre 2019, se puso en conocimiento de la Sub Comisión de Acceso a la Justicia de Pueblos Indígenas la propuesta de protocolo y el día 05 de noviembre 2019, participamos en la sesión 09-2019 de la Sub Comisión explicando el procedimiento restaurativo y los lineamientos de la Ley de Justicia Restaurativa.</w:t>
      </w:r>
    </w:p>
    <w:p>
      <w:pPr>
        <w:pStyle w:val="NormalWeb"/>
        <w:spacing w:lineRule="auto" w:line="360" w:before="280" w:after="280"/>
        <w:ind w:firstLine="708"/>
        <w:jc w:val="both"/>
        <w:rPr>
          <w:rFonts w:ascii="Tahoma" w:hAnsi="Tahoma" w:cs="Tahoma"/>
          <w:i/>
          <w:i/>
          <w:iCs/>
          <w:sz w:val="20"/>
          <w:szCs w:val="20"/>
          <w:lang w:val="es-ES" w:eastAsia="es-ES"/>
        </w:rPr>
      </w:pPr>
      <w:r>
        <w:rPr>
          <w:rFonts w:cs="Tahoma" w:ascii="Tahoma" w:hAnsi="Tahoma"/>
          <w:i/>
          <w:iCs/>
          <w:sz w:val="20"/>
          <w:szCs w:val="20"/>
          <w:lang w:val="es-ES" w:eastAsia="es-ES"/>
        </w:rPr>
        <w:t>Además, se acordó que una vez incorporadas las observaciones al documento se  continuara con las labores de coordinación e involucramiento de las comunidades indígenas para lograr la implementación de este instrumento.</w:t>
      </w:r>
    </w:p>
    <w:p>
      <w:pPr>
        <w:pStyle w:val="ListParagraph"/>
        <w:numPr>
          <w:ilvl w:val="0"/>
          <w:numId w:val="1"/>
        </w:numPr>
        <w:shd w:val="clear" w:color="auto" w:fill="FFFFFF"/>
        <w:spacing w:lineRule="auto" w:line="360"/>
        <w:jc w:val="both"/>
        <w:rPr>
          <w:rFonts w:ascii="Tahoma" w:hAnsi="Tahoma" w:cs="Tahoma"/>
          <w:i/>
          <w:i/>
          <w:iCs/>
          <w:sz w:val="20"/>
        </w:rPr>
      </w:pPr>
      <w:r>
        <w:rPr>
          <w:rFonts w:cs="Tahoma" w:ascii="Tahoma" w:hAnsi="Tahoma"/>
          <w:b/>
          <w:i/>
          <w:iCs/>
          <w:sz w:val="20"/>
        </w:rPr>
        <w:t>Cantidad de personas indígenas atendidas en Justicia Restaurativa</w:t>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t>El Equipo de Justicia Penal Restaurativa de Pérez Zeledón es el único que ha atendido casos en los que figuran personas indígenas como partes mediante la metodología de Justicia Restaurativa y ha facilitado la aplicación de medidas alternas, obteniendo resultados muy positivos, tal y como se muestra a continuación:</w:t>
      </w:r>
    </w:p>
    <w:p>
      <w:pPr>
        <w:pStyle w:val="Normal"/>
        <w:shd w:val="clear" w:color="auto" w:fill="FFFFFF"/>
        <w:spacing w:lineRule="auto" w:line="360"/>
        <w:ind w:firstLine="708"/>
        <w:jc w:val="center"/>
        <w:rPr>
          <w:rFonts w:ascii="Tahoma" w:hAnsi="Tahoma" w:cs="Tahoma"/>
          <w:b/>
          <w:b/>
          <w:i/>
          <w:i/>
          <w:iCs/>
          <w:sz w:val="20"/>
          <w:szCs w:val="20"/>
        </w:rPr>
      </w:pPr>
      <w:r>
        <w:rPr>
          <w:rFonts w:cs="Tahoma" w:ascii="Tahoma" w:hAnsi="Tahoma"/>
          <w:b/>
          <w:i/>
          <w:iCs/>
          <w:sz w:val="20"/>
          <w:szCs w:val="20"/>
        </w:rPr>
        <w:t>Tabla N° 1 Resultados de atención en Justicia Restaurativa</w:t>
      </w:r>
    </w:p>
    <w:p>
      <w:pPr>
        <w:pStyle w:val="Normal"/>
        <w:shd w:val="clear" w:color="auto" w:fill="FFFFFF"/>
        <w:spacing w:lineRule="auto" w:line="360"/>
        <w:ind w:firstLine="708"/>
        <w:jc w:val="center"/>
        <w:rPr>
          <w:rFonts w:ascii="Tahoma" w:hAnsi="Tahoma" w:cs="Tahoma"/>
          <w:b/>
          <w:b/>
          <w:i/>
          <w:i/>
          <w:iCs/>
          <w:sz w:val="20"/>
          <w:szCs w:val="20"/>
        </w:rPr>
      </w:pPr>
      <w:r>
        <w:rPr>
          <w:rFonts w:cs="Tahoma" w:ascii="Tahoma" w:hAnsi="Tahoma"/>
          <w:b/>
          <w:i/>
          <w:iCs/>
          <w:sz w:val="20"/>
          <w:szCs w:val="20"/>
        </w:rPr>
      </w:r>
    </w:p>
    <w:tbl>
      <w:tblPr>
        <w:tblW w:w="7182"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795"/>
        <w:gridCol w:w="1795"/>
        <w:gridCol w:w="1796"/>
        <w:gridCol w:w="1795"/>
      </w:tblGrid>
      <w:tr>
        <w:trPr/>
        <w:tc>
          <w:tcPr>
            <w:tcW w:w="1795" w:type="dxa"/>
            <w:tcBorders>
              <w:top w:val="single" w:sz="4" w:space="0" w:color="000000"/>
              <w:left w:val="single" w:sz="4" w:space="0" w:color="000000"/>
              <w:bottom w:val="single" w:sz="4" w:space="0" w:color="000000"/>
              <w:right w:val="single" w:sz="4" w:space="0" w:color="000000"/>
            </w:tcBorders>
            <w:shd w:color="auto" w:fill="002060" w:val="clear"/>
          </w:tcPr>
          <w:p>
            <w:pPr>
              <w:pStyle w:val="Normal"/>
              <w:widowControl w:val="false"/>
              <w:spacing w:lineRule="auto" w:line="360" w:before="0" w:after="200"/>
              <w:jc w:val="center"/>
              <w:rPr>
                <w:rFonts w:ascii="Tahoma" w:hAnsi="Tahoma" w:cs="Tahoma"/>
                <w:b/>
                <w:b/>
                <w:i/>
                <w:i/>
                <w:iCs/>
                <w:sz w:val="20"/>
                <w:szCs w:val="20"/>
              </w:rPr>
            </w:pPr>
            <w:r>
              <w:rPr>
                <w:rFonts w:cs="Tahoma" w:ascii="Tahoma" w:hAnsi="Tahoma"/>
                <w:b/>
                <w:i/>
                <w:iCs/>
                <w:sz w:val="20"/>
                <w:szCs w:val="20"/>
              </w:rPr>
              <w:t>Total de Asuntos</w:t>
            </w:r>
          </w:p>
        </w:tc>
        <w:tc>
          <w:tcPr>
            <w:tcW w:w="1795" w:type="dxa"/>
            <w:tcBorders>
              <w:top w:val="single" w:sz="4" w:space="0" w:color="000000"/>
              <w:left w:val="single" w:sz="4" w:space="0" w:color="000000"/>
              <w:bottom w:val="single" w:sz="4" w:space="0" w:color="000000"/>
              <w:right w:val="single" w:sz="4" w:space="0" w:color="000000"/>
            </w:tcBorders>
            <w:shd w:color="auto" w:fill="002060" w:val="clear"/>
          </w:tcPr>
          <w:p>
            <w:pPr>
              <w:pStyle w:val="Normal"/>
              <w:widowControl w:val="false"/>
              <w:spacing w:lineRule="auto" w:line="360" w:before="0" w:after="200"/>
              <w:jc w:val="center"/>
              <w:rPr>
                <w:rFonts w:ascii="Tahoma" w:hAnsi="Tahoma" w:cs="Tahoma"/>
                <w:b/>
                <w:b/>
                <w:i/>
                <w:i/>
                <w:iCs/>
                <w:sz w:val="20"/>
                <w:szCs w:val="20"/>
              </w:rPr>
            </w:pPr>
            <w:r>
              <w:rPr>
                <w:rFonts w:cs="Tahoma" w:ascii="Tahoma" w:hAnsi="Tahoma"/>
                <w:b/>
                <w:i/>
                <w:iCs/>
                <w:sz w:val="20"/>
                <w:szCs w:val="20"/>
              </w:rPr>
              <w:t>Con acuerdo</w:t>
            </w:r>
          </w:p>
        </w:tc>
        <w:tc>
          <w:tcPr>
            <w:tcW w:w="1796" w:type="dxa"/>
            <w:tcBorders>
              <w:top w:val="single" w:sz="4" w:space="0" w:color="000000"/>
              <w:left w:val="single" w:sz="4" w:space="0" w:color="000000"/>
              <w:bottom w:val="single" w:sz="4" w:space="0" w:color="000000"/>
              <w:right w:val="single" w:sz="4" w:space="0" w:color="000000"/>
            </w:tcBorders>
            <w:shd w:color="auto" w:fill="002060" w:val="clear"/>
          </w:tcPr>
          <w:p>
            <w:pPr>
              <w:pStyle w:val="Normal"/>
              <w:widowControl w:val="false"/>
              <w:spacing w:lineRule="auto" w:line="360" w:before="0" w:after="200"/>
              <w:jc w:val="center"/>
              <w:rPr>
                <w:rFonts w:ascii="Tahoma" w:hAnsi="Tahoma" w:cs="Tahoma"/>
                <w:b/>
                <w:b/>
                <w:i/>
                <w:i/>
                <w:iCs/>
                <w:sz w:val="20"/>
                <w:szCs w:val="20"/>
              </w:rPr>
            </w:pPr>
            <w:r>
              <w:rPr>
                <w:rFonts w:cs="Tahoma" w:ascii="Tahoma" w:hAnsi="Tahoma"/>
                <w:b/>
                <w:i/>
                <w:iCs/>
                <w:sz w:val="20"/>
                <w:szCs w:val="20"/>
              </w:rPr>
              <w:t>Trámite</w:t>
            </w:r>
          </w:p>
        </w:tc>
        <w:tc>
          <w:tcPr>
            <w:tcW w:w="1795" w:type="dxa"/>
            <w:tcBorders>
              <w:top w:val="single" w:sz="4" w:space="0" w:color="000000"/>
              <w:left w:val="single" w:sz="4" w:space="0" w:color="000000"/>
              <w:bottom w:val="single" w:sz="4" w:space="0" w:color="000000"/>
              <w:right w:val="single" w:sz="4" w:space="0" w:color="000000"/>
            </w:tcBorders>
            <w:shd w:color="auto" w:fill="002060" w:val="clear"/>
          </w:tcPr>
          <w:p>
            <w:pPr>
              <w:pStyle w:val="Normal"/>
              <w:widowControl w:val="false"/>
              <w:spacing w:lineRule="auto" w:line="360" w:before="0" w:after="200"/>
              <w:jc w:val="center"/>
              <w:rPr>
                <w:rFonts w:ascii="Tahoma" w:hAnsi="Tahoma" w:cs="Tahoma"/>
                <w:b/>
                <w:b/>
                <w:i/>
                <w:i/>
                <w:iCs/>
                <w:sz w:val="20"/>
                <w:szCs w:val="20"/>
              </w:rPr>
            </w:pPr>
            <w:r>
              <w:rPr>
                <w:rFonts w:cs="Tahoma" w:ascii="Tahoma" w:hAnsi="Tahoma"/>
                <w:b/>
                <w:i/>
                <w:iCs/>
                <w:sz w:val="20"/>
                <w:szCs w:val="20"/>
              </w:rPr>
              <w:t>Devueltos</w:t>
            </w:r>
          </w:p>
        </w:tc>
      </w:tr>
      <w:tr>
        <w:trPr/>
        <w:tc>
          <w:tcPr>
            <w:tcW w:w="17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center"/>
              <w:rPr>
                <w:rFonts w:ascii="Tahoma" w:hAnsi="Tahoma" w:cs="Tahoma"/>
                <w:i/>
                <w:i/>
                <w:iCs/>
                <w:sz w:val="20"/>
                <w:szCs w:val="20"/>
              </w:rPr>
            </w:pPr>
            <w:r>
              <w:rPr>
                <w:rFonts w:cs="Tahoma" w:ascii="Tahoma" w:hAnsi="Tahoma"/>
                <w:i/>
                <w:iCs/>
                <w:sz w:val="20"/>
                <w:szCs w:val="20"/>
              </w:rPr>
              <w:t>29</w:t>
            </w:r>
          </w:p>
        </w:tc>
        <w:tc>
          <w:tcPr>
            <w:tcW w:w="17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center"/>
              <w:rPr>
                <w:rFonts w:ascii="Tahoma" w:hAnsi="Tahoma" w:cs="Tahoma"/>
                <w:i/>
                <w:i/>
                <w:iCs/>
                <w:sz w:val="20"/>
                <w:szCs w:val="20"/>
              </w:rPr>
            </w:pPr>
            <w:r>
              <w:rPr>
                <w:rFonts w:cs="Tahoma" w:ascii="Tahoma" w:hAnsi="Tahoma"/>
                <w:i/>
                <w:iCs/>
                <w:sz w:val="20"/>
                <w:szCs w:val="20"/>
              </w:rPr>
              <w:t>22</w:t>
            </w:r>
          </w:p>
        </w:tc>
        <w:tc>
          <w:tcPr>
            <w:tcW w:w="17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center"/>
              <w:rPr>
                <w:rFonts w:ascii="Tahoma" w:hAnsi="Tahoma" w:cs="Tahoma"/>
                <w:i/>
                <w:i/>
                <w:iCs/>
                <w:sz w:val="20"/>
                <w:szCs w:val="20"/>
              </w:rPr>
            </w:pPr>
            <w:r>
              <w:rPr>
                <w:rFonts w:cs="Tahoma" w:ascii="Tahoma" w:hAnsi="Tahoma"/>
                <w:i/>
                <w:iCs/>
                <w:sz w:val="20"/>
                <w:szCs w:val="20"/>
              </w:rPr>
              <w:t>4</w:t>
            </w:r>
          </w:p>
        </w:tc>
        <w:tc>
          <w:tcPr>
            <w:tcW w:w="17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center"/>
              <w:rPr>
                <w:rFonts w:ascii="Tahoma" w:hAnsi="Tahoma" w:cs="Tahoma"/>
                <w:i/>
                <w:i/>
                <w:iCs/>
                <w:sz w:val="20"/>
                <w:szCs w:val="20"/>
              </w:rPr>
            </w:pPr>
            <w:r>
              <w:rPr>
                <w:rFonts w:cs="Tahoma" w:ascii="Tahoma" w:hAnsi="Tahoma"/>
                <w:i/>
                <w:iCs/>
                <w:sz w:val="20"/>
                <w:szCs w:val="20"/>
              </w:rPr>
              <w:t>3</w:t>
            </w:r>
          </w:p>
        </w:tc>
      </w:tr>
    </w:tbl>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r>
    </w:p>
    <w:p>
      <w:pPr>
        <w:pStyle w:val="Normal"/>
        <w:shd w:val="clear" w:color="auto" w:fill="FFFFFF"/>
        <w:spacing w:lineRule="auto" w:line="360"/>
        <w:ind w:firstLine="708"/>
        <w:jc w:val="center"/>
        <w:rPr>
          <w:rFonts w:ascii="Tahoma" w:hAnsi="Tahoma" w:cs="Tahoma"/>
          <w:b/>
          <w:b/>
          <w:i/>
          <w:i/>
          <w:iCs/>
          <w:sz w:val="20"/>
          <w:szCs w:val="20"/>
        </w:rPr>
      </w:pPr>
      <w:r>
        <w:rPr>
          <w:rFonts w:cs="Tahoma" w:ascii="Tahoma" w:hAnsi="Tahoma"/>
          <w:b/>
          <w:i/>
          <w:iCs/>
          <w:sz w:val="20"/>
          <w:szCs w:val="20"/>
        </w:rPr>
      </w:r>
    </w:p>
    <w:p>
      <w:pPr>
        <w:pStyle w:val="Normal"/>
        <w:shd w:val="clear" w:color="auto" w:fill="FFFFFF"/>
        <w:spacing w:lineRule="auto" w:line="360"/>
        <w:ind w:firstLine="708"/>
        <w:jc w:val="center"/>
        <w:rPr>
          <w:rFonts w:ascii="Tahoma" w:hAnsi="Tahoma" w:cs="Tahoma"/>
          <w:b/>
          <w:b/>
          <w:i/>
          <w:i/>
          <w:iCs/>
          <w:sz w:val="20"/>
          <w:szCs w:val="20"/>
        </w:rPr>
      </w:pPr>
      <w:r>
        <w:rPr>
          <w:rFonts w:cs="Tahoma" w:ascii="Tahoma" w:hAnsi="Tahoma"/>
          <w:b/>
          <w:i/>
          <w:iCs/>
          <w:sz w:val="20"/>
          <w:szCs w:val="20"/>
        </w:rPr>
      </w:r>
    </w:p>
    <w:p>
      <w:pPr>
        <w:pStyle w:val="Normal"/>
        <w:shd w:val="clear" w:color="auto" w:fill="FFFFFF"/>
        <w:spacing w:lineRule="auto" w:line="360"/>
        <w:ind w:firstLine="708"/>
        <w:jc w:val="center"/>
        <w:rPr>
          <w:rFonts w:ascii="Tahoma" w:hAnsi="Tahoma" w:cs="Tahoma"/>
          <w:b/>
          <w:b/>
          <w:i/>
          <w:i/>
          <w:iCs/>
          <w:sz w:val="20"/>
          <w:szCs w:val="20"/>
        </w:rPr>
      </w:pPr>
      <w:r>
        <w:rPr>
          <w:rFonts w:cs="Tahoma" w:ascii="Tahoma" w:hAnsi="Tahoma"/>
          <w:b/>
          <w:i/>
          <w:iCs/>
          <w:sz w:val="20"/>
          <w:szCs w:val="20"/>
        </w:rPr>
      </w:r>
    </w:p>
    <w:p>
      <w:pPr>
        <w:pStyle w:val="Normal"/>
        <w:shd w:val="clear" w:color="auto" w:fill="FFFFFF"/>
        <w:spacing w:lineRule="auto" w:line="360"/>
        <w:ind w:firstLine="708"/>
        <w:jc w:val="center"/>
        <w:rPr>
          <w:rFonts w:ascii="Tahoma" w:hAnsi="Tahoma" w:cs="Tahoma"/>
          <w:b/>
          <w:b/>
          <w:i/>
          <w:i/>
          <w:iCs/>
          <w:sz w:val="20"/>
          <w:szCs w:val="20"/>
        </w:rPr>
      </w:pPr>
      <w:r>
        <w:rPr>
          <w:rFonts w:cs="Tahoma" w:ascii="Tahoma" w:hAnsi="Tahoma"/>
          <w:b/>
          <w:i/>
          <w:iCs/>
          <w:sz w:val="20"/>
          <w:szCs w:val="20"/>
        </w:rPr>
      </w:r>
    </w:p>
    <w:p>
      <w:pPr>
        <w:pStyle w:val="Normal"/>
        <w:shd w:val="clear" w:color="auto" w:fill="FFFFFF"/>
        <w:spacing w:lineRule="auto" w:line="360"/>
        <w:ind w:firstLine="708"/>
        <w:jc w:val="center"/>
        <w:rPr>
          <w:rFonts w:ascii="Tahoma" w:hAnsi="Tahoma" w:cs="Tahoma"/>
          <w:b/>
          <w:b/>
          <w:i/>
          <w:i/>
          <w:iCs/>
          <w:sz w:val="20"/>
          <w:szCs w:val="20"/>
        </w:rPr>
      </w:pPr>
      <w:r>
        <w:rPr>
          <w:rFonts w:cs="Tahoma" w:ascii="Tahoma" w:hAnsi="Tahoma"/>
          <w:b/>
          <w:i/>
          <w:iCs/>
          <w:sz w:val="20"/>
          <w:szCs w:val="20"/>
        </w:rPr>
      </w:r>
    </w:p>
    <w:p>
      <w:pPr>
        <w:pStyle w:val="Normal"/>
        <w:shd w:val="clear" w:color="auto" w:fill="FFFFFF"/>
        <w:spacing w:lineRule="auto" w:line="360"/>
        <w:ind w:firstLine="708"/>
        <w:jc w:val="center"/>
        <w:rPr>
          <w:rFonts w:ascii="Tahoma" w:hAnsi="Tahoma" w:cs="Tahoma"/>
          <w:b/>
          <w:b/>
          <w:i/>
          <w:i/>
          <w:iCs/>
          <w:sz w:val="20"/>
          <w:szCs w:val="20"/>
        </w:rPr>
      </w:pPr>
      <w:r>
        <w:rPr>
          <w:rFonts w:cs="Tahoma" w:ascii="Tahoma" w:hAnsi="Tahoma"/>
          <w:b/>
          <w:i/>
          <w:iCs/>
          <w:sz w:val="20"/>
          <w:szCs w:val="20"/>
        </w:rPr>
        <w:t>Tabla N° 2 Tipología de delitos atendidos en Justicia Restaurativa</w:t>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r>
    </w:p>
    <w:tbl>
      <w:tblPr>
        <w:tblW w:w="4488"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244"/>
        <w:gridCol w:w="2243"/>
      </w:tblGrid>
      <w:tr>
        <w:trPr/>
        <w:tc>
          <w:tcPr>
            <w:tcW w:w="2244" w:type="dxa"/>
            <w:tcBorders>
              <w:top w:val="single" w:sz="4" w:space="0" w:color="000000"/>
              <w:left w:val="single" w:sz="4" w:space="0" w:color="000000"/>
              <w:bottom w:val="single" w:sz="4" w:space="0" w:color="000000"/>
              <w:right w:val="single" w:sz="4" w:space="0" w:color="000000"/>
            </w:tcBorders>
            <w:shd w:color="auto" w:fill="002060" w:val="clear"/>
          </w:tcPr>
          <w:p>
            <w:pPr>
              <w:pStyle w:val="Normal"/>
              <w:widowControl w:val="false"/>
              <w:spacing w:lineRule="auto" w:line="360" w:before="0" w:after="200"/>
              <w:jc w:val="center"/>
              <w:rPr>
                <w:rFonts w:ascii="Tahoma" w:hAnsi="Tahoma" w:cs="Tahoma"/>
                <w:b/>
                <w:b/>
                <w:i/>
                <w:i/>
                <w:iCs/>
                <w:sz w:val="20"/>
                <w:szCs w:val="20"/>
              </w:rPr>
            </w:pPr>
            <w:r>
              <w:rPr>
                <w:rFonts w:cs="Tahoma" w:ascii="Tahoma" w:hAnsi="Tahoma"/>
                <w:b/>
                <w:i/>
                <w:iCs/>
                <w:sz w:val="20"/>
                <w:szCs w:val="20"/>
              </w:rPr>
              <w:t>Delito</w:t>
            </w:r>
          </w:p>
        </w:tc>
        <w:tc>
          <w:tcPr>
            <w:tcW w:w="2243" w:type="dxa"/>
            <w:tcBorders>
              <w:top w:val="single" w:sz="4" w:space="0" w:color="000000"/>
              <w:left w:val="single" w:sz="4" w:space="0" w:color="000000"/>
              <w:bottom w:val="single" w:sz="4" w:space="0" w:color="000000"/>
              <w:right w:val="single" w:sz="4" w:space="0" w:color="000000"/>
            </w:tcBorders>
            <w:shd w:color="auto" w:fill="002060" w:val="clear"/>
          </w:tcPr>
          <w:p>
            <w:pPr>
              <w:pStyle w:val="Normal"/>
              <w:widowControl w:val="false"/>
              <w:spacing w:lineRule="auto" w:line="360" w:before="0" w:after="200"/>
              <w:jc w:val="center"/>
              <w:rPr>
                <w:rFonts w:ascii="Tahoma" w:hAnsi="Tahoma" w:cs="Tahoma"/>
                <w:b/>
                <w:b/>
                <w:i/>
                <w:i/>
                <w:iCs/>
                <w:sz w:val="20"/>
                <w:szCs w:val="20"/>
              </w:rPr>
            </w:pPr>
            <w:r>
              <w:rPr>
                <w:rFonts w:cs="Tahoma" w:ascii="Tahoma" w:hAnsi="Tahoma"/>
                <w:b/>
                <w:i/>
                <w:iCs/>
                <w:sz w:val="20"/>
                <w:szCs w:val="20"/>
              </w:rPr>
              <w:t>Cantidad</w:t>
            </w:r>
          </w:p>
        </w:tc>
      </w:tr>
      <w:tr>
        <w:trPr/>
        <w:tc>
          <w:tcPr>
            <w:tcW w:w="2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both"/>
              <w:rPr>
                <w:rFonts w:ascii="Tahoma" w:hAnsi="Tahoma" w:cs="Tahoma"/>
                <w:i/>
                <w:i/>
                <w:iCs/>
                <w:sz w:val="20"/>
                <w:szCs w:val="20"/>
              </w:rPr>
            </w:pPr>
            <w:r>
              <w:rPr>
                <w:rFonts w:cs="Tahoma" w:ascii="Tahoma" w:hAnsi="Tahoma"/>
                <w:i/>
                <w:iCs/>
                <w:sz w:val="20"/>
                <w:szCs w:val="20"/>
              </w:rPr>
              <w:t>Conducción Temeraria</w:t>
            </w:r>
          </w:p>
        </w:tc>
        <w:tc>
          <w:tcPr>
            <w:tcW w:w="22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center"/>
              <w:rPr>
                <w:rFonts w:ascii="Tahoma" w:hAnsi="Tahoma" w:cs="Tahoma"/>
                <w:i/>
                <w:i/>
                <w:iCs/>
                <w:sz w:val="20"/>
                <w:szCs w:val="20"/>
              </w:rPr>
            </w:pPr>
            <w:r>
              <w:rPr>
                <w:rFonts w:cs="Tahoma" w:ascii="Tahoma" w:hAnsi="Tahoma"/>
                <w:i/>
                <w:iCs/>
                <w:sz w:val="20"/>
                <w:szCs w:val="20"/>
              </w:rPr>
              <w:t>4</w:t>
            </w:r>
          </w:p>
        </w:tc>
      </w:tr>
      <w:tr>
        <w:trPr/>
        <w:tc>
          <w:tcPr>
            <w:tcW w:w="2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both"/>
              <w:rPr>
                <w:rFonts w:ascii="Tahoma" w:hAnsi="Tahoma" w:cs="Tahoma"/>
                <w:i/>
                <w:i/>
                <w:iCs/>
                <w:sz w:val="20"/>
                <w:szCs w:val="20"/>
              </w:rPr>
            </w:pPr>
            <w:r>
              <w:rPr>
                <w:rFonts w:cs="Tahoma" w:ascii="Tahoma" w:hAnsi="Tahoma"/>
                <w:i/>
                <w:iCs/>
                <w:sz w:val="20"/>
                <w:szCs w:val="20"/>
              </w:rPr>
              <w:t>Agresión con arma</w:t>
            </w:r>
          </w:p>
        </w:tc>
        <w:tc>
          <w:tcPr>
            <w:tcW w:w="22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center"/>
              <w:rPr>
                <w:rFonts w:ascii="Tahoma" w:hAnsi="Tahoma" w:cs="Tahoma"/>
                <w:i/>
                <w:i/>
                <w:iCs/>
                <w:sz w:val="20"/>
                <w:szCs w:val="20"/>
              </w:rPr>
            </w:pPr>
            <w:r>
              <w:rPr>
                <w:rFonts w:cs="Tahoma" w:ascii="Tahoma" w:hAnsi="Tahoma"/>
                <w:i/>
                <w:iCs/>
                <w:sz w:val="20"/>
                <w:szCs w:val="20"/>
              </w:rPr>
              <w:t>10</w:t>
            </w:r>
          </w:p>
        </w:tc>
      </w:tr>
      <w:tr>
        <w:trPr/>
        <w:tc>
          <w:tcPr>
            <w:tcW w:w="2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both"/>
              <w:rPr>
                <w:rFonts w:ascii="Tahoma" w:hAnsi="Tahoma" w:cs="Tahoma"/>
                <w:i/>
                <w:i/>
                <w:iCs/>
                <w:sz w:val="20"/>
                <w:szCs w:val="20"/>
              </w:rPr>
            </w:pPr>
            <w:r>
              <w:rPr>
                <w:rFonts w:cs="Tahoma" w:ascii="Tahoma" w:hAnsi="Tahoma"/>
                <w:i/>
                <w:iCs/>
                <w:sz w:val="20"/>
                <w:szCs w:val="20"/>
              </w:rPr>
              <w:t>Portación de arma</w:t>
            </w:r>
          </w:p>
        </w:tc>
        <w:tc>
          <w:tcPr>
            <w:tcW w:w="22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center"/>
              <w:rPr>
                <w:rFonts w:ascii="Tahoma" w:hAnsi="Tahoma" w:cs="Tahoma"/>
                <w:i/>
                <w:i/>
                <w:iCs/>
                <w:sz w:val="20"/>
                <w:szCs w:val="20"/>
              </w:rPr>
            </w:pPr>
            <w:r>
              <w:rPr>
                <w:rFonts w:cs="Tahoma" w:ascii="Tahoma" w:hAnsi="Tahoma"/>
                <w:i/>
                <w:iCs/>
                <w:sz w:val="20"/>
                <w:szCs w:val="20"/>
              </w:rPr>
              <w:t>1</w:t>
            </w:r>
          </w:p>
        </w:tc>
      </w:tr>
      <w:tr>
        <w:trPr/>
        <w:tc>
          <w:tcPr>
            <w:tcW w:w="2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both"/>
              <w:rPr>
                <w:rFonts w:ascii="Tahoma" w:hAnsi="Tahoma" w:cs="Tahoma"/>
                <w:i/>
                <w:i/>
                <w:iCs/>
                <w:sz w:val="20"/>
                <w:szCs w:val="20"/>
              </w:rPr>
            </w:pPr>
            <w:r>
              <w:rPr>
                <w:rFonts w:cs="Tahoma" w:ascii="Tahoma" w:hAnsi="Tahoma"/>
                <w:i/>
                <w:iCs/>
                <w:sz w:val="20"/>
                <w:szCs w:val="20"/>
              </w:rPr>
              <w:t>Daños</w:t>
            </w:r>
          </w:p>
        </w:tc>
        <w:tc>
          <w:tcPr>
            <w:tcW w:w="22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center"/>
              <w:rPr>
                <w:rFonts w:ascii="Tahoma" w:hAnsi="Tahoma" w:cs="Tahoma"/>
                <w:i/>
                <w:i/>
                <w:iCs/>
                <w:sz w:val="20"/>
                <w:szCs w:val="20"/>
              </w:rPr>
            </w:pPr>
            <w:r>
              <w:rPr>
                <w:rFonts w:cs="Tahoma" w:ascii="Tahoma" w:hAnsi="Tahoma"/>
                <w:i/>
                <w:iCs/>
                <w:sz w:val="20"/>
                <w:szCs w:val="20"/>
              </w:rPr>
              <w:t>9</w:t>
            </w:r>
          </w:p>
        </w:tc>
      </w:tr>
      <w:tr>
        <w:trPr/>
        <w:tc>
          <w:tcPr>
            <w:tcW w:w="2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both"/>
              <w:rPr>
                <w:rFonts w:ascii="Tahoma" w:hAnsi="Tahoma" w:cs="Tahoma"/>
                <w:i/>
                <w:i/>
                <w:iCs/>
                <w:sz w:val="20"/>
                <w:szCs w:val="20"/>
              </w:rPr>
            </w:pPr>
            <w:r>
              <w:rPr>
                <w:rFonts w:cs="Tahoma" w:ascii="Tahoma" w:hAnsi="Tahoma"/>
                <w:i/>
                <w:iCs/>
                <w:sz w:val="20"/>
                <w:szCs w:val="20"/>
              </w:rPr>
              <w:t>Resistencia</w:t>
            </w:r>
          </w:p>
        </w:tc>
        <w:tc>
          <w:tcPr>
            <w:tcW w:w="22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center"/>
              <w:rPr>
                <w:rFonts w:ascii="Tahoma" w:hAnsi="Tahoma" w:cs="Tahoma"/>
                <w:i/>
                <w:i/>
                <w:iCs/>
                <w:sz w:val="20"/>
                <w:szCs w:val="20"/>
              </w:rPr>
            </w:pPr>
            <w:r>
              <w:rPr>
                <w:rFonts w:cs="Tahoma" w:ascii="Tahoma" w:hAnsi="Tahoma"/>
                <w:i/>
                <w:iCs/>
                <w:sz w:val="20"/>
                <w:szCs w:val="20"/>
              </w:rPr>
              <w:t>1</w:t>
            </w:r>
          </w:p>
        </w:tc>
      </w:tr>
      <w:tr>
        <w:trPr/>
        <w:tc>
          <w:tcPr>
            <w:tcW w:w="2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both"/>
              <w:rPr>
                <w:rFonts w:ascii="Tahoma" w:hAnsi="Tahoma" w:cs="Tahoma"/>
                <w:i/>
                <w:i/>
                <w:iCs/>
                <w:sz w:val="20"/>
                <w:szCs w:val="20"/>
              </w:rPr>
            </w:pPr>
            <w:r>
              <w:rPr>
                <w:rFonts w:cs="Tahoma" w:ascii="Tahoma" w:hAnsi="Tahoma"/>
                <w:i/>
                <w:iCs/>
                <w:sz w:val="20"/>
                <w:szCs w:val="20"/>
              </w:rPr>
              <w:t xml:space="preserve">Hurto </w:t>
            </w:r>
          </w:p>
        </w:tc>
        <w:tc>
          <w:tcPr>
            <w:tcW w:w="22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center"/>
              <w:rPr>
                <w:rFonts w:ascii="Tahoma" w:hAnsi="Tahoma" w:cs="Tahoma"/>
                <w:i/>
                <w:i/>
                <w:iCs/>
                <w:sz w:val="20"/>
                <w:szCs w:val="20"/>
              </w:rPr>
            </w:pPr>
            <w:r>
              <w:rPr>
                <w:rFonts w:cs="Tahoma" w:ascii="Tahoma" w:hAnsi="Tahoma"/>
                <w:i/>
                <w:iCs/>
                <w:sz w:val="20"/>
                <w:szCs w:val="20"/>
              </w:rPr>
              <w:t>2</w:t>
            </w:r>
          </w:p>
        </w:tc>
      </w:tr>
      <w:tr>
        <w:trPr/>
        <w:tc>
          <w:tcPr>
            <w:tcW w:w="2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both"/>
              <w:rPr>
                <w:rFonts w:ascii="Tahoma" w:hAnsi="Tahoma" w:cs="Tahoma"/>
                <w:i/>
                <w:i/>
                <w:iCs/>
                <w:sz w:val="20"/>
                <w:szCs w:val="20"/>
              </w:rPr>
            </w:pPr>
            <w:r>
              <w:rPr>
                <w:rFonts w:cs="Tahoma" w:ascii="Tahoma" w:hAnsi="Tahoma"/>
                <w:i/>
                <w:iCs/>
                <w:sz w:val="20"/>
                <w:szCs w:val="20"/>
              </w:rPr>
              <w:t>Lesiones Leves</w:t>
            </w:r>
          </w:p>
        </w:tc>
        <w:tc>
          <w:tcPr>
            <w:tcW w:w="22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center"/>
              <w:rPr>
                <w:rFonts w:ascii="Tahoma" w:hAnsi="Tahoma" w:cs="Tahoma"/>
                <w:i/>
                <w:i/>
                <w:iCs/>
                <w:sz w:val="20"/>
                <w:szCs w:val="20"/>
              </w:rPr>
            </w:pPr>
            <w:r>
              <w:rPr>
                <w:rFonts w:cs="Tahoma" w:ascii="Tahoma" w:hAnsi="Tahoma"/>
                <w:i/>
                <w:iCs/>
                <w:sz w:val="20"/>
                <w:szCs w:val="20"/>
              </w:rPr>
              <w:t>1</w:t>
            </w:r>
          </w:p>
        </w:tc>
      </w:tr>
      <w:tr>
        <w:trPr/>
        <w:tc>
          <w:tcPr>
            <w:tcW w:w="2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both"/>
              <w:rPr>
                <w:rFonts w:ascii="Tahoma" w:hAnsi="Tahoma" w:cs="Tahoma"/>
                <w:i/>
                <w:i/>
                <w:iCs/>
                <w:sz w:val="20"/>
                <w:szCs w:val="20"/>
              </w:rPr>
            </w:pPr>
            <w:r>
              <w:rPr>
                <w:rFonts w:cs="Tahoma" w:ascii="Tahoma" w:hAnsi="Tahoma"/>
                <w:i/>
                <w:iCs/>
                <w:sz w:val="20"/>
                <w:szCs w:val="20"/>
              </w:rPr>
              <w:t>Lesiones Culposas</w:t>
            </w:r>
          </w:p>
        </w:tc>
        <w:tc>
          <w:tcPr>
            <w:tcW w:w="22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center"/>
              <w:rPr>
                <w:rFonts w:ascii="Tahoma" w:hAnsi="Tahoma" w:cs="Tahoma"/>
                <w:i/>
                <w:i/>
                <w:iCs/>
                <w:sz w:val="20"/>
                <w:szCs w:val="20"/>
              </w:rPr>
            </w:pPr>
            <w:r>
              <w:rPr>
                <w:rFonts w:cs="Tahoma" w:ascii="Tahoma" w:hAnsi="Tahoma"/>
                <w:i/>
                <w:iCs/>
                <w:sz w:val="20"/>
                <w:szCs w:val="20"/>
              </w:rPr>
              <w:t>1</w:t>
            </w:r>
          </w:p>
        </w:tc>
      </w:tr>
    </w:tbl>
    <w:p>
      <w:pPr>
        <w:pStyle w:val="Normal"/>
        <w:shd w:val="clear" w:color="auto" w:fill="FFFFFF"/>
        <w:spacing w:lineRule="auto" w:line="360"/>
        <w:ind w:firstLine="708"/>
        <w:jc w:val="both"/>
        <w:rPr>
          <w:rFonts w:ascii="Tahoma" w:hAnsi="Tahoma" w:cs="Tahoma"/>
          <w:b/>
          <w:b/>
          <w:i/>
          <w:i/>
          <w:iCs/>
          <w:sz w:val="20"/>
          <w:szCs w:val="20"/>
        </w:rPr>
      </w:pPr>
      <w:r>
        <w:rPr>
          <w:rFonts w:cs="Tahoma" w:ascii="Tahoma" w:hAnsi="Tahoma"/>
          <w:b/>
          <w:i/>
          <w:iCs/>
          <w:sz w:val="20"/>
          <w:szCs w:val="20"/>
        </w:rPr>
      </w:r>
    </w:p>
    <w:p>
      <w:pPr>
        <w:pStyle w:val="Normal"/>
        <w:shd w:val="clear" w:color="auto" w:fill="FFFFFF"/>
        <w:spacing w:lineRule="auto" w:line="360"/>
        <w:ind w:firstLine="708"/>
        <w:jc w:val="center"/>
        <w:rPr>
          <w:rFonts w:ascii="Tahoma" w:hAnsi="Tahoma" w:cs="Tahoma"/>
          <w:b/>
          <w:b/>
          <w:i/>
          <w:i/>
          <w:iCs/>
          <w:sz w:val="20"/>
          <w:szCs w:val="20"/>
        </w:rPr>
      </w:pPr>
      <w:r>
        <w:rPr>
          <w:rFonts w:cs="Tahoma" w:ascii="Tahoma" w:hAnsi="Tahoma"/>
          <w:b/>
          <w:i/>
          <w:iCs/>
          <w:sz w:val="20"/>
          <w:szCs w:val="20"/>
        </w:rPr>
      </w:r>
    </w:p>
    <w:p>
      <w:pPr>
        <w:pStyle w:val="Normal"/>
        <w:shd w:val="clear" w:color="auto" w:fill="FFFFFF"/>
        <w:spacing w:lineRule="auto" w:line="360"/>
        <w:ind w:firstLine="708"/>
        <w:jc w:val="center"/>
        <w:rPr>
          <w:rFonts w:ascii="Tahoma" w:hAnsi="Tahoma" w:cs="Tahoma"/>
          <w:b/>
          <w:b/>
          <w:i/>
          <w:i/>
          <w:iCs/>
          <w:sz w:val="20"/>
          <w:szCs w:val="20"/>
        </w:rPr>
      </w:pPr>
      <w:r>
        <w:rPr>
          <w:rFonts w:cs="Tahoma" w:ascii="Tahoma" w:hAnsi="Tahoma"/>
          <w:b/>
          <w:i/>
          <w:iCs/>
          <w:sz w:val="20"/>
          <w:szCs w:val="20"/>
        </w:rPr>
      </w:r>
    </w:p>
    <w:p>
      <w:pPr>
        <w:pStyle w:val="Normal"/>
        <w:shd w:val="clear" w:color="auto" w:fill="FFFFFF"/>
        <w:spacing w:lineRule="auto" w:line="360"/>
        <w:ind w:firstLine="708"/>
        <w:jc w:val="center"/>
        <w:rPr>
          <w:rFonts w:ascii="Tahoma" w:hAnsi="Tahoma" w:cs="Tahoma"/>
          <w:b/>
          <w:b/>
          <w:i/>
          <w:i/>
          <w:iCs/>
          <w:sz w:val="20"/>
          <w:szCs w:val="20"/>
        </w:rPr>
      </w:pPr>
      <w:r>
        <w:rPr>
          <w:rFonts w:cs="Tahoma" w:ascii="Tahoma" w:hAnsi="Tahoma"/>
          <w:b/>
          <w:i/>
          <w:iCs/>
          <w:sz w:val="20"/>
          <w:szCs w:val="20"/>
        </w:rPr>
      </w:r>
    </w:p>
    <w:p>
      <w:pPr>
        <w:pStyle w:val="Normal"/>
        <w:shd w:val="clear" w:color="auto" w:fill="FFFFFF"/>
        <w:spacing w:lineRule="auto" w:line="360"/>
        <w:ind w:firstLine="708"/>
        <w:jc w:val="center"/>
        <w:rPr>
          <w:rFonts w:ascii="Tahoma" w:hAnsi="Tahoma" w:cs="Tahoma"/>
          <w:b/>
          <w:b/>
          <w:i/>
          <w:i/>
          <w:iCs/>
          <w:sz w:val="20"/>
          <w:szCs w:val="20"/>
        </w:rPr>
      </w:pPr>
      <w:r>
        <w:rPr>
          <w:rFonts w:cs="Tahoma" w:ascii="Tahoma" w:hAnsi="Tahoma"/>
          <w:b/>
          <w:i/>
          <w:iCs/>
          <w:sz w:val="20"/>
          <w:szCs w:val="20"/>
        </w:rPr>
      </w:r>
    </w:p>
    <w:p>
      <w:pPr>
        <w:pStyle w:val="Normal"/>
        <w:shd w:val="clear" w:color="auto" w:fill="FFFFFF"/>
        <w:spacing w:lineRule="auto" w:line="360"/>
        <w:ind w:firstLine="708"/>
        <w:jc w:val="center"/>
        <w:rPr>
          <w:rFonts w:ascii="Tahoma" w:hAnsi="Tahoma" w:cs="Tahoma"/>
          <w:b/>
          <w:b/>
          <w:i/>
          <w:i/>
          <w:iCs/>
          <w:sz w:val="20"/>
          <w:szCs w:val="20"/>
        </w:rPr>
      </w:pPr>
      <w:r>
        <w:rPr>
          <w:rFonts w:cs="Tahoma" w:ascii="Tahoma" w:hAnsi="Tahoma"/>
          <w:b/>
          <w:i/>
          <w:iCs/>
          <w:sz w:val="20"/>
          <w:szCs w:val="20"/>
        </w:rPr>
      </w:r>
    </w:p>
    <w:p>
      <w:pPr>
        <w:pStyle w:val="Normal"/>
        <w:shd w:val="clear" w:color="auto" w:fill="FFFFFF"/>
        <w:spacing w:lineRule="auto" w:line="360"/>
        <w:ind w:firstLine="708"/>
        <w:jc w:val="center"/>
        <w:rPr>
          <w:rFonts w:ascii="Tahoma" w:hAnsi="Tahoma" w:cs="Tahoma"/>
          <w:b/>
          <w:b/>
          <w:i/>
          <w:i/>
          <w:iCs/>
          <w:sz w:val="20"/>
          <w:szCs w:val="20"/>
        </w:rPr>
      </w:pPr>
      <w:r>
        <w:rPr>
          <w:rFonts w:cs="Tahoma" w:ascii="Tahoma" w:hAnsi="Tahoma"/>
          <w:b/>
          <w:i/>
          <w:iCs/>
          <w:sz w:val="20"/>
          <w:szCs w:val="20"/>
        </w:rPr>
      </w:r>
    </w:p>
    <w:p>
      <w:pPr>
        <w:pStyle w:val="Normal"/>
        <w:shd w:val="clear" w:color="auto" w:fill="FFFFFF"/>
        <w:spacing w:lineRule="auto" w:line="360"/>
        <w:ind w:firstLine="708"/>
        <w:jc w:val="center"/>
        <w:rPr>
          <w:rFonts w:ascii="Tahoma" w:hAnsi="Tahoma" w:cs="Tahoma"/>
          <w:b/>
          <w:b/>
          <w:i/>
          <w:i/>
          <w:iCs/>
          <w:sz w:val="20"/>
          <w:szCs w:val="20"/>
        </w:rPr>
      </w:pPr>
      <w:r>
        <w:rPr>
          <w:rFonts w:cs="Tahoma" w:ascii="Tahoma" w:hAnsi="Tahoma"/>
          <w:b/>
          <w:i/>
          <w:iCs/>
          <w:sz w:val="20"/>
          <w:szCs w:val="20"/>
        </w:rPr>
      </w:r>
    </w:p>
    <w:p>
      <w:pPr>
        <w:pStyle w:val="Normal"/>
        <w:shd w:val="clear" w:color="auto" w:fill="FFFFFF"/>
        <w:spacing w:lineRule="auto" w:line="360"/>
        <w:ind w:firstLine="708"/>
        <w:jc w:val="center"/>
        <w:rPr>
          <w:rFonts w:ascii="Tahoma" w:hAnsi="Tahoma" w:cs="Tahoma"/>
          <w:b/>
          <w:b/>
          <w:i/>
          <w:i/>
          <w:iCs/>
          <w:sz w:val="20"/>
          <w:szCs w:val="20"/>
        </w:rPr>
      </w:pPr>
      <w:r>
        <w:rPr>
          <w:rFonts w:cs="Tahoma" w:ascii="Tahoma" w:hAnsi="Tahoma"/>
          <w:b/>
          <w:i/>
          <w:iCs/>
          <w:sz w:val="20"/>
          <w:szCs w:val="20"/>
        </w:rPr>
        <w:t>Tabla N° 3 Territorios indígenas a los que pertenecen las personas indígenas atendidas en Justicia Restaurativa</w:t>
      </w:r>
    </w:p>
    <w:p>
      <w:pPr>
        <w:pStyle w:val="Normal"/>
        <w:shd w:val="clear" w:color="auto" w:fill="FFFFFF"/>
        <w:spacing w:lineRule="auto" w:line="360"/>
        <w:ind w:firstLine="708"/>
        <w:jc w:val="center"/>
        <w:rPr>
          <w:rFonts w:ascii="Tahoma" w:hAnsi="Tahoma" w:cs="Tahoma"/>
          <w:i/>
          <w:i/>
          <w:iCs/>
          <w:sz w:val="20"/>
          <w:szCs w:val="20"/>
        </w:rPr>
      </w:pPr>
      <w:r>
        <w:rPr>
          <w:rFonts w:cs="Tahoma" w:ascii="Tahoma" w:hAnsi="Tahoma"/>
          <w:i/>
          <w:iCs/>
          <w:sz w:val="20"/>
          <w:szCs w:val="20"/>
        </w:rPr>
      </w:r>
    </w:p>
    <w:tbl>
      <w:tblPr>
        <w:tblW w:w="4488"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244"/>
        <w:gridCol w:w="2243"/>
      </w:tblGrid>
      <w:tr>
        <w:trPr/>
        <w:tc>
          <w:tcPr>
            <w:tcW w:w="2244" w:type="dxa"/>
            <w:tcBorders>
              <w:top w:val="single" w:sz="4" w:space="0" w:color="000000"/>
              <w:left w:val="single" w:sz="4" w:space="0" w:color="000000"/>
              <w:bottom w:val="single" w:sz="4" w:space="0" w:color="000000"/>
              <w:right w:val="single" w:sz="4" w:space="0" w:color="000000"/>
            </w:tcBorders>
            <w:shd w:color="auto" w:fill="002060" w:val="clear"/>
          </w:tcPr>
          <w:p>
            <w:pPr>
              <w:pStyle w:val="Normal"/>
              <w:widowControl w:val="false"/>
              <w:spacing w:lineRule="auto" w:line="360" w:before="0" w:after="200"/>
              <w:jc w:val="center"/>
              <w:rPr>
                <w:rFonts w:ascii="Tahoma" w:hAnsi="Tahoma" w:cs="Tahoma"/>
                <w:b/>
                <w:b/>
                <w:i/>
                <w:i/>
                <w:iCs/>
                <w:sz w:val="20"/>
                <w:szCs w:val="20"/>
              </w:rPr>
            </w:pPr>
            <w:r>
              <w:rPr>
                <w:rFonts w:cs="Tahoma" w:ascii="Tahoma" w:hAnsi="Tahoma"/>
                <w:b/>
                <w:i/>
                <w:iCs/>
                <w:sz w:val="20"/>
                <w:szCs w:val="20"/>
              </w:rPr>
              <w:t>Territorio indígena</w:t>
            </w:r>
          </w:p>
        </w:tc>
        <w:tc>
          <w:tcPr>
            <w:tcW w:w="2243" w:type="dxa"/>
            <w:tcBorders>
              <w:top w:val="single" w:sz="4" w:space="0" w:color="000000"/>
              <w:left w:val="single" w:sz="4" w:space="0" w:color="000000"/>
              <w:bottom w:val="single" w:sz="4" w:space="0" w:color="000000"/>
              <w:right w:val="single" w:sz="4" w:space="0" w:color="000000"/>
            </w:tcBorders>
            <w:shd w:color="auto" w:fill="002060" w:val="clear"/>
          </w:tcPr>
          <w:p>
            <w:pPr>
              <w:pStyle w:val="Normal"/>
              <w:widowControl w:val="false"/>
              <w:spacing w:lineRule="auto" w:line="360" w:before="0" w:after="200"/>
              <w:jc w:val="center"/>
              <w:rPr>
                <w:rFonts w:ascii="Tahoma" w:hAnsi="Tahoma" w:cs="Tahoma"/>
                <w:b/>
                <w:b/>
                <w:i/>
                <w:i/>
                <w:iCs/>
                <w:sz w:val="20"/>
                <w:szCs w:val="20"/>
              </w:rPr>
            </w:pPr>
            <w:r>
              <w:rPr>
                <w:rFonts w:cs="Tahoma" w:ascii="Tahoma" w:hAnsi="Tahoma"/>
                <w:b/>
                <w:i/>
                <w:iCs/>
                <w:sz w:val="20"/>
                <w:szCs w:val="20"/>
              </w:rPr>
              <w:t>Cantidad</w:t>
            </w:r>
          </w:p>
        </w:tc>
      </w:tr>
      <w:tr>
        <w:trPr/>
        <w:tc>
          <w:tcPr>
            <w:tcW w:w="2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both"/>
              <w:rPr>
                <w:rFonts w:ascii="Tahoma" w:hAnsi="Tahoma" w:cs="Tahoma"/>
                <w:i/>
                <w:i/>
                <w:iCs/>
                <w:sz w:val="20"/>
                <w:szCs w:val="20"/>
              </w:rPr>
            </w:pPr>
            <w:r>
              <w:rPr>
                <w:rFonts w:cs="Tahoma" w:ascii="Tahoma" w:hAnsi="Tahoma"/>
                <w:i/>
                <w:iCs/>
                <w:sz w:val="20"/>
                <w:szCs w:val="20"/>
              </w:rPr>
              <w:t>Bribri</w:t>
            </w:r>
          </w:p>
        </w:tc>
        <w:tc>
          <w:tcPr>
            <w:tcW w:w="22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center"/>
              <w:rPr>
                <w:rFonts w:ascii="Tahoma" w:hAnsi="Tahoma" w:cs="Tahoma"/>
                <w:i/>
                <w:i/>
                <w:iCs/>
                <w:sz w:val="20"/>
                <w:szCs w:val="20"/>
              </w:rPr>
            </w:pPr>
            <w:r>
              <w:rPr>
                <w:rFonts w:cs="Tahoma" w:ascii="Tahoma" w:hAnsi="Tahoma"/>
                <w:i/>
                <w:iCs/>
                <w:sz w:val="20"/>
                <w:szCs w:val="20"/>
              </w:rPr>
              <w:t>14</w:t>
            </w:r>
          </w:p>
        </w:tc>
      </w:tr>
      <w:tr>
        <w:trPr/>
        <w:tc>
          <w:tcPr>
            <w:tcW w:w="2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both"/>
              <w:rPr>
                <w:rFonts w:ascii="Tahoma" w:hAnsi="Tahoma" w:cs="Tahoma"/>
                <w:i/>
                <w:i/>
                <w:iCs/>
                <w:sz w:val="20"/>
                <w:szCs w:val="20"/>
              </w:rPr>
            </w:pPr>
            <w:r>
              <w:rPr>
                <w:rFonts w:cs="Tahoma" w:ascii="Tahoma" w:hAnsi="Tahoma"/>
                <w:i/>
                <w:iCs/>
                <w:sz w:val="20"/>
                <w:szCs w:val="20"/>
              </w:rPr>
              <w:t>Boruca</w:t>
            </w:r>
          </w:p>
        </w:tc>
        <w:tc>
          <w:tcPr>
            <w:tcW w:w="22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center"/>
              <w:rPr>
                <w:rFonts w:ascii="Tahoma" w:hAnsi="Tahoma" w:cs="Tahoma"/>
                <w:i/>
                <w:i/>
                <w:iCs/>
                <w:sz w:val="20"/>
                <w:szCs w:val="20"/>
              </w:rPr>
            </w:pPr>
            <w:r>
              <w:rPr>
                <w:rFonts w:cs="Tahoma" w:ascii="Tahoma" w:hAnsi="Tahoma"/>
                <w:i/>
                <w:iCs/>
                <w:sz w:val="20"/>
                <w:szCs w:val="20"/>
              </w:rPr>
              <w:t>6</w:t>
            </w:r>
          </w:p>
        </w:tc>
      </w:tr>
      <w:tr>
        <w:trPr/>
        <w:tc>
          <w:tcPr>
            <w:tcW w:w="2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both"/>
              <w:rPr>
                <w:rFonts w:ascii="Tahoma" w:hAnsi="Tahoma" w:cs="Tahoma"/>
                <w:i/>
                <w:i/>
                <w:iCs/>
                <w:sz w:val="20"/>
                <w:szCs w:val="20"/>
              </w:rPr>
            </w:pPr>
            <w:r>
              <w:rPr>
                <w:rFonts w:cs="Tahoma" w:ascii="Tahoma" w:hAnsi="Tahoma"/>
                <w:i/>
                <w:iCs/>
                <w:sz w:val="20"/>
                <w:szCs w:val="20"/>
              </w:rPr>
              <w:t>Teribe</w:t>
            </w:r>
          </w:p>
        </w:tc>
        <w:tc>
          <w:tcPr>
            <w:tcW w:w="22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center"/>
              <w:rPr>
                <w:rFonts w:ascii="Tahoma" w:hAnsi="Tahoma" w:cs="Tahoma"/>
                <w:i/>
                <w:i/>
                <w:iCs/>
                <w:sz w:val="20"/>
                <w:szCs w:val="20"/>
              </w:rPr>
            </w:pPr>
            <w:r>
              <w:rPr>
                <w:rFonts w:cs="Tahoma" w:ascii="Tahoma" w:hAnsi="Tahoma"/>
                <w:i/>
                <w:iCs/>
                <w:sz w:val="20"/>
                <w:szCs w:val="20"/>
              </w:rPr>
              <w:t>1</w:t>
            </w:r>
          </w:p>
        </w:tc>
      </w:tr>
      <w:tr>
        <w:trPr/>
        <w:tc>
          <w:tcPr>
            <w:tcW w:w="2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both"/>
              <w:rPr>
                <w:rFonts w:ascii="Tahoma" w:hAnsi="Tahoma" w:cs="Tahoma"/>
                <w:i/>
                <w:i/>
                <w:iCs/>
                <w:sz w:val="20"/>
                <w:szCs w:val="20"/>
              </w:rPr>
            </w:pPr>
            <w:r>
              <w:rPr>
                <w:rFonts w:cs="Tahoma" w:ascii="Tahoma" w:hAnsi="Tahoma"/>
                <w:i/>
                <w:iCs/>
                <w:sz w:val="20"/>
                <w:szCs w:val="20"/>
              </w:rPr>
              <w:t>Cabécar</w:t>
            </w:r>
          </w:p>
        </w:tc>
        <w:tc>
          <w:tcPr>
            <w:tcW w:w="22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center"/>
              <w:rPr>
                <w:rFonts w:ascii="Tahoma" w:hAnsi="Tahoma" w:cs="Tahoma"/>
                <w:i/>
                <w:i/>
                <w:iCs/>
                <w:sz w:val="20"/>
                <w:szCs w:val="20"/>
              </w:rPr>
            </w:pPr>
            <w:r>
              <w:rPr>
                <w:rFonts w:cs="Tahoma" w:ascii="Tahoma" w:hAnsi="Tahoma"/>
                <w:i/>
                <w:iCs/>
                <w:sz w:val="20"/>
                <w:szCs w:val="20"/>
              </w:rPr>
              <w:t>4</w:t>
            </w:r>
          </w:p>
        </w:tc>
      </w:tr>
      <w:tr>
        <w:trPr/>
        <w:tc>
          <w:tcPr>
            <w:tcW w:w="2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both"/>
              <w:rPr>
                <w:rFonts w:ascii="Tahoma" w:hAnsi="Tahoma" w:cs="Tahoma"/>
                <w:i/>
                <w:i/>
                <w:iCs/>
                <w:sz w:val="20"/>
                <w:szCs w:val="20"/>
              </w:rPr>
            </w:pPr>
            <w:r>
              <w:rPr>
                <w:rFonts w:cs="Tahoma" w:ascii="Tahoma" w:hAnsi="Tahoma"/>
                <w:i/>
                <w:iCs/>
                <w:sz w:val="20"/>
                <w:szCs w:val="20"/>
              </w:rPr>
              <w:t>Brunca</w:t>
            </w:r>
          </w:p>
        </w:tc>
        <w:tc>
          <w:tcPr>
            <w:tcW w:w="22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center"/>
              <w:rPr>
                <w:rFonts w:ascii="Tahoma" w:hAnsi="Tahoma" w:cs="Tahoma"/>
                <w:i/>
                <w:i/>
                <w:iCs/>
                <w:sz w:val="20"/>
                <w:szCs w:val="20"/>
              </w:rPr>
            </w:pPr>
            <w:r>
              <w:rPr>
                <w:rFonts w:cs="Tahoma" w:ascii="Tahoma" w:hAnsi="Tahoma"/>
                <w:i/>
                <w:iCs/>
                <w:sz w:val="20"/>
                <w:szCs w:val="20"/>
              </w:rPr>
              <w:t>1</w:t>
            </w:r>
          </w:p>
        </w:tc>
      </w:tr>
    </w:tbl>
    <w:p>
      <w:pPr>
        <w:pStyle w:val="Normal"/>
        <w:shd w:val="clear" w:color="auto" w:fill="FFFFFF"/>
        <w:spacing w:lineRule="auto" w:line="360"/>
        <w:jc w:val="both"/>
        <w:rPr>
          <w:rFonts w:ascii="Tahoma" w:hAnsi="Tahoma" w:cs="Tahoma"/>
          <w:i/>
          <w:i/>
          <w:iCs/>
          <w:sz w:val="20"/>
          <w:szCs w:val="20"/>
        </w:rPr>
      </w:pPr>
      <w:r>
        <w:rPr>
          <w:rFonts w:cs="Tahoma" w:ascii="Tahoma" w:hAnsi="Tahoma"/>
          <w:i/>
          <w:iCs/>
          <w:sz w:val="20"/>
          <w:szCs w:val="20"/>
        </w:rPr>
      </w:r>
    </w:p>
    <w:p>
      <w:pPr>
        <w:pStyle w:val="ListParagraph"/>
        <w:numPr>
          <w:ilvl w:val="0"/>
          <w:numId w:val="1"/>
        </w:numPr>
        <w:shd w:val="clear" w:color="auto" w:fill="FFFFFF"/>
        <w:spacing w:lineRule="auto" w:line="360"/>
        <w:jc w:val="both"/>
        <w:rPr>
          <w:rFonts w:ascii="Tahoma" w:hAnsi="Tahoma" w:cs="Tahoma"/>
          <w:b/>
          <w:b/>
          <w:i/>
          <w:i/>
          <w:iCs/>
          <w:sz w:val="20"/>
        </w:rPr>
      </w:pPr>
      <w:r>
        <w:rPr>
          <w:rFonts w:cs="Tahoma" w:ascii="Tahoma" w:hAnsi="Tahoma"/>
          <w:b/>
          <w:i/>
          <w:iCs/>
          <w:sz w:val="20"/>
        </w:rPr>
        <w:t>Proyección a la Comunidad</w:t>
      </w:r>
    </w:p>
    <w:p>
      <w:pPr>
        <w:pStyle w:val="Normal"/>
        <w:shd w:val="clear" w:color="auto" w:fill="FFFFFF"/>
        <w:spacing w:lineRule="auto" w:line="360"/>
        <w:jc w:val="both"/>
        <w:rPr>
          <w:rFonts w:ascii="Tahoma" w:hAnsi="Tahoma" w:cs="Tahoma"/>
          <w:i/>
          <w:i/>
          <w:iCs/>
          <w:sz w:val="20"/>
          <w:szCs w:val="20"/>
          <w:highlight w:val="yellow"/>
        </w:rPr>
      </w:pPr>
      <w:r>
        <w:rPr>
          <w:rFonts w:cs="Tahoma" w:ascii="Tahoma" w:hAnsi="Tahoma"/>
          <w:i/>
          <w:iCs/>
          <w:sz w:val="20"/>
          <w:szCs w:val="20"/>
          <w:highlight w:val="yellow"/>
        </w:rPr>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t>Como parte de las acciones de proyección a la Comunidad, el Equipo de Justicia Penal Restaurativa de Pérez Zeledón realiza visitas a Buenos Aires para la atención de las personas usuarias en los casos remitidos a Justicia Restaurativa, así como la construcción y fortalecimiento de la Red de Apoyo Interinstitucional, incorporando instituciones que pertenecen a los territorios indígenas y otras que trabajan con población indígena. Además, periódicamente se realizan actividades de sensibilización y divulgación sobre Justicia Restaurativa.</w:t>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t>En materia penal juvenil, el Equipo de Justicia Juvenil Restaurativa de Cartago realiza visitas a la comunidad de Turrialba para la atención de las personas usuarias en los casos remitidos a Justicia Restaurativa, así como la construcción y fortalecimiento de la Red de Apoyo Interinstitucional, incorporando instituciones que pertenecen a los territorios indígenas y otras que trabajan con población indígena. Además, periódicamente se realizan actividades de sensibilización y divulgación sobre Justicia Restaurativa.</w:t>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t>Sumando a lo anterior, el Equipo de Justicia Juvenil de Limón realiza visitas a la comunidad de Talamanca, para la construcción y fortalecimiento de la Red de Apoyo Interinstitucional, incorporando instituciones que pertenecen a los territorios indígenas y otras que trabajan con población indígena. Además, periódicamente se realizan actividades de sensibilización y divulgación sobre Justicia Restaurativa.</w:t>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t xml:space="preserve">En el marco del Proyecto de Cooperación Corte-USA-NCSC sobre Justicia Juvenil Restaurativa, financiado por la Embajada de los Estados Unidos se llevó a cabo la Reunión Anual, actividad dirigida a la comunidad de Talamanca, en la cual se contó con la presencia de representantes de sociedad civil, así como instituciones públicas y privadas que conforman la Red de Apoyo, personas indígenas, y personal judicial. Durante la actividad se mostraron los resultados obtenidos en los procesos juveniles restaurativos y se brindó un espacio a los representantes del pueblo Bribrí para que  compartieran su experiencia y las prácticas indígenas que utilizan para resolver conflictos a lo interno de sus comunidades. </w:t>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r>
    </w:p>
    <w:tbl>
      <w:tblPr>
        <w:tblW w:w="901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506"/>
        <w:gridCol w:w="4505"/>
      </w:tblGrid>
      <w:tr>
        <w:trPr/>
        <w:tc>
          <w:tcPr>
            <w:tcW w:w="4506" w:type="dxa"/>
            <w:tcBorders/>
          </w:tcPr>
          <w:p>
            <w:pPr>
              <w:pStyle w:val="Normal"/>
              <w:widowControl w:val="false"/>
              <w:spacing w:lineRule="auto" w:line="360" w:before="0" w:after="200"/>
              <w:jc w:val="both"/>
              <w:rPr>
                <w:rFonts w:ascii="Tahoma" w:hAnsi="Tahoma" w:cs="Tahoma"/>
                <w:i/>
                <w:i/>
                <w:iCs/>
                <w:sz w:val="20"/>
                <w:szCs w:val="20"/>
              </w:rPr>
            </w:pPr>
            <w:r>
              <w:rPr/>
              <w:drawing>
                <wp:inline distT="0" distB="0" distL="0" distR="0">
                  <wp:extent cx="2705100" cy="1905000"/>
                  <wp:effectExtent l="0" t="0" r="0" b="0"/>
                  <wp:docPr id="3" name="Imagen 2" descr="C:\Users\mmayorga\AppData\Local\Microsoft\Windows\INetCache\IE\6V9XDV1B\fil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C:\Users\mmayorga\AppData\Local\Microsoft\Windows\INetCache\IE\6V9XDV1B\file5.jpeg"/>
                          <pic:cNvPicPr>
                            <a:picLocks noChangeAspect="1" noChangeArrowheads="1"/>
                          </pic:cNvPicPr>
                        </pic:nvPicPr>
                        <pic:blipFill>
                          <a:blip r:embed="rId2"/>
                          <a:stretch>
                            <a:fillRect/>
                          </a:stretch>
                        </pic:blipFill>
                        <pic:spPr bwMode="auto">
                          <a:xfrm>
                            <a:off x="0" y="0"/>
                            <a:ext cx="2705100" cy="1905000"/>
                          </a:xfrm>
                          <a:prstGeom prst="rect">
                            <a:avLst/>
                          </a:prstGeom>
                        </pic:spPr>
                      </pic:pic>
                    </a:graphicData>
                  </a:graphic>
                </wp:inline>
              </w:drawing>
            </w:r>
          </w:p>
        </w:tc>
        <w:tc>
          <w:tcPr>
            <w:tcW w:w="4505" w:type="dxa"/>
            <w:tcBorders/>
          </w:tcPr>
          <w:p>
            <w:pPr>
              <w:pStyle w:val="Normal"/>
              <w:widowControl w:val="false"/>
              <w:spacing w:lineRule="auto" w:line="360" w:before="0" w:after="200"/>
              <w:jc w:val="both"/>
              <w:rPr>
                <w:rFonts w:ascii="Tahoma" w:hAnsi="Tahoma" w:cs="Tahoma"/>
                <w:i/>
                <w:i/>
                <w:iCs/>
                <w:sz w:val="20"/>
                <w:szCs w:val="20"/>
              </w:rPr>
            </w:pPr>
            <w:r>
              <w:rPr/>
              <w:drawing>
                <wp:inline distT="0" distB="0" distL="0" distR="0">
                  <wp:extent cx="2686050" cy="1847850"/>
                  <wp:effectExtent l="0" t="0" r="0" b="0"/>
                  <wp:docPr id="4" name="Imagen 3" descr="C:\Users\mmayorga\AppData\Local\Microsoft\Windows\INetCache\IE\ABOG3KG9\fi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C:\Users\mmayorga\AppData\Local\Microsoft\Windows\INetCache\IE\ABOG3KG9\file.jpeg"/>
                          <pic:cNvPicPr>
                            <a:picLocks noChangeAspect="1" noChangeArrowheads="1"/>
                          </pic:cNvPicPr>
                        </pic:nvPicPr>
                        <pic:blipFill>
                          <a:blip r:embed="rId3"/>
                          <a:stretch>
                            <a:fillRect/>
                          </a:stretch>
                        </pic:blipFill>
                        <pic:spPr bwMode="auto">
                          <a:xfrm>
                            <a:off x="0" y="0"/>
                            <a:ext cx="2686050" cy="1847850"/>
                          </a:xfrm>
                          <a:prstGeom prst="rect">
                            <a:avLst/>
                          </a:prstGeom>
                        </pic:spPr>
                      </pic:pic>
                    </a:graphicData>
                  </a:graphic>
                </wp:inline>
              </w:drawing>
            </w:r>
          </w:p>
        </w:tc>
      </w:tr>
      <w:tr>
        <w:trPr/>
        <w:tc>
          <w:tcPr>
            <w:tcW w:w="4506" w:type="dxa"/>
            <w:tcBorders/>
          </w:tcPr>
          <w:p>
            <w:pPr>
              <w:pStyle w:val="Normal"/>
              <w:widowControl w:val="false"/>
              <w:spacing w:lineRule="auto" w:line="360" w:before="0" w:after="200"/>
              <w:jc w:val="both"/>
              <w:rPr>
                <w:rFonts w:ascii="Tahoma" w:hAnsi="Tahoma" w:cs="Tahoma"/>
                <w:i/>
                <w:i/>
                <w:iCs/>
                <w:sz w:val="20"/>
                <w:szCs w:val="20"/>
              </w:rPr>
            </w:pPr>
            <w:r>
              <w:rPr/>
              <w:drawing>
                <wp:inline distT="0" distB="0" distL="0" distR="0">
                  <wp:extent cx="2705100" cy="1895475"/>
                  <wp:effectExtent l="0" t="0" r="0" b="0"/>
                  <wp:docPr id="5" name="Imagen 5" descr="C:\Users\mmayorga\AppData\Local\Microsoft\Windows\INetCache\IE\G3XSPGDB\fil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C:\Users\mmayorga\AppData\Local\Microsoft\Windows\INetCache\IE\G3XSPGDB\file1.jpeg"/>
                          <pic:cNvPicPr>
                            <a:picLocks noChangeAspect="1" noChangeArrowheads="1"/>
                          </pic:cNvPicPr>
                        </pic:nvPicPr>
                        <pic:blipFill>
                          <a:blip r:embed="rId4"/>
                          <a:stretch>
                            <a:fillRect/>
                          </a:stretch>
                        </pic:blipFill>
                        <pic:spPr bwMode="auto">
                          <a:xfrm>
                            <a:off x="0" y="0"/>
                            <a:ext cx="2705100" cy="1895475"/>
                          </a:xfrm>
                          <a:prstGeom prst="rect">
                            <a:avLst/>
                          </a:prstGeom>
                        </pic:spPr>
                      </pic:pic>
                    </a:graphicData>
                  </a:graphic>
                </wp:inline>
              </w:drawing>
            </w:r>
          </w:p>
        </w:tc>
        <w:tc>
          <w:tcPr>
            <w:tcW w:w="4505" w:type="dxa"/>
            <w:tcBorders/>
          </w:tcPr>
          <w:p>
            <w:pPr>
              <w:pStyle w:val="Normal"/>
              <w:widowControl w:val="false"/>
              <w:spacing w:lineRule="auto" w:line="360" w:before="0" w:after="200"/>
              <w:jc w:val="both"/>
              <w:rPr>
                <w:rFonts w:ascii="Tahoma" w:hAnsi="Tahoma" w:cs="Tahoma"/>
                <w:i/>
                <w:i/>
                <w:iCs/>
                <w:sz w:val="20"/>
                <w:szCs w:val="20"/>
              </w:rPr>
            </w:pPr>
            <w:r>
              <w:rPr/>
              <w:drawing>
                <wp:inline distT="0" distB="0" distL="0" distR="0">
                  <wp:extent cx="2705100" cy="1914525"/>
                  <wp:effectExtent l="0" t="0" r="0" b="0"/>
                  <wp:docPr id="6" name="Imagen 4" descr="C:\Users\mmayorga\AppData\Local\Microsoft\Windows\INetCache\IE\UYO8YQPN\fil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4" descr="C:\Users\mmayorga\AppData\Local\Microsoft\Windows\INetCache\IE\UYO8YQPN\file2.jpeg"/>
                          <pic:cNvPicPr>
                            <a:picLocks noChangeAspect="1" noChangeArrowheads="1"/>
                          </pic:cNvPicPr>
                        </pic:nvPicPr>
                        <pic:blipFill>
                          <a:blip r:embed="rId5"/>
                          <a:stretch>
                            <a:fillRect/>
                          </a:stretch>
                        </pic:blipFill>
                        <pic:spPr bwMode="auto">
                          <a:xfrm>
                            <a:off x="0" y="0"/>
                            <a:ext cx="2705100" cy="1914525"/>
                          </a:xfrm>
                          <a:prstGeom prst="rect">
                            <a:avLst/>
                          </a:prstGeom>
                        </pic:spPr>
                      </pic:pic>
                    </a:graphicData>
                  </a:graphic>
                </wp:inline>
              </w:drawing>
            </w:r>
          </w:p>
        </w:tc>
      </w:tr>
    </w:tbl>
    <w:p>
      <w:pPr>
        <w:pStyle w:val="ListParagraph"/>
        <w:shd w:val="clear" w:color="auto" w:fill="FFFFFF"/>
        <w:spacing w:lineRule="auto" w:line="360"/>
        <w:ind w:left="1080" w:hanging="0"/>
        <w:jc w:val="both"/>
        <w:rPr>
          <w:rFonts w:ascii="Tahoma" w:hAnsi="Tahoma" w:cs="Tahoma"/>
          <w:b/>
          <w:b/>
          <w:i/>
          <w:i/>
          <w:iCs/>
          <w:sz w:val="20"/>
        </w:rPr>
      </w:pPr>
      <w:r>
        <w:rPr>
          <w:rFonts w:cs="Tahoma" w:ascii="Tahoma" w:hAnsi="Tahoma"/>
          <w:b/>
          <w:i/>
          <w:iCs/>
          <w:sz w:val="20"/>
        </w:rPr>
      </w:r>
    </w:p>
    <w:p>
      <w:pPr>
        <w:pStyle w:val="ListParagraph"/>
        <w:numPr>
          <w:ilvl w:val="0"/>
          <w:numId w:val="1"/>
        </w:numPr>
        <w:shd w:val="clear" w:color="auto" w:fill="FFFFFF"/>
        <w:spacing w:lineRule="auto" w:line="360"/>
        <w:jc w:val="both"/>
        <w:rPr>
          <w:rFonts w:ascii="Tahoma" w:hAnsi="Tahoma" w:cs="Tahoma"/>
          <w:b/>
          <w:b/>
          <w:i/>
          <w:i/>
          <w:iCs/>
          <w:sz w:val="20"/>
        </w:rPr>
      </w:pPr>
      <w:r>
        <w:rPr>
          <w:rFonts w:cs="Tahoma" w:ascii="Tahoma" w:hAnsi="Tahoma"/>
          <w:b/>
          <w:i/>
          <w:iCs/>
          <w:sz w:val="20"/>
        </w:rPr>
        <w:t xml:space="preserve">Directrices y lineamientos </w:t>
      </w:r>
    </w:p>
    <w:p>
      <w:pPr>
        <w:pStyle w:val="Normal"/>
        <w:shd w:val="clear" w:color="auto" w:fill="FFFFFF"/>
        <w:spacing w:lineRule="auto" w:line="360"/>
        <w:ind w:left="720" w:hanging="0"/>
        <w:jc w:val="both"/>
        <w:rPr>
          <w:rFonts w:ascii="Tahoma" w:hAnsi="Tahoma" w:cs="Tahoma"/>
          <w:i/>
          <w:i/>
          <w:iCs/>
          <w:sz w:val="20"/>
          <w:szCs w:val="20"/>
        </w:rPr>
      </w:pPr>
      <w:r>
        <w:rPr>
          <w:rFonts w:cs="Tahoma" w:ascii="Tahoma" w:hAnsi="Tahoma"/>
          <w:i/>
          <w:iCs/>
          <w:sz w:val="20"/>
          <w:szCs w:val="20"/>
        </w:rPr>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t>La Dirección de Nacional de Justicia Restaurativa emitió la Directriz Administrativa N° 03-DNJR-2019 a todos los Equipos Interdisciplinarios de Justicia Restaurativa del país, reiterando las “Reglas Prácticas para facilitar el acceso a la justicia de las  Poblaciones  Indígenas”, publicadas en las  Circulares N° 10-09, 145-09 y 80-15, de la Secretaría General de la Corte Suprema de Justicia que se adjunta.</w:t>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t>Así como la obligación de coordinar la presencia de una persona intérprete para las personas indígenas que participen en los procesos de Justicia Restaurativa, conforme a lo dispuesto en el artículo 12 de la Declaración de las Naciones Unidas sobre los Derechos de los Pueblos Indígenas (Convenio 169 de la OIT sobre pueblos indígenas y tribales) y los artículos 3 y 6 de la Ley N° 9593, Ley de Acceso a la Justicia de los Pueblos Indígenas de Costa Rica.</w:t>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t xml:space="preserve">Sumado a lo anterior se solicitó a los Equipos de Justicia Penal Restaurativa y Justicia Juvenil Restaurativa  que lleven un registro de los asuntos con población indígenas rindiendo un informe trimestralmente ante esta Dirección. </w:t>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t>Esperamos continuar estas acciones para garantizar y promover los derechos de las personas indígenas dentro de los procesos judiciales en las que intervienen personas indígenas, especialmente cuando se busque la resolución alternativa del conflicto mediante Justicia Restaurativa incorporando la cosmovisión de estas personas.</w:t>
      </w:r>
    </w:p>
    <w:p>
      <w:pPr>
        <w:pStyle w:val="NormalWeb"/>
        <w:spacing w:lineRule="auto" w:line="360" w:before="280" w:after="280"/>
        <w:ind w:firstLine="708"/>
        <w:jc w:val="both"/>
        <w:rPr>
          <w:rFonts w:ascii="Tahoma" w:hAnsi="Tahoma" w:cs="Tahoma"/>
          <w:i/>
          <w:i/>
          <w:iCs/>
          <w:sz w:val="20"/>
          <w:szCs w:val="20"/>
        </w:rPr>
      </w:pPr>
      <w:r>
        <w:rPr>
          <w:rFonts w:cs="Tahoma" w:ascii="Tahoma" w:hAnsi="Tahoma"/>
          <w:i/>
          <w:iCs/>
          <w:sz w:val="20"/>
          <w:szCs w:val="20"/>
        </w:rPr>
        <w:t>Sin más por el momento, cordialmente se despide</w:t>
      </w:r>
    </w:p>
    <w:p>
      <w:pPr>
        <w:pStyle w:val="Normal"/>
        <w:jc w:val="center"/>
        <w:rPr>
          <w:rFonts w:ascii="Tahoma" w:hAnsi="Tahoma" w:cs="Tahoma"/>
          <w:i/>
          <w:i/>
          <w:iCs/>
          <w:sz w:val="20"/>
          <w:szCs w:val="20"/>
        </w:rPr>
      </w:pPr>
      <w:r>
        <w:rPr>
          <w:rFonts w:cs="Tahoma" w:ascii="Tahoma" w:hAnsi="Tahoma"/>
          <w:i/>
          <w:iCs/>
          <w:sz w:val="20"/>
          <w:szCs w:val="20"/>
        </w:rPr>
        <w:t>Gerardo Rubén Alfaro Vargas</w:t>
      </w:r>
    </w:p>
    <w:p>
      <w:pPr>
        <w:pStyle w:val="Normal"/>
        <w:jc w:val="center"/>
        <w:rPr>
          <w:rFonts w:ascii="Tahoma" w:hAnsi="Tahoma" w:cs="Tahoma"/>
          <w:i/>
          <w:i/>
          <w:iCs/>
          <w:sz w:val="20"/>
          <w:szCs w:val="20"/>
        </w:rPr>
      </w:pPr>
      <w:r>
        <w:rPr>
          <w:rFonts w:cs="Tahoma" w:ascii="Tahoma" w:hAnsi="Tahoma"/>
          <w:i/>
          <w:iCs/>
          <w:sz w:val="20"/>
          <w:szCs w:val="20"/>
        </w:rPr>
        <w:t>Magistrado Sala Tercera</w:t>
      </w:r>
    </w:p>
    <w:p>
      <w:pPr>
        <w:pStyle w:val="Normal"/>
        <w:jc w:val="center"/>
        <w:rPr>
          <w:rFonts w:ascii="Tahoma" w:hAnsi="Tahoma" w:cs="Tahoma"/>
          <w:sz w:val="20"/>
          <w:szCs w:val="20"/>
        </w:rPr>
      </w:pPr>
      <w:r>
        <w:rPr>
          <w:rFonts w:cs="Tahoma" w:ascii="Tahoma" w:hAnsi="Tahoma"/>
          <w:i/>
          <w:iCs/>
          <w:sz w:val="20"/>
          <w:szCs w:val="20"/>
        </w:rPr>
        <w:t>Rector de Justicia Restaurativa.</w:t>
      </w:r>
    </w:p>
    <w:p>
      <w:pPr>
        <w:pStyle w:val="Normal"/>
        <w:jc w:val="center"/>
        <w:rPr>
          <w:rFonts w:ascii="Tahoma" w:hAnsi="Tahoma" w:cs="Tahoma"/>
          <w:sz w:val="20"/>
          <w:szCs w:val="20"/>
        </w:rPr>
      </w:pPr>
      <w:r>
        <w:rPr>
          <w:rFonts w:cs="Tahoma" w:ascii="Tahoma" w:hAnsi="Tahoma"/>
          <w:sz w:val="20"/>
          <w:szCs w:val="20"/>
        </w:rPr>
      </w:r>
    </w:p>
    <w:p>
      <w:pPr>
        <w:pStyle w:val="Normal"/>
        <w:spacing w:lineRule="auto" w:line="360"/>
        <w:jc w:val="both"/>
        <w:rPr>
          <w:rFonts w:ascii="Tahoma" w:hAnsi="Tahoma" w:cs="Tahoma"/>
          <w:b/>
          <w:b/>
          <w:sz w:val="20"/>
          <w:szCs w:val="20"/>
          <w:lang w:val="es-ES"/>
        </w:rPr>
      </w:pPr>
      <w:r>
        <w:rPr>
          <w:rFonts w:cs="Tahoma" w:ascii="Tahoma" w:hAnsi="Tahoma"/>
          <w:b/>
          <w:sz w:val="20"/>
          <w:szCs w:val="20"/>
          <w:u w:val="single"/>
        </w:rPr>
        <w:t>SE ACUERDA:</w:t>
      </w:r>
      <w:r>
        <w:rPr>
          <w:rFonts w:cs="Tahoma" w:ascii="Tahoma" w:hAnsi="Tahoma"/>
          <w:sz w:val="20"/>
          <w:szCs w:val="20"/>
        </w:rPr>
        <w:t xml:space="preserve"> 1° </w:t>
      </w:r>
      <w:r>
        <w:rPr>
          <w:rFonts w:cs="Tahoma" w:ascii="Tahoma" w:hAnsi="Tahoma"/>
          <w:bCs/>
          <w:sz w:val="20"/>
          <w:szCs w:val="20"/>
        </w:rPr>
        <w:t xml:space="preserve">Se toma nota del </w:t>
      </w:r>
      <w:r>
        <w:rPr>
          <w:rFonts w:cs="Tahoma" w:ascii="Tahoma" w:hAnsi="Tahoma"/>
          <w:sz w:val="20"/>
          <w:szCs w:val="20"/>
          <w:lang w:val="es-ES"/>
        </w:rPr>
        <w:t xml:space="preserve">Oficio N° 036-DNJD-20 de 14 de febrero pasado, remitido por el Magistrado Gerardo Rubén Alfaro, Rector de la Dirección Nacional de Justicia Restaurativa, remitió. 2° </w:t>
      </w:r>
      <w:r>
        <w:rPr>
          <w:rFonts w:cs="Tahoma" w:ascii="Tahoma" w:hAnsi="Tahoma"/>
          <w:bCs/>
          <w:sz w:val="20"/>
          <w:szCs w:val="20"/>
        </w:rPr>
        <w:t>Solicitar a la Dirección Nacional de Justicia Restaurativa que al desarrollar la capacitación incluya los lineamientos de la Circular 188-19 de Corte Plena incluyéndose además la normativa nacional e internacional que regula los derechos de los pueblos indígenas y de género; además, desarrollar la capacitación con la participación activa de personas lideresas indígenas de los pueblos donde se vaya a ejecutar dicha capacitación o sean competencia material y territorial de las personas servidoras judiciales que sean capacitadas. 3° En relación con el Protocolo de Justicia Restaurativa, solicitar que en su construcción se consulte a los pueblos indígenas involucrados, en cumplimiento del Convenio 169 de la OIT; y se tomen las previsiones respectivas, para garantizar la participación de personas indígenas y organizaciones indígenas en su construcción. Para tal efecto, se sugiere coordinar con DINARAC del Ministerio de Justicia y Paz a cargo del proceso de consultar con las modalidades establecidas. 4° Hacer este acuerdo de conocimiento de la DNJR, la Comisión de la Jurisdicción Penal y la Comisión de la Jurisdicción Agraria al estar asociado a gestiones de capacitación e intervención de la citada Dirección con procesos judiciales de naturaleza penal, contravencional y agraria en los que intervengan personas indígenas, con especial énfasis de los pueblos beneficiarios de las Medidas Cautelares 321-12 de la CIDH contra el Estado, como parte del cumplimiento de éstas. 5° Se declara firme este acuerdo por unanimidad para su ejecución. Comuníquese a la DNJR y a las Comisiones citadas por medio de la Unidad de Acceso a la Justicia con copia a esta Subcomisión para el seguimiento respectivo.</w:t>
      </w:r>
    </w:p>
    <w:p>
      <w:pPr>
        <w:pStyle w:val="Normal"/>
        <w:spacing w:lineRule="auto" w:line="360"/>
        <w:jc w:val="center"/>
        <w:rPr>
          <w:rFonts w:ascii="Tahoma" w:hAnsi="Tahoma" w:cs="Tahoma"/>
          <w:b/>
          <w:b/>
          <w:sz w:val="20"/>
          <w:szCs w:val="20"/>
          <w:u w:val="single"/>
        </w:rPr>
      </w:pPr>
      <w:r>
        <w:rPr>
          <w:rFonts w:cs="Tahoma" w:ascii="Tahoma" w:hAnsi="Tahoma"/>
          <w:b/>
          <w:sz w:val="20"/>
          <w:szCs w:val="20"/>
          <w:highlight w:val="yellow"/>
          <w:u w:val="single"/>
        </w:rPr>
        <w:t>ARTÍCULO II:</w:t>
      </w:r>
    </w:p>
    <w:p>
      <w:pPr>
        <w:pStyle w:val="Normal"/>
        <w:jc w:val="both"/>
        <w:rPr>
          <w:rFonts w:ascii="Tahoma" w:hAnsi="Tahoma" w:cs="Tahoma"/>
          <w:i/>
          <w:i/>
          <w:sz w:val="20"/>
          <w:szCs w:val="20"/>
          <w:lang w:val="es-ES_tradnl" w:eastAsia="ar-SA"/>
        </w:rPr>
      </w:pPr>
      <w:r>
        <w:rPr>
          <w:rFonts w:cs="Tahoma" w:ascii="Tahoma" w:hAnsi="Tahoma"/>
          <w:b/>
          <w:sz w:val="20"/>
          <w:szCs w:val="20"/>
        </w:rPr>
        <w:t>TEMA:</w:t>
      </w:r>
      <w:r>
        <w:rPr>
          <w:rFonts w:cs="Tahoma" w:ascii="Tahoma" w:hAnsi="Tahoma"/>
          <w:i/>
          <w:sz w:val="20"/>
          <w:szCs w:val="20"/>
        </w:rPr>
        <w:t xml:space="preserve"> </w:t>
      </w:r>
      <w:r>
        <w:rPr>
          <w:rFonts w:cs="Tahoma" w:ascii="Tahoma" w:hAnsi="Tahoma"/>
          <w:b/>
          <w:bCs/>
          <w:sz w:val="20"/>
          <w:szCs w:val="20"/>
          <w:lang w:val="es-ES" w:eastAsia="es-ES"/>
        </w:rPr>
        <w:t xml:space="preserve">Oficio </w:t>
      </w:r>
      <w:r>
        <w:rPr>
          <w:rFonts w:cs="Tahoma" w:ascii="Tahoma" w:hAnsi="Tahoma"/>
          <w:b/>
          <w:bCs/>
          <w:sz w:val="20"/>
          <w:szCs w:val="20"/>
        </w:rPr>
        <w:t>Nº 3967-19 de 29 de abril de 2019, en el que la Secretaría General de la Corte comunicó el acuerdo tomado por el Consejo Superior del Poder Judicial, en la sesión Nº 28-19 celebrada el 28 de marzo de 2019, Artículo XXXV</w:t>
      </w:r>
    </w:p>
    <w:p>
      <w:pPr>
        <w:pStyle w:val="Normal"/>
        <w:jc w:val="both"/>
        <w:rPr>
          <w:rFonts w:ascii="Tahoma" w:hAnsi="Tahoma" w:cs="Tahoma"/>
          <w:i/>
          <w:i/>
          <w:sz w:val="20"/>
          <w:szCs w:val="20"/>
          <w:lang w:val="es-ES_tradnl" w:eastAsia="ar-SA"/>
        </w:rPr>
      </w:pPr>
      <w:r>
        <w:rPr>
          <w:rFonts w:cs="Tahoma" w:ascii="Tahoma" w:hAnsi="Tahoma"/>
          <w:sz w:val="20"/>
          <w:szCs w:val="20"/>
        </w:rPr>
        <w:t xml:space="preserve">La Coordinadora de la Subcomisión de Acceso a la Justicia de Pueblos Indígenas, previa consulta de contenido a las personas integrantes de la Subcomisión, remitió el Oficio N° DVV-SI-022-2020 de 28 de febrero pasado al Consejo Superior, dando respuesta al </w:t>
      </w:r>
      <w:r>
        <w:rPr>
          <w:rFonts w:cs="Tahoma" w:ascii="Tahoma" w:hAnsi="Tahoma"/>
          <w:sz w:val="20"/>
          <w:szCs w:val="20"/>
          <w:lang w:val="es-ES" w:eastAsia="es-ES"/>
        </w:rPr>
        <w:t xml:space="preserve">Oficio </w:t>
      </w:r>
      <w:r>
        <w:rPr>
          <w:rFonts w:cs="Tahoma" w:ascii="Tahoma" w:hAnsi="Tahoma"/>
          <w:sz w:val="20"/>
          <w:szCs w:val="20"/>
        </w:rPr>
        <w:t>Nº 3967-19 de 29 de abril de 2019, en el que la Secretaría General de la Corte comunicó el acuerdo tomado por el Consejo Superior del Poder Judicial, en la sesión Nº 28-19 celebrada el 28 de marzo de 2019, Artículo XXXV. El Oficio literalmente indica:</w:t>
      </w:r>
    </w:p>
    <w:p>
      <w:pPr>
        <w:pStyle w:val="Ttulo7"/>
        <w:keepNext w:val="false"/>
        <w:keepLines w:val="false"/>
        <w:numPr>
          <w:ilvl w:val="0"/>
          <w:numId w:val="0"/>
        </w:numPr>
        <w:tabs>
          <w:tab w:val="clear" w:pos="708"/>
          <w:tab w:val="left" w:pos="-10312" w:leader="none"/>
          <w:tab w:val="left" w:pos="0" w:leader="none"/>
        </w:tabs>
        <w:suppressAutoHyphens w:val="true"/>
        <w:spacing w:lineRule="auto" w:line="240" w:before="0" w:after="0"/>
        <w:ind w:left="4248" w:hanging="0"/>
        <w:jc w:val="right"/>
        <w:rPr>
          <w:rFonts w:ascii="Tahoma" w:hAnsi="Tahoma" w:cs="Tahoma"/>
          <w:b/>
          <w:b/>
          <w:bCs/>
          <w:sz w:val="20"/>
          <w:szCs w:val="20"/>
        </w:rPr>
      </w:pPr>
      <w:r>
        <w:rPr>
          <w:rFonts w:cs="Tahoma" w:ascii="Tahoma" w:hAnsi="Tahoma"/>
          <w:b/>
          <w:bCs/>
          <w:sz w:val="20"/>
          <w:szCs w:val="20"/>
        </w:rPr>
        <w:t>San José, 28 de febrero de 2020</w:t>
      </w:r>
    </w:p>
    <w:p>
      <w:pPr>
        <w:pStyle w:val="Ttulo7"/>
        <w:keepNext w:val="false"/>
        <w:keepLines w:val="false"/>
        <w:numPr>
          <w:ilvl w:val="0"/>
          <w:numId w:val="0"/>
        </w:numPr>
        <w:tabs>
          <w:tab w:val="clear" w:pos="708"/>
          <w:tab w:val="left" w:pos="-10312" w:leader="none"/>
          <w:tab w:val="left" w:pos="0" w:leader="none"/>
        </w:tabs>
        <w:suppressAutoHyphens w:val="true"/>
        <w:spacing w:lineRule="auto" w:line="240" w:before="0" w:after="0"/>
        <w:ind w:left="4248" w:hanging="0"/>
        <w:jc w:val="right"/>
        <w:rPr>
          <w:rFonts w:ascii="Tahoma" w:hAnsi="Tahoma" w:cs="Tahoma"/>
          <w:b/>
          <w:b/>
          <w:bCs/>
          <w:sz w:val="20"/>
          <w:szCs w:val="20"/>
        </w:rPr>
      </w:pPr>
      <w:r>
        <w:rPr>
          <w:rFonts w:cs="Tahoma" w:ascii="Tahoma" w:hAnsi="Tahoma"/>
          <w:b/>
          <w:bCs/>
          <w:sz w:val="20"/>
          <w:szCs w:val="20"/>
        </w:rPr>
        <w:t>N° DVV-S1-022-2020</w:t>
      </w:r>
    </w:p>
    <w:p>
      <w:pPr>
        <w:pStyle w:val="Normal"/>
        <w:jc w:val="right"/>
        <w:rPr>
          <w:rFonts w:ascii="Tahoma" w:hAnsi="Tahoma" w:cs="Tahoma"/>
          <w:b/>
          <w:b/>
          <w:bCs/>
          <w:i/>
          <w:i/>
          <w:iCs/>
          <w:sz w:val="20"/>
          <w:szCs w:val="20"/>
        </w:rPr>
      </w:pPr>
      <w:r>
        <w:rPr>
          <w:rFonts w:cs="Tahoma" w:ascii="Tahoma" w:hAnsi="Tahoma"/>
          <w:b/>
          <w:bCs/>
          <w:i/>
          <w:iCs/>
          <w:sz w:val="20"/>
          <w:szCs w:val="20"/>
        </w:rPr>
        <w:t>(Oficio N° 3667-19)</w:t>
      </w:r>
    </w:p>
    <w:p>
      <w:pPr>
        <w:pStyle w:val="Ttulo7"/>
        <w:tabs>
          <w:tab w:val="clear" w:pos="708"/>
          <w:tab w:val="left" w:pos="-10312" w:leader="none"/>
        </w:tabs>
        <w:spacing w:before="0" w:after="0"/>
        <w:ind w:left="4248" w:hanging="0"/>
        <w:rPr>
          <w:rFonts w:ascii="Tahoma" w:hAnsi="Tahoma" w:cs="Tahoma"/>
          <w:b/>
          <w:b/>
          <w:bCs/>
          <w:sz w:val="20"/>
          <w:szCs w:val="20"/>
        </w:rPr>
      </w:pPr>
      <w:r>
        <w:rPr>
          <w:rFonts w:cs="Tahoma" w:ascii="Tahoma" w:hAnsi="Tahoma"/>
          <w:b/>
          <w:bCs/>
          <w:sz w:val="20"/>
          <w:szCs w:val="20"/>
        </w:rPr>
      </w:r>
    </w:p>
    <w:p>
      <w:pPr>
        <w:pStyle w:val="Ttulo7"/>
        <w:tabs>
          <w:tab w:val="clear" w:pos="708"/>
          <w:tab w:val="left" w:pos="-10312" w:leader="none"/>
        </w:tabs>
        <w:spacing w:before="0" w:after="0"/>
        <w:rPr>
          <w:rFonts w:ascii="Tahoma" w:hAnsi="Tahoma" w:cs="Tahoma"/>
          <w:b/>
          <w:b/>
          <w:bCs/>
          <w:sz w:val="20"/>
          <w:szCs w:val="20"/>
          <w:lang w:val="es-ES" w:eastAsia="es-ES"/>
        </w:rPr>
      </w:pPr>
      <w:r>
        <w:rPr>
          <w:rFonts w:cs="Tahoma" w:ascii="Tahoma" w:hAnsi="Tahoma"/>
          <w:b/>
          <w:bCs/>
          <w:sz w:val="20"/>
          <w:szCs w:val="20"/>
          <w:lang w:val="es-ES" w:eastAsia="es-ES"/>
        </w:rPr>
        <w:t>Señoras y Señores</w:t>
      </w:r>
    </w:p>
    <w:p>
      <w:pPr>
        <w:pStyle w:val="Normal"/>
        <w:rPr>
          <w:rFonts w:ascii="Tahoma" w:hAnsi="Tahoma" w:cs="Tahoma"/>
          <w:b/>
          <w:b/>
          <w:bCs/>
          <w:i/>
          <w:i/>
          <w:iCs/>
          <w:sz w:val="20"/>
          <w:szCs w:val="20"/>
          <w:lang w:val="es-ES" w:eastAsia="es-ES"/>
        </w:rPr>
      </w:pPr>
      <w:r>
        <w:rPr>
          <w:rFonts w:cs="Tahoma" w:ascii="Tahoma" w:hAnsi="Tahoma"/>
          <w:b/>
          <w:bCs/>
          <w:i/>
          <w:iCs/>
          <w:sz w:val="20"/>
          <w:szCs w:val="20"/>
          <w:lang w:val="es-ES" w:eastAsia="es-ES"/>
        </w:rPr>
        <w:t xml:space="preserve">Consejo Superior </w:t>
      </w:r>
    </w:p>
    <w:p>
      <w:pPr>
        <w:pStyle w:val="Normal"/>
        <w:rPr>
          <w:rFonts w:ascii="Tahoma" w:hAnsi="Tahoma" w:cs="Tahoma"/>
          <w:b/>
          <w:b/>
          <w:bCs/>
          <w:i/>
          <w:i/>
          <w:iCs/>
          <w:sz w:val="20"/>
          <w:szCs w:val="20"/>
          <w:lang w:val="es-ES" w:eastAsia="es-ES"/>
        </w:rPr>
      </w:pPr>
      <w:r>
        <w:rPr>
          <w:rFonts w:cs="Tahoma" w:ascii="Tahoma" w:hAnsi="Tahoma"/>
          <w:b/>
          <w:bCs/>
          <w:i/>
          <w:iCs/>
          <w:sz w:val="20"/>
          <w:szCs w:val="20"/>
          <w:lang w:val="es-ES" w:eastAsia="es-ES"/>
        </w:rPr>
        <w:t>Poder Judicial</w:t>
      </w:r>
    </w:p>
    <w:p>
      <w:pPr>
        <w:pStyle w:val="Normal"/>
        <w:rPr>
          <w:rFonts w:ascii="Tahoma" w:hAnsi="Tahoma" w:cs="Tahoma"/>
          <w:b/>
          <w:b/>
          <w:bCs/>
          <w:i/>
          <w:i/>
          <w:iCs/>
          <w:sz w:val="20"/>
          <w:szCs w:val="20"/>
          <w:lang w:val="es-ES" w:eastAsia="es-ES"/>
        </w:rPr>
      </w:pPr>
      <w:r>
        <w:rPr>
          <w:rFonts w:cs="Tahoma" w:ascii="Tahoma" w:hAnsi="Tahoma"/>
          <w:b/>
          <w:bCs/>
          <w:i/>
          <w:iCs/>
          <w:sz w:val="20"/>
          <w:szCs w:val="20"/>
          <w:lang w:val="es-ES" w:eastAsia="es-ES"/>
        </w:rPr>
      </w:r>
    </w:p>
    <w:p>
      <w:pPr>
        <w:pStyle w:val="Normal"/>
        <w:tabs>
          <w:tab w:val="clear" w:pos="708"/>
          <w:tab w:val="left" w:pos="7906" w:leader="none"/>
        </w:tabs>
        <w:rPr>
          <w:rFonts w:ascii="Tahoma" w:hAnsi="Tahoma" w:cs="Tahoma"/>
          <w:b/>
          <w:b/>
          <w:bCs/>
          <w:i/>
          <w:i/>
          <w:iCs/>
          <w:sz w:val="20"/>
          <w:szCs w:val="20"/>
          <w:lang w:val="es-ES" w:eastAsia="es-ES"/>
        </w:rPr>
      </w:pPr>
      <w:r>
        <w:rPr>
          <w:rFonts w:cs="Tahoma" w:ascii="Tahoma" w:hAnsi="Tahoma"/>
          <w:b/>
          <w:bCs/>
          <w:i/>
          <w:iCs/>
          <w:sz w:val="20"/>
          <w:szCs w:val="20"/>
          <w:lang w:val="es-ES" w:eastAsia="es-ES"/>
        </w:rPr>
        <w:t>Estimado Señor:</w:t>
        <w:tab/>
      </w:r>
    </w:p>
    <w:p>
      <w:pPr>
        <w:pStyle w:val="Normal"/>
        <w:rPr>
          <w:rFonts w:ascii="Tahoma" w:hAnsi="Tahoma" w:cs="Tahoma"/>
          <w:b/>
          <w:b/>
          <w:bCs/>
          <w:i/>
          <w:i/>
          <w:iCs/>
          <w:sz w:val="20"/>
          <w:szCs w:val="20"/>
          <w:lang w:val="es-ES" w:eastAsia="es-ES"/>
        </w:rPr>
      </w:pPr>
      <w:r>
        <w:rPr>
          <w:rFonts w:cs="Tahoma" w:ascii="Tahoma" w:hAnsi="Tahoma"/>
          <w:b/>
          <w:bCs/>
          <w:i/>
          <w:iCs/>
          <w:sz w:val="20"/>
          <w:szCs w:val="20"/>
          <w:lang w:val="es-ES" w:eastAsia="es-ES"/>
        </w:rPr>
      </w:r>
    </w:p>
    <w:p>
      <w:pPr>
        <w:pStyle w:val="Normal"/>
        <w:jc w:val="both"/>
        <w:rPr>
          <w:rFonts w:ascii="Tahoma" w:hAnsi="Tahoma" w:cs="Tahoma"/>
          <w:i/>
          <w:i/>
          <w:iCs/>
          <w:sz w:val="20"/>
          <w:szCs w:val="20"/>
        </w:rPr>
      </w:pPr>
      <w:r>
        <w:rPr>
          <w:rFonts w:cs="Tahoma" w:ascii="Tahoma" w:hAnsi="Tahoma"/>
          <w:i/>
          <w:iCs/>
          <w:sz w:val="20"/>
          <w:szCs w:val="20"/>
          <w:lang w:val="es-ES" w:eastAsia="es-ES"/>
        </w:rPr>
        <w:t xml:space="preserve">Reciban un cordial saludo. Tengo el honor de dirigirme a ustedes en mi condición de Coordinadora de la Subcomisión de Acceso a la Justicia de Pueblos Indígenas, a fin de dar respuesta a la solicitud de información contenida en el Oficio </w:t>
      </w:r>
      <w:r>
        <w:rPr>
          <w:rFonts w:cs="Tahoma" w:ascii="Tahoma" w:hAnsi="Tahoma"/>
          <w:i/>
          <w:iCs/>
          <w:sz w:val="20"/>
          <w:szCs w:val="20"/>
        </w:rPr>
        <w:t>Nº 3967-19 de 29 de abril de 2019, en el que la Secretaría General de la Corte comunicó el acuerdo tomado por el Consejo Superior del Poder Judicial, en la sesión Nº 28-19 celebrada el 28 de marzo de 2019, Artículo XXXV, que literalmente dice:</w:t>
      </w:r>
    </w:p>
    <w:p>
      <w:pPr>
        <w:pStyle w:val="Normal"/>
        <w:rPr>
          <w:rFonts w:ascii="Tahoma" w:hAnsi="Tahoma" w:cs="Tahoma"/>
          <w:i/>
          <w:i/>
          <w:iCs/>
          <w:sz w:val="20"/>
          <w:szCs w:val="20"/>
        </w:rPr>
      </w:pPr>
      <w:r>
        <w:rPr>
          <w:rFonts w:cs="Tahoma" w:ascii="Tahoma" w:hAnsi="Tahoma"/>
          <w:i/>
          <w:iCs/>
          <w:sz w:val="20"/>
          <w:szCs w:val="20"/>
        </w:rPr>
      </w:r>
    </w:p>
    <w:p>
      <w:pPr>
        <w:pStyle w:val="Normal"/>
        <w:keepNext w:val="true"/>
        <w:numPr>
          <w:ilvl w:val="0"/>
          <w:numId w:val="0"/>
        </w:numPr>
        <w:tabs>
          <w:tab w:val="clear" w:pos="708"/>
          <w:tab w:val="left" w:pos="0" w:leader="none"/>
        </w:tabs>
        <w:ind w:left="708" w:hanging="0"/>
        <w:jc w:val="both"/>
        <w:outlineLvl w:val="1"/>
        <w:rPr>
          <w:rFonts w:ascii="Tahoma" w:hAnsi="Tahoma" w:cs="Tahoma"/>
          <w:b/>
          <w:b/>
          <w:bCs/>
          <w:i/>
          <w:i/>
          <w:iCs/>
          <w:sz w:val="20"/>
          <w:szCs w:val="20"/>
        </w:rPr>
      </w:pPr>
      <w:r>
        <w:rPr>
          <w:rFonts w:cs="Tahoma" w:ascii="Tahoma" w:hAnsi="Tahoma"/>
          <w:b/>
          <w:bCs/>
          <w:i/>
          <w:iCs/>
          <w:sz w:val="20"/>
          <w:szCs w:val="20"/>
        </w:rPr>
        <w:t>“</w:t>
      </w:r>
      <w:r>
        <w:rPr>
          <w:rFonts w:cs="Tahoma" w:ascii="Tahoma" w:hAnsi="Tahoma"/>
          <w:b/>
          <w:bCs/>
          <w:i/>
          <w:iCs/>
          <w:sz w:val="20"/>
          <w:szCs w:val="20"/>
        </w:rPr>
        <w:t xml:space="preserve">Se acordó: 1.) </w:t>
      </w:r>
      <w:r>
        <w:rPr>
          <w:rFonts w:cs="Tahoma" w:ascii="Tahoma" w:hAnsi="Tahoma"/>
          <w:bCs/>
          <w:i/>
          <w:iCs/>
          <w:sz w:val="20"/>
          <w:szCs w:val="20"/>
        </w:rPr>
        <w:t xml:space="preserve">Devolver el informe N° 328-PLA-OI-PE-2019 del 8 de marzo del 2019 a la Dirección de Planificación, para que actualice los datos contenidos en el citado informe. </w:t>
      </w:r>
      <w:r>
        <w:rPr>
          <w:rFonts w:cs="Tahoma" w:ascii="Tahoma" w:hAnsi="Tahoma"/>
          <w:b/>
          <w:bCs/>
          <w:i/>
          <w:iCs/>
          <w:sz w:val="20"/>
          <w:szCs w:val="20"/>
        </w:rPr>
        <w:t>2.)</w:t>
      </w:r>
      <w:r>
        <w:rPr>
          <w:rFonts w:cs="Tahoma" w:ascii="Tahoma" w:hAnsi="Tahoma"/>
          <w:bCs/>
          <w:i/>
          <w:iCs/>
          <w:sz w:val="20"/>
          <w:szCs w:val="20"/>
        </w:rPr>
        <w:t xml:space="preserve"> Solicitar a la Subcomisión de Acceso a la Justicia para Pueblos Indígenas y a la Fiscalía General de la República, un criterio de la situación actual de la atención de los asuntos indígenas en la localidad Buenos Aires. </w:t>
      </w:r>
      <w:r>
        <w:rPr>
          <w:rFonts w:cs="Tahoma" w:ascii="Tahoma" w:hAnsi="Tahoma"/>
          <w:b/>
          <w:bCs/>
          <w:i/>
          <w:iCs/>
          <w:sz w:val="20"/>
          <w:szCs w:val="20"/>
        </w:rPr>
        <w:t>3.)</w:t>
      </w:r>
      <w:r>
        <w:rPr>
          <w:rFonts w:cs="Tahoma" w:ascii="Tahoma" w:hAnsi="Tahoma"/>
          <w:bCs/>
          <w:i/>
          <w:iCs/>
          <w:sz w:val="20"/>
          <w:szCs w:val="20"/>
        </w:rPr>
        <w:t xml:space="preserve"> Hacer este acuerdo de conocimiento del</w:t>
      </w:r>
      <w:r>
        <w:rPr>
          <w:rFonts w:cs="Tahoma" w:ascii="Tahoma" w:hAnsi="Tahoma"/>
          <w:i/>
          <w:iCs/>
          <w:sz w:val="20"/>
          <w:szCs w:val="20"/>
        </w:rPr>
        <w:t xml:space="preserve"> </w:t>
      </w:r>
      <w:r>
        <w:rPr>
          <w:rFonts w:cs="Tahoma" w:ascii="Tahoma" w:hAnsi="Tahoma"/>
          <w:bCs/>
          <w:i/>
          <w:iCs/>
          <w:sz w:val="20"/>
          <w:szCs w:val="20"/>
        </w:rPr>
        <w:t>Tribunal Penal del Primer Circuito Judicial de la Zona Sur, del Juzgado Penal del Primer Circuito Judicial de la Zona Sur, del Ministerio Público y la Defensa Pública.</w:t>
      </w:r>
      <w:r>
        <w:rPr>
          <w:rFonts w:cs="Tahoma" w:ascii="Tahoma" w:hAnsi="Tahoma"/>
          <w:b/>
          <w:bCs/>
          <w:i/>
          <w:iCs/>
          <w:sz w:val="20"/>
          <w:szCs w:val="20"/>
        </w:rPr>
        <w:t xml:space="preserve">” </w:t>
      </w:r>
    </w:p>
    <w:p>
      <w:pPr>
        <w:pStyle w:val="Normal"/>
        <w:ind w:left="-708" w:hanging="0"/>
        <w:jc w:val="both"/>
        <w:rPr>
          <w:rFonts w:ascii="Tahoma" w:hAnsi="Tahoma" w:cs="Tahoma"/>
          <w:b/>
          <w:b/>
          <w:bCs/>
          <w:i/>
          <w:i/>
          <w:iCs/>
          <w:color w:val="000000"/>
          <w:sz w:val="20"/>
          <w:szCs w:val="20"/>
        </w:rPr>
      </w:pPr>
      <w:r>
        <w:rPr>
          <w:rFonts w:cs="Tahoma" w:ascii="Tahoma" w:hAnsi="Tahoma"/>
          <w:b/>
          <w:bCs/>
          <w:i/>
          <w:iCs/>
          <w:color w:val="000000"/>
          <w:sz w:val="20"/>
          <w:szCs w:val="20"/>
        </w:rPr>
      </w:r>
    </w:p>
    <w:p>
      <w:pPr>
        <w:pStyle w:val="Normal"/>
        <w:jc w:val="both"/>
        <w:rPr>
          <w:rFonts w:ascii="Tahoma" w:hAnsi="Tahoma" w:cs="Tahoma"/>
          <w:i/>
          <w:i/>
          <w:iCs/>
          <w:sz w:val="20"/>
          <w:szCs w:val="20"/>
        </w:rPr>
      </w:pPr>
      <w:r>
        <w:rPr>
          <w:rFonts w:cs="Tahoma" w:ascii="Tahoma" w:hAnsi="Tahoma"/>
          <w:i/>
          <w:iCs/>
          <w:sz w:val="20"/>
          <w:szCs w:val="20"/>
        </w:rPr>
        <w:t xml:space="preserve">El </w:t>
      </w:r>
      <w:r>
        <w:rPr>
          <w:rFonts w:cs="Tahoma" w:ascii="Tahoma" w:hAnsi="Tahoma"/>
          <w:bCs/>
          <w:i/>
          <w:iCs/>
          <w:sz w:val="20"/>
          <w:szCs w:val="20"/>
        </w:rPr>
        <w:t xml:space="preserve">Informe N° 328-PLA-OI-PE-2019 del 8 de marzo del 2019 fue emitido por la Dirección de Planificación con ocasión del </w:t>
      </w:r>
      <w:r>
        <w:rPr>
          <w:rFonts w:cs="Tahoma" w:ascii="Tahoma" w:hAnsi="Tahoma"/>
          <w:i/>
          <w:iCs/>
          <w:sz w:val="20"/>
          <w:szCs w:val="20"/>
        </w:rPr>
        <w:t>acuerdo tomado por el Consejo Superior en sesión celebrada el 20 de diciembre del 2016, artículo LVI, asociado al estudio para determinar la necesidad de las plazas de Fiscal Auxiliar y Técnico Judicial 2 en la Fiscalía de Buenos Aires, así como una plaza de Juez 4 para el Tribunal de la Zona Sur, un Fiscal y Defensor Público, asignada mediante permiso con goce de salario y sustitución, para atender prioritariamente los asuntos indígenas en Buenos Aires.</w:t>
      </w:r>
    </w:p>
    <w:p>
      <w:pPr>
        <w:pStyle w:val="Normal"/>
        <w:jc w:val="both"/>
        <w:rPr>
          <w:rFonts w:ascii="Tahoma" w:hAnsi="Tahoma" w:cs="Tahoma"/>
          <w:i/>
          <w:i/>
          <w:iCs/>
          <w:sz w:val="20"/>
          <w:szCs w:val="20"/>
        </w:rPr>
      </w:pPr>
      <w:r>
        <w:rPr>
          <w:rFonts w:cs="Tahoma" w:ascii="Tahoma" w:hAnsi="Tahoma"/>
          <w:i/>
          <w:iCs/>
          <w:sz w:val="20"/>
          <w:szCs w:val="20"/>
        </w:rPr>
      </w:r>
    </w:p>
    <w:p>
      <w:pPr>
        <w:pStyle w:val="Normal"/>
        <w:jc w:val="both"/>
        <w:rPr>
          <w:rFonts w:ascii="Tahoma" w:hAnsi="Tahoma" w:cs="Tahoma"/>
          <w:i/>
          <w:i/>
          <w:iCs/>
          <w:color w:val="000000"/>
          <w:sz w:val="20"/>
          <w:szCs w:val="20"/>
        </w:rPr>
      </w:pPr>
      <w:r>
        <w:rPr>
          <w:rFonts w:cs="Tahoma" w:ascii="Tahoma" w:hAnsi="Tahoma"/>
          <w:i/>
          <w:iCs/>
          <w:color w:val="000000"/>
          <w:sz w:val="20"/>
          <w:szCs w:val="20"/>
        </w:rPr>
        <w:t>Al respecto, es importante señalar que la Subcomisión de Acceso a la Justicia de Pueblos Indígenas emitió pronunciamiento, según evidencia que consta en el Oficio N° 11983-18 del 20 de noviembre del 2018 de la Secretaría General de la Corte. El acuerdo de la Subcomisión fue comunicado gracias a la colaboración de la Unidad de Acceso a la Justicia en el Oficio N° CACC-408-2018 de 16 de noviembre de 2018. En el acuerdo, la Subcomisión solicita se valore devolver la plaza de defensor y fiscal a la jurisdicción de Buenos Aires para la atención de los procesos vinculados con personas indígenas.</w:t>
      </w:r>
    </w:p>
    <w:p>
      <w:pPr>
        <w:pStyle w:val="Normal"/>
        <w:jc w:val="both"/>
        <w:rPr>
          <w:rFonts w:ascii="Tahoma" w:hAnsi="Tahoma" w:cs="Tahoma"/>
          <w:i/>
          <w:i/>
          <w:iCs/>
          <w:sz w:val="20"/>
          <w:szCs w:val="20"/>
        </w:rPr>
      </w:pPr>
      <w:r>
        <w:rPr>
          <w:rFonts w:cs="Tahoma" w:ascii="Tahoma" w:hAnsi="Tahoma"/>
          <w:i/>
          <w:iCs/>
          <w:sz w:val="20"/>
          <w:szCs w:val="20"/>
        </w:rPr>
      </w:r>
    </w:p>
    <w:p>
      <w:pPr>
        <w:pStyle w:val="Normal"/>
        <w:jc w:val="both"/>
        <w:rPr>
          <w:rFonts w:ascii="Tahoma" w:hAnsi="Tahoma" w:cs="Tahoma"/>
          <w:i/>
          <w:i/>
          <w:iCs/>
          <w:sz w:val="20"/>
          <w:szCs w:val="20"/>
        </w:rPr>
      </w:pPr>
      <w:r>
        <w:rPr>
          <w:rFonts w:cs="Tahoma" w:ascii="Tahoma" w:hAnsi="Tahoma"/>
          <w:i/>
          <w:iCs/>
          <w:sz w:val="20"/>
          <w:szCs w:val="20"/>
        </w:rPr>
        <w:t xml:space="preserve">La Dirección de Planificación en el </w:t>
      </w:r>
      <w:r>
        <w:rPr>
          <w:rFonts w:cs="Tahoma" w:ascii="Tahoma" w:hAnsi="Tahoma"/>
          <w:bCs/>
          <w:i/>
          <w:iCs/>
          <w:sz w:val="20"/>
          <w:szCs w:val="20"/>
        </w:rPr>
        <w:t>Informe N° 328-PLA-OI-PE-2019 del 8 de marzo del 2019,</w:t>
      </w:r>
      <w:r>
        <w:rPr>
          <w:rFonts w:cs="Tahoma" w:ascii="Tahoma" w:hAnsi="Tahoma"/>
          <w:i/>
          <w:iCs/>
          <w:sz w:val="20"/>
          <w:szCs w:val="20"/>
        </w:rPr>
        <w:t xml:space="preserve"> recomendó:</w:t>
      </w:r>
    </w:p>
    <w:p>
      <w:pPr>
        <w:pStyle w:val="Normal"/>
        <w:jc w:val="both"/>
        <w:rPr>
          <w:rFonts w:ascii="Tahoma" w:hAnsi="Tahoma" w:cs="Tahoma"/>
          <w:i/>
          <w:i/>
          <w:iCs/>
          <w:sz w:val="20"/>
          <w:szCs w:val="20"/>
        </w:rPr>
      </w:pPr>
      <w:r>
        <w:rPr>
          <w:rFonts w:cs="Tahoma" w:ascii="Tahoma" w:hAnsi="Tahoma"/>
          <w:i/>
          <w:iCs/>
          <w:sz w:val="20"/>
          <w:szCs w:val="20"/>
        </w:rPr>
      </w:r>
    </w:p>
    <w:p>
      <w:pPr>
        <w:pStyle w:val="Normal"/>
        <w:tabs>
          <w:tab w:val="clear" w:pos="708"/>
          <w:tab w:val="center" w:pos="4252" w:leader="none"/>
          <w:tab w:val="right" w:pos="8504" w:leader="none"/>
        </w:tabs>
        <w:ind w:firstLine="709"/>
        <w:jc w:val="both"/>
        <w:rPr>
          <w:rFonts w:ascii="Tahoma" w:hAnsi="Tahoma" w:cs="Tahoma"/>
          <w:i/>
          <w:i/>
          <w:iCs/>
          <w:sz w:val="20"/>
          <w:szCs w:val="20"/>
        </w:rPr>
      </w:pPr>
      <w:r>
        <w:rPr>
          <w:rFonts w:cs="Tahoma" w:ascii="Tahoma" w:hAnsi="Tahoma"/>
          <w:i/>
          <w:iCs/>
          <w:sz w:val="20"/>
          <w:szCs w:val="20"/>
        </w:rPr>
        <w:t>“</w:t>
      </w:r>
      <w:r>
        <w:rPr>
          <w:rFonts w:cs="Tahoma" w:ascii="Tahoma" w:hAnsi="Tahoma"/>
          <w:i/>
          <w:iCs/>
          <w:sz w:val="20"/>
          <w:szCs w:val="20"/>
        </w:rPr>
        <w:t>(…)</w:t>
      </w:r>
    </w:p>
    <w:p>
      <w:pPr>
        <w:pStyle w:val="Normal"/>
        <w:tabs>
          <w:tab w:val="clear" w:pos="708"/>
          <w:tab w:val="center" w:pos="4252" w:leader="none"/>
          <w:tab w:val="right" w:pos="8504" w:leader="none"/>
        </w:tabs>
        <w:ind w:firstLine="709"/>
        <w:jc w:val="both"/>
        <w:rPr>
          <w:rFonts w:ascii="Tahoma" w:hAnsi="Tahoma" w:cs="Tahoma"/>
          <w:i/>
          <w:i/>
          <w:iCs/>
          <w:sz w:val="20"/>
          <w:szCs w:val="20"/>
        </w:rPr>
      </w:pPr>
      <w:r>
        <w:rPr>
          <w:rFonts w:cs="Tahoma" w:ascii="Tahoma" w:hAnsi="Tahoma"/>
          <w:i/>
          <w:iCs/>
          <w:sz w:val="20"/>
          <w:szCs w:val="20"/>
        </w:rPr>
      </w:r>
    </w:p>
    <w:tbl>
      <w:tblPr>
        <w:tblpPr w:bottomFromText="0" w:horzAnchor="text" w:leftFromText="141" w:rightFromText="141" w:tblpX="-210" w:tblpY="1" w:topFromText="0" w:vertAnchor="text"/>
        <w:tblW w:w="9054" w:type="dxa"/>
        <w:jc w:val="left"/>
        <w:tblInd w:w="0" w:type="dxa"/>
        <w:tblLayout w:type="fixed"/>
        <w:tblCellMar>
          <w:top w:w="0" w:type="dxa"/>
          <w:left w:w="108" w:type="dxa"/>
          <w:bottom w:w="0" w:type="dxa"/>
          <w:right w:w="108" w:type="dxa"/>
        </w:tblCellMar>
        <w:tblLook w:firstRow="1" w:noVBand="0" w:lastRow="1" w:firstColumn="1" w:lastColumn="1" w:noHBand="0" w:val="01e0"/>
      </w:tblPr>
      <w:tblGrid>
        <w:gridCol w:w="1964"/>
        <w:gridCol w:w="7089"/>
      </w:tblGrid>
      <w:tr>
        <w:trPr>
          <w:trHeight w:val="1074" w:hRule="atLeast"/>
        </w:trPr>
        <w:tc>
          <w:tcPr>
            <w:tcW w:w="1964" w:type="dxa"/>
            <w:tcBorders>
              <w:top w:val="single" w:sz="4" w:space="0" w:color="000000"/>
              <w:left w:val="single" w:sz="4" w:space="0" w:color="000000"/>
              <w:bottom w:val="single" w:sz="4" w:space="0" w:color="000000"/>
              <w:right w:val="single" w:sz="4" w:space="0" w:color="000000"/>
            </w:tcBorders>
            <w:shd w:color="auto" w:fill="C0C0C0" w:val="clear"/>
          </w:tcPr>
          <w:p>
            <w:pPr>
              <w:pStyle w:val="Normal"/>
              <w:widowControl w:val="false"/>
              <w:ind w:left="284" w:hanging="284"/>
              <w:jc w:val="both"/>
              <w:rPr>
                <w:rFonts w:ascii="Tahoma" w:hAnsi="Tahoma" w:cs="Tahoma"/>
                <w:b/>
                <w:b/>
                <w:i/>
                <w:i/>
                <w:iCs/>
                <w:sz w:val="20"/>
                <w:szCs w:val="20"/>
              </w:rPr>
            </w:pPr>
            <w:r>
              <w:rPr>
                <w:rFonts w:cs="Tahoma" w:ascii="Tahoma" w:hAnsi="Tahoma"/>
                <w:b/>
                <w:i/>
                <w:iCs/>
                <w:sz w:val="20"/>
                <w:szCs w:val="20"/>
              </w:rPr>
              <w:t>V.</w:t>
            </w:r>
          </w:p>
          <w:p>
            <w:pPr>
              <w:pStyle w:val="Normal"/>
              <w:widowControl w:val="false"/>
              <w:spacing w:before="0" w:after="200"/>
              <w:jc w:val="both"/>
              <w:rPr>
                <w:rFonts w:ascii="Tahoma" w:hAnsi="Tahoma" w:cs="Tahoma"/>
                <w:b/>
                <w:b/>
                <w:i/>
                <w:i/>
                <w:iCs/>
                <w:sz w:val="20"/>
                <w:szCs w:val="20"/>
              </w:rPr>
            </w:pPr>
            <w:r>
              <w:rPr>
                <w:rFonts w:cs="Tahoma" w:ascii="Tahoma" w:hAnsi="Tahoma"/>
                <w:b/>
                <w:i/>
                <w:iCs/>
                <w:sz w:val="20"/>
                <w:szCs w:val="20"/>
              </w:rPr>
              <w:t>Recomendaciones</w:t>
            </w:r>
          </w:p>
        </w:tc>
        <w:tc>
          <w:tcPr>
            <w:tcW w:w="7089"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Cs/>
                <w:i/>
                <w:i/>
                <w:iCs/>
                <w:sz w:val="20"/>
                <w:szCs w:val="20"/>
              </w:rPr>
            </w:pPr>
            <w:r>
              <w:rPr>
                <w:rFonts w:cs="Tahoma" w:ascii="Tahoma" w:hAnsi="Tahoma"/>
                <w:bCs/>
                <w:i/>
                <w:iCs/>
                <w:sz w:val="20"/>
                <w:szCs w:val="20"/>
              </w:rPr>
              <w:t>Por lo anterior, se recomienda lo siguiente:</w:t>
            </w:r>
          </w:p>
          <w:p>
            <w:pPr>
              <w:pStyle w:val="Normal"/>
              <w:widowControl w:val="false"/>
              <w:jc w:val="both"/>
              <w:rPr>
                <w:rFonts w:ascii="Tahoma" w:hAnsi="Tahoma" w:cs="Tahoma"/>
                <w:b/>
                <w:b/>
                <w:bCs/>
                <w:i/>
                <w:i/>
                <w:iCs/>
                <w:sz w:val="20"/>
                <w:szCs w:val="20"/>
              </w:rPr>
            </w:pPr>
            <w:r>
              <w:rPr>
                <w:rFonts w:cs="Tahoma" w:ascii="Tahoma" w:hAnsi="Tahoma"/>
                <w:b/>
                <w:bCs/>
                <w:i/>
                <w:iCs/>
                <w:sz w:val="20"/>
                <w:szCs w:val="20"/>
              </w:rPr>
              <w:t>Fiscalía de Buenos Aires</w:t>
            </w:r>
          </w:p>
          <w:p>
            <w:pPr>
              <w:pStyle w:val="Normal"/>
              <w:widowControl w:val="false"/>
              <w:jc w:val="both"/>
              <w:rPr>
                <w:rFonts w:ascii="Tahoma" w:hAnsi="Tahoma" w:cs="Tahoma"/>
                <w:bCs/>
                <w:i/>
                <w:i/>
                <w:iCs/>
                <w:sz w:val="20"/>
                <w:szCs w:val="20"/>
              </w:rPr>
            </w:pPr>
            <w:r>
              <w:rPr>
                <w:rFonts w:cs="Tahoma" w:ascii="Tahoma" w:hAnsi="Tahoma"/>
                <w:b/>
                <w:bCs/>
                <w:i/>
                <w:iCs/>
                <w:sz w:val="20"/>
                <w:szCs w:val="20"/>
              </w:rPr>
              <w:t>5.1.-</w:t>
            </w:r>
            <w:r>
              <w:rPr>
                <w:rFonts w:cs="Tahoma" w:ascii="Tahoma" w:hAnsi="Tahoma"/>
                <w:bCs/>
                <w:i/>
                <w:iCs/>
                <w:sz w:val="20"/>
                <w:szCs w:val="20"/>
              </w:rPr>
              <w:t>En cuanto a la necesidad de las plazas de Fiscal Auxiliar y Técnico Judicial 2 asignadas con permiso con goce de salario y sustitución para atender el ejercicio de la acción penal de los posibles delitos de usurpación de tierras en los territorios indígenas del Cantón de Buenos Aires, y en atención de la medida cautelar impuesta por la Corte Interamericana al Estado costarricense, esta Dirección no puede recomendar su creación en virtud de algunos conceptos, a saber:</w:t>
            </w:r>
          </w:p>
          <w:p>
            <w:pPr>
              <w:pStyle w:val="Normal"/>
              <w:widowControl w:val="false"/>
              <w:numPr>
                <w:ilvl w:val="3"/>
                <w:numId w:val="34"/>
              </w:numPr>
              <w:spacing w:lineRule="auto" w:line="240" w:before="0" w:after="0"/>
              <w:ind w:left="595" w:hanging="142"/>
              <w:jc w:val="both"/>
              <w:rPr>
                <w:rFonts w:ascii="Tahoma" w:hAnsi="Tahoma" w:cs="Tahoma"/>
                <w:bCs/>
                <w:i/>
                <w:i/>
                <w:iCs/>
                <w:sz w:val="20"/>
                <w:szCs w:val="20"/>
              </w:rPr>
            </w:pPr>
            <w:r>
              <w:rPr>
                <w:rFonts w:cs="Tahoma" w:ascii="Tahoma" w:hAnsi="Tahoma"/>
                <w:bCs/>
                <w:i/>
                <w:iCs/>
                <w:sz w:val="20"/>
                <w:szCs w:val="20"/>
              </w:rPr>
              <w:t>Al igual que en estudios anteriores, se ha determinado que la carga de trabajo no justifica plenamente la creación de los recursos que se han venido desempeñando, tanto en la Fiscalía de Buenos Aires, como en el I Circuito Judicial de la Zona Sur.</w:t>
            </w:r>
          </w:p>
          <w:p>
            <w:pPr>
              <w:pStyle w:val="Normal"/>
              <w:widowControl w:val="false"/>
              <w:numPr>
                <w:ilvl w:val="3"/>
                <w:numId w:val="34"/>
              </w:numPr>
              <w:spacing w:lineRule="auto" w:line="240" w:before="0" w:after="0"/>
              <w:ind w:left="595" w:hanging="77"/>
              <w:jc w:val="both"/>
              <w:rPr>
                <w:rFonts w:ascii="Tahoma" w:hAnsi="Tahoma" w:cs="Tahoma"/>
                <w:bCs/>
                <w:i/>
                <w:i/>
                <w:iCs/>
                <w:sz w:val="20"/>
                <w:szCs w:val="20"/>
              </w:rPr>
            </w:pPr>
            <w:r>
              <w:rPr>
                <w:rFonts w:cs="Tahoma" w:ascii="Tahoma" w:hAnsi="Tahoma"/>
                <w:bCs/>
                <w:i/>
                <w:iCs/>
                <w:sz w:val="20"/>
                <w:szCs w:val="20"/>
              </w:rPr>
              <w:t>La coyuntura presupuestaria de la Institución y las limitaciones existentes a nivel de las propuestas para crear permisos con goces de salario.</w:t>
            </w:r>
          </w:p>
          <w:p>
            <w:pPr>
              <w:pStyle w:val="NormalWeb"/>
              <w:widowControl w:val="false"/>
              <w:spacing w:before="0" w:after="0"/>
              <w:ind w:right="23" w:hanging="0"/>
              <w:jc w:val="both"/>
              <w:rPr>
                <w:rFonts w:ascii="Tahoma" w:hAnsi="Tahoma" w:cs="Tahoma"/>
                <w:bCs/>
                <w:i/>
                <w:i/>
                <w:iCs/>
                <w:sz w:val="20"/>
                <w:szCs w:val="20"/>
              </w:rPr>
            </w:pPr>
            <w:r>
              <w:rPr>
                <w:rFonts w:cs="Tahoma" w:ascii="Tahoma" w:hAnsi="Tahoma"/>
                <w:bCs/>
                <w:i/>
                <w:iCs/>
                <w:sz w:val="20"/>
                <w:szCs w:val="20"/>
              </w:rPr>
              <w:t>A pesar de lo anterior, esta Dirección también es consciente de la importancia de atender con prioridad los asuntos en los que están involucrados grupos vulnerables de la sociedad, como en este caso, los grupos indígenas de esas zonas. De igual forma, se reconoce el abordaje y las actividades investigativas ya realizadas por los permisos concedidos en el 2017 en el caso de Térraba (17-000125-634-PE), que es un territorio más amplio, por lo que se estima que se tomará más tiempo en la investigación que el caso de Salitre.  Asimismo, se es consciente de una nueva solicitud de personas indígenas y la ONG para ampliar la medida cautelar, al pueblo de Bribri de Cabagra y se debe tomar en consideración el resto de los territorios, a los cuales también hay que brindar el servicio público de administración de justicia.</w:t>
            </w:r>
          </w:p>
          <w:p>
            <w:pPr>
              <w:pStyle w:val="Normal"/>
              <w:widowControl w:val="false"/>
              <w:jc w:val="both"/>
              <w:rPr>
                <w:rFonts w:ascii="Tahoma" w:hAnsi="Tahoma" w:cs="Tahoma"/>
                <w:bCs/>
                <w:i/>
                <w:i/>
                <w:iCs/>
                <w:sz w:val="20"/>
                <w:szCs w:val="20"/>
              </w:rPr>
            </w:pPr>
            <w:r>
              <w:rPr>
                <w:rFonts w:cs="Tahoma" w:ascii="Tahoma" w:hAnsi="Tahoma"/>
                <w:bCs/>
                <w:i/>
                <w:iCs/>
                <w:sz w:val="20"/>
                <w:szCs w:val="20"/>
              </w:rPr>
              <w:t>Por lo anterior se recomienda que la Fiscalía General y la Fiscalía Adjunta de Asuntos Indígenas, valoren si existen recursos internos que puedan trasladarse a la zona de Buenos Aires, para que asuman las importantes funciones que se han venido desarrollando y en los que están involucrados los grupos indígenas de esa zona. Esta misma medida aplicaría en relación con la plaza de Fiscal que se ha establecido en el I Circuito Judicial de la Zona Sur.</w:t>
            </w:r>
          </w:p>
          <w:p>
            <w:pPr>
              <w:pStyle w:val="Normal"/>
              <w:widowControl w:val="false"/>
              <w:jc w:val="both"/>
              <w:rPr>
                <w:rFonts w:ascii="Tahoma" w:hAnsi="Tahoma" w:cs="Tahoma"/>
                <w:bCs/>
                <w:i/>
                <w:i/>
                <w:iCs/>
                <w:sz w:val="20"/>
                <w:szCs w:val="20"/>
              </w:rPr>
            </w:pPr>
            <w:r>
              <w:rPr>
                <w:rFonts w:cs="Tahoma" w:ascii="Tahoma" w:hAnsi="Tahoma"/>
                <w:bCs/>
                <w:i/>
                <w:iCs/>
                <w:sz w:val="20"/>
                <w:szCs w:val="20"/>
              </w:rPr>
              <w:t>Realizar la gestión ante la Administración de Pérez Zeledón para que les brinden colaboración con el respectivo cronograma de trabajo, dado que la Fiscalía General destacó en Buenos Aires un Fiscal durante el primer trimestre del presente año para la atención de los asuntos indígenas, no así la plaza de Técnico Judicial para las labores de apoyo, razón por la cual se coordinó con la Administración.</w:t>
            </w:r>
          </w:p>
          <w:p>
            <w:pPr>
              <w:pStyle w:val="Normal"/>
              <w:widowControl w:val="false"/>
              <w:jc w:val="both"/>
              <w:rPr>
                <w:rFonts w:ascii="Tahoma" w:hAnsi="Tahoma" w:cs="Tahoma"/>
                <w:i/>
                <w:i/>
                <w:iCs/>
                <w:sz w:val="20"/>
                <w:szCs w:val="20"/>
              </w:rPr>
            </w:pPr>
            <w:r>
              <w:rPr>
                <w:rFonts w:cs="Tahoma" w:ascii="Tahoma" w:hAnsi="Tahoma"/>
                <w:b/>
                <w:bCs/>
                <w:i/>
                <w:iCs/>
                <w:sz w:val="20"/>
                <w:szCs w:val="20"/>
              </w:rPr>
              <w:t>5.2.-</w:t>
            </w:r>
            <w:r>
              <w:rPr>
                <w:rFonts w:cs="Tahoma" w:ascii="Tahoma" w:hAnsi="Tahoma"/>
                <w:i/>
                <w:iCs/>
                <w:sz w:val="20"/>
                <w:szCs w:val="20"/>
              </w:rPr>
              <w:t xml:space="preserve"> Se recomienda que la Fiscalía de Asuntos Indígenas lleve un control de las estadísticas de los asuntos indígenas por fiscalía, y a partir de la experiencia de </w:t>
            </w:r>
            <w:r>
              <w:rPr>
                <w:rFonts w:cs="Tahoma" w:ascii="Tahoma" w:hAnsi="Tahoma"/>
                <w:bCs/>
                <w:i/>
                <w:iCs/>
                <w:sz w:val="20"/>
                <w:szCs w:val="20"/>
              </w:rPr>
              <w:t>Bribri Salitre</w:t>
            </w:r>
            <w:r>
              <w:rPr>
                <w:rFonts w:cs="Tahoma" w:ascii="Tahoma" w:hAnsi="Tahoma"/>
                <w:i/>
                <w:iCs/>
                <w:sz w:val="20"/>
                <w:szCs w:val="20"/>
              </w:rPr>
              <w:t xml:space="preserve"> defina un cronograma de atención a los territorios indígenas en el Cantón de Buenos Aires y brinde seguimiento al proyecto. Asimismo, que rinda informes trimestrales a la Dirección de Planificación de las actividades realizadas por las plazas asignadas y el desarrollo del proyecto, con el fin de tener datos y elementos para evaluar la necesidad del recurso otorgado.</w:t>
            </w:r>
          </w:p>
          <w:p>
            <w:pPr>
              <w:pStyle w:val="Normal"/>
              <w:widowControl w:val="false"/>
              <w:jc w:val="both"/>
              <w:rPr>
                <w:rFonts w:ascii="Tahoma" w:hAnsi="Tahoma" w:cs="Tahoma"/>
                <w:b/>
                <w:b/>
                <w:bCs/>
                <w:i/>
                <w:i/>
                <w:iCs/>
                <w:sz w:val="20"/>
                <w:szCs w:val="20"/>
              </w:rPr>
            </w:pPr>
            <w:r>
              <w:rPr>
                <w:rFonts w:cs="Tahoma" w:ascii="Tahoma" w:hAnsi="Tahoma"/>
                <w:b/>
                <w:bCs/>
                <w:i/>
                <w:iCs/>
                <w:sz w:val="20"/>
                <w:szCs w:val="20"/>
              </w:rPr>
              <w:t>Tribunal del Primer Circuito Judicial de la Zona Sur</w:t>
            </w:r>
          </w:p>
          <w:p>
            <w:pPr>
              <w:pStyle w:val="Normal"/>
              <w:widowControl w:val="false"/>
              <w:jc w:val="both"/>
              <w:rPr>
                <w:rFonts w:ascii="Tahoma" w:hAnsi="Tahoma" w:cs="Tahoma"/>
                <w:i/>
                <w:i/>
                <w:iCs/>
                <w:sz w:val="20"/>
                <w:szCs w:val="20"/>
              </w:rPr>
            </w:pPr>
            <w:r>
              <w:rPr>
                <w:rFonts w:cs="Tahoma" w:ascii="Tahoma" w:hAnsi="Tahoma"/>
                <w:b/>
                <w:i/>
                <w:iCs/>
                <w:sz w:val="20"/>
                <w:szCs w:val="20"/>
              </w:rPr>
              <w:t>5.3.-</w:t>
            </w:r>
            <w:r>
              <w:rPr>
                <w:rFonts w:cs="Tahoma" w:ascii="Tahoma" w:hAnsi="Tahoma"/>
                <w:i/>
                <w:iCs/>
                <w:sz w:val="20"/>
                <w:szCs w:val="20"/>
              </w:rPr>
              <w:t xml:space="preserve"> Después del análisis de carga de trabajo, la Dirección de Planificación reitera la recomendación emitida en el informe anterior de NO recomendar la propuesta del Tribunal del Primer Circuito Judicial de la Zona Sur, en cuanto a nombrar otra jueza o juez en forma permanente en Buenos Aires, con su respectiva oficina, y una sala de juicio en forma regular; a efectos de atender las apelaciones y demás vistas de los asuntos de  Buenos Aires; realizar juicios unipersonales e integrar colegio con dos profesionales de Pérez Zeledón para realizar los juicios previamente señalados.</w:t>
            </w:r>
          </w:p>
          <w:p>
            <w:pPr>
              <w:pStyle w:val="Normal"/>
              <w:widowControl w:val="false"/>
              <w:jc w:val="both"/>
              <w:rPr>
                <w:rFonts w:ascii="Tahoma" w:hAnsi="Tahoma" w:cs="Tahoma"/>
                <w:bCs/>
                <w:i/>
                <w:i/>
                <w:iCs/>
                <w:sz w:val="20"/>
                <w:szCs w:val="20"/>
              </w:rPr>
            </w:pPr>
            <w:r>
              <w:rPr>
                <w:rFonts w:cs="Tahoma" w:ascii="Tahoma" w:hAnsi="Tahoma"/>
                <w:b/>
                <w:bCs/>
                <w:i/>
                <w:iCs/>
                <w:sz w:val="20"/>
                <w:szCs w:val="20"/>
              </w:rPr>
              <w:t>5.4.-</w:t>
            </w:r>
            <w:r>
              <w:rPr>
                <w:rFonts w:cs="Tahoma" w:ascii="Tahoma" w:hAnsi="Tahoma"/>
                <w:bCs/>
                <w:i/>
                <w:iCs/>
                <w:sz w:val="20"/>
                <w:szCs w:val="20"/>
              </w:rPr>
              <w:t xml:space="preserve"> La Defensa Pública deberá igualmente, valorar la posibilidad de un traslado de algún recurso que exista y que pueda reubicarse en esa zona para continuar con la atención de los asuntos donde están involucrados los grupos indígenas, una vez que se lleven a cabo estudios de reestructuración y reorganización de oficinas, en caso de estimarse necesario. Sobre este tema indicó el Lic. Erick Núñez Rodríguez, Subdirector de la Defensa Pública, que de los análisis que se están realizando para redistribución de plazas de acuerdo a las necesidades institucionales y procurando asignar los recursos donde mayormente se requiere, se determinó la necesidad de atender prioritariamente la Zona de Buenos Aires.</w:t>
            </w:r>
          </w:p>
          <w:p>
            <w:pPr>
              <w:pStyle w:val="Normal"/>
              <w:widowControl w:val="false"/>
              <w:jc w:val="both"/>
              <w:rPr>
                <w:rFonts w:ascii="Tahoma" w:hAnsi="Tahoma" w:cs="Tahoma"/>
                <w:i/>
                <w:i/>
                <w:iCs/>
                <w:sz w:val="20"/>
                <w:szCs w:val="20"/>
              </w:rPr>
            </w:pPr>
            <w:r>
              <w:rPr>
                <w:rFonts w:cs="Tahoma" w:ascii="Tahoma" w:hAnsi="Tahoma"/>
                <w:b/>
                <w:i/>
                <w:iCs/>
                <w:sz w:val="20"/>
                <w:szCs w:val="20"/>
              </w:rPr>
              <w:t>5.5</w:t>
            </w:r>
            <w:r>
              <w:rPr>
                <w:rFonts w:cs="Tahoma" w:ascii="Tahoma" w:hAnsi="Tahoma"/>
                <w:i/>
                <w:iCs/>
                <w:sz w:val="20"/>
                <w:szCs w:val="20"/>
              </w:rPr>
              <w:t xml:space="preserve">.-En virtud de los inconvenientes presentados en el local que se alquila del ANDE en Buenos Aires, se recomienda a la Administración Regional de Pérez Zeledón agilizar las gestiones que actualmente realiza para que a la brevedad posible se alquile un local en el Cantón de Buenos Aires para habilitar una sala de juicios específica, que permita instalar un equipo de videoconferencia para las vistas y lecturas de sentencias desde Pérez Zeledón. </w:t>
            </w:r>
          </w:p>
          <w:p>
            <w:pPr>
              <w:pStyle w:val="Normal"/>
              <w:widowControl w:val="false"/>
              <w:jc w:val="both"/>
              <w:rPr>
                <w:rFonts w:ascii="Tahoma" w:hAnsi="Tahoma" w:cs="Tahoma"/>
                <w:i/>
                <w:i/>
                <w:iCs/>
                <w:sz w:val="20"/>
                <w:szCs w:val="20"/>
              </w:rPr>
            </w:pPr>
            <w:r>
              <w:rPr>
                <w:rFonts w:cs="Tahoma" w:ascii="Tahoma" w:hAnsi="Tahoma"/>
                <w:b/>
                <w:i/>
                <w:iCs/>
                <w:sz w:val="20"/>
                <w:szCs w:val="20"/>
              </w:rPr>
              <w:t xml:space="preserve">5.6.- </w:t>
            </w:r>
            <w:r>
              <w:rPr>
                <w:rFonts w:cs="Tahoma" w:ascii="Tahoma" w:hAnsi="Tahoma"/>
                <w:i/>
                <w:iCs/>
                <w:sz w:val="20"/>
                <w:szCs w:val="20"/>
              </w:rPr>
              <w:t xml:space="preserve">Finalmente se reitera la recomendación, en el sentido de que si el órgano superior  </w:t>
            </w:r>
            <w:r>
              <w:rPr>
                <w:rFonts w:cs="Tahoma" w:ascii="Tahoma" w:hAnsi="Tahoma"/>
                <w:b/>
                <w:i/>
                <w:iCs/>
                <w:sz w:val="20"/>
                <w:szCs w:val="20"/>
              </w:rPr>
              <w:t>estima conveniente apartarse del criterio técnico antes expuesto</w:t>
            </w:r>
            <w:r>
              <w:rPr>
                <w:rFonts w:cs="Tahoma" w:ascii="Tahoma" w:hAnsi="Tahoma"/>
                <w:i/>
                <w:iCs/>
                <w:sz w:val="20"/>
                <w:szCs w:val="20"/>
              </w:rPr>
              <w:t xml:space="preserve"> y ofrecer el servicio de administración de justicia penal en Buenos Aires (a nivel de Tribunal Penal), con la finalidad de brindar mayor accesibilidad a la población vulnerable identificada (personas indígenas),  se presentan algunas estimaciones de costos mínimos asociados con la puesta en funcionamiento de una </w:t>
            </w:r>
            <w:r>
              <w:rPr>
                <w:rFonts w:cs="Tahoma" w:ascii="Tahoma" w:hAnsi="Tahoma"/>
                <w:b/>
                <w:i/>
                <w:iCs/>
                <w:sz w:val="20"/>
                <w:szCs w:val="20"/>
              </w:rPr>
              <w:t>“Sede de Tribunal”</w:t>
            </w:r>
            <w:r>
              <w:rPr>
                <w:rFonts w:cs="Tahoma" w:ascii="Tahoma" w:hAnsi="Tahoma"/>
                <w:i/>
                <w:iCs/>
                <w:sz w:val="20"/>
                <w:szCs w:val="20"/>
              </w:rPr>
              <w:t xml:space="preserve"> en esa localidad, para asumir la atención de juicios unipersonales, apelaciones, vistas y procesos abreviados en materia Penal; esos recursos contarían con la integración de dos profesionales del Tribunal del Primer Circuito Judicial de la Zona Sur para celebrar juicios colegiados: </w:t>
            </w:r>
          </w:p>
          <w:p>
            <w:pPr>
              <w:pStyle w:val="Normal"/>
              <w:widowControl w:val="false"/>
              <w:jc w:val="both"/>
              <w:rPr>
                <w:rFonts w:ascii="Tahoma" w:hAnsi="Tahoma" w:cs="Tahoma"/>
                <w:b/>
                <w:b/>
                <w:i/>
                <w:i/>
                <w:iCs/>
                <w:sz w:val="20"/>
                <w:szCs w:val="20"/>
              </w:rPr>
            </w:pPr>
            <w:r>
              <w:rPr>
                <w:rFonts w:cs="Tahoma" w:ascii="Tahoma" w:hAnsi="Tahoma"/>
                <w:b/>
                <w:i/>
                <w:iCs/>
                <w:sz w:val="20"/>
                <w:szCs w:val="20"/>
              </w:rPr>
              <w:t>COSTOS MÍNIMOS ESTIMADOS</w:t>
            </w:r>
            <w:r>
              <w:rPr>
                <w:rStyle w:val="Ancladenotaalpie"/>
                <w:rFonts w:cs="Tahoma" w:ascii="Tahoma" w:hAnsi="Tahoma"/>
                <w:b/>
                <w:i/>
                <w:iCs/>
                <w:sz w:val="20"/>
                <w:szCs w:val="20"/>
                <w:vertAlign w:val="superscript"/>
              </w:rPr>
              <w:footnoteReference w:id="2"/>
            </w:r>
            <w:r>
              <w:rPr>
                <w:rFonts w:cs="Tahoma" w:ascii="Tahoma" w:hAnsi="Tahoma"/>
                <w:b/>
                <w:i/>
                <w:iCs/>
                <w:sz w:val="20"/>
                <w:szCs w:val="20"/>
              </w:rPr>
              <w:t>:</w:t>
            </w:r>
          </w:p>
          <w:tbl>
            <w:tblPr>
              <w:tblW w:w="1680"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979"/>
              <w:gridCol w:w="700"/>
            </w:tblGrid>
            <w:tr>
              <w:trPr>
                <w:trHeight w:val="276" w:hRule="exact"/>
              </w:trPr>
              <w:tc>
                <w:tcPr>
                  <w:tcW w:w="979" w:type="dxa"/>
                  <w:tcBorders/>
                  <w:shd w:color="auto" w:fill="auto" w:val="clear"/>
                </w:tcPr>
                <w:p>
                  <w:pPr>
                    <w:pStyle w:val="Normal"/>
                    <w:widowControl w:val="false"/>
                    <w:spacing w:before="0" w:after="200"/>
                    <w:jc w:val="both"/>
                    <w:rPr>
                      <w:rFonts w:ascii="Tahoma" w:hAnsi="Tahoma" w:cs="Tahoma"/>
                      <w:i/>
                      <w:i/>
                      <w:iCs/>
                      <w:sz w:val="20"/>
                      <w:szCs w:val="20"/>
                      <w:lang w:eastAsia="es-CR"/>
                    </w:rPr>
                  </w:pPr>
                  <w:r>
                    <w:rPr>
                      <w:rFonts w:cs="Tahoma" w:ascii="Tahoma" w:hAnsi="Tahoma"/>
                      <w:i/>
                      <w:iCs/>
                      <w:sz w:val="20"/>
                      <w:szCs w:val="20"/>
                      <w:lang w:eastAsia="es-CR"/>
                    </w:rPr>
                  </w:r>
                </w:p>
              </w:tc>
              <w:tc>
                <w:tcPr>
                  <w:tcW w:w="700" w:type="dxa"/>
                  <w:tcBorders/>
                  <w:shd w:color="auto" w:fill="auto" w:val="clear"/>
                </w:tcPr>
                <w:p>
                  <w:pPr>
                    <w:pStyle w:val="Normal"/>
                    <w:widowControl w:val="false"/>
                    <w:spacing w:before="0" w:after="200"/>
                    <w:jc w:val="both"/>
                    <w:rPr>
                      <w:rFonts w:ascii="Tahoma" w:hAnsi="Tahoma" w:cs="Tahoma"/>
                      <w:i/>
                      <w:i/>
                      <w:iCs/>
                      <w:sz w:val="20"/>
                      <w:szCs w:val="20"/>
                    </w:rPr>
                  </w:pPr>
                  <w:r>
                    <w:rPr>
                      <w:rFonts w:cs="Tahoma" w:ascii="Tahoma" w:hAnsi="Tahoma"/>
                      <w:i/>
                      <w:iCs/>
                      <w:sz w:val="20"/>
                      <w:szCs w:val="20"/>
                    </w:rPr>
                  </w:r>
                </w:p>
              </w:tc>
            </w:tr>
          </w:tbl>
          <w:p>
            <w:pPr>
              <w:pStyle w:val="Normal"/>
              <w:widowControl w:val="false"/>
              <w:numPr>
                <w:ilvl w:val="0"/>
                <w:numId w:val="32"/>
              </w:numPr>
              <w:spacing w:lineRule="auto" w:line="240" w:before="0" w:after="0"/>
              <w:jc w:val="both"/>
              <w:rPr>
                <w:rFonts w:ascii="Tahoma" w:hAnsi="Tahoma" w:cs="Tahoma"/>
                <w:i/>
                <w:i/>
                <w:iCs/>
                <w:sz w:val="20"/>
                <w:szCs w:val="20"/>
              </w:rPr>
            </w:pPr>
            <w:r>
              <w:rPr>
                <w:rFonts w:cs="Tahoma" w:ascii="Tahoma" w:hAnsi="Tahoma"/>
                <w:b/>
                <w:i/>
                <w:iCs/>
                <w:sz w:val="20"/>
                <w:szCs w:val="20"/>
              </w:rPr>
              <w:t>Estructura mínima de 5 plazas nuevas</w:t>
            </w:r>
            <w:r>
              <w:rPr>
                <w:rFonts w:cs="Tahoma" w:ascii="Tahoma" w:hAnsi="Tahoma"/>
                <w:i/>
                <w:iCs/>
                <w:sz w:val="20"/>
                <w:szCs w:val="20"/>
              </w:rPr>
              <w:t xml:space="preserve">:  </w:t>
            </w:r>
          </w:p>
          <w:p>
            <w:pPr>
              <w:pStyle w:val="Normal"/>
              <w:widowControl w:val="false"/>
              <w:jc w:val="both"/>
              <w:rPr>
                <w:rFonts w:ascii="Tahoma" w:hAnsi="Tahoma" w:cs="Tahoma"/>
                <w:i/>
                <w:i/>
                <w:iCs/>
                <w:sz w:val="20"/>
                <w:szCs w:val="20"/>
              </w:rPr>
            </w:pPr>
            <w:r>
              <w:rPr>
                <w:rFonts w:cs="Tahoma" w:ascii="Tahoma" w:hAnsi="Tahoma"/>
                <w:i/>
                <w:iCs/>
                <w:sz w:val="20"/>
                <w:szCs w:val="20"/>
              </w:rPr>
            </w:r>
          </w:p>
          <w:tbl>
            <w:tblPr>
              <w:tblW w:w="7101" w:type="dxa"/>
              <w:jc w:val="left"/>
              <w:tblInd w:w="0" w:type="dxa"/>
              <w:tblLayout w:type="fixed"/>
              <w:tblCellMar>
                <w:top w:w="0" w:type="dxa"/>
                <w:left w:w="108" w:type="dxa"/>
                <w:bottom w:w="0" w:type="dxa"/>
                <w:right w:w="108" w:type="dxa"/>
              </w:tblCellMar>
              <w:tblLook w:firstRow="1" w:noVBand="0" w:lastRow="1" w:firstColumn="1" w:lastColumn="1" w:noHBand="0" w:val="01e0"/>
            </w:tblPr>
            <w:tblGrid>
              <w:gridCol w:w="4421"/>
              <w:gridCol w:w="2679"/>
            </w:tblGrid>
            <w:tr>
              <w:trPr>
                <w:trHeight w:val="541" w:hRule="atLeast"/>
              </w:trPr>
              <w:tc>
                <w:tcPr>
                  <w:tcW w:w="4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b/>
                      <w:b/>
                      <w:i/>
                      <w:i/>
                      <w:iCs/>
                      <w:sz w:val="20"/>
                      <w:szCs w:val="20"/>
                    </w:rPr>
                  </w:pPr>
                  <w:r>
                    <w:rPr>
                      <w:rFonts w:cs="Tahoma" w:ascii="Tahoma" w:hAnsi="Tahoma"/>
                      <w:b/>
                      <w:i/>
                      <w:iCs/>
                      <w:sz w:val="20"/>
                      <w:szCs w:val="20"/>
                    </w:rPr>
                    <w:t>PUESTO</w:t>
                  </w:r>
                </w:p>
              </w:tc>
              <w:tc>
                <w:tcPr>
                  <w:tcW w:w="26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i/>
                      <w:i/>
                      <w:iCs/>
                      <w:sz w:val="20"/>
                      <w:szCs w:val="20"/>
                    </w:rPr>
                  </w:pPr>
                  <w:r>
                    <w:rPr>
                      <w:rFonts w:cs="Tahoma" w:ascii="Tahoma" w:hAnsi="Tahoma"/>
                      <w:b/>
                      <w:i/>
                      <w:iCs/>
                      <w:sz w:val="20"/>
                      <w:szCs w:val="20"/>
                    </w:rPr>
                    <w:t>COSTOS ESTIMADOS</w:t>
                  </w:r>
                </w:p>
                <w:p>
                  <w:pPr>
                    <w:pStyle w:val="Normal"/>
                    <w:widowControl w:val="false"/>
                    <w:spacing w:before="0" w:after="200"/>
                    <w:jc w:val="both"/>
                    <w:rPr>
                      <w:rFonts w:ascii="Tahoma" w:hAnsi="Tahoma" w:cs="Tahoma"/>
                      <w:b/>
                      <w:b/>
                      <w:i/>
                      <w:i/>
                      <w:iCs/>
                      <w:sz w:val="20"/>
                      <w:szCs w:val="20"/>
                    </w:rPr>
                  </w:pPr>
                  <w:r>
                    <w:rPr>
                      <w:rFonts w:cs="Tahoma" w:ascii="Tahoma" w:hAnsi="Tahoma"/>
                      <w:b/>
                      <w:i/>
                      <w:iCs/>
                      <w:sz w:val="20"/>
                      <w:szCs w:val="20"/>
                    </w:rPr>
                    <w:t>2018</w:t>
                  </w:r>
                </w:p>
              </w:tc>
            </w:tr>
            <w:tr>
              <w:trPr>
                <w:trHeight w:val="264" w:hRule="atLeast"/>
              </w:trPr>
              <w:tc>
                <w:tcPr>
                  <w:tcW w:w="4421" w:type="dxa"/>
                  <w:tcBorders>
                    <w:top w:val="single"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i/>
                      <w:i/>
                      <w:iCs/>
                      <w:sz w:val="20"/>
                      <w:szCs w:val="20"/>
                    </w:rPr>
                  </w:pPr>
                  <w:r>
                    <w:rPr>
                      <w:rFonts w:cs="Tahoma" w:ascii="Tahoma" w:hAnsi="Tahoma"/>
                      <w:i/>
                      <w:iCs/>
                      <w:sz w:val="20"/>
                      <w:szCs w:val="20"/>
                    </w:rPr>
                    <w:t>1 Jueza o Juez 4</w:t>
                  </w:r>
                </w:p>
              </w:tc>
              <w:tc>
                <w:tcPr>
                  <w:tcW w:w="2679" w:type="dxa"/>
                  <w:tcBorders>
                    <w:top w:val="single"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i/>
                      <w:i/>
                      <w:iCs/>
                      <w:sz w:val="20"/>
                      <w:szCs w:val="20"/>
                    </w:rPr>
                  </w:pPr>
                  <w:r>
                    <w:rPr>
                      <w:rFonts w:cs="Tahoma" w:ascii="Tahoma" w:hAnsi="Tahoma"/>
                      <w:i/>
                      <w:iCs/>
                      <w:sz w:val="20"/>
                      <w:szCs w:val="20"/>
                    </w:rPr>
                    <w:t>64.124.000,00</w:t>
                  </w:r>
                </w:p>
              </w:tc>
            </w:tr>
            <w:tr>
              <w:trPr>
                <w:trHeight w:val="276" w:hRule="atLeast"/>
              </w:trPr>
              <w:tc>
                <w:tcPr>
                  <w:tcW w:w="4421" w:type="dxa"/>
                  <w:tcBorders>
                    <w:top w:val="dotted"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i/>
                      <w:i/>
                      <w:iCs/>
                      <w:sz w:val="20"/>
                      <w:szCs w:val="20"/>
                    </w:rPr>
                  </w:pPr>
                  <w:r>
                    <w:rPr>
                      <w:rFonts w:cs="Tahoma" w:ascii="Tahoma" w:hAnsi="Tahoma"/>
                      <w:i/>
                      <w:iCs/>
                      <w:sz w:val="20"/>
                      <w:szCs w:val="20"/>
                    </w:rPr>
                    <w:t>1 Coordinadora o Coordinador Judicial 3</w:t>
                  </w:r>
                </w:p>
              </w:tc>
              <w:tc>
                <w:tcPr>
                  <w:tcW w:w="2679" w:type="dxa"/>
                  <w:tcBorders>
                    <w:top w:val="dotted"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i/>
                      <w:i/>
                      <w:iCs/>
                      <w:sz w:val="20"/>
                      <w:szCs w:val="20"/>
                    </w:rPr>
                  </w:pPr>
                  <w:r>
                    <w:rPr>
                      <w:rFonts w:cs="Tahoma" w:ascii="Tahoma" w:hAnsi="Tahoma"/>
                      <w:i/>
                      <w:iCs/>
                      <w:sz w:val="20"/>
                      <w:szCs w:val="20"/>
                    </w:rPr>
                    <w:t>19.060.000,00</w:t>
                  </w:r>
                </w:p>
              </w:tc>
            </w:tr>
            <w:tr>
              <w:trPr>
                <w:trHeight w:val="276" w:hRule="atLeast"/>
              </w:trPr>
              <w:tc>
                <w:tcPr>
                  <w:tcW w:w="4421" w:type="dxa"/>
                  <w:tcBorders>
                    <w:top w:val="dotted"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i/>
                      <w:i/>
                      <w:iCs/>
                      <w:sz w:val="20"/>
                      <w:szCs w:val="20"/>
                    </w:rPr>
                  </w:pPr>
                  <w:r>
                    <w:rPr>
                      <w:rFonts w:cs="Tahoma" w:ascii="Tahoma" w:hAnsi="Tahoma"/>
                      <w:i/>
                      <w:iCs/>
                      <w:sz w:val="20"/>
                      <w:szCs w:val="20"/>
                    </w:rPr>
                    <w:t>1 Técnica o Técnico Judicial 3</w:t>
                  </w:r>
                </w:p>
              </w:tc>
              <w:tc>
                <w:tcPr>
                  <w:tcW w:w="2679" w:type="dxa"/>
                  <w:tcBorders>
                    <w:top w:val="dotted"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i/>
                      <w:i/>
                      <w:iCs/>
                      <w:sz w:val="20"/>
                      <w:szCs w:val="20"/>
                    </w:rPr>
                  </w:pPr>
                  <w:r>
                    <w:rPr>
                      <w:rFonts w:cs="Tahoma" w:ascii="Tahoma" w:hAnsi="Tahoma"/>
                      <w:i/>
                      <w:iCs/>
                      <w:sz w:val="20"/>
                      <w:szCs w:val="20"/>
                    </w:rPr>
                    <w:t>16.179.000,00</w:t>
                  </w:r>
                </w:p>
              </w:tc>
            </w:tr>
            <w:tr>
              <w:trPr>
                <w:trHeight w:val="276" w:hRule="atLeast"/>
              </w:trPr>
              <w:tc>
                <w:tcPr>
                  <w:tcW w:w="4421" w:type="dxa"/>
                  <w:tcBorders>
                    <w:top w:val="dotted"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i/>
                      <w:i/>
                      <w:iCs/>
                      <w:sz w:val="20"/>
                      <w:szCs w:val="20"/>
                    </w:rPr>
                  </w:pPr>
                  <w:r>
                    <w:rPr>
                      <w:rFonts w:cs="Tahoma" w:ascii="Tahoma" w:hAnsi="Tahoma"/>
                      <w:i/>
                      <w:iCs/>
                      <w:sz w:val="20"/>
                      <w:szCs w:val="20"/>
                    </w:rPr>
                    <w:t>1 Custodia/o de Detenidas/os</w:t>
                  </w:r>
                </w:p>
              </w:tc>
              <w:tc>
                <w:tcPr>
                  <w:tcW w:w="2679" w:type="dxa"/>
                  <w:tcBorders>
                    <w:top w:val="dotted"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i/>
                      <w:i/>
                      <w:iCs/>
                      <w:sz w:val="20"/>
                      <w:szCs w:val="20"/>
                    </w:rPr>
                  </w:pPr>
                  <w:r>
                    <w:rPr>
                      <w:rFonts w:cs="Tahoma" w:ascii="Tahoma" w:hAnsi="Tahoma"/>
                      <w:i/>
                      <w:iCs/>
                      <w:sz w:val="20"/>
                      <w:szCs w:val="20"/>
                    </w:rPr>
                    <w:t>17.211.000,00</w:t>
                  </w:r>
                </w:p>
              </w:tc>
            </w:tr>
            <w:tr>
              <w:trPr>
                <w:trHeight w:val="276" w:hRule="atLeast"/>
              </w:trPr>
              <w:tc>
                <w:tcPr>
                  <w:tcW w:w="4421" w:type="dxa"/>
                  <w:tcBorders>
                    <w:top w:val="dotted"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i/>
                      <w:i/>
                      <w:iCs/>
                      <w:sz w:val="20"/>
                      <w:szCs w:val="20"/>
                    </w:rPr>
                  </w:pPr>
                  <w:r>
                    <w:rPr>
                      <w:rFonts w:cs="Tahoma" w:ascii="Tahoma" w:hAnsi="Tahoma"/>
                      <w:i/>
                      <w:iCs/>
                      <w:sz w:val="20"/>
                      <w:szCs w:val="20"/>
                    </w:rPr>
                    <w:t>1 Auxiliar de Seguridad (Guarda de Juicio)</w:t>
                  </w:r>
                </w:p>
              </w:tc>
              <w:tc>
                <w:tcPr>
                  <w:tcW w:w="2679" w:type="dxa"/>
                  <w:tcBorders>
                    <w:top w:val="dotted"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i/>
                      <w:i/>
                      <w:iCs/>
                      <w:sz w:val="20"/>
                      <w:szCs w:val="20"/>
                    </w:rPr>
                  </w:pPr>
                  <w:r>
                    <w:rPr>
                      <w:rFonts w:cs="Tahoma" w:ascii="Tahoma" w:hAnsi="Tahoma"/>
                      <w:i/>
                      <w:iCs/>
                      <w:sz w:val="20"/>
                      <w:szCs w:val="20"/>
                    </w:rPr>
                    <w:t>13.602.000,00</w:t>
                  </w:r>
                </w:p>
              </w:tc>
            </w:tr>
            <w:tr>
              <w:trPr>
                <w:trHeight w:val="276" w:hRule="atLeast"/>
              </w:trPr>
              <w:tc>
                <w:tcPr>
                  <w:tcW w:w="4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b/>
                      <w:b/>
                      <w:i/>
                      <w:i/>
                      <w:iCs/>
                      <w:sz w:val="20"/>
                      <w:szCs w:val="20"/>
                    </w:rPr>
                  </w:pPr>
                  <w:r>
                    <w:rPr>
                      <w:rFonts w:cs="Tahoma" w:ascii="Tahoma" w:hAnsi="Tahoma"/>
                      <w:b/>
                      <w:i/>
                      <w:iCs/>
                      <w:sz w:val="20"/>
                      <w:szCs w:val="20"/>
                    </w:rPr>
                    <w:t>TOTAL</w:t>
                  </w:r>
                </w:p>
              </w:tc>
              <w:tc>
                <w:tcPr>
                  <w:tcW w:w="26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b/>
                      <w:b/>
                      <w:i/>
                      <w:i/>
                      <w:iCs/>
                      <w:sz w:val="20"/>
                      <w:szCs w:val="20"/>
                    </w:rPr>
                  </w:pPr>
                  <w:r>
                    <w:rPr>
                      <w:rFonts w:cs="Tahoma" w:ascii="Tahoma" w:hAnsi="Tahoma"/>
                      <w:b/>
                      <w:i/>
                      <w:iCs/>
                      <w:sz w:val="20"/>
                      <w:szCs w:val="20"/>
                    </w:rPr>
                    <w:t>¢ 130.176.000,00</w:t>
                  </w:r>
                </w:p>
              </w:tc>
            </w:tr>
          </w:tbl>
          <w:p>
            <w:pPr>
              <w:pStyle w:val="Normal"/>
              <w:widowControl w:val="false"/>
              <w:jc w:val="both"/>
              <w:rPr>
                <w:rFonts w:ascii="Tahoma" w:hAnsi="Tahoma" w:cs="Tahoma"/>
                <w:i/>
                <w:i/>
                <w:iCs/>
                <w:sz w:val="20"/>
                <w:szCs w:val="20"/>
              </w:rPr>
            </w:pPr>
            <w:r>
              <w:rPr>
                <w:rFonts w:cs="Tahoma" w:ascii="Tahoma" w:hAnsi="Tahoma"/>
                <w:i/>
                <w:iCs/>
                <w:sz w:val="20"/>
                <w:szCs w:val="20"/>
              </w:rPr>
            </w:r>
          </w:p>
          <w:p>
            <w:pPr>
              <w:pStyle w:val="Normal"/>
              <w:widowControl w:val="false"/>
              <w:jc w:val="both"/>
              <w:rPr>
                <w:rFonts w:ascii="Tahoma" w:hAnsi="Tahoma" w:cs="Tahoma"/>
                <w:i/>
                <w:i/>
                <w:iCs/>
                <w:sz w:val="20"/>
                <w:szCs w:val="20"/>
              </w:rPr>
            </w:pPr>
            <w:r>
              <w:rPr>
                <w:rFonts w:cs="Tahoma" w:ascii="Tahoma" w:hAnsi="Tahoma"/>
                <w:i/>
                <w:iCs/>
                <w:sz w:val="20"/>
                <w:szCs w:val="20"/>
              </w:rPr>
            </w:r>
          </w:p>
          <w:p>
            <w:pPr>
              <w:pStyle w:val="Normal"/>
              <w:widowControl w:val="false"/>
              <w:numPr>
                <w:ilvl w:val="0"/>
                <w:numId w:val="32"/>
              </w:numPr>
              <w:spacing w:lineRule="auto" w:line="240" w:before="0" w:after="0"/>
              <w:jc w:val="both"/>
              <w:rPr>
                <w:rFonts w:ascii="Tahoma" w:hAnsi="Tahoma" w:cs="Tahoma"/>
                <w:i/>
                <w:i/>
                <w:iCs/>
                <w:sz w:val="20"/>
                <w:szCs w:val="20"/>
              </w:rPr>
            </w:pPr>
            <w:r>
              <w:rPr>
                <w:rFonts w:cs="Tahoma" w:ascii="Tahoma" w:hAnsi="Tahoma"/>
                <w:b/>
                <w:i/>
                <w:iCs/>
                <w:sz w:val="20"/>
                <w:szCs w:val="20"/>
              </w:rPr>
              <w:t>Mobiliario y Equipo de Oficina</w:t>
            </w:r>
            <w:r>
              <w:rPr>
                <w:rFonts w:cs="Tahoma" w:ascii="Tahoma" w:hAnsi="Tahoma"/>
                <w:i/>
                <w:iCs/>
                <w:sz w:val="20"/>
                <w:szCs w:val="20"/>
              </w:rPr>
              <w:t>:</w:t>
            </w:r>
          </w:p>
          <w:p>
            <w:pPr>
              <w:pStyle w:val="Normal"/>
              <w:widowControl w:val="false"/>
              <w:ind w:left="624" w:hanging="0"/>
              <w:jc w:val="both"/>
              <w:rPr>
                <w:rFonts w:ascii="Tahoma" w:hAnsi="Tahoma" w:cs="Tahoma"/>
                <w:i/>
                <w:i/>
                <w:iCs/>
                <w:sz w:val="20"/>
                <w:szCs w:val="20"/>
              </w:rPr>
            </w:pPr>
            <w:r>
              <w:rPr>
                <w:rFonts w:cs="Tahoma" w:ascii="Tahoma" w:hAnsi="Tahoma"/>
                <w:i/>
                <w:iCs/>
                <w:sz w:val="20"/>
                <w:szCs w:val="20"/>
              </w:rPr>
            </w:r>
          </w:p>
          <w:p>
            <w:pPr>
              <w:pStyle w:val="Normal"/>
              <w:widowControl w:val="false"/>
              <w:jc w:val="both"/>
              <w:rPr>
                <w:rFonts w:ascii="Tahoma" w:hAnsi="Tahoma" w:cs="Tahoma"/>
                <w:i/>
                <w:i/>
                <w:iCs/>
                <w:sz w:val="20"/>
                <w:szCs w:val="20"/>
              </w:rPr>
            </w:pPr>
            <w:r>
              <w:rPr>
                <w:rFonts w:cs="Tahoma" w:ascii="Tahoma" w:hAnsi="Tahoma"/>
                <w:i/>
                <w:iCs/>
                <w:sz w:val="20"/>
                <w:szCs w:val="20"/>
              </w:rPr>
            </w:r>
          </w:p>
          <w:tbl>
            <w:tblPr>
              <w:tblW w:w="7101" w:type="dxa"/>
              <w:jc w:val="left"/>
              <w:tblInd w:w="0" w:type="dxa"/>
              <w:tblLayout w:type="fixed"/>
              <w:tblCellMar>
                <w:top w:w="0" w:type="dxa"/>
                <w:left w:w="108" w:type="dxa"/>
                <w:bottom w:w="0" w:type="dxa"/>
                <w:right w:w="108" w:type="dxa"/>
              </w:tblCellMar>
              <w:tblLook w:firstRow="1" w:noVBand="0" w:lastRow="1" w:firstColumn="1" w:lastColumn="1" w:noHBand="0" w:val="01e0"/>
            </w:tblPr>
            <w:tblGrid>
              <w:gridCol w:w="4428"/>
              <w:gridCol w:w="2672"/>
            </w:tblGrid>
            <w:tr>
              <w:trPr/>
              <w:tc>
                <w:tcPr>
                  <w:tcW w:w="44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b/>
                      <w:b/>
                      <w:i/>
                      <w:i/>
                      <w:iCs/>
                      <w:sz w:val="20"/>
                      <w:szCs w:val="20"/>
                    </w:rPr>
                  </w:pPr>
                  <w:r>
                    <w:rPr>
                      <w:rFonts w:cs="Tahoma" w:ascii="Tahoma" w:hAnsi="Tahoma"/>
                      <w:b/>
                      <w:i/>
                      <w:iCs/>
                      <w:sz w:val="20"/>
                      <w:szCs w:val="20"/>
                    </w:rPr>
                    <w:t>PUESTO</w:t>
                  </w:r>
                </w:p>
              </w:tc>
              <w:tc>
                <w:tcPr>
                  <w:tcW w:w="26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i/>
                      <w:i/>
                      <w:iCs/>
                      <w:sz w:val="20"/>
                      <w:szCs w:val="20"/>
                    </w:rPr>
                  </w:pPr>
                  <w:r>
                    <w:rPr>
                      <w:rFonts w:cs="Tahoma" w:ascii="Tahoma" w:hAnsi="Tahoma"/>
                      <w:b/>
                      <w:i/>
                      <w:iCs/>
                      <w:sz w:val="20"/>
                      <w:szCs w:val="20"/>
                    </w:rPr>
                    <w:t>COSTOS ESTIMADOS</w:t>
                  </w:r>
                </w:p>
                <w:p>
                  <w:pPr>
                    <w:pStyle w:val="Normal"/>
                    <w:widowControl w:val="false"/>
                    <w:spacing w:before="0" w:after="200"/>
                    <w:jc w:val="both"/>
                    <w:rPr>
                      <w:rFonts w:ascii="Tahoma" w:hAnsi="Tahoma" w:cs="Tahoma"/>
                      <w:b/>
                      <w:b/>
                      <w:i/>
                      <w:i/>
                      <w:iCs/>
                      <w:sz w:val="20"/>
                      <w:szCs w:val="20"/>
                    </w:rPr>
                  </w:pPr>
                  <w:r>
                    <w:rPr>
                      <w:rFonts w:cs="Tahoma" w:ascii="Tahoma" w:hAnsi="Tahoma"/>
                      <w:b/>
                      <w:i/>
                      <w:iCs/>
                      <w:sz w:val="20"/>
                      <w:szCs w:val="20"/>
                    </w:rPr>
                    <w:t>2018</w:t>
                  </w:r>
                </w:p>
              </w:tc>
            </w:tr>
            <w:tr>
              <w:trPr/>
              <w:tc>
                <w:tcPr>
                  <w:tcW w:w="4428" w:type="dxa"/>
                  <w:tcBorders>
                    <w:top w:val="single"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i/>
                      <w:i/>
                      <w:iCs/>
                      <w:sz w:val="20"/>
                      <w:szCs w:val="20"/>
                    </w:rPr>
                  </w:pPr>
                  <w:r>
                    <w:rPr>
                      <w:rFonts w:cs="Tahoma" w:ascii="Tahoma" w:hAnsi="Tahoma"/>
                      <w:i/>
                      <w:iCs/>
                      <w:sz w:val="20"/>
                      <w:szCs w:val="20"/>
                    </w:rPr>
                    <w:t>1 OFICINA NUEVA (a)</w:t>
                  </w:r>
                </w:p>
              </w:tc>
              <w:tc>
                <w:tcPr>
                  <w:tcW w:w="2672" w:type="dxa"/>
                  <w:tcBorders>
                    <w:top w:val="single"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i/>
                      <w:i/>
                      <w:iCs/>
                      <w:sz w:val="20"/>
                      <w:szCs w:val="20"/>
                    </w:rPr>
                  </w:pPr>
                  <w:r>
                    <w:rPr>
                      <w:rFonts w:cs="Tahoma" w:ascii="Tahoma" w:hAnsi="Tahoma"/>
                      <w:i/>
                      <w:iCs/>
                      <w:sz w:val="20"/>
                      <w:szCs w:val="20"/>
                    </w:rPr>
                    <w:t>1.918.673,00</w:t>
                  </w:r>
                </w:p>
              </w:tc>
            </w:tr>
            <w:tr>
              <w:trPr/>
              <w:tc>
                <w:tcPr>
                  <w:tcW w:w="4428" w:type="dxa"/>
                  <w:tcBorders>
                    <w:top w:val="dotted"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i/>
                      <w:i/>
                      <w:iCs/>
                      <w:sz w:val="20"/>
                      <w:szCs w:val="20"/>
                    </w:rPr>
                  </w:pPr>
                  <w:r>
                    <w:rPr>
                      <w:rFonts w:cs="Tahoma" w:ascii="Tahoma" w:hAnsi="Tahoma"/>
                      <w:i/>
                      <w:iCs/>
                      <w:sz w:val="20"/>
                      <w:szCs w:val="20"/>
                    </w:rPr>
                    <w:t>1 Jueza o Juez 4</w:t>
                  </w:r>
                </w:p>
              </w:tc>
              <w:tc>
                <w:tcPr>
                  <w:tcW w:w="2672" w:type="dxa"/>
                  <w:tcBorders>
                    <w:top w:val="dotted"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i/>
                      <w:i/>
                      <w:iCs/>
                      <w:sz w:val="20"/>
                      <w:szCs w:val="20"/>
                    </w:rPr>
                  </w:pPr>
                  <w:r>
                    <w:rPr>
                      <w:rFonts w:cs="Tahoma" w:ascii="Tahoma" w:hAnsi="Tahoma"/>
                      <w:i/>
                      <w:iCs/>
                      <w:sz w:val="20"/>
                      <w:szCs w:val="20"/>
                    </w:rPr>
                    <w:t>846.295,00</w:t>
                  </w:r>
                </w:p>
              </w:tc>
            </w:tr>
            <w:tr>
              <w:trPr/>
              <w:tc>
                <w:tcPr>
                  <w:tcW w:w="4428" w:type="dxa"/>
                  <w:tcBorders>
                    <w:top w:val="dotted"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i/>
                      <w:i/>
                      <w:iCs/>
                      <w:sz w:val="20"/>
                      <w:szCs w:val="20"/>
                    </w:rPr>
                  </w:pPr>
                  <w:r>
                    <w:rPr>
                      <w:rFonts w:cs="Tahoma" w:ascii="Tahoma" w:hAnsi="Tahoma"/>
                      <w:i/>
                      <w:iCs/>
                      <w:sz w:val="20"/>
                      <w:szCs w:val="20"/>
                    </w:rPr>
                    <w:t>1 Coordinadora o Coordinador Judicial 3</w:t>
                  </w:r>
                </w:p>
              </w:tc>
              <w:tc>
                <w:tcPr>
                  <w:tcW w:w="2672" w:type="dxa"/>
                  <w:tcBorders>
                    <w:top w:val="dotted"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i/>
                      <w:i/>
                      <w:iCs/>
                      <w:sz w:val="20"/>
                      <w:szCs w:val="20"/>
                    </w:rPr>
                  </w:pPr>
                  <w:r>
                    <w:rPr>
                      <w:rFonts w:cs="Tahoma" w:ascii="Tahoma" w:hAnsi="Tahoma"/>
                      <w:i/>
                      <w:iCs/>
                      <w:sz w:val="20"/>
                      <w:szCs w:val="20"/>
                    </w:rPr>
                    <w:t>391.398,00</w:t>
                  </w:r>
                </w:p>
              </w:tc>
            </w:tr>
            <w:tr>
              <w:trPr/>
              <w:tc>
                <w:tcPr>
                  <w:tcW w:w="4428" w:type="dxa"/>
                  <w:tcBorders>
                    <w:top w:val="dotted"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i/>
                      <w:i/>
                      <w:iCs/>
                      <w:sz w:val="20"/>
                      <w:szCs w:val="20"/>
                    </w:rPr>
                  </w:pPr>
                  <w:r>
                    <w:rPr>
                      <w:rFonts w:cs="Tahoma" w:ascii="Tahoma" w:hAnsi="Tahoma"/>
                      <w:i/>
                      <w:iCs/>
                      <w:sz w:val="20"/>
                      <w:szCs w:val="20"/>
                    </w:rPr>
                    <w:t>1 Técnica o Técnico Judicial 3</w:t>
                  </w:r>
                </w:p>
              </w:tc>
              <w:tc>
                <w:tcPr>
                  <w:tcW w:w="2672" w:type="dxa"/>
                  <w:tcBorders>
                    <w:top w:val="dotted"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i/>
                      <w:i/>
                      <w:iCs/>
                      <w:sz w:val="20"/>
                      <w:szCs w:val="20"/>
                    </w:rPr>
                  </w:pPr>
                  <w:r>
                    <w:rPr>
                      <w:rFonts w:cs="Tahoma" w:ascii="Tahoma" w:hAnsi="Tahoma"/>
                      <w:i/>
                      <w:iCs/>
                      <w:sz w:val="20"/>
                      <w:szCs w:val="20"/>
                    </w:rPr>
                    <w:t>391.398,00</w:t>
                  </w:r>
                </w:p>
              </w:tc>
            </w:tr>
            <w:tr>
              <w:trPr/>
              <w:tc>
                <w:tcPr>
                  <w:tcW w:w="4428" w:type="dxa"/>
                  <w:tcBorders>
                    <w:top w:val="dotted"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i/>
                      <w:i/>
                      <w:iCs/>
                      <w:sz w:val="20"/>
                      <w:szCs w:val="20"/>
                    </w:rPr>
                  </w:pPr>
                  <w:r>
                    <w:rPr>
                      <w:rFonts w:cs="Tahoma" w:ascii="Tahoma" w:hAnsi="Tahoma"/>
                      <w:i/>
                      <w:iCs/>
                      <w:sz w:val="20"/>
                      <w:szCs w:val="20"/>
                    </w:rPr>
                    <w:t xml:space="preserve">1 Custodio de Detenidos </w:t>
                  </w:r>
                  <w:r>
                    <w:rPr>
                      <w:rFonts w:cs="Tahoma" w:ascii="Tahoma" w:hAnsi="Tahoma"/>
                      <w:b/>
                      <w:i/>
                      <w:iCs/>
                      <w:sz w:val="20"/>
                      <w:szCs w:val="20"/>
                    </w:rPr>
                    <w:t>(b)</w:t>
                  </w:r>
                </w:p>
              </w:tc>
              <w:tc>
                <w:tcPr>
                  <w:tcW w:w="2672" w:type="dxa"/>
                  <w:tcBorders>
                    <w:top w:val="dotted"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i/>
                      <w:i/>
                      <w:iCs/>
                      <w:sz w:val="20"/>
                      <w:szCs w:val="20"/>
                    </w:rPr>
                  </w:pPr>
                  <w:r>
                    <w:rPr>
                      <w:rFonts w:cs="Tahoma" w:ascii="Tahoma" w:hAnsi="Tahoma"/>
                      <w:i/>
                      <w:iCs/>
                      <w:sz w:val="20"/>
                      <w:szCs w:val="20"/>
                    </w:rPr>
                    <w:t>2.288.449,00</w:t>
                  </w:r>
                </w:p>
              </w:tc>
            </w:tr>
            <w:tr>
              <w:trPr/>
              <w:tc>
                <w:tcPr>
                  <w:tcW w:w="4428" w:type="dxa"/>
                  <w:tcBorders>
                    <w:top w:val="dotted"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i/>
                      <w:i/>
                      <w:iCs/>
                      <w:sz w:val="20"/>
                      <w:szCs w:val="20"/>
                    </w:rPr>
                  </w:pPr>
                  <w:r>
                    <w:rPr>
                      <w:rFonts w:cs="Tahoma" w:ascii="Tahoma" w:hAnsi="Tahoma"/>
                      <w:i/>
                      <w:iCs/>
                      <w:sz w:val="20"/>
                      <w:szCs w:val="20"/>
                    </w:rPr>
                    <w:t xml:space="preserve">1 Auxiliar de Seguridad (Guarda de Juicio) </w:t>
                  </w:r>
                  <w:r>
                    <w:rPr>
                      <w:rFonts w:cs="Tahoma" w:ascii="Tahoma" w:hAnsi="Tahoma"/>
                      <w:b/>
                      <w:i/>
                      <w:iCs/>
                      <w:sz w:val="20"/>
                      <w:szCs w:val="20"/>
                    </w:rPr>
                    <w:t>(b)</w:t>
                  </w:r>
                </w:p>
              </w:tc>
              <w:tc>
                <w:tcPr>
                  <w:tcW w:w="2672" w:type="dxa"/>
                  <w:tcBorders>
                    <w:top w:val="dotted"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i/>
                      <w:i/>
                      <w:iCs/>
                      <w:sz w:val="20"/>
                      <w:szCs w:val="20"/>
                    </w:rPr>
                  </w:pPr>
                  <w:r>
                    <w:rPr>
                      <w:rFonts w:cs="Tahoma" w:ascii="Tahoma" w:hAnsi="Tahoma"/>
                      <w:i/>
                      <w:iCs/>
                      <w:sz w:val="20"/>
                      <w:szCs w:val="20"/>
                    </w:rPr>
                    <w:t>1.497.651,00</w:t>
                  </w:r>
                </w:p>
              </w:tc>
            </w:tr>
            <w:tr>
              <w:trPr/>
              <w:tc>
                <w:tcPr>
                  <w:tcW w:w="44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b/>
                      <w:b/>
                      <w:i/>
                      <w:i/>
                      <w:iCs/>
                      <w:sz w:val="20"/>
                      <w:szCs w:val="20"/>
                    </w:rPr>
                  </w:pPr>
                  <w:r>
                    <w:rPr>
                      <w:rFonts w:cs="Tahoma" w:ascii="Tahoma" w:hAnsi="Tahoma"/>
                      <w:b/>
                      <w:i/>
                      <w:iCs/>
                      <w:sz w:val="20"/>
                      <w:szCs w:val="20"/>
                    </w:rPr>
                    <w:t>TOTAL</w:t>
                  </w:r>
                </w:p>
              </w:tc>
              <w:tc>
                <w:tcPr>
                  <w:tcW w:w="26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b/>
                      <w:b/>
                      <w:i/>
                      <w:i/>
                      <w:iCs/>
                      <w:sz w:val="20"/>
                      <w:szCs w:val="20"/>
                    </w:rPr>
                  </w:pPr>
                  <w:r>
                    <w:rPr>
                      <w:rFonts w:cs="Tahoma" w:ascii="Tahoma" w:hAnsi="Tahoma"/>
                      <w:b/>
                      <w:i/>
                      <w:iCs/>
                      <w:sz w:val="20"/>
                      <w:szCs w:val="20"/>
                    </w:rPr>
                    <w:t>¢ 7.333.864,00</w:t>
                  </w:r>
                </w:p>
              </w:tc>
            </w:tr>
          </w:tbl>
          <w:p>
            <w:pPr>
              <w:pStyle w:val="Normal"/>
              <w:widowControl w:val="false"/>
              <w:ind w:left="180" w:right="772" w:hanging="0"/>
              <w:jc w:val="both"/>
              <w:rPr>
                <w:rFonts w:ascii="Tahoma" w:hAnsi="Tahoma" w:cs="Tahoma"/>
                <w:i/>
                <w:i/>
                <w:iCs/>
                <w:sz w:val="20"/>
                <w:szCs w:val="20"/>
              </w:rPr>
            </w:pPr>
            <w:r>
              <w:rPr>
                <w:rFonts w:cs="Tahoma" w:ascii="Tahoma" w:hAnsi="Tahoma"/>
                <w:b/>
                <w:i/>
                <w:iCs/>
                <w:sz w:val="20"/>
                <w:szCs w:val="20"/>
              </w:rPr>
              <w:t>NOTAS: (a)</w:t>
            </w:r>
            <w:r>
              <w:rPr>
                <w:rFonts w:cs="Tahoma" w:ascii="Tahoma" w:hAnsi="Tahoma"/>
                <w:i/>
                <w:iCs/>
                <w:sz w:val="20"/>
                <w:szCs w:val="20"/>
              </w:rPr>
              <w:t xml:space="preserve"> Incluye 1 Reloj de pared, 6 Sillas de espera (visita), 3 Archivadores metal tipo legal 4 gavetas, 2 Ventiladores de pared, 2 Bibliotecas de metal y 4 Butacas de 4 plazas.  </w:t>
            </w:r>
            <w:r>
              <w:rPr>
                <w:rFonts w:cs="Tahoma" w:ascii="Tahoma" w:hAnsi="Tahoma"/>
                <w:b/>
                <w:i/>
                <w:iCs/>
                <w:sz w:val="20"/>
                <w:szCs w:val="20"/>
              </w:rPr>
              <w:t>(b)</w:t>
            </w:r>
            <w:r>
              <w:rPr>
                <w:rFonts w:cs="Tahoma" w:ascii="Tahoma" w:hAnsi="Tahoma"/>
                <w:i/>
                <w:iCs/>
                <w:sz w:val="20"/>
                <w:szCs w:val="20"/>
              </w:rPr>
              <w:t xml:space="preserve"> Costos de equipamiento básico.</w:t>
            </w:r>
          </w:p>
          <w:p>
            <w:pPr>
              <w:pStyle w:val="Normal"/>
              <w:widowControl w:val="false"/>
              <w:numPr>
                <w:ilvl w:val="0"/>
                <w:numId w:val="32"/>
              </w:numPr>
              <w:spacing w:lineRule="auto" w:line="240" w:before="0" w:after="0"/>
              <w:jc w:val="both"/>
              <w:rPr>
                <w:rFonts w:ascii="Tahoma" w:hAnsi="Tahoma" w:cs="Tahoma"/>
                <w:i/>
                <w:i/>
                <w:iCs/>
                <w:sz w:val="20"/>
                <w:szCs w:val="20"/>
              </w:rPr>
            </w:pPr>
            <w:r>
              <w:rPr>
                <w:rFonts w:cs="Tahoma" w:ascii="Tahoma" w:hAnsi="Tahoma"/>
                <w:b/>
                <w:i/>
                <w:iCs/>
                <w:sz w:val="20"/>
                <w:szCs w:val="20"/>
              </w:rPr>
              <w:t>Alquiler de local</w:t>
            </w:r>
            <w:r>
              <w:rPr>
                <w:rFonts w:cs="Tahoma" w:ascii="Tahoma" w:hAnsi="Tahoma"/>
                <w:i/>
                <w:iCs/>
                <w:sz w:val="20"/>
                <w:szCs w:val="20"/>
              </w:rPr>
              <w:t xml:space="preserve"> (para albergar al personal y habilitado con una sala de juicios considerando un área de 125 metros cuadrados): ¢ 1.500.000,00 colones por mes</w:t>
            </w:r>
            <w:r>
              <w:rPr>
                <w:rStyle w:val="Ancladenotaalpie"/>
                <w:rFonts w:cs="Tahoma" w:ascii="Tahoma" w:hAnsi="Tahoma"/>
                <w:i/>
                <w:iCs/>
                <w:sz w:val="20"/>
                <w:szCs w:val="20"/>
              </w:rPr>
              <w:footnoteReference w:id="3"/>
            </w:r>
            <w:r>
              <w:rPr>
                <w:rFonts w:cs="Tahoma" w:ascii="Tahoma" w:hAnsi="Tahoma"/>
                <w:i/>
                <w:iCs/>
                <w:sz w:val="20"/>
                <w:szCs w:val="20"/>
              </w:rPr>
              <w:t xml:space="preserve">, para </w:t>
            </w:r>
            <w:r>
              <w:rPr>
                <w:rFonts w:cs="Tahoma" w:ascii="Tahoma" w:hAnsi="Tahoma"/>
                <w:b/>
                <w:i/>
                <w:iCs/>
                <w:sz w:val="20"/>
                <w:szCs w:val="20"/>
              </w:rPr>
              <w:t>un monto anual de ¢18.000.000,00 colones</w:t>
            </w:r>
            <w:r>
              <w:rPr>
                <w:rFonts w:cs="Tahoma" w:ascii="Tahoma" w:hAnsi="Tahoma"/>
                <w:i/>
                <w:iCs/>
                <w:sz w:val="20"/>
                <w:szCs w:val="20"/>
              </w:rPr>
              <w:t xml:space="preserve">.  </w:t>
            </w:r>
          </w:p>
          <w:p>
            <w:pPr>
              <w:pStyle w:val="Normal"/>
              <w:widowControl w:val="false"/>
              <w:jc w:val="both"/>
              <w:rPr>
                <w:rFonts w:ascii="Tahoma" w:hAnsi="Tahoma" w:cs="Tahoma"/>
                <w:b/>
                <w:b/>
                <w:i/>
                <w:i/>
                <w:iCs/>
                <w:sz w:val="20"/>
                <w:szCs w:val="20"/>
              </w:rPr>
            </w:pPr>
            <w:r>
              <w:rPr>
                <w:rFonts w:cs="Tahoma" w:ascii="Tahoma" w:hAnsi="Tahoma"/>
                <w:b/>
                <w:i/>
                <w:iCs/>
                <w:sz w:val="20"/>
                <w:szCs w:val="20"/>
              </w:rPr>
              <w:t>Por tanto, los costos totales anuales estimados por habilitar una “Sede de Tribunal” en Buenos Aires serían de alrededor de ¢ 155.509.864,00 colones.</w:t>
            </w:r>
          </w:p>
          <w:p>
            <w:pPr>
              <w:pStyle w:val="Normal"/>
              <w:widowControl w:val="false"/>
              <w:jc w:val="both"/>
              <w:rPr>
                <w:rFonts w:ascii="Tahoma" w:hAnsi="Tahoma" w:cs="Tahoma"/>
                <w:i/>
                <w:i/>
                <w:iCs/>
                <w:sz w:val="20"/>
                <w:szCs w:val="20"/>
              </w:rPr>
            </w:pPr>
            <w:r>
              <w:rPr>
                <w:rFonts w:cs="Tahoma" w:ascii="Tahoma" w:hAnsi="Tahoma"/>
                <w:i/>
                <w:iCs/>
                <w:sz w:val="20"/>
                <w:szCs w:val="20"/>
              </w:rPr>
              <w:t xml:space="preserve">Adicionalmente, se debe contemplar el costo de </w:t>
            </w:r>
            <w:r>
              <w:rPr>
                <w:rFonts w:cs="Tahoma" w:ascii="Tahoma" w:hAnsi="Tahoma"/>
                <w:b/>
                <w:i/>
                <w:iCs/>
                <w:sz w:val="20"/>
                <w:szCs w:val="20"/>
              </w:rPr>
              <w:t xml:space="preserve">¢ 112.575.000,00 </w:t>
            </w:r>
            <w:r>
              <w:rPr>
                <w:rFonts w:cs="Tahoma" w:ascii="Tahoma" w:hAnsi="Tahoma"/>
                <w:i/>
                <w:iCs/>
                <w:sz w:val="20"/>
                <w:szCs w:val="20"/>
              </w:rPr>
              <w:t>correspondiente a una plaza de Fiscala o Fiscal Auxiliar (¢ 57.101.000) y una de Defensora o Defensor Público (¢ 55.474.000), para completar el equipo de trabajo.</w:t>
            </w:r>
          </w:p>
          <w:p>
            <w:pPr>
              <w:pStyle w:val="Normal"/>
              <w:widowControl w:val="false"/>
              <w:jc w:val="both"/>
              <w:rPr>
                <w:rFonts w:ascii="Tahoma" w:hAnsi="Tahoma" w:cs="Tahoma"/>
                <w:i/>
                <w:i/>
                <w:iCs/>
                <w:sz w:val="20"/>
                <w:szCs w:val="20"/>
              </w:rPr>
            </w:pPr>
            <w:r>
              <w:rPr>
                <w:rFonts w:cs="Tahoma" w:ascii="Tahoma" w:hAnsi="Tahoma"/>
                <w:i/>
                <w:iCs/>
                <w:sz w:val="20"/>
                <w:szCs w:val="20"/>
              </w:rPr>
            </w:r>
          </w:p>
          <w:p>
            <w:pPr>
              <w:pStyle w:val="Normal"/>
              <w:widowControl w:val="false"/>
              <w:jc w:val="both"/>
              <w:rPr>
                <w:rFonts w:ascii="Tahoma" w:hAnsi="Tahoma" w:cs="Tahoma"/>
                <w:i/>
                <w:i/>
                <w:iCs/>
                <w:sz w:val="20"/>
                <w:szCs w:val="20"/>
              </w:rPr>
            </w:pPr>
            <w:r>
              <w:rPr>
                <w:rFonts w:cs="Tahoma" w:ascii="Tahoma" w:hAnsi="Tahoma"/>
                <w:i/>
                <w:iCs/>
                <w:sz w:val="20"/>
                <w:szCs w:val="20"/>
              </w:rPr>
              <w:t>Cabe indicar que las recomendaciones antes expuestas fueron formuladas considerando los resultados obtenidos por la Licda. Graciela Lugo Solano, Profesional 2 (Socióloga) de la Dirección de Planificación, en el análisis sociodemográfico de la zona de Buenos Aires.</w:t>
            </w:r>
          </w:p>
          <w:p>
            <w:pPr>
              <w:pStyle w:val="Normal"/>
              <w:widowControl w:val="false"/>
              <w:jc w:val="both"/>
              <w:rPr>
                <w:rFonts w:ascii="Tahoma" w:hAnsi="Tahoma" w:cs="Tahoma"/>
                <w:b/>
                <w:b/>
                <w:i/>
                <w:i/>
                <w:iCs/>
                <w:sz w:val="20"/>
                <w:szCs w:val="20"/>
              </w:rPr>
            </w:pPr>
            <w:r>
              <w:rPr>
                <w:rFonts w:cs="Tahoma" w:ascii="Tahoma" w:hAnsi="Tahoma"/>
                <w:b/>
                <w:i/>
                <w:iCs/>
                <w:sz w:val="20"/>
                <w:szCs w:val="20"/>
              </w:rPr>
              <w:t>Relación del Informe con el Plan Estratégico del Poder Judicial 2013-2018</w:t>
            </w:r>
          </w:p>
          <w:p>
            <w:pPr>
              <w:pStyle w:val="Normal"/>
              <w:widowControl w:val="false"/>
              <w:jc w:val="both"/>
              <w:rPr>
                <w:rFonts w:ascii="Tahoma" w:hAnsi="Tahoma" w:cs="Tahoma"/>
                <w:i/>
                <w:i/>
                <w:iCs/>
                <w:sz w:val="20"/>
                <w:szCs w:val="20"/>
              </w:rPr>
            </w:pPr>
            <w:r>
              <w:rPr>
                <w:rFonts w:cs="Tahoma" w:ascii="Tahoma" w:hAnsi="Tahoma"/>
                <w:i/>
                <w:iCs/>
                <w:sz w:val="20"/>
                <w:szCs w:val="20"/>
              </w:rPr>
              <w:t>Las recomendaciones antes expuestas están en concordancia con el tema Nº 7 del Plan Estratégico Institucional, para el período 2013-2018, que indica:</w:t>
            </w:r>
          </w:p>
          <w:p>
            <w:pPr>
              <w:pStyle w:val="Normal"/>
              <w:widowControl w:val="false"/>
              <w:ind w:left="540" w:right="380" w:hanging="0"/>
              <w:jc w:val="both"/>
              <w:rPr>
                <w:rFonts w:ascii="Tahoma" w:hAnsi="Tahoma" w:cs="Tahoma"/>
                <w:i/>
                <w:i/>
                <w:iCs/>
                <w:sz w:val="20"/>
                <w:szCs w:val="20"/>
              </w:rPr>
            </w:pPr>
            <w:r>
              <w:rPr>
                <w:rFonts w:cs="Tahoma" w:ascii="Tahoma" w:hAnsi="Tahoma"/>
                <w:b/>
                <w:bCs/>
                <w:i/>
                <w:iCs/>
                <w:sz w:val="20"/>
                <w:szCs w:val="20"/>
              </w:rPr>
              <w:t>“</w:t>
            </w:r>
            <w:r>
              <w:rPr>
                <w:rFonts w:cs="Tahoma" w:ascii="Tahoma" w:hAnsi="Tahoma"/>
                <w:b/>
                <w:bCs/>
                <w:i/>
                <w:iCs/>
                <w:sz w:val="20"/>
                <w:szCs w:val="20"/>
              </w:rPr>
              <w:t>7.- Planificación institucional</w:t>
            </w:r>
          </w:p>
          <w:p>
            <w:pPr>
              <w:pStyle w:val="Normal"/>
              <w:widowControl w:val="false"/>
              <w:ind w:left="540" w:right="380" w:hanging="0"/>
              <w:jc w:val="both"/>
              <w:rPr>
                <w:rFonts w:ascii="Tahoma" w:hAnsi="Tahoma" w:cs="Tahoma"/>
                <w:i/>
                <w:i/>
                <w:iCs/>
                <w:sz w:val="20"/>
                <w:szCs w:val="20"/>
              </w:rPr>
            </w:pPr>
            <w:r>
              <w:rPr>
                <w:rFonts w:cs="Tahoma" w:ascii="Tahoma" w:hAnsi="Tahoma"/>
                <w:i/>
                <w:iCs/>
                <w:sz w:val="20"/>
                <w:szCs w:val="20"/>
              </w:rPr>
              <w:t>Maximizar el uso de los recursos y ordenar los procesos. Se hace necesario este tema a efecto de orientar la gestión judicial para dar respuestas satisfactorias de una forma ordenada, armonizando los recursos disponibles en función de las prioridades definidas.”</w:t>
            </w:r>
          </w:p>
          <w:p>
            <w:pPr>
              <w:pStyle w:val="Normal"/>
              <w:widowControl w:val="false"/>
              <w:jc w:val="both"/>
              <w:rPr>
                <w:rFonts w:ascii="Tahoma" w:hAnsi="Tahoma" w:cs="Tahoma"/>
                <w:i/>
                <w:i/>
                <w:iCs/>
                <w:sz w:val="20"/>
                <w:szCs w:val="20"/>
              </w:rPr>
            </w:pPr>
            <w:r>
              <w:rPr>
                <w:rFonts w:cs="Tahoma" w:ascii="Tahoma" w:hAnsi="Tahoma"/>
                <w:i/>
                <w:iCs/>
                <w:sz w:val="20"/>
                <w:szCs w:val="20"/>
              </w:rPr>
              <w:t>Asimismo, los planteamientos son consecuentes con los siguientes ejes transversales:</w:t>
            </w:r>
          </w:p>
          <w:p>
            <w:pPr>
              <w:pStyle w:val="Normal"/>
              <w:widowControl w:val="false"/>
              <w:numPr>
                <w:ilvl w:val="0"/>
                <w:numId w:val="33"/>
              </w:numPr>
              <w:spacing w:lineRule="auto" w:line="240" w:before="0" w:after="0"/>
              <w:jc w:val="both"/>
              <w:rPr>
                <w:rFonts w:ascii="Tahoma" w:hAnsi="Tahoma" w:cs="Tahoma"/>
                <w:i/>
                <w:i/>
                <w:iCs/>
                <w:sz w:val="20"/>
                <w:szCs w:val="20"/>
              </w:rPr>
            </w:pPr>
            <w:r>
              <w:rPr>
                <w:rFonts w:cs="Tahoma" w:ascii="Tahoma" w:hAnsi="Tahoma"/>
                <w:b/>
                <w:bCs/>
                <w:i/>
                <w:iCs/>
                <w:sz w:val="20"/>
                <w:szCs w:val="20"/>
              </w:rPr>
              <w:t>Servicio Público de Calidad.</w:t>
            </w:r>
            <w:r>
              <w:rPr>
                <w:rFonts w:cs="Tahoma" w:ascii="Tahoma" w:hAnsi="Tahoma"/>
                <w:i/>
                <w:iCs/>
                <w:sz w:val="20"/>
                <w:szCs w:val="20"/>
              </w:rPr>
              <w:t xml:space="preserve"> La propuesta tiene como fin acercar el servicio de justicia penal a las personas usuarias, y principalmente a los grupos vulnerables socialmente, del Cantón de Buenos Aires.</w:t>
            </w:r>
          </w:p>
          <w:p>
            <w:pPr>
              <w:pStyle w:val="Normal"/>
              <w:widowControl w:val="false"/>
              <w:numPr>
                <w:ilvl w:val="0"/>
                <w:numId w:val="33"/>
              </w:numPr>
              <w:spacing w:lineRule="auto" w:line="240" w:before="0" w:after="0"/>
              <w:jc w:val="both"/>
              <w:rPr>
                <w:rFonts w:ascii="Tahoma" w:hAnsi="Tahoma" w:cs="Tahoma"/>
                <w:bCs/>
                <w:i/>
                <w:i/>
                <w:iCs/>
                <w:sz w:val="20"/>
                <w:szCs w:val="20"/>
              </w:rPr>
            </w:pPr>
            <w:r>
              <w:rPr>
                <w:rFonts w:cs="Tahoma" w:ascii="Tahoma" w:hAnsi="Tahoma"/>
                <w:b/>
                <w:bCs/>
                <w:i/>
                <w:iCs/>
                <w:sz w:val="20"/>
                <w:szCs w:val="20"/>
              </w:rPr>
              <w:t>Accesibilidad.</w:t>
            </w:r>
            <w:r>
              <w:rPr>
                <w:rFonts w:cs="Tahoma" w:ascii="Tahoma" w:hAnsi="Tahoma"/>
                <w:i/>
                <w:iCs/>
                <w:sz w:val="20"/>
                <w:szCs w:val="20"/>
              </w:rPr>
              <w:t xml:space="preserve"> Existen problemas evidentes de accesibilidad en el servicio en los grupos vulnerables identificados, principalmente en las personas indígenas por las condiciones socioeconómicas en que viven y lo complejo de los traslados hasta Pérez Zeledón.</w:t>
            </w:r>
          </w:p>
        </w:tc>
      </w:tr>
      <w:tr>
        <w:trPr/>
        <w:tc>
          <w:tcPr>
            <w:tcW w:w="1964" w:type="dxa"/>
            <w:tcBorders>
              <w:top w:val="single" w:sz="4" w:space="0" w:color="000000"/>
              <w:left w:val="single" w:sz="4" w:space="0" w:color="000000"/>
              <w:bottom w:val="single" w:sz="4" w:space="0" w:color="000000"/>
              <w:right w:val="single" w:sz="4" w:space="0" w:color="000000"/>
            </w:tcBorders>
            <w:shd w:color="auto" w:fill="B3B3B3" w:val="clear"/>
            <w:vAlign w:val="center"/>
          </w:tcPr>
          <w:p>
            <w:pPr>
              <w:pStyle w:val="Normal"/>
              <w:widowControl w:val="false"/>
              <w:spacing w:before="0" w:after="200"/>
              <w:jc w:val="both"/>
              <w:rPr>
                <w:rFonts w:ascii="Tahoma" w:hAnsi="Tahoma" w:cs="Tahoma"/>
                <w:b/>
                <w:b/>
                <w:i/>
                <w:i/>
                <w:iCs/>
                <w:sz w:val="20"/>
                <w:szCs w:val="20"/>
              </w:rPr>
            </w:pPr>
            <w:r>
              <w:rPr>
                <w:rFonts w:cs="Tahoma" w:ascii="Tahoma" w:hAnsi="Tahoma"/>
                <w:b/>
                <w:i/>
                <w:iCs/>
                <w:sz w:val="20"/>
                <w:szCs w:val="20"/>
              </w:rPr>
              <w:t>Realizado por:</w:t>
            </w:r>
          </w:p>
        </w:tc>
        <w:tc>
          <w:tcPr>
            <w:tcW w:w="7089"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Cs/>
                <w:i/>
                <w:i/>
                <w:iCs/>
                <w:sz w:val="20"/>
                <w:szCs w:val="20"/>
              </w:rPr>
            </w:pPr>
            <w:r>
              <w:rPr>
                <w:rFonts w:cs="Tahoma" w:ascii="Tahoma" w:hAnsi="Tahoma"/>
                <w:bCs/>
                <w:i/>
                <w:iCs/>
                <w:sz w:val="20"/>
                <w:szCs w:val="20"/>
              </w:rPr>
              <w:t>Licda. Marlene Alpízar López, Profesional 2.</w:t>
            </w:r>
          </w:p>
          <w:p>
            <w:pPr>
              <w:pStyle w:val="Normal"/>
              <w:widowControl w:val="false"/>
              <w:spacing w:before="0" w:after="200"/>
              <w:jc w:val="both"/>
              <w:rPr>
                <w:rFonts w:ascii="Tahoma" w:hAnsi="Tahoma" w:cs="Tahoma"/>
                <w:bCs/>
                <w:i/>
                <w:i/>
                <w:iCs/>
                <w:sz w:val="20"/>
                <w:szCs w:val="20"/>
              </w:rPr>
            </w:pPr>
            <w:r>
              <w:rPr>
                <w:rFonts w:cs="Tahoma" w:ascii="Tahoma" w:hAnsi="Tahoma"/>
                <w:bCs/>
                <w:i/>
                <w:iCs/>
                <w:sz w:val="20"/>
                <w:szCs w:val="20"/>
              </w:rPr>
              <w:t>Licda. Graciela Lugo Solano, Profesional 2.</w:t>
            </w:r>
          </w:p>
        </w:tc>
      </w:tr>
      <w:tr>
        <w:trPr/>
        <w:tc>
          <w:tcPr>
            <w:tcW w:w="1964" w:type="dxa"/>
            <w:tcBorders>
              <w:top w:val="single" w:sz="4" w:space="0" w:color="000000"/>
              <w:left w:val="single" w:sz="4" w:space="0" w:color="000000"/>
              <w:bottom w:val="single" w:sz="4" w:space="0" w:color="000000"/>
              <w:right w:val="single" w:sz="4" w:space="0" w:color="000000"/>
            </w:tcBorders>
            <w:shd w:color="auto" w:fill="B3B3B3" w:val="clear"/>
            <w:vAlign w:val="center"/>
          </w:tcPr>
          <w:p>
            <w:pPr>
              <w:pStyle w:val="Normal"/>
              <w:widowControl w:val="false"/>
              <w:spacing w:before="0" w:after="200"/>
              <w:jc w:val="both"/>
              <w:rPr>
                <w:rFonts w:ascii="Tahoma" w:hAnsi="Tahoma" w:cs="Tahoma"/>
                <w:b/>
                <w:b/>
                <w:i/>
                <w:i/>
                <w:iCs/>
                <w:sz w:val="20"/>
                <w:szCs w:val="20"/>
              </w:rPr>
            </w:pPr>
            <w:r>
              <w:rPr>
                <w:rFonts w:cs="Tahoma" w:ascii="Tahoma" w:hAnsi="Tahoma"/>
                <w:b/>
                <w:i/>
                <w:iCs/>
                <w:sz w:val="20"/>
                <w:szCs w:val="20"/>
              </w:rPr>
              <w:t>Aprobado por:</w:t>
            </w:r>
          </w:p>
        </w:tc>
        <w:tc>
          <w:tcPr>
            <w:tcW w:w="7089"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Cs/>
                <w:i/>
                <w:i/>
                <w:iCs/>
                <w:sz w:val="20"/>
                <w:szCs w:val="20"/>
              </w:rPr>
            </w:pPr>
            <w:r>
              <w:rPr>
                <w:rFonts w:cs="Tahoma" w:ascii="Tahoma" w:hAnsi="Tahoma"/>
                <w:bCs/>
                <w:i/>
                <w:iCs/>
                <w:sz w:val="20"/>
                <w:szCs w:val="20"/>
              </w:rPr>
              <w:t>Licda. Ginethe Retana Ureña, Jefa del Subproceso Organización Institucional.</w:t>
            </w:r>
          </w:p>
          <w:p>
            <w:pPr>
              <w:pStyle w:val="Normal"/>
              <w:widowControl w:val="false"/>
              <w:spacing w:before="0" w:after="200"/>
              <w:jc w:val="both"/>
              <w:rPr>
                <w:rFonts w:ascii="Tahoma" w:hAnsi="Tahoma" w:cs="Tahoma"/>
                <w:bCs/>
                <w:i/>
                <w:i/>
                <w:iCs/>
                <w:sz w:val="20"/>
                <w:szCs w:val="20"/>
              </w:rPr>
            </w:pPr>
            <w:r>
              <w:rPr>
                <w:rFonts w:cs="Tahoma" w:ascii="Tahoma" w:hAnsi="Tahoma"/>
                <w:bCs/>
                <w:i/>
                <w:iCs/>
                <w:sz w:val="20"/>
                <w:szCs w:val="20"/>
              </w:rPr>
              <w:t xml:space="preserve">Máster Allan Pow Hing Cordero, Jefe del Subproceso de Planificación Estratégica. </w:t>
            </w:r>
          </w:p>
        </w:tc>
      </w:tr>
      <w:tr>
        <w:trPr/>
        <w:tc>
          <w:tcPr>
            <w:tcW w:w="1964" w:type="dxa"/>
            <w:tcBorders>
              <w:top w:val="single" w:sz="4" w:space="0" w:color="000000"/>
              <w:left w:val="single" w:sz="4" w:space="0" w:color="000000"/>
              <w:bottom w:val="single" w:sz="4" w:space="0" w:color="000000"/>
              <w:right w:val="single" w:sz="4" w:space="0" w:color="000000"/>
            </w:tcBorders>
            <w:shd w:color="auto" w:fill="B3B3B3" w:val="clear"/>
            <w:vAlign w:val="center"/>
          </w:tcPr>
          <w:p>
            <w:pPr>
              <w:pStyle w:val="Normal"/>
              <w:widowControl w:val="false"/>
              <w:spacing w:before="0" w:after="200"/>
              <w:jc w:val="both"/>
              <w:rPr>
                <w:rFonts w:ascii="Tahoma" w:hAnsi="Tahoma" w:cs="Tahoma"/>
                <w:b/>
                <w:b/>
                <w:i/>
                <w:i/>
                <w:iCs/>
                <w:sz w:val="20"/>
                <w:szCs w:val="20"/>
              </w:rPr>
            </w:pPr>
            <w:r>
              <w:rPr>
                <w:rFonts w:cs="Tahoma" w:ascii="Tahoma" w:hAnsi="Tahoma"/>
                <w:b/>
                <w:i/>
                <w:iCs/>
                <w:sz w:val="20"/>
                <w:szCs w:val="20"/>
              </w:rPr>
              <w:t>Visto bueno:</w:t>
            </w:r>
          </w:p>
        </w:tc>
        <w:tc>
          <w:tcPr>
            <w:tcW w:w="708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iCs/>
                <w:sz w:val="20"/>
                <w:szCs w:val="20"/>
              </w:rPr>
            </w:pPr>
            <w:r>
              <w:rPr>
                <w:rFonts w:cs="Tahoma" w:ascii="Tahoma" w:hAnsi="Tahoma"/>
                <w:bCs/>
                <w:i/>
                <w:iCs/>
                <w:sz w:val="20"/>
                <w:szCs w:val="20"/>
              </w:rPr>
              <w:t>Ing. Dixon Li Morales, Jefe del Proceso de Ejecución de las Operaciones.</w:t>
            </w:r>
          </w:p>
        </w:tc>
      </w:tr>
    </w:tbl>
    <w:p>
      <w:pPr>
        <w:pStyle w:val="Normal"/>
        <w:ind w:firstLine="708"/>
        <w:jc w:val="both"/>
        <w:rPr>
          <w:rFonts w:ascii="Tahoma" w:hAnsi="Tahoma" w:cs="Tahoma"/>
          <w:i/>
          <w:i/>
          <w:iCs/>
          <w:color w:val="000000"/>
          <w:sz w:val="20"/>
          <w:szCs w:val="20"/>
        </w:rPr>
      </w:pPr>
      <w:r>
        <w:rPr>
          <w:rFonts w:cs="Tahoma" w:ascii="Tahoma" w:hAnsi="Tahoma"/>
          <w:i/>
          <w:iCs/>
          <w:color w:val="000000"/>
          <w:sz w:val="20"/>
          <w:szCs w:val="20"/>
        </w:rPr>
      </w:r>
    </w:p>
    <w:p>
      <w:pPr>
        <w:pStyle w:val="Normal"/>
        <w:jc w:val="both"/>
        <w:rPr>
          <w:rFonts w:ascii="Tahoma" w:hAnsi="Tahoma" w:cs="Tahoma"/>
          <w:i/>
          <w:i/>
          <w:iCs/>
          <w:color w:val="000000"/>
          <w:sz w:val="20"/>
          <w:szCs w:val="20"/>
        </w:rPr>
      </w:pPr>
      <w:r>
        <w:rPr>
          <w:rFonts w:cs="Tahoma" w:ascii="Tahoma" w:hAnsi="Tahoma"/>
          <w:i/>
          <w:iCs/>
          <w:color w:val="000000"/>
          <w:sz w:val="20"/>
          <w:szCs w:val="20"/>
        </w:rPr>
        <w:t>Como antecedentes se citan en el Oficio en referencia los siguientes:</w:t>
      </w:r>
    </w:p>
    <w:p>
      <w:pPr>
        <w:pStyle w:val="Normal"/>
        <w:jc w:val="both"/>
        <w:rPr>
          <w:rFonts w:ascii="Tahoma" w:hAnsi="Tahoma" w:cs="Tahoma"/>
          <w:i/>
          <w:i/>
          <w:iCs/>
          <w:color w:val="000000"/>
          <w:sz w:val="20"/>
          <w:szCs w:val="20"/>
        </w:rPr>
      </w:pPr>
      <w:r>
        <w:rPr>
          <w:rFonts w:cs="Tahoma" w:ascii="Tahoma" w:hAnsi="Tahoma"/>
          <w:i/>
          <w:iCs/>
          <w:color w:val="000000"/>
          <w:sz w:val="20"/>
          <w:szCs w:val="20"/>
        </w:rPr>
      </w:r>
    </w:p>
    <w:p>
      <w:pPr>
        <w:pStyle w:val="Normal"/>
        <w:jc w:val="both"/>
        <w:rPr>
          <w:rFonts w:ascii="Tahoma" w:hAnsi="Tahoma" w:cs="Tahoma"/>
          <w:i/>
          <w:i/>
          <w:iCs/>
          <w:color w:val="000000"/>
          <w:sz w:val="20"/>
          <w:szCs w:val="20"/>
        </w:rPr>
      </w:pPr>
      <w:r>
        <w:rPr>
          <w:rFonts w:cs="Tahoma" w:ascii="Tahoma" w:hAnsi="Tahoma"/>
          <w:i/>
          <w:iCs/>
          <w:color w:val="000000"/>
          <w:sz w:val="20"/>
          <w:szCs w:val="20"/>
        </w:rPr>
        <w:t>En sesión Nº 75-16 celebrada el 9 de agosto del año 2016, artículo XXIV, se concedió permiso con goce de salario y sustitución a la plaza N° 96502 de Técnico Judicial 2 de la Fiscalía de Buenos Aires, ocupada en propiedad por el servidor Heiner Bermúdez Anchía, para que llevara a cabo las labores de apoyo al fiscal auxiliar designado para la dirección funcional y ejercicio de la acción penal de los posibles delitos de usurpación de territorio indígena, en perjuicio del pueblo indígena Bribri de Salitre en primera instancia, para luego pasar a analizar lo atinente al pueblo indígena Teribe ubicado en Térraba, cantón de Buenos Aires de Puntarenas, lo anterior a partir del 16 de agosto y hasta el 23 de diciembre del 2016.</w:t>
      </w:r>
    </w:p>
    <w:p>
      <w:pPr>
        <w:pStyle w:val="Normal"/>
        <w:ind w:firstLine="708"/>
        <w:jc w:val="both"/>
        <w:rPr>
          <w:rFonts w:ascii="Tahoma" w:hAnsi="Tahoma" w:cs="Tahoma"/>
          <w:i/>
          <w:i/>
          <w:iCs/>
          <w:color w:val="000000"/>
          <w:sz w:val="20"/>
          <w:szCs w:val="20"/>
        </w:rPr>
      </w:pPr>
      <w:r>
        <w:rPr>
          <w:rFonts w:cs="Tahoma" w:ascii="Tahoma" w:hAnsi="Tahoma"/>
          <w:i/>
          <w:iCs/>
          <w:color w:val="000000"/>
          <w:sz w:val="20"/>
          <w:szCs w:val="20"/>
        </w:rPr>
      </w:r>
    </w:p>
    <w:p>
      <w:pPr>
        <w:pStyle w:val="Normal"/>
        <w:jc w:val="both"/>
        <w:rPr>
          <w:rFonts w:ascii="Tahoma" w:hAnsi="Tahoma" w:cs="Tahoma"/>
          <w:i/>
          <w:i/>
          <w:iCs/>
          <w:color w:val="000000"/>
          <w:sz w:val="20"/>
          <w:szCs w:val="20"/>
        </w:rPr>
      </w:pPr>
      <w:r>
        <w:rPr>
          <w:rFonts w:cs="Tahoma" w:ascii="Tahoma" w:hAnsi="Tahoma"/>
          <w:i/>
          <w:iCs/>
          <w:color w:val="000000"/>
          <w:sz w:val="20"/>
          <w:szCs w:val="20"/>
        </w:rPr>
        <w:t>Posteriormente, en sesión N° 113-16 del 20 de diciembre del 2019, artículo LVI,  se prorrogó el permiso con goce de salario y sustitución a la plaza N° 96502 de Técnico Judicial 2 de la Fiscalía de Buenos Aires, ocupada por el servidor Heiner Bermúdez Anchía, y a la plaza N° 19899 de Fiscal Auxiliar de la Fiscalía de Buenos Aires, ocupada por el licenciado Esteban Ceciliano Matamoros a fin de que se dedicaran a las labores que se dieron cuenta, lo anterior a partir del 24 de diciembre del 2016 y hasta el 31 de marzo del 2017.</w:t>
      </w:r>
    </w:p>
    <w:p>
      <w:pPr>
        <w:pStyle w:val="Normal"/>
        <w:ind w:firstLine="708"/>
        <w:jc w:val="both"/>
        <w:rPr>
          <w:rFonts w:ascii="Tahoma" w:hAnsi="Tahoma" w:cs="Tahoma"/>
          <w:i/>
          <w:i/>
          <w:iCs/>
          <w:color w:val="000000"/>
          <w:sz w:val="20"/>
          <w:szCs w:val="20"/>
        </w:rPr>
      </w:pPr>
      <w:r>
        <w:rPr>
          <w:rFonts w:cs="Tahoma" w:ascii="Tahoma" w:hAnsi="Tahoma"/>
          <w:i/>
          <w:iCs/>
          <w:color w:val="000000"/>
          <w:sz w:val="20"/>
          <w:szCs w:val="20"/>
        </w:rPr>
      </w:r>
    </w:p>
    <w:p>
      <w:pPr>
        <w:pStyle w:val="Normal"/>
        <w:jc w:val="both"/>
        <w:rPr>
          <w:rFonts w:ascii="Tahoma" w:hAnsi="Tahoma" w:cs="Tahoma"/>
          <w:i/>
          <w:i/>
          <w:iCs/>
          <w:color w:val="000000"/>
          <w:sz w:val="20"/>
          <w:szCs w:val="20"/>
        </w:rPr>
      </w:pPr>
      <w:r>
        <w:rPr>
          <w:rFonts w:cs="Tahoma" w:ascii="Tahoma" w:hAnsi="Tahoma"/>
          <w:i/>
          <w:iCs/>
          <w:color w:val="000000"/>
          <w:sz w:val="20"/>
          <w:szCs w:val="20"/>
        </w:rPr>
        <w:t xml:space="preserve">Seguidamente, en sesión N° 2-17 celebrada el 12 de enero del 2017, artículo LXXVI, se concedió permiso con goce de salario y sustitución, a una plaza de Juez 4, para el Tribunal del Primer Circuito de la Zona Sur, así como a un fiscal y un defensor o defensora, para completar el equipo, a partir del 16 de enero del 2017 y hasta por tres meses y se dedicaran a las labores indicadas con el fin de dar un trato prioritario a las comunidades indígenas del cantón de Buenos Aires. </w:t>
      </w:r>
    </w:p>
    <w:p>
      <w:pPr>
        <w:pStyle w:val="Normal"/>
        <w:ind w:firstLine="708"/>
        <w:jc w:val="both"/>
        <w:rPr>
          <w:rFonts w:ascii="Tahoma" w:hAnsi="Tahoma" w:cs="Tahoma"/>
          <w:i/>
          <w:i/>
          <w:iCs/>
          <w:color w:val="000000"/>
          <w:sz w:val="20"/>
          <w:szCs w:val="20"/>
        </w:rPr>
      </w:pPr>
      <w:r>
        <w:rPr>
          <w:rFonts w:cs="Tahoma" w:ascii="Tahoma" w:hAnsi="Tahoma"/>
          <w:i/>
          <w:iCs/>
          <w:color w:val="000000"/>
          <w:sz w:val="20"/>
          <w:szCs w:val="20"/>
        </w:rPr>
      </w:r>
    </w:p>
    <w:p>
      <w:pPr>
        <w:pStyle w:val="Normal"/>
        <w:jc w:val="both"/>
        <w:rPr>
          <w:rFonts w:ascii="Tahoma" w:hAnsi="Tahoma" w:cs="Tahoma"/>
          <w:i/>
          <w:i/>
          <w:iCs/>
          <w:color w:val="000000"/>
          <w:sz w:val="20"/>
          <w:szCs w:val="20"/>
        </w:rPr>
      </w:pPr>
      <w:r>
        <w:rPr>
          <w:rFonts w:cs="Tahoma" w:ascii="Tahoma" w:hAnsi="Tahoma"/>
          <w:i/>
          <w:iCs/>
          <w:color w:val="000000"/>
          <w:sz w:val="20"/>
          <w:szCs w:val="20"/>
        </w:rPr>
        <w:t>Luego en sesión N° 29-17 del 28 de marzo del 2017, artículo LV, se prorrogó el permiso con goce de salario y sustitución a partir del 1 de abril y hasta el 31 de diciembre 2017, a las plazas N° s 96502 de Técnico Judicial 2 y 19899 de Fiscal Auxiliar, ambas de la Fiscalía de Buenos Aires, a fin de que se dedicaran a las labores que se dan cuenta.</w:t>
      </w:r>
    </w:p>
    <w:p>
      <w:pPr>
        <w:pStyle w:val="Normal"/>
        <w:ind w:firstLine="708"/>
        <w:jc w:val="both"/>
        <w:rPr>
          <w:rFonts w:ascii="Tahoma" w:hAnsi="Tahoma" w:cs="Tahoma"/>
          <w:i/>
          <w:i/>
          <w:iCs/>
          <w:color w:val="000000"/>
          <w:sz w:val="20"/>
          <w:szCs w:val="20"/>
        </w:rPr>
      </w:pPr>
      <w:r>
        <w:rPr>
          <w:rFonts w:cs="Tahoma" w:ascii="Tahoma" w:hAnsi="Tahoma"/>
          <w:i/>
          <w:iCs/>
          <w:color w:val="000000"/>
          <w:sz w:val="20"/>
          <w:szCs w:val="20"/>
        </w:rPr>
      </w:r>
    </w:p>
    <w:p>
      <w:pPr>
        <w:pStyle w:val="Normal"/>
        <w:jc w:val="both"/>
        <w:rPr>
          <w:rFonts w:ascii="Tahoma" w:hAnsi="Tahoma" w:cs="Tahoma"/>
          <w:i/>
          <w:i/>
          <w:iCs/>
          <w:color w:val="000000"/>
          <w:sz w:val="20"/>
          <w:szCs w:val="20"/>
        </w:rPr>
      </w:pPr>
      <w:r>
        <w:rPr>
          <w:rFonts w:cs="Tahoma" w:ascii="Tahoma" w:hAnsi="Tahoma"/>
          <w:i/>
          <w:iCs/>
          <w:color w:val="000000"/>
          <w:sz w:val="20"/>
          <w:szCs w:val="20"/>
        </w:rPr>
        <w:t>En sesión N° 32-17 celebrada el 4 de abril del 2017, artículo XLV, se prorrogaron los permisos con goce de salario y sustitución, a una plaza de Juez 4 y a una de Fiscal, del 17 de abril del 2017 y hasta por tres meses, para que se dedicaran a las labores indicadas con el fin de dar un trato prioritario a las comunidades indígenas del cantón de Buenos Aires.</w:t>
      </w:r>
    </w:p>
    <w:p>
      <w:pPr>
        <w:pStyle w:val="Normal"/>
        <w:ind w:firstLine="708"/>
        <w:jc w:val="both"/>
        <w:rPr>
          <w:rFonts w:ascii="Tahoma" w:hAnsi="Tahoma" w:cs="Tahoma"/>
          <w:i/>
          <w:i/>
          <w:iCs/>
          <w:color w:val="000000"/>
          <w:sz w:val="20"/>
          <w:szCs w:val="20"/>
        </w:rPr>
      </w:pPr>
      <w:r>
        <w:rPr>
          <w:rFonts w:cs="Tahoma" w:ascii="Tahoma" w:hAnsi="Tahoma"/>
          <w:i/>
          <w:iCs/>
          <w:color w:val="000000"/>
          <w:sz w:val="20"/>
          <w:szCs w:val="20"/>
        </w:rPr>
      </w:r>
    </w:p>
    <w:p>
      <w:pPr>
        <w:pStyle w:val="Normal"/>
        <w:jc w:val="both"/>
        <w:rPr>
          <w:rFonts w:ascii="Tahoma" w:hAnsi="Tahoma" w:cs="Tahoma"/>
          <w:i/>
          <w:i/>
          <w:iCs/>
          <w:color w:val="000000"/>
          <w:sz w:val="20"/>
          <w:szCs w:val="20"/>
        </w:rPr>
      </w:pPr>
      <w:r>
        <w:rPr>
          <w:rFonts w:cs="Tahoma" w:ascii="Tahoma" w:hAnsi="Tahoma"/>
          <w:i/>
          <w:iCs/>
          <w:color w:val="000000"/>
          <w:sz w:val="20"/>
          <w:szCs w:val="20"/>
        </w:rPr>
        <w:t>En sesión N° 34-17 del 5 de abril del 2017, artículo LXXXIX, se prorrogaron los permisos con goce de salario y sustitución, a una plaza de Defensor Público, del 16 de abril del 2017 y hasta por tres meses más, para que se dedicaran a las labores indicadas con el fin de dar un trato prioritario a las comunidades indígenas del cantón de Buenos Aires.</w:t>
      </w:r>
    </w:p>
    <w:p>
      <w:pPr>
        <w:pStyle w:val="Normal"/>
        <w:jc w:val="both"/>
        <w:rPr>
          <w:rFonts w:ascii="Tahoma" w:hAnsi="Tahoma" w:cs="Tahoma"/>
          <w:i/>
          <w:i/>
          <w:iCs/>
          <w:color w:val="000000"/>
          <w:sz w:val="20"/>
          <w:szCs w:val="20"/>
        </w:rPr>
      </w:pPr>
      <w:r>
        <w:rPr>
          <w:rFonts w:cs="Tahoma" w:ascii="Tahoma" w:hAnsi="Tahoma"/>
          <w:i/>
          <w:iCs/>
          <w:color w:val="000000"/>
          <w:sz w:val="20"/>
          <w:szCs w:val="20"/>
        </w:rPr>
        <w:t>Luego en sesión N° 40-17 celebrada el 27 de abril del 2017, artículo XXXVIII, se comunicó al máster Randall Quirós Soto, Jefe de la Sección de Desarrollo Organizacional de la Dirección de Planificación, que este Consejo requiere el estudio solicitado en sesión Nº 113-16 del 20 de diciembre del 2016, artículo LVI, para determinar la necesidad de mantener los permisos con goce de salario y sustitución a la plaza N° 96502 de Técnico Judicial 2 y a la plaza N° 19899 de Fiscal Auxiliar de la Fiscalía de Buenos Aires.</w:t>
      </w:r>
    </w:p>
    <w:p>
      <w:pPr>
        <w:pStyle w:val="Normal"/>
        <w:ind w:firstLine="708"/>
        <w:jc w:val="both"/>
        <w:rPr>
          <w:rFonts w:ascii="Tahoma" w:hAnsi="Tahoma" w:cs="Tahoma"/>
          <w:i/>
          <w:i/>
          <w:iCs/>
          <w:color w:val="000000"/>
          <w:sz w:val="20"/>
          <w:szCs w:val="20"/>
        </w:rPr>
      </w:pPr>
      <w:r>
        <w:rPr>
          <w:rFonts w:cs="Tahoma" w:ascii="Tahoma" w:hAnsi="Tahoma"/>
          <w:i/>
          <w:iCs/>
          <w:color w:val="000000"/>
          <w:sz w:val="20"/>
          <w:szCs w:val="20"/>
        </w:rPr>
      </w:r>
    </w:p>
    <w:p>
      <w:pPr>
        <w:pStyle w:val="Normal"/>
        <w:jc w:val="both"/>
        <w:rPr>
          <w:rFonts w:ascii="Tahoma" w:hAnsi="Tahoma" w:cs="Tahoma"/>
          <w:i/>
          <w:i/>
          <w:iCs/>
          <w:color w:val="000000"/>
          <w:sz w:val="20"/>
          <w:szCs w:val="20"/>
        </w:rPr>
      </w:pPr>
      <w:r>
        <w:rPr>
          <w:rFonts w:cs="Tahoma" w:ascii="Tahoma" w:hAnsi="Tahoma"/>
          <w:i/>
          <w:iCs/>
          <w:color w:val="000000"/>
          <w:sz w:val="20"/>
          <w:szCs w:val="20"/>
        </w:rPr>
        <w:t>Posteriormente, en sesión N° 42-17 del 4 de mayo del 2017, artículo LXIII, se tuvo por rendido el informe de la Dirección de Planificación con respecto al estudio solicitado en sesión N° 40-17 del 27 de abril del 2017, artículo XXXVIII.</w:t>
      </w:r>
    </w:p>
    <w:p>
      <w:pPr>
        <w:pStyle w:val="Normal"/>
        <w:ind w:firstLine="708"/>
        <w:jc w:val="both"/>
        <w:rPr>
          <w:rFonts w:ascii="Tahoma" w:hAnsi="Tahoma" w:cs="Tahoma"/>
          <w:i/>
          <w:i/>
          <w:iCs/>
          <w:color w:val="000000"/>
          <w:sz w:val="20"/>
          <w:szCs w:val="20"/>
        </w:rPr>
      </w:pPr>
      <w:r>
        <w:rPr>
          <w:rFonts w:cs="Tahoma" w:ascii="Tahoma" w:hAnsi="Tahoma"/>
          <w:i/>
          <w:iCs/>
          <w:color w:val="000000"/>
          <w:sz w:val="20"/>
          <w:szCs w:val="20"/>
        </w:rPr>
      </w:r>
    </w:p>
    <w:p>
      <w:pPr>
        <w:pStyle w:val="Normal"/>
        <w:jc w:val="both"/>
        <w:rPr>
          <w:rFonts w:ascii="Tahoma" w:hAnsi="Tahoma" w:cs="Tahoma"/>
          <w:i/>
          <w:i/>
          <w:iCs/>
          <w:color w:val="000000"/>
          <w:sz w:val="20"/>
          <w:szCs w:val="20"/>
        </w:rPr>
      </w:pPr>
      <w:r>
        <w:rPr>
          <w:rFonts w:cs="Tahoma" w:ascii="Tahoma" w:hAnsi="Tahoma"/>
          <w:i/>
          <w:iCs/>
          <w:color w:val="000000"/>
          <w:sz w:val="20"/>
          <w:szCs w:val="20"/>
        </w:rPr>
        <w:t>En sesión N° 63-17 del 04 de julio del 2017, artículo XCVII, se prorrogó el permiso con goce de salario y sustitución de la plaza de juez 4 asignada al Tribunal de Juicio de Pérez Zeledón, hasta el último día laboral del 2017, para que se dedicara las labores indicadas y se concedió permiso con goce de salario y sustitución a una plaza de Técnico Judicial del citado despacho, del 01 de setiembre hasta el último día laboral del 2017, siempre y cuando exista contenido presupuestario, de lo contario se instó a la administración regional del Primer Circuito Judicial de la Zona Sur, a mantener dentro de las posibilidades el técnico supernumerario a fin de que continuara con la colaboración del juzgador en los debates y vistas a realizar en el cantón de Buenos Aires.</w:t>
      </w:r>
    </w:p>
    <w:p>
      <w:pPr>
        <w:pStyle w:val="Normal"/>
        <w:ind w:firstLine="708"/>
        <w:jc w:val="both"/>
        <w:rPr>
          <w:rFonts w:ascii="Tahoma" w:hAnsi="Tahoma" w:cs="Tahoma"/>
          <w:i/>
          <w:i/>
          <w:iCs/>
          <w:color w:val="000000"/>
          <w:sz w:val="20"/>
          <w:szCs w:val="20"/>
        </w:rPr>
      </w:pPr>
      <w:r>
        <w:rPr>
          <w:rFonts w:cs="Tahoma" w:ascii="Tahoma" w:hAnsi="Tahoma"/>
          <w:i/>
          <w:iCs/>
          <w:color w:val="000000"/>
          <w:sz w:val="20"/>
          <w:szCs w:val="20"/>
        </w:rPr>
      </w:r>
    </w:p>
    <w:p>
      <w:pPr>
        <w:pStyle w:val="Normal"/>
        <w:jc w:val="both"/>
        <w:rPr>
          <w:rFonts w:ascii="Tahoma" w:hAnsi="Tahoma" w:cs="Tahoma"/>
          <w:i/>
          <w:i/>
          <w:iCs/>
          <w:color w:val="000000"/>
          <w:sz w:val="20"/>
          <w:szCs w:val="20"/>
        </w:rPr>
      </w:pPr>
      <w:r>
        <w:rPr>
          <w:rFonts w:cs="Tahoma" w:ascii="Tahoma" w:hAnsi="Tahoma"/>
          <w:i/>
          <w:iCs/>
          <w:color w:val="000000"/>
          <w:sz w:val="20"/>
          <w:szCs w:val="20"/>
        </w:rPr>
        <w:t>Seguidamente, en sesión N° 66-17 del 13 de julio del 2017, artículo XCI, se prorrogó el permiso con goce de salario y sustitución a una plaza de Defensor Público, hasta el último día laboral del 2017, para que se dedicara a las labores indicadas, en el cantón de Buenos Aires.</w:t>
      </w:r>
    </w:p>
    <w:p>
      <w:pPr>
        <w:pStyle w:val="Normal"/>
        <w:ind w:firstLine="708"/>
        <w:jc w:val="both"/>
        <w:rPr>
          <w:rFonts w:ascii="Tahoma" w:hAnsi="Tahoma" w:cs="Tahoma"/>
          <w:i/>
          <w:i/>
          <w:iCs/>
          <w:color w:val="000000"/>
          <w:sz w:val="20"/>
          <w:szCs w:val="20"/>
        </w:rPr>
      </w:pPr>
      <w:r>
        <w:rPr>
          <w:rFonts w:cs="Tahoma" w:ascii="Tahoma" w:hAnsi="Tahoma"/>
          <w:i/>
          <w:iCs/>
          <w:color w:val="000000"/>
          <w:sz w:val="20"/>
          <w:szCs w:val="20"/>
        </w:rPr>
      </w:r>
    </w:p>
    <w:p>
      <w:pPr>
        <w:pStyle w:val="Normal"/>
        <w:jc w:val="both"/>
        <w:rPr>
          <w:rFonts w:ascii="Tahoma" w:hAnsi="Tahoma" w:cs="Tahoma"/>
          <w:i/>
          <w:i/>
          <w:iCs/>
          <w:color w:val="000000"/>
          <w:sz w:val="20"/>
          <w:szCs w:val="20"/>
        </w:rPr>
      </w:pPr>
      <w:r>
        <w:rPr>
          <w:rFonts w:cs="Tahoma" w:ascii="Tahoma" w:hAnsi="Tahoma"/>
          <w:i/>
          <w:iCs/>
          <w:color w:val="000000"/>
          <w:sz w:val="20"/>
          <w:szCs w:val="20"/>
        </w:rPr>
        <w:t>Finalmente, en sesión N° 96-17 celebrada el 19 de octubre del 2017, artículo CII, se aprobó el traslado de la plaza de Juez 4 del Tribunal de Juicio del Primer Circuito Judicial de la Zona Sur, al Tribunal de Juicio del Primer Circuito Judicial de Alajuela, por lo que restaba del año 2017.</w:t>
      </w:r>
    </w:p>
    <w:p>
      <w:pPr>
        <w:pStyle w:val="Normal"/>
        <w:ind w:firstLine="708"/>
        <w:jc w:val="both"/>
        <w:rPr>
          <w:rFonts w:ascii="Tahoma" w:hAnsi="Tahoma" w:cs="Tahoma"/>
          <w:i/>
          <w:i/>
          <w:iCs/>
          <w:color w:val="000000"/>
          <w:sz w:val="20"/>
          <w:szCs w:val="20"/>
        </w:rPr>
      </w:pPr>
      <w:r>
        <w:rPr>
          <w:rFonts w:cs="Tahoma" w:ascii="Tahoma" w:hAnsi="Tahoma"/>
          <w:i/>
          <w:iCs/>
          <w:color w:val="000000"/>
          <w:sz w:val="20"/>
          <w:szCs w:val="20"/>
        </w:rPr>
      </w:r>
    </w:p>
    <w:p>
      <w:pPr>
        <w:pStyle w:val="Normal"/>
        <w:jc w:val="both"/>
        <w:rPr>
          <w:rFonts w:ascii="Tahoma" w:hAnsi="Tahoma" w:cs="Tahoma"/>
          <w:i/>
          <w:i/>
          <w:iCs/>
          <w:color w:val="000000"/>
          <w:sz w:val="20"/>
          <w:szCs w:val="20"/>
        </w:rPr>
      </w:pPr>
      <w:r>
        <w:rPr>
          <w:rFonts w:cs="Tahoma" w:ascii="Tahoma" w:hAnsi="Tahoma"/>
          <w:i/>
          <w:iCs/>
          <w:color w:val="000000"/>
          <w:sz w:val="20"/>
          <w:szCs w:val="20"/>
        </w:rPr>
        <w:t>En relación con lo anterior, la Subcomisión mantiene la misma posición que externó en su momento y amplía la misma para que se valore con los recursos institucionales existentes, amplíe el equipo de trabajo para atender de manera prioritaria los procesos judiciales vinculados con la población indígena de Buenos Aires de Puntarenas, al tratarse de una población en situación de vulnerabilidad; con especial atención de los procesos relacionados con personas indígenas beneficiarias de las Medidas Cautelares 321-12 de la CIDH contra el Estado. Lo anterior, a fin de poder cumplir con la responsabilidad del Poder Judicial como parte del Estado, en lo que a sus competencias se refiere. De igual forma, la petición anterior obedece al cumplimiento de la Circular 188-19 de Corte Plena.</w:t>
      </w:r>
    </w:p>
    <w:p>
      <w:pPr>
        <w:pStyle w:val="Normal"/>
        <w:jc w:val="both"/>
        <w:rPr>
          <w:rFonts w:ascii="Tahoma" w:hAnsi="Tahoma" w:cs="Tahoma"/>
          <w:i/>
          <w:i/>
          <w:iCs/>
          <w:color w:val="000000"/>
          <w:sz w:val="20"/>
          <w:szCs w:val="20"/>
        </w:rPr>
      </w:pPr>
      <w:r>
        <w:rPr>
          <w:rFonts w:cs="Tahoma" w:ascii="Tahoma" w:hAnsi="Tahoma"/>
          <w:i/>
          <w:iCs/>
          <w:color w:val="000000"/>
          <w:sz w:val="20"/>
          <w:szCs w:val="20"/>
        </w:rPr>
      </w:r>
    </w:p>
    <w:p>
      <w:pPr>
        <w:pStyle w:val="Normal"/>
        <w:jc w:val="both"/>
        <w:rPr>
          <w:rFonts w:ascii="Tahoma" w:hAnsi="Tahoma" w:cs="Tahoma"/>
          <w:b/>
          <w:b/>
          <w:bCs/>
          <w:i/>
          <w:i/>
          <w:iCs/>
          <w:color w:val="000000"/>
          <w:sz w:val="20"/>
          <w:szCs w:val="20"/>
        </w:rPr>
      </w:pPr>
      <w:r>
        <w:rPr>
          <w:rFonts w:cs="Tahoma" w:ascii="Tahoma" w:hAnsi="Tahoma"/>
          <w:b/>
          <w:bCs/>
          <w:i/>
          <w:iCs/>
          <w:color w:val="000000"/>
          <w:sz w:val="20"/>
          <w:szCs w:val="20"/>
        </w:rPr>
        <w:t>Recomendaciones:</w:t>
      </w:r>
    </w:p>
    <w:p>
      <w:pPr>
        <w:pStyle w:val="Normal"/>
        <w:jc w:val="both"/>
        <w:rPr>
          <w:rFonts w:ascii="Tahoma" w:hAnsi="Tahoma" w:cs="Tahoma"/>
          <w:i/>
          <w:i/>
          <w:iCs/>
          <w:color w:val="000000"/>
          <w:sz w:val="20"/>
          <w:szCs w:val="20"/>
        </w:rPr>
      </w:pPr>
      <w:r>
        <w:rPr>
          <w:rFonts w:cs="Tahoma" w:ascii="Tahoma" w:hAnsi="Tahoma"/>
          <w:i/>
          <w:iCs/>
          <w:color w:val="000000"/>
          <w:sz w:val="20"/>
          <w:szCs w:val="20"/>
        </w:rPr>
      </w:r>
    </w:p>
    <w:p>
      <w:pPr>
        <w:pStyle w:val="ListParagraph"/>
        <w:numPr>
          <w:ilvl w:val="0"/>
          <w:numId w:val="35"/>
        </w:numPr>
        <w:spacing w:before="0" w:after="0"/>
        <w:jc w:val="both"/>
        <w:rPr>
          <w:rFonts w:ascii="Tahoma" w:hAnsi="Tahoma" w:cs="Tahoma"/>
          <w:i/>
          <w:i/>
          <w:iCs/>
          <w:color w:val="000000"/>
          <w:sz w:val="20"/>
        </w:rPr>
      </w:pPr>
      <w:r>
        <w:rPr>
          <w:rFonts w:cs="Tahoma" w:ascii="Tahoma" w:hAnsi="Tahoma"/>
          <w:i/>
          <w:iCs/>
          <w:color w:val="000000"/>
          <w:sz w:val="20"/>
          <w:lang w:val="es-MX"/>
        </w:rPr>
        <w:t>Se solicita establecer una acción afirmativa en beneficio de la población indígena de Buenos Aires de Puntarenas y de China Quichá de Pérez Zeledón, que consiste en reforzar tanto la jurisdicción de Buenos Aires como Pérez Zeledón, con nuevas plazas que permitan  conformar un equipo de trabajo completo que integre representantes de Judicatura, Defensa Pública, Fiscalía de Asuntos indígenas, OIJ, personal de apoyo, recursos tecnológicos y materiales tales como vehículos para transporte y oficinas, entre otros que sean necesarios para que la labor del equipo de trabajo pueda ser eficaz, eficiente y efectiva, a efecto de atender los procesos judiciales vinculados con las personas indígenas citadas. Lo anterior, con fundamento en la normativa internacional que regula los derechos de la población indígena</w:t>
      </w:r>
      <w:r>
        <w:rPr>
          <w:rFonts w:cs="Tahoma" w:ascii="Tahoma" w:hAnsi="Tahoma"/>
          <w:i/>
          <w:iCs/>
          <w:color w:val="000000"/>
          <w:sz w:val="20"/>
        </w:rPr>
        <w:t xml:space="preserve">: </w:t>
      </w:r>
      <w:r>
        <w:rPr>
          <w:rFonts w:cs="Tahoma" w:ascii="Tahoma" w:hAnsi="Tahoma"/>
          <w:i/>
          <w:iCs/>
          <w:color w:val="000000"/>
          <w:sz w:val="20"/>
          <w:lang w:val="es-MX"/>
        </w:rPr>
        <w:t>Convenio sobre Pueblos Indígenas y Tribales 1989 (Convenio 169 OIT), Declaración de las Naciones Unidas sobre los derechos de los Pueblos Indígenas 2007 y Declaración Americana sobre Derechos de los Pueblos Indígenas OEA 2016, la cual tiene carácter supraconstitucional según reiteradas resoluciones de la Sala Constitucional al tratarse de convenios referidos a derechos humanos; el artículo 1 de la Constitución Política que refiere a Costa Rica como un país multiétnico y pluricultural; así como la normativa interna, entre otras, la Ley Indígena y la Ley de Acceso a la Justicia de Pueblos Indígenas.</w:t>
      </w:r>
    </w:p>
    <w:p>
      <w:pPr>
        <w:pStyle w:val="ListParagraph"/>
        <w:jc w:val="both"/>
        <w:rPr>
          <w:rFonts w:ascii="Tahoma" w:hAnsi="Tahoma" w:cs="Tahoma"/>
          <w:i/>
          <w:i/>
          <w:iCs/>
          <w:color w:val="000000"/>
          <w:sz w:val="20"/>
        </w:rPr>
      </w:pPr>
      <w:r>
        <w:rPr>
          <w:rFonts w:cs="Tahoma" w:ascii="Tahoma" w:hAnsi="Tahoma"/>
          <w:i/>
          <w:iCs/>
          <w:color w:val="000000"/>
          <w:sz w:val="20"/>
        </w:rPr>
      </w:r>
    </w:p>
    <w:p>
      <w:pPr>
        <w:pStyle w:val="ListParagraph"/>
        <w:jc w:val="both"/>
        <w:rPr>
          <w:rFonts w:ascii="Tahoma" w:hAnsi="Tahoma" w:cs="Tahoma"/>
          <w:i/>
          <w:i/>
          <w:iCs/>
          <w:color w:val="000000"/>
          <w:sz w:val="20"/>
        </w:rPr>
      </w:pPr>
      <w:r>
        <w:rPr>
          <w:rFonts w:cs="Tahoma" w:ascii="Tahoma" w:hAnsi="Tahoma"/>
          <w:i/>
          <w:iCs/>
          <w:color w:val="000000"/>
          <w:sz w:val="20"/>
        </w:rPr>
      </w:r>
    </w:p>
    <w:p>
      <w:pPr>
        <w:pStyle w:val="ListParagraph"/>
        <w:jc w:val="both"/>
        <w:rPr>
          <w:rFonts w:ascii="Tahoma" w:hAnsi="Tahoma" w:cs="Tahoma"/>
          <w:i/>
          <w:i/>
          <w:iCs/>
          <w:color w:val="000000"/>
          <w:sz w:val="20"/>
        </w:rPr>
      </w:pPr>
      <w:r>
        <w:rPr>
          <w:rFonts w:cs="Tahoma" w:ascii="Tahoma" w:hAnsi="Tahoma"/>
          <w:i/>
          <w:iCs/>
          <w:color w:val="000000"/>
          <w:sz w:val="20"/>
        </w:rPr>
        <w:t>En relación con lo anterior, debe tomarse en consideración que los conflictos en Buenos Aires de Puntarenas han aumentado considerablemente, por lo que la recomendación planteada en esta recomendación y en la siguiente, se refieren a la autorización de un equipo de trabajo en materia penal por medio de la aplicación del artículo 44 de la Ley Orgánica del Poder Judicial conforme a la Metodología de Administración de Proyectos para el control y seguimiento debidos. Además, debe tomarse en consideración que los territorios indígenas de Buenos Aires de Puntarenas corresponden a una competencia territorial diferente al territorio de China Quichá de Pérez Zeledón.</w:t>
      </w:r>
    </w:p>
    <w:p>
      <w:pPr>
        <w:pStyle w:val="ListParagraph"/>
        <w:spacing w:lineRule="auto" w:line="228" w:before="0" w:after="231"/>
        <w:ind w:left="720" w:right="14" w:hanging="0"/>
        <w:contextualSpacing/>
        <w:jc w:val="both"/>
        <w:rPr>
          <w:rFonts w:ascii="Tahoma" w:hAnsi="Tahoma" w:cs="Tahoma"/>
          <w:i/>
          <w:i/>
          <w:iCs/>
          <w:sz w:val="20"/>
        </w:rPr>
      </w:pPr>
      <w:r>
        <w:rPr>
          <w:rFonts w:cs="Tahoma" w:ascii="Tahoma" w:hAnsi="Tahoma"/>
          <w:i/>
          <w:iCs/>
          <w:sz w:val="20"/>
        </w:rPr>
      </w:r>
    </w:p>
    <w:p>
      <w:pPr>
        <w:pStyle w:val="ListParagraph"/>
        <w:numPr>
          <w:ilvl w:val="0"/>
          <w:numId w:val="35"/>
        </w:numPr>
        <w:spacing w:before="0" w:after="0"/>
        <w:jc w:val="both"/>
        <w:rPr>
          <w:rFonts w:ascii="Tahoma" w:hAnsi="Tahoma" w:cs="Tahoma"/>
          <w:i/>
          <w:i/>
          <w:iCs/>
          <w:color w:val="000000"/>
          <w:sz w:val="20"/>
        </w:rPr>
      </w:pPr>
      <w:r>
        <w:rPr>
          <w:rFonts w:cs="Tahoma" w:ascii="Tahoma" w:hAnsi="Tahoma"/>
          <w:i/>
          <w:iCs/>
          <w:color w:val="000000"/>
          <w:sz w:val="20"/>
        </w:rPr>
        <w:t xml:space="preserve">Para la valoración de la urgencia del citado recurso se tome en cuenta no solo aspectos estadísticos, sino que se tome en cuenta la especificidad con que los funcionarios deben atender la población indígena y el abordaje diferenciado de las causas, que implica una aumento en las cargas de trabajo de manera que para atender adecuadamente los usuarios se debe contar con más personal, con el cual sea posible atender prioritariamente la conflictividad que enfrenta la zona.  </w:t>
      </w:r>
    </w:p>
    <w:p>
      <w:pPr>
        <w:pStyle w:val="Normal"/>
        <w:spacing w:lineRule="auto" w:line="228" w:before="0" w:after="231"/>
        <w:ind w:left="360" w:right="14" w:hanging="0"/>
        <w:jc w:val="both"/>
        <w:rPr>
          <w:rFonts w:ascii="Tahoma" w:hAnsi="Tahoma" w:cs="Tahoma"/>
          <w:i/>
          <w:i/>
          <w:iCs/>
          <w:sz w:val="20"/>
          <w:szCs w:val="20"/>
        </w:rPr>
      </w:pPr>
      <w:r>
        <w:rPr>
          <w:rFonts w:cs="Tahoma" w:ascii="Tahoma" w:hAnsi="Tahoma"/>
          <w:i/>
          <w:iCs/>
          <w:sz w:val="20"/>
          <w:szCs w:val="20"/>
        </w:rPr>
      </w:r>
    </w:p>
    <w:p>
      <w:pPr>
        <w:pStyle w:val="ListParagraph"/>
        <w:numPr>
          <w:ilvl w:val="0"/>
          <w:numId w:val="35"/>
        </w:numPr>
        <w:spacing w:lineRule="auto" w:line="228" w:before="0" w:after="231"/>
        <w:ind w:left="720" w:right="14" w:hanging="360"/>
        <w:jc w:val="both"/>
        <w:rPr>
          <w:rFonts w:ascii="Tahoma" w:hAnsi="Tahoma" w:cs="Tahoma"/>
          <w:i/>
          <w:i/>
          <w:iCs/>
          <w:sz w:val="20"/>
        </w:rPr>
      </w:pPr>
      <w:r>
        <w:rPr>
          <w:rFonts w:cs="Tahoma" w:ascii="Tahoma" w:hAnsi="Tahoma"/>
          <w:i/>
          <w:iCs/>
          <w:color w:val="000000"/>
          <w:sz w:val="20"/>
        </w:rPr>
        <w:t xml:space="preserve">En seguimiento del cumplimiento de las </w:t>
      </w:r>
      <w:r>
        <w:rPr>
          <w:rFonts w:eastAsia="Batang" w:cs="Tahoma" w:ascii="Tahoma" w:hAnsi="Tahoma"/>
          <w:i/>
          <w:iCs/>
          <w:kern w:val="2"/>
          <w:sz w:val="20"/>
        </w:rPr>
        <w:t>Medidas Cautelares N° 321-12 del 30 de abril de 2015, establecidas por la Comisión Interamericana de Derechos Humanos (CIDH) contra Costa Rica, que obligan al Estado a a</w:t>
      </w:r>
      <w:r>
        <w:rPr>
          <w:rFonts w:cs="Tahoma" w:ascii="Tahoma" w:hAnsi="Tahoma"/>
          <w:i/>
          <w:iCs/>
          <w:sz w:val="20"/>
        </w:rPr>
        <w:t>doptar las medidas necesarias para garantizar la vida y la integridad personal de los miembros del pueblo indígena Teribe y del pueblo indígena Bribri de Salitre, concertar las medidas a implementarse con los beneficiarios y sus representantes; e informar sobre las acciones adoptadas a fin de investigar los presuntos hechos que dieron lugar a la adopción de dicha medida cautelar y así evitar su repetición, se solicita al Consejo Superior en cumplimiento a lo que compete al Poder Judicial como parte del Estado, el reforzamiento de las oficinas judiciales que atienden este tipo de procesos en las materias penal, agraria y contenciosa administrativa, con el personal necesario a efecto de que las decisiones judiciales sobre ese tipo de asuntos se atienda de manera prioritaria y se emitan de conformidad con la normativa nacional e internacional que regula los derechos de la población indígena. Lo anterior, debido a que las medidas cautelares y provisionales de la CIDH tienen un doble carácter, uno cautelar y otro tutelar. Respecto del carácter tutelar, las medidas buscan evitar un daño irreparable y preservar el ejercicio de los derechos humanos. Con respecto al carácter cautelar, las medidas cautelares tienen como propósito preservar una situación jurídica de derechos en posible riesgo, hasta en tanto se resuelva la petición que se encuentra bajo conocimiento en el Sistema Interamericano. Su objeto y fin son los de asegurar la integridad y la efectividad de la decisión de fondo y, de esta manera, evitar que se lesionen los derechos alegados, situación que podría hacer inocua o desvirtuar el efecto útil de la decisión final, según la CIDH. Con ocasión de lo anterior, a fin de que el Estado pueda cumplir con la decisión final de las Medidas y, de ser necesario, con las reparaciones ordenadas, es necesario reforzar los equipos de trabajo humanos y materiales a disposición para atender este tipo de procesos, con especial referencia a la materia penal que es objeto de análisis.</w:t>
      </w:r>
    </w:p>
    <w:p>
      <w:pPr>
        <w:pStyle w:val="ListParagraph"/>
        <w:numPr>
          <w:ilvl w:val="0"/>
          <w:numId w:val="35"/>
        </w:numPr>
        <w:spacing w:lineRule="auto" w:line="228" w:before="0" w:after="231"/>
        <w:ind w:left="720" w:right="14" w:hanging="360"/>
        <w:jc w:val="both"/>
        <w:rPr>
          <w:rFonts w:ascii="Tahoma" w:hAnsi="Tahoma" w:cs="Tahoma"/>
          <w:i/>
          <w:i/>
          <w:iCs/>
          <w:sz w:val="20"/>
        </w:rPr>
      </w:pPr>
      <w:r>
        <w:rPr>
          <w:rFonts w:cs="Tahoma" w:ascii="Tahoma" w:hAnsi="Tahoma"/>
          <w:i/>
          <w:iCs/>
          <w:sz w:val="20"/>
        </w:rPr>
        <w:t xml:space="preserve">A efecto de atender la "gravedad de la situación", vinculada con el serio impacto que la acción u omisión estatal pueda tener sobre los derechos protegidos o sobre el efecto eventual de las decisiones pendientes ante la CIDH; así como la "urgencia de la situación", que se determina por la información que indica que el riesgo o la amenaza son inminentes y puedan materializarse, requiriendo de esa manera acción preventiva o tutelar; el "daño irreparable" vinculado con la afectación sobre derechos que, por su propia naturaleza, no son susceptibles de reparación, restauración o adecuada indemnización, se solicita la atención prioritaria e inmediata de los requerimientos de recursos materiales y tecnológicos, así como el talento humano necesario para conformar el equipo de trabajo que continúe dando respuesta a los procesos vinculados con la población indígena beneficiaria de las Medidas Cautelares. </w:t>
      </w:r>
    </w:p>
    <w:p>
      <w:pPr>
        <w:pStyle w:val="ListParagraph"/>
        <w:numPr>
          <w:ilvl w:val="0"/>
          <w:numId w:val="35"/>
        </w:numPr>
        <w:spacing w:lineRule="auto" w:line="228" w:before="0" w:after="231"/>
        <w:ind w:left="720" w:right="14" w:hanging="360"/>
        <w:jc w:val="both"/>
        <w:rPr>
          <w:rFonts w:ascii="Tahoma" w:hAnsi="Tahoma" w:cs="Tahoma"/>
          <w:i/>
          <w:i/>
          <w:iCs/>
          <w:sz w:val="20"/>
        </w:rPr>
      </w:pPr>
      <w:r>
        <w:rPr>
          <w:rFonts w:cs="Tahoma" w:ascii="Tahoma" w:hAnsi="Tahoma"/>
          <w:i/>
          <w:iCs/>
          <w:sz w:val="20"/>
        </w:rPr>
        <w:t xml:space="preserve">A efecto de cumplir con la Circular 188-19 de Corte Plena, solicitar a la Escuela Judicial para que priorice el fortalecimiento de las competencias del equipo de trabajo que esta a cargo y que, de aceptarse las recomendaciones anteriores, se designe de manera inmediata para la atención de los procesos judiciales penales vinculados con la población indígena de Buenos Aires de Puntarenas y de China Quichá de Pérez Zeledón, indistintamente de la cantidad de procesos pendientes o la proyección que se tenga ante los altos niveles de conflictividad en la zona, atendiendo sobre todo a la exigencia de la normativa supraconstitucional que regula los derechos de esa población y los requerimientos de la CIDH. Lo anterior, para disminuir en lo posible desde las funciones del Poder Judicial, la serie continua de ciclos de amenazas, hostigamientos y actos de violencia en contra de los miembros de los pueblos indígenas Teribe y Bribri de Salitre, identificados por los gestionantes de las Medidas Cautelares como posibles factores generadores de riesgo que incidirían en su situación, asociados a lo que la CIDH califica como un presunto clima de tensión y hostilidad, en vista que los miembros de ambos pueblos indígenas estarían cohabitando un área en la que se encontrarían personas no indígenas, en el marco de un conflicto territorial que habría perdurado por varios años; y supuestas represalias, debido a la labor que los miembros de ambos pueblos indígenas estarían adelantando, con el fin de que se reconozca y delimite su territorio. </w:t>
      </w:r>
    </w:p>
    <w:p>
      <w:pPr>
        <w:pStyle w:val="ListParagraph"/>
        <w:numPr>
          <w:ilvl w:val="0"/>
          <w:numId w:val="35"/>
        </w:numPr>
        <w:spacing w:lineRule="auto" w:line="228" w:before="0" w:after="231"/>
        <w:ind w:left="720" w:right="14" w:hanging="360"/>
        <w:jc w:val="both"/>
        <w:rPr>
          <w:rFonts w:ascii="Tahoma" w:hAnsi="Tahoma" w:cs="Tahoma"/>
          <w:i/>
          <w:i/>
          <w:iCs/>
          <w:sz w:val="20"/>
        </w:rPr>
      </w:pPr>
      <w:r>
        <w:rPr>
          <w:rFonts w:cs="Tahoma" w:ascii="Tahoma" w:hAnsi="Tahoma"/>
          <w:i/>
          <w:iCs/>
          <w:sz w:val="20"/>
        </w:rPr>
        <w:t xml:space="preserve">Se solicite a la Dirección Nacional de Justicia Restaurativa y al Centro de Conciliación del Poder Judicial continuar con la atención de los procesos indígenas de la zona citada, coadyuvando en la búsqueda de soluciones legalmente posibles y con pertinencia cultural, en cumplimiento del mandato que les confiere la Ley de Acceso a la Justicia de Pueblos Indígenas de Costa Rica. Lo anterior, considerando que, según refiere la CIDH en las Medidas Cautelares 321-15, el 7 de julio de 2014, el Sistema de Naciones Unidas en Costa Rica expresó "su preocupación por la violencia registrada en el territorio indígena de Salitre [...l, que ha provocado movilización de personas, quema de ranchos y bloqueo de caminos. La ONU confía en que el Estado impulse urgentemente la resolución pacífica del conflicto de manera que se proteja el derecho de los pueblos indígenas a su territorio y también se garantice los derechos humanos de todos sus habitantes y a los actores involucrados para que rechacen cualquier tipo de violencia" </w:t>
      </w:r>
    </w:p>
    <w:p>
      <w:pPr>
        <w:pStyle w:val="ListParagraph"/>
        <w:numPr>
          <w:ilvl w:val="0"/>
          <w:numId w:val="35"/>
        </w:numPr>
        <w:spacing w:lineRule="auto" w:line="228" w:before="0" w:after="231"/>
        <w:ind w:left="720" w:right="14" w:hanging="360"/>
        <w:jc w:val="both"/>
        <w:rPr>
          <w:rFonts w:ascii="Tahoma" w:hAnsi="Tahoma" w:cs="Tahoma"/>
          <w:i/>
          <w:i/>
          <w:iCs/>
          <w:sz w:val="20"/>
        </w:rPr>
      </w:pPr>
      <w:r>
        <w:rPr>
          <w:rFonts w:cs="Tahoma" w:ascii="Tahoma" w:hAnsi="Tahoma"/>
          <w:i/>
          <w:iCs/>
          <w:sz w:val="20"/>
        </w:rPr>
        <w:t>Solicitar a la Oficina de Protección de Víctimas y Testigos, ante la posibilidad de que la situación de riesgo pueda exacerbase aún más en la zona de Buenos Aires y de China Quichá de Pérez Zeledón, por la continuidad del clima de tensión y las medidas destinadas a delimitar los territorios, se tomen medidas adecuadas y efectivas, tomando en consideración un enfoque diferencial respecto de pueblos indígenas y las dinámicas particulares en la zona. Se recomienda que las medidas necesarias que se tomen para garantizar la vida y la integridad personal de los miembros del pueblo indígena Teribe y del pueblo indígena Bribri de Salitre, deben tener pertinencia cultural.</w:t>
      </w:r>
    </w:p>
    <w:p>
      <w:pPr>
        <w:pStyle w:val="ListParagraph"/>
        <w:numPr>
          <w:ilvl w:val="0"/>
          <w:numId w:val="35"/>
        </w:numPr>
        <w:spacing w:lineRule="auto" w:line="228" w:before="0" w:after="231"/>
        <w:ind w:left="720" w:right="14" w:hanging="360"/>
        <w:jc w:val="both"/>
        <w:rPr>
          <w:rFonts w:ascii="Tahoma" w:hAnsi="Tahoma" w:cs="Tahoma"/>
          <w:i/>
          <w:i/>
          <w:iCs/>
          <w:sz w:val="20"/>
        </w:rPr>
      </w:pPr>
      <w:r>
        <w:rPr>
          <w:rFonts w:cs="Tahoma" w:ascii="Tahoma" w:hAnsi="Tahoma"/>
          <w:i/>
          <w:iCs/>
          <w:sz w:val="20"/>
        </w:rPr>
        <w:t>Solicitar a las personas servidoras judiciales y oficinas involucradas en los equipos de trabajo que se conformen, emitir informes de su gestión, según la periodicidad que la Dirección de Planificación sugiera al Consejo Superior y éste disponga, a efecto de verificar el acceso a la justicia de la población y la atención prioritaria y oportuna.</w:t>
      </w:r>
    </w:p>
    <w:p>
      <w:pPr>
        <w:pStyle w:val="ListParagraph"/>
        <w:numPr>
          <w:ilvl w:val="0"/>
          <w:numId w:val="35"/>
        </w:numPr>
        <w:spacing w:lineRule="auto" w:line="228" w:before="0" w:after="231"/>
        <w:ind w:left="720" w:right="14" w:hanging="360"/>
        <w:jc w:val="both"/>
        <w:rPr>
          <w:rFonts w:ascii="Tahoma" w:hAnsi="Tahoma" w:cs="Tahoma"/>
          <w:i/>
          <w:i/>
          <w:iCs/>
          <w:sz w:val="20"/>
        </w:rPr>
      </w:pPr>
      <w:r>
        <w:rPr>
          <w:rFonts w:cs="Tahoma" w:ascii="Tahoma" w:hAnsi="Tahoma"/>
          <w:i/>
          <w:iCs/>
          <w:sz w:val="20"/>
        </w:rPr>
        <w:t>Instar a la Dirección Ejecutiva para asegurar que el equipo de personas traductoras e intérpretes, conformado tanto por mujeres como por hombres, en cumplimiento de la Ley de Acceso a la Justicia de Pueblos Indígenas, sea suficiente para la atención de los procesos judiciales en los que estén vinculadas personas indígenas de las zonas referidas, para garantizar que no se constituya en un atraso en la gestión de los diferentes equipos de trabajo.</w:t>
      </w:r>
    </w:p>
    <w:p>
      <w:pPr>
        <w:pStyle w:val="ListParagraph"/>
        <w:numPr>
          <w:ilvl w:val="0"/>
          <w:numId w:val="35"/>
        </w:numPr>
        <w:spacing w:lineRule="auto" w:line="228" w:before="0" w:after="231"/>
        <w:ind w:left="720" w:right="14" w:hanging="360"/>
        <w:jc w:val="both"/>
        <w:rPr>
          <w:rFonts w:ascii="Tahoma" w:hAnsi="Tahoma" w:cs="Tahoma"/>
          <w:i/>
          <w:i/>
          <w:iCs/>
          <w:sz w:val="20"/>
        </w:rPr>
      </w:pPr>
      <w:r>
        <w:rPr>
          <w:rFonts w:cs="Tahoma" w:ascii="Tahoma" w:hAnsi="Tahoma"/>
          <w:i/>
          <w:iCs/>
          <w:sz w:val="20"/>
        </w:rPr>
        <w:t>Solicitar a la Administración Regional del Primer Circuito Judicial de Pérez Zeledón a cargo de Buenos Aires, y a los despachos involucrados, tomar las medidas necesarias para que el pago a las personas traductoras e intérpretes se realice de manera oportuna y cumpliendo con todos los requerimientos legales y políticas institucionales, para poder seguir contando con este apoyo.</w:t>
      </w:r>
    </w:p>
    <w:p>
      <w:pPr>
        <w:pStyle w:val="ListParagraph"/>
        <w:numPr>
          <w:ilvl w:val="0"/>
          <w:numId w:val="35"/>
        </w:numPr>
        <w:spacing w:lineRule="auto" w:line="228" w:before="0" w:after="231"/>
        <w:ind w:left="720" w:right="14" w:hanging="360"/>
        <w:jc w:val="both"/>
        <w:rPr>
          <w:rFonts w:ascii="Tahoma" w:hAnsi="Tahoma" w:cs="Tahoma"/>
          <w:i/>
          <w:i/>
          <w:iCs/>
          <w:sz w:val="20"/>
        </w:rPr>
      </w:pPr>
      <w:r>
        <w:rPr>
          <w:rFonts w:cs="Tahoma" w:ascii="Tahoma" w:hAnsi="Tahoma"/>
          <w:i/>
          <w:iCs/>
          <w:sz w:val="20"/>
        </w:rPr>
        <w:t>Solicitar colaboración a la Escuela de Antropología de la Universidad de Costa Rica que, en cumplimiento de la Ley de Acceso a la Justicia de Pueblos Indígenas de Costa Rica, para que coadyuven con los peritajes culturales necesarios para la atención de los procesos judiciales que atienda el equipo de trabajo que se conforme, a cargo de reforzar la atención de los asuntos indígenas de la zona de Buenos Aires de Puntarenas y China Quichá de Pérez Zeledón.</w:t>
      </w:r>
    </w:p>
    <w:p>
      <w:pPr>
        <w:pStyle w:val="ListParagraph"/>
        <w:numPr>
          <w:ilvl w:val="0"/>
          <w:numId w:val="35"/>
        </w:numPr>
        <w:spacing w:lineRule="auto" w:line="228" w:before="0" w:after="231"/>
        <w:ind w:left="720" w:right="14" w:hanging="360"/>
        <w:jc w:val="both"/>
        <w:rPr>
          <w:rFonts w:ascii="Tahoma" w:hAnsi="Tahoma" w:cs="Tahoma"/>
          <w:i/>
          <w:i/>
          <w:iCs/>
          <w:sz w:val="20"/>
        </w:rPr>
      </w:pPr>
      <w:r>
        <w:rPr>
          <w:rFonts w:cs="Tahoma" w:ascii="Tahoma" w:hAnsi="Tahoma"/>
          <w:i/>
          <w:iCs/>
          <w:color w:val="000000"/>
          <w:sz w:val="20"/>
        </w:rPr>
        <w:t>Solicitar a la Escuela Judicial, en cumplimiento de la Ley de Acceso a la Justicia de Pueblos Indígenas de Costa Rica y la Circular 188-19 de Corte Plena, brinde capacitación de manera prioritaria al equipo de trabajo que se conforme para atender los asuntos penales de la zona, con el objetivo de fortalecer sus competencias en Derecho Indígena, siguiendo los lineamientos dispuestos en la circular en referencia que incluyen aspectos relacionados con contenidos mínimos, verificación de asistencia y seguimiento del impacto de la capacitación. Instar a la Escuela Judicial ve</w:t>
      </w:r>
      <w:r>
        <w:rPr>
          <w:rFonts w:eastAsia="Arial Unicode MS" w:cs="Tahoma" w:ascii="Tahoma" w:hAnsi="Tahoma"/>
          <w:bCs/>
          <w:i/>
          <w:iCs/>
          <w:kern w:val="2"/>
          <w:sz w:val="20"/>
        </w:rPr>
        <w:t>rifique que, en los contenidos de los diseños de las capacitaciones en Derecho Indígena, se incluya al menos: a) Normativa internacional referida a los derechos de las personas indígenas, entre ellos, el Convenio relativo a la protección e integración de las poblaciones indígenas y de otras poblaciones tribales y semitribales en los países 1957 (Convenio 107 OIT), Convenio sobre Pueblos Indígenas y Tribales 1989 (Convenio 169 OIT), Declaración de las Naciones Unidas sobre los derechos de los Pueblos Indígenas 2007, Declaración Americana sobre Derechos de los Pueblos Indígenas OEA 2016; b) Jurisprudencia de la Corte Interamericana de Derechos Humanos vinculada con pueblos Indígenas incluyendo la Opinión Consultiva 23-2017, c) Constitución Política, Ley Indígena, Ley de Acceso a la Justicia de los Pueblos Indígenas, entre otras; d) Jurisprudencia de las Salas de Casación y de la Sala Constitucional de la Corte Suprema de Justicia; d) Lineamientos y circulares de Corte Plena y del Consejo Superior vinculados con las reglas para los procesos en los que estén involucradas personas indígenas; además, los alcances y distinción entre el sistema monista y el pluralismo jurídico. Incluyendo, el establecimiento de un modelo de control y seguimiento a fin de medir el impacto de esas capacitaciones en el fortalecimiento de las competencias de las personas servidoras judiciales que asistan y su concreción en las resoluciones –incluyendo las sentencias- que emitan en los procesos propios de su competencia, con absoluto respeto al principio de independencia judicial y los principios de Bangalore sobre la conducta judicial, entre otros. Al respecto, la Institución tiene experiencia pues para tal seguimiento del impacto de la capacitación se diseñó el Manual para realizar las evaluaciones de resultados de la capacitación judicial en el desempeño laboral por parte de la Escuela Judicial.</w:t>
      </w:r>
    </w:p>
    <w:p>
      <w:pPr>
        <w:pStyle w:val="ListParagraph"/>
        <w:numPr>
          <w:ilvl w:val="0"/>
          <w:numId w:val="35"/>
        </w:numPr>
        <w:spacing w:lineRule="auto" w:line="228" w:before="0" w:after="231"/>
        <w:ind w:left="720" w:right="14" w:hanging="360"/>
        <w:jc w:val="both"/>
        <w:rPr>
          <w:rFonts w:ascii="Tahoma" w:hAnsi="Tahoma" w:eastAsia="Arial Unicode MS" w:cs="Tahoma"/>
          <w:bCs/>
          <w:i/>
          <w:i/>
          <w:iCs/>
          <w:kern w:val="2"/>
          <w:sz w:val="20"/>
        </w:rPr>
      </w:pPr>
      <w:r>
        <w:rPr>
          <w:rFonts w:eastAsia="Arial Unicode MS" w:cs="Tahoma" w:ascii="Tahoma" w:hAnsi="Tahoma"/>
          <w:bCs/>
          <w:i/>
          <w:iCs/>
          <w:kern w:val="2"/>
          <w:sz w:val="20"/>
        </w:rPr>
        <w:t>Declarar obligatoria la participación de las personas servidoras judiciales en las capacitaciones sobre Derecho Indígena, ampliar a sensibilización, atención y acceso a la justicia de pueblos indígenas en cumplimiento de la Ley de Acceso a la Justicia de Pueblos Indígenas, especialmente quienes tengan competencia material y territorial para conocer de procesos judiciales vinculados con el pueblo indígena Teribe y Bribri de Salitre y la Circular 188-19 de Corte Plena.</w:t>
      </w:r>
    </w:p>
    <w:p>
      <w:pPr>
        <w:pStyle w:val="ListParagraph"/>
        <w:numPr>
          <w:ilvl w:val="0"/>
          <w:numId w:val="35"/>
        </w:numPr>
        <w:spacing w:lineRule="auto" w:line="228" w:before="0" w:after="231"/>
        <w:ind w:left="720" w:right="14" w:hanging="360"/>
        <w:jc w:val="both"/>
        <w:rPr>
          <w:rFonts w:ascii="Tahoma" w:hAnsi="Tahoma" w:cs="Tahoma"/>
          <w:i/>
          <w:i/>
          <w:iCs/>
          <w:sz w:val="20"/>
        </w:rPr>
      </w:pPr>
      <w:r>
        <w:rPr>
          <w:rFonts w:eastAsia="Arial Unicode MS" w:cs="Tahoma" w:ascii="Tahoma" w:hAnsi="Tahoma"/>
          <w:bCs/>
          <w:i/>
          <w:iCs/>
          <w:kern w:val="2"/>
          <w:sz w:val="20"/>
        </w:rPr>
        <w:t>Solicitar a la Escuela Judicial llevar un control de las personas que hayan sido capacitadas y un seguimiento para medir el impacto en su gestión, y valorar su inclusión en los indicadores de evaluación de desempeño y los procesos de reclutamiento, ya sea para nombramientos o ascensos en puestos vinculados con el conocimiento de procesos asociados a personas indígenas.</w:t>
      </w:r>
    </w:p>
    <w:p>
      <w:pPr>
        <w:pStyle w:val="ListParagraph"/>
        <w:numPr>
          <w:ilvl w:val="0"/>
          <w:numId w:val="35"/>
        </w:numPr>
        <w:spacing w:lineRule="auto" w:line="228" w:before="0" w:after="231"/>
        <w:ind w:left="720" w:right="14" w:hanging="360"/>
        <w:jc w:val="both"/>
        <w:rPr>
          <w:rFonts w:ascii="Tahoma" w:hAnsi="Tahoma" w:cs="Tahoma"/>
          <w:i/>
          <w:i/>
          <w:iCs/>
          <w:sz w:val="20"/>
        </w:rPr>
      </w:pPr>
      <w:r>
        <w:rPr>
          <w:rFonts w:cs="Tahoma" w:ascii="Tahoma" w:hAnsi="Tahoma"/>
          <w:i/>
          <w:iCs/>
          <w:color w:val="000000"/>
          <w:sz w:val="20"/>
        </w:rPr>
        <w:t>Instar al CACMFJ para que, junto con el Departamento de Prensa y Comunicación Organizacional, divulgue la Circular 188-19 de Corte Plena; en especial el eje sexto referido a las personas juzgadoras de todas las materias que atienden procesos vinculados con personas indígenas, en el que se señala: “</w:t>
      </w:r>
      <w:r>
        <w:rPr>
          <w:rFonts w:eastAsia="Arial Unicode MS" w:cs="Tahoma" w:ascii="Tahoma" w:hAnsi="Tahoma"/>
          <w:bCs/>
          <w:i/>
          <w:iCs/>
          <w:kern w:val="2"/>
          <w:sz w:val="20"/>
        </w:rPr>
        <w:t xml:space="preserve">Con absoluto respeto al principio de independencia judicial, emitir circulares dirigidas a todas las personas servidoras judiciales en las que se les reitere su deber de ser garantes del acceso efectivo a la justicia de los pueblos indígenas, la no discriminación y eliminación de barreras, a saber: </w:t>
      </w:r>
      <w:r>
        <w:rPr>
          <w:rFonts w:eastAsia="Arial Unicode MS" w:cs="Tahoma" w:ascii="Tahoma" w:hAnsi="Tahoma"/>
          <w:b/>
          <w:i/>
          <w:iCs/>
          <w:kern w:val="2"/>
          <w:sz w:val="20"/>
        </w:rPr>
        <w:t>i)</w:t>
      </w:r>
      <w:r>
        <w:rPr>
          <w:rFonts w:eastAsia="Arial Unicode MS" w:cs="Tahoma" w:ascii="Tahoma" w:hAnsi="Tahoma"/>
          <w:bCs/>
          <w:i/>
          <w:iCs/>
          <w:kern w:val="2"/>
          <w:sz w:val="20"/>
        </w:rPr>
        <w:t xml:space="preserve"> asegurar que los miembros de la comunidad puedan comprender y hacerse comprender en los procedimientos legales iniciados, facilitándoles intérpretes u otros medios eficaces para tal fin; </w:t>
      </w:r>
      <w:r>
        <w:rPr>
          <w:rFonts w:eastAsia="Arial Unicode MS" w:cs="Tahoma" w:ascii="Tahoma" w:hAnsi="Tahoma"/>
          <w:b/>
          <w:i/>
          <w:iCs/>
          <w:kern w:val="2"/>
          <w:sz w:val="20"/>
        </w:rPr>
        <w:t>ii)</w:t>
      </w:r>
      <w:r>
        <w:rPr>
          <w:rFonts w:eastAsia="Arial Unicode MS" w:cs="Tahoma" w:ascii="Tahoma" w:hAnsi="Tahoma"/>
          <w:bCs/>
          <w:i/>
          <w:iCs/>
          <w:kern w:val="2"/>
          <w:sz w:val="20"/>
        </w:rPr>
        <w:t xml:space="preserve"> proporcionar el acceso a los pueblos indígenas y tribales a asistencia técnica y legal en relación con su derecho a la propiedad colectiva, en el supuesto de que estos se encontrasen en una situación de vulnerabilidad que les impediría conseguirla, y </w:t>
      </w:r>
      <w:r>
        <w:rPr>
          <w:rFonts w:eastAsia="Arial Unicode MS" w:cs="Tahoma" w:ascii="Tahoma" w:hAnsi="Tahoma"/>
          <w:b/>
          <w:i/>
          <w:iCs/>
          <w:kern w:val="2"/>
          <w:sz w:val="20"/>
        </w:rPr>
        <w:t>iii)</w:t>
      </w:r>
      <w:r>
        <w:rPr>
          <w:rFonts w:eastAsia="Arial Unicode MS" w:cs="Tahoma" w:ascii="Tahoma" w:hAnsi="Tahoma"/>
          <w:bCs/>
          <w:i/>
          <w:iCs/>
          <w:kern w:val="2"/>
          <w:sz w:val="20"/>
        </w:rPr>
        <w:t xml:space="preserve"> facilitar el acceso físico a las instituciones administrativas y judiciales, o a los organismos encargados de garantizar el derecho a la propiedad colectiva de los pueblos indígenas y tribales, así como facilitar la participación de los pueblos en el desarrollo de los procesos judiciales, administrativos o de cualquier otra índole, sin que ello les implique hacer esfuerzos desmedidos o exagerados, ya sea debido a las distancias o a las vías de acceso a dichas instituciones, o a los altos costos en virtud de los procedimientos. Además, el otorgamiento de una protección efectiva que tome en cuenta las particularidades propias que los diferencian de la población en general y que conforman su identidad cultural, sus características económicas y sociales, su posible situación de vulnerabilidad, su derecho consuetudinario, valores, usos y costumbres, así como su especial relación con la tierra, y respeto de los mecanismos internos de decisión de controversias en materia indígena, los cuales se encuentren en armonía con los derechos humanos, según los estándares internacionales establecidos por la Corte Interamericana de Derechos Humanos en el caso Pueblos Kaliña y Lokono versus Surinam, sentencia de 25 de noviembre de 2015 y las disposiciones de la Ley de Acceso a la Justicia de los Pueblos Indígenas de Costa Rica.” Así como el sétimo que indica: “</w:t>
      </w:r>
      <w:r>
        <w:rPr>
          <w:rFonts w:eastAsia="Arial Unicode MS" w:cs="Tahoma" w:ascii="Tahoma" w:hAnsi="Tahoma"/>
          <w:b/>
          <w:i/>
          <w:iCs/>
          <w:kern w:val="2"/>
          <w:sz w:val="20"/>
        </w:rPr>
        <w:t>7.</w:t>
      </w:r>
      <w:r>
        <w:rPr>
          <w:rFonts w:eastAsia="Arial Unicode MS" w:cs="Tahoma" w:ascii="Tahoma" w:hAnsi="Tahoma"/>
          <w:bCs/>
          <w:i/>
          <w:iCs/>
          <w:kern w:val="2"/>
          <w:sz w:val="20"/>
        </w:rPr>
        <w:t xml:space="preserve"> Con absoluto respeto al principio de independencia judicial y los principios de Bangalore sobre la conducta judicial, entre otros, establecer políticas y prácticas de gestión de recursos humanos apropiadas, principalmente en cuanto a contratación, vinculación, entrenamiento, evaluación, promoción  y acciones disciplinarias; todo de conformidad con el ordenamiento jurídico y técnico aplicable, en lo relacionado con la aplicación del Derecho Indígena, con el objetivo de ofrecer a las personas usuarias indígenas una justicia pronta, cumplida, sin denegación y accesible; priorizando lo vinculado con los procesos judiciales en los que sean parte miembros del pueblo indígena Teribe y Bribri de Salitre.” </w:t>
      </w:r>
    </w:p>
    <w:p>
      <w:pPr>
        <w:pStyle w:val="ListParagraph"/>
        <w:numPr>
          <w:ilvl w:val="0"/>
          <w:numId w:val="35"/>
        </w:numPr>
        <w:spacing w:lineRule="auto" w:line="228" w:before="0" w:after="231"/>
        <w:ind w:left="720" w:right="14" w:hanging="360"/>
        <w:jc w:val="both"/>
        <w:rPr>
          <w:rFonts w:ascii="Tahoma" w:hAnsi="Tahoma" w:cs="Tahoma"/>
          <w:i/>
          <w:i/>
          <w:iCs/>
          <w:sz w:val="20"/>
        </w:rPr>
      </w:pPr>
      <w:r>
        <w:rPr>
          <w:rFonts w:eastAsia="Arial Unicode MS" w:cs="Tahoma" w:ascii="Tahoma" w:hAnsi="Tahoma"/>
          <w:bCs/>
          <w:i/>
          <w:iCs/>
          <w:kern w:val="2"/>
          <w:sz w:val="20"/>
        </w:rPr>
        <w:t>Solicitar a la Contraloría de Servicios del Poder Judicial, Comisión de Acceso a la Justicia y Subcomisión de Acceso a la Justicia de Pueblos Indígenas, en cumplimiento de la Ley de Acceso a la Justicia de Pueblos Indígenas, y el eje octavo de la Circular 188-19, priorizar la realización de encuentros entre el pueblo indígena Teribe y Bribri de Salitre, a efecto de que estas últimas les expongan el funcionamiento del Poder Judicial en sus diferentes ámbitos. En forma previa a su ejecución, solicitarles concertar con las personas indígenas de los pueblos indígenas de Buenos Aires la identificación de los contenidos mínimos de los aspectos sobre los cuales desean ser informados y los mecanismos que ofrece el Poder Judicial para el acceso a la justicia. Así mismo, que en forma coordinada con la Escuela Judicial y demás Unidades de Capacitación de la institución, coordinen encuentros entre representantes del pueblo indígena Teribe y Bribri de Salitre y personas funcionarias judiciales con competencia para conocer procesos judiciales vinculados con esa población, a efecto de que las personas indígenas capaciten a las y los servidores judiciales sobre la historia, cosmovisión, costumbres, formas de tenencia y de transmisión de la tierra, entre otros datos de interés, que incidan en la solución de los conflictos indígenas; priorizándose a quienes laboren en las oficinas judiciales con competencia material y territorial para conocer de procesos vinculados con personas indígenas de Buenos Aires de Puntarenas, incluyendo a personas juzgadoras, técnicas y coordinadoras judiciales, defensoras públicas, fiscalas, personal administrativo, del Organismo de Investigación Judicial, entre otros. Iniciar el proceso de capacitación con personas servidoras judiciales de las Jurisdicciones Penal, Agrario y Contencioso Administrativo, de todas las instancias; y luego se continuará con las demás.</w:t>
      </w:r>
    </w:p>
    <w:p>
      <w:pPr>
        <w:pStyle w:val="Normal"/>
        <w:spacing w:beforeAutospacing="1" w:afterAutospacing="1"/>
        <w:jc w:val="both"/>
        <w:rPr>
          <w:rFonts w:ascii="Tahoma" w:hAnsi="Tahoma" w:cs="Tahoma"/>
          <w:i/>
          <w:i/>
          <w:iCs/>
          <w:sz w:val="20"/>
          <w:szCs w:val="20"/>
          <w:lang w:val="es-ES"/>
        </w:rPr>
      </w:pPr>
      <w:r>
        <w:rPr>
          <w:rFonts w:cs="Tahoma" w:ascii="Tahoma" w:hAnsi="Tahoma"/>
          <w:i/>
          <w:iCs/>
          <w:sz w:val="20"/>
          <w:szCs w:val="20"/>
          <w:lang w:val="es-ES"/>
        </w:rPr>
        <w:t>Se adjuntan documentos de interés y desde la Subcomisión de Acceso a la Justicia de Pueblos Indígenas nos ponemos en la mayor disposición en caso de que requieran una ampliación del informe.</w:t>
      </w:r>
    </w:p>
    <w:p>
      <w:pPr>
        <w:pStyle w:val="Normal"/>
        <w:spacing w:beforeAutospacing="1" w:afterAutospacing="1"/>
        <w:jc w:val="both"/>
        <w:rPr>
          <w:rFonts w:ascii="Tahoma" w:hAnsi="Tahoma" w:cs="Tahoma"/>
          <w:i/>
          <w:i/>
          <w:iCs/>
          <w:sz w:val="20"/>
          <w:szCs w:val="20"/>
          <w:lang w:val="es-ES"/>
        </w:rPr>
      </w:pPr>
      <w:r>
        <w:rPr>
          <w:rFonts w:cs="Tahoma" w:ascii="Tahoma" w:hAnsi="Tahoma"/>
          <w:i/>
          <w:iCs/>
          <w:sz w:val="20"/>
          <w:szCs w:val="20"/>
          <w:lang w:val="es-ES"/>
        </w:rPr>
        <w:t xml:space="preserve">De ustedes con respeto y estima, </w:t>
      </w:r>
    </w:p>
    <w:p>
      <w:pPr>
        <w:pStyle w:val="Normal"/>
        <w:spacing w:beforeAutospacing="1" w:afterAutospacing="1"/>
        <w:rPr>
          <w:rFonts w:ascii="Tahoma" w:hAnsi="Tahoma" w:cs="Tahoma"/>
          <w:i/>
          <w:i/>
          <w:iCs/>
          <w:sz w:val="20"/>
          <w:szCs w:val="20"/>
        </w:rPr>
      </w:pPr>
      <w:r>
        <w:rPr>
          <w:rFonts w:cs="Tahoma" w:ascii="Tahoma" w:hAnsi="Tahoma"/>
          <w:i/>
          <w:iCs/>
          <w:sz w:val="20"/>
          <w:szCs w:val="20"/>
        </w:rPr>
      </w:r>
    </w:p>
    <w:p>
      <w:pPr>
        <w:pStyle w:val="Normal"/>
        <w:spacing w:beforeAutospacing="1" w:afterAutospacing="1"/>
        <w:jc w:val="center"/>
        <w:rPr>
          <w:rFonts w:ascii="Tahoma" w:hAnsi="Tahoma" w:cs="Tahoma"/>
          <w:b/>
          <w:b/>
          <w:bCs/>
          <w:i/>
          <w:i/>
          <w:iCs/>
          <w:sz w:val="20"/>
          <w:szCs w:val="20"/>
        </w:rPr>
      </w:pPr>
      <w:r>
        <w:rPr>
          <w:rFonts w:cs="Tahoma" w:ascii="Tahoma" w:hAnsi="Tahoma"/>
          <w:b/>
          <w:bCs/>
          <w:i/>
          <w:iCs/>
          <w:sz w:val="20"/>
          <w:szCs w:val="20"/>
        </w:rPr>
        <w:t>Damaris Vargas Vásquez</w:t>
      </w:r>
    </w:p>
    <w:p>
      <w:pPr>
        <w:pStyle w:val="Normal"/>
        <w:spacing w:beforeAutospacing="1" w:afterAutospacing="1"/>
        <w:jc w:val="center"/>
        <w:rPr>
          <w:rFonts w:ascii="Tahoma" w:hAnsi="Tahoma" w:cs="Tahoma"/>
          <w:b/>
          <w:b/>
          <w:bCs/>
          <w:i/>
          <w:i/>
          <w:iCs/>
          <w:sz w:val="20"/>
          <w:szCs w:val="20"/>
        </w:rPr>
      </w:pPr>
      <w:r>
        <w:rPr>
          <w:rFonts w:cs="Tahoma" w:ascii="Tahoma" w:hAnsi="Tahoma"/>
          <w:b/>
          <w:bCs/>
          <w:i/>
          <w:iCs/>
          <w:sz w:val="20"/>
          <w:szCs w:val="20"/>
        </w:rPr>
        <w:t>Coordinadora Subcomisión Acceso a la Justicia de Pueblos Indígenas</w:t>
      </w:r>
    </w:p>
    <w:p>
      <w:pPr>
        <w:pStyle w:val="Normal"/>
        <w:spacing w:beforeAutospacing="1" w:afterAutospacing="1"/>
        <w:jc w:val="center"/>
        <w:rPr>
          <w:rFonts w:ascii="Tahoma" w:hAnsi="Tahoma" w:cs="Tahoma"/>
          <w:b/>
          <w:b/>
          <w:bCs/>
          <w:i/>
          <w:i/>
          <w:iCs/>
          <w:sz w:val="20"/>
          <w:szCs w:val="20"/>
        </w:rPr>
      </w:pPr>
      <w:r>
        <w:rPr>
          <w:rFonts w:cs="Tahoma" w:ascii="Tahoma" w:hAnsi="Tahoma"/>
          <w:b/>
          <w:bCs/>
          <w:i/>
          <w:iCs/>
          <w:sz w:val="20"/>
          <w:szCs w:val="20"/>
        </w:rPr>
        <w:t>Magistrada Sala Primera de la Corte Suprema de Justicia</w:t>
      </w:r>
    </w:p>
    <w:p>
      <w:pPr>
        <w:pStyle w:val="Normal"/>
        <w:spacing w:beforeAutospacing="1" w:afterAutospacing="1"/>
        <w:jc w:val="center"/>
        <w:rPr>
          <w:rFonts w:ascii="Tahoma" w:hAnsi="Tahoma" w:cs="Tahoma"/>
          <w:b/>
          <w:b/>
          <w:bCs/>
          <w:i/>
          <w:i/>
          <w:iCs/>
          <w:sz w:val="20"/>
          <w:szCs w:val="20"/>
        </w:rPr>
      </w:pPr>
      <w:r>
        <w:rPr>
          <w:rFonts w:cs="Tahoma" w:ascii="Tahoma" w:hAnsi="Tahoma"/>
          <w:b/>
          <w:bCs/>
          <w:i/>
          <w:iCs/>
          <w:sz w:val="20"/>
          <w:szCs w:val="20"/>
        </w:rPr>
        <w:t>Poder Judicial</w:t>
      </w:r>
    </w:p>
    <w:p>
      <w:pPr>
        <w:pStyle w:val="Normal"/>
        <w:widowControl w:val="false"/>
        <w:jc w:val="both"/>
        <w:rPr>
          <w:rFonts w:ascii="Tahoma" w:hAnsi="Tahoma" w:cs="Tahoma"/>
          <w:i/>
          <w:i/>
          <w:iCs/>
          <w:sz w:val="20"/>
          <w:szCs w:val="20"/>
        </w:rPr>
      </w:pPr>
      <w:r>
        <w:rPr>
          <w:rFonts w:cs="Tahoma" w:ascii="Tahoma" w:hAnsi="Tahoma"/>
          <w:i/>
          <w:iCs/>
          <w:sz w:val="20"/>
          <w:szCs w:val="20"/>
        </w:rPr>
      </w:r>
    </w:p>
    <w:p>
      <w:pPr>
        <w:pStyle w:val="Normal"/>
        <w:widowControl w:val="false"/>
        <w:jc w:val="both"/>
        <w:rPr>
          <w:rFonts w:ascii="Tahoma" w:hAnsi="Tahoma" w:cs="Tahoma"/>
          <w:i/>
          <w:i/>
          <w:iCs/>
          <w:sz w:val="20"/>
          <w:szCs w:val="20"/>
        </w:rPr>
      </w:pPr>
      <w:r>
        <w:rPr>
          <w:rFonts w:cs="Tahoma" w:ascii="Tahoma" w:hAnsi="Tahoma"/>
          <w:i/>
          <w:iCs/>
          <w:sz w:val="20"/>
          <w:szCs w:val="20"/>
        </w:rPr>
      </w:r>
    </w:p>
    <w:p>
      <w:pPr>
        <w:pStyle w:val="Normal"/>
        <w:widowControl w:val="false"/>
        <w:jc w:val="both"/>
        <w:rPr>
          <w:rFonts w:ascii="Tahoma" w:hAnsi="Tahoma" w:cs="Tahoma"/>
          <w:i/>
          <w:i/>
          <w:iCs/>
          <w:sz w:val="20"/>
          <w:szCs w:val="20"/>
        </w:rPr>
      </w:pPr>
      <w:r>
        <w:rPr>
          <w:rFonts w:cs="Tahoma" w:ascii="Tahoma" w:hAnsi="Tahoma"/>
          <w:i/>
          <w:iCs/>
          <w:sz w:val="20"/>
          <w:szCs w:val="20"/>
        </w:rPr>
        <w:t>Copias:</w:t>
      </w:r>
    </w:p>
    <w:p>
      <w:pPr>
        <w:pStyle w:val="Normal"/>
        <w:widowControl w:val="false"/>
        <w:jc w:val="both"/>
        <w:rPr>
          <w:rFonts w:ascii="Tahoma" w:hAnsi="Tahoma" w:cs="Tahoma"/>
          <w:i/>
          <w:i/>
          <w:iCs/>
          <w:sz w:val="20"/>
          <w:szCs w:val="20"/>
        </w:rPr>
      </w:pPr>
      <w:r>
        <w:rPr>
          <w:rFonts w:cs="Tahoma" w:ascii="Tahoma" w:hAnsi="Tahoma"/>
          <w:i/>
          <w:iCs/>
          <w:sz w:val="20"/>
          <w:szCs w:val="20"/>
        </w:rPr>
        <w:t xml:space="preserve">Comisión de Acceso a la Justicia </w:t>
      </w:r>
    </w:p>
    <w:p>
      <w:pPr>
        <w:pStyle w:val="Normal"/>
        <w:widowControl w:val="false"/>
        <w:jc w:val="both"/>
        <w:rPr>
          <w:rFonts w:ascii="Tahoma" w:hAnsi="Tahoma" w:cs="Tahoma"/>
          <w:i/>
          <w:i/>
          <w:iCs/>
          <w:sz w:val="20"/>
          <w:szCs w:val="20"/>
        </w:rPr>
      </w:pPr>
      <w:r>
        <w:rPr>
          <w:rFonts w:cs="Tahoma" w:ascii="Tahoma" w:hAnsi="Tahoma"/>
          <w:i/>
          <w:iCs/>
          <w:sz w:val="20"/>
          <w:szCs w:val="20"/>
        </w:rPr>
        <w:t>Comisión de la Jurisdicción Penal</w:t>
      </w:r>
    </w:p>
    <w:p>
      <w:pPr>
        <w:pStyle w:val="Normal"/>
        <w:widowControl w:val="false"/>
        <w:jc w:val="both"/>
        <w:rPr>
          <w:rFonts w:ascii="Tahoma" w:hAnsi="Tahoma" w:cs="Tahoma"/>
          <w:i/>
          <w:i/>
          <w:iCs/>
          <w:sz w:val="20"/>
          <w:szCs w:val="20"/>
        </w:rPr>
      </w:pPr>
      <w:r>
        <w:rPr>
          <w:rFonts w:cs="Tahoma" w:ascii="Tahoma" w:hAnsi="Tahoma"/>
          <w:i/>
          <w:iCs/>
          <w:sz w:val="20"/>
          <w:szCs w:val="20"/>
        </w:rPr>
        <w:t>Unidad de Acceso a la Justicia</w:t>
      </w:r>
    </w:p>
    <w:p>
      <w:pPr>
        <w:pStyle w:val="Normal"/>
        <w:widowControl w:val="false"/>
        <w:jc w:val="both"/>
        <w:rPr>
          <w:rFonts w:ascii="Tahoma" w:hAnsi="Tahoma" w:cs="Tahoma"/>
          <w:i/>
          <w:i/>
          <w:iCs/>
          <w:sz w:val="20"/>
          <w:szCs w:val="20"/>
        </w:rPr>
      </w:pPr>
      <w:r>
        <w:rPr>
          <w:rFonts w:cs="Tahoma" w:ascii="Tahoma" w:hAnsi="Tahoma"/>
          <w:i/>
          <w:iCs/>
          <w:sz w:val="20"/>
          <w:szCs w:val="20"/>
        </w:rPr>
        <w:t>Subcomisión de Acceso a la Justicia de Pueblos Indígenas</w:t>
      </w:r>
    </w:p>
    <w:p>
      <w:pPr>
        <w:pStyle w:val="Normal"/>
        <w:widowControl w:val="false"/>
        <w:jc w:val="both"/>
        <w:rPr>
          <w:rFonts w:ascii="Tahoma" w:hAnsi="Tahoma" w:cs="Tahoma"/>
          <w:i/>
          <w:i/>
          <w:iCs/>
          <w:sz w:val="20"/>
          <w:szCs w:val="20"/>
        </w:rPr>
      </w:pPr>
      <w:r>
        <w:rPr>
          <w:rFonts w:cs="Tahoma" w:ascii="Tahoma" w:hAnsi="Tahoma"/>
          <w:i/>
          <w:iCs/>
          <w:sz w:val="20"/>
          <w:szCs w:val="20"/>
        </w:rPr>
        <w:t>Dirección del Ministerio Público</w:t>
      </w:r>
    </w:p>
    <w:p>
      <w:pPr>
        <w:pStyle w:val="Normal"/>
        <w:widowControl w:val="false"/>
        <w:jc w:val="both"/>
        <w:rPr>
          <w:rFonts w:ascii="Tahoma" w:hAnsi="Tahoma" w:cs="Tahoma"/>
          <w:i/>
          <w:i/>
          <w:iCs/>
          <w:sz w:val="20"/>
          <w:szCs w:val="20"/>
        </w:rPr>
      </w:pPr>
      <w:r>
        <w:rPr>
          <w:rFonts w:cs="Tahoma" w:ascii="Tahoma" w:hAnsi="Tahoma"/>
          <w:i/>
          <w:iCs/>
          <w:sz w:val="20"/>
          <w:szCs w:val="20"/>
        </w:rPr>
        <w:t>Dirección de Planificación</w:t>
      </w:r>
    </w:p>
    <w:p>
      <w:pPr>
        <w:pStyle w:val="Normal"/>
        <w:widowControl w:val="false"/>
        <w:jc w:val="both"/>
        <w:rPr>
          <w:rFonts w:ascii="Tahoma" w:hAnsi="Tahoma" w:cs="Tahoma"/>
          <w:i/>
          <w:i/>
          <w:iCs/>
          <w:sz w:val="20"/>
          <w:szCs w:val="20"/>
        </w:rPr>
      </w:pPr>
      <w:r>
        <w:rPr>
          <w:rFonts w:cs="Tahoma" w:ascii="Tahoma" w:hAnsi="Tahoma"/>
          <w:i/>
          <w:iCs/>
          <w:sz w:val="20"/>
          <w:szCs w:val="20"/>
        </w:rPr>
        <w:t>Dirección del OIJ</w:t>
      </w:r>
    </w:p>
    <w:p>
      <w:pPr>
        <w:pStyle w:val="Normal"/>
        <w:widowControl w:val="false"/>
        <w:jc w:val="both"/>
        <w:rPr>
          <w:rFonts w:ascii="Tahoma" w:hAnsi="Tahoma" w:cs="Tahoma"/>
          <w:i/>
          <w:i/>
          <w:iCs/>
          <w:sz w:val="20"/>
          <w:szCs w:val="20"/>
        </w:rPr>
      </w:pPr>
      <w:r>
        <w:rPr>
          <w:rFonts w:cs="Tahoma" w:ascii="Tahoma" w:hAnsi="Tahoma"/>
          <w:i/>
          <w:iCs/>
          <w:sz w:val="20"/>
          <w:szCs w:val="20"/>
        </w:rPr>
        <w:t>Dirección de la Defensa Pública</w:t>
      </w:r>
    </w:p>
    <w:p>
      <w:pPr>
        <w:pStyle w:val="Normal"/>
        <w:widowControl w:val="false"/>
        <w:jc w:val="both"/>
        <w:rPr>
          <w:rFonts w:ascii="Tahoma" w:hAnsi="Tahoma" w:cs="Tahoma"/>
          <w:i/>
          <w:i/>
          <w:iCs/>
          <w:sz w:val="20"/>
          <w:szCs w:val="20"/>
        </w:rPr>
      </w:pPr>
      <w:r>
        <w:rPr>
          <w:rFonts w:cs="Tahoma" w:ascii="Tahoma" w:hAnsi="Tahoma"/>
          <w:i/>
          <w:iCs/>
          <w:sz w:val="20"/>
          <w:szCs w:val="20"/>
        </w:rPr>
        <w:t>Dirección del CACMFJ</w:t>
      </w:r>
    </w:p>
    <w:p>
      <w:pPr>
        <w:pStyle w:val="Normal"/>
        <w:widowControl w:val="false"/>
        <w:jc w:val="both"/>
        <w:rPr>
          <w:rFonts w:ascii="Tahoma" w:hAnsi="Tahoma" w:cs="Tahoma"/>
          <w:i/>
          <w:i/>
          <w:iCs/>
          <w:sz w:val="20"/>
          <w:szCs w:val="20"/>
        </w:rPr>
      </w:pPr>
      <w:r>
        <w:rPr>
          <w:rFonts w:cs="Tahoma" w:ascii="Tahoma" w:hAnsi="Tahoma"/>
          <w:i/>
          <w:iCs/>
          <w:sz w:val="20"/>
          <w:szCs w:val="20"/>
        </w:rPr>
        <w:t xml:space="preserve">Tribunal </w:t>
      </w:r>
      <w:r>
        <w:rPr>
          <w:rFonts w:cs="Tahoma" w:ascii="Tahoma" w:hAnsi="Tahoma"/>
          <w:bCs/>
          <w:i/>
          <w:iCs/>
          <w:sz w:val="20"/>
          <w:szCs w:val="20"/>
        </w:rPr>
        <w:t>del Primer Circuito Judicial de la Zona Sur</w:t>
      </w:r>
    </w:p>
    <w:p>
      <w:pPr>
        <w:pStyle w:val="Normal"/>
        <w:rPr>
          <w:rFonts w:ascii="Tahoma" w:hAnsi="Tahoma" w:cs="Tahoma"/>
          <w:i/>
          <w:i/>
          <w:iCs/>
          <w:sz w:val="20"/>
          <w:szCs w:val="20"/>
        </w:rPr>
      </w:pPr>
      <w:r>
        <w:rPr>
          <w:rFonts w:cs="Tahoma" w:ascii="Tahoma" w:hAnsi="Tahoma"/>
          <w:bCs/>
          <w:i/>
          <w:iCs/>
          <w:sz w:val="20"/>
          <w:szCs w:val="20"/>
        </w:rPr>
        <w:t>Juzgado Penal del Primer Circuito Judicial de la Zona Sur</w:t>
      </w:r>
    </w:p>
    <w:p>
      <w:pPr>
        <w:pStyle w:val="Normal"/>
        <w:rPr>
          <w:rFonts w:ascii="Tahoma" w:hAnsi="Tahoma" w:cs="Tahoma"/>
          <w:sz w:val="20"/>
          <w:szCs w:val="20"/>
        </w:rPr>
      </w:pPr>
      <w:r>
        <w:rPr>
          <w:rFonts w:cs="Tahoma" w:ascii="Tahoma" w:hAnsi="Tahoma"/>
          <w:sz w:val="20"/>
          <w:szCs w:val="20"/>
        </w:rPr>
      </w:r>
    </w:p>
    <w:p>
      <w:pPr>
        <w:pStyle w:val="Normal"/>
        <w:jc w:val="center"/>
        <w:rPr>
          <w:rFonts w:ascii="Tahoma" w:hAnsi="Tahoma" w:cs="Tahoma"/>
          <w:sz w:val="20"/>
          <w:szCs w:val="20"/>
        </w:rPr>
      </w:pPr>
      <w:r>
        <w:rPr>
          <w:rFonts w:cs="Tahoma" w:ascii="Tahoma" w:hAnsi="Tahoma"/>
          <w:sz w:val="20"/>
          <w:szCs w:val="20"/>
        </w:rPr>
        <w:t>-0-</w:t>
      </w:r>
    </w:p>
    <w:p>
      <w:pPr>
        <w:pStyle w:val="Normal"/>
        <w:jc w:val="center"/>
        <w:rPr>
          <w:rFonts w:ascii="Tahoma" w:hAnsi="Tahoma" w:cs="Tahoma"/>
          <w:sz w:val="20"/>
          <w:szCs w:val="20"/>
        </w:rPr>
      </w:pPr>
      <w:r>
        <w:rPr>
          <w:rFonts w:cs="Tahoma" w:ascii="Tahoma" w:hAnsi="Tahoma"/>
          <w:sz w:val="20"/>
          <w:szCs w:val="20"/>
        </w:rPr>
      </w:r>
    </w:p>
    <w:p>
      <w:pPr>
        <w:pStyle w:val="Normal"/>
        <w:jc w:val="both"/>
        <w:rPr>
          <w:rFonts w:ascii="Tahoma" w:hAnsi="Tahoma" w:cs="Tahoma"/>
          <w:sz w:val="20"/>
          <w:szCs w:val="20"/>
          <w:lang w:val="es-ES"/>
        </w:rPr>
      </w:pPr>
      <w:r>
        <w:rPr>
          <w:rFonts w:cs="Tahoma" w:ascii="Tahoma" w:hAnsi="Tahoma"/>
          <w:sz w:val="20"/>
          <w:szCs w:val="20"/>
          <w:lang w:val="es-ES"/>
        </w:rPr>
        <w:t xml:space="preserve">La Unidad de Acceso a la Justicia comunicó mediante el </w:t>
      </w:r>
      <w:r>
        <w:rPr>
          <w:rFonts w:cs="Tahoma" w:ascii="Tahoma" w:hAnsi="Tahoma"/>
          <w:b/>
          <w:sz w:val="20"/>
          <w:szCs w:val="20"/>
          <w:lang w:val="es-ES"/>
        </w:rPr>
        <w:t>Oficio CACC-08-2020</w:t>
      </w:r>
      <w:r>
        <w:rPr>
          <w:rFonts w:cs="Tahoma" w:ascii="Tahoma" w:hAnsi="Tahoma"/>
          <w:sz w:val="20"/>
          <w:szCs w:val="20"/>
          <w:lang w:val="es-ES"/>
        </w:rPr>
        <w:t xml:space="preserve"> a la Fiscalía Adjunta de Asuntos Indígenas, el acuerdo estipulado en el Artículo V del Acta 10-19 el cual se transcribe literalmente: </w:t>
      </w:r>
    </w:p>
    <w:p>
      <w:pPr>
        <w:pStyle w:val="NormalWeb"/>
        <w:spacing w:lineRule="auto" w:line="276" w:before="280" w:after="0"/>
        <w:jc w:val="both"/>
        <w:rPr>
          <w:rFonts w:ascii="Tahoma" w:hAnsi="Tahoma" w:cs="Tahoma"/>
          <w:b/>
          <w:b/>
          <w:bCs/>
          <w:i/>
          <w:i/>
          <w:iCs/>
          <w:sz w:val="20"/>
          <w:szCs w:val="20"/>
        </w:rPr>
      </w:pPr>
      <w:r>
        <w:rPr>
          <w:rFonts w:cs="Tahoma" w:ascii="Tahoma" w:hAnsi="Tahoma"/>
          <w:b/>
          <w:bCs/>
          <w:i/>
          <w:iCs/>
          <w:sz w:val="20"/>
          <w:szCs w:val="20"/>
          <w:u w:val="single"/>
        </w:rPr>
        <w:t>SE ACUERDA:</w:t>
      </w:r>
      <w:r>
        <w:rPr>
          <w:rFonts w:cs="Tahoma" w:ascii="Tahoma" w:hAnsi="Tahoma"/>
          <w:b/>
          <w:bCs/>
          <w:i/>
          <w:iCs/>
          <w:sz w:val="20"/>
          <w:szCs w:val="20"/>
        </w:rPr>
        <w:t xml:space="preserve"> </w:t>
      </w:r>
      <w:r>
        <w:rPr>
          <w:rFonts w:cs="Tahoma" w:ascii="Tahoma" w:hAnsi="Tahoma"/>
          <w:bCs/>
          <w:i/>
          <w:sz w:val="20"/>
          <w:szCs w:val="20"/>
          <w:highlight w:val="lightGray"/>
          <w:lang w:val="es-ES" w:eastAsia="ar-SA"/>
        </w:rPr>
        <w:t>2°.</w:t>
      </w:r>
      <w:r>
        <w:rPr>
          <w:rFonts w:cs="Tahoma" w:ascii="Tahoma" w:hAnsi="Tahoma"/>
          <w:bCs/>
          <w:i/>
          <w:sz w:val="20"/>
          <w:szCs w:val="20"/>
          <w:lang w:val="es-ES" w:eastAsia="ar-SA"/>
        </w:rPr>
        <w:t xml:space="preserve"> Consultar a la Fiscalía Adjunta de Asuntos Indígenas, infor</w:t>
      </w:r>
      <w:r>
        <w:rPr>
          <w:rFonts w:cs="Tahoma" w:ascii="Tahoma" w:hAnsi="Tahoma"/>
          <w:i/>
          <w:sz w:val="20"/>
          <w:szCs w:val="20"/>
          <w:lang w:val="es-ES" w:eastAsia="ar-SA"/>
        </w:rPr>
        <w:t xml:space="preserve">me sobre el control </w:t>
      </w:r>
      <w:r>
        <w:rPr>
          <w:rFonts w:cs="Tahoma" w:ascii="Tahoma" w:hAnsi="Tahoma"/>
          <w:i/>
          <w:sz w:val="20"/>
          <w:szCs w:val="20"/>
          <w:lang w:val="es-ES_tradnl" w:eastAsia="ar-SA"/>
        </w:rPr>
        <w:t>de las estadísticas de los asuntos indígenas por fiscalía, así como del cronograma de atención a los territorios indígenas en el Cantón de Buenos Aires y brinde seguimiento al proyecto, así como de los informes trimestrales a la Dirección de Planificación de las actividades realizadas por las plazas asignadas y el desarrollo del proyecto, con el fin de tener datos y elementos para evaluar la necesidad del recurso. Se declara este acuerdo firme.</w:t>
      </w:r>
      <w:r>
        <w:rPr>
          <w:rFonts w:cs="Tahoma" w:ascii="Tahoma" w:hAnsi="Tahoma"/>
          <w:i/>
          <w:sz w:val="20"/>
          <w:szCs w:val="20"/>
          <w:lang w:val="es-ES" w:eastAsia="ar-SA"/>
        </w:rPr>
        <w:t>”</w:t>
      </w:r>
    </w:p>
    <w:p>
      <w:pPr>
        <w:pStyle w:val="Normal"/>
        <w:jc w:val="both"/>
        <w:rPr>
          <w:rFonts w:ascii="Tahoma" w:hAnsi="Tahoma" w:cs="Tahoma"/>
          <w:sz w:val="20"/>
          <w:szCs w:val="20"/>
        </w:rPr>
      </w:pPr>
      <w:r>
        <w:rPr>
          <w:rFonts w:cs="Tahoma" w:ascii="Tahoma" w:hAnsi="Tahoma"/>
          <w:sz w:val="20"/>
          <w:szCs w:val="20"/>
          <w:lang w:val="es-ES"/>
        </w:rPr>
        <w:t xml:space="preserve">La Fiscalía Adjunta de Asuntos Indígenas comunicó mediante el </w:t>
      </w:r>
      <w:r>
        <w:rPr>
          <w:rFonts w:cs="Tahoma" w:ascii="Tahoma" w:hAnsi="Tahoma"/>
          <w:sz w:val="20"/>
          <w:szCs w:val="20"/>
        </w:rPr>
        <w:t xml:space="preserve">Oficio </w:t>
      </w:r>
      <w:r>
        <w:rPr>
          <w:rFonts w:cs="Tahoma" w:ascii="Tahoma" w:hAnsi="Tahoma"/>
          <w:b/>
          <w:sz w:val="20"/>
          <w:szCs w:val="20"/>
        </w:rPr>
        <w:t>N° 12-FAI-2020</w:t>
      </w:r>
      <w:r>
        <w:rPr>
          <w:rFonts w:cs="Tahoma" w:ascii="Tahoma" w:hAnsi="Tahoma"/>
          <w:sz w:val="20"/>
          <w:szCs w:val="20"/>
        </w:rPr>
        <w:t>, lo siguiente:</w:t>
      </w:r>
    </w:p>
    <w:p>
      <w:pPr>
        <w:pStyle w:val="Normal"/>
        <w:spacing w:before="100" w:after="200"/>
        <w:ind w:left="5821" w:hanging="0"/>
        <w:rPr>
          <w:rFonts w:ascii="Tahoma" w:hAnsi="Tahoma" w:cs="Tahoma"/>
          <w:b/>
          <w:b/>
          <w:i/>
          <w:i/>
          <w:iCs/>
          <w:sz w:val="20"/>
          <w:szCs w:val="20"/>
        </w:rPr>
      </w:pPr>
      <w:r>
        <w:rPr>
          <w:rFonts w:cs="Tahoma" w:ascii="Tahoma" w:hAnsi="Tahoma"/>
          <w:i/>
          <w:iCs/>
          <w:position w:val="-8"/>
          <w:sz w:val="20"/>
          <w:szCs w:val="20"/>
        </w:rPr>
        <w:t>San Jos</w:t>
      </w:r>
      <w:r>
        <w:rPr>
          <w:rFonts w:cs="Tahoma" w:ascii="Tahoma" w:hAnsi="Tahoma"/>
          <w:b/>
          <w:i/>
          <w:iCs/>
          <w:position w:val="-8"/>
          <w:sz w:val="20"/>
          <w:szCs w:val="20"/>
        </w:rPr>
        <w:t xml:space="preserve">é </w:t>
      </w:r>
      <w:r>
        <w:rPr>
          <w:rFonts w:cs="Tahoma" w:ascii="Tahoma" w:hAnsi="Tahoma"/>
          <w:b/>
          <w:i/>
          <w:iCs/>
          <w:sz w:val="20"/>
          <w:szCs w:val="20"/>
        </w:rPr>
        <w:t xml:space="preserve">14 de </w:t>
      </w:r>
      <w:r>
        <w:rPr>
          <w:rFonts w:cs="Tahoma" w:ascii="Tahoma" w:hAnsi="Tahoma"/>
          <w:b/>
          <w:i/>
          <w:iCs/>
          <w:spacing w:val="2"/>
          <w:sz w:val="20"/>
          <w:szCs w:val="20"/>
        </w:rPr>
        <w:t xml:space="preserve">febrero </w:t>
      </w:r>
      <w:r>
        <w:rPr>
          <w:rFonts w:cs="Tahoma" w:ascii="Tahoma" w:hAnsi="Tahoma"/>
          <w:b/>
          <w:i/>
          <w:iCs/>
          <w:sz w:val="20"/>
          <w:szCs w:val="20"/>
        </w:rPr>
        <w:t>de</w:t>
      </w:r>
      <w:r>
        <w:rPr>
          <w:rFonts w:cs="Tahoma" w:ascii="Tahoma" w:hAnsi="Tahoma"/>
          <w:b/>
          <w:i/>
          <w:iCs/>
          <w:spacing w:val="31"/>
          <w:sz w:val="20"/>
          <w:szCs w:val="20"/>
        </w:rPr>
        <w:t xml:space="preserve"> </w:t>
      </w:r>
      <w:r>
        <w:rPr>
          <w:rFonts w:cs="Tahoma" w:ascii="Tahoma" w:hAnsi="Tahoma"/>
          <w:b/>
          <w:i/>
          <w:iCs/>
          <w:sz w:val="20"/>
          <w:szCs w:val="20"/>
        </w:rPr>
        <w:t>2020</w:t>
      </w:r>
    </w:p>
    <w:p>
      <w:pPr>
        <w:pStyle w:val="Cuerpodetexto"/>
        <w:spacing w:before="9" w:after="0"/>
        <w:rPr>
          <w:rFonts w:ascii="Tahoma" w:hAnsi="Tahoma" w:cs="Tahoma"/>
          <w:b/>
          <w:b/>
          <w:i/>
          <w:i/>
          <w:iCs/>
          <w:sz w:val="20"/>
          <w:szCs w:val="20"/>
        </w:rPr>
      </w:pPr>
      <w:r>
        <w:rPr>
          <w:rFonts w:cs="Tahoma" w:ascii="Tahoma" w:hAnsi="Tahoma"/>
          <w:b/>
          <w:i/>
          <w:iCs/>
          <w:sz w:val="20"/>
          <w:szCs w:val="20"/>
        </w:rPr>
      </w:r>
    </w:p>
    <w:p>
      <w:pPr>
        <w:pStyle w:val="Ttulo11"/>
        <w:ind w:left="0" w:right="100" w:hanging="0"/>
        <w:jc w:val="right"/>
        <w:rPr>
          <w:rFonts w:ascii="Tahoma" w:hAnsi="Tahoma" w:cs="Tahoma"/>
          <w:i/>
          <w:i/>
          <w:iCs/>
          <w:sz w:val="20"/>
          <w:szCs w:val="20"/>
        </w:rPr>
      </w:pPr>
      <w:r>
        <w:rPr>
          <w:rFonts w:cs="Tahoma" w:ascii="Tahoma" w:hAnsi="Tahoma"/>
          <w:i/>
          <w:iCs/>
          <w:spacing w:val="2"/>
          <w:sz w:val="20"/>
          <w:szCs w:val="20"/>
        </w:rPr>
        <w:t xml:space="preserve">Oficio </w:t>
      </w:r>
      <w:r>
        <w:rPr>
          <w:rFonts w:cs="Tahoma" w:ascii="Tahoma" w:hAnsi="Tahoma"/>
          <w:i/>
          <w:iCs/>
          <w:sz w:val="20"/>
          <w:szCs w:val="20"/>
        </w:rPr>
        <w:t>N°</w:t>
      </w:r>
      <w:r>
        <w:rPr>
          <w:rFonts w:cs="Tahoma" w:ascii="Tahoma" w:hAnsi="Tahoma"/>
          <w:i/>
          <w:iCs/>
          <w:spacing w:val="17"/>
          <w:sz w:val="20"/>
          <w:szCs w:val="20"/>
        </w:rPr>
        <w:t xml:space="preserve"> </w:t>
      </w:r>
      <w:r>
        <w:rPr>
          <w:rFonts w:cs="Tahoma" w:ascii="Tahoma" w:hAnsi="Tahoma"/>
          <w:i/>
          <w:iCs/>
          <w:spacing w:val="2"/>
          <w:sz w:val="20"/>
          <w:szCs w:val="20"/>
        </w:rPr>
        <w:t>12-FAI-2020</w:t>
      </w:r>
    </w:p>
    <w:p>
      <w:pPr>
        <w:pStyle w:val="Cuerpodetexto"/>
        <w:spacing w:before="1" w:after="0"/>
        <w:rPr>
          <w:rFonts w:ascii="Tahoma" w:hAnsi="Tahoma" w:cs="Tahoma"/>
          <w:b/>
          <w:b/>
          <w:i/>
          <w:i/>
          <w:iCs/>
          <w:sz w:val="20"/>
          <w:szCs w:val="20"/>
        </w:rPr>
      </w:pPr>
      <w:r>
        <w:rPr>
          <w:rFonts w:cs="Tahoma" w:ascii="Tahoma" w:hAnsi="Tahoma"/>
          <w:b/>
          <w:i/>
          <w:iCs/>
          <w:sz w:val="20"/>
          <w:szCs w:val="20"/>
        </w:rPr>
      </w:r>
    </w:p>
    <w:p>
      <w:pPr>
        <w:pStyle w:val="Normal"/>
        <w:spacing w:before="100" w:after="200"/>
        <w:ind w:left="119" w:hanging="0"/>
        <w:rPr>
          <w:rFonts w:ascii="Tahoma" w:hAnsi="Tahoma" w:cs="Tahoma"/>
          <w:b/>
          <w:b/>
          <w:i/>
          <w:i/>
          <w:iCs/>
          <w:sz w:val="20"/>
          <w:szCs w:val="20"/>
        </w:rPr>
      </w:pPr>
      <w:r>
        <w:rPr>
          <w:rFonts w:cs="Tahoma" w:ascii="Tahoma" w:hAnsi="Tahoma"/>
          <w:b/>
          <w:i/>
          <w:iCs/>
          <w:sz w:val="20"/>
          <w:szCs w:val="20"/>
        </w:rPr>
        <w:t>Señoras</w:t>
      </w:r>
    </w:p>
    <w:p>
      <w:pPr>
        <w:pStyle w:val="Normal"/>
        <w:spacing w:lineRule="auto" w:line="403" w:before="199" w:after="200"/>
        <w:ind w:left="119" w:right="5950" w:hanging="0"/>
        <w:rPr>
          <w:rFonts w:ascii="Tahoma" w:hAnsi="Tahoma" w:cs="Tahoma"/>
          <w:b/>
          <w:b/>
          <w:i/>
          <w:i/>
          <w:iCs/>
          <w:sz w:val="20"/>
          <w:szCs w:val="20"/>
        </w:rPr>
      </w:pPr>
      <w:r>
        <w:rPr>
          <w:rFonts w:cs="Tahoma" w:ascii="Tahoma" w:hAnsi="Tahoma"/>
          <w:b/>
          <w:i/>
          <w:iCs/>
          <w:sz w:val="20"/>
          <w:szCs w:val="20"/>
        </w:rPr>
        <w:t>Unidad de Acceso a la Justicia Corte Suprema de Justicia Poder Judicial</w:t>
      </w:r>
    </w:p>
    <w:p>
      <w:pPr>
        <w:pStyle w:val="Cuerpodetexto"/>
        <w:rPr>
          <w:rFonts w:ascii="Tahoma" w:hAnsi="Tahoma" w:cs="Tahoma"/>
          <w:b/>
          <w:b/>
          <w:i/>
          <w:i/>
          <w:iCs/>
          <w:sz w:val="20"/>
          <w:szCs w:val="20"/>
        </w:rPr>
      </w:pPr>
      <w:r>
        <w:rPr>
          <w:rFonts w:cs="Tahoma" w:ascii="Tahoma" w:hAnsi="Tahoma"/>
          <w:b/>
          <w:i/>
          <w:iCs/>
          <w:sz w:val="20"/>
          <w:szCs w:val="20"/>
        </w:rPr>
      </w:r>
    </w:p>
    <w:p>
      <w:pPr>
        <w:pStyle w:val="Cuerpodetexto"/>
        <w:spacing w:before="3" w:after="0"/>
        <w:rPr>
          <w:rFonts w:ascii="Tahoma" w:hAnsi="Tahoma" w:cs="Tahoma"/>
          <w:b/>
          <w:b/>
          <w:i/>
          <w:i/>
          <w:iCs/>
          <w:sz w:val="20"/>
          <w:szCs w:val="20"/>
        </w:rPr>
      </w:pPr>
      <w:r>
        <w:rPr>
          <w:rFonts w:cs="Tahoma" w:ascii="Tahoma" w:hAnsi="Tahoma"/>
          <w:b/>
          <w:i/>
          <w:iCs/>
          <w:sz w:val="20"/>
          <w:szCs w:val="20"/>
        </w:rPr>
      </w:r>
    </w:p>
    <w:p>
      <w:pPr>
        <w:pStyle w:val="Cuerpodetexto"/>
        <w:ind w:left="119" w:hanging="0"/>
        <w:rPr>
          <w:rFonts w:ascii="Tahoma" w:hAnsi="Tahoma" w:cs="Tahoma"/>
          <w:i/>
          <w:i/>
          <w:iCs/>
          <w:sz w:val="20"/>
          <w:szCs w:val="20"/>
        </w:rPr>
      </w:pPr>
      <w:r>
        <w:rPr>
          <w:rFonts w:cs="Tahoma" w:ascii="Tahoma" w:hAnsi="Tahoma"/>
          <w:i/>
          <w:iCs/>
          <w:sz w:val="20"/>
          <w:szCs w:val="20"/>
        </w:rPr>
        <w:t>Estimadas señoras:</w:t>
      </w:r>
    </w:p>
    <w:p>
      <w:pPr>
        <w:pStyle w:val="Cuerpodetexto"/>
        <w:spacing w:before="4" w:after="0"/>
        <w:rPr>
          <w:rFonts w:ascii="Tahoma" w:hAnsi="Tahoma" w:cs="Tahoma"/>
          <w:i/>
          <w:i/>
          <w:iCs/>
          <w:sz w:val="20"/>
          <w:szCs w:val="20"/>
        </w:rPr>
      </w:pPr>
      <w:r>
        <w:rPr>
          <w:rFonts w:cs="Tahoma" w:ascii="Tahoma" w:hAnsi="Tahoma"/>
          <w:i/>
          <w:iCs/>
          <w:sz w:val="20"/>
          <w:szCs w:val="20"/>
        </w:rPr>
      </w:r>
    </w:p>
    <w:p>
      <w:pPr>
        <w:pStyle w:val="Cuerpodetexto"/>
        <w:spacing w:lineRule="auto" w:line="360"/>
        <w:ind w:left="119" w:right="102" w:firstLine="708"/>
        <w:jc w:val="both"/>
        <w:rPr>
          <w:rFonts w:ascii="Tahoma" w:hAnsi="Tahoma" w:cs="Tahoma"/>
          <w:i/>
          <w:i/>
          <w:iCs/>
          <w:sz w:val="20"/>
          <w:szCs w:val="20"/>
        </w:rPr>
      </w:pPr>
      <w:r>
        <w:rPr>
          <w:rFonts w:cs="Tahoma" w:ascii="Tahoma" w:hAnsi="Tahoma"/>
          <w:i/>
          <w:iCs/>
          <w:sz w:val="20"/>
          <w:szCs w:val="20"/>
        </w:rPr>
        <w:t>Por medio de la presente reciba un cordial saludo, a su vez se da respuesta a la solicitud remitida por correo electrónico el día 13 de febrero de 2020, mediante el cual se solicita informe con respecto a las disposiciones tomadas por la Fiscalía de Asuntos Indígenas, en adelante FAI, con la finalidad de dar respuesta al acuerdo enviado mediante oficio CACC-08-2020:</w:t>
      </w:r>
    </w:p>
    <w:p>
      <w:pPr>
        <w:pStyle w:val="Cuerpodetexto"/>
        <w:rPr>
          <w:rFonts w:ascii="Tahoma" w:hAnsi="Tahoma" w:cs="Tahoma"/>
          <w:i/>
          <w:i/>
          <w:iCs/>
          <w:sz w:val="20"/>
          <w:szCs w:val="20"/>
        </w:rPr>
      </w:pPr>
      <w:r>
        <w:rPr>
          <w:rFonts w:cs="Tahoma" w:ascii="Tahoma" w:hAnsi="Tahoma"/>
          <w:i/>
          <w:iCs/>
          <w:sz w:val="20"/>
          <w:szCs w:val="20"/>
        </w:rPr>
      </w:r>
    </w:p>
    <w:p>
      <w:pPr>
        <w:pStyle w:val="Cuerpodetexto"/>
        <w:rPr>
          <w:rFonts w:ascii="Tahoma" w:hAnsi="Tahoma" w:cs="Tahoma"/>
          <w:i/>
          <w:i/>
          <w:iCs/>
          <w:sz w:val="20"/>
          <w:szCs w:val="20"/>
        </w:rPr>
      </w:pPr>
      <w:r>
        <w:rPr>
          <w:rFonts w:cs="Tahoma" w:ascii="Tahoma" w:hAnsi="Tahoma"/>
          <w:i/>
          <w:iCs/>
          <w:sz w:val="20"/>
          <w:szCs w:val="20"/>
        </w:rPr>
      </w:r>
    </w:p>
    <w:p>
      <w:pPr>
        <w:pStyle w:val="Cuerpodetexto"/>
        <w:spacing w:before="11" w:after="0"/>
        <w:rPr>
          <w:rFonts w:ascii="Tahoma" w:hAnsi="Tahoma" w:cs="Tahoma"/>
          <w:i/>
          <w:i/>
          <w:iCs/>
          <w:sz w:val="20"/>
          <w:szCs w:val="20"/>
        </w:rPr>
      </w:pPr>
      <w:r>
        <w:rPr>
          <w:rFonts w:cs="Tahoma" w:ascii="Tahoma" w:hAnsi="Tahoma"/>
          <w:i/>
          <w:iCs/>
          <w:sz w:val="20"/>
          <w:szCs w:val="20"/>
        </w:rPr>
      </w:r>
    </w:p>
    <w:p>
      <w:pPr>
        <w:pStyle w:val="Normal"/>
        <w:spacing w:before="100" w:after="200"/>
        <w:ind w:left="119" w:right="98" w:hanging="0"/>
        <w:rPr>
          <w:rFonts w:ascii="Tahoma" w:hAnsi="Tahoma" w:cs="Tahoma"/>
          <w:i/>
          <w:i/>
          <w:iCs/>
          <w:sz w:val="20"/>
          <w:szCs w:val="20"/>
        </w:rPr>
      </w:pPr>
      <w:r>
        <mc:AlternateContent>
          <mc:Choice Requires="wpg">
            <w:drawing>
              <wp:anchor behindDoc="1" distT="0" distB="0" distL="0" distR="0" simplePos="0" locked="0" layoutInCell="0" allowOverlap="1" relativeHeight="62" wp14:anchorId="440317A5">
                <wp:simplePos x="0" y="0"/>
                <wp:positionH relativeFrom="page">
                  <wp:posOffset>1078230</wp:posOffset>
                </wp:positionH>
                <wp:positionV relativeFrom="paragraph">
                  <wp:posOffset>62865</wp:posOffset>
                </wp:positionV>
                <wp:extent cx="234315" cy="187325"/>
                <wp:effectExtent l="11430" t="10160" r="12065" b="12700"/>
                <wp:wrapNone/>
                <wp:docPr id="7" name="Group 21"/>
                <a:graphic xmlns:a="http://schemas.openxmlformats.org/drawingml/2006/main">
                  <a:graphicData uri="http://schemas.microsoft.com/office/word/2010/wordprocessingGroup">
                    <wpg:wgp>
                      <wpg:cNvGrpSpPr/>
                      <wpg:grpSpPr>
                        <a:xfrm>
                          <a:off x="0" y="0"/>
                          <a:ext cx="233640" cy="186840"/>
                        </a:xfrm>
                      </wpg:grpSpPr>
                      <wps:wsp>
                        <wps:cNvSpPr/>
                        <wps:spPr>
                          <a:xfrm>
                            <a:off x="202680" y="182160"/>
                            <a:ext cx="30960" cy="4320"/>
                          </a:xfrm>
                          <a:custGeom>
                            <a:avLst/>
                            <a:gdLst/>
                            <a:ahLst/>
                            <a:rect l="l" t="t" r="r" b="b"/>
                            <a:pathLst>
                              <a:path w="1860" h="2420">
                                <a:moveTo>
                                  <a:pt x="-12461" y="-95568"/>
                                </a:moveTo>
                                <a:lnTo>
                                  <a:pt x="-12360" y="-95568"/>
                                </a:lnTo>
                                <a:lnTo>
                                  <a:pt x="-12360" y="-95278"/>
                                </a:lnTo>
                                <a:lnTo>
                                  <a:pt x="-12461" y="-95278"/>
                                </a:lnTo>
                                <a:lnTo>
                                  <a:pt x="-12461" y="-95568"/>
                                </a:lnTo>
                                <a:close/>
                                <a:moveTo>
                                  <a:pt x="-12360" y="-95568"/>
                                </a:moveTo>
                                <a:lnTo>
                                  <a:pt x="-12238" y="-95568"/>
                                </a:lnTo>
                                <a:lnTo>
                                  <a:pt x="-12238" y="-95278"/>
                                </a:lnTo>
                                <a:lnTo>
                                  <a:pt x="-12360" y="-95278"/>
                                </a:lnTo>
                                <a:lnTo>
                                  <a:pt x="-12360" y="-95568"/>
                                </a:lnTo>
                                <a:close/>
                              </a:path>
                            </a:pathLst>
                          </a:custGeom>
                          <a:noFill/>
                          <a:ln w="1524">
                            <a:solidFill>
                              <a:srgbClr val="c0c0c0"/>
                            </a:solidFill>
                            <a:round/>
                          </a:ln>
                        </wps:spPr>
                        <wps:style>
                          <a:lnRef idx="0"/>
                          <a:fillRef idx="0"/>
                          <a:effectRef idx="0"/>
                          <a:fontRef idx="minor"/>
                        </wps:style>
                        <wps:bodyPr/>
                      </wps:wsp>
                      <wps:wsp>
                        <wps:cNvSpPr/>
                        <wps:spPr>
                          <a:xfrm>
                            <a:off x="0" y="0"/>
                            <a:ext cx="1440" cy="720"/>
                          </a:xfrm>
                          <a:prstGeom prst="rect">
                            <a:avLst/>
                          </a:prstGeom>
                          <a:solidFill>
                            <a:srgbClr val="c0c0c0"/>
                          </a:solidFill>
                          <a:ln w="0">
                            <a:noFill/>
                          </a:ln>
                        </wps:spPr>
                        <wps:style>
                          <a:lnRef idx="0"/>
                          <a:fillRef idx="0"/>
                          <a:effectRef idx="0"/>
                          <a:fontRef idx="minor"/>
                        </wps:style>
                        <wps:bodyPr/>
                      </wps:wsp>
                      <wps:wsp>
                        <wps:cNvSpPr/>
                        <wps:spPr>
                          <a:xfrm>
                            <a:off x="0" y="0"/>
                            <a:ext cx="1440" cy="720"/>
                          </a:xfrm>
                          <a:prstGeom prst="rect">
                            <a:avLst/>
                          </a:prstGeom>
                          <a:noFill/>
                          <a:ln w="1524">
                            <a:solidFill>
                              <a:srgbClr val="c0c0c0"/>
                            </a:solidFill>
                            <a:miter/>
                          </a:ln>
                        </wps:spPr>
                        <wps:style>
                          <a:lnRef idx="0"/>
                          <a:fillRef idx="0"/>
                          <a:effectRef idx="0"/>
                          <a:fontRef idx="minor"/>
                        </wps:style>
                        <wps:bodyPr/>
                      </wps:wsp>
                      <wps:wsp>
                        <wps:cNvSpPr/>
                        <wps:spPr>
                          <a:xfrm>
                            <a:off x="1440" y="0"/>
                            <a:ext cx="1440" cy="720"/>
                          </a:xfrm>
                          <a:prstGeom prst="rect">
                            <a:avLst/>
                          </a:prstGeom>
                          <a:solidFill>
                            <a:srgbClr val="c0c0c0"/>
                          </a:solidFill>
                          <a:ln w="0">
                            <a:noFill/>
                          </a:ln>
                        </wps:spPr>
                        <wps:style>
                          <a:lnRef idx="0"/>
                          <a:fillRef idx="0"/>
                          <a:effectRef idx="0"/>
                          <a:fontRef idx="minor"/>
                        </wps:style>
                        <wps:bodyPr/>
                      </wps:wsp>
                      <wps:wsp>
                        <wps:cNvSpPr/>
                        <wps:spPr>
                          <a:xfrm>
                            <a:off x="1440" y="0"/>
                            <a:ext cx="1440" cy="720"/>
                          </a:xfrm>
                          <a:prstGeom prst="rect">
                            <a:avLst/>
                          </a:prstGeom>
                          <a:noFill/>
                          <a:ln w="1524">
                            <a:solidFill>
                              <a:srgbClr val="c0c0c0"/>
                            </a:solidFill>
                            <a:miter/>
                          </a:ln>
                        </wps:spPr>
                        <wps:style>
                          <a:lnRef idx="0"/>
                          <a:fillRef idx="0"/>
                          <a:effectRef idx="0"/>
                          <a:fontRef idx="minor"/>
                        </wps:style>
                        <wps:bodyPr/>
                      </wps:wsp>
                    </wpg:wgp>
                  </a:graphicData>
                </a:graphic>
              </wp:anchor>
            </w:drawing>
          </mc:Choice>
          <mc:Fallback>
            <w:pict>
              <v:group id="shape_0" alt="Group 21" style="position:absolute;margin-left:84.9pt;margin-top:4.95pt;width:18.4pt;height:14.7pt" coordorigin="1698,99" coordsize="368,294">
                <v:rect id="shape_0" ID="Rectangle 23" fillcolor="silver" stroked="f" style="position:absolute;left:1698;top:99;width:1;height:0;mso-wrap-style:none;v-text-anchor:middle;mso-position-horizontal-relative:page">
                  <v:fill o:detectmouseclick="t" type="solid" color2="#3f3f3f"/>
                  <v:stroke color="#3465a4" joinstyle="round" endcap="flat"/>
                  <w10:wrap type="none"/>
                </v:rect>
                <v:rect id="shape_0" ID="Rectangle 24" stroked="t" style="position:absolute;left:1698;top:99;width:1;height:0;mso-wrap-style:none;v-text-anchor:middle;mso-position-horizontal-relative:page">
                  <v:fill o:detectmouseclick="t" on="false"/>
                  <v:stroke color="silver" weight="1440" joinstyle="miter" endcap="flat"/>
                </v:rect>
                <v:rect id="shape_0" ID="Rectangle 25" fillcolor="silver" stroked="f" style="position:absolute;left:1700;top:99;width:1;height:0;mso-wrap-style:none;v-text-anchor:middle;mso-position-horizontal-relative:page">
                  <v:fill o:detectmouseclick="t" type="solid" color2="#3f3f3f"/>
                  <v:stroke color="#3465a4" joinstyle="round" endcap="flat"/>
                </v:rect>
                <v:rect id="shape_0" ID="Rectangle 26" stroked="t" style="position:absolute;left:1700;top:99;width:1;height:0;mso-wrap-style:none;v-text-anchor:middle;mso-position-horizontal-relative:page">
                  <v:fill o:detectmouseclick="t" on="false"/>
                  <v:stroke color="silver" weight="1440" joinstyle="miter" endcap="flat"/>
                </v:rect>
              </v:group>
            </w:pict>
          </mc:Fallback>
        </mc:AlternateContent>
      </w:r>
      <w:r>
        <w:rPr>
          <w:rFonts w:cs="Tahoma" w:ascii="Tahoma" w:hAnsi="Tahoma"/>
          <w:b/>
          <w:i/>
          <w:iCs/>
          <w:color w:val="3E3E3E"/>
          <w:sz w:val="20"/>
          <w:szCs w:val="20"/>
          <w:shd w:fill="C0C0C0" w:val="clear"/>
        </w:rPr>
        <w:t>“</w:t>
      </w:r>
      <w:r>
        <w:rPr>
          <w:rFonts w:cs="Tahoma" w:ascii="Tahoma" w:hAnsi="Tahoma"/>
          <w:b/>
          <w:i/>
          <w:iCs/>
          <w:color w:val="3E3E3E"/>
          <w:sz w:val="20"/>
          <w:szCs w:val="20"/>
          <w:shd w:fill="C0C0C0" w:val="clear"/>
        </w:rPr>
        <w:t>2</w:t>
      </w:r>
      <w:r>
        <w:rPr>
          <w:rFonts w:cs="Tahoma" w:ascii="Tahoma" w:hAnsi="Tahoma"/>
          <w:b/>
          <w:i/>
          <w:iCs/>
          <w:color w:val="3E3E3E"/>
          <w:sz w:val="20"/>
          <w:szCs w:val="20"/>
        </w:rPr>
        <w:t>°.</w:t>
      </w:r>
      <w:r>
        <w:rPr>
          <w:rFonts w:cs="Tahoma" w:ascii="Tahoma" w:hAnsi="Tahoma"/>
          <w:b/>
          <w:i/>
          <w:iCs/>
          <w:sz w:val="20"/>
          <w:szCs w:val="20"/>
        </w:rPr>
        <w:t xml:space="preserve"> </w:t>
      </w:r>
      <w:r>
        <w:rPr>
          <w:rFonts w:cs="Tahoma" w:ascii="Tahoma" w:hAnsi="Tahoma"/>
          <w:i/>
          <w:iCs/>
          <w:sz w:val="20"/>
          <w:szCs w:val="20"/>
        </w:rPr>
        <w:t>Consultar a la Fiscal ía Adjunta de Asuntos Indígenas, informe sobre el control de las estadísticas de los asuntos indígenas por fiscalía, así como del cronograma de atención a los territorios indígenas en el Cantón de Buenos Aires y brinde seguimiento al proyecto, así como de los informes trimestrales a la Direcci ón de Planificaci ón de las actividades realizadas por las plazas asignadas y el desarrollo del proyecto, con el fin de tener datos y elementos para evaluar la necesidad del recurso. Se declara este acuerdo firme. ”</w:t>
      </w:r>
    </w:p>
    <w:p>
      <w:pPr>
        <w:pStyle w:val="Cuerpodetexto"/>
        <w:rPr>
          <w:rFonts w:ascii="Tahoma" w:hAnsi="Tahoma" w:cs="Tahoma"/>
          <w:i/>
          <w:i/>
          <w:iCs/>
          <w:sz w:val="20"/>
          <w:szCs w:val="20"/>
        </w:rPr>
      </w:pPr>
      <w:r>
        <w:rPr>
          <w:rFonts w:cs="Tahoma" w:ascii="Tahoma" w:hAnsi="Tahoma"/>
          <w:i/>
          <w:iCs/>
          <w:sz w:val="20"/>
          <w:szCs w:val="20"/>
        </w:rPr>
      </w:r>
    </w:p>
    <w:p>
      <w:pPr>
        <w:pStyle w:val="Ttulo11"/>
        <w:rPr>
          <w:rFonts w:ascii="Tahoma" w:hAnsi="Tahoma" w:cs="Tahoma"/>
          <w:i/>
          <w:i/>
          <w:iCs/>
          <w:sz w:val="20"/>
          <w:szCs w:val="20"/>
        </w:rPr>
      </w:pPr>
      <w:r>
        <w:rPr>
          <w:rFonts w:cs="Tahoma" w:ascii="Tahoma" w:hAnsi="Tahoma"/>
          <w:i/>
          <w:iCs/>
          <w:sz w:val="20"/>
          <w:szCs w:val="20"/>
        </w:rPr>
        <w:t>I.- Antecedente:</w:t>
      </w:r>
    </w:p>
    <w:p>
      <w:pPr>
        <w:pStyle w:val="Normal"/>
        <w:jc w:val="both"/>
        <w:rPr>
          <w:rFonts w:ascii="Tahoma" w:hAnsi="Tahoma" w:cs="Tahoma"/>
          <w:i/>
          <w:i/>
          <w:iCs/>
          <w:sz w:val="20"/>
          <w:szCs w:val="20"/>
        </w:rPr>
      </w:pPr>
      <w:r>
        <w:rPr>
          <w:rFonts w:cs="Tahoma" w:ascii="Tahoma" w:hAnsi="Tahoma"/>
          <w:i/>
          <w:iCs/>
          <w:sz w:val="20"/>
          <w:szCs w:val="20"/>
        </w:rPr>
      </w:r>
    </w:p>
    <w:p>
      <w:pPr>
        <w:pStyle w:val="Normal"/>
        <w:spacing w:lineRule="auto" w:line="360" w:before="101" w:after="200"/>
        <w:ind w:left="119" w:right="114" w:firstLine="720"/>
        <w:jc w:val="both"/>
        <w:rPr>
          <w:rFonts w:ascii="Tahoma" w:hAnsi="Tahoma" w:cs="Tahoma"/>
          <w:i/>
          <w:i/>
          <w:iCs/>
          <w:sz w:val="20"/>
          <w:szCs w:val="20"/>
        </w:rPr>
      </w:pPr>
      <w:r>
        <w:rPr>
          <w:rFonts w:cs="Tahoma" w:ascii="Tahoma" w:hAnsi="Tahoma"/>
          <w:i/>
          <w:iCs/>
          <w:sz w:val="20"/>
          <w:szCs w:val="20"/>
        </w:rPr>
        <w:t>La Fiscalía de Asuntos Indígenas, mediante oficio 249-2019 del diez de octubre del año dos mil diecinueve, solicitó al Consejo Superior del Poder Judicial el nombramiento de una plaza de técnico judicial en la Fiscalía de Buenos Aires, concretamente “se autorice el permiso con goce de salario y sustitución del técnico judicial 2 N°96502, del período del 31 de Octubre del 2019 al 31 de Diciembre del 2019, con la finalidad de no afectar el servicio que se le brinda a esa población en situación de vulnerabilidad y cumplir con los objetivos planteados.”</w:t>
      </w:r>
    </w:p>
    <w:p>
      <w:pPr>
        <w:pStyle w:val="Normal"/>
        <w:spacing w:lineRule="auto" w:line="360" w:before="197" w:after="200"/>
        <w:ind w:left="119" w:right="102" w:firstLine="708"/>
        <w:jc w:val="both"/>
        <w:rPr>
          <w:rFonts w:ascii="Tahoma" w:hAnsi="Tahoma" w:cs="Tahoma"/>
          <w:b/>
          <w:b/>
          <w:i/>
          <w:i/>
          <w:iCs/>
          <w:sz w:val="20"/>
          <w:szCs w:val="20"/>
        </w:rPr>
      </w:pPr>
      <w:r>
        <w:rPr>
          <w:rFonts w:cs="Tahoma" w:ascii="Tahoma" w:hAnsi="Tahoma"/>
          <w:i/>
          <w:iCs/>
          <w:sz w:val="20"/>
          <w:szCs w:val="20"/>
        </w:rPr>
        <w:t xml:space="preserve">Ante esta solicitud, el Consejo Superior resolvió: </w:t>
      </w:r>
      <w:r>
        <w:rPr>
          <w:rFonts w:cs="Tahoma" w:ascii="Tahoma" w:hAnsi="Tahoma"/>
          <w:i/>
          <w:iCs/>
          <w:spacing w:val="2"/>
          <w:sz w:val="20"/>
          <w:szCs w:val="20"/>
        </w:rPr>
        <w:t>“</w:t>
      </w:r>
      <w:r>
        <w:rPr>
          <w:rFonts w:cs="Tahoma" w:ascii="Tahoma" w:hAnsi="Tahoma"/>
          <w:b/>
          <w:i/>
          <w:iCs/>
          <w:spacing w:val="2"/>
          <w:sz w:val="20"/>
          <w:szCs w:val="20"/>
        </w:rPr>
        <w:t xml:space="preserve">Se acordó: </w:t>
      </w:r>
      <w:r>
        <w:rPr>
          <w:rFonts w:cs="Tahoma" w:ascii="Tahoma" w:hAnsi="Tahoma"/>
          <w:i/>
          <w:iCs/>
          <w:sz w:val="20"/>
          <w:szCs w:val="20"/>
        </w:rPr>
        <w:t xml:space="preserve">Denegar la gestión presentada por </w:t>
      </w:r>
      <w:r>
        <w:rPr>
          <w:rFonts w:cs="Tahoma" w:ascii="Tahoma" w:hAnsi="Tahoma"/>
          <w:i/>
          <w:iCs/>
          <w:spacing w:val="10"/>
          <w:sz w:val="20"/>
          <w:szCs w:val="20"/>
        </w:rPr>
        <w:t xml:space="preserve">la </w:t>
      </w:r>
      <w:r>
        <w:rPr>
          <w:rFonts w:cs="Tahoma" w:ascii="Tahoma" w:hAnsi="Tahoma"/>
          <w:i/>
          <w:iCs/>
          <w:spacing w:val="2"/>
          <w:sz w:val="20"/>
          <w:szCs w:val="20"/>
        </w:rPr>
        <w:t xml:space="preserve">licenciada Tattiana </w:t>
      </w:r>
      <w:r>
        <w:rPr>
          <w:rFonts w:cs="Tahoma" w:ascii="Tahoma" w:hAnsi="Tahoma"/>
          <w:i/>
          <w:iCs/>
          <w:spacing w:val="3"/>
          <w:sz w:val="20"/>
          <w:szCs w:val="20"/>
        </w:rPr>
        <w:t xml:space="preserve">García </w:t>
      </w:r>
      <w:r>
        <w:rPr>
          <w:rFonts w:cs="Tahoma" w:ascii="Tahoma" w:hAnsi="Tahoma"/>
          <w:i/>
          <w:iCs/>
          <w:spacing w:val="2"/>
          <w:sz w:val="20"/>
          <w:szCs w:val="20"/>
        </w:rPr>
        <w:t xml:space="preserve">Chaves, </w:t>
      </w:r>
      <w:r>
        <w:rPr>
          <w:rFonts w:cs="Tahoma" w:ascii="Tahoma" w:hAnsi="Tahoma"/>
          <w:i/>
          <w:iCs/>
          <w:spacing w:val="3"/>
          <w:sz w:val="20"/>
          <w:szCs w:val="20"/>
        </w:rPr>
        <w:t xml:space="preserve">Fiscal Adjunta </w:t>
      </w:r>
      <w:r>
        <w:rPr>
          <w:rFonts w:cs="Tahoma" w:ascii="Tahoma" w:hAnsi="Tahoma"/>
          <w:i/>
          <w:iCs/>
          <w:spacing w:val="10"/>
          <w:sz w:val="20"/>
          <w:szCs w:val="20"/>
        </w:rPr>
        <w:t xml:space="preserve">de </w:t>
      </w:r>
      <w:r>
        <w:rPr>
          <w:rFonts w:cs="Tahoma" w:ascii="Tahoma" w:hAnsi="Tahoma"/>
          <w:i/>
          <w:iCs/>
          <w:spacing w:val="3"/>
          <w:sz w:val="20"/>
          <w:szCs w:val="20"/>
        </w:rPr>
        <w:t xml:space="preserve">Asuntos </w:t>
      </w:r>
      <w:r>
        <w:rPr>
          <w:rFonts w:cs="Tahoma" w:ascii="Tahoma" w:hAnsi="Tahoma"/>
          <w:i/>
          <w:iCs/>
          <w:sz w:val="20"/>
          <w:szCs w:val="20"/>
        </w:rPr>
        <w:t xml:space="preserve">Indígenas, en </w:t>
      </w:r>
      <w:r>
        <w:rPr>
          <w:rFonts w:cs="Tahoma" w:ascii="Tahoma" w:hAnsi="Tahoma"/>
          <w:i/>
          <w:iCs/>
          <w:spacing w:val="4"/>
          <w:sz w:val="20"/>
          <w:szCs w:val="20"/>
        </w:rPr>
        <w:t xml:space="preserve">cuanto </w:t>
      </w:r>
      <w:r>
        <w:rPr>
          <w:rFonts w:cs="Tahoma" w:ascii="Tahoma" w:hAnsi="Tahoma"/>
          <w:i/>
          <w:iCs/>
          <w:sz w:val="20"/>
          <w:szCs w:val="20"/>
        </w:rPr>
        <w:t xml:space="preserve">a </w:t>
      </w:r>
      <w:r>
        <w:rPr>
          <w:rFonts w:cs="Tahoma" w:ascii="Tahoma" w:hAnsi="Tahoma"/>
          <w:i/>
          <w:iCs/>
          <w:spacing w:val="10"/>
          <w:sz w:val="20"/>
          <w:szCs w:val="20"/>
        </w:rPr>
        <w:t xml:space="preserve">la </w:t>
      </w:r>
      <w:r>
        <w:rPr>
          <w:rFonts w:cs="Tahoma" w:ascii="Tahoma" w:hAnsi="Tahoma"/>
          <w:i/>
          <w:iCs/>
          <w:spacing w:val="2"/>
          <w:sz w:val="20"/>
          <w:szCs w:val="20"/>
        </w:rPr>
        <w:t xml:space="preserve">necesidad </w:t>
      </w:r>
      <w:r>
        <w:rPr>
          <w:rFonts w:cs="Tahoma" w:ascii="Tahoma" w:hAnsi="Tahoma"/>
          <w:i/>
          <w:iCs/>
          <w:spacing w:val="9"/>
          <w:sz w:val="20"/>
          <w:szCs w:val="20"/>
        </w:rPr>
        <w:t xml:space="preserve">de la </w:t>
      </w:r>
      <w:r>
        <w:rPr>
          <w:rFonts w:cs="Tahoma" w:ascii="Tahoma" w:hAnsi="Tahoma"/>
          <w:i/>
          <w:iCs/>
          <w:spacing w:val="3"/>
          <w:sz w:val="20"/>
          <w:szCs w:val="20"/>
        </w:rPr>
        <w:t xml:space="preserve">plaza </w:t>
      </w:r>
      <w:r>
        <w:rPr>
          <w:rFonts w:cs="Tahoma" w:ascii="Tahoma" w:hAnsi="Tahoma"/>
          <w:i/>
          <w:iCs/>
          <w:spacing w:val="2"/>
          <w:sz w:val="20"/>
          <w:szCs w:val="20"/>
        </w:rPr>
        <w:t xml:space="preserve">Técnico Judicial </w:t>
      </w:r>
      <w:r>
        <w:rPr>
          <w:rFonts w:cs="Tahoma" w:ascii="Tahoma" w:hAnsi="Tahoma"/>
          <w:i/>
          <w:iCs/>
          <w:sz w:val="20"/>
          <w:szCs w:val="20"/>
        </w:rPr>
        <w:t xml:space="preserve">2 </w:t>
      </w:r>
      <w:r>
        <w:rPr>
          <w:rFonts w:cs="Tahoma" w:ascii="Tahoma" w:hAnsi="Tahoma"/>
          <w:i/>
          <w:iCs/>
          <w:spacing w:val="2"/>
          <w:sz w:val="20"/>
          <w:szCs w:val="20"/>
        </w:rPr>
        <w:t xml:space="preserve">asignada </w:t>
      </w:r>
      <w:r>
        <w:rPr>
          <w:rFonts w:cs="Tahoma" w:ascii="Tahoma" w:hAnsi="Tahoma"/>
          <w:i/>
          <w:iCs/>
          <w:spacing w:val="6"/>
          <w:sz w:val="20"/>
          <w:szCs w:val="20"/>
        </w:rPr>
        <w:t xml:space="preserve">con </w:t>
      </w:r>
      <w:r>
        <w:rPr>
          <w:rFonts w:cs="Tahoma" w:ascii="Tahoma" w:hAnsi="Tahoma"/>
          <w:i/>
          <w:iCs/>
          <w:spacing w:val="2"/>
          <w:sz w:val="20"/>
          <w:szCs w:val="20"/>
        </w:rPr>
        <w:t xml:space="preserve">permiso </w:t>
      </w:r>
      <w:r>
        <w:rPr>
          <w:rFonts w:cs="Tahoma" w:ascii="Tahoma" w:hAnsi="Tahoma"/>
          <w:i/>
          <w:iCs/>
          <w:spacing w:val="6"/>
          <w:sz w:val="20"/>
          <w:szCs w:val="20"/>
        </w:rPr>
        <w:t xml:space="preserve">con </w:t>
      </w:r>
      <w:r>
        <w:rPr>
          <w:rFonts w:cs="Tahoma" w:ascii="Tahoma" w:hAnsi="Tahoma"/>
          <w:i/>
          <w:iCs/>
          <w:spacing w:val="5"/>
          <w:sz w:val="20"/>
          <w:szCs w:val="20"/>
        </w:rPr>
        <w:t xml:space="preserve">goce </w:t>
      </w:r>
      <w:r>
        <w:rPr>
          <w:rFonts w:cs="Tahoma" w:ascii="Tahoma" w:hAnsi="Tahoma"/>
          <w:i/>
          <w:iCs/>
          <w:sz w:val="20"/>
          <w:szCs w:val="20"/>
        </w:rPr>
        <w:t xml:space="preserve">de salario y sustitución para </w:t>
      </w:r>
      <w:r>
        <w:rPr>
          <w:rFonts w:cs="Tahoma" w:ascii="Tahoma" w:hAnsi="Tahoma"/>
          <w:i/>
          <w:iCs/>
          <w:spacing w:val="4"/>
          <w:sz w:val="20"/>
          <w:szCs w:val="20"/>
        </w:rPr>
        <w:t xml:space="preserve">atender </w:t>
      </w:r>
      <w:r>
        <w:rPr>
          <w:rFonts w:cs="Tahoma" w:ascii="Tahoma" w:hAnsi="Tahoma"/>
          <w:i/>
          <w:iCs/>
          <w:spacing w:val="12"/>
          <w:sz w:val="20"/>
          <w:szCs w:val="20"/>
        </w:rPr>
        <w:t xml:space="preserve">el </w:t>
      </w:r>
      <w:r>
        <w:rPr>
          <w:rFonts w:cs="Tahoma" w:ascii="Tahoma" w:hAnsi="Tahoma"/>
          <w:i/>
          <w:iCs/>
          <w:spacing w:val="3"/>
          <w:sz w:val="20"/>
          <w:szCs w:val="20"/>
        </w:rPr>
        <w:t xml:space="preserve">ejercicio </w:t>
      </w:r>
      <w:r>
        <w:rPr>
          <w:rFonts w:cs="Tahoma" w:ascii="Tahoma" w:hAnsi="Tahoma"/>
          <w:i/>
          <w:iCs/>
          <w:spacing w:val="12"/>
          <w:sz w:val="20"/>
          <w:szCs w:val="20"/>
        </w:rPr>
        <w:t xml:space="preserve">de la </w:t>
      </w:r>
      <w:r>
        <w:rPr>
          <w:rFonts w:cs="Tahoma" w:ascii="Tahoma" w:hAnsi="Tahoma"/>
          <w:i/>
          <w:iCs/>
          <w:spacing w:val="4"/>
          <w:sz w:val="20"/>
          <w:szCs w:val="20"/>
        </w:rPr>
        <w:t xml:space="preserve">acción penal </w:t>
      </w:r>
      <w:r>
        <w:rPr>
          <w:rFonts w:cs="Tahoma" w:ascii="Tahoma" w:hAnsi="Tahoma"/>
          <w:i/>
          <w:iCs/>
          <w:spacing w:val="11"/>
          <w:sz w:val="20"/>
          <w:szCs w:val="20"/>
        </w:rPr>
        <w:t xml:space="preserve">de </w:t>
      </w:r>
      <w:r>
        <w:rPr>
          <w:rFonts w:cs="Tahoma" w:ascii="Tahoma" w:hAnsi="Tahoma"/>
          <w:i/>
          <w:iCs/>
          <w:spacing w:val="8"/>
          <w:sz w:val="20"/>
          <w:szCs w:val="20"/>
        </w:rPr>
        <w:t xml:space="preserve">los </w:t>
      </w:r>
      <w:r>
        <w:rPr>
          <w:rFonts w:cs="Tahoma" w:ascii="Tahoma" w:hAnsi="Tahoma"/>
          <w:i/>
          <w:iCs/>
          <w:spacing w:val="3"/>
          <w:sz w:val="20"/>
          <w:szCs w:val="20"/>
        </w:rPr>
        <w:t>posibles delitos</w:t>
      </w:r>
      <w:r>
        <w:rPr>
          <w:rFonts w:cs="Tahoma" w:ascii="Tahoma" w:hAnsi="Tahoma"/>
          <w:i/>
          <w:iCs/>
          <w:spacing w:val="-37"/>
          <w:sz w:val="20"/>
          <w:szCs w:val="20"/>
        </w:rPr>
        <w:t xml:space="preserve"> </w:t>
      </w:r>
      <w:r>
        <w:rPr>
          <w:rFonts w:cs="Tahoma" w:ascii="Tahoma" w:hAnsi="Tahoma"/>
          <w:i/>
          <w:iCs/>
          <w:sz w:val="20"/>
          <w:szCs w:val="20"/>
        </w:rPr>
        <w:t xml:space="preserve">de usurpación </w:t>
      </w:r>
      <w:r>
        <w:rPr>
          <w:rFonts w:cs="Tahoma" w:ascii="Tahoma" w:hAnsi="Tahoma"/>
          <w:i/>
          <w:iCs/>
          <w:spacing w:val="5"/>
          <w:sz w:val="20"/>
          <w:szCs w:val="20"/>
        </w:rPr>
        <w:t xml:space="preserve">de </w:t>
      </w:r>
      <w:r>
        <w:rPr>
          <w:rFonts w:cs="Tahoma" w:ascii="Tahoma" w:hAnsi="Tahoma"/>
          <w:i/>
          <w:iCs/>
          <w:sz w:val="20"/>
          <w:szCs w:val="20"/>
        </w:rPr>
        <w:t xml:space="preserve">tierras </w:t>
      </w:r>
      <w:r>
        <w:rPr>
          <w:rFonts w:cs="Tahoma" w:ascii="Tahoma" w:hAnsi="Tahoma"/>
          <w:i/>
          <w:iCs/>
          <w:spacing w:val="5"/>
          <w:sz w:val="20"/>
          <w:szCs w:val="20"/>
        </w:rPr>
        <w:t xml:space="preserve">en </w:t>
      </w:r>
      <w:r>
        <w:rPr>
          <w:rFonts w:cs="Tahoma" w:ascii="Tahoma" w:hAnsi="Tahoma"/>
          <w:i/>
          <w:iCs/>
          <w:spacing w:val="4"/>
          <w:sz w:val="20"/>
          <w:szCs w:val="20"/>
        </w:rPr>
        <w:t xml:space="preserve">los </w:t>
      </w:r>
      <w:r>
        <w:rPr>
          <w:rFonts w:cs="Tahoma" w:ascii="Tahoma" w:hAnsi="Tahoma"/>
          <w:i/>
          <w:iCs/>
          <w:sz w:val="20"/>
          <w:szCs w:val="20"/>
        </w:rPr>
        <w:t xml:space="preserve">territorios indígenas </w:t>
      </w:r>
      <w:r>
        <w:rPr>
          <w:rFonts w:cs="Tahoma" w:ascii="Tahoma" w:hAnsi="Tahoma"/>
          <w:i/>
          <w:iCs/>
          <w:spacing w:val="3"/>
          <w:sz w:val="20"/>
          <w:szCs w:val="20"/>
        </w:rPr>
        <w:t xml:space="preserve">del </w:t>
      </w:r>
      <w:r>
        <w:rPr>
          <w:rFonts w:cs="Tahoma" w:ascii="Tahoma" w:hAnsi="Tahoma"/>
          <w:i/>
          <w:iCs/>
          <w:spacing w:val="2"/>
          <w:sz w:val="20"/>
          <w:szCs w:val="20"/>
        </w:rPr>
        <w:t xml:space="preserve">Cantón </w:t>
      </w:r>
      <w:r>
        <w:rPr>
          <w:rFonts w:cs="Tahoma" w:ascii="Tahoma" w:hAnsi="Tahoma"/>
          <w:i/>
          <w:iCs/>
          <w:spacing w:val="5"/>
          <w:sz w:val="20"/>
          <w:szCs w:val="20"/>
        </w:rPr>
        <w:t xml:space="preserve">de </w:t>
      </w:r>
      <w:r>
        <w:rPr>
          <w:rFonts w:cs="Tahoma" w:ascii="Tahoma" w:hAnsi="Tahoma"/>
          <w:i/>
          <w:iCs/>
          <w:spacing w:val="2"/>
          <w:sz w:val="20"/>
          <w:szCs w:val="20"/>
        </w:rPr>
        <w:t xml:space="preserve">Buenos </w:t>
      </w:r>
      <w:r>
        <w:rPr>
          <w:rFonts w:cs="Tahoma" w:ascii="Tahoma" w:hAnsi="Tahoma"/>
          <w:i/>
          <w:iCs/>
          <w:sz w:val="20"/>
          <w:szCs w:val="20"/>
        </w:rPr>
        <w:t xml:space="preserve">Aires, </w:t>
      </w:r>
      <w:r>
        <w:rPr>
          <w:rFonts w:cs="Tahoma" w:ascii="Tahoma" w:hAnsi="Tahoma"/>
          <w:i/>
          <w:iCs/>
          <w:spacing w:val="7"/>
          <w:sz w:val="20"/>
          <w:szCs w:val="20"/>
        </w:rPr>
        <w:t xml:space="preserve">y </w:t>
      </w:r>
      <w:r>
        <w:rPr>
          <w:rFonts w:cs="Tahoma" w:ascii="Tahoma" w:hAnsi="Tahoma"/>
          <w:i/>
          <w:iCs/>
          <w:spacing w:val="4"/>
          <w:sz w:val="20"/>
          <w:szCs w:val="20"/>
        </w:rPr>
        <w:t xml:space="preserve">en </w:t>
      </w:r>
      <w:r>
        <w:rPr>
          <w:rFonts w:cs="Tahoma" w:ascii="Tahoma" w:hAnsi="Tahoma"/>
          <w:i/>
          <w:iCs/>
          <w:sz w:val="20"/>
          <w:szCs w:val="20"/>
        </w:rPr>
        <w:t xml:space="preserve">atención de la medida cautelar impuesta por la Corte Interamericana al Estado costarricense, en razón de que al igual que en estudios anteriores, se ha determinado que la carga de trabajo no justifica plenamente </w:t>
      </w:r>
      <w:r>
        <w:rPr>
          <w:rFonts w:cs="Tahoma" w:ascii="Tahoma" w:hAnsi="Tahoma"/>
          <w:i/>
          <w:iCs/>
          <w:spacing w:val="4"/>
          <w:sz w:val="20"/>
          <w:szCs w:val="20"/>
        </w:rPr>
        <w:t xml:space="preserve">la </w:t>
      </w:r>
      <w:r>
        <w:rPr>
          <w:rFonts w:cs="Tahoma" w:ascii="Tahoma" w:hAnsi="Tahoma"/>
          <w:i/>
          <w:iCs/>
          <w:sz w:val="20"/>
          <w:szCs w:val="20"/>
        </w:rPr>
        <w:t xml:space="preserve">creación </w:t>
      </w:r>
      <w:r>
        <w:rPr>
          <w:rFonts w:cs="Tahoma" w:ascii="Tahoma" w:hAnsi="Tahoma"/>
          <w:i/>
          <w:iCs/>
          <w:spacing w:val="4"/>
          <w:sz w:val="20"/>
          <w:szCs w:val="20"/>
        </w:rPr>
        <w:t xml:space="preserve">de </w:t>
      </w:r>
      <w:r>
        <w:rPr>
          <w:rFonts w:cs="Tahoma" w:ascii="Tahoma" w:hAnsi="Tahoma"/>
          <w:i/>
          <w:iCs/>
          <w:spacing w:val="3"/>
          <w:sz w:val="20"/>
          <w:szCs w:val="20"/>
        </w:rPr>
        <w:t xml:space="preserve">los </w:t>
      </w:r>
      <w:r>
        <w:rPr>
          <w:rFonts w:cs="Tahoma" w:ascii="Tahoma" w:hAnsi="Tahoma"/>
          <w:i/>
          <w:iCs/>
          <w:sz w:val="20"/>
          <w:szCs w:val="20"/>
        </w:rPr>
        <w:t xml:space="preserve">recursos </w:t>
      </w:r>
      <w:r>
        <w:rPr>
          <w:rFonts w:cs="Tahoma" w:ascii="Tahoma" w:hAnsi="Tahoma"/>
          <w:i/>
          <w:iCs/>
          <w:spacing w:val="3"/>
          <w:sz w:val="20"/>
          <w:szCs w:val="20"/>
        </w:rPr>
        <w:t xml:space="preserve">que </w:t>
      </w:r>
      <w:r>
        <w:rPr>
          <w:rFonts w:cs="Tahoma" w:ascii="Tahoma" w:hAnsi="Tahoma"/>
          <w:i/>
          <w:iCs/>
          <w:spacing w:val="4"/>
          <w:sz w:val="20"/>
          <w:szCs w:val="20"/>
        </w:rPr>
        <w:t xml:space="preserve">se </w:t>
      </w:r>
      <w:r>
        <w:rPr>
          <w:rFonts w:cs="Tahoma" w:ascii="Tahoma" w:hAnsi="Tahoma"/>
          <w:i/>
          <w:iCs/>
          <w:spacing w:val="3"/>
          <w:sz w:val="20"/>
          <w:szCs w:val="20"/>
        </w:rPr>
        <w:t xml:space="preserve">han </w:t>
      </w:r>
      <w:r>
        <w:rPr>
          <w:rFonts w:cs="Tahoma" w:ascii="Tahoma" w:hAnsi="Tahoma"/>
          <w:i/>
          <w:iCs/>
          <w:sz w:val="20"/>
          <w:szCs w:val="20"/>
        </w:rPr>
        <w:t xml:space="preserve">venido desempeñando, </w:t>
      </w:r>
      <w:r>
        <w:rPr>
          <w:rFonts w:cs="Tahoma" w:ascii="Tahoma" w:hAnsi="Tahoma"/>
          <w:i/>
          <w:iCs/>
          <w:spacing w:val="4"/>
          <w:sz w:val="20"/>
          <w:szCs w:val="20"/>
        </w:rPr>
        <w:t xml:space="preserve">en </w:t>
      </w:r>
      <w:r>
        <w:rPr>
          <w:rFonts w:cs="Tahoma" w:ascii="Tahoma" w:hAnsi="Tahoma"/>
          <w:i/>
          <w:iCs/>
          <w:sz w:val="20"/>
          <w:szCs w:val="20"/>
        </w:rPr>
        <w:t xml:space="preserve">la Fiscalía de Buenos Aires, además de la coyuntura presupuestaria de la Institución y las limitaciones </w:t>
      </w:r>
      <w:r>
        <w:rPr>
          <w:rFonts w:cs="Tahoma" w:ascii="Tahoma" w:hAnsi="Tahoma"/>
          <w:i/>
          <w:iCs/>
          <w:spacing w:val="2"/>
          <w:sz w:val="20"/>
          <w:szCs w:val="20"/>
        </w:rPr>
        <w:t xml:space="preserve">existentes </w:t>
      </w:r>
      <w:r>
        <w:rPr>
          <w:rFonts w:cs="Tahoma" w:ascii="Tahoma" w:hAnsi="Tahoma"/>
          <w:i/>
          <w:iCs/>
          <w:sz w:val="20"/>
          <w:szCs w:val="20"/>
        </w:rPr>
        <w:t xml:space="preserve">a </w:t>
      </w:r>
      <w:r>
        <w:rPr>
          <w:rFonts w:cs="Tahoma" w:ascii="Tahoma" w:hAnsi="Tahoma"/>
          <w:i/>
          <w:iCs/>
          <w:spacing w:val="3"/>
          <w:sz w:val="20"/>
          <w:szCs w:val="20"/>
        </w:rPr>
        <w:t xml:space="preserve">nivel </w:t>
      </w:r>
      <w:r>
        <w:rPr>
          <w:rFonts w:cs="Tahoma" w:ascii="Tahoma" w:hAnsi="Tahoma"/>
          <w:i/>
          <w:iCs/>
          <w:spacing w:val="9"/>
          <w:sz w:val="20"/>
          <w:szCs w:val="20"/>
        </w:rPr>
        <w:t xml:space="preserve">de </w:t>
      </w:r>
      <w:r>
        <w:rPr>
          <w:rFonts w:cs="Tahoma" w:ascii="Tahoma" w:hAnsi="Tahoma"/>
          <w:i/>
          <w:iCs/>
          <w:spacing w:val="6"/>
          <w:sz w:val="20"/>
          <w:szCs w:val="20"/>
        </w:rPr>
        <w:t xml:space="preserve">las </w:t>
      </w:r>
      <w:r>
        <w:rPr>
          <w:rFonts w:cs="Tahoma" w:ascii="Tahoma" w:hAnsi="Tahoma"/>
          <w:i/>
          <w:iCs/>
          <w:spacing w:val="2"/>
          <w:sz w:val="20"/>
          <w:szCs w:val="20"/>
        </w:rPr>
        <w:t xml:space="preserve">propuestas </w:t>
      </w:r>
      <w:r>
        <w:rPr>
          <w:rFonts w:cs="Tahoma" w:ascii="Tahoma" w:hAnsi="Tahoma"/>
          <w:i/>
          <w:iCs/>
          <w:spacing w:val="5"/>
          <w:sz w:val="20"/>
          <w:szCs w:val="20"/>
        </w:rPr>
        <w:t xml:space="preserve">para </w:t>
      </w:r>
      <w:r>
        <w:rPr>
          <w:rFonts w:cs="Tahoma" w:ascii="Tahoma" w:hAnsi="Tahoma"/>
          <w:i/>
          <w:iCs/>
          <w:spacing w:val="4"/>
          <w:sz w:val="20"/>
          <w:szCs w:val="20"/>
        </w:rPr>
        <w:t xml:space="preserve">crear </w:t>
      </w:r>
      <w:r>
        <w:rPr>
          <w:rFonts w:cs="Tahoma" w:ascii="Tahoma" w:hAnsi="Tahoma"/>
          <w:i/>
          <w:iCs/>
          <w:spacing w:val="2"/>
          <w:sz w:val="20"/>
          <w:szCs w:val="20"/>
        </w:rPr>
        <w:t xml:space="preserve">permisos </w:t>
      </w:r>
      <w:r>
        <w:rPr>
          <w:rFonts w:cs="Tahoma" w:ascii="Tahoma" w:hAnsi="Tahoma"/>
          <w:i/>
          <w:iCs/>
          <w:spacing w:val="6"/>
          <w:sz w:val="20"/>
          <w:szCs w:val="20"/>
        </w:rPr>
        <w:t xml:space="preserve">con </w:t>
      </w:r>
      <w:r>
        <w:rPr>
          <w:rFonts w:cs="Tahoma" w:ascii="Tahoma" w:hAnsi="Tahoma"/>
          <w:i/>
          <w:iCs/>
          <w:spacing w:val="3"/>
          <w:sz w:val="20"/>
          <w:szCs w:val="20"/>
        </w:rPr>
        <w:t xml:space="preserve">goces </w:t>
      </w:r>
      <w:r>
        <w:rPr>
          <w:rFonts w:cs="Tahoma" w:ascii="Tahoma" w:hAnsi="Tahoma"/>
          <w:i/>
          <w:iCs/>
          <w:spacing w:val="8"/>
          <w:sz w:val="20"/>
          <w:szCs w:val="20"/>
        </w:rPr>
        <w:t xml:space="preserve">de </w:t>
      </w:r>
      <w:r>
        <w:rPr>
          <w:rFonts w:cs="Tahoma" w:ascii="Tahoma" w:hAnsi="Tahoma"/>
          <w:i/>
          <w:iCs/>
          <w:sz w:val="20"/>
          <w:szCs w:val="20"/>
        </w:rPr>
        <w:t xml:space="preserve">salario. No obstante, lo anterior, este Consejo, recomienda que la Fiscal ía de Asuntos Indígenas lleve un control de las estadísticas de los asuntos indígenas por fiscal ía, y a partir de la experiencia de Bribri-Salitre defina un cronograma de atención </w:t>
      </w:r>
      <w:r>
        <w:rPr>
          <w:rFonts w:cs="Tahoma" w:ascii="Tahoma" w:hAnsi="Tahoma"/>
          <w:i/>
          <w:iCs/>
          <w:spacing w:val="4"/>
          <w:sz w:val="20"/>
          <w:szCs w:val="20"/>
        </w:rPr>
        <w:t xml:space="preserve">a </w:t>
      </w:r>
      <w:r>
        <w:rPr>
          <w:rFonts w:cs="Tahoma" w:ascii="Tahoma" w:hAnsi="Tahoma"/>
          <w:i/>
          <w:iCs/>
          <w:sz w:val="20"/>
          <w:szCs w:val="20"/>
        </w:rPr>
        <w:t xml:space="preserve">los territorios indígenas en el </w:t>
      </w:r>
      <w:r>
        <w:rPr>
          <w:rFonts w:cs="Tahoma" w:ascii="Tahoma" w:hAnsi="Tahoma"/>
          <w:i/>
          <w:iCs/>
          <w:spacing w:val="2"/>
          <w:sz w:val="20"/>
          <w:szCs w:val="20"/>
        </w:rPr>
        <w:t xml:space="preserve">Cantón </w:t>
      </w:r>
      <w:r>
        <w:rPr>
          <w:rFonts w:cs="Tahoma" w:ascii="Tahoma" w:hAnsi="Tahoma"/>
          <w:i/>
          <w:iCs/>
          <w:spacing w:val="8"/>
          <w:sz w:val="20"/>
          <w:szCs w:val="20"/>
        </w:rPr>
        <w:t xml:space="preserve">de </w:t>
      </w:r>
      <w:r>
        <w:rPr>
          <w:rFonts w:cs="Tahoma" w:ascii="Tahoma" w:hAnsi="Tahoma"/>
          <w:i/>
          <w:iCs/>
          <w:spacing w:val="3"/>
          <w:sz w:val="20"/>
          <w:szCs w:val="20"/>
        </w:rPr>
        <w:t xml:space="preserve">Buenos Aires </w:t>
      </w:r>
      <w:r>
        <w:rPr>
          <w:rFonts w:cs="Tahoma" w:ascii="Tahoma" w:hAnsi="Tahoma"/>
          <w:i/>
          <w:iCs/>
          <w:spacing w:val="14"/>
          <w:sz w:val="20"/>
          <w:szCs w:val="20"/>
        </w:rPr>
        <w:t xml:space="preserve">y </w:t>
      </w:r>
      <w:r>
        <w:rPr>
          <w:rFonts w:cs="Tahoma" w:ascii="Tahoma" w:hAnsi="Tahoma"/>
          <w:i/>
          <w:iCs/>
          <w:spacing w:val="3"/>
          <w:sz w:val="20"/>
          <w:szCs w:val="20"/>
        </w:rPr>
        <w:t xml:space="preserve">brinde </w:t>
      </w:r>
      <w:r>
        <w:rPr>
          <w:rFonts w:cs="Tahoma" w:ascii="Tahoma" w:hAnsi="Tahoma"/>
          <w:i/>
          <w:iCs/>
          <w:sz w:val="20"/>
          <w:szCs w:val="20"/>
        </w:rPr>
        <w:t xml:space="preserve">seguimiento </w:t>
      </w:r>
      <w:r>
        <w:rPr>
          <w:rFonts w:cs="Tahoma" w:ascii="Tahoma" w:hAnsi="Tahoma"/>
          <w:i/>
          <w:iCs/>
          <w:spacing w:val="7"/>
          <w:sz w:val="20"/>
          <w:szCs w:val="20"/>
        </w:rPr>
        <w:t xml:space="preserve">al </w:t>
      </w:r>
      <w:r>
        <w:rPr>
          <w:rFonts w:cs="Tahoma" w:ascii="Tahoma" w:hAnsi="Tahoma"/>
          <w:i/>
          <w:iCs/>
          <w:sz w:val="20"/>
          <w:szCs w:val="20"/>
        </w:rPr>
        <w:t xml:space="preserve">proyecto. Asimismo, </w:t>
      </w:r>
      <w:r>
        <w:rPr>
          <w:rFonts w:cs="Tahoma" w:ascii="Tahoma" w:hAnsi="Tahoma"/>
          <w:i/>
          <w:iCs/>
          <w:spacing w:val="5"/>
          <w:sz w:val="20"/>
          <w:szCs w:val="20"/>
        </w:rPr>
        <w:t xml:space="preserve">que </w:t>
      </w:r>
      <w:r>
        <w:rPr>
          <w:rFonts w:cs="Tahoma" w:ascii="Tahoma" w:hAnsi="Tahoma"/>
          <w:i/>
          <w:iCs/>
          <w:spacing w:val="3"/>
          <w:sz w:val="20"/>
          <w:szCs w:val="20"/>
        </w:rPr>
        <w:t xml:space="preserve">rinda </w:t>
      </w:r>
      <w:r>
        <w:rPr>
          <w:rFonts w:cs="Tahoma" w:ascii="Tahoma" w:hAnsi="Tahoma"/>
          <w:i/>
          <w:iCs/>
          <w:sz w:val="20"/>
          <w:szCs w:val="20"/>
        </w:rPr>
        <w:t xml:space="preserve">informes trimestrales a la Dirección de Planificación de las actividades realizadas por las plazas asignadas </w:t>
      </w:r>
      <w:r>
        <w:rPr>
          <w:rFonts w:cs="Tahoma" w:ascii="Tahoma" w:hAnsi="Tahoma"/>
          <w:i/>
          <w:iCs/>
          <w:spacing w:val="4"/>
          <w:sz w:val="20"/>
          <w:szCs w:val="20"/>
        </w:rPr>
        <w:t xml:space="preserve">y </w:t>
      </w:r>
      <w:r>
        <w:rPr>
          <w:rFonts w:cs="Tahoma" w:ascii="Tahoma" w:hAnsi="Tahoma"/>
          <w:i/>
          <w:iCs/>
          <w:sz w:val="20"/>
          <w:szCs w:val="20"/>
        </w:rPr>
        <w:t xml:space="preserve">el desarrollo del proyecto, </w:t>
      </w:r>
      <w:r>
        <w:rPr>
          <w:rFonts w:cs="Tahoma" w:ascii="Tahoma" w:hAnsi="Tahoma"/>
          <w:i/>
          <w:iCs/>
          <w:spacing w:val="2"/>
          <w:sz w:val="20"/>
          <w:szCs w:val="20"/>
        </w:rPr>
        <w:t xml:space="preserve">con </w:t>
      </w:r>
      <w:r>
        <w:rPr>
          <w:rFonts w:cs="Tahoma" w:ascii="Tahoma" w:hAnsi="Tahoma"/>
          <w:i/>
          <w:iCs/>
          <w:sz w:val="20"/>
          <w:szCs w:val="20"/>
        </w:rPr>
        <w:t xml:space="preserve">el fin </w:t>
      </w:r>
      <w:r>
        <w:rPr>
          <w:rFonts w:cs="Tahoma" w:ascii="Tahoma" w:hAnsi="Tahoma"/>
          <w:i/>
          <w:iCs/>
          <w:spacing w:val="3"/>
          <w:sz w:val="20"/>
          <w:szCs w:val="20"/>
        </w:rPr>
        <w:t xml:space="preserve">de </w:t>
      </w:r>
      <w:r>
        <w:rPr>
          <w:rFonts w:cs="Tahoma" w:ascii="Tahoma" w:hAnsi="Tahoma"/>
          <w:i/>
          <w:iCs/>
          <w:sz w:val="20"/>
          <w:szCs w:val="20"/>
        </w:rPr>
        <w:t xml:space="preserve">tener datos </w:t>
      </w:r>
      <w:r>
        <w:rPr>
          <w:rFonts w:cs="Tahoma" w:ascii="Tahoma" w:hAnsi="Tahoma"/>
          <w:i/>
          <w:iCs/>
          <w:spacing w:val="4"/>
          <w:sz w:val="20"/>
          <w:szCs w:val="20"/>
        </w:rPr>
        <w:t xml:space="preserve">y </w:t>
      </w:r>
      <w:r>
        <w:rPr>
          <w:rFonts w:cs="Tahoma" w:ascii="Tahoma" w:hAnsi="Tahoma"/>
          <w:i/>
          <w:iCs/>
          <w:sz w:val="20"/>
          <w:szCs w:val="20"/>
        </w:rPr>
        <w:t xml:space="preserve">elementos para evaluar la necesidad del recurso. </w:t>
      </w:r>
      <w:r>
        <w:rPr>
          <w:rFonts w:cs="Tahoma" w:ascii="Tahoma" w:hAnsi="Tahoma"/>
          <w:b/>
          <w:i/>
          <w:iCs/>
          <w:spacing w:val="3"/>
          <w:sz w:val="20"/>
          <w:szCs w:val="20"/>
        </w:rPr>
        <w:t xml:space="preserve">Se </w:t>
      </w:r>
      <w:r>
        <w:rPr>
          <w:rFonts w:cs="Tahoma" w:ascii="Tahoma" w:hAnsi="Tahoma"/>
          <w:b/>
          <w:i/>
          <w:iCs/>
          <w:spacing w:val="2"/>
          <w:sz w:val="20"/>
          <w:szCs w:val="20"/>
        </w:rPr>
        <w:t xml:space="preserve">declara </w:t>
      </w:r>
      <w:r>
        <w:rPr>
          <w:rFonts w:cs="Tahoma" w:ascii="Tahoma" w:hAnsi="Tahoma"/>
          <w:b/>
          <w:i/>
          <w:iCs/>
          <w:spacing w:val="3"/>
          <w:sz w:val="20"/>
          <w:szCs w:val="20"/>
        </w:rPr>
        <w:t xml:space="preserve">este </w:t>
      </w:r>
      <w:r>
        <w:rPr>
          <w:rFonts w:cs="Tahoma" w:ascii="Tahoma" w:hAnsi="Tahoma"/>
          <w:b/>
          <w:i/>
          <w:iCs/>
          <w:spacing w:val="2"/>
          <w:sz w:val="20"/>
          <w:szCs w:val="20"/>
        </w:rPr>
        <w:t>acuerdo</w:t>
      </w:r>
      <w:r>
        <w:rPr>
          <w:rFonts w:cs="Tahoma" w:ascii="Tahoma" w:hAnsi="Tahoma"/>
          <w:b/>
          <w:i/>
          <w:iCs/>
          <w:spacing w:val="-3"/>
          <w:sz w:val="20"/>
          <w:szCs w:val="20"/>
        </w:rPr>
        <w:t xml:space="preserve"> </w:t>
      </w:r>
      <w:r>
        <w:rPr>
          <w:rFonts w:cs="Tahoma" w:ascii="Tahoma" w:hAnsi="Tahoma"/>
          <w:b/>
          <w:i/>
          <w:iCs/>
          <w:spacing w:val="2"/>
          <w:sz w:val="20"/>
          <w:szCs w:val="20"/>
        </w:rPr>
        <w:t>firme.”</w:t>
      </w:r>
    </w:p>
    <w:p>
      <w:pPr>
        <w:pStyle w:val="Cuerpodetexto"/>
        <w:spacing w:lineRule="auto" w:line="360" w:before="101" w:after="0"/>
        <w:ind w:left="119" w:right="100" w:firstLine="708"/>
        <w:jc w:val="both"/>
        <w:rPr>
          <w:rFonts w:ascii="Tahoma" w:hAnsi="Tahoma" w:cs="Tahoma"/>
          <w:i/>
          <w:i/>
          <w:iCs/>
          <w:sz w:val="20"/>
          <w:szCs w:val="20"/>
        </w:rPr>
      </w:pPr>
      <w:r>
        <w:rPr>
          <w:rFonts w:cs="Tahoma" w:ascii="Tahoma" w:hAnsi="Tahoma"/>
          <w:i/>
          <w:iCs/>
          <w:sz w:val="20"/>
          <w:szCs w:val="20"/>
        </w:rPr>
        <w:t>Posteriormente el Fiscal Coordinador de la Fiscalía de Asuntos Indígenas, Lic. Daniel Villalobos, remitió correo electrónico enviado el 07 de noviembre de 2019 a la señora Damaris Vásquez, mediante el cual se puso en conocimiento de la Unidad de Acceso a la Justicia, el oficio 11515 del año 2019 del Consejo Superior del Poder Judicial, dentro del cual se les hizo saber del rechazo de la creación de una plaza de técnico judical para la atención de personas indígenas en la Fiscalía de Buenos Aires, y así coadyudar con la gestión del Ministerio</w:t>
      </w:r>
      <w:r>
        <w:rPr>
          <w:rFonts w:cs="Tahoma" w:ascii="Tahoma" w:hAnsi="Tahoma"/>
          <w:i/>
          <w:iCs/>
          <w:spacing w:val="-1"/>
          <w:sz w:val="20"/>
          <w:szCs w:val="20"/>
        </w:rPr>
        <w:t xml:space="preserve"> </w:t>
      </w:r>
      <w:r>
        <w:rPr>
          <w:rFonts w:cs="Tahoma" w:ascii="Tahoma" w:hAnsi="Tahoma"/>
          <w:i/>
          <w:iCs/>
          <w:sz w:val="20"/>
          <w:szCs w:val="20"/>
        </w:rPr>
        <w:t>Público.</w:t>
      </w:r>
    </w:p>
    <w:p>
      <w:pPr>
        <w:pStyle w:val="Cuerpodetexto"/>
        <w:spacing w:lineRule="auto" w:line="360"/>
        <w:ind w:left="119" w:right="101" w:firstLine="708"/>
        <w:jc w:val="both"/>
        <w:rPr>
          <w:rFonts w:ascii="Tahoma" w:hAnsi="Tahoma" w:cs="Tahoma"/>
          <w:i/>
          <w:i/>
          <w:iCs/>
          <w:sz w:val="20"/>
          <w:szCs w:val="20"/>
        </w:rPr>
      </w:pPr>
      <w:r>
        <w:rPr>
          <w:rFonts w:cs="Tahoma" w:ascii="Tahoma" w:hAnsi="Tahoma"/>
          <w:i/>
          <w:iCs/>
          <w:sz w:val="20"/>
          <w:szCs w:val="20"/>
        </w:rPr>
        <w:t>En fecha del ocho de noviembre del año 2019, mediante oficio N°318-FAI-2019, se presentó la respectiva reconsideración ante el Consejo Superior del Poder Judicial, sobre la denegatoria de la plaza de técnico judicial en la Fiscalía de Buenos Aires, a fin de garantizar un adecuado acceso a la justicia de los pueblos indígenas de esta zona y en aras de dar un efectivo cumplimiento a las medida cautelar impuesta por la Comisión Interamericana de Derechos Humanos sobre el Estado Costarricense.</w:t>
      </w:r>
    </w:p>
    <w:p>
      <w:pPr>
        <w:pStyle w:val="Cuerpodetexto"/>
        <w:spacing w:lineRule="exact" w:line="291"/>
        <w:ind w:left="827" w:hanging="0"/>
        <w:jc w:val="both"/>
        <w:rPr>
          <w:rFonts w:ascii="Tahoma" w:hAnsi="Tahoma" w:cs="Tahoma"/>
          <w:i/>
          <w:i/>
          <w:iCs/>
          <w:sz w:val="20"/>
          <w:szCs w:val="20"/>
        </w:rPr>
      </w:pPr>
      <w:r>
        <w:rPr>
          <w:rFonts w:cs="Tahoma" w:ascii="Tahoma" w:hAnsi="Tahoma"/>
          <w:i/>
          <w:iCs/>
          <w:sz w:val="20"/>
          <w:szCs w:val="20"/>
        </w:rPr>
        <w:t>Esta reconsideración aún se encuentra pendiente de resolver.</w:t>
      </w:r>
    </w:p>
    <w:p>
      <w:pPr>
        <w:pStyle w:val="Cuerpodetexto"/>
        <w:rPr>
          <w:rFonts w:ascii="Tahoma" w:hAnsi="Tahoma" w:cs="Tahoma"/>
          <w:i/>
          <w:i/>
          <w:iCs/>
          <w:sz w:val="20"/>
          <w:szCs w:val="20"/>
        </w:rPr>
      </w:pPr>
      <w:r>
        <w:rPr>
          <w:rFonts w:cs="Tahoma" w:ascii="Tahoma" w:hAnsi="Tahoma"/>
          <w:i/>
          <w:iCs/>
          <w:sz w:val="20"/>
          <w:szCs w:val="20"/>
        </w:rPr>
      </w:r>
    </w:p>
    <w:p>
      <w:pPr>
        <w:pStyle w:val="Ttulo11"/>
        <w:spacing w:before="225" w:after="0"/>
        <w:jc w:val="both"/>
        <w:rPr>
          <w:rFonts w:ascii="Tahoma" w:hAnsi="Tahoma" w:cs="Tahoma"/>
          <w:i/>
          <w:i/>
          <w:iCs/>
          <w:sz w:val="20"/>
          <w:szCs w:val="20"/>
        </w:rPr>
      </w:pPr>
      <w:r>
        <w:rPr>
          <w:rFonts w:cs="Tahoma" w:ascii="Tahoma" w:hAnsi="Tahoma"/>
          <w:i/>
          <w:iCs/>
          <w:sz w:val="20"/>
          <w:szCs w:val="20"/>
        </w:rPr>
        <w:t>II.- Control estadístico:</w:t>
      </w:r>
    </w:p>
    <w:p>
      <w:pPr>
        <w:pStyle w:val="Cuerpodetexto"/>
        <w:rPr>
          <w:rFonts w:ascii="Tahoma" w:hAnsi="Tahoma" w:cs="Tahoma"/>
          <w:b/>
          <w:b/>
          <w:i/>
          <w:i/>
          <w:iCs/>
          <w:sz w:val="20"/>
          <w:szCs w:val="20"/>
        </w:rPr>
      </w:pPr>
      <w:r>
        <w:rPr>
          <w:rFonts w:cs="Tahoma" w:ascii="Tahoma" w:hAnsi="Tahoma"/>
          <w:b/>
          <w:i/>
          <w:iCs/>
          <w:sz w:val="20"/>
          <w:szCs w:val="20"/>
        </w:rPr>
      </w:r>
    </w:p>
    <w:p>
      <w:pPr>
        <w:pStyle w:val="Cuerpodetexto"/>
        <w:spacing w:lineRule="auto" w:line="360" w:before="227" w:after="0"/>
        <w:ind w:left="119" w:right="101" w:firstLine="708"/>
        <w:jc w:val="both"/>
        <w:rPr>
          <w:rFonts w:ascii="Tahoma" w:hAnsi="Tahoma" w:cs="Tahoma"/>
          <w:i/>
          <w:i/>
          <w:iCs/>
          <w:sz w:val="20"/>
          <w:szCs w:val="20"/>
        </w:rPr>
      </w:pPr>
      <w:r>
        <w:rPr>
          <w:rFonts w:cs="Tahoma" w:ascii="Tahoma" w:hAnsi="Tahoma"/>
          <w:i/>
          <w:iCs/>
          <w:sz w:val="20"/>
          <w:szCs w:val="20"/>
        </w:rPr>
        <w:t>En el mes de Noviembre del 2011, se publicó la Circular de Fiscalía General 13-ADM-2011, en la cual se estableció que las fiscalías territoriales que atienden población indígena, tienen la obligación de remitir trimestralmente a la FAI informes del sobre el circulante indígena.</w:t>
      </w:r>
    </w:p>
    <w:p>
      <w:pPr>
        <w:pStyle w:val="Cuerpodetexto"/>
        <w:spacing w:lineRule="auto" w:line="360"/>
        <w:ind w:left="119" w:right="126" w:firstLine="708"/>
        <w:jc w:val="both"/>
        <w:rPr>
          <w:rFonts w:ascii="Tahoma" w:hAnsi="Tahoma" w:cs="Tahoma"/>
          <w:i/>
          <w:i/>
          <w:iCs/>
          <w:sz w:val="20"/>
          <w:szCs w:val="20"/>
        </w:rPr>
      </w:pPr>
      <w:r>
        <w:rPr>
          <w:rFonts w:cs="Tahoma" w:ascii="Tahoma" w:hAnsi="Tahoma"/>
          <w:i/>
          <w:iCs/>
          <w:sz w:val="20"/>
          <w:szCs w:val="20"/>
        </w:rPr>
        <w:t>Esta estadística, que aún se mantiene al día de hoy, y al ingresar los datos a este despacho son revisados y se cuantifican por fiscalía.</w:t>
      </w:r>
    </w:p>
    <w:p>
      <w:pPr>
        <w:pStyle w:val="Cuerpodetexto"/>
        <w:spacing w:lineRule="auto" w:line="360"/>
        <w:ind w:left="119" w:right="99" w:firstLine="708"/>
        <w:jc w:val="both"/>
        <w:rPr>
          <w:rFonts w:ascii="Tahoma" w:hAnsi="Tahoma" w:cs="Tahoma"/>
          <w:i/>
          <w:i/>
          <w:iCs/>
          <w:sz w:val="20"/>
          <w:szCs w:val="20"/>
        </w:rPr>
      </w:pPr>
      <w:r>
        <w:rPr>
          <w:rFonts w:cs="Tahoma" w:ascii="Tahoma" w:hAnsi="Tahoma"/>
          <w:i/>
          <w:iCs/>
          <w:sz w:val="20"/>
          <w:szCs w:val="20"/>
        </w:rPr>
        <w:t>Posteriormente, esta información se remite a la Unidad de Monitoreo del Ministerio Público (UMGEF) para su respectivo análisis, a fin de conocer los porcentajes de</w:t>
      </w:r>
      <w:r>
        <w:rPr>
          <w:rFonts w:cs="Tahoma" w:ascii="Tahoma" w:hAnsi="Tahoma"/>
          <w:i/>
          <w:iCs/>
          <w:spacing w:val="-20"/>
          <w:sz w:val="20"/>
          <w:szCs w:val="20"/>
        </w:rPr>
        <w:t xml:space="preserve"> </w:t>
      </w:r>
      <w:r>
        <w:rPr>
          <w:rFonts w:cs="Tahoma" w:ascii="Tahoma" w:hAnsi="Tahoma"/>
          <w:i/>
          <w:iCs/>
          <w:sz w:val="20"/>
          <w:szCs w:val="20"/>
        </w:rPr>
        <w:t>delitos</w:t>
      </w:r>
    </w:p>
    <w:p>
      <w:pPr>
        <w:pStyle w:val="Cuerpodetexto"/>
        <w:spacing w:lineRule="auto" w:line="360" w:before="101" w:after="0"/>
        <w:ind w:left="119" w:right="102" w:hanging="0"/>
        <w:jc w:val="both"/>
        <w:rPr>
          <w:rFonts w:ascii="Tahoma" w:hAnsi="Tahoma" w:cs="Tahoma"/>
          <w:i/>
          <w:i/>
          <w:iCs/>
          <w:sz w:val="20"/>
          <w:szCs w:val="20"/>
        </w:rPr>
      </w:pPr>
      <w:r>
        <w:rPr>
          <w:rFonts w:cs="Tahoma" w:ascii="Tahoma" w:hAnsi="Tahoma"/>
          <w:i/>
          <w:iCs/>
          <w:sz w:val="20"/>
          <w:szCs w:val="20"/>
        </w:rPr>
        <w:t>ocurridos  en causas  indígenas  a nivel  nacional,  utilizando  dichos  análisis  como</w:t>
      </w:r>
      <w:r>
        <w:rPr>
          <w:rFonts w:cs="Tahoma" w:ascii="Tahoma" w:hAnsi="Tahoma"/>
          <w:i/>
          <w:iCs/>
          <w:spacing w:val="-8"/>
          <w:sz w:val="20"/>
          <w:szCs w:val="20"/>
        </w:rPr>
        <w:t xml:space="preserve"> </w:t>
      </w:r>
      <w:r>
        <w:rPr>
          <w:rFonts w:cs="Tahoma" w:ascii="Tahoma" w:hAnsi="Tahoma"/>
          <w:i/>
          <w:iCs/>
          <w:sz w:val="20"/>
          <w:szCs w:val="20"/>
        </w:rPr>
        <w:t>insumos para conocer la incidencia criminal que afecta a la población indígena a nivel nacional y con ello elaborar la metodología de trabajo anual de la Fiscalía de Asuntos Indígenas con respecto a cada una de las fiscalías que conocen materia indígena.</w:t>
      </w:r>
    </w:p>
    <w:p>
      <w:pPr>
        <w:pStyle w:val="Cuerpodetexto"/>
        <w:spacing w:lineRule="exact" w:line="292"/>
        <w:ind w:left="119" w:hanging="0"/>
        <w:jc w:val="both"/>
        <w:rPr>
          <w:rFonts w:ascii="Tahoma" w:hAnsi="Tahoma" w:cs="Tahoma"/>
          <w:i/>
          <w:i/>
          <w:iCs/>
          <w:sz w:val="20"/>
          <w:szCs w:val="20"/>
        </w:rPr>
      </w:pPr>
      <w:r>
        <w:rPr>
          <w:rFonts w:cs="Tahoma" w:ascii="Tahoma" w:hAnsi="Tahoma"/>
          <w:i/>
          <w:iCs/>
          <w:sz w:val="20"/>
          <w:szCs w:val="20"/>
        </w:rPr>
      </w:r>
    </w:p>
    <w:p>
      <w:pPr>
        <w:pStyle w:val="Ttulo11"/>
        <w:jc w:val="both"/>
        <w:rPr>
          <w:rFonts w:ascii="Tahoma" w:hAnsi="Tahoma" w:cs="Tahoma"/>
          <w:i/>
          <w:i/>
          <w:iCs/>
          <w:sz w:val="20"/>
          <w:szCs w:val="20"/>
        </w:rPr>
      </w:pPr>
      <w:r>
        <w:rPr>
          <w:rFonts w:cs="Tahoma" w:ascii="Tahoma" w:hAnsi="Tahoma"/>
          <w:i/>
          <w:iCs/>
          <w:sz w:val="20"/>
          <w:szCs w:val="20"/>
        </w:rPr>
        <w:t>III.- Cronograma de atención a los territorios indígenas en el Cantón de Buenos Aires:</w:t>
      </w:r>
    </w:p>
    <w:p>
      <w:pPr>
        <w:pStyle w:val="Cuerpodetexto"/>
        <w:rPr>
          <w:rFonts w:ascii="Tahoma" w:hAnsi="Tahoma" w:cs="Tahoma"/>
          <w:b/>
          <w:b/>
          <w:i/>
          <w:i/>
          <w:iCs/>
          <w:sz w:val="20"/>
          <w:szCs w:val="20"/>
        </w:rPr>
      </w:pPr>
      <w:r>
        <w:rPr>
          <w:rFonts w:cs="Tahoma" w:ascii="Tahoma" w:hAnsi="Tahoma"/>
          <w:b/>
          <w:i/>
          <w:iCs/>
          <w:sz w:val="20"/>
          <w:szCs w:val="20"/>
        </w:rPr>
      </w:r>
    </w:p>
    <w:p>
      <w:pPr>
        <w:pStyle w:val="Cuerpodetexto"/>
        <w:spacing w:lineRule="auto" w:line="360" w:before="227" w:after="0"/>
        <w:ind w:left="119" w:right="101" w:firstLine="708"/>
        <w:jc w:val="both"/>
        <w:rPr>
          <w:rFonts w:ascii="Tahoma" w:hAnsi="Tahoma" w:cs="Tahoma"/>
          <w:i/>
          <w:i/>
          <w:iCs/>
          <w:sz w:val="20"/>
          <w:szCs w:val="20"/>
        </w:rPr>
      </w:pPr>
      <w:r>
        <w:rPr>
          <w:rFonts w:cs="Tahoma" w:ascii="Tahoma" w:hAnsi="Tahoma"/>
          <w:i/>
          <w:iCs/>
          <w:sz w:val="20"/>
          <w:szCs w:val="20"/>
        </w:rPr>
        <w:t xml:space="preserve">Anualmente se programan y se agendan las visitas a los territorios indígenas en asocio con la Oficina de </w:t>
      </w:r>
      <w:r>
        <w:rPr>
          <w:rFonts w:cs="Tahoma" w:ascii="Tahoma" w:hAnsi="Tahoma"/>
          <w:i/>
          <w:iCs/>
          <w:spacing w:val="2"/>
          <w:sz w:val="20"/>
          <w:szCs w:val="20"/>
        </w:rPr>
        <w:t xml:space="preserve">Atención </w:t>
      </w:r>
      <w:r>
        <w:rPr>
          <w:rFonts w:cs="Tahoma" w:ascii="Tahoma" w:hAnsi="Tahoma"/>
          <w:i/>
          <w:iCs/>
          <w:sz w:val="20"/>
          <w:szCs w:val="20"/>
        </w:rPr>
        <w:t xml:space="preserve">de </w:t>
      </w:r>
      <w:r>
        <w:rPr>
          <w:rFonts w:cs="Tahoma" w:ascii="Tahoma" w:hAnsi="Tahoma"/>
          <w:i/>
          <w:iCs/>
          <w:spacing w:val="2"/>
          <w:sz w:val="20"/>
          <w:szCs w:val="20"/>
        </w:rPr>
        <w:t xml:space="preserve">Víctimas </w:t>
      </w:r>
      <w:r>
        <w:rPr>
          <w:rFonts w:cs="Tahoma" w:ascii="Tahoma" w:hAnsi="Tahoma"/>
          <w:i/>
          <w:iCs/>
          <w:sz w:val="20"/>
          <w:szCs w:val="20"/>
        </w:rPr>
        <w:t xml:space="preserve">y Testigos, con el fin de brindar atención in situ, brindar </w:t>
      </w:r>
      <w:r>
        <w:rPr>
          <w:rFonts w:cs="Tahoma" w:ascii="Tahoma" w:hAnsi="Tahoma"/>
          <w:i/>
          <w:iCs/>
          <w:spacing w:val="2"/>
          <w:sz w:val="20"/>
          <w:szCs w:val="20"/>
        </w:rPr>
        <w:t xml:space="preserve">información </w:t>
      </w:r>
      <w:r>
        <w:rPr>
          <w:rFonts w:cs="Tahoma" w:ascii="Tahoma" w:hAnsi="Tahoma"/>
          <w:i/>
          <w:iCs/>
          <w:sz w:val="20"/>
          <w:szCs w:val="20"/>
        </w:rPr>
        <w:t>sobre las funciones del Ministerio Público, recibir denuncias y/o entrevistas, así como evacuar cualquier otra diligencia o consulta que surja durante la visita.</w:t>
      </w:r>
    </w:p>
    <w:p>
      <w:pPr>
        <w:pStyle w:val="Cuerpodetexto"/>
        <w:spacing w:lineRule="auto" w:line="360"/>
        <w:ind w:left="119" w:right="101" w:firstLine="708"/>
        <w:jc w:val="both"/>
        <w:rPr>
          <w:rFonts w:ascii="Tahoma" w:hAnsi="Tahoma" w:cs="Tahoma"/>
          <w:i/>
          <w:i/>
          <w:iCs/>
          <w:sz w:val="20"/>
          <w:szCs w:val="20"/>
        </w:rPr>
      </w:pPr>
      <w:r>
        <w:rPr>
          <w:rFonts w:cs="Tahoma" w:ascii="Tahoma" w:hAnsi="Tahoma"/>
          <w:i/>
          <w:iCs/>
          <w:sz w:val="20"/>
          <w:szCs w:val="20"/>
        </w:rPr>
        <w:t>Para este año 2020, la programación de las visitas a los territorios indígenas de Ujarrás, Salitre, Rey Curré, Cabagra, Térraba y Boruca, darán inicio entre en el mes de Marzo hasta el mes de Octubre del presente año, así como también, se realizarán las visitas que resulten necesarias, según las situaciones especiales o circunstancias que surjan durante el presente año.</w:t>
      </w:r>
    </w:p>
    <w:p>
      <w:pPr>
        <w:pStyle w:val="Cuerpodetexto"/>
        <w:spacing w:before="5" w:after="0"/>
        <w:rPr>
          <w:rFonts w:ascii="Tahoma" w:hAnsi="Tahoma" w:cs="Tahoma"/>
          <w:i/>
          <w:i/>
          <w:iCs/>
          <w:sz w:val="20"/>
          <w:szCs w:val="20"/>
        </w:rPr>
      </w:pPr>
      <w:r>
        <w:rPr>
          <w:rFonts w:cs="Tahoma" w:ascii="Tahoma" w:hAnsi="Tahoma"/>
          <w:i/>
          <w:iCs/>
          <w:sz w:val="20"/>
          <w:szCs w:val="20"/>
        </w:rPr>
      </w:r>
    </w:p>
    <w:p>
      <w:pPr>
        <w:pStyle w:val="Ttulo11"/>
        <w:tabs>
          <w:tab w:val="clear" w:pos="708"/>
          <w:tab w:val="left" w:pos="7859" w:leader="none"/>
        </w:tabs>
        <w:spacing w:lineRule="auto" w:line="360"/>
        <w:ind w:left="119" w:right="104" w:hanging="0"/>
        <w:rPr>
          <w:rFonts w:ascii="Tahoma" w:hAnsi="Tahoma" w:cs="Tahoma"/>
          <w:i/>
          <w:i/>
          <w:iCs/>
          <w:sz w:val="20"/>
          <w:szCs w:val="20"/>
        </w:rPr>
      </w:pPr>
      <w:r>
        <w:rPr>
          <w:rFonts w:cs="Tahoma" w:ascii="Tahoma" w:hAnsi="Tahoma"/>
          <w:i/>
          <w:iCs/>
          <w:sz w:val="20"/>
          <w:szCs w:val="20"/>
        </w:rPr>
      </w:r>
    </w:p>
    <w:p>
      <w:pPr>
        <w:pStyle w:val="Ttulo11"/>
        <w:tabs>
          <w:tab w:val="clear" w:pos="708"/>
          <w:tab w:val="left" w:pos="7859" w:leader="none"/>
        </w:tabs>
        <w:spacing w:lineRule="auto" w:line="360"/>
        <w:ind w:left="0" w:right="104" w:hanging="0"/>
        <w:rPr>
          <w:rFonts w:ascii="Tahoma" w:hAnsi="Tahoma" w:cs="Tahoma"/>
          <w:i/>
          <w:i/>
          <w:iCs/>
          <w:sz w:val="20"/>
          <w:szCs w:val="20"/>
        </w:rPr>
      </w:pPr>
      <w:r>
        <w:rPr>
          <w:rFonts w:cs="Tahoma" w:ascii="Tahoma" w:hAnsi="Tahoma"/>
          <w:i/>
          <w:iCs/>
          <w:sz w:val="20"/>
          <w:szCs w:val="20"/>
        </w:rPr>
      </w:r>
    </w:p>
    <w:p>
      <w:pPr>
        <w:pStyle w:val="Ttulo11"/>
        <w:tabs>
          <w:tab w:val="clear" w:pos="708"/>
          <w:tab w:val="left" w:pos="7859" w:leader="none"/>
        </w:tabs>
        <w:spacing w:lineRule="auto" w:line="360"/>
        <w:ind w:left="119" w:right="104" w:hanging="0"/>
        <w:rPr>
          <w:rFonts w:ascii="Tahoma" w:hAnsi="Tahoma" w:cs="Tahoma"/>
          <w:i/>
          <w:i/>
          <w:iCs/>
          <w:sz w:val="20"/>
          <w:szCs w:val="20"/>
        </w:rPr>
      </w:pPr>
      <w:r>
        <w:rPr>
          <w:rFonts w:cs="Tahoma" w:ascii="Tahoma" w:hAnsi="Tahoma"/>
          <w:i/>
          <w:iCs/>
          <w:sz w:val="20"/>
          <w:szCs w:val="20"/>
        </w:rPr>
        <w:t xml:space="preserve">IV.-   </w:t>
      </w:r>
      <w:r>
        <w:rPr>
          <w:rFonts w:cs="Tahoma" w:ascii="Tahoma" w:hAnsi="Tahoma"/>
          <w:i/>
          <w:iCs/>
          <w:spacing w:val="2"/>
          <w:sz w:val="20"/>
          <w:szCs w:val="20"/>
        </w:rPr>
        <w:t xml:space="preserve">Remitir  informes  trimestrales  </w:t>
      </w:r>
      <w:r>
        <w:rPr>
          <w:rFonts w:cs="Tahoma" w:ascii="Tahoma" w:hAnsi="Tahoma"/>
          <w:i/>
          <w:iCs/>
          <w:sz w:val="20"/>
          <w:szCs w:val="20"/>
        </w:rPr>
        <w:t xml:space="preserve">a   la   </w:t>
      </w:r>
      <w:r>
        <w:rPr>
          <w:rFonts w:cs="Tahoma" w:ascii="Tahoma" w:hAnsi="Tahoma"/>
          <w:i/>
          <w:iCs/>
          <w:spacing w:val="2"/>
          <w:sz w:val="20"/>
          <w:szCs w:val="20"/>
        </w:rPr>
        <w:t xml:space="preserve">Dirección  </w:t>
      </w:r>
      <w:r>
        <w:rPr>
          <w:rFonts w:cs="Tahoma" w:ascii="Tahoma" w:hAnsi="Tahoma"/>
          <w:i/>
          <w:iCs/>
          <w:sz w:val="20"/>
          <w:szCs w:val="20"/>
        </w:rPr>
        <w:t xml:space="preserve">de   </w:t>
      </w:r>
      <w:r>
        <w:rPr>
          <w:rFonts w:cs="Tahoma" w:ascii="Tahoma" w:hAnsi="Tahoma"/>
          <w:i/>
          <w:iCs/>
          <w:spacing w:val="2"/>
          <w:sz w:val="20"/>
          <w:szCs w:val="20"/>
        </w:rPr>
        <w:t xml:space="preserve">Planificación  </w:t>
      </w:r>
      <w:r>
        <w:rPr>
          <w:rFonts w:cs="Tahoma" w:ascii="Tahoma" w:hAnsi="Tahoma"/>
          <w:i/>
          <w:iCs/>
          <w:spacing w:val="18"/>
          <w:sz w:val="20"/>
          <w:szCs w:val="20"/>
        </w:rPr>
        <w:t xml:space="preserve"> </w:t>
      </w:r>
      <w:r>
        <w:rPr>
          <w:rFonts w:cs="Tahoma" w:ascii="Tahoma" w:hAnsi="Tahoma"/>
          <w:i/>
          <w:iCs/>
          <w:sz w:val="20"/>
          <w:szCs w:val="20"/>
        </w:rPr>
        <w:t>de</w:t>
      </w:r>
      <w:r>
        <w:rPr>
          <w:rFonts w:cs="Tahoma" w:ascii="Tahoma" w:hAnsi="Tahoma"/>
          <w:i/>
          <w:iCs/>
          <w:spacing w:val="5"/>
          <w:sz w:val="20"/>
          <w:szCs w:val="20"/>
        </w:rPr>
        <w:t xml:space="preserve"> </w:t>
      </w:r>
      <w:r>
        <w:rPr>
          <w:rFonts w:cs="Tahoma" w:ascii="Tahoma" w:hAnsi="Tahoma"/>
          <w:i/>
          <w:iCs/>
          <w:sz w:val="20"/>
          <w:szCs w:val="20"/>
        </w:rPr>
        <w:t>las</w:t>
        <w:tab/>
        <w:t xml:space="preserve">actividades </w:t>
      </w:r>
      <w:r>
        <w:rPr>
          <w:rFonts w:cs="Tahoma" w:ascii="Tahoma" w:hAnsi="Tahoma"/>
          <w:i/>
          <w:iCs/>
          <w:spacing w:val="2"/>
          <w:sz w:val="20"/>
          <w:szCs w:val="20"/>
        </w:rPr>
        <w:t>realizadas por las plazas</w:t>
      </w:r>
      <w:r>
        <w:rPr>
          <w:rFonts w:cs="Tahoma" w:ascii="Tahoma" w:hAnsi="Tahoma"/>
          <w:i/>
          <w:iCs/>
          <w:spacing w:val="10"/>
          <w:sz w:val="20"/>
          <w:szCs w:val="20"/>
        </w:rPr>
        <w:t xml:space="preserve"> </w:t>
      </w:r>
      <w:r>
        <w:rPr>
          <w:rFonts w:cs="Tahoma" w:ascii="Tahoma" w:hAnsi="Tahoma"/>
          <w:i/>
          <w:iCs/>
          <w:spacing w:val="2"/>
          <w:sz w:val="20"/>
          <w:szCs w:val="20"/>
        </w:rPr>
        <w:t>asignadas</w:t>
      </w:r>
    </w:p>
    <w:p>
      <w:pPr>
        <w:pStyle w:val="Cuerpodetexto"/>
        <w:spacing w:before="6" w:after="0"/>
        <w:rPr>
          <w:rFonts w:ascii="Tahoma" w:hAnsi="Tahoma" w:cs="Tahoma"/>
          <w:b/>
          <w:b/>
          <w:i/>
          <w:i/>
          <w:iCs/>
          <w:sz w:val="20"/>
          <w:szCs w:val="20"/>
        </w:rPr>
      </w:pPr>
      <w:r>
        <w:rPr>
          <w:rFonts w:cs="Tahoma" w:ascii="Tahoma" w:hAnsi="Tahoma"/>
          <w:b/>
          <w:i/>
          <w:iCs/>
          <w:sz w:val="20"/>
          <w:szCs w:val="20"/>
        </w:rPr>
      </w:r>
    </w:p>
    <w:p>
      <w:pPr>
        <w:pStyle w:val="Cuerpodetexto"/>
        <w:spacing w:lineRule="atLeast" w:line="440"/>
        <w:ind w:left="119" w:right="101" w:firstLine="720"/>
        <w:jc w:val="both"/>
        <w:rPr>
          <w:rFonts w:ascii="Tahoma" w:hAnsi="Tahoma" w:cs="Tahoma"/>
          <w:i/>
          <w:i/>
          <w:iCs/>
          <w:sz w:val="20"/>
          <w:szCs w:val="20"/>
        </w:rPr>
      </w:pPr>
      <w:r>
        <w:rPr>
          <w:rFonts w:cs="Tahoma" w:ascii="Tahoma" w:hAnsi="Tahoma"/>
          <w:i/>
          <w:iCs/>
          <w:sz w:val="20"/>
          <w:szCs w:val="20"/>
        </w:rPr>
        <w:t>A partir del año 2020, se está generando una bitácora diaria de las labores realizadas tanto por fiscales como por parte de los técnicos judiciales de la Fiscal ía de Buenos Aires, con el fin de evidenciar las labores que se realizan durante la jornada laboral y el tiempo que requiere la atención de la población indígena en la zona, lo anterior, con la finalidad de remitir de forma trimestral la información al Departamento de</w:t>
      </w:r>
      <w:r>
        <w:rPr>
          <w:rFonts w:cs="Tahoma" w:ascii="Tahoma" w:hAnsi="Tahoma"/>
          <w:i/>
          <w:iCs/>
          <w:spacing w:val="-6"/>
          <w:sz w:val="20"/>
          <w:szCs w:val="20"/>
        </w:rPr>
        <w:t xml:space="preserve"> </w:t>
      </w:r>
      <w:r>
        <w:rPr>
          <w:rFonts w:cs="Tahoma" w:ascii="Tahoma" w:hAnsi="Tahoma"/>
          <w:i/>
          <w:iCs/>
          <w:sz w:val="20"/>
          <w:szCs w:val="20"/>
        </w:rPr>
        <w:t>Planificación.</w:t>
      </w:r>
    </w:p>
    <w:p>
      <w:pPr>
        <w:pStyle w:val="Normal"/>
        <w:jc w:val="both"/>
        <w:rPr>
          <w:rFonts w:ascii="Tahoma" w:hAnsi="Tahoma" w:cs="Tahoma"/>
          <w:i/>
          <w:i/>
          <w:iCs/>
          <w:sz w:val="20"/>
          <w:szCs w:val="20"/>
          <w:lang w:val="es-ES"/>
        </w:rPr>
      </w:pPr>
      <w:r>
        <w:rPr>
          <w:rFonts w:cs="Tahoma" w:ascii="Tahoma" w:hAnsi="Tahoma"/>
          <w:i/>
          <w:iCs/>
          <w:sz w:val="20"/>
          <w:szCs w:val="20"/>
          <w:lang w:val="es-ES"/>
        </w:rPr>
      </w:r>
    </w:p>
    <w:p>
      <w:pPr>
        <w:pStyle w:val="Cuerpodetexto"/>
        <w:spacing w:lineRule="auto" w:line="360" w:before="250" w:after="0"/>
        <w:ind w:left="119" w:right="102" w:firstLine="720"/>
        <w:jc w:val="both"/>
        <w:rPr>
          <w:rFonts w:ascii="Tahoma" w:hAnsi="Tahoma" w:cs="Tahoma"/>
          <w:i/>
          <w:i/>
          <w:iCs/>
          <w:sz w:val="20"/>
          <w:szCs w:val="20"/>
        </w:rPr>
      </w:pPr>
      <w:r>
        <w:rPr>
          <w:rFonts w:cs="Tahoma" w:ascii="Tahoma" w:hAnsi="Tahoma"/>
          <w:i/>
          <w:iCs/>
          <w:sz w:val="20"/>
          <w:szCs w:val="20"/>
        </w:rPr>
        <w:t>Por último, es importante indicar, que se están cumpliento con las recomendaciones emitidas por parte del Consejo Superior para rendir los informes trimestrales a la Dirección de Planificación de las actividades realizadas por los funcionarios de la Fiscalía de Buenos Aires, lo anterior, con la finalidad de contar con mayores insumos con respecto a la justificación de la necesidad de la plaza de técnico judicial que se solicita.</w:t>
      </w:r>
    </w:p>
    <w:p>
      <w:pPr>
        <w:pStyle w:val="Cuerpodetexto"/>
        <w:spacing w:before="6" w:after="0"/>
        <w:rPr>
          <w:rFonts w:ascii="Tahoma" w:hAnsi="Tahoma" w:cs="Tahoma"/>
          <w:i/>
          <w:i/>
          <w:iCs/>
          <w:sz w:val="20"/>
          <w:szCs w:val="20"/>
        </w:rPr>
      </w:pPr>
      <w:r>
        <w:rPr>
          <w:rFonts w:cs="Tahoma" w:ascii="Tahoma" w:hAnsi="Tahoma"/>
          <w:i/>
          <w:iCs/>
          <w:sz w:val="20"/>
          <w:szCs w:val="20"/>
        </w:rPr>
      </w:r>
    </w:p>
    <w:p>
      <w:pPr>
        <w:pStyle w:val="Cuerpodetexto"/>
        <w:ind w:left="839" w:hanging="0"/>
        <w:rPr>
          <w:rFonts w:ascii="Tahoma" w:hAnsi="Tahoma" w:cs="Tahoma"/>
          <w:i/>
          <w:i/>
          <w:iCs/>
          <w:sz w:val="20"/>
          <w:szCs w:val="20"/>
        </w:rPr>
      </w:pPr>
      <w:r>
        <w:rPr>
          <w:rFonts w:cs="Tahoma" w:ascii="Tahoma" w:hAnsi="Tahoma"/>
          <w:i/>
          <w:iCs/>
          <w:sz w:val="20"/>
          <w:szCs w:val="20"/>
        </w:rPr>
        <w:t>De esta manera se da respuesta, en caso de requerirse ampliación quedo atenta.</w:t>
      </w:r>
    </w:p>
    <w:p>
      <w:pPr>
        <w:pStyle w:val="Normal"/>
        <w:jc w:val="both"/>
        <w:rPr>
          <w:rFonts w:ascii="Tahoma" w:hAnsi="Tahoma" w:cs="Tahoma"/>
          <w:i/>
          <w:i/>
          <w:iCs/>
          <w:sz w:val="20"/>
          <w:szCs w:val="20"/>
          <w:lang w:val="es-ES"/>
        </w:rPr>
      </w:pPr>
      <w:r>
        <w:rPr>
          <w:rFonts w:cs="Tahoma" w:ascii="Tahoma" w:hAnsi="Tahoma"/>
          <w:i/>
          <w:iCs/>
          <w:sz w:val="20"/>
          <w:szCs w:val="20"/>
          <w:lang w:val="es-ES"/>
        </w:rPr>
      </w:r>
    </w:p>
    <w:p>
      <w:pPr>
        <w:pStyle w:val="Normal"/>
        <w:jc w:val="both"/>
        <w:rPr>
          <w:rFonts w:ascii="Tahoma" w:hAnsi="Tahoma" w:cs="Tahoma"/>
          <w:i/>
          <w:i/>
          <w:iCs/>
          <w:sz w:val="20"/>
          <w:szCs w:val="20"/>
          <w:lang w:val="es-ES"/>
        </w:rPr>
      </w:pPr>
      <w:r>
        <w:rPr>
          <w:rFonts w:cs="Tahoma" w:ascii="Tahoma" w:hAnsi="Tahoma"/>
          <w:i/>
          <w:iCs/>
          <w:sz w:val="20"/>
          <w:szCs w:val="20"/>
          <w:lang w:val="es-ES"/>
        </w:rPr>
        <w:t xml:space="preserve">Con las mayores muestras de consideración y estima </w:t>
      </w:r>
    </w:p>
    <w:p>
      <w:pPr>
        <w:pStyle w:val="Normal"/>
        <w:jc w:val="both"/>
        <w:rPr>
          <w:rFonts w:ascii="Tahoma" w:hAnsi="Tahoma" w:cs="Tahoma"/>
          <w:i/>
          <w:i/>
          <w:iCs/>
          <w:sz w:val="20"/>
          <w:szCs w:val="20"/>
          <w:lang w:val="es-ES"/>
        </w:rPr>
      </w:pPr>
      <w:r>
        <w:rPr>
          <w:rFonts w:cs="Tahoma" w:ascii="Tahoma" w:hAnsi="Tahoma"/>
          <w:i/>
          <w:iCs/>
          <w:sz w:val="20"/>
          <w:szCs w:val="20"/>
          <w:lang w:val="es-ES"/>
        </w:rPr>
      </w:r>
    </w:p>
    <w:p>
      <w:pPr>
        <w:pStyle w:val="Normal"/>
        <w:jc w:val="both"/>
        <w:rPr>
          <w:rFonts w:ascii="Tahoma" w:hAnsi="Tahoma" w:cs="Tahoma"/>
          <w:i/>
          <w:i/>
          <w:iCs/>
          <w:sz w:val="20"/>
          <w:szCs w:val="20"/>
          <w:lang w:val="es-ES"/>
        </w:rPr>
      </w:pPr>
      <w:r>
        <w:rPr>
          <w:rFonts w:cs="Tahoma" w:ascii="Tahoma" w:hAnsi="Tahoma"/>
          <w:i/>
          <w:iCs/>
          <w:sz w:val="20"/>
          <w:szCs w:val="20"/>
          <w:lang w:val="es-ES"/>
        </w:rPr>
      </w:r>
    </w:p>
    <w:p>
      <w:pPr>
        <w:pStyle w:val="Ttulo11"/>
        <w:spacing w:lineRule="auto" w:line="360" w:before="101" w:after="0"/>
        <w:ind w:left="3441" w:right="3422" w:hanging="0"/>
        <w:jc w:val="center"/>
        <w:rPr>
          <w:rFonts w:ascii="Tahoma" w:hAnsi="Tahoma" w:cs="Tahoma"/>
          <w:i/>
          <w:i/>
          <w:iCs/>
          <w:sz w:val="20"/>
          <w:szCs w:val="20"/>
        </w:rPr>
      </w:pPr>
      <w:r>
        <w:rPr>
          <w:rFonts w:cs="Tahoma" w:ascii="Tahoma" w:hAnsi="Tahoma"/>
          <w:i/>
          <w:iCs/>
          <w:sz w:val="20"/>
          <w:szCs w:val="20"/>
        </w:rPr>
        <w:t>Tattiana García Chaves Fiscala Adjunta</w:t>
      </w:r>
    </w:p>
    <w:p>
      <w:pPr>
        <w:pStyle w:val="Normal"/>
        <w:spacing w:lineRule="exact" w:line="292"/>
        <w:ind w:left="3146" w:right="3131" w:hanging="0"/>
        <w:jc w:val="center"/>
        <w:rPr>
          <w:rFonts w:ascii="Tahoma" w:hAnsi="Tahoma" w:cs="Tahoma"/>
          <w:b/>
          <w:b/>
          <w:i/>
          <w:i/>
          <w:iCs/>
          <w:sz w:val="20"/>
          <w:szCs w:val="20"/>
        </w:rPr>
      </w:pPr>
      <w:r>
        <w:rPr>
          <w:rFonts w:cs="Tahoma" w:ascii="Tahoma" w:hAnsi="Tahoma"/>
          <w:b/>
          <w:i/>
          <w:iCs/>
          <w:sz w:val="20"/>
          <w:szCs w:val="20"/>
        </w:rPr>
        <w:t>Fiscalía de Asuntos Indígenas</w:t>
      </w:r>
    </w:p>
    <w:p>
      <w:pPr>
        <w:pStyle w:val="Normal"/>
        <w:spacing w:lineRule="exact" w:line="292"/>
        <w:ind w:left="3146" w:right="3131" w:hanging="0"/>
        <w:jc w:val="center"/>
        <w:rPr>
          <w:rFonts w:ascii="Tahoma" w:hAnsi="Tahoma" w:cs="Tahoma"/>
          <w:b/>
          <w:b/>
          <w:sz w:val="20"/>
          <w:szCs w:val="20"/>
        </w:rPr>
      </w:pPr>
      <w:r>
        <w:rPr>
          <w:rFonts w:cs="Tahoma" w:ascii="Tahoma" w:hAnsi="Tahoma"/>
          <w:b/>
          <w:sz w:val="20"/>
          <w:szCs w:val="20"/>
        </w:rPr>
        <w:t>___________________________</w:t>
      </w:r>
    </w:p>
    <w:p>
      <w:pPr>
        <w:pStyle w:val="Normal"/>
        <w:widowControl w:val="false"/>
        <w:jc w:val="both"/>
        <w:rPr>
          <w:rFonts w:ascii="Tahoma" w:hAnsi="Tahoma" w:cs="Tahoma"/>
          <w:bCs/>
          <w:i/>
          <w:i/>
          <w:iCs/>
          <w:sz w:val="20"/>
          <w:szCs w:val="20"/>
        </w:rPr>
      </w:pPr>
      <w:r>
        <w:rPr>
          <w:rFonts w:cs="Tahoma" w:ascii="Tahoma" w:hAnsi="Tahoma"/>
          <w:bCs/>
          <w:i/>
          <w:iCs/>
          <w:sz w:val="20"/>
          <w:szCs w:val="20"/>
        </w:rPr>
      </w:r>
    </w:p>
    <w:p>
      <w:pPr>
        <w:pStyle w:val="Normal"/>
        <w:spacing w:lineRule="exact" w:line="292"/>
        <w:ind w:right="3131" w:hanging="0"/>
        <w:rPr>
          <w:rFonts w:ascii="Tahoma" w:hAnsi="Tahoma" w:cs="Tahoma"/>
          <w:b/>
          <w:b/>
          <w:sz w:val="20"/>
          <w:szCs w:val="20"/>
        </w:rPr>
      </w:pPr>
      <w:r>
        <w:rPr>
          <w:rFonts w:cs="Tahoma" w:ascii="Tahoma" w:hAnsi="Tahoma"/>
          <w:b/>
          <w:sz w:val="20"/>
          <w:szCs w:val="20"/>
        </w:rPr>
      </w:r>
    </w:p>
    <w:p>
      <w:pPr>
        <w:pStyle w:val="Normal"/>
        <w:jc w:val="both"/>
        <w:rPr>
          <w:rFonts w:ascii="Tahoma" w:hAnsi="Tahoma" w:cs="Tahoma"/>
          <w:i/>
          <w:i/>
          <w:sz w:val="20"/>
          <w:szCs w:val="20"/>
          <w:lang w:val="es-ES_tradnl" w:eastAsia="ar-SA"/>
        </w:rPr>
      </w:pPr>
      <w:r>
        <w:rPr>
          <w:rFonts w:cs="Tahoma" w:ascii="Tahoma" w:hAnsi="Tahoma"/>
          <w:b/>
          <w:bCs/>
          <w:sz w:val="20"/>
          <w:szCs w:val="20"/>
          <w:u w:val="single"/>
          <w:lang w:val="es-ES"/>
        </w:rPr>
        <w:t>SE ACUERDA:</w:t>
      </w:r>
      <w:r>
        <w:rPr>
          <w:rFonts w:cs="Tahoma" w:ascii="Tahoma" w:hAnsi="Tahoma"/>
          <w:sz w:val="20"/>
          <w:szCs w:val="20"/>
          <w:lang w:val="es-ES"/>
        </w:rPr>
        <w:t xml:space="preserve"> 1° Se toma nota del </w:t>
      </w:r>
      <w:r>
        <w:rPr>
          <w:rFonts w:cs="Tahoma" w:ascii="Tahoma" w:hAnsi="Tahoma"/>
          <w:sz w:val="20"/>
          <w:szCs w:val="20"/>
        </w:rPr>
        <w:t xml:space="preserve">Oficio N° DVV-SI-022-2020 de 28 de febrero pasado, remitido por la Coordinadora de la Subcomisión de Acceso a la Justicia de Pueblos Indígenas al Consejo Superior, previa consulta de contenido a las personas integrantes de la Subcomisión, dando respuesta al </w:t>
      </w:r>
      <w:r>
        <w:rPr>
          <w:rFonts w:cs="Tahoma" w:ascii="Tahoma" w:hAnsi="Tahoma"/>
          <w:sz w:val="20"/>
          <w:szCs w:val="20"/>
          <w:lang w:val="es-ES" w:eastAsia="es-ES"/>
        </w:rPr>
        <w:t xml:space="preserve">Oficio </w:t>
      </w:r>
      <w:r>
        <w:rPr>
          <w:rFonts w:cs="Tahoma" w:ascii="Tahoma" w:hAnsi="Tahoma"/>
          <w:sz w:val="20"/>
          <w:szCs w:val="20"/>
        </w:rPr>
        <w:t xml:space="preserve">Nº 3967-19 de 29 de abril de 2019, en el que la Secretaría General de la Corte comunicó el acuerdo tomado por el Consejo Superior del Poder Judicial, en la sesión Nº 28-19 celebrada el 28 de marzo de 2019, Artículo XXXV. Lo anterior, como parte de las gestiones de seguimiento de las Medidas Cautelares 321-12 de la CIDH contra el Estado. 2° Se toma nota del Oficio </w:t>
      </w:r>
      <w:r>
        <w:rPr>
          <w:rFonts w:cs="Tahoma" w:ascii="Tahoma" w:hAnsi="Tahoma"/>
          <w:b/>
          <w:sz w:val="20"/>
          <w:szCs w:val="20"/>
        </w:rPr>
        <w:t>N° 12-FAI-2020</w:t>
      </w:r>
      <w:r>
        <w:rPr>
          <w:rFonts w:cs="Tahoma" w:ascii="Tahoma" w:hAnsi="Tahoma"/>
          <w:sz w:val="20"/>
          <w:szCs w:val="20"/>
        </w:rPr>
        <w:t xml:space="preserve"> de 14 de febrero pasado, enviado a esta Subcomisión por l</w:t>
      </w:r>
      <w:r>
        <w:rPr>
          <w:rFonts w:cs="Tahoma" w:ascii="Tahoma" w:hAnsi="Tahoma"/>
          <w:sz w:val="20"/>
          <w:szCs w:val="20"/>
          <w:lang w:val="es-ES"/>
        </w:rPr>
        <w:t>a Fiscalía Adjunta de Asuntos Indígenas. 3° Solicitar a la Unidad de Acceso a la Justicia dar seguimiento al acuerdo que tome el Consejo Superior en relación con la gestión citada en el primer acuerdo. 4° Comuníquese este acuerdo a la Fiscalía Indígena para su conocimiento, por medio de la Unidad de Acceso a la Justicia.-</w:t>
      </w:r>
    </w:p>
    <w:p>
      <w:pPr>
        <w:pStyle w:val="Normal"/>
        <w:spacing w:lineRule="auto" w:line="360"/>
        <w:jc w:val="center"/>
        <w:rPr>
          <w:rFonts w:ascii="Tahoma" w:hAnsi="Tahoma" w:cs="Tahoma"/>
          <w:b/>
          <w:b/>
          <w:sz w:val="20"/>
          <w:szCs w:val="20"/>
          <w:highlight w:val="yellow"/>
          <w:u w:val="single"/>
        </w:rPr>
      </w:pPr>
      <w:r>
        <w:rPr>
          <w:rFonts w:cs="Tahoma" w:ascii="Tahoma" w:hAnsi="Tahoma"/>
          <w:b/>
          <w:sz w:val="20"/>
          <w:szCs w:val="20"/>
          <w:highlight w:val="yellow"/>
          <w:u w:val="single"/>
        </w:rPr>
      </w:r>
    </w:p>
    <w:p>
      <w:pPr>
        <w:pStyle w:val="Normal"/>
        <w:spacing w:lineRule="auto" w:line="360"/>
        <w:jc w:val="center"/>
        <w:rPr>
          <w:rFonts w:ascii="Tahoma" w:hAnsi="Tahoma" w:cs="Tahoma"/>
          <w:b/>
          <w:b/>
          <w:sz w:val="20"/>
          <w:szCs w:val="20"/>
          <w:u w:val="single"/>
        </w:rPr>
      </w:pPr>
      <w:r>
        <w:rPr>
          <w:rFonts w:cs="Tahoma" w:ascii="Tahoma" w:hAnsi="Tahoma"/>
          <w:b/>
          <w:sz w:val="20"/>
          <w:szCs w:val="20"/>
          <w:highlight w:val="yellow"/>
          <w:u w:val="single"/>
        </w:rPr>
        <w:t>ARTÍCULO III:</w:t>
      </w:r>
    </w:p>
    <w:p>
      <w:pPr>
        <w:pStyle w:val="Normal"/>
        <w:spacing w:lineRule="auto" w:line="360"/>
        <w:rPr>
          <w:rFonts w:ascii="Tahoma" w:hAnsi="Tahoma" w:cs="Tahoma"/>
          <w:sz w:val="20"/>
          <w:szCs w:val="20"/>
          <w:u w:val="single"/>
        </w:rPr>
      </w:pPr>
      <w:r>
        <w:rPr>
          <w:rFonts w:cs="Tahoma" w:ascii="Tahoma" w:hAnsi="Tahoma"/>
          <w:b/>
          <w:sz w:val="20"/>
          <w:szCs w:val="20"/>
          <w:u w:val="single"/>
        </w:rPr>
        <w:t>TEMA:</w:t>
      </w:r>
      <w:r>
        <w:rPr>
          <w:rFonts w:cs="Tahoma" w:ascii="Tahoma" w:hAnsi="Tahoma"/>
          <w:sz w:val="20"/>
          <w:szCs w:val="20"/>
          <w:u w:val="single"/>
        </w:rPr>
        <w:t xml:space="preserve"> </w:t>
      </w:r>
      <w:r>
        <w:rPr>
          <w:rFonts w:cs="Tahoma" w:ascii="Tahoma" w:hAnsi="Tahoma"/>
          <w:b/>
          <w:bCs/>
          <w:sz w:val="20"/>
          <w:szCs w:val="20"/>
          <w:u w:val="single"/>
        </w:rPr>
        <w:t>OFICINA DE TRABAJO SOCIAL Y PSICOLOGÍA DE BUENOS AIRES DE PUNTARENAS</w:t>
      </w:r>
    </w:p>
    <w:p>
      <w:pPr>
        <w:pStyle w:val="Normal"/>
        <w:jc w:val="both"/>
        <w:rPr>
          <w:rFonts w:ascii="Tahoma" w:hAnsi="Tahoma" w:cs="Tahoma"/>
          <w:sz w:val="20"/>
          <w:szCs w:val="20"/>
          <w:lang w:val="es-ES"/>
        </w:rPr>
      </w:pPr>
      <w:r>
        <w:rPr>
          <w:rFonts w:cs="Tahoma" w:ascii="Tahoma" w:hAnsi="Tahoma"/>
          <w:sz w:val="20"/>
          <w:szCs w:val="20"/>
          <w:lang w:val="es-ES"/>
        </w:rPr>
        <w:t>La Unidad de Acceso a la Justicia comunicó mediante el</w:t>
      </w:r>
      <w:r>
        <w:rPr>
          <w:rFonts w:cs="Tahoma" w:ascii="Tahoma" w:hAnsi="Tahoma"/>
          <w:b/>
          <w:sz w:val="20"/>
          <w:szCs w:val="20"/>
          <w:lang w:val="es-ES"/>
        </w:rPr>
        <w:t xml:space="preserve"> Oficio CACC-10-2020</w:t>
      </w:r>
      <w:r>
        <w:rPr>
          <w:rFonts w:cs="Tahoma" w:ascii="Tahoma" w:hAnsi="Tahoma"/>
          <w:sz w:val="20"/>
          <w:szCs w:val="20"/>
          <w:lang w:val="es-ES"/>
        </w:rPr>
        <w:t xml:space="preserve"> a la Dirección de Planificación y al Departamento de Trabajo Social y Psicología, el acuerdo estipulado en el Artículo VII del Acta 10-19 el cual se transcribe literalmente: </w:t>
      </w:r>
    </w:p>
    <w:p>
      <w:pPr>
        <w:pStyle w:val="Normal"/>
        <w:jc w:val="both"/>
        <w:rPr>
          <w:rFonts w:ascii="Tahoma" w:hAnsi="Tahoma" w:cs="Tahoma"/>
          <w:sz w:val="20"/>
          <w:szCs w:val="20"/>
          <w:lang w:val="es-ES" w:eastAsia="es-CR"/>
        </w:rPr>
      </w:pPr>
      <w:r>
        <w:rPr>
          <w:rFonts w:cs="Tahoma" w:ascii="Tahoma" w:hAnsi="Tahoma"/>
          <w:b/>
          <w:sz w:val="20"/>
          <w:szCs w:val="20"/>
          <w:highlight w:val="lightGray"/>
        </w:rPr>
        <w:t>3°</w:t>
      </w:r>
      <w:r>
        <w:rPr>
          <w:rFonts w:cs="Tahoma" w:ascii="Tahoma" w:hAnsi="Tahoma"/>
          <w:sz w:val="20"/>
          <w:szCs w:val="20"/>
          <w:highlight w:val="lightGray"/>
        </w:rPr>
        <w:t>.</w:t>
      </w:r>
      <w:r>
        <w:rPr>
          <w:rFonts w:cs="Tahoma" w:ascii="Tahoma" w:hAnsi="Tahoma"/>
          <w:sz w:val="20"/>
          <w:szCs w:val="20"/>
        </w:rPr>
        <w:t xml:space="preserve"> Solicitar al </w:t>
      </w:r>
      <w:r>
        <w:rPr>
          <w:rFonts w:cs="Tahoma" w:ascii="Tahoma" w:hAnsi="Tahoma"/>
          <w:sz w:val="20"/>
          <w:szCs w:val="20"/>
          <w:lang w:val="es-ES" w:eastAsia="es-CR"/>
        </w:rPr>
        <w:t xml:space="preserve">Departamento de Trabajo Social y Psicología, y a la Dirección de Planificación informen sobre la factibilidad de que la plaza se ubique en Buenos Aires de Puntarenas considerando la situación actual de infraestructura, los requerimientos de servicio y el destino de la plaza aprobada por el Consejo Superior. </w:t>
      </w:r>
    </w:p>
    <w:p>
      <w:pPr>
        <w:pStyle w:val="Normal"/>
        <w:jc w:val="both"/>
        <w:rPr>
          <w:rFonts w:ascii="Tahoma" w:hAnsi="Tahoma" w:cs="Tahoma"/>
          <w:sz w:val="20"/>
          <w:szCs w:val="20"/>
          <w:lang w:val="pt-BR"/>
        </w:rPr>
      </w:pPr>
      <w:r>
        <w:rPr>
          <w:rFonts w:cs="Tahoma" w:ascii="Tahoma" w:hAnsi="Tahoma"/>
          <w:sz w:val="20"/>
          <w:szCs w:val="20"/>
          <w:lang w:val="es-ES"/>
        </w:rPr>
        <w:t xml:space="preserve">La Dirección de Planificación comunica mediante el Oficio </w:t>
      </w:r>
      <w:r>
        <w:rPr>
          <w:rFonts w:cs="Tahoma" w:ascii="Tahoma" w:hAnsi="Tahoma"/>
          <w:sz w:val="20"/>
          <w:szCs w:val="20"/>
          <w:lang w:val="pt-BR"/>
        </w:rPr>
        <w:t>162-PLA-OI-2020, lo siguiente:</w:t>
      </w:r>
    </w:p>
    <w:p>
      <w:pPr>
        <w:pStyle w:val="Normal"/>
        <w:jc w:val="right"/>
        <w:rPr>
          <w:rFonts w:ascii="Tahoma" w:hAnsi="Tahoma" w:cs="Tahoma"/>
          <w:i/>
          <w:i/>
          <w:iCs/>
          <w:sz w:val="20"/>
          <w:szCs w:val="20"/>
          <w:lang w:val="pt-BR"/>
        </w:rPr>
      </w:pPr>
      <w:r>
        <w:rPr>
          <w:rFonts w:cs="Tahoma" w:ascii="Tahoma" w:hAnsi="Tahoma"/>
          <w:i/>
          <w:iCs/>
          <w:sz w:val="20"/>
          <w:szCs w:val="20"/>
          <w:lang w:val="pt-BR"/>
        </w:rPr>
        <w:t>162-PLA-OI-2020</w:t>
      </w:r>
    </w:p>
    <w:p>
      <w:pPr>
        <w:pStyle w:val="Normal"/>
        <w:jc w:val="right"/>
        <w:rPr>
          <w:rFonts w:ascii="Tahoma" w:hAnsi="Tahoma" w:cs="Tahoma"/>
          <w:i/>
          <w:i/>
          <w:iCs/>
          <w:sz w:val="20"/>
          <w:szCs w:val="20"/>
        </w:rPr>
      </w:pPr>
      <w:r>
        <w:rPr>
          <w:rFonts w:cs="Tahoma" w:ascii="Tahoma" w:hAnsi="Tahoma"/>
          <w:i/>
          <w:iCs/>
          <w:sz w:val="20"/>
          <w:szCs w:val="20"/>
        </w:rPr>
        <w:t xml:space="preserve">Ref. SICE: 24-20 </w:t>
      </w:r>
    </w:p>
    <w:p>
      <w:pPr>
        <w:pStyle w:val="Normal"/>
        <w:rPr>
          <w:rFonts w:ascii="Tahoma" w:hAnsi="Tahoma" w:cs="Tahoma"/>
          <w:i/>
          <w:i/>
          <w:iCs/>
          <w:sz w:val="20"/>
          <w:szCs w:val="20"/>
          <w:lang w:val="es-MX"/>
        </w:rPr>
      </w:pPr>
      <w:r>
        <w:rPr>
          <w:rFonts w:cs="Tahoma" w:ascii="Tahoma" w:hAnsi="Tahoma"/>
          <w:i/>
          <w:iCs/>
          <w:sz w:val="20"/>
          <w:szCs w:val="20"/>
          <w:lang w:val="es-MX"/>
        </w:rPr>
      </w:r>
    </w:p>
    <w:p>
      <w:pPr>
        <w:pStyle w:val="Normal"/>
        <w:jc w:val="right"/>
        <w:rPr>
          <w:rFonts w:ascii="Tahoma" w:hAnsi="Tahoma" w:cs="Tahoma"/>
          <w:i/>
          <w:i/>
          <w:iCs/>
          <w:sz w:val="20"/>
          <w:szCs w:val="20"/>
          <w:lang w:val="pt-BR"/>
        </w:rPr>
      </w:pPr>
      <w:r>
        <w:rPr>
          <w:rFonts w:cs="Tahoma" w:ascii="Tahoma" w:hAnsi="Tahoma"/>
          <w:i/>
          <w:iCs/>
          <w:sz w:val="20"/>
          <w:szCs w:val="20"/>
          <w:lang w:val="pt-BR"/>
        </w:rPr>
        <w:t>3 de febrero de 2020</w:t>
      </w:r>
    </w:p>
    <w:p>
      <w:pPr>
        <w:pStyle w:val="Normal"/>
        <w:rPr>
          <w:rFonts w:ascii="Tahoma" w:hAnsi="Tahoma" w:cs="Tahoma"/>
          <w:i/>
          <w:i/>
          <w:iCs/>
          <w:sz w:val="20"/>
          <w:szCs w:val="20"/>
          <w:lang w:val="es-ES"/>
        </w:rPr>
      </w:pPr>
      <w:r>
        <w:rPr>
          <w:rFonts w:cs="Tahoma" w:ascii="Tahoma" w:hAnsi="Tahoma"/>
          <w:i/>
          <w:iCs/>
          <w:sz w:val="20"/>
          <w:szCs w:val="20"/>
          <w:lang w:val="es-ES"/>
        </w:rPr>
        <w:t>Magistrado</w:t>
      </w:r>
    </w:p>
    <w:p>
      <w:pPr>
        <w:pStyle w:val="Normal"/>
        <w:tabs>
          <w:tab w:val="clear" w:pos="708"/>
          <w:tab w:val="left" w:pos="709" w:leader="none"/>
        </w:tabs>
        <w:rPr>
          <w:rFonts w:ascii="Tahoma" w:hAnsi="Tahoma" w:cs="Tahoma"/>
          <w:i/>
          <w:i/>
          <w:iCs/>
          <w:sz w:val="20"/>
          <w:szCs w:val="20"/>
          <w:lang w:val="es-ES"/>
        </w:rPr>
      </w:pPr>
      <w:r>
        <w:rPr>
          <w:rFonts w:cs="Tahoma" w:ascii="Tahoma" w:hAnsi="Tahoma"/>
          <w:bCs/>
          <w:i/>
          <w:iCs/>
          <w:sz w:val="20"/>
          <w:szCs w:val="20"/>
          <w:lang w:val="es-ES"/>
        </w:rPr>
        <w:t>Jorge Enrique Olaso Alvarez</w:t>
      </w:r>
      <w:r>
        <w:rPr>
          <w:rFonts w:cs="Tahoma" w:ascii="Tahoma" w:hAnsi="Tahoma"/>
          <w:i/>
          <w:iCs/>
          <w:sz w:val="20"/>
          <w:szCs w:val="20"/>
          <w:lang w:val="es-ES"/>
        </w:rPr>
        <w:t xml:space="preserve">, Coordinador </w:t>
      </w:r>
    </w:p>
    <w:p>
      <w:pPr>
        <w:pStyle w:val="Normal"/>
        <w:tabs>
          <w:tab w:val="clear" w:pos="708"/>
          <w:tab w:val="left" w:pos="709" w:leader="none"/>
        </w:tabs>
        <w:rPr>
          <w:rFonts w:ascii="Tahoma" w:hAnsi="Tahoma" w:cs="Tahoma"/>
          <w:i/>
          <w:i/>
          <w:iCs/>
          <w:sz w:val="20"/>
          <w:szCs w:val="20"/>
          <w:lang w:val="es-ES"/>
        </w:rPr>
      </w:pPr>
      <w:r>
        <w:rPr>
          <w:rFonts w:cs="Tahoma" w:ascii="Tahoma" w:hAnsi="Tahoma"/>
          <w:i/>
          <w:iCs/>
          <w:sz w:val="20"/>
          <w:szCs w:val="20"/>
          <w:lang w:val="es-ES"/>
        </w:rPr>
        <w:t>Comisión de Acceso a la Justicia</w:t>
      </w:r>
    </w:p>
    <w:p>
      <w:pPr>
        <w:pStyle w:val="Normal"/>
        <w:rPr>
          <w:rFonts w:ascii="Tahoma" w:hAnsi="Tahoma" w:cs="Tahoma"/>
          <w:i/>
          <w:i/>
          <w:iCs/>
          <w:sz w:val="20"/>
          <w:szCs w:val="20"/>
          <w:lang w:val="pt-BR"/>
        </w:rPr>
      </w:pPr>
      <w:r>
        <w:rPr>
          <w:rFonts w:cs="Tahoma" w:ascii="Tahoma" w:hAnsi="Tahoma"/>
          <w:i/>
          <w:iCs/>
          <w:sz w:val="20"/>
          <w:szCs w:val="20"/>
          <w:lang w:val="pt-BR"/>
        </w:rPr>
        <w:t>Estimado señor:</w:t>
      </w:r>
    </w:p>
    <w:p>
      <w:pPr>
        <w:pStyle w:val="Normal"/>
        <w:jc w:val="both"/>
        <w:rPr>
          <w:rFonts w:ascii="Tahoma" w:hAnsi="Tahoma" w:cs="Tahoma"/>
          <w:i/>
          <w:i/>
          <w:iCs/>
          <w:sz w:val="20"/>
          <w:szCs w:val="20"/>
          <w:lang w:val="pt-BR"/>
        </w:rPr>
      </w:pPr>
      <w:r>
        <w:rPr>
          <w:rFonts w:cs="Tahoma" w:ascii="Tahoma" w:hAnsi="Tahoma"/>
          <w:i/>
          <w:iCs/>
          <w:sz w:val="20"/>
          <w:szCs w:val="20"/>
          <w:lang w:val="pt-BR"/>
        </w:rPr>
      </w:r>
    </w:p>
    <w:p>
      <w:pPr>
        <w:pStyle w:val="Normal"/>
        <w:widowControl w:val="false"/>
        <w:ind w:firstLine="720"/>
        <w:jc w:val="both"/>
        <w:rPr>
          <w:rFonts w:ascii="Tahoma" w:hAnsi="Tahoma" w:cs="Tahoma"/>
          <w:i/>
          <w:i/>
          <w:iCs/>
          <w:sz w:val="20"/>
          <w:szCs w:val="20"/>
        </w:rPr>
      </w:pPr>
      <w:r>
        <w:rPr>
          <w:rFonts w:cs="Tahoma" w:ascii="Tahoma" w:hAnsi="Tahoma"/>
          <w:i/>
          <w:iCs/>
          <w:sz w:val="20"/>
          <w:szCs w:val="20"/>
        </w:rPr>
        <w:t xml:space="preserve">Le transcribo el informe suscrito por la Licda. Ginethe Retana Ureña, Jefa del Subproceso de Organización Institucional, que indica: </w:t>
      </w:r>
    </w:p>
    <w:p>
      <w:pPr>
        <w:pStyle w:val="Normal"/>
        <w:widowControl w:val="false"/>
        <w:jc w:val="both"/>
        <w:rPr>
          <w:rFonts w:ascii="Tahoma" w:hAnsi="Tahoma" w:cs="Tahoma"/>
          <w:i/>
          <w:i/>
          <w:iCs/>
          <w:color w:val="FF0000"/>
          <w:sz w:val="20"/>
          <w:szCs w:val="20"/>
          <w:shd w:fill="FFFFFF" w:val="clear"/>
        </w:rPr>
      </w:pPr>
      <w:r>
        <w:rPr>
          <w:rFonts w:cs="Tahoma" w:ascii="Tahoma" w:hAnsi="Tahoma"/>
          <w:i/>
          <w:iCs/>
          <w:color w:val="FF0000"/>
          <w:sz w:val="20"/>
          <w:szCs w:val="20"/>
          <w:shd w:fill="FFFFFF" w:val="clear"/>
        </w:rPr>
      </w:r>
    </w:p>
    <w:p>
      <w:pPr>
        <w:pStyle w:val="Normal"/>
        <w:widowControl w:val="false"/>
        <w:jc w:val="both"/>
        <w:rPr>
          <w:rFonts w:ascii="Tahoma" w:hAnsi="Tahoma" w:cs="Tahoma"/>
          <w:i/>
          <w:i/>
          <w:iCs/>
          <w:color w:val="FF0000"/>
          <w:sz w:val="20"/>
          <w:szCs w:val="20"/>
          <w:shd w:fill="FFFFFF" w:val="clear"/>
        </w:rPr>
      </w:pPr>
      <w:r>
        <w:rPr>
          <w:rFonts w:cs="Tahoma" w:ascii="Tahoma" w:hAnsi="Tahoma"/>
          <w:i/>
          <w:iCs/>
          <w:color w:val="FF0000"/>
          <w:sz w:val="20"/>
          <w:szCs w:val="20"/>
          <w:shd w:fill="FFFFFF" w:val="clear"/>
        </w:rPr>
      </w:r>
    </w:p>
    <w:p>
      <w:pPr>
        <w:pStyle w:val="Normal"/>
        <w:widowControl w:val="false"/>
        <w:jc w:val="both"/>
        <w:rPr>
          <w:rFonts w:ascii="Tahoma" w:hAnsi="Tahoma" w:cs="Tahoma"/>
          <w:i/>
          <w:i/>
          <w:iCs/>
          <w:sz w:val="20"/>
          <w:szCs w:val="20"/>
        </w:rPr>
      </w:pPr>
      <w:r>
        <w:rPr>
          <w:rFonts w:cs="Tahoma" w:ascii="Tahoma" w:hAnsi="Tahoma"/>
          <w:i/>
          <w:iCs/>
          <w:sz w:val="20"/>
          <w:szCs w:val="20"/>
          <w:shd w:fill="FFFFFF" w:val="clear"/>
          <w:lang w:val="es-ES"/>
        </w:rPr>
        <w:t>”</w:t>
      </w:r>
      <w:r>
        <w:rPr>
          <w:rFonts w:cs="Tahoma" w:ascii="Tahoma" w:hAnsi="Tahoma"/>
          <w:i/>
          <w:iCs/>
          <w:sz w:val="20"/>
          <w:szCs w:val="20"/>
        </w:rPr>
        <w:t xml:space="preserve">Mediante oficio CACC-10-2020 del 09 de enero de 2020, la Comisión de Acceso a la Justicia, comunicó el acuerdo de la </w:t>
      </w:r>
      <w:bookmarkStart w:id="0" w:name="_Hlk31294075"/>
      <w:r>
        <w:rPr>
          <w:rFonts w:cs="Tahoma" w:ascii="Tahoma" w:hAnsi="Tahoma"/>
          <w:i/>
          <w:iCs/>
          <w:sz w:val="20"/>
          <w:szCs w:val="20"/>
        </w:rPr>
        <w:t>Subcomisión de Acceso a la Justicia de Pueblos Indígenas</w:t>
      </w:r>
      <w:bookmarkEnd w:id="0"/>
      <w:r>
        <w:rPr>
          <w:rFonts w:cs="Tahoma" w:ascii="Tahoma" w:hAnsi="Tahoma"/>
          <w:i/>
          <w:iCs/>
          <w:sz w:val="20"/>
          <w:szCs w:val="20"/>
        </w:rPr>
        <w:t xml:space="preserve"> tomado en sesión celebrada virtualmente el 20 de diciembre de 2019, artículo VII, en el cual solicitan que el Departamento de Trabajo Social y Psicología, y  la Dirección de Planificación informen sobre la factibilidad de que la plaza se ubique en Buenos Aires de Puntarenas considerando la situación actual de infraestructura, los requerimientos de servicio y el destino de la plaza aprobada por el Consejo Superior</w:t>
      </w:r>
      <w:r>
        <w:rPr>
          <w:rStyle w:val="Ancladenotaalpie"/>
          <w:rFonts w:cs="Tahoma" w:ascii="Tahoma" w:hAnsi="Tahoma"/>
          <w:i/>
          <w:iCs/>
          <w:sz w:val="20"/>
          <w:szCs w:val="20"/>
        </w:rPr>
        <w:footnoteReference w:id="4"/>
      </w:r>
      <w:r>
        <w:rPr>
          <w:rFonts w:cs="Tahoma" w:ascii="Tahoma" w:hAnsi="Tahoma"/>
          <w:i/>
          <w:iCs/>
          <w:sz w:val="20"/>
          <w:szCs w:val="20"/>
        </w:rPr>
        <w:t>.</w:t>
      </w:r>
    </w:p>
    <w:p>
      <w:pPr>
        <w:pStyle w:val="Normal"/>
        <w:jc w:val="both"/>
        <w:rPr>
          <w:rFonts w:ascii="Tahoma" w:hAnsi="Tahoma" w:cs="Tahoma"/>
          <w:i/>
          <w:i/>
          <w:iCs/>
          <w:sz w:val="20"/>
          <w:szCs w:val="20"/>
        </w:rPr>
      </w:pPr>
      <w:r>
        <w:rPr>
          <w:rFonts w:cs="Tahoma" w:ascii="Tahoma" w:hAnsi="Tahoma"/>
          <w:i/>
          <w:iCs/>
          <w:sz w:val="20"/>
          <w:szCs w:val="20"/>
        </w:rPr>
      </w:r>
    </w:p>
    <w:p>
      <w:pPr>
        <w:pStyle w:val="Normal"/>
        <w:jc w:val="both"/>
        <w:rPr>
          <w:rFonts w:ascii="Tahoma" w:hAnsi="Tahoma" w:cs="Tahoma"/>
          <w:i/>
          <w:i/>
          <w:iCs/>
          <w:sz w:val="20"/>
          <w:szCs w:val="20"/>
        </w:rPr>
      </w:pPr>
      <w:r>
        <w:rPr>
          <w:rFonts w:cs="Tahoma" w:ascii="Tahoma" w:hAnsi="Tahoma"/>
          <w:i/>
          <w:iCs/>
          <w:sz w:val="20"/>
          <w:szCs w:val="20"/>
        </w:rPr>
        <w:t>Sobre el particular, me permito indicarle que con base en la información recopilada por la Licda. Marlene Alpízar López, Profesional del Subproceso a mi cargo, la gestión solicitada fue contemplada por la Dirección de Planificación en el informe 61-PLA-DO-2014,  relacionado con el estudio sobre requerimientos de recurso humano 2015 para la Creación de la Oficina de Trabajo Social y Psicología para los cantones de Buenos Aires y Bribrí, donde se recomendó la plaza para Buenos Aires y específicamente sobre el tema de la ubicación de recurso se indicó lo siguiente:</w:t>
      </w:r>
    </w:p>
    <w:p>
      <w:pPr>
        <w:pStyle w:val="Normal"/>
        <w:ind w:firstLine="708"/>
        <w:jc w:val="both"/>
        <w:rPr>
          <w:rFonts w:ascii="Tahoma" w:hAnsi="Tahoma" w:cs="Tahoma"/>
          <w:i/>
          <w:i/>
          <w:iCs/>
          <w:sz w:val="20"/>
          <w:szCs w:val="20"/>
          <w:lang w:val="es-ES"/>
        </w:rPr>
      </w:pPr>
      <w:r>
        <w:rPr>
          <w:rFonts w:cs="Tahoma" w:ascii="Tahoma" w:hAnsi="Tahoma"/>
          <w:i/>
          <w:iCs/>
          <w:sz w:val="20"/>
          <w:szCs w:val="20"/>
          <w:lang w:val="es-ES"/>
        </w:rPr>
      </w:r>
    </w:p>
    <w:p>
      <w:pPr>
        <w:pStyle w:val="Normal"/>
        <w:ind w:left="1701" w:right="1701" w:hanging="0"/>
        <w:jc w:val="both"/>
        <w:rPr>
          <w:rFonts w:ascii="Tahoma" w:hAnsi="Tahoma" w:cs="Tahoma"/>
          <w:i/>
          <w:i/>
          <w:iCs/>
          <w:sz w:val="20"/>
          <w:szCs w:val="20"/>
          <w:lang w:val="es-ES"/>
        </w:rPr>
      </w:pPr>
      <w:r>
        <w:rPr>
          <w:rFonts w:cs="Tahoma" w:ascii="Tahoma" w:hAnsi="Tahoma"/>
          <w:i/>
          <w:iCs/>
          <w:sz w:val="20"/>
          <w:szCs w:val="20"/>
          <w:lang w:val="es-ES"/>
        </w:rPr>
        <w:t>“</w:t>
      </w:r>
      <w:r>
        <w:rPr>
          <w:rFonts w:cs="Tahoma" w:ascii="Tahoma" w:hAnsi="Tahoma"/>
          <w:i/>
          <w:iCs/>
          <w:sz w:val="20"/>
          <w:szCs w:val="20"/>
          <w:lang w:val="es-ES"/>
        </w:rPr>
        <w:t>4.5.- No se cuenta con condiciones de espacio físico en la zona de Buenos Aires para instalar un equipo psicosocial, por lo que ante una eventual creación debe incluirse el alquiler de un local.”</w:t>
      </w:r>
    </w:p>
    <w:p>
      <w:pPr>
        <w:pStyle w:val="Normal"/>
        <w:jc w:val="both"/>
        <w:rPr>
          <w:rFonts w:ascii="Tahoma" w:hAnsi="Tahoma" w:cs="Tahoma"/>
          <w:i/>
          <w:i/>
          <w:iCs/>
          <w:sz w:val="20"/>
          <w:szCs w:val="20"/>
        </w:rPr>
      </w:pPr>
      <w:r>
        <w:rPr>
          <w:rFonts w:cs="Tahoma" w:ascii="Tahoma" w:hAnsi="Tahoma"/>
          <w:i/>
          <w:iCs/>
          <w:sz w:val="20"/>
          <w:szCs w:val="20"/>
        </w:rPr>
      </w:r>
    </w:p>
    <w:p>
      <w:pPr>
        <w:pStyle w:val="Normal"/>
        <w:jc w:val="both"/>
        <w:rPr>
          <w:rFonts w:ascii="Tahoma" w:hAnsi="Tahoma" w:cs="Tahoma"/>
          <w:i/>
          <w:i/>
          <w:iCs/>
          <w:sz w:val="20"/>
          <w:szCs w:val="20"/>
        </w:rPr>
      </w:pPr>
      <w:r>
        <w:rPr>
          <w:rFonts w:cs="Tahoma" w:ascii="Tahoma" w:hAnsi="Tahoma"/>
          <w:i/>
          <w:iCs/>
          <w:sz w:val="20"/>
          <w:szCs w:val="20"/>
        </w:rPr>
        <w:t>El citado informe fue conocido por el Consejo Superior del Poder Judicial, en la sesión extraordinaria N°35-14 (Presupuesto 2015), del 23 de abril del 2014, artículo LV, donde se dispuso lo siguiente:</w:t>
      </w:r>
    </w:p>
    <w:p>
      <w:pPr>
        <w:pStyle w:val="Normal"/>
        <w:jc w:val="both"/>
        <w:rPr>
          <w:rFonts w:ascii="Tahoma" w:hAnsi="Tahoma" w:cs="Tahoma"/>
          <w:i/>
          <w:i/>
          <w:iCs/>
          <w:sz w:val="20"/>
          <w:szCs w:val="20"/>
        </w:rPr>
      </w:pPr>
      <w:r>
        <w:rPr>
          <w:rFonts w:cs="Tahoma" w:ascii="Tahoma" w:hAnsi="Tahoma"/>
          <w:i/>
          <w:iCs/>
          <w:sz w:val="20"/>
          <w:szCs w:val="20"/>
        </w:rPr>
      </w:r>
    </w:p>
    <w:p>
      <w:pPr>
        <w:pStyle w:val="Normal"/>
        <w:ind w:left="1701" w:right="1701" w:hanging="0"/>
        <w:jc w:val="both"/>
        <w:rPr>
          <w:rFonts w:ascii="Tahoma" w:hAnsi="Tahoma" w:cs="Tahoma"/>
          <w:i/>
          <w:i/>
          <w:iCs/>
          <w:sz w:val="20"/>
          <w:szCs w:val="20"/>
          <w:lang w:val="es-MX"/>
        </w:rPr>
      </w:pPr>
      <w:r>
        <w:rPr>
          <w:rFonts w:cs="Tahoma" w:ascii="Tahoma" w:hAnsi="Tahoma"/>
          <w:i/>
          <w:iCs/>
          <w:sz w:val="20"/>
          <w:szCs w:val="20"/>
        </w:rPr>
        <w:t>“</w:t>
      </w:r>
      <w:r>
        <w:rPr>
          <w:rFonts w:cs="Tahoma" w:ascii="Tahoma" w:hAnsi="Tahoma"/>
          <w:b/>
          <w:bCs/>
          <w:i/>
          <w:iCs/>
          <w:sz w:val="20"/>
          <w:szCs w:val="20"/>
          <w:lang w:val="es-MX"/>
        </w:rPr>
        <w:t>Se acordó: 1.)</w:t>
      </w:r>
      <w:r>
        <w:rPr>
          <w:rFonts w:cs="Tahoma" w:ascii="Tahoma" w:hAnsi="Tahoma"/>
          <w:i/>
          <w:iCs/>
          <w:sz w:val="20"/>
          <w:szCs w:val="20"/>
          <w:lang w:val="es-MX"/>
        </w:rPr>
        <w:t xml:space="preserve"> Aprobar el informe presentado por el Departamento de Planificación. </w:t>
      </w:r>
      <w:r>
        <w:rPr>
          <w:rFonts w:cs="Tahoma" w:ascii="Tahoma" w:hAnsi="Tahoma"/>
          <w:b/>
          <w:bCs/>
          <w:i/>
          <w:iCs/>
          <w:sz w:val="20"/>
          <w:szCs w:val="20"/>
          <w:lang w:val="es-MX"/>
        </w:rPr>
        <w:t>2.)</w:t>
      </w:r>
      <w:r>
        <w:rPr>
          <w:rFonts w:cs="Tahoma" w:ascii="Tahoma" w:hAnsi="Tahoma"/>
          <w:i/>
          <w:iCs/>
          <w:sz w:val="20"/>
          <w:szCs w:val="20"/>
          <w:lang w:val="es-MX"/>
        </w:rPr>
        <w:t xml:space="preserve"> Incluir en el anteproyecto de presupuesto del 2015, las siguientes plazas </w:t>
      </w:r>
      <w:r>
        <w:rPr>
          <w:rFonts w:cs="Tahoma" w:ascii="Tahoma" w:hAnsi="Tahoma"/>
          <w:i/>
          <w:iCs/>
          <w:sz w:val="20"/>
          <w:szCs w:val="20"/>
          <w:highlight w:val="lightGray"/>
          <w:lang w:val="es-MX"/>
        </w:rPr>
        <w:t>extraordinarias</w:t>
      </w:r>
      <w:r>
        <w:rPr>
          <w:rFonts w:cs="Tahoma" w:ascii="Tahoma" w:hAnsi="Tahoma"/>
          <w:i/>
          <w:iCs/>
          <w:sz w:val="20"/>
          <w:szCs w:val="20"/>
          <w:lang w:val="es-MX"/>
        </w:rPr>
        <w:t xml:space="preserve"> por todo el 2015:</w:t>
      </w:r>
    </w:p>
    <w:p>
      <w:pPr>
        <w:pStyle w:val="Normal"/>
        <w:widowControl w:val="false"/>
        <w:ind w:firstLine="708"/>
        <w:jc w:val="both"/>
        <w:rPr>
          <w:rFonts w:ascii="Tahoma" w:hAnsi="Tahoma" w:cs="Tahoma"/>
          <w:i/>
          <w:i/>
          <w:iCs/>
          <w:sz w:val="20"/>
          <w:szCs w:val="20"/>
          <w:lang w:val="es-MX"/>
        </w:rPr>
      </w:pPr>
      <w:r>
        <w:rPr>
          <w:rFonts w:cs="Tahoma" w:ascii="Tahoma" w:hAnsi="Tahoma"/>
          <w:i/>
          <w:iCs/>
          <w:sz w:val="20"/>
          <w:szCs w:val="20"/>
          <w:lang w:val="es-MX"/>
        </w:rPr>
      </w:r>
    </w:p>
    <w:tbl>
      <w:tblPr>
        <w:tblW w:w="6737"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1593"/>
        <w:gridCol w:w="713"/>
        <w:gridCol w:w="1773"/>
        <w:gridCol w:w="1553"/>
        <w:gridCol w:w="1105"/>
      </w:tblGrid>
      <w:tr>
        <w:trPr>
          <w:tblHeader w:val="true"/>
          <w:trHeight w:val="197" w:hRule="atLeast"/>
        </w:trPr>
        <w:tc>
          <w:tcPr>
            <w:tcW w:w="15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200"/>
              <w:jc w:val="center"/>
              <w:rPr>
                <w:rFonts w:ascii="Tahoma" w:hAnsi="Tahoma" w:cs="Tahoma"/>
                <w:b/>
                <w:b/>
                <w:bCs/>
                <w:i/>
                <w:i/>
                <w:iCs/>
                <w:sz w:val="20"/>
                <w:szCs w:val="20"/>
                <w:lang w:val="es-ES"/>
              </w:rPr>
            </w:pPr>
            <w:r>
              <w:rPr>
                <w:rFonts w:cs="Tahoma" w:ascii="Tahoma" w:hAnsi="Tahoma"/>
                <w:b/>
                <w:bCs/>
                <w:i/>
                <w:iCs/>
                <w:sz w:val="20"/>
                <w:szCs w:val="20"/>
                <w:lang w:val="es-ES"/>
              </w:rPr>
              <w:t>Despacho</w:t>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200"/>
              <w:jc w:val="center"/>
              <w:rPr>
                <w:rFonts w:ascii="Tahoma" w:hAnsi="Tahoma" w:cs="Tahoma"/>
                <w:b/>
                <w:b/>
                <w:bCs/>
                <w:i/>
                <w:i/>
                <w:iCs/>
                <w:sz w:val="20"/>
                <w:szCs w:val="20"/>
                <w:lang w:val="es-ES"/>
              </w:rPr>
            </w:pPr>
            <w:r>
              <w:rPr>
                <w:rFonts w:cs="Tahoma" w:ascii="Tahoma" w:hAnsi="Tahoma"/>
                <w:b/>
                <w:bCs/>
                <w:i/>
                <w:iCs/>
                <w:sz w:val="20"/>
                <w:szCs w:val="20"/>
                <w:lang w:val="es-ES"/>
              </w:rPr>
              <w:t>Cant.</w:t>
            </w:r>
          </w:p>
        </w:tc>
        <w:tc>
          <w:tcPr>
            <w:tcW w:w="17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200"/>
              <w:jc w:val="center"/>
              <w:rPr>
                <w:rFonts w:ascii="Tahoma" w:hAnsi="Tahoma" w:cs="Tahoma"/>
                <w:b/>
                <w:b/>
                <w:bCs/>
                <w:i/>
                <w:i/>
                <w:iCs/>
                <w:sz w:val="20"/>
                <w:szCs w:val="20"/>
                <w:lang w:val="es-ES"/>
              </w:rPr>
            </w:pPr>
            <w:r>
              <w:rPr>
                <w:rFonts w:cs="Tahoma" w:ascii="Tahoma" w:hAnsi="Tahoma"/>
                <w:b/>
                <w:bCs/>
                <w:i/>
                <w:iCs/>
                <w:sz w:val="20"/>
                <w:szCs w:val="20"/>
                <w:lang w:val="es-ES"/>
              </w:rPr>
              <w:t>Tipo de plaza</w:t>
            </w:r>
          </w:p>
        </w:tc>
        <w:tc>
          <w:tcPr>
            <w:tcW w:w="15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200"/>
              <w:jc w:val="center"/>
              <w:rPr>
                <w:rFonts w:ascii="Tahoma" w:hAnsi="Tahoma" w:cs="Tahoma"/>
                <w:b/>
                <w:b/>
                <w:bCs/>
                <w:i/>
                <w:i/>
                <w:iCs/>
                <w:sz w:val="20"/>
                <w:szCs w:val="20"/>
                <w:lang w:val="es-ES"/>
              </w:rPr>
            </w:pPr>
            <w:r>
              <w:rPr>
                <w:rFonts w:cs="Tahoma" w:ascii="Tahoma" w:hAnsi="Tahoma"/>
                <w:b/>
                <w:bCs/>
                <w:i/>
                <w:iCs/>
                <w:sz w:val="20"/>
                <w:szCs w:val="20"/>
                <w:lang w:val="es-ES"/>
              </w:rPr>
              <w:t>Recomendación</w:t>
            </w:r>
          </w:p>
        </w:tc>
        <w:tc>
          <w:tcPr>
            <w:tcW w:w="1105"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200"/>
              <w:jc w:val="center"/>
              <w:rPr>
                <w:rFonts w:ascii="Tahoma" w:hAnsi="Tahoma" w:cs="Tahoma"/>
                <w:b/>
                <w:b/>
                <w:bCs/>
                <w:i/>
                <w:i/>
                <w:iCs/>
                <w:sz w:val="20"/>
                <w:szCs w:val="20"/>
                <w:lang w:val="es-ES"/>
              </w:rPr>
            </w:pPr>
            <w:r>
              <w:rPr>
                <w:rFonts w:cs="Tahoma" w:ascii="Tahoma" w:hAnsi="Tahoma"/>
                <w:b/>
                <w:bCs/>
                <w:i/>
                <w:iCs/>
                <w:sz w:val="20"/>
                <w:szCs w:val="20"/>
                <w:lang w:val="es-ES"/>
              </w:rPr>
              <w:t>Prioridad</w:t>
            </w:r>
          </w:p>
        </w:tc>
      </w:tr>
      <w:tr>
        <w:trPr>
          <w:trHeight w:val="1193" w:hRule="atLeast"/>
        </w:trPr>
        <w:tc>
          <w:tcPr>
            <w:tcW w:w="15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Tahoma" w:hAnsi="Tahoma" w:cs="Tahoma"/>
                <w:i/>
                <w:i/>
                <w:iCs/>
                <w:sz w:val="20"/>
                <w:szCs w:val="20"/>
                <w:lang w:val="es-ES"/>
              </w:rPr>
            </w:pPr>
            <w:r>
              <w:rPr>
                <w:rFonts w:cs="Tahoma" w:ascii="Tahoma" w:hAnsi="Tahoma"/>
                <w:i/>
                <w:iCs/>
                <w:sz w:val="20"/>
                <w:szCs w:val="20"/>
                <w:lang w:val="es-ES"/>
              </w:rPr>
            </w:r>
          </w:p>
          <w:p>
            <w:pPr>
              <w:pStyle w:val="Normal"/>
              <w:widowControl w:val="false"/>
              <w:snapToGrid w:val="false"/>
              <w:jc w:val="center"/>
              <w:rPr>
                <w:rFonts w:ascii="Tahoma" w:hAnsi="Tahoma" w:cs="Tahoma"/>
                <w:i/>
                <w:i/>
                <w:iCs/>
                <w:sz w:val="20"/>
                <w:szCs w:val="20"/>
                <w:lang w:val="es-ES"/>
              </w:rPr>
            </w:pPr>
            <w:r>
              <w:rPr>
                <w:rFonts w:cs="Tahoma" w:ascii="Tahoma" w:hAnsi="Tahoma"/>
                <w:i/>
                <w:iCs/>
                <w:sz w:val="20"/>
                <w:szCs w:val="20"/>
                <w:lang w:val="es-ES"/>
              </w:rPr>
              <w:t>Oficina de Trabajo Social y Psicología de Pérez Zeledón</w:t>
            </w:r>
          </w:p>
          <w:p>
            <w:pPr>
              <w:pStyle w:val="Normal"/>
              <w:widowControl w:val="false"/>
              <w:snapToGrid w:val="false"/>
              <w:spacing w:before="0" w:after="200"/>
              <w:jc w:val="center"/>
              <w:rPr>
                <w:rFonts w:ascii="Tahoma" w:hAnsi="Tahoma" w:cs="Tahoma"/>
                <w:i/>
                <w:i/>
                <w:iCs/>
                <w:sz w:val="20"/>
                <w:szCs w:val="20"/>
                <w:highlight w:val="yellow"/>
                <w:lang w:val="es-ES"/>
              </w:rPr>
            </w:pPr>
            <w:r>
              <w:rPr>
                <w:rFonts w:cs="Tahoma" w:ascii="Tahoma" w:hAnsi="Tahoma"/>
                <w:i/>
                <w:iCs/>
                <w:sz w:val="20"/>
                <w:szCs w:val="20"/>
                <w:highlight w:val="yellow"/>
                <w:lang w:val="es-ES"/>
              </w:rPr>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200"/>
              <w:jc w:val="center"/>
              <w:rPr>
                <w:rFonts w:ascii="Tahoma" w:hAnsi="Tahoma" w:cs="Tahoma"/>
                <w:i/>
                <w:i/>
                <w:iCs/>
                <w:sz w:val="20"/>
                <w:szCs w:val="20"/>
                <w:lang w:val="es-ES"/>
              </w:rPr>
            </w:pPr>
            <w:r>
              <w:rPr>
                <w:rFonts w:cs="Tahoma" w:ascii="Tahoma" w:hAnsi="Tahoma"/>
                <w:i/>
                <w:iCs/>
                <w:sz w:val="20"/>
                <w:szCs w:val="20"/>
                <w:lang w:val="es-ES"/>
              </w:rPr>
              <w:t>1</w:t>
            </w:r>
          </w:p>
        </w:tc>
        <w:tc>
          <w:tcPr>
            <w:tcW w:w="17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200"/>
              <w:jc w:val="center"/>
              <w:rPr>
                <w:rFonts w:ascii="Tahoma" w:hAnsi="Tahoma" w:cs="Tahoma"/>
                <w:i/>
                <w:i/>
                <w:iCs/>
                <w:sz w:val="20"/>
                <w:szCs w:val="20"/>
                <w:lang w:val="es-ES"/>
              </w:rPr>
            </w:pPr>
            <w:r>
              <w:rPr>
                <w:rFonts w:cs="Tahoma" w:ascii="Tahoma" w:hAnsi="Tahoma"/>
                <w:i/>
                <w:iCs/>
                <w:sz w:val="20"/>
                <w:szCs w:val="20"/>
                <w:lang w:val="es-ES"/>
              </w:rPr>
              <w:t>Perito Judicial 2 (Trabajadora o Trabajador Social)</w:t>
            </w:r>
          </w:p>
        </w:tc>
        <w:tc>
          <w:tcPr>
            <w:tcW w:w="15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200"/>
              <w:jc w:val="center"/>
              <w:rPr>
                <w:rFonts w:ascii="Tahoma" w:hAnsi="Tahoma" w:cs="Tahoma"/>
                <w:i/>
                <w:i/>
                <w:iCs/>
                <w:sz w:val="20"/>
                <w:szCs w:val="20"/>
                <w:lang w:val="es-ES"/>
              </w:rPr>
            </w:pPr>
            <w:r>
              <w:rPr>
                <w:rFonts w:cs="Tahoma" w:ascii="Tahoma" w:hAnsi="Tahoma"/>
                <w:i/>
                <w:iCs/>
                <w:sz w:val="20"/>
                <w:szCs w:val="20"/>
                <w:lang w:val="es-ES"/>
              </w:rPr>
              <w:t>Extra</w:t>
            </w:r>
            <w:r>
              <w:rPr>
                <w:rFonts w:cs="Tahoma" w:ascii="Tahoma" w:hAnsi="Tahoma"/>
                <w:i/>
                <w:iCs/>
                <w:sz w:val="20"/>
                <w:szCs w:val="20"/>
                <w:highlight w:val="lightGray"/>
                <w:lang w:val="es-ES"/>
              </w:rPr>
              <w:t>o</w:t>
            </w:r>
            <w:r>
              <w:rPr>
                <w:rFonts w:cs="Tahoma" w:ascii="Tahoma" w:hAnsi="Tahoma"/>
                <w:i/>
                <w:iCs/>
                <w:sz w:val="20"/>
                <w:szCs w:val="20"/>
                <w:lang w:val="es-ES"/>
              </w:rPr>
              <w:t>rdinaria</w:t>
            </w:r>
          </w:p>
        </w:tc>
        <w:tc>
          <w:tcPr>
            <w:tcW w:w="11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205" w:leader="none"/>
              </w:tabs>
              <w:spacing w:before="0" w:after="200"/>
              <w:jc w:val="center"/>
              <w:rPr>
                <w:rFonts w:ascii="Tahoma" w:hAnsi="Tahoma" w:cs="Tahoma"/>
                <w:i/>
                <w:i/>
                <w:iCs/>
                <w:sz w:val="20"/>
                <w:szCs w:val="20"/>
                <w:lang w:val="es-ES"/>
              </w:rPr>
            </w:pPr>
            <w:r>
              <w:rPr>
                <w:rFonts w:cs="Tahoma" w:ascii="Tahoma" w:hAnsi="Tahoma"/>
                <w:i/>
                <w:iCs/>
                <w:sz w:val="20"/>
                <w:szCs w:val="20"/>
                <w:lang w:val="es-ES"/>
              </w:rPr>
              <w:t>2</w:t>
            </w:r>
          </w:p>
        </w:tc>
      </w:tr>
      <w:tr>
        <w:trPr>
          <w:trHeight w:val="1182" w:hRule="atLeast"/>
        </w:trPr>
        <w:tc>
          <w:tcPr>
            <w:tcW w:w="15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Tahoma" w:hAnsi="Tahoma" w:cs="Tahoma"/>
                <w:i/>
                <w:i/>
                <w:iCs/>
                <w:sz w:val="20"/>
                <w:szCs w:val="20"/>
                <w:lang w:val="es-ES"/>
              </w:rPr>
            </w:pPr>
            <w:r>
              <w:rPr>
                <w:rFonts w:cs="Tahoma" w:ascii="Tahoma" w:hAnsi="Tahoma"/>
                <w:i/>
                <w:iCs/>
                <w:sz w:val="20"/>
                <w:szCs w:val="20"/>
                <w:lang w:val="es-ES"/>
              </w:rPr>
            </w:r>
          </w:p>
          <w:p>
            <w:pPr>
              <w:pStyle w:val="Normal"/>
              <w:widowControl w:val="false"/>
              <w:snapToGrid w:val="false"/>
              <w:jc w:val="center"/>
              <w:rPr>
                <w:rFonts w:ascii="Tahoma" w:hAnsi="Tahoma" w:cs="Tahoma"/>
                <w:i/>
                <w:i/>
                <w:iCs/>
                <w:sz w:val="20"/>
                <w:szCs w:val="20"/>
                <w:lang w:val="es-ES"/>
              </w:rPr>
            </w:pPr>
            <w:r>
              <w:rPr>
                <w:rFonts w:cs="Tahoma" w:ascii="Tahoma" w:hAnsi="Tahoma"/>
                <w:i/>
                <w:iCs/>
                <w:sz w:val="20"/>
                <w:szCs w:val="20"/>
                <w:lang w:val="es-ES"/>
              </w:rPr>
              <w:t>Oficina de Trabajo Social y Psicología de Limón</w:t>
            </w:r>
          </w:p>
          <w:p>
            <w:pPr>
              <w:pStyle w:val="Normal"/>
              <w:widowControl w:val="false"/>
              <w:snapToGrid w:val="false"/>
              <w:spacing w:before="0" w:after="200"/>
              <w:jc w:val="center"/>
              <w:rPr>
                <w:rFonts w:ascii="Tahoma" w:hAnsi="Tahoma" w:cs="Tahoma"/>
                <w:i/>
                <w:i/>
                <w:iCs/>
                <w:sz w:val="20"/>
                <w:szCs w:val="20"/>
                <w:highlight w:val="yellow"/>
                <w:lang w:val="es-ES"/>
              </w:rPr>
            </w:pPr>
            <w:r>
              <w:rPr>
                <w:rFonts w:cs="Tahoma" w:ascii="Tahoma" w:hAnsi="Tahoma"/>
                <w:i/>
                <w:iCs/>
                <w:sz w:val="20"/>
                <w:szCs w:val="20"/>
                <w:highlight w:val="yellow"/>
                <w:lang w:val="es-ES"/>
              </w:rPr>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200"/>
              <w:jc w:val="center"/>
              <w:rPr>
                <w:rFonts w:ascii="Tahoma" w:hAnsi="Tahoma" w:cs="Tahoma"/>
                <w:i/>
                <w:i/>
                <w:iCs/>
                <w:sz w:val="20"/>
                <w:szCs w:val="20"/>
                <w:lang w:val="es-ES"/>
              </w:rPr>
            </w:pPr>
            <w:r>
              <w:rPr>
                <w:rFonts w:cs="Tahoma" w:ascii="Tahoma" w:hAnsi="Tahoma"/>
                <w:i/>
                <w:iCs/>
                <w:sz w:val="20"/>
                <w:szCs w:val="20"/>
                <w:lang w:val="es-ES"/>
              </w:rPr>
              <w:t>2</w:t>
            </w:r>
          </w:p>
        </w:tc>
        <w:tc>
          <w:tcPr>
            <w:tcW w:w="17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200"/>
              <w:jc w:val="center"/>
              <w:rPr>
                <w:rFonts w:ascii="Tahoma" w:hAnsi="Tahoma" w:cs="Tahoma"/>
                <w:i/>
                <w:i/>
                <w:iCs/>
                <w:sz w:val="20"/>
                <w:szCs w:val="20"/>
                <w:lang w:val="es-ES"/>
              </w:rPr>
            </w:pPr>
            <w:r>
              <w:rPr>
                <w:rFonts w:cs="Tahoma" w:ascii="Tahoma" w:hAnsi="Tahoma"/>
                <w:i/>
                <w:iCs/>
                <w:sz w:val="20"/>
                <w:szCs w:val="20"/>
                <w:lang w:val="es-ES"/>
              </w:rPr>
              <w:t>2 Perito Judicial 2 (Trabajadora o Trabajador Social y Psicóloga o Psicólogo)</w:t>
            </w:r>
          </w:p>
        </w:tc>
        <w:tc>
          <w:tcPr>
            <w:tcW w:w="15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200"/>
              <w:jc w:val="center"/>
              <w:rPr>
                <w:rFonts w:ascii="Tahoma" w:hAnsi="Tahoma" w:cs="Tahoma"/>
                <w:i/>
                <w:i/>
                <w:iCs/>
                <w:sz w:val="20"/>
                <w:szCs w:val="20"/>
                <w:lang w:val="es-ES"/>
              </w:rPr>
            </w:pPr>
            <w:r>
              <w:rPr>
                <w:rFonts w:cs="Tahoma" w:ascii="Tahoma" w:hAnsi="Tahoma"/>
                <w:i/>
                <w:iCs/>
                <w:sz w:val="20"/>
                <w:szCs w:val="20"/>
                <w:lang w:val="es-ES"/>
              </w:rPr>
              <w:t>Extra</w:t>
            </w:r>
            <w:r>
              <w:rPr>
                <w:rFonts w:cs="Tahoma" w:ascii="Tahoma" w:hAnsi="Tahoma"/>
                <w:i/>
                <w:iCs/>
                <w:sz w:val="20"/>
                <w:szCs w:val="20"/>
                <w:highlight w:val="lightGray"/>
                <w:lang w:val="es-ES"/>
              </w:rPr>
              <w:t>o</w:t>
            </w:r>
            <w:r>
              <w:rPr>
                <w:rFonts w:cs="Tahoma" w:ascii="Tahoma" w:hAnsi="Tahoma"/>
                <w:i/>
                <w:iCs/>
                <w:sz w:val="20"/>
                <w:szCs w:val="20"/>
                <w:lang w:val="es-ES"/>
              </w:rPr>
              <w:t>rdinaria</w:t>
            </w:r>
          </w:p>
        </w:tc>
        <w:tc>
          <w:tcPr>
            <w:tcW w:w="11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205" w:leader="none"/>
              </w:tabs>
              <w:spacing w:before="0" w:after="200"/>
              <w:jc w:val="center"/>
              <w:rPr>
                <w:rFonts w:ascii="Tahoma" w:hAnsi="Tahoma" w:cs="Tahoma"/>
                <w:i/>
                <w:i/>
                <w:iCs/>
                <w:sz w:val="20"/>
                <w:szCs w:val="20"/>
                <w:lang w:val="es-ES"/>
              </w:rPr>
            </w:pPr>
            <w:r>
              <w:rPr>
                <w:rFonts w:cs="Tahoma" w:ascii="Tahoma" w:hAnsi="Tahoma"/>
                <w:i/>
                <w:iCs/>
                <w:sz w:val="20"/>
                <w:szCs w:val="20"/>
                <w:lang w:val="es-ES"/>
              </w:rPr>
              <w:t>2</w:t>
            </w:r>
          </w:p>
        </w:tc>
      </w:tr>
    </w:tbl>
    <w:p>
      <w:pPr>
        <w:pStyle w:val="Normal"/>
        <w:widowControl w:val="false"/>
        <w:ind w:firstLine="708"/>
        <w:jc w:val="both"/>
        <w:rPr>
          <w:rFonts w:ascii="Tahoma" w:hAnsi="Tahoma" w:cs="Tahoma"/>
          <w:b/>
          <w:b/>
          <w:bCs/>
          <w:i/>
          <w:i/>
          <w:iCs/>
          <w:sz w:val="20"/>
          <w:szCs w:val="20"/>
          <w:lang w:val="es-MX"/>
        </w:rPr>
      </w:pPr>
      <w:r>
        <w:rPr>
          <w:rFonts w:cs="Tahoma" w:ascii="Tahoma" w:hAnsi="Tahoma"/>
          <w:b/>
          <w:bCs/>
          <w:i/>
          <w:iCs/>
          <w:sz w:val="20"/>
          <w:szCs w:val="20"/>
          <w:lang w:val="es-MX"/>
        </w:rPr>
      </w:r>
    </w:p>
    <w:p>
      <w:pPr>
        <w:pStyle w:val="Normal"/>
        <w:widowControl w:val="false"/>
        <w:ind w:left="1701" w:right="1701" w:hanging="0"/>
        <w:jc w:val="both"/>
        <w:rPr>
          <w:rFonts w:ascii="Tahoma" w:hAnsi="Tahoma" w:cs="Tahoma"/>
          <w:i/>
          <w:i/>
          <w:iCs/>
          <w:sz w:val="20"/>
          <w:szCs w:val="20"/>
          <w:lang w:val="es-MX"/>
        </w:rPr>
      </w:pPr>
      <w:r>
        <w:rPr>
          <w:rFonts w:cs="Tahoma" w:ascii="Tahoma" w:hAnsi="Tahoma"/>
          <w:b/>
          <w:bCs/>
          <w:i/>
          <w:iCs/>
          <w:sz w:val="20"/>
          <w:szCs w:val="20"/>
          <w:lang w:val="es-MX"/>
        </w:rPr>
        <w:t>3.)</w:t>
      </w:r>
      <w:r>
        <w:rPr>
          <w:rFonts w:cs="Tahoma" w:ascii="Tahoma" w:hAnsi="Tahoma"/>
          <w:i/>
          <w:iCs/>
          <w:sz w:val="20"/>
          <w:szCs w:val="20"/>
          <w:lang w:val="es-MX"/>
        </w:rPr>
        <w:t xml:space="preserve"> Las plazas aprobadas estarán destinadas principalmente para atender las zonas de Bribrí y Buenos Aires, </w:t>
      </w:r>
      <w:r>
        <w:rPr>
          <w:rFonts w:cs="Tahoma" w:ascii="Tahoma" w:hAnsi="Tahoma"/>
          <w:b/>
          <w:bCs/>
          <w:i/>
          <w:iCs/>
          <w:sz w:val="20"/>
          <w:szCs w:val="20"/>
          <w:lang w:val="es-MX"/>
        </w:rPr>
        <w:t>ubicadas temporalmente</w:t>
      </w:r>
      <w:r>
        <w:rPr>
          <w:rFonts w:cs="Tahoma" w:ascii="Tahoma" w:hAnsi="Tahoma"/>
          <w:i/>
          <w:iCs/>
          <w:sz w:val="20"/>
          <w:szCs w:val="20"/>
          <w:lang w:val="es-MX"/>
        </w:rPr>
        <w:t xml:space="preserve"> en Limón y Pérez Zeledón. </w:t>
      </w:r>
      <w:r>
        <w:rPr>
          <w:rFonts w:cs="Tahoma" w:ascii="Tahoma" w:hAnsi="Tahoma"/>
          <w:b/>
          <w:bCs/>
          <w:i/>
          <w:iCs/>
          <w:sz w:val="20"/>
          <w:szCs w:val="20"/>
          <w:lang w:val="es-MX"/>
        </w:rPr>
        <w:t>4.)</w:t>
      </w:r>
      <w:r>
        <w:rPr>
          <w:rFonts w:cs="Tahoma" w:ascii="Tahoma" w:hAnsi="Tahoma"/>
          <w:i/>
          <w:iCs/>
          <w:sz w:val="20"/>
          <w:szCs w:val="20"/>
          <w:lang w:val="es-MX"/>
        </w:rPr>
        <w:t xml:space="preserve"> El Departamento de Personal deberá tomar nota para que cuando se saquen a concurso estas plazas indicar que son para cubrir esas zonas.” (La negrita no pertenece al original)</w:t>
      </w:r>
    </w:p>
    <w:p>
      <w:pPr>
        <w:pStyle w:val="Normal"/>
        <w:widowControl w:val="false"/>
        <w:ind w:left="1701" w:right="1701" w:hanging="0"/>
        <w:jc w:val="both"/>
        <w:rPr>
          <w:rFonts w:ascii="Tahoma" w:hAnsi="Tahoma" w:cs="Tahoma"/>
          <w:i/>
          <w:i/>
          <w:iCs/>
          <w:sz w:val="20"/>
          <w:szCs w:val="20"/>
        </w:rPr>
      </w:pPr>
      <w:r>
        <w:rPr>
          <w:rFonts w:cs="Tahoma" w:ascii="Tahoma" w:hAnsi="Tahoma"/>
          <w:i/>
          <w:iCs/>
          <w:sz w:val="20"/>
          <w:szCs w:val="20"/>
        </w:rPr>
      </w:r>
    </w:p>
    <w:p>
      <w:pPr>
        <w:pStyle w:val="Normal"/>
        <w:widowControl w:val="false"/>
        <w:ind w:left="1701" w:right="1701" w:hanging="0"/>
        <w:jc w:val="both"/>
        <w:rPr>
          <w:rFonts w:ascii="Tahoma" w:hAnsi="Tahoma" w:cs="Tahoma"/>
          <w:i/>
          <w:i/>
          <w:iCs/>
          <w:sz w:val="20"/>
          <w:szCs w:val="20"/>
        </w:rPr>
      </w:pPr>
      <w:r>
        <w:rPr>
          <w:rFonts w:cs="Tahoma" w:ascii="Tahoma" w:hAnsi="Tahoma"/>
          <w:i/>
          <w:iCs/>
          <w:sz w:val="20"/>
          <w:szCs w:val="20"/>
        </w:rPr>
      </w:r>
    </w:p>
    <w:p>
      <w:pPr>
        <w:pStyle w:val="Normal"/>
        <w:jc w:val="both"/>
        <w:rPr>
          <w:rFonts w:ascii="Tahoma" w:hAnsi="Tahoma" w:cs="Tahoma"/>
          <w:i/>
          <w:i/>
          <w:iCs/>
          <w:sz w:val="20"/>
          <w:szCs w:val="20"/>
        </w:rPr>
      </w:pPr>
      <w:r>
        <w:rPr>
          <w:rFonts w:cs="Tahoma" w:ascii="Tahoma" w:hAnsi="Tahoma"/>
          <w:i/>
          <w:iCs/>
          <w:sz w:val="20"/>
          <w:szCs w:val="20"/>
        </w:rPr>
        <w:t>El citado acuerdo fue comunicado a los involucrados mediante el oficio N°186-CSP-14 del 26 de abril de 2014, el cual adjunta el informe citado. (Ver anexo 2).</w:t>
      </w:r>
    </w:p>
    <w:p>
      <w:pPr>
        <w:pStyle w:val="Normal"/>
        <w:ind w:firstLine="708"/>
        <w:jc w:val="both"/>
        <w:rPr>
          <w:rFonts w:ascii="Tahoma" w:hAnsi="Tahoma" w:cs="Tahoma"/>
          <w:i/>
          <w:i/>
          <w:iCs/>
          <w:sz w:val="20"/>
          <w:szCs w:val="20"/>
        </w:rPr>
      </w:pPr>
      <w:r>
        <w:rPr>
          <w:rFonts w:cs="Tahoma" w:ascii="Tahoma" w:hAnsi="Tahoma"/>
          <w:i/>
          <w:iCs/>
          <w:sz w:val="20"/>
          <w:szCs w:val="20"/>
        </w:rPr>
      </w:r>
    </w:p>
    <w:p>
      <w:pPr>
        <w:pStyle w:val="Normal"/>
        <w:jc w:val="both"/>
        <w:rPr>
          <w:rFonts w:ascii="Tahoma" w:hAnsi="Tahoma" w:cs="Tahoma"/>
          <w:i/>
          <w:i/>
          <w:iCs/>
          <w:sz w:val="20"/>
          <w:szCs w:val="20"/>
        </w:rPr>
      </w:pPr>
      <w:r>
        <w:rPr>
          <w:rFonts w:cs="Tahoma" w:ascii="Tahoma" w:hAnsi="Tahoma"/>
          <w:i/>
          <w:iCs/>
          <w:sz w:val="20"/>
          <w:szCs w:val="20"/>
        </w:rPr>
        <w:t>De lo expuesto, es de notar que esta Dirección ya emitió criterio en su oportunidad y no tiene injerencia en su ejecución, por lo que se sugiere coordinar con otras dependencias competentes para la ejecución de este tema.”.</w:t>
      </w:r>
    </w:p>
    <w:p>
      <w:pPr>
        <w:pStyle w:val="Normal"/>
        <w:widowControl w:val="false"/>
        <w:jc w:val="center"/>
        <w:rPr>
          <w:rFonts w:ascii="Tahoma" w:hAnsi="Tahoma" w:cs="Tahoma"/>
          <w:b/>
          <w:b/>
          <w:bCs/>
          <w:i/>
          <w:i/>
          <w:iCs/>
          <w:sz w:val="20"/>
          <w:szCs w:val="20"/>
          <w:lang w:val="pt-BR"/>
        </w:rPr>
      </w:pPr>
      <w:r>
        <w:rPr>
          <w:rFonts w:cs="Tahoma" w:ascii="Tahoma" w:hAnsi="Tahoma"/>
          <w:b/>
          <w:bCs/>
          <w:i/>
          <w:iCs/>
          <w:sz w:val="20"/>
          <w:szCs w:val="20"/>
          <w:lang w:val="pt-BR"/>
        </w:rPr>
      </w:r>
    </w:p>
    <w:p>
      <w:pPr>
        <w:pStyle w:val="Normal"/>
        <w:rPr>
          <w:rFonts w:ascii="Tahoma" w:hAnsi="Tahoma" w:cs="Tahoma"/>
          <w:i/>
          <w:i/>
          <w:iCs/>
          <w:sz w:val="20"/>
          <w:szCs w:val="20"/>
          <w:lang w:val="pt-BR"/>
        </w:rPr>
      </w:pPr>
      <w:r>
        <w:rPr>
          <w:rFonts w:cs="Tahoma" w:ascii="Tahoma" w:hAnsi="Tahoma"/>
          <w:i/>
          <w:iCs/>
          <w:sz w:val="20"/>
          <w:szCs w:val="20"/>
          <w:lang w:val="pt-BR"/>
        </w:rPr>
        <w:t>(...)</w:t>
      </w:r>
    </w:p>
    <w:p>
      <w:pPr>
        <w:pStyle w:val="Normal"/>
        <w:rPr>
          <w:rFonts w:ascii="Tahoma" w:hAnsi="Tahoma" w:cs="Tahoma"/>
          <w:i/>
          <w:i/>
          <w:iCs/>
          <w:sz w:val="20"/>
          <w:szCs w:val="20"/>
          <w:lang w:val="pt-BR"/>
        </w:rPr>
      </w:pPr>
      <w:r>
        <w:rPr>
          <w:rFonts w:cs="Tahoma" w:ascii="Tahoma" w:hAnsi="Tahoma"/>
          <w:i/>
          <w:iCs/>
          <w:sz w:val="20"/>
          <w:szCs w:val="20"/>
          <w:lang w:val="pt-BR"/>
        </w:rPr>
      </w:r>
    </w:p>
    <w:tbl>
      <w:tblPr>
        <w:tblW w:w="8980"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4490"/>
        <w:gridCol w:w="4489"/>
      </w:tblGrid>
      <w:tr>
        <w:trPr>
          <w:trHeight w:val="274" w:hRule="atLeast"/>
        </w:trPr>
        <w:tc>
          <w:tcPr>
            <w:tcW w:w="897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ahoma" w:hAnsi="Tahoma" w:cs="Tahoma"/>
                <w:i/>
                <w:i/>
                <w:iCs/>
                <w:sz w:val="20"/>
                <w:szCs w:val="20"/>
              </w:rPr>
            </w:pPr>
            <w:r>
              <w:rPr>
                <w:rFonts w:cs="Tahoma" w:ascii="Tahoma" w:hAnsi="Tahoma"/>
                <w:i/>
                <w:iCs/>
                <w:sz w:val="20"/>
                <w:szCs w:val="20"/>
              </w:rPr>
              <w:t>“</w:t>
            </w:r>
            <w:r>
              <w:rPr>
                <w:rFonts w:cs="Tahoma" w:ascii="Tahoma" w:hAnsi="Tahoma"/>
                <w:i/>
                <w:iCs/>
                <w:sz w:val="20"/>
                <w:szCs w:val="20"/>
              </w:rPr>
              <w:t>ANEXOS</w:t>
            </w:r>
          </w:p>
        </w:tc>
      </w:tr>
      <w:tr>
        <w:trPr>
          <w:trHeight w:val="569" w:hRule="atLeast"/>
        </w:trPr>
        <w:tc>
          <w:tcPr>
            <w:tcW w:w="449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2"/>
              </w:numPr>
              <w:spacing w:lineRule="auto" w:line="240" w:before="0" w:after="0"/>
              <w:rPr>
                <w:rFonts w:ascii="Tahoma" w:hAnsi="Tahoma" w:cs="Tahoma"/>
                <w:i/>
                <w:i/>
                <w:iCs/>
                <w:sz w:val="20"/>
                <w:szCs w:val="20"/>
              </w:rPr>
            </w:pPr>
            <w:r>
              <w:rPr>
                <w:rFonts w:cs="Tahoma" w:ascii="Tahoma" w:hAnsi="Tahoma"/>
                <w:i/>
                <w:iCs/>
                <w:sz w:val="20"/>
                <w:szCs w:val="20"/>
              </w:rPr>
              <w:t>Oficio -10-2020 de la Comisión de Acceso de la Justicia, relacionado con la gestión solicitada.</w:t>
            </w:r>
            <w:bookmarkStart w:id="1" w:name="_MON_1641909479"/>
            <w:bookmarkEnd w:id="1"/>
          </w:p>
        </w:tc>
        <w:tc>
          <w:tcPr>
            <w:tcW w:w="44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ahoma" w:hAnsi="Tahoma" w:cs="Tahoma"/>
                <w:i/>
                <w:i/>
                <w:iCs/>
                <w:sz w:val="20"/>
                <w:szCs w:val="20"/>
              </w:rPr>
            </w:pPr>
            <w:r>
              <w:rPr/>
              <w:object>
                <v:shape id="ole_rId6" style="width:75.45pt;height:48.85pt" o:ole="">
                  <v:imagedata r:id="rId7" o:title=""/>
                </v:shape>
                <o:OLEObject Type="Embed" ProgID="Word.Document.12" ShapeID="ole_rId6" DrawAspect="Icon" ObjectID="_358668058" r:id="rId6"/>
              </w:object>
            </w:r>
          </w:p>
        </w:tc>
      </w:tr>
      <w:tr>
        <w:trPr>
          <w:trHeight w:val="569" w:hRule="atLeast"/>
        </w:trPr>
        <w:tc>
          <w:tcPr>
            <w:tcW w:w="449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2"/>
              </w:numPr>
              <w:spacing w:lineRule="auto" w:line="240" w:before="0" w:after="0"/>
              <w:rPr>
                <w:rFonts w:ascii="Tahoma" w:hAnsi="Tahoma" w:cs="Tahoma"/>
                <w:i/>
                <w:i/>
                <w:iCs/>
                <w:sz w:val="20"/>
                <w:szCs w:val="20"/>
              </w:rPr>
            </w:pPr>
            <w:r>
              <w:rPr>
                <w:rFonts w:cs="Tahoma" w:ascii="Tahoma" w:hAnsi="Tahoma"/>
                <w:i/>
                <w:iCs/>
                <w:sz w:val="20"/>
                <w:szCs w:val="20"/>
              </w:rPr>
              <w:t>Comunicado 186-CSP-14 del acuerdo del Consejo Superior e informe 61-PLA-DO-2014</w:t>
            </w:r>
            <w:bookmarkStart w:id="2" w:name="_MON_1641887408"/>
            <w:bookmarkEnd w:id="2"/>
          </w:p>
        </w:tc>
        <w:tc>
          <w:tcPr>
            <w:tcW w:w="44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right"/>
              <w:rPr>
                <w:rFonts w:ascii="Tahoma" w:hAnsi="Tahoma" w:cs="Tahoma"/>
                <w:i/>
                <w:i/>
                <w:iCs/>
                <w:sz w:val="20"/>
                <w:szCs w:val="20"/>
              </w:rPr>
            </w:pPr>
            <w:r>
              <w:rPr/>
              <w:object>
                <v:shape id="ole_rId8" style="width:75.45pt;height:48.85pt" o:ole="">
                  <v:imagedata r:id="rId9" o:title=""/>
                </v:shape>
                <o:OLEObject Type="Embed" ProgID="Word.Document.8" ShapeID="ole_rId8" DrawAspect="Icon" ObjectID="_1698527293" r:id="rId8"/>
              </w:object>
            </w:r>
            <w:r>
              <w:rPr>
                <w:rFonts w:cs="Tahoma" w:ascii="Tahoma" w:hAnsi="Tahoma"/>
                <w:i/>
                <w:iCs/>
                <w:sz w:val="20"/>
                <w:szCs w:val="20"/>
                <w:lang w:val="pt-BR"/>
              </w:rPr>
              <w:t xml:space="preserve">”  </w:t>
            </w:r>
            <w:r>
              <w:rPr>
                <w:rFonts w:cs="Tahoma" w:ascii="Tahoma" w:hAnsi="Tahoma"/>
                <w:b/>
                <w:bCs/>
                <w:i/>
                <w:iCs/>
                <w:sz w:val="20"/>
                <w:szCs w:val="20"/>
                <w:lang w:val="pt-BR"/>
              </w:rPr>
              <w:t xml:space="preserve">                    “</w:t>
            </w:r>
          </w:p>
        </w:tc>
      </w:tr>
    </w:tbl>
    <w:p>
      <w:pPr>
        <w:pStyle w:val="Normal"/>
        <w:jc w:val="both"/>
        <w:rPr>
          <w:rFonts w:ascii="Tahoma" w:hAnsi="Tahoma" w:cs="Tahoma"/>
          <w:i/>
          <w:i/>
          <w:iCs/>
          <w:sz w:val="20"/>
          <w:szCs w:val="20"/>
          <w:lang w:val="pt-BR"/>
        </w:rPr>
      </w:pPr>
      <w:r>
        <w:rPr>
          <w:rFonts w:cs="Tahoma" w:ascii="Tahoma" w:hAnsi="Tahoma"/>
          <w:i/>
          <w:iCs/>
          <w:sz w:val="20"/>
          <w:szCs w:val="20"/>
          <w:lang w:val="pt-BR"/>
        </w:rPr>
      </w:r>
    </w:p>
    <w:p>
      <w:pPr>
        <w:pStyle w:val="Normal"/>
        <w:jc w:val="both"/>
        <w:rPr>
          <w:rFonts w:ascii="Tahoma" w:hAnsi="Tahoma" w:cs="Tahoma"/>
          <w:i/>
          <w:i/>
          <w:iCs/>
          <w:sz w:val="20"/>
          <w:szCs w:val="20"/>
          <w:lang w:val="pt-BR"/>
        </w:rPr>
      </w:pPr>
      <w:r>
        <w:rPr>
          <w:rFonts w:cs="Tahoma" w:ascii="Tahoma" w:hAnsi="Tahoma"/>
          <w:i/>
          <w:iCs/>
          <w:sz w:val="20"/>
          <w:szCs w:val="20"/>
          <w:lang w:val="pt-BR"/>
        </w:rPr>
        <w:t>Atentamente,</w:t>
      </w:r>
    </w:p>
    <w:p>
      <w:pPr>
        <w:pStyle w:val="Normal"/>
        <w:rPr>
          <w:rFonts w:ascii="Tahoma" w:hAnsi="Tahoma" w:cs="Tahoma"/>
          <w:i/>
          <w:i/>
          <w:iCs/>
          <w:sz w:val="20"/>
          <w:szCs w:val="20"/>
          <w:lang w:val="pt-BR"/>
        </w:rPr>
      </w:pPr>
      <w:r>
        <w:rPr>
          <w:rFonts w:cs="Tahoma" w:ascii="Tahoma" w:hAnsi="Tahoma"/>
          <w:i/>
          <w:iCs/>
          <w:sz w:val="20"/>
          <w:szCs w:val="20"/>
          <w:lang w:val="pt-BR"/>
        </w:rPr>
        <w:t xml:space="preserve">Dixon Li Morales </w:t>
      </w:r>
    </w:p>
    <w:p>
      <w:pPr>
        <w:pStyle w:val="Normal"/>
        <w:rPr>
          <w:rFonts w:ascii="Tahoma" w:hAnsi="Tahoma" w:cs="Tahoma"/>
          <w:i/>
          <w:i/>
          <w:iCs/>
          <w:sz w:val="20"/>
          <w:szCs w:val="20"/>
          <w:lang w:val="pt-BR"/>
        </w:rPr>
      </w:pPr>
      <w:r>
        <w:rPr>
          <w:rFonts w:cs="Tahoma" w:ascii="Tahoma" w:hAnsi="Tahoma"/>
          <w:i/>
          <w:iCs/>
          <w:sz w:val="20"/>
          <w:szCs w:val="20"/>
          <w:lang w:val="pt-BR"/>
        </w:rPr>
        <w:t>Director a.i. de Planificación</w:t>
      </w:r>
    </w:p>
    <w:p>
      <w:pPr>
        <w:pStyle w:val="Normal"/>
        <w:rPr>
          <w:rFonts w:ascii="Tahoma" w:hAnsi="Tahoma" w:cs="Tahoma"/>
          <w:i/>
          <w:i/>
          <w:iCs/>
          <w:sz w:val="20"/>
          <w:szCs w:val="20"/>
        </w:rPr>
      </w:pPr>
      <w:r>
        <w:rPr>
          <w:rFonts w:cs="Tahoma" w:ascii="Tahoma" w:hAnsi="Tahoma"/>
          <w:i/>
          <w:iCs/>
          <w:sz w:val="20"/>
          <w:szCs w:val="20"/>
        </w:rPr>
      </w:r>
    </w:p>
    <w:p>
      <w:pPr>
        <w:pStyle w:val="Normal"/>
        <w:rPr>
          <w:rFonts w:ascii="Tahoma" w:hAnsi="Tahoma" w:cs="Tahoma"/>
          <w:i/>
          <w:i/>
          <w:iCs/>
          <w:sz w:val="20"/>
          <w:szCs w:val="20"/>
        </w:rPr>
      </w:pPr>
      <w:r>
        <w:rPr>
          <w:rFonts w:cs="Tahoma" w:ascii="Tahoma" w:hAnsi="Tahoma"/>
          <w:i/>
          <w:iCs/>
          <w:sz w:val="20"/>
          <w:szCs w:val="20"/>
        </w:rPr>
        <w:t xml:space="preserve">Copias: </w:t>
      </w:r>
    </w:p>
    <w:p>
      <w:pPr>
        <w:pStyle w:val="Normal"/>
        <w:numPr>
          <w:ilvl w:val="0"/>
          <w:numId w:val="3"/>
        </w:numPr>
        <w:spacing w:lineRule="auto" w:line="240" w:before="0" w:after="0"/>
        <w:rPr>
          <w:rFonts w:ascii="Tahoma" w:hAnsi="Tahoma" w:cs="Tahoma"/>
          <w:i/>
          <w:i/>
          <w:iCs/>
          <w:sz w:val="20"/>
          <w:szCs w:val="20"/>
          <w:lang w:val="pt-BR"/>
        </w:rPr>
      </w:pPr>
      <w:r>
        <w:rPr>
          <w:rFonts w:cs="Tahoma" w:ascii="Tahoma" w:hAnsi="Tahoma"/>
          <w:i/>
          <w:iCs/>
          <w:sz w:val="20"/>
          <w:szCs w:val="20"/>
          <w:lang w:val="pt-BR"/>
        </w:rPr>
        <w:t xml:space="preserve">Máster  Damaris Vargas Vásquez, Coordinadora </w:t>
      </w:r>
    </w:p>
    <w:p>
      <w:pPr>
        <w:pStyle w:val="Normal"/>
        <w:ind w:left="720" w:hanging="0"/>
        <w:rPr>
          <w:rFonts w:ascii="Tahoma" w:hAnsi="Tahoma" w:cs="Tahoma"/>
          <w:i/>
          <w:i/>
          <w:iCs/>
          <w:sz w:val="20"/>
          <w:szCs w:val="20"/>
          <w:lang w:val="pt-BR"/>
        </w:rPr>
      </w:pPr>
      <w:r>
        <w:rPr>
          <w:rFonts w:cs="Tahoma" w:ascii="Tahoma" w:hAnsi="Tahoma"/>
          <w:i/>
          <w:iCs/>
          <w:sz w:val="20"/>
          <w:szCs w:val="20"/>
          <w:lang w:val="pt-BR"/>
        </w:rPr>
        <w:t>Subcomisión de Acceso a la Justicia de Pueblos Indígenas</w:t>
      </w:r>
    </w:p>
    <w:p>
      <w:pPr>
        <w:pStyle w:val="Normal"/>
        <w:ind w:left="720" w:hanging="0"/>
        <w:rPr>
          <w:rFonts w:ascii="Tahoma" w:hAnsi="Tahoma" w:cs="Tahoma"/>
          <w:i/>
          <w:i/>
          <w:iCs/>
          <w:sz w:val="20"/>
          <w:szCs w:val="20"/>
          <w:lang w:val="pt-BR"/>
        </w:rPr>
      </w:pPr>
      <w:r>
        <w:rPr>
          <w:rFonts w:cs="Tahoma" w:ascii="Tahoma" w:hAnsi="Tahoma"/>
          <w:i/>
          <w:iCs/>
          <w:sz w:val="20"/>
          <w:szCs w:val="20"/>
          <w:lang w:val="pt-BR"/>
        </w:rPr>
      </w:r>
    </w:p>
    <w:p>
      <w:pPr>
        <w:pStyle w:val="Normal"/>
        <w:numPr>
          <w:ilvl w:val="0"/>
          <w:numId w:val="3"/>
        </w:numPr>
        <w:spacing w:lineRule="auto" w:line="240" w:before="0" w:after="0"/>
        <w:rPr>
          <w:rFonts w:ascii="Tahoma" w:hAnsi="Tahoma" w:cs="Tahoma"/>
          <w:i/>
          <w:i/>
          <w:iCs/>
          <w:sz w:val="20"/>
          <w:szCs w:val="20"/>
          <w:lang w:val="pt-BR"/>
        </w:rPr>
      </w:pPr>
      <w:r>
        <w:rPr>
          <w:rFonts w:cs="Tahoma" w:ascii="Tahoma" w:hAnsi="Tahoma"/>
          <w:i/>
          <w:iCs/>
          <w:sz w:val="20"/>
          <w:szCs w:val="20"/>
          <w:lang w:val="pt-BR"/>
        </w:rPr>
        <w:t>Sra. Katherine Salazar Duarte, Secretaria</w:t>
      </w:r>
    </w:p>
    <w:p>
      <w:pPr>
        <w:pStyle w:val="Normal"/>
        <w:ind w:left="720" w:hanging="0"/>
        <w:rPr>
          <w:rFonts w:ascii="Tahoma" w:hAnsi="Tahoma" w:cs="Tahoma"/>
          <w:i/>
          <w:i/>
          <w:iCs/>
          <w:sz w:val="20"/>
          <w:szCs w:val="20"/>
          <w:lang w:val="pt-BR"/>
        </w:rPr>
      </w:pPr>
      <w:r>
        <w:rPr>
          <w:rFonts w:cs="Tahoma" w:ascii="Tahoma" w:hAnsi="Tahoma"/>
          <w:i/>
          <w:iCs/>
          <w:sz w:val="20"/>
          <w:szCs w:val="20"/>
          <w:lang w:val="pt-BR"/>
        </w:rPr>
        <w:t>Comisión de Acceso a la Justicia</w:t>
      </w:r>
    </w:p>
    <w:p>
      <w:pPr>
        <w:pStyle w:val="Normal"/>
        <w:ind w:left="720" w:hanging="0"/>
        <w:rPr>
          <w:rFonts w:ascii="Tahoma" w:hAnsi="Tahoma" w:cs="Tahoma"/>
          <w:i/>
          <w:i/>
          <w:iCs/>
          <w:sz w:val="20"/>
          <w:szCs w:val="20"/>
          <w:lang w:val="pt-BR"/>
        </w:rPr>
      </w:pPr>
      <w:r>
        <w:rPr>
          <w:rFonts w:cs="Tahoma" w:ascii="Tahoma" w:hAnsi="Tahoma"/>
          <w:i/>
          <w:iCs/>
          <w:sz w:val="20"/>
          <w:szCs w:val="20"/>
          <w:lang w:val="pt-BR"/>
        </w:rPr>
      </w:r>
    </w:p>
    <w:p>
      <w:pPr>
        <w:pStyle w:val="Normal"/>
        <w:numPr>
          <w:ilvl w:val="0"/>
          <w:numId w:val="3"/>
        </w:numPr>
        <w:spacing w:lineRule="auto" w:line="240" w:before="0" w:after="0"/>
        <w:rPr>
          <w:rFonts w:ascii="Tahoma" w:hAnsi="Tahoma" w:cs="Tahoma"/>
          <w:i/>
          <w:i/>
          <w:iCs/>
          <w:sz w:val="20"/>
          <w:szCs w:val="20"/>
          <w:lang w:val="es-ES"/>
        </w:rPr>
      </w:pPr>
      <w:r>
        <w:rPr>
          <w:rFonts w:cs="Tahoma" w:ascii="Tahoma" w:hAnsi="Tahoma"/>
          <w:i/>
          <w:iCs/>
          <w:sz w:val="20"/>
          <w:szCs w:val="20"/>
        </w:rPr>
        <w:t>Archivo</w:t>
      </w:r>
    </w:p>
    <w:p>
      <w:pPr>
        <w:pStyle w:val="Normal"/>
        <w:rPr>
          <w:rFonts w:ascii="Tahoma" w:hAnsi="Tahoma" w:cs="Tahoma"/>
          <w:i/>
          <w:i/>
          <w:iCs/>
          <w:sz w:val="20"/>
          <w:szCs w:val="20"/>
          <w:lang w:val="es-ES"/>
        </w:rPr>
      </w:pPr>
      <w:r>
        <w:rPr>
          <w:rFonts w:cs="Tahoma" w:ascii="Tahoma" w:hAnsi="Tahoma"/>
          <w:i/>
          <w:iCs/>
          <w:sz w:val="20"/>
          <w:szCs w:val="20"/>
          <w:lang w:val="es-ES"/>
        </w:rPr>
      </w:r>
    </w:p>
    <w:p>
      <w:pPr>
        <w:pStyle w:val="Normal"/>
        <w:rPr>
          <w:rFonts w:ascii="Tahoma" w:hAnsi="Tahoma" w:cs="Tahoma"/>
          <w:i/>
          <w:i/>
          <w:iCs/>
          <w:sz w:val="20"/>
          <w:szCs w:val="20"/>
          <w:lang w:val="es-ES"/>
        </w:rPr>
      </w:pPr>
      <w:r>
        <w:rPr>
          <w:rFonts w:cs="Tahoma" w:ascii="Tahoma" w:hAnsi="Tahoma"/>
          <w:i/>
          <w:iCs/>
          <w:sz w:val="20"/>
          <w:szCs w:val="20"/>
          <w:lang w:val="es-ES"/>
        </w:rPr>
        <w:t>xba</w:t>
      </w:r>
    </w:p>
    <w:p>
      <w:pPr>
        <w:pStyle w:val="BodyText2"/>
        <w:rPr>
          <w:rFonts w:ascii="Tahoma" w:hAnsi="Tahoma" w:cs="Tahoma"/>
          <w:i/>
          <w:i/>
          <w:iCs/>
          <w:sz w:val="20"/>
          <w:szCs w:val="20"/>
        </w:rPr>
      </w:pPr>
      <w:r>
        <w:rPr>
          <w:rFonts w:cs="Tahoma" w:ascii="Tahoma" w:hAnsi="Tahoma"/>
          <w:i/>
          <w:iCs/>
          <w:sz w:val="20"/>
          <w:szCs w:val="20"/>
        </w:rPr>
        <w:t>Ref. 24-20</w:t>
      </w:r>
    </w:p>
    <w:p>
      <w:pPr>
        <w:pStyle w:val="Normal"/>
        <w:jc w:val="both"/>
        <w:rPr>
          <w:rFonts w:ascii="Tahoma" w:hAnsi="Tahoma" w:cs="Tahoma"/>
          <w:sz w:val="20"/>
          <w:szCs w:val="20"/>
          <w:lang w:val="pt-BR"/>
        </w:rPr>
      </w:pPr>
      <w:r>
        <w:rPr>
          <w:rFonts w:cs="Tahoma" w:ascii="Tahoma" w:hAnsi="Tahoma"/>
          <w:sz w:val="20"/>
          <w:szCs w:val="20"/>
          <w:lang w:val="pt-BR"/>
        </w:rPr>
      </w:r>
    </w:p>
    <w:p>
      <w:pPr>
        <w:pStyle w:val="Normal"/>
        <w:jc w:val="both"/>
        <w:rPr>
          <w:rFonts w:ascii="Tahoma" w:hAnsi="Tahoma" w:cs="Tahoma"/>
          <w:sz w:val="20"/>
          <w:szCs w:val="20"/>
          <w:lang w:val="es-ES"/>
        </w:rPr>
      </w:pPr>
      <w:r>
        <w:rPr>
          <w:rFonts w:cs="Tahoma" w:ascii="Tahoma" w:hAnsi="Tahoma"/>
          <w:sz w:val="20"/>
          <w:szCs w:val="20"/>
          <w:lang w:val="pt-BR"/>
        </w:rPr>
        <w:t xml:space="preserve">El Departamento de Trabajo Social y Psicología </w:t>
      </w:r>
      <w:r>
        <w:rPr>
          <w:rFonts w:cs="Tahoma" w:ascii="Tahoma" w:hAnsi="Tahoma"/>
          <w:sz w:val="20"/>
          <w:szCs w:val="20"/>
          <w:lang w:val="es-ES"/>
        </w:rPr>
        <w:t xml:space="preserve">comunica mediante el </w:t>
      </w:r>
      <w:r>
        <w:rPr>
          <w:rFonts w:cs="Tahoma" w:ascii="Tahoma" w:hAnsi="Tahoma"/>
          <w:b/>
          <w:sz w:val="20"/>
          <w:szCs w:val="20"/>
          <w:lang w:val="es-ES"/>
        </w:rPr>
        <w:t>Oficio</w:t>
      </w:r>
      <w:r>
        <w:rPr>
          <w:rFonts w:cs="Tahoma" w:ascii="Tahoma" w:hAnsi="Tahoma"/>
          <w:b/>
          <w:sz w:val="20"/>
          <w:szCs w:val="20"/>
        </w:rPr>
        <w:t xml:space="preserve"> </w:t>
      </w:r>
      <w:r>
        <w:rPr>
          <w:rFonts w:cs="Tahoma" w:ascii="Tahoma" w:hAnsi="Tahoma"/>
          <w:b/>
          <w:sz w:val="20"/>
          <w:szCs w:val="20"/>
          <w:lang w:val="es-ES"/>
        </w:rPr>
        <w:t>DTSP-015-2020</w:t>
      </w:r>
      <w:r>
        <w:rPr>
          <w:rFonts w:cs="Tahoma" w:ascii="Tahoma" w:hAnsi="Tahoma"/>
          <w:sz w:val="20"/>
          <w:szCs w:val="20"/>
          <w:lang w:val="es-ES"/>
        </w:rPr>
        <w:t>, lo siguiente:</w:t>
      </w:r>
    </w:p>
    <w:p>
      <w:pPr>
        <w:pStyle w:val="Normal"/>
        <w:jc w:val="right"/>
        <w:rPr>
          <w:rFonts w:ascii="Tahoma" w:hAnsi="Tahoma" w:cs="Tahoma"/>
          <w:i/>
          <w:i/>
          <w:iCs/>
          <w:sz w:val="20"/>
          <w:szCs w:val="20"/>
        </w:rPr>
      </w:pPr>
      <w:r>
        <w:rPr>
          <w:rFonts w:cs="Tahoma" w:ascii="Tahoma" w:hAnsi="Tahoma"/>
          <w:i/>
          <w:iCs/>
          <w:sz w:val="20"/>
          <w:szCs w:val="20"/>
        </w:rPr>
        <w:t>12 de febrero de 2020</w:t>
      </w:r>
    </w:p>
    <w:p>
      <w:pPr>
        <w:pStyle w:val="Normal"/>
        <w:jc w:val="right"/>
        <w:rPr>
          <w:rFonts w:ascii="Tahoma" w:hAnsi="Tahoma" w:cs="Tahoma"/>
          <w:b/>
          <w:b/>
          <w:i/>
          <w:i/>
          <w:iCs/>
          <w:sz w:val="20"/>
          <w:szCs w:val="20"/>
        </w:rPr>
      </w:pPr>
      <w:r>
        <w:rPr>
          <w:rFonts w:cs="Tahoma" w:ascii="Tahoma" w:hAnsi="Tahoma"/>
          <w:b/>
          <w:i/>
          <w:iCs/>
          <w:sz w:val="20"/>
          <w:szCs w:val="20"/>
        </w:rPr>
        <w:t>DTSP-015-2020</w:t>
      </w:r>
    </w:p>
    <w:p>
      <w:pPr>
        <w:pStyle w:val="Normal"/>
        <w:jc w:val="right"/>
        <w:rPr>
          <w:rFonts w:ascii="Tahoma" w:hAnsi="Tahoma" w:cs="Tahoma"/>
          <w:i/>
          <w:i/>
          <w:iCs/>
          <w:sz w:val="20"/>
          <w:szCs w:val="20"/>
        </w:rPr>
      </w:pPr>
      <w:r>
        <w:rPr>
          <w:rFonts w:cs="Tahoma" w:ascii="Tahoma" w:hAnsi="Tahoma"/>
          <w:i/>
          <w:iCs/>
          <w:sz w:val="20"/>
          <w:szCs w:val="20"/>
        </w:rPr>
      </w:r>
    </w:p>
    <w:p>
      <w:pPr>
        <w:pStyle w:val="Normal"/>
        <w:jc w:val="both"/>
        <w:rPr>
          <w:rFonts w:ascii="Tahoma" w:hAnsi="Tahoma" w:cs="Tahoma"/>
          <w:b/>
          <w:b/>
          <w:bCs/>
          <w:i/>
          <w:i/>
          <w:iCs/>
          <w:sz w:val="20"/>
          <w:szCs w:val="20"/>
        </w:rPr>
      </w:pPr>
      <w:r>
        <w:rPr>
          <w:rFonts w:cs="Tahoma" w:ascii="Tahoma" w:hAnsi="Tahoma"/>
          <w:b/>
          <w:bCs/>
          <w:i/>
          <w:iCs/>
          <w:sz w:val="20"/>
          <w:szCs w:val="20"/>
        </w:rPr>
        <w:t xml:space="preserve">Máster </w:t>
      </w:r>
    </w:p>
    <w:p>
      <w:pPr>
        <w:pStyle w:val="Normal"/>
        <w:jc w:val="both"/>
        <w:rPr>
          <w:rFonts w:ascii="Tahoma" w:hAnsi="Tahoma" w:cs="Tahoma"/>
          <w:b/>
          <w:b/>
          <w:bCs/>
          <w:i/>
          <w:i/>
          <w:iCs/>
          <w:sz w:val="20"/>
          <w:szCs w:val="20"/>
        </w:rPr>
      </w:pPr>
      <w:r>
        <w:rPr>
          <w:rFonts w:cs="Tahoma" w:ascii="Tahoma" w:hAnsi="Tahoma"/>
          <w:b/>
          <w:bCs/>
          <w:i/>
          <w:iCs/>
          <w:sz w:val="20"/>
          <w:szCs w:val="20"/>
        </w:rPr>
        <w:t>Melissa Benavides Víquez</w:t>
      </w:r>
    </w:p>
    <w:p>
      <w:pPr>
        <w:pStyle w:val="Normal"/>
        <w:jc w:val="both"/>
        <w:rPr>
          <w:rFonts w:ascii="Tahoma" w:hAnsi="Tahoma" w:cs="Tahoma"/>
          <w:b/>
          <w:b/>
          <w:bCs/>
          <w:i/>
          <w:i/>
          <w:iCs/>
          <w:sz w:val="20"/>
          <w:szCs w:val="20"/>
        </w:rPr>
      </w:pPr>
      <w:r>
        <w:rPr>
          <w:rFonts w:cs="Tahoma" w:ascii="Tahoma" w:hAnsi="Tahoma"/>
          <w:b/>
          <w:bCs/>
          <w:i/>
          <w:iCs/>
          <w:sz w:val="20"/>
          <w:szCs w:val="20"/>
        </w:rPr>
        <w:t>Coordinadora</w:t>
      </w:r>
    </w:p>
    <w:p>
      <w:pPr>
        <w:pStyle w:val="Normal"/>
        <w:jc w:val="both"/>
        <w:rPr>
          <w:rFonts w:ascii="Tahoma" w:hAnsi="Tahoma" w:cs="Tahoma"/>
          <w:b/>
          <w:b/>
          <w:bCs/>
          <w:i/>
          <w:i/>
          <w:iCs/>
          <w:sz w:val="20"/>
          <w:szCs w:val="20"/>
        </w:rPr>
      </w:pPr>
      <w:r>
        <w:rPr>
          <w:rFonts w:cs="Tahoma" w:ascii="Tahoma" w:hAnsi="Tahoma"/>
          <w:b/>
          <w:bCs/>
          <w:i/>
          <w:iCs/>
          <w:sz w:val="20"/>
          <w:szCs w:val="20"/>
        </w:rPr>
        <w:t>Unidad de Acceso a la Justicia</w:t>
      </w:r>
    </w:p>
    <w:p>
      <w:pPr>
        <w:pStyle w:val="Normal"/>
        <w:jc w:val="both"/>
        <w:rPr>
          <w:rFonts w:ascii="Tahoma" w:hAnsi="Tahoma" w:cs="Tahoma"/>
          <w:b/>
          <w:b/>
          <w:bCs/>
          <w:i/>
          <w:i/>
          <w:iCs/>
          <w:sz w:val="20"/>
          <w:szCs w:val="20"/>
        </w:rPr>
      </w:pPr>
      <w:r>
        <w:rPr>
          <w:rFonts w:cs="Tahoma" w:ascii="Tahoma" w:hAnsi="Tahoma"/>
          <w:b/>
          <w:bCs/>
          <w:i/>
          <w:iCs/>
          <w:sz w:val="20"/>
          <w:szCs w:val="20"/>
        </w:rPr>
        <w:t>Poder Judicial</w:t>
      </w:r>
    </w:p>
    <w:p>
      <w:pPr>
        <w:pStyle w:val="Normal"/>
        <w:jc w:val="both"/>
        <w:rPr>
          <w:rFonts w:ascii="Tahoma" w:hAnsi="Tahoma" w:cs="Tahoma"/>
          <w:i/>
          <w:i/>
          <w:iCs/>
          <w:sz w:val="20"/>
          <w:szCs w:val="20"/>
        </w:rPr>
      </w:pPr>
      <w:r>
        <w:rPr>
          <w:rFonts w:cs="Tahoma" w:ascii="Tahoma" w:hAnsi="Tahoma"/>
          <w:i/>
          <w:iCs/>
          <w:sz w:val="20"/>
          <w:szCs w:val="20"/>
        </w:rPr>
      </w:r>
    </w:p>
    <w:p>
      <w:pPr>
        <w:pStyle w:val="Normal"/>
        <w:jc w:val="both"/>
        <w:rPr>
          <w:rFonts w:ascii="Tahoma" w:hAnsi="Tahoma" w:cs="Tahoma"/>
          <w:i/>
          <w:i/>
          <w:iCs/>
          <w:sz w:val="20"/>
          <w:szCs w:val="20"/>
        </w:rPr>
      </w:pPr>
      <w:r>
        <w:rPr>
          <w:rFonts w:cs="Tahoma" w:ascii="Tahoma" w:hAnsi="Tahoma"/>
          <w:i/>
          <w:iCs/>
          <w:sz w:val="20"/>
          <w:szCs w:val="20"/>
        </w:rPr>
        <w:t>Estimada señora:</w:t>
      </w:r>
    </w:p>
    <w:p>
      <w:pPr>
        <w:pStyle w:val="Normal"/>
        <w:jc w:val="both"/>
        <w:rPr>
          <w:rFonts w:ascii="Tahoma" w:hAnsi="Tahoma" w:cs="Tahoma"/>
          <w:i/>
          <w:i/>
          <w:iCs/>
          <w:sz w:val="20"/>
          <w:szCs w:val="20"/>
        </w:rPr>
      </w:pPr>
      <w:r>
        <w:rPr>
          <w:rFonts w:cs="Tahoma" w:ascii="Tahoma" w:hAnsi="Tahoma"/>
          <w:i/>
          <w:iCs/>
          <w:sz w:val="20"/>
          <w:szCs w:val="20"/>
        </w:rPr>
      </w:r>
    </w:p>
    <w:p>
      <w:pPr>
        <w:pStyle w:val="Normal"/>
        <w:spacing w:lineRule="auto" w:line="360"/>
        <w:jc w:val="both"/>
        <w:rPr>
          <w:rFonts w:ascii="Tahoma" w:hAnsi="Tahoma" w:cs="Tahoma"/>
          <w:i/>
          <w:i/>
          <w:iCs/>
          <w:sz w:val="20"/>
          <w:szCs w:val="20"/>
        </w:rPr>
      </w:pPr>
      <w:r>
        <w:rPr>
          <w:rFonts w:cs="Tahoma" w:ascii="Tahoma" w:hAnsi="Tahoma"/>
          <w:i/>
          <w:iCs/>
          <w:sz w:val="20"/>
          <w:szCs w:val="20"/>
        </w:rPr>
        <w:t xml:space="preserve">Reciba un cordial saludo. En atención al oficio N° Oficio CACC-10-2020, relacionado con los acuerdos tomados por la </w:t>
      </w:r>
      <w:r>
        <w:rPr>
          <w:rFonts w:cs="Tahoma" w:ascii="Tahoma" w:hAnsi="Tahoma"/>
          <w:bCs/>
          <w:i/>
          <w:iCs/>
          <w:sz w:val="20"/>
          <w:szCs w:val="20"/>
        </w:rPr>
        <w:t>Subcomisión de Acceso a la Justicia de Pueblos Indígenas</w:t>
      </w:r>
      <w:r>
        <w:rPr>
          <w:rFonts w:cs="Tahoma" w:ascii="Tahoma" w:hAnsi="Tahoma"/>
          <w:b/>
          <w:bCs/>
          <w:i/>
          <w:iCs/>
          <w:sz w:val="20"/>
          <w:szCs w:val="20"/>
        </w:rPr>
        <w:t xml:space="preserve"> </w:t>
      </w:r>
      <w:r>
        <w:rPr>
          <w:rFonts w:cs="Tahoma" w:ascii="Tahoma" w:hAnsi="Tahoma"/>
          <w:i/>
          <w:iCs/>
          <w:sz w:val="20"/>
          <w:szCs w:val="20"/>
        </w:rPr>
        <w:t xml:space="preserve">celebrada el 20 de diciembre de 2019, me permito informar lo siguiente. </w:t>
      </w:r>
    </w:p>
    <w:p>
      <w:pPr>
        <w:pStyle w:val="Normal"/>
        <w:spacing w:lineRule="auto" w:line="360"/>
        <w:jc w:val="both"/>
        <w:rPr>
          <w:rFonts w:ascii="Tahoma" w:hAnsi="Tahoma" w:cs="Tahoma"/>
          <w:i/>
          <w:i/>
          <w:iCs/>
          <w:sz w:val="20"/>
          <w:szCs w:val="20"/>
        </w:rPr>
      </w:pPr>
      <w:r>
        <w:rPr>
          <w:rFonts w:cs="Tahoma" w:ascii="Tahoma" w:hAnsi="Tahoma"/>
          <w:i/>
          <w:iCs/>
          <w:sz w:val="20"/>
          <w:szCs w:val="20"/>
        </w:rPr>
      </w:r>
    </w:p>
    <w:p>
      <w:pPr>
        <w:pStyle w:val="Normal"/>
        <w:spacing w:lineRule="auto" w:line="360"/>
        <w:jc w:val="both"/>
        <w:rPr>
          <w:rFonts w:ascii="Tahoma" w:hAnsi="Tahoma" w:cs="Tahoma"/>
          <w:i/>
          <w:i/>
          <w:iCs/>
          <w:sz w:val="20"/>
          <w:szCs w:val="20"/>
        </w:rPr>
      </w:pPr>
      <w:r>
        <w:rPr>
          <w:rFonts w:cs="Tahoma" w:ascii="Tahoma" w:hAnsi="Tahoma"/>
          <w:i/>
          <w:iCs/>
          <w:sz w:val="20"/>
          <w:szCs w:val="20"/>
        </w:rPr>
        <w:t>La plaza de Trabajo Social que se creó en el año 2015 para Buenos Aires es un recurso diferente al que se creó en ese mismo año para Bribrí, de manera que la primera desde su creación ha estado destacada en Buenos Aires hasta la fecha y con prioridad para la atención a la población indígena.</w:t>
      </w:r>
    </w:p>
    <w:p>
      <w:pPr>
        <w:pStyle w:val="Normal"/>
        <w:spacing w:lineRule="auto" w:line="360"/>
        <w:jc w:val="both"/>
        <w:rPr>
          <w:rFonts w:ascii="Tahoma" w:hAnsi="Tahoma" w:cs="Tahoma"/>
          <w:i/>
          <w:i/>
          <w:iCs/>
          <w:sz w:val="20"/>
          <w:szCs w:val="20"/>
        </w:rPr>
      </w:pPr>
      <w:r>
        <w:rPr>
          <w:rFonts w:cs="Tahoma" w:ascii="Tahoma" w:hAnsi="Tahoma"/>
          <w:i/>
          <w:iCs/>
          <w:sz w:val="20"/>
          <w:szCs w:val="20"/>
        </w:rPr>
      </w:r>
    </w:p>
    <w:p>
      <w:pPr>
        <w:pStyle w:val="Normal"/>
        <w:spacing w:lineRule="auto" w:line="360"/>
        <w:jc w:val="both"/>
        <w:rPr>
          <w:rFonts w:ascii="Tahoma" w:hAnsi="Tahoma" w:cs="Tahoma"/>
          <w:b/>
          <w:b/>
          <w:i/>
          <w:i/>
          <w:iCs/>
          <w:sz w:val="20"/>
          <w:szCs w:val="20"/>
          <w:u w:val="single"/>
          <w:lang w:val="es-MX"/>
        </w:rPr>
      </w:pPr>
      <w:r>
        <w:rPr>
          <w:rFonts w:cs="Tahoma" w:ascii="Tahoma" w:hAnsi="Tahoma"/>
          <w:i/>
          <w:iCs/>
          <w:sz w:val="20"/>
          <w:szCs w:val="20"/>
        </w:rPr>
        <w:t>Si bien en el acuerdo del Consejo Superior tomado en la sesión extraordinaria N°35-14 (Presupuesto 2015),</w:t>
      </w:r>
      <w:r>
        <w:rPr>
          <w:rFonts w:cs="Tahoma" w:ascii="Tahoma" w:hAnsi="Tahoma"/>
          <w:b/>
          <w:i/>
          <w:iCs/>
          <w:sz w:val="20"/>
          <w:szCs w:val="20"/>
        </w:rPr>
        <w:t xml:space="preserve"> </w:t>
      </w:r>
      <w:r>
        <w:rPr>
          <w:rFonts w:cs="Tahoma" w:ascii="Tahoma" w:hAnsi="Tahoma"/>
          <w:i/>
          <w:iCs/>
          <w:sz w:val="20"/>
          <w:szCs w:val="20"/>
        </w:rPr>
        <w:t xml:space="preserve">celebrada el 23 de abril de 2014, artículo LV, se indicó que se iba a destacar temporalmente en </w:t>
      </w:r>
      <w:r>
        <w:rPr>
          <w:rFonts w:cs="Tahoma" w:ascii="Tahoma" w:hAnsi="Tahoma"/>
          <w:i/>
          <w:iCs/>
          <w:sz w:val="20"/>
          <w:szCs w:val="20"/>
          <w:lang w:val="es-MX"/>
        </w:rPr>
        <w:t xml:space="preserve">Pérez Zeledón, la Fiscalía cedió un espacio en Buenos Aires para la ubicación de la profesional y se ha mantenido a la fecha ahí destacada. En el 2016 la plaza pasó a ser ordinaria y fue nombrada en propiedad en ese mismo año, por lo que es un recurso que se mantendrá en la zona. </w:t>
      </w:r>
    </w:p>
    <w:p>
      <w:pPr>
        <w:pStyle w:val="Normal"/>
        <w:spacing w:lineRule="auto" w:line="360"/>
        <w:jc w:val="both"/>
        <w:rPr>
          <w:rFonts w:ascii="Tahoma" w:hAnsi="Tahoma" w:cs="Tahoma"/>
          <w:i/>
          <w:i/>
          <w:iCs/>
          <w:sz w:val="20"/>
          <w:szCs w:val="20"/>
        </w:rPr>
      </w:pPr>
      <w:r>
        <w:rPr>
          <w:rFonts w:cs="Tahoma" w:ascii="Tahoma" w:hAnsi="Tahoma"/>
          <w:i/>
          <w:iCs/>
          <w:sz w:val="20"/>
          <w:szCs w:val="20"/>
        </w:rPr>
      </w:r>
    </w:p>
    <w:p>
      <w:pPr>
        <w:pStyle w:val="Normal"/>
        <w:jc w:val="both"/>
        <w:rPr>
          <w:rFonts w:ascii="Tahoma" w:hAnsi="Tahoma" w:cs="Tahoma"/>
          <w:bCs/>
          <w:i/>
          <w:i/>
          <w:iCs/>
          <w:sz w:val="20"/>
          <w:szCs w:val="20"/>
          <w:lang w:val="es-MX"/>
        </w:rPr>
      </w:pPr>
      <w:r>
        <w:rPr>
          <w:rFonts w:cs="Tahoma" w:ascii="Tahoma" w:hAnsi="Tahoma"/>
          <w:bCs/>
          <w:i/>
          <w:iCs/>
          <w:sz w:val="20"/>
          <w:szCs w:val="20"/>
          <w:lang w:val="es-MX"/>
        </w:rPr>
        <w:t>Por otra parte, en cuanto a las plazas de Bribrí, se creó un equipo psicosocial en el 2015 con el fin de dar accesibilidad a la población indígena de la región, y tal como lo indica el acuerdo del Consejo Superior antes mencionado, se destacarían en Limón ante la falta de infraestructura en Bribrí, situación que persiste a la fecha. Sin</w:t>
      </w:r>
      <w:r>
        <w:rPr>
          <w:rFonts w:cs="Tahoma" w:ascii="Tahoma" w:hAnsi="Tahoma"/>
          <w:i/>
          <w:iCs/>
          <w:sz w:val="20"/>
          <w:szCs w:val="20"/>
          <w:lang w:val="es-ES"/>
        </w:rPr>
        <w:t xml:space="preserve"> </w:t>
      </w:r>
      <w:r>
        <w:rPr>
          <w:rFonts w:cs="Tahoma" w:ascii="Tahoma" w:hAnsi="Tahoma"/>
          <w:bCs/>
          <w:i/>
          <w:iCs/>
          <w:sz w:val="20"/>
          <w:szCs w:val="20"/>
          <w:lang w:val="es-MX"/>
        </w:rPr>
        <w:t>embargo, las profesionales de psicología y trabajo social, se han estado desplazando a la zona para atender ahí a la población usuaria, en diferentes espacios a saber: Iglesia católica, Municipalidad, Instituto Nacional de Aprendizaje, Trabajo Social de la Caja Costarricense del Seguro Social, Juzgado Contravencional  y finalmente, en un espacio cedido por el Organismo de Investigación Judicial del lugar y compartido con el médico forense, lugares que si bien no todos reúnen las condiciones idóneas para el buen servicio, permitían a las personas usuarias no tener que desplazarse hasta Limón, pero este año el espacio físico no fue cedido más por el OIJ y al no tener donde valorar en Bribrí, el equipo se está viendo obligado a citar a la población en Limón.</w:t>
      </w:r>
    </w:p>
    <w:p>
      <w:pPr>
        <w:pStyle w:val="Normal"/>
        <w:spacing w:lineRule="auto" w:line="360"/>
        <w:jc w:val="both"/>
        <w:rPr>
          <w:rFonts w:ascii="Tahoma" w:hAnsi="Tahoma" w:cs="Tahoma"/>
          <w:bCs/>
          <w:i/>
          <w:i/>
          <w:iCs/>
          <w:sz w:val="20"/>
          <w:szCs w:val="20"/>
          <w:lang w:val="es-MX"/>
        </w:rPr>
      </w:pPr>
      <w:r>
        <w:rPr>
          <w:rFonts w:cs="Tahoma" w:ascii="Tahoma" w:hAnsi="Tahoma"/>
          <w:bCs/>
          <w:i/>
          <w:iCs/>
          <w:sz w:val="20"/>
          <w:szCs w:val="20"/>
          <w:lang w:val="es-MX"/>
        </w:rPr>
      </w:r>
    </w:p>
    <w:p>
      <w:pPr>
        <w:pStyle w:val="Normal"/>
        <w:spacing w:lineRule="auto" w:line="360"/>
        <w:jc w:val="both"/>
        <w:rPr>
          <w:rFonts w:ascii="Tahoma" w:hAnsi="Tahoma" w:cs="Tahoma"/>
          <w:bCs/>
          <w:i/>
          <w:i/>
          <w:iCs/>
          <w:sz w:val="20"/>
          <w:szCs w:val="20"/>
          <w:lang w:val="es-MX"/>
        </w:rPr>
      </w:pPr>
      <w:r>
        <w:rPr>
          <w:rFonts w:cs="Tahoma" w:ascii="Tahoma" w:hAnsi="Tahoma"/>
          <w:bCs/>
          <w:i/>
          <w:iCs/>
          <w:sz w:val="20"/>
          <w:szCs w:val="20"/>
          <w:lang w:val="es-MX"/>
        </w:rPr>
        <w:t>Lo anterior, será llevado al Consejo de Administración del I Circuito Judicial de la Zona Atlántica, con el fin de solicitar una solución al problema y que el equipo psicosocial pueda brindar el servicio a la población en la zona de Bribrí, el cual fue el objetivo con el que se creó.</w:t>
      </w:r>
    </w:p>
    <w:p>
      <w:pPr>
        <w:pStyle w:val="Normal"/>
        <w:spacing w:lineRule="auto" w:line="360"/>
        <w:jc w:val="both"/>
        <w:rPr>
          <w:rFonts w:ascii="Tahoma" w:hAnsi="Tahoma" w:cs="Tahoma"/>
          <w:bCs/>
          <w:i/>
          <w:i/>
          <w:iCs/>
          <w:sz w:val="20"/>
          <w:szCs w:val="20"/>
          <w:lang w:val="es-MX"/>
        </w:rPr>
      </w:pPr>
      <w:r>
        <w:rPr>
          <w:rFonts w:cs="Tahoma" w:ascii="Tahoma" w:hAnsi="Tahoma"/>
          <w:bCs/>
          <w:i/>
          <w:iCs/>
          <w:sz w:val="20"/>
          <w:szCs w:val="20"/>
          <w:lang w:val="es-MX"/>
        </w:rPr>
      </w:r>
    </w:p>
    <w:p>
      <w:pPr>
        <w:pStyle w:val="Normal"/>
        <w:spacing w:lineRule="auto" w:line="360"/>
        <w:jc w:val="both"/>
        <w:rPr>
          <w:rFonts w:ascii="Tahoma" w:hAnsi="Tahoma" w:cs="Tahoma"/>
          <w:i/>
          <w:i/>
          <w:iCs/>
          <w:sz w:val="20"/>
          <w:szCs w:val="20"/>
        </w:rPr>
      </w:pPr>
      <w:r>
        <w:rPr>
          <w:rFonts w:cs="Tahoma" w:ascii="Tahoma" w:hAnsi="Tahoma"/>
          <w:i/>
          <w:iCs/>
          <w:sz w:val="20"/>
          <w:szCs w:val="20"/>
        </w:rPr>
        <w:t>A la espera de haber dado oportuna respuesta, quedo a disposición para cualquier consulta o información adicional.</w:t>
      </w:r>
    </w:p>
    <w:p>
      <w:pPr>
        <w:pStyle w:val="Normal"/>
        <w:jc w:val="both"/>
        <w:rPr>
          <w:rFonts w:ascii="Tahoma" w:hAnsi="Tahoma" w:cs="Tahoma"/>
          <w:i/>
          <w:i/>
          <w:iCs/>
          <w:sz w:val="20"/>
          <w:szCs w:val="20"/>
        </w:rPr>
      </w:pPr>
      <w:r>
        <w:rPr>
          <w:rFonts w:cs="Tahoma" w:ascii="Tahoma" w:hAnsi="Tahoma"/>
          <w:i/>
          <w:iCs/>
          <w:sz w:val="20"/>
          <w:szCs w:val="20"/>
        </w:rPr>
      </w:r>
    </w:p>
    <w:p>
      <w:pPr>
        <w:pStyle w:val="Normal"/>
        <w:jc w:val="center"/>
        <w:rPr>
          <w:rFonts w:ascii="Tahoma" w:hAnsi="Tahoma" w:cs="Tahoma"/>
          <w:i/>
          <w:i/>
          <w:iCs/>
          <w:sz w:val="20"/>
          <w:szCs w:val="20"/>
        </w:rPr>
      </w:pPr>
      <w:r>
        <w:rPr>
          <w:rFonts w:cs="Tahoma" w:ascii="Tahoma" w:hAnsi="Tahoma"/>
          <w:i/>
          <w:iCs/>
          <w:sz w:val="20"/>
          <w:szCs w:val="20"/>
        </w:rPr>
        <w:t>Atentamente,</w:t>
      </w:r>
    </w:p>
    <w:p>
      <w:pPr>
        <w:pStyle w:val="Normal"/>
        <w:rPr>
          <w:rFonts w:ascii="Tahoma" w:hAnsi="Tahoma" w:cs="Tahoma"/>
          <w:i/>
          <w:i/>
          <w:iCs/>
          <w:sz w:val="20"/>
          <w:szCs w:val="20"/>
        </w:rPr>
      </w:pPr>
      <w:r>
        <w:rPr>
          <w:rFonts w:cs="Tahoma" w:ascii="Tahoma" w:hAnsi="Tahoma"/>
          <w:i/>
          <w:iCs/>
          <w:sz w:val="20"/>
          <w:szCs w:val="20"/>
        </w:rPr>
      </w:r>
    </w:p>
    <w:p>
      <w:pPr>
        <w:pStyle w:val="Normal"/>
        <w:jc w:val="center"/>
        <w:rPr>
          <w:rFonts w:ascii="Tahoma" w:hAnsi="Tahoma" w:cs="Tahoma"/>
          <w:i/>
          <w:i/>
          <w:iCs/>
          <w:sz w:val="20"/>
          <w:szCs w:val="20"/>
        </w:rPr>
      </w:pPr>
      <w:r>
        <w:rPr>
          <w:rFonts w:cs="Tahoma" w:ascii="Tahoma" w:hAnsi="Tahoma"/>
          <w:i/>
          <w:iCs/>
          <w:sz w:val="20"/>
          <w:szCs w:val="20"/>
        </w:rPr>
        <w:t>MSc.  Alba Gutiérrez Villalobos</w:t>
      </w:r>
    </w:p>
    <w:p>
      <w:pPr>
        <w:pStyle w:val="Normal"/>
        <w:jc w:val="center"/>
        <w:rPr>
          <w:rFonts w:ascii="Tahoma" w:hAnsi="Tahoma" w:cs="Tahoma"/>
          <w:i/>
          <w:i/>
          <w:iCs/>
          <w:sz w:val="20"/>
          <w:szCs w:val="20"/>
        </w:rPr>
      </w:pPr>
      <w:r>
        <w:rPr>
          <w:rFonts w:cs="Tahoma" w:ascii="Tahoma" w:hAnsi="Tahoma"/>
          <w:i/>
          <w:iCs/>
          <w:sz w:val="20"/>
          <w:szCs w:val="20"/>
        </w:rPr>
        <w:t>Jefa, Departamento de Trabajo Social y Psicología</w:t>
      </w:r>
    </w:p>
    <w:p>
      <w:pPr>
        <w:pStyle w:val="Normal"/>
        <w:jc w:val="both"/>
        <w:rPr>
          <w:rFonts w:ascii="Tahoma" w:hAnsi="Tahoma" w:cs="Tahoma"/>
          <w:i/>
          <w:i/>
          <w:iCs/>
          <w:sz w:val="20"/>
          <w:szCs w:val="20"/>
        </w:rPr>
      </w:pPr>
      <w:r>
        <w:rPr>
          <w:rFonts w:cs="Tahoma" w:ascii="Tahoma" w:hAnsi="Tahoma"/>
          <w:i/>
          <w:iCs/>
          <w:sz w:val="20"/>
          <w:szCs w:val="20"/>
        </w:rPr>
      </w:r>
    </w:p>
    <w:p>
      <w:pPr>
        <w:pStyle w:val="Normal"/>
        <w:jc w:val="both"/>
        <w:rPr>
          <w:rFonts w:ascii="Tahoma" w:hAnsi="Tahoma" w:cs="Tahoma"/>
          <w:i/>
          <w:i/>
          <w:iCs/>
          <w:sz w:val="20"/>
          <w:szCs w:val="20"/>
        </w:rPr>
      </w:pPr>
      <w:r>
        <w:rPr>
          <w:rFonts w:cs="Tahoma" w:ascii="Tahoma" w:hAnsi="Tahoma"/>
          <w:i/>
          <w:iCs/>
          <w:sz w:val="20"/>
          <w:szCs w:val="20"/>
        </w:rPr>
      </w:r>
    </w:p>
    <w:p>
      <w:pPr>
        <w:pStyle w:val="Normal"/>
        <w:jc w:val="both"/>
        <w:rPr>
          <w:rFonts w:ascii="Tahoma" w:hAnsi="Tahoma" w:cs="Tahoma"/>
          <w:i/>
          <w:i/>
          <w:iCs/>
          <w:sz w:val="20"/>
          <w:szCs w:val="20"/>
        </w:rPr>
      </w:pPr>
      <w:r>
        <w:rPr>
          <w:rFonts w:cs="Tahoma" w:ascii="Tahoma" w:hAnsi="Tahoma"/>
          <w:i/>
          <w:iCs/>
          <w:sz w:val="20"/>
          <w:szCs w:val="20"/>
        </w:rPr>
        <w:t xml:space="preserve">CC </w:t>
        <w:tab/>
        <w:t>Archivo</w:t>
      </w:r>
    </w:p>
    <w:p>
      <w:pPr>
        <w:pStyle w:val="Normal"/>
        <w:jc w:val="both"/>
        <w:rPr>
          <w:rFonts w:ascii="Tahoma" w:hAnsi="Tahoma" w:cs="Tahoma"/>
          <w:bCs/>
          <w:sz w:val="20"/>
          <w:szCs w:val="20"/>
          <w:lang w:val="es-MX"/>
        </w:rPr>
      </w:pPr>
      <w:r>
        <w:rPr>
          <w:rFonts w:cs="Tahoma" w:ascii="Tahoma" w:hAnsi="Tahoma"/>
          <w:bCs/>
          <w:sz w:val="20"/>
          <w:szCs w:val="20"/>
          <w:lang w:val="es-MX"/>
        </w:rPr>
      </w:r>
    </w:p>
    <w:p>
      <w:pPr>
        <w:pStyle w:val="Normal"/>
        <w:jc w:val="both"/>
        <w:rPr>
          <w:rFonts w:ascii="Tahoma" w:hAnsi="Tahoma" w:cs="Tahoma"/>
          <w:bCs/>
          <w:sz w:val="20"/>
          <w:szCs w:val="20"/>
        </w:rPr>
      </w:pPr>
      <w:r>
        <w:rPr>
          <w:rFonts w:cs="Tahoma" w:ascii="Tahoma" w:hAnsi="Tahoma"/>
          <w:b/>
          <w:sz w:val="20"/>
          <w:szCs w:val="20"/>
          <w:u w:val="single"/>
        </w:rPr>
        <w:t>SE ACUERDA:</w:t>
      </w:r>
      <w:r>
        <w:rPr>
          <w:rFonts w:cs="Tahoma" w:ascii="Tahoma" w:hAnsi="Tahoma"/>
          <w:bCs/>
          <w:sz w:val="20"/>
          <w:szCs w:val="20"/>
        </w:rPr>
        <w:t xml:space="preserve"> </w:t>
      </w:r>
    </w:p>
    <w:p>
      <w:pPr>
        <w:pStyle w:val="Normal"/>
        <w:jc w:val="both"/>
        <w:rPr>
          <w:rFonts w:ascii="Tahoma" w:hAnsi="Tahoma" w:cs="Tahoma"/>
          <w:i/>
          <w:i/>
          <w:iCs/>
          <w:sz w:val="20"/>
          <w:szCs w:val="20"/>
          <w:lang w:val="es-MX"/>
        </w:rPr>
      </w:pPr>
      <w:r>
        <w:rPr>
          <w:rFonts w:cs="Tahoma" w:ascii="Tahoma" w:hAnsi="Tahoma"/>
          <w:bCs/>
          <w:sz w:val="20"/>
          <w:szCs w:val="20"/>
        </w:rPr>
        <w:t xml:space="preserve">1° Se toma nota del </w:t>
      </w:r>
      <w:r>
        <w:rPr>
          <w:rFonts w:cs="Tahoma" w:ascii="Tahoma" w:hAnsi="Tahoma"/>
          <w:sz w:val="20"/>
          <w:szCs w:val="20"/>
          <w:lang w:val="es-ES"/>
        </w:rPr>
        <w:t xml:space="preserve">Oficio </w:t>
      </w:r>
      <w:r>
        <w:rPr>
          <w:rFonts w:cs="Tahoma" w:ascii="Tahoma" w:hAnsi="Tahoma"/>
          <w:sz w:val="20"/>
          <w:szCs w:val="20"/>
          <w:lang w:val="pt-BR"/>
        </w:rPr>
        <w:t xml:space="preserve">162-PLA-OI-2020 remitido por la Dirección de Planificación en el que se informa que el informe referido a las plazas del Departamento de Trabajo Social y Psicología </w:t>
      </w:r>
      <w:r>
        <w:rPr>
          <w:rFonts w:cs="Tahoma" w:ascii="Tahoma" w:hAnsi="Tahoma"/>
          <w:sz w:val="20"/>
          <w:szCs w:val="20"/>
        </w:rPr>
        <w:t>fue conocido por el Consejo Superior del Poder Judicial, en la sesión extraordinaria N°35-14 (Presupuesto 2015), del 23 de abril del 2014, artículo LV, donde se dispuso:</w:t>
      </w:r>
      <w:r>
        <w:rPr>
          <w:rFonts w:cs="Tahoma" w:ascii="Tahoma" w:hAnsi="Tahoma"/>
          <w:i/>
          <w:iCs/>
          <w:sz w:val="20"/>
          <w:szCs w:val="20"/>
        </w:rPr>
        <w:t xml:space="preserve"> “</w:t>
      </w:r>
      <w:r>
        <w:rPr>
          <w:rFonts w:cs="Tahoma" w:ascii="Tahoma" w:hAnsi="Tahoma"/>
          <w:b/>
          <w:bCs/>
          <w:i/>
          <w:iCs/>
          <w:sz w:val="20"/>
          <w:szCs w:val="20"/>
          <w:lang w:val="es-MX"/>
        </w:rPr>
        <w:t>Se acordó: 1.)</w:t>
      </w:r>
      <w:r>
        <w:rPr>
          <w:rFonts w:cs="Tahoma" w:ascii="Tahoma" w:hAnsi="Tahoma"/>
          <w:i/>
          <w:iCs/>
          <w:sz w:val="20"/>
          <w:szCs w:val="20"/>
          <w:lang w:val="es-MX"/>
        </w:rPr>
        <w:t xml:space="preserve"> Aprobar el informe presentado por el Departamento de Planificación. </w:t>
      </w:r>
      <w:r>
        <w:rPr>
          <w:rFonts w:cs="Tahoma" w:ascii="Tahoma" w:hAnsi="Tahoma"/>
          <w:b/>
          <w:bCs/>
          <w:i/>
          <w:iCs/>
          <w:sz w:val="20"/>
          <w:szCs w:val="20"/>
          <w:lang w:val="es-MX"/>
        </w:rPr>
        <w:t>2.)</w:t>
      </w:r>
      <w:r>
        <w:rPr>
          <w:rFonts w:cs="Tahoma" w:ascii="Tahoma" w:hAnsi="Tahoma"/>
          <w:i/>
          <w:iCs/>
          <w:sz w:val="20"/>
          <w:szCs w:val="20"/>
          <w:lang w:val="es-MX"/>
        </w:rPr>
        <w:t xml:space="preserve"> Incluir en el anteproyecto de presupuesto del 2015, las siguientes plazas </w:t>
      </w:r>
      <w:r>
        <w:rPr>
          <w:rFonts w:cs="Tahoma" w:ascii="Tahoma" w:hAnsi="Tahoma"/>
          <w:i/>
          <w:iCs/>
          <w:sz w:val="20"/>
          <w:szCs w:val="20"/>
          <w:highlight w:val="lightGray"/>
          <w:lang w:val="es-MX"/>
        </w:rPr>
        <w:t>extraordinarias</w:t>
      </w:r>
      <w:r>
        <w:rPr>
          <w:rFonts w:cs="Tahoma" w:ascii="Tahoma" w:hAnsi="Tahoma"/>
          <w:i/>
          <w:iCs/>
          <w:sz w:val="20"/>
          <w:szCs w:val="20"/>
          <w:lang w:val="es-MX"/>
        </w:rPr>
        <w:t xml:space="preserve"> por todo el 2015:</w:t>
      </w:r>
    </w:p>
    <w:tbl>
      <w:tblPr>
        <w:tblW w:w="6737"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1593"/>
        <w:gridCol w:w="713"/>
        <w:gridCol w:w="1773"/>
        <w:gridCol w:w="1553"/>
        <w:gridCol w:w="1105"/>
      </w:tblGrid>
      <w:tr>
        <w:trPr>
          <w:tblHeader w:val="true"/>
          <w:trHeight w:val="197" w:hRule="atLeast"/>
        </w:trPr>
        <w:tc>
          <w:tcPr>
            <w:tcW w:w="15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200"/>
              <w:jc w:val="center"/>
              <w:rPr>
                <w:rFonts w:ascii="Tahoma" w:hAnsi="Tahoma" w:cs="Tahoma"/>
                <w:b/>
                <w:b/>
                <w:bCs/>
                <w:i/>
                <w:i/>
                <w:iCs/>
                <w:sz w:val="20"/>
                <w:szCs w:val="20"/>
                <w:lang w:val="es-ES"/>
              </w:rPr>
            </w:pPr>
            <w:r>
              <w:rPr>
                <w:rFonts w:cs="Tahoma" w:ascii="Tahoma" w:hAnsi="Tahoma"/>
                <w:b/>
                <w:bCs/>
                <w:i/>
                <w:iCs/>
                <w:sz w:val="20"/>
                <w:szCs w:val="20"/>
                <w:lang w:val="es-ES"/>
              </w:rPr>
              <w:t>Despacho</w:t>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200"/>
              <w:jc w:val="center"/>
              <w:rPr>
                <w:rFonts w:ascii="Tahoma" w:hAnsi="Tahoma" w:cs="Tahoma"/>
                <w:b/>
                <w:b/>
                <w:bCs/>
                <w:i/>
                <w:i/>
                <w:iCs/>
                <w:sz w:val="20"/>
                <w:szCs w:val="20"/>
                <w:lang w:val="es-ES"/>
              </w:rPr>
            </w:pPr>
            <w:r>
              <w:rPr>
                <w:rFonts w:cs="Tahoma" w:ascii="Tahoma" w:hAnsi="Tahoma"/>
                <w:b/>
                <w:bCs/>
                <w:i/>
                <w:iCs/>
                <w:sz w:val="20"/>
                <w:szCs w:val="20"/>
                <w:lang w:val="es-ES"/>
              </w:rPr>
              <w:t>Cant.</w:t>
            </w:r>
          </w:p>
        </w:tc>
        <w:tc>
          <w:tcPr>
            <w:tcW w:w="17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200"/>
              <w:jc w:val="center"/>
              <w:rPr>
                <w:rFonts w:ascii="Tahoma" w:hAnsi="Tahoma" w:cs="Tahoma"/>
                <w:b/>
                <w:b/>
                <w:bCs/>
                <w:i/>
                <w:i/>
                <w:iCs/>
                <w:sz w:val="20"/>
                <w:szCs w:val="20"/>
                <w:lang w:val="es-ES"/>
              </w:rPr>
            </w:pPr>
            <w:r>
              <w:rPr>
                <w:rFonts w:cs="Tahoma" w:ascii="Tahoma" w:hAnsi="Tahoma"/>
                <w:b/>
                <w:bCs/>
                <w:i/>
                <w:iCs/>
                <w:sz w:val="20"/>
                <w:szCs w:val="20"/>
                <w:lang w:val="es-ES"/>
              </w:rPr>
              <w:t>Tipo de plaza</w:t>
            </w:r>
          </w:p>
        </w:tc>
        <w:tc>
          <w:tcPr>
            <w:tcW w:w="15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200"/>
              <w:jc w:val="center"/>
              <w:rPr>
                <w:rFonts w:ascii="Tahoma" w:hAnsi="Tahoma" w:cs="Tahoma"/>
                <w:b/>
                <w:b/>
                <w:bCs/>
                <w:i/>
                <w:i/>
                <w:iCs/>
                <w:sz w:val="20"/>
                <w:szCs w:val="20"/>
                <w:lang w:val="es-ES"/>
              </w:rPr>
            </w:pPr>
            <w:r>
              <w:rPr>
                <w:rFonts w:cs="Tahoma" w:ascii="Tahoma" w:hAnsi="Tahoma"/>
                <w:b/>
                <w:bCs/>
                <w:i/>
                <w:iCs/>
                <w:sz w:val="20"/>
                <w:szCs w:val="20"/>
                <w:lang w:val="es-ES"/>
              </w:rPr>
              <w:t>Recomendación</w:t>
            </w:r>
          </w:p>
        </w:tc>
        <w:tc>
          <w:tcPr>
            <w:tcW w:w="1105"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200"/>
              <w:jc w:val="center"/>
              <w:rPr>
                <w:rFonts w:ascii="Tahoma" w:hAnsi="Tahoma" w:cs="Tahoma"/>
                <w:b/>
                <w:b/>
                <w:bCs/>
                <w:i/>
                <w:i/>
                <w:iCs/>
                <w:sz w:val="20"/>
                <w:szCs w:val="20"/>
                <w:lang w:val="es-ES"/>
              </w:rPr>
            </w:pPr>
            <w:r>
              <w:rPr>
                <w:rFonts w:cs="Tahoma" w:ascii="Tahoma" w:hAnsi="Tahoma"/>
                <w:b/>
                <w:bCs/>
                <w:i/>
                <w:iCs/>
                <w:sz w:val="20"/>
                <w:szCs w:val="20"/>
                <w:lang w:val="es-ES"/>
              </w:rPr>
              <w:t>Prioridad</w:t>
            </w:r>
          </w:p>
        </w:tc>
      </w:tr>
      <w:tr>
        <w:trPr>
          <w:trHeight w:val="1193" w:hRule="atLeast"/>
        </w:trPr>
        <w:tc>
          <w:tcPr>
            <w:tcW w:w="15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Tahoma" w:hAnsi="Tahoma" w:cs="Tahoma"/>
                <w:i/>
                <w:i/>
                <w:iCs/>
                <w:sz w:val="20"/>
                <w:szCs w:val="20"/>
                <w:lang w:val="es-ES"/>
              </w:rPr>
            </w:pPr>
            <w:r>
              <w:rPr>
                <w:rFonts w:cs="Tahoma" w:ascii="Tahoma" w:hAnsi="Tahoma"/>
                <w:i/>
                <w:iCs/>
                <w:sz w:val="20"/>
                <w:szCs w:val="20"/>
                <w:lang w:val="es-ES"/>
              </w:rPr>
            </w:r>
          </w:p>
          <w:p>
            <w:pPr>
              <w:pStyle w:val="Normal"/>
              <w:widowControl w:val="false"/>
              <w:snapToGrid w:val="false"/>
              <w:jc w:val="center"/>
              <w:rPr>
                <w:rFonts w:ascii="Tahoma" w:hAnsi="Tahoma" w:cs="Tahoma"/>
                <w:i/>
                <w:i/>
                <w:iCs/>
                <w:sz w:val="20"/>
                <w:szCs w:val="20"/>
                <w:lang w:val="es-ES"/>
              </w:rPr>
            </w:pPr>
            <w:r>
              <w:rPr>
                <w:rFonts w:cs="Tahoma" w:ascii="Tahoma" w:hAnsi="Tahoma"/>
                <w:i/>
                <w:iCs/>
                <w:sz w:val="20"/>
                <w:szCs w:val="20"/>
                <w:lang w:val="es-ES"/>
              </w:rPr>
              <w:t>Oficina de Trabajo Social y Psicología de Pérez Zeledón</w:t>
            </w:r>
          </w:p>
          <w:p>
            <w:pPr>
              <w:pStyle w:val="Normal"/>
              <w:widowControl w:val="false"/>
              <w:snapToGrid w:val="false"/>
              <w:spacing w:before="0" w:after="200"/>
              <w:jc w:val="center"/>
              <w:rPr>
                <w:rFonts w:ascii="Tahoma" w:hAnsi="Tahoma" w:cs="Tahoma"/>
                <w:i/>
                <w:i/>
                <w:iCs/>
                <w:sz w:val="20"/>
                <w:szCs w:val="20"/>
                <w:highlight w:val="yellow"/>
                <w:lang w:val="es-ES"/>
              </w:rPr>
            </w:pPr>
            <w:r>
              <w:rPr>
                <w:rFonts w:cs="Tahoma" w:ascii="Tahoma" w:hAnsi="Tahoma"/>
                <w:i/>
                <w:iCs/>
                <w:sz w:val="20"/>
                <w:szCs w:val="20"/>
                <w:highlight w:val="yellow"/>
                <w:lang w:val="es-ES"/>
              </w:rPr>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200"/>
              <w:jc w:val="center"/>
              <w:rPr>
                <w:rFonts w:ascii="Tahoma" w:hAnsi="Tahoma" w:cs="Tahoma"/>
                <w:i/>
                <w:i/>
                <w:iCs/>
                <w:sz w:val="20"/>
                <w:szCs w:val="20"/>
                <w:lang w:val="es-ES"/>
              </w:rPr>
            </w:pPr>
            <w:r>
              <w:rPr>
                <w:rFonts w:cs="Tahoma" w:ascii="Tahoma" w:hAnsi="Tahoma"/>
                <w:i/>
                <w:iCs/>
                <w:sz w:val="20"/>
                <w:szCs w:val="20"/>
                <w:lang w:val="es-ES"/>
              </w:rPr>
              <w:t>1</w:t>
            </w:r>
          </w:p>
        </w:tc>
        <w:tc>
          <w:tcPr>
            <w:tcW w:w="17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200"/>
              <w:jc w:val="center"/>
              <w:rPr>
                <w:rFonts w:ascii="Tahoma" w:hAnsi="Tahoma" w:cs="Tahoma"/>
                <w:i/>
                <w:i/>
                <w:iCs/>
                <w:sz w:val="20"/>
                <w:szCs w:val="20"/>
                <w:lang w:val="es-ES"/>
              </w:rPr>
            </w:pPr>
            <w:r>
              <w:rPr>
                <w:rFonts w:cs="Tahoma" w:ascii="Tahoma" w:hAnsi="Tahoma"/>
                <w:i/>
                <w:iCs/>
                <w:sz w:val="20"/>
                <w:szCs w:val="20"/>
                <w:lang w:val="es-ES"/>
              </w:rPr>
              <w:t>Perito Judicial 2 (Trabajadora o Trabajador Social)</w:t>
            </w:r>
          </w:p>
        </w:tc>
        <w:tc>
          <w:tcPr>
            <w:tcW w:w="15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200"/>
              <w:jc w:val="center"/>
              <w:rPr>
                <w:rFonts w:ascii="Tahoma" w:hAnsi="Tahoma" w:cs="Tahoma"/>
                <w:i/>
                <w:i/>
                <w:iCs/>
                <w:sz w:val="20"/>
                <w:szCs w:val="20"/>
                <w:lang w:val="es-ES"/>
              </w:rPr>
            </w:pPr>
            <w:r>
              <w:rPr>
                <w:rFonts w:cs="Tahoma" w:ascii="Tahoma" w:hAnsi="Tahoma"/>
                <w:i/>
                <w:iCs/>
                <w:sz w:val="20"/>
                <w:szCs w:val="20"/>
                <w:lang w:val="es-ES"/>
              </w:rPr>
              <w:t>Extra</w:t>
            </w:r>
            <w:r>
              <w:rPr>
                <w:rFonts w:cs="Tahoma" w:ascii="Tahoma" w:hAnsi="Tahoma"/>
                <w:i/>
                <w:iCs/>
                <w:sz w:val="20"/>
                <w:szCs w:val="20"/>
                <w:highlight w:val="lightGray"/>
                <w:lang w:val="es-ES"/>
              </w:rPr>
              <w:t>o</w:t>
            </w:r>
            <w:r>
              <w:rPr>
                <w:rFonts w:cs="Tahoma" w:ascii="Tahoma" w:hAnsi="Tahoma"/>
                <w:i/>
                <w:iCs/>
                <w:sz w:val="20"/>
                <w:szCs w:val="20"/>
                <w:lang w:val="es-ES"/>
              </w:rPr>
              <w:t>rdinaria</w:t>
            </w:r>
          </w:p>
        </w:tc>
        <w:tc>
          <w:tcPr>
            <w:tcW w:w="11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205" w:leader="none"/>
              </w:tabs>
              <w:spacing w:before="0" w:after="200"/>
              <w:jc w:val="center"/>
              <w:rPr>
                <w:rFonts w:ascii="Tahoma" w:hAnsi="Tahoma" w:cs="Tahoma"/>
                <w:i/>
                <w:i/>
                <w:iCs/>
                <w:sz w:val="20"/>
                <w:szCs w:val="20"/>
                <w:lang w:val="es-ES"/>
              </w:rPr>
            </w:pPr>
            <w:r>
              <w:rPr>
                <w:rFonts w:cs="Tahoma" w:ascii="Tahoma" w:hAnsi="Tahoma"/>
                <w:i/>
                <w:iCs/>
                <w:sz w:val="20"/>
                <w:szCs w:val="20"/>
                <w:lang w:val="es-ES"/>
              </w:rPr>
              <w:t>2</w:t>
            </w:r>
          </w:p>
        </w:tc>
      </w:tr>
      <w:tr>
        <w:trPr>
          <w:trHeight w:val="1182" w:hRule="atLeast"/>
        </w:trPr>
        <w:tc>
          <w:tcPr>
            <w:tcW w:w="15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Tahoma" w:hAnsi="Tahoma" w:cs="Tahoma"/>
                <w:i/>
                <w:i/>
                <w:iCs/>
                <w:sz w:val="20"/>
                <w:szCs w:val="20"/>
                <w:lang w:val="es-ES"/>
              </w:rPr>
            </w:pPr>
            <w:r>
              <w:rPr>
                <w:rFonts w:cs="Tahoma" w:ascii="Tahoma" w:hAnsi="Tahoma"/>
                <w:i/>
                <w:iCs/>
                <w:sz w:val="20"/>
                <w:szCs w:val="20"/>
                <w:lang w:val="es-ES"/>
              </w:rPr>
            </w:r>
          </w:p>
          <w:p>
            <w:pPr>
              <w:pStyle w:val="Normal"/>
              <w:widowControl w:val="false"/>
              <w:snapToGrid w:val="false"/>
              <w:jc w:val="center"/>
              <w:rPr>
                <w:rFonts w:ascii="Tahoma" w:hAnsi="Tahoma" w:cs="Tahoma"/>
                <w:i/>
                <w:i/>
                <w:iCs/>
                <w:sz w:val="20"/>
                <w:szCs w:val="20"/>
                <w:lang w:val="es-ES"/>
              </w:rPr>
            </w:pPr>
            <w:r>
              <w:rPr>
                <w:rFonts w:cs="Tahoma" w:ascii="Tahoma" w:hAnsi="Tahoma"/>
                <w:i/>
                <w:iCs/>
                <w:sz w:val="20"/>
                <w:szCs w:val="20"/>
                <w:lang w:val="es-ES"/>
              </w:rPr>
              <w:t>Oficina de Trabajo Social y Psicología de Limón</w:t>
            </w:r>
          </w:p>
          <w:p>
            <w:pPr>
              <w:pStyle w:val="Normal"/>
              <w:widowControl w:val="false"/>
              <w:snapToGrid w:val="false"/>
              <w:spacing w:before="0" w:after="200"/>
              <w:jc w:val="center"/>
              <w:rPr>
                <w:rFonts w:ascii="Tahoma" w:hAnsi="Tahoma" w:cs="Tahoma"/>
                <w:i/>
                <w:i/>
                <w:iCs/>
                <w:sz w:val="20"/>
                <w:szCs w:val="20"/>
                <w:highlight w:val="yellow"/>
                <w:lang w:val="es-ES"/>
              </w:rPr>
            </w:pPr>
            <w:r>
              <w:rPr>
                <w:rFonts w:cs="Tahoma" w:ascii="Tahoma" w:hAnsi="Tahoma"/>
                <w:i/>
                <w:iCs/>
                <w:sz w:val="20"/>
                <w:szCs w:val="20"/>
                <w:highlight w:val="yellow"/>
                <w:lang w:val="es-ES"/>
              </w:rPr>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200"/>
              <w:jc w:val="center"/>
              <w:rPr>
                <w:rFonts w:ascii="Tahoma" w:hAnsi="Tahoma" w:cs="Tahoma"/>
                <w:i/>
                <w:i/>
                <w:iCs/>
                <w:sz w:val="20"/>
                <w:szCs w:val="20"/>
                <w:lang w:val="es-ES"/>
              </w:rPr>
            </w:pPr>
            <w:r>
              <w:rPr>
                <w:rFonts w:cs="Tahoma" w:ascii="Tahoma" w:hAnsi="Tahoma"/>
                <w:i/>
                <w:iCs/>
                <w:sz w:val="20"/>
                <w:szCs w:val="20"/>
                <w:lang w:val="es-ES"/>
              </w:rPr>
              <w:t>2</w:t>
            </w:r>
          </w:p>
        </w:tc>
        <w:tc>
          <w:tcPr>
            <w:tcW w:w="17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200"/>
              <w:jc w:val="center"/>
              <w:rPr>
                <w:rFonts w:ascii="Tahoma" w:hAnsi="Tahoma" w:cs="Tahoma"/>
                <w:i/>
                <w:i/>
                <w:iCs/>
                <w:sz w:val="20"/>
                <w:szCs w:val="20"/>
                <w:lang w:val="es-ES"/>
              </w:rPr>
            </w:pPr>
            <w:r>
              <w:rPr>
                <w:rFonts w:cs="Tahoma" w:ascii="Tahoma" w:hAnsi="Tahoma"/>
                <w:i/>
                <w:iCs/>
                <w:sz w:val="20"/>
                <w:szCs w:val="20"/>
                <w:lang w:val="es-ES"/>
              </w:rPr>
              <w:t>2 Perito Judicial 2 (Trabajadora o Trabajador Social y Psicóloga o Psicólogo)</w:t>
            </w:r>
          </w:p>
        </w:tc>
        <w:tc>
          <w:tcPr>
            <w:tcW w:w="15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200"/>
              <w:jc w:val="center"/>
              <w:rPr>
                <w:rFonts w:ascii="Tahoma" w:hAnsi="Tahoma" w:cs="Tahoma"/>
                <w:i/>
                <w:i/>
                <w:iCs/>
                <w:sz w:val="20"/>
                <w:szCs w:val="20"/>
                <w:lang w:val="es-ES"/>
              </w:rPr>
            </w:pPr>
            <w:r>
              <w:rPr>
                <w:rFonts w:cs="Tahoma" w:ascii="Tahoma" w:hAnsi="Tahoma"/>
                <w:i/>
                <w:iCs/>
                <w:sz w:val="20"/>
                <w:szCs w:val="20"/>
                <w:lang w:val="es-ES"/>
              </w:rPr>
              <w:t>Extra</w:t>
            </w:r>
            <w:r>
              <w:rPr>
                <w:rFonts w:cs="Tahoma" w:ascii="Tahoma" w:hAnsi="Tahoma"/>
                <w:i/>
                <w:iCs/>
                <w:sz w:val="20"/>
                <w:szCs w:val="20"/>
                <w:highlight w:val="lightGray"/>
                <w:lang w:val="es-ES"/>
              </w:rPr>
              <w:t>o</w:t>
            </w:r>
            <w:r>
              <w:rPr>
                <w:rFonts w:cs="Tahoma" w:ascii="Tahoma" w:hAnsi="Tahoma"/>
                <w:i/>
                <w:iCs/>
                <w:sz w:val="20"/>
                <w:szCs w:val="20"/>
                <w:lang w:val="es-ES"/>
              </w:rPr>
              <w:t>rdinaria</w:t>
            </w:r>
          </w:p>
        </w:tc>
        <w:tc>
          <w:tcPr>
            <w:tcW w:w="11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205" w:leader="none"/>
              </w:tabs>
              <w:spacing w:before="0" w:after="200"/>
              <w:jc w:val="center"/>
              <w:rPr>
                <w:rFonts w:ascii="Tahoma" w:hAnsi="Tahoma" w:cs="Tahoma"/>
                <w:i/>
                <w:i/>
                <w:iCs/>
                <w:sz w:val="20"/>
                <w:szCs w:val="20"/>
                <w:lang w:val="es-ES"/>
              </w:rPr>
            </w:pPr>
            <w:r>
              <w:rPr>
                <w:rFonts w:cs="Tahoma" w:ascii="Tahoma" w:hAnsi="Tahoma"/>
                <w:i/>
                <w:iCs/>
                <w:sz w:val="20"/>
                <w:szCs w:val="20"/>
                <w:lang w:val="es-ES"/>
              </w:rPr>
              <w:t>2</w:t>
            </w:r>
          </w:p>
        </w:tc>
      </w:tr>
    </w:tbl>
    <w:p>
      <w:pPr>
        <w:pStyle w:val="Normal"/>
        <w:widowControl w:val="false"/>
        <w:ind w:right="1701" w:hanging="0"/>
        <w:jc w:val="both"/>
        <w:rPr>
          <w:rFonts w:ascii="Tahoma" w:hAnsi="Tahoma" w:cs="Tahoma"/>
          <w:b/>
          <w:b/>
          <w:bCs/>
          <w:i/>
          <w:i/>
          <w:iCs/>
          <w:sz w:val="20"/>
          <w:szCs w:val="20"/>
          <w:lang w:val="es-MX"/>
        </w:rPr>
      </w:pPr>
      <w:r>
        <w:rPr>
          <w:rFonts w:cs="Tahoma" w:ascii="Tahoma" w:hAnsi="Tahoma"/>
          <w:b/>
          <w:bCs/>
          <w:i/>
          <w:iCs/>
          <w:sz w:val="20"/>
          <w:szCs w:val="20"/>
          <w:lang w:val="es-MX"/>
        </w:rPr>
      </w:r>
    </w:p>
    <w:p>
      <w:pPr>
        <w:pStyle w:val="Normal"/>
        <w:widowControl w:val="false"/>
        <w:ind w:right="1701" w:hanging="0"/>
        <w:jc w:val="both"/>
        <w:rPr>
          <w:rFonts w:ascii="Tahoma" w:hAnsi="Tahoma" w:cs="Tahoma"/>
          <w:sz w:val="20"/>
          <w:szCs w:val="20"/>
        </w:rPr>
      </w:pPr>
      <w:r>
        <w:rPr>
          <w:rFonts w:cs="Tahoma" w:ascii="Tahoma" w:hAnsi="Tahoma"/>
          <w:b/>
          <w:bCs/>
          <w:i/>
          <w:iCs/>
          <w:sz w:val="20"/>
          <w:szCs w:val="20"/>
          <w:lang w:val="es-MX"/>
        </w:rPr>
        <w:t>3.)</w:t>
      </w:r>
      <w:r>
        <w:rPr>
          <w:rFonts w:cs="Tahoma" w:ascii="Tahoma" w:hAnsi="Tahoma"/>
          <w:i/>
          <w:iCs/>
          <w:sz w:val="20"/>
          <w:szCs w:val="20"/>
          <w:lang w:val="es-MX"/>
        </w:rPr>
        <w:t xml:space="preserve"> Las plazas aprobadas estarán destinadas principalmente para atender las zonas de Bribrí y Buenos Aires, </w:t>
      </w:r>
      <w:r>
        <w:rPr>
          <w:rFonts w:cs="Tahoma" w:ascii="Tahoma" w:hAnsi="Tahoma"/>
          <w:b/>
          <w:bCs/>
          <w:i/>
          <w:iCs/>
          <w:sz w:val="20"/>
          <w:szCs w:val="20"/>
          <w:lang w:val="es-MX"/>
        </w:rPr>
        <w:t>ubicadas temporalmente</w:t>
      </w:r>
      <w:r>
        <w:rPr>
          <w:rFonts w:cs="Tahoma" w:ascii="Tahoma" w:hAnsi="Tahoma"/>
          <w:i/>
          <w:iCs/>
          <w:sz w:val="20"/>
          <w:szCs w:val="20"/>
          <w:lang w:val="es-MX"/>
        </w:rPr>
        <w:t xml:space="preserve"> en Limón y Pérez Zeledón. </w:t>
      </w:r>
      <w:r>
        <w:rPr>
          <w:rFonts w:cs="Tahoma" w:ascii="Tahoma" w:hAnsi="Tahoma"/>
          <w:b/>
          <w:bCs/>
          <w:i/>
          <w:iCs/>
          <w:sz w:val="20"/>
          <w:szCs w:val="20"/>
          <w:lang w:val="es-MX"/>
        </w:rPr>
        <w:t>4.)</w:t>
      </w:r>
      <w:r>
        <w:rPr>
          <w:rFonts w:cs="Tahoma" w:ascii="Tahoma" w:hAnsi="Tahoma"/>
          <w:i/>
          <w:iCs/>
          <w:sz w:val="20"/>
          <w:szCs w:val="20"/>
          <w:lang w:val="es-MX"/>
        </w:rPr>
        <w:t xml:space="preserve"> El Departamento de Personal deberá tomar nota para que cuando se saquen a concurso estas plazas indicar que son para cubrir esas zonas.” (La negrita no pertenece al original). </w:t>
      </w:r>
      <w:r>
        <w:rPr>
          <w:rFonts w:cs="Tahoma" w:ascii="Tahoma" w:hAnsi="Tahoma"/>
          <w:i/>
          <w:iCs/>
          <w:sz w:val="20"/>
          <w:szCs w:val="20"/>
        </w:rPr>
        <w:t>El citado acuerdo fue comunicado a los involucrados mediante el oficio N°186-CSP-14 del 26 de abril de 2014, el cual adjunta el informe citado. (Ver anexo 2).”</w:t>
      </w:r>
      <w:r>
        <w:rPr>
          <w:rFonts w:cs="Tahoma" w:ascii="Tahoma" w:hAnsi="Tahoma"/>
          <w:sz w:val="20"/>
          <w:szCs w:val="20"/>
        </w:rPr>
        <w:t>; y se agrega, la Dirección de Planificación ya emitió criterio en su oportunidad y no tiene injerencia en su ejecución, por lo que se sugiere coordinar con otras dependencias competentes para la ejecución de este tema.</w:t>
      </w:r>
    </w:p>
    <w:p>
      <w:pPr>
        <w:pStyle w:val="Normal"/>
        <w:widowControl w:val="false"/>
        <w:jc w:val="both"/>
        <w:rPr>
          <w:rFonts w:ascii="Tahoma" w:hAnsi="Tahoma" w:cs="Tahoma"/>
          <w:bCs/>
          <w:sz w:val="20"/>
          <w:szCs w:val="20"/>
          <w:lang w:val="es-MX"/>
        </w:rPr>
      </w:pPr>
      <w:r>
        <w:rPr>
          <w:rFonts w:cs="Tahoma" w:ascii="Tahoma" w:hAnsi="Tahoma"/>
          <w:b/>
          <w:bCs/>
          <w:sz w:val="20"/>
          <w:szCs w:val="20"/>
          <w:lang w:val="pt-BR"/>
        </w:rPr>
        <w:t xml:space="preserve">2° </w:t>
      </w:r>
      <w:r>
        <w:rPr>
          <w:rFonts w:cs="Tahoma" w:ascii="Tahoma" w:hAnsi="Tahoma"/>
          <w:sz w:val="20"/>
          <w:szCs w:val="20"/>
          <w:lang w:val="pt-BR"/>
        </w:rPr>
        <w:t xml:space="preserve">Se toma nota del </w:t>
      </w:r>
      <w:r>
        <w:rPr>
          <w:rFonts w:cs="Tahoma" w:ascii="Tahoma" w:hAnsi="Tahoma"/>
          <w:sz w:val="20"/>
          <w:szCs w:val="20"/>
          <w:lang w:val="es-ES"/>
        </w:rPr>
        <w:t>Oficio</w:t>
      </w:r>
      <w:r>
        <w:rPr>
          <w:rFonts w:cs="Tahoma" w:ascii="Tahoma" w:hAnsi="Tahoma"/>
          <w:sz w:val="20"/>
          <w:szCs w:val="20"/>
        </w:rPr>
        <w:t xml:space="preserve"> </w:t>
      </w:r>
      <w:r>
        <w:rPr>
          <w:rFonts w:cs="Tahoma" w:ascii="Tahoma" w:hAnsi="Tahoma"/>
          <w:sz w:val="20"/>
          <w:szCs w:val="20"/>
          <w:lang w:val="es-ES"/>
        </w:rPr>
        <w:t xml:space="preserve">DTSP-015-2020, de 12 de febrero de 2020 en el el Departamento de Trabajo Social y Psicología informa, que la </w:t>
      </w:r>
      <w:r>
        <w:rPr>
          <w:rFonts w:cs="Tahoma" w:ascii="Tahoma" w:hAnsi="Tahoma"/>
          <w:sz w:val="20"/>
          <w:szCs w:val="20"/>
        </w:rPr>
        <w:t xml:space="preserve">plaza de Trabajo Social que se creó en el año 2015 para Buenos Aires es un recurso diferente al que se creó en ese mismo año para Bribrí, de manera que la primera desde su creación ha estado destacada en Buenos Aires hasta la fecha y con prioridad para la atención a la población indígena, debido a que </w:t>
      </w:r>
      <w:r>
        <w:rPr>
          <w:rFonts w:cs="Tahoma" w:ascii="Tahoma" w:hAnsi="Tahoma"/>
          <w:sz w:val="20"/>
          <w:szCs w:val="20"/>
          <w:lang w:val="es-MX"/>
        </w:rPr>
        <w:t xml:space="preserve">la Fiscalía cedió un espacio en Buenos Aires para la ubicación de la profesional y se ha mantenido a la fecha ahí destacada. En el 2016 la plaza pasó a ser ordinaria y fue nombrada en propiedad en ese mismo año, por lo que es un recurso que se mantendrá en la zona. Además, que </w:t>
      </w:r>
      <w:r>
        <w:rPr>
          <w:rFonts w:cs="Tahoma" w:ascii="Tahoma" w:hAnsi="Tahoma"/>
          <w:bCs/>
          <w:sz w:val="20"/>
          <w:szCs w:val="20"/>
          <w:lang w:val="es-MX"/>
        </w:rPr>
        <w:t>en cuanto a las plazas de Bribrí, se creó un equipo psicosocial en el 2015 con el fin de dar accesibilidad a la población indígena de la región, y tal como lo indica el acuerdo del Consejo Superior antes mencionado, se destacarían en Limón ante la falta de infraestructura en Bribrí, situación que persiste a la fecha. Sin</w:t>
      </w:r>
      <w:r>
        <w:rPr>
          <w:rFonts w:cs="Tahoma" w:ascii="Tahoma" w:hAnsi="Tahoma"/>
          <w:sz w:val="20"/>
          <w:szCs w:val="20"/>
          <w:lang w:val="es-ES"/>
        </w:rPr>
        <w:t xml:space="preserve"> </w:t>
      </w:r>
      <w:r>
        <w:rPr>
          <w:rFonts w:cs="Tahoma" w:ascii="Tahoma" w:hAnsi="Tahoma"/>
          <w:bCs/>
          <w:sz w:val="20"/>
          <w:szCs w:val="20"/>
          <w:lang w:val="es-MX"/>
        </w:rPr>
        <w:t>embargo, las profesionales de psicología y trabajo social, se han estado desplazando a la zona para atender ahí a la población usuaria, en diferentes espacios a saber: Iglesia católica, Municipalidad, Instituto Nacional de Aprendizaje, Trabajo Social de la Caja Costarricense del Seguro Social, Juzgado Contravencional  y finalmente, en un espacio cedido por el Organismo de Investigación Judicial del lugar y compartido con el médico forense, lugares que si bien no todos reúnen las condiciones idóneas para el buen servicio, permitían a las personas usuarias no tener que desplazarse hasta Limón, pero este año el espacio físico no fue cedido más por el OIJ y al no tener donde valorar en Bribrí, el equipo se está viendo obligado a citar a la población en Limón.</w:t>
      </w:r>
    </w:p>
    <w:p>
      <w:pPr>
        <w:pStyle w:val="Normal"/>
        <w:widowControl w:val="false"/>
        <w:jc w:val="both"/>
        <w:rPr>
          <w:rFonts w:ascii="Tahoma" w:hAnsi="Tahoma" w:cs="Tahoma"/>
          <w:sz w:val="20"/>
          <w:szCs w:val="20"/>
        </w:rPr>
      </w:pPr>
      <w:r>
        <w:rPr>
          <w:rFonts w:cs="Tahoma" w:ascii="Tahoma" w:hAnsi="Tahoma"/>
          <w:bCs/>
          <w:sz w:val="20"/>
          <w:szCs w:val="20"/>
          <w:lang w:val="es-MX"/>
        </w:rPr>
        <w:t xml:space="preserve">3° Solicitar a la Dirección de Gestión Humana informe si las plazas a las que hace alusión el Consejo Superior </w:t>
      </w:r>
      <w:r>
        <w:rPr>
          <w:rFonts w:cs="Tahoma" w:ascii="Tahoma" w:hAnsi="Tahoma"/>
          <w:sz w:val="20"/>
          <w:szCs w:val="20"/>
        </w:rPr>
        <w:t>en la sesión extraordinaria N°35-14 (Presupuesto 2015), del 23 de abril del 2014, artículo LV, ya fueron sacadas a concurso con la indicación expresa de que debían estar radicadas, una en Bribri y otra en Buenos Aires de Puntarenas; y si permanecen ahí en la actualidad, especialmente la destinada a Buenos Aires de Puntarenas para la atención de los pueblos indígenas de esa zona, dentro de los que se incluyen los beneficiarios de las Medidas Cautelares 321-12 de la CIDH contra el Estado.</w:t>
      </w:r>
    </w:p>
    <w:p>
      <w:pPr>
        <w:pStyle w:val="Normal"/>
        <w:widowControl w:val="false"/>
        <w:jc w:val="both"/>
        <w:rPr>
          <w:rFonts w:ascii="Tahoma" w:hAnsi="Tahoma" w:cs="Tahoma"/>
          <w:sz w:val="20"/>
          <w:szCs w:val="20"/>
        </w:rPr>
      </w:pPr>
      <w:r>
        <w:rPr>
          <w:rFonts w:cs="Tahoma" w:ascii="Tahoma" w:hAnsi="Tahoma"/>
          <w:sz w:val="20"/>
          <w:szCs w:val="20"/>
        </w:rPr>
        <w:t>4° Solicitar al Departamento de Trabajo Social y Psicología y al Consejo de Administración del Primer Circuito Judicial de la Zona Atlántica informe sobre las soluciones brindadas a efecto de la plaza creada para que brinde el servicio en Bribrí se encuentre radicada en esa zona para el servicio de la población indígena.</w:t>
      </w:r>
    </w:p>
    <w:p>
      <w:pPr>
        <w:pStyle w:val="Normal"/>
        <w:widowControl w:val="false"/>
        <w:jc w:val="both"/>
        <w:rPr>
          <w:rFonts w:ascii="Tahoma" w:hAnsi="Tahoma" w:cs="Tahoma"/>
          <w:bCs/>
          <w:i/>
          <w:i/>
          <w:iCs/>
          <w:sz w:val="20"/>
          <w:szCs w:val="20"/>
          <w:lang w:val="es-MX"/>
        </w:rPr>
      </w:pPr>
      <w:r>
        <w:rPr>
          <w:rFonts w:cs="Tahoma" w:ascii="Tahoma" w:hAnsi="Tahoma"/>
          <w:sz w:val="20"/>
          <w:szCs w:val="20"/>
        </w:rPr>
        <w:t>5° Se declaran firmes los acuerdos por unanimidad. Comuníquese este acuerdo a la Dirección de Planificación, la Dirección de Gestión Humana, el Departamento de Trabajo Social y Psicología y el Consejo de Administración del Primer Circuito Judicial de la Zona Atlántica, con copia al Consejo de Administración del Primer Circuito Judicial de la Zona Sur.</w:t>
      </w:r>
    </w:p>
    <w:p>
      <w:pPr>
        <w:pStyle w:val="Normal"/>
        <w:spacing w:lineRule="auto" w:line="360"/>
        <w:rPr>
          <w:rFonts w:ascii="Tahoma" w:hAnsi="Tahoma" w:cs="Tahoma"/>
          <w:b/>
          <w:b/>
          <w:sz w:val="20"/>
          <w:szCs w:val="20"/>
          <w:u w:val="single"/>
        </w:rPr>
      </w:pPr>
      <w:r>
        <w:rPr>
          <w:rFonts w:cs="Tahoma" w:ascii="Tahoma" w:hAnsi="Tahoma"/>
          <w:b/>
          <w:sz w:val="20"/>
          <w:szCs w:val="20"/>
          <w:u w:val="single"/>
        </w:rPr>
      </w:r>
    </w:p>
    <w:p>
      <w:pPr>
        <w:pStyle w:val="Normal"/>
        <w:spacing w:lineRule="auto" w:line="360"/>
        <w:jc w:val="center"/>
        <w:rPr>
          <w:rFonts w:ascii="Tahoma" w:hAnsi="Tahoma" w:cs="Tahoma"/>
          <w:b/>
          <w:b/>
          <w:sz w:val="20"/>
          <w:szCs w:val="20"/>
          <w:u w:val="single"/>
        </w:rPr>
      </w:pPr>
      <w:r>
        <w:rPr>
          <w:rFonts w:cs="Tahoma" w:ascii="Tahoma" w:hAnsi="Tahoma"/>
          <w:b/>
          <w:sz w:val="20"/>
          <w:szCs w:val="20"/>
          <w:highlight w:val="yellow"/>
          <w:u w:val="single"/>
        </w:rPr>
        <w:t>ARTÍCULO IV:</w:t>
      </w:r>
    </w:p>
    <w:p>
      <w:pPr>
        <w:pStyle w:val="Normal"/>
        <w:spacing w:lineRule="auto" w:line="360"/>
        <w:jc w:val="both"/>
        <w:rPr>
          <w:rFonts w:ascii="Tahoma" w:hAnsi="Tahoma" w:cs="Tahoma"/>
          <w:b/>
          <w:b/>
          <w:sz w:val="20"/>
          <w:szCs w:val="20"/>
        </w:rPr>
      </w:pPr>
      <w:r>
        <w:rPr>
          <w:rFonts w:cs="Tahoma" w:ascii="Tahoma" w:hAnsi="Tahoma"/>
          <w:b/>
          <w:sz w:val="20"/>
          <w:szCs w:val="20"/>
        </w:rPr>
        <w:t>TEMA: SOLICITUD DEL PUEBLO INDÍGENA MALECU A PRESIDENCIA DE LA CORTE SUPREMA DE JUSTICIA SOBRE “EXPEDIENTES JUDICIALES PARA TRÁMITE RÁPIDO EN CASOS DE TIERRA EN CASACIÓN Y REMATE DE TIERRAS DENTRO DE TERRITORIO INDÍGENA DE FORMA ILEGAL”.</w:t>
      </w:r>
    </w:p>
    <w:p>
      <w:pPr>
        <w:pStyle w:val="Normal"/>
        <w:jc w:val="both"/>
        <w:rPr>
          <w:rFonts w:ascii="Tahoma" w:hAnsi="Tahoma" w:cs="Tahoma"/>
          <w:sz w:val="20"/>
          <w:szCs w:val="20"/>
          <w:lang w:val="es-ES"/>
        </w:rPr>
      </w:pPr>
      <w:r>
        <w:rPr>
          <w:rFonts w:cs="Tahoma" w:ascii="Tahoma" w:hAnsi="Tahoma"/>
          <w:sz w:val="20"/>
          <w:szCs w:val="20"/>
          <w:lang w:val="es-ES"/>
        </w:rPr>
        <w:t>La Unidad de Acceso a la Justicia comunicó mediante el</w:t>
      </w:r>
      <w:r>
        <w:rPr>
          <w:rFonts w:cs="Tahoma" w:ascii="Tahoma" w:hAnsi="Tahoma"/>
          <w:b/>
          <w:sz w:val="20"/>
          <w:szCs w:val="20"/>
          <w:lang w:val="es-ES"/>
        </w:rPr>
        <w:t xml:space="preserve"> Oficio CACC-24-2020</w:t>
      </w:r>
      <w:r>
        <w:rPr>
          <w:rFonts w:cs="Tahoma" w:ascii="Tahoma" w:hAnsi="Tahoma"/>
          <w:sz w:val="20"/>
          <w:szCs w:val="20"/>
          <w:lang w:val="es-ES"/>
        </w:rPr>
        <w:t xml:space="preserve"> a la Asociación de Desarrollo Integral  Indígena de la Reserva Indígena Guatuso de Alajuela, el acuerdo estipulado en el Artículo III del Acta 01-20 el cual se transcribe literalmente: </w:t>
      </w:r>
    </w:p>
    <w:p>
      <w:pPr>
        <w:pStyle w:val="Normal"/>
        <w:jc w:val="both"/>
        <w:rPr>
          <w:rFonts w:ascii="Tahoma" w:hAnsi="Tahoma" w:cs="Tahoma"/>
          <w:sz w:val="20"/>
          <w:szCs w:val="20"/>
          <w:lang w:val="es-ES"/>
        </w:rPr>
      </w:pPr>
      <w:r>
        <w:rPr>
          <w:rFonts w:cs="Tahoma" w:ascii="Tahoma" w:hAnsi="Tahoma"/>
          <w:sz w:val="20"/>
          <w:szCs w:val="20"/>
          <w:lang w:val="es-ES"/>
        </w:rPr>
      </w:r>
    </w:p>
    <w:p>
      <w:pPr>
        <w:pStyle w:val="Normal"/>
        <w:jc w:val="both"/>
        <w:rPr>
          <w:rFonts w:ascii="Tahoma" w:hAnsi="Tahoma" w:cs="Tahoma"/>
          <w:b/>
          <w:b/>
          <w:i/>
          <w:i/>
          <w:sz w:val="20"/>
          <w:szCs w:val="20"/>
          <w:u w:val="single"/>
        </w:rPr>
      </w:pPr>
      <w:r>
        <w:rPr>
          <w:rFonts w:cs="Tahoma" w:ascii="Tahoma" w:hAnsi="Tahoma"/>
          <w:b/>
          <w:i/>
          <w:sz w:val="20"/>
          <w:szCs w:val="20"/>
          <w:u w:val="single"/>
        </w:rPr>
        <w:drawing>
          <wp:anchor behindDoc="0" distT="0" distB="0" distL="0" distR="0" simplePos="0" locked="0" layoutInCell="0" allowOverlap="1" relativeHeight="60">
            <wp:simplePos x="0" y="0"/>
            <wp:positionH relativeFrom="column">
              <wp:posOffset>-504825</wp:posOffset>
            </wp:positionH>
            <wp:positionV relativeFrom="paragraph">
              <wp:posOffset>55880</wp:posOffset>
            </wp:positionV>
            <wp:extent cx="6800850" cy="3248025"/>
            <wp:effectExtent l="0" t="0" r="0" b="0"/>
            <wp:wrapNone/>
            <wp:docPr id="8"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1" descr=""/>
                    <pic:cNvPicPr>
                      <a:picLocks noChangeAspect="1" noChangeArrowheads="1"/>
                    </pic:cNvPicPr>
                  </pic:nvPicPr>
                  <pic:blipFill>
                    <a:blip r:embed="rId10"/>
                    <a:stretch>
                      <a:fillRect/>
                    </a:stretch>
                  </pic:blipFill>
                  <pic:spPr bwMode="auto">
                    <a:xfrm>
                      <a:off x="0" y="0"/>
                      <a:ext cx="6800850" cy="3248025"/>
                    </a:xfrm>
                    <a:prstGeom prst="rect">
                      <a:avLst/>
                    </a:prstGeom>
                  </pic:spPr>
                </pic:pic>
              </a:graphicData>
            </a:graphic>
          </wp:anchor>
        </w:drawing>
      </w:r>
    </w:p>
    <w:p>
      <w:pPr>
        <w:pStyle w:val="Normal"/>
        <w:jc w:val="both"/>
        <w:rPr>
          <w:rFonts w:ascii="Tahoma" w:hAnsi="Tahoma" w:cs="Tahoma"/>
          <w:b/>
          <w:b/>
          <w:i/>
          <w:i/>
          <w:sz w:val="20"/>
          <w:szCs w:val="20"/>
          <w:u w:val="single"/>
        </w:rPr>
      </w:pPr>
      <w:r>
        <w:rPr>
          <w:rFonts w:cs="Tahoma" w:ascii="Tahoma" w:hAnsi="Tahoma"/>
          <w:b/>
          <w:i/>
          <w:sz w:val="20"/>
          <w:szCs w:val="20"/>
          <w:u w:val="single"/>
        </w:rPr>
      </w:r>
    </w:p>
    <w:p>
      <w:pPr>
        <w:pStyle w:val="Normal"/>
        <w:jc w:val="both"/>
        <w:rPr>
          <w:rFonts w:ascii="Tahoma" w:hAnsi="Tahoma" w:cs="Tahoma"/>
          <w:b/>
          <w:b/>
          <w:i/>
          <w:i/>
          <w:sz w:val="20"/>
          <w:szCs w:val="20"/>
          <w:u w:val="single"/>
        </w:rPr>
      </w:pPr>
      <w:r>
        <w:rPr>
          <w:rFonts w:cs="Tahoma" w:ascii="Tahoma" w:hAnsi="Tahoma"/>
          <w:b/>
          <w:i/>
          <w:sz w:val="20"/>
          <w:szCs w:val="20"/>
          <w:u w:val="single"/>
        </w:rPr>
      </w:r>
    </w:p>
    <w:p>
      <w:pPr>
        <w:pStyle w:val="Normal"/>
        <w:jc w:val="both"/>
        <w:rPr>
          <w:rFonts w:ascii="Tahoma" w:hAnsi="Tahoma" w:cs="Tahoma"/>
          <w:b/>
          <w:b/>
          <w:i/>
          <w:i/>
          <w:sz w:val="20"/>
          <w:szCs w:val="20"/>
        </w:rPr>
      </w:pPr>
      <w:r>
        <w:rPr>
          <w:rFonts w:cs="Tahoma" w:ascii="Tahoma" w:hAnsi="Tahoma"/>
          <w:b/>
          <w:i/>
          <w:sz w:val="20"/>
          <w:szCs w:val="20"/>
        </w:rPr>
      </w:r>
    </w:p>
    <w:p>
      <w:pPr>
        <w:pStyle w:val="Normal"/>
        <w:jc w:val="both"/>
        <w:rPr>
          <w:rFonts w:ascii="Tahoma" w:hAnsi="Tahoma" w:cs="Tahoma"/>
          <w:b/>
          <w:b/>
          <w:i/>
          <w:i/>
          <w:sz w:val="20"/>
          <w:szCs w:val="20"/>
        </w:rPr>
      </w:pPr>
      <w:r>
        <w:rPr>
          <w:rFonts w:cs="Tahoma" w:ascii="Tahoma" w:hAnsi="Tahoma"/>
          <w:b/>
          <w:i/>
          <w:sz w:val="20"/>
          <w:szCs w:val="20"/>
        </w:rPr>
      </w:r>
    </w:p>
    <w:p>
      <w:pPr>
        <w:pStyle w:val="Normal"/>
        <w:jc w:val="both"/>
        <w:rPr>
          <w:rFonts w:ascii="Tahoma" w:hAnsi="Tahoma" w:cs="Tahoma"/>
          <w:b/>
          <w:b/>
          <w:i/>
          <w:i/>
          <w:sz w:val="20"/>
          <w:szCs w:val="20"/>
        </w:rPr>
      </w:pPr>
      <w:r>
        <w:rPr>
          <w:rFonts w:cs="Tahoma" w:ascii="Tahoma" w:hAnsi="Tahoma"/>
          <w:b/>
          <w:i/>
          <w:sz w:val="20"/>
          <w:szCs w:val="20"/>
        </w:rPr>
      </w:r>
    </w:p>
    <w:p>
      <w:pPr>
        <w:pStyle w:val="Normal"/>
        <w:jc w:val="both"/>
        <w:rPr>
          <w:rFonts w:ascii="Tahoma" w:hAnsi="Tahoma" w:cs="Tahoma"/>
          <w:b/>
          <w:b/>
          <w:i/>
          <w:i/>
          <w:sz w:val="20"/>
          <w:szCs w:val="20"/>
        </w:rPr>
      </w:pPr>
      <w:r>
        <w:rPr>
          <w:rFonts w:cs="Tahoma" w:ascii="Tahoma" w:hAnsi="Tahoma"/>
          <w:b/>
          <w:i/>
          <w:sz w:val="20"/>
          <w:szCs w:val="20"/>
        </w:rPr>
      </w:r>
    </w:p>
    <w:p>
      <w:pPr>
        <w:pStyle w:val="Normal"/>
        <w:jc w:val="both"/>
        <w:rPr>
          <w:rFonts w:ascii="Tahoma" w:hAnsi="Tahoma" w:cs="Tahoma"/>
          <w:b/>
          <w:b/>
          <w:i/>
          <w:i/>
          <w:sz w:val="20"/>
          <w:szCs w:val="20"/>
        </w:rPr>
      </w:pPr>
      <w:r>
        <w:rPr>
          <w:rFonts w:cs="Tahoma" w:ascii="Tahoma" w:hAnsi="Tahoma"/>
          <w:b/>
          <w:i/>
          <w:sz w:val="20"/>
          <w:szCs w:val="20"/>
        </w:rPr>
      </w:r>
    </w:p>
    <w:p>
      <w:pPr>
        <w:pStyle w:val="Normal"/>
        <w:jc w:val="both"/>
        <w:rPr>
          <w:rFonts w:ascii="Tahoma" w:hAnsi="Tahoma" w:cs="Tahoma"/>
          <w:b/>
          <w:b/>
          <w:i/>
          <w:i/>
          <w:sz w:val="20"/>
          <w:szCs w:val="20"/>
        </w:rPr>
      </w:pPr>
      <w:r>
        <w:rPr>
          <w:rFonts w:cs="Tahoma" w:ascii="Tahoma" w:hAnsi="Tahoma"/>
          <w:b/>
          <w:i/>
          <w:sz w:val="20"/>
          <w:szCs w:val="20"/>
        </w:rPr>
      </w:r>
    </w:p>
    <w:p>
      <w:pPr>
        <w:pStyle w:val="Normal"/>
        <w:jc w:val="both"/>
        <w:rPr>
          <w:rFonts w:ascii="Tahoma" w:hAnsi="Tahoma" w:cs="Tahoma"/>
          <w:b/>
          <w:b/>
          <w:i/>
          <w:i/>
          <w:sz w:val="20"/>
          <w:szCs w:val="20"/>
        </w:rPr>
      </w:pPr>
      <w:r>
        <w:rPr>
          <w:rFonts w:cs="Tahoma" w:ascii="Tahoma" w:hAnsi="Tahoma"/>
          <w:b/>
          <w:i/>
          <w:sz w:val="20"/>
          <w:szCs w:val="20"/>
        </w:rPr>
      </w:r>
    </w:p>
    <w:p>
      <w:pPr>
        <w:pStyle w:val="Normal"/>
        <w:jc w:val="both"/>
        <w:rPr>
          <w:rFonts w:ascii="Tahoma" w:hAnsi="Tahoma" w:cs="Tahoma"/>
          <w:b/>
          <w:b/>
          <w:i/>
          <w:i/>
          <w:sz w:val="20"/>
          <w:szCs w:val="20"/>
        </w:rPr>
      </w:pPr>
      <w:r>
        <w:rPr>
          <w:rFonts w:cs="Tahoma" w:ascii="Tahoma" w:hAnsi="Tahoma"/>
          <w:b/>
          <w:i/>
          <w:sz w:val="20"/>
          <w:szCs w:val="20"/>
        </w:rPr>
      </w:r>
    </w:p>
    <w:p>
      <w:pPr>
        <w:pStyle w:val="Normal"/>
        <w:jc w:val="both"/>
        <w:rPr>
          <w:rFonts w:ascii="Tahoma" w:hAnsi="Tahoma" w:cs="Tahoma"/>
          <w:bCs/>
          <w:i/>
          <w:i/>
          <w:sz w:val="20"/>
          <w:szCs w:val="20"/>
        </w:rPr>
      </w:pPr>
      <w:r>
        <w:rPr>
          <w:rFonts w:cs="Tahoma" w:ascii="Tahoma" w:hAnsi="Tahoma"/>
          <w:b/>
          <w:i/>
          <w:sz w:val="20"/>
          <w:szCs w:val="20"/>
        </w:rPr>
        <w:t>SE ACUERDA</w:t>
      </w:r>
      <w:r>
        <w:rPr>
          <w:rFonts w:cs="Tahoma" w:ascii="Tahoma" w:hAnsi="Tahoma"/>
          <w:bCs/>
          <w:i/>
          <w:sz w:val="20"/>
          <w:szCs w:val="20"/>
        </w:rPr>
        <w:t xml:space="preserve">: </w:t>
      </w:r>
      <w:r>
        <w:rPr>
          <w:rFonts w:cs="Tahoma" w:ascii="Tahoma" w:hAnsi="Tahoma"/>
          <w:b/>
          <w:i/>
          <w:sz w:val="20"/>
          <w:szCs w:val="20"/>
          <w:u w:val="single"/>
        </w:rPr>
        <w:t xml:space="preserve">2°. Solicitar al señor Emigdio Cruz, presidente de la Asociación de Desarrollo Integral de la Reserva Indígena Guatuso (Territorio Malecu) informe sobre los números de expedientes judiciales a los que hace referencia en los puntos 1 y 2 para el seguimiento respectivo; así como los temas de capacitación en los que estimen necesario deban ser capacitados por parte del Poder Judicial, a efecto de atender sus requerimientos conforme a las posibilidades institucionales. </w:t>
      </w:r>
    </w:p>
    <w:p>
      <w:pPr>
        <w:pStyle w:val="Normal"/>
        <w:rPr>
          <w:rFonts w:ascii="Tahoma" w:hAnsi="Tahoma" w:cs="Tahoma"/>
          <w:sz w:val="20"/>
          <w:szCs w:val="20"/>
        </w:rPr>
      </w:pPr>
      <w:r>
        <w:rPr>
          <w:rFonts w:cs="Tahoma" w:ascii="Tahoma" w:hAnsi="Tahoma"/>
          <w:sz w:val="20"/>
          <w:szCs w:val="20"/>
        </w:rPr>
      </w:r>
    </w:p>
    <w:p>
      <w:pPr>
        <w:pStyle w:val="Normal"/>
        <w:rPr>
          <w:rFonts w:ascii="Tahoma" w:hAnsi="Tahoma" w:cs="Tahoma"/>
          <w:sz w:val="20"/>
          <w:szCs w:val="20"/>
        </w:rPr>
      </w:pPr>
      <w:r>
        <w:rPr>
          <w:rFonts w:cs="Tahoma" w:ascii="Tahoma" w:hAnsi="Tahoma"/>
          <w:sz w:val="20"/>
          <w:szCs w:val="20"/>
        </w:rPr>
      </w:r>
    </w:p>
    <w:p>
      <w:pPr>
        <w:pStyle w:val="Normal"/>
        <w:rPr>
          <w:rFonts w:ascii="Tahoma" w:hAnsi="Tahoma" w:cs="Tahoma"/>
          <w:sz w:val="20"/>
          <w:szCs w:val="20"/>
        </w:rPr>
      </w:pPr>
      <w:r>
        <w:rPr>
          <w:rFonts w:cs="Tahoma" w:ascii="Tahoma" w:hAnsi="Tahoma"/>
          <w:sz w:val="20"/>
          <w:szCs w:val="20"/>
        </w:rPr>
        <w:t>El señor Emigdio Cruz, presidente de la Asociación de Desarrollo Integral de la Reserva Indígena comunica vía correo electrónico lo siguiente:</w:t>
      </w:r>
    </w:p>
    <w:p>
      <w:pPr>
        <w:pStyle w:val="Normal"/>
        <w:rPr>
          <w:rFonts w:ascii="Tahoma" w:hAnsi="Tahoma" w:eastAsia="Times New Roman" w:cs="Tahoma"/>
          <w:i/>
          <w:i/>
          <w:iCs/>
          <w:sz w:val="20"/>
          <w:szCs w:val="20"/>
          <w:lang w:val="es-ES"/>
        </w:rPr>
      </w:pPr>
      <w:r>
        <w:rPr>
          <w:rFonts w:eastAsia="Times New Roman" w:cs="Tahoma" w:ascii="Tahoma" w:hAnsi="Tahoma"/>
          <w:b/>
          <w:bCs/>
          <w:i/>
          <w:iCs/>
          <w:sz w:val="20"/>
          <w:szCs w:val="20"/>
          <w:lang w:val="es-ES"/>
        </w:rPr>
        <w:t>De:</w:t>
      </w:r>
      <w:r>
        <w:rPr>
          <w:rFonts w:eastAsia="Times New Roman" w:cs="Tahoma" w:ascii="Tahoma" w:hAnsi="Tahoma"/>
          <w:i/>
          <w:iCs/>
          <w:sz w:val="20"/>
          <w:szCs w:val="20"/>
          <w:lang w:val="es-ES"/>
        </w:rPr>
        <w:t xml:space="preserve"> Asociacion Maleku [mailto:aditerritoriomalecu@gmail.com] </w:t>
        <w:br/>
      </w:r>
      <w:r>
        <w:rPr>
          <w:rFonts w:eastAsia="Times New Roman" w:cs="Tahoma" w:ascii="Tahoma" w:hAnsi="Tahoma"/>
          <w:b/>
          <w:bCs/>
          <w:i/>
          <w:iCs/>
          <w:sz w:val="20"/>
          <w:szCs w:val="20"/>
          <w:lang w:val="es-ES"/>
        </w:rPr>
        <w:t>Enviado el:</w:t>
      </w:r>
      <w:r>
        <w:rPr>
          <w:rFonts w:eastAsia="Times New Roman" w:cs="Tahoma" w:ascii="Tahoma" w:hAnsi="Tahoma"/>
          <w:i/>
          <w:iCs/>
          <w:sz w:val="20"/>
          <w:szCs w:val="20"/>
          <w:lang w:val="es-ES"/>
        </w:rPr>
        <w:t xml:space="preserve"> lunes, 24 de febrero de 2020 01:06 p.m.</w:t>
        <w:br/>
      </w:r>
      <w:r>
        <w:rPr>
          <w:rFonts w:eastAsia="Times New Roman" w:cs="Tahoma" w:ascii="Tahoma" w:hAnsi="Tahoma"/>
          <w:b/>
          <w:bCs/>
          <w:i/>
          <w:iCs/>
          <w:sz w:val="20"/>
          <w:szCs w:val="20"/>
          <w:lang w:val="es-ES"/>
        </w:rPr>
        <w:t>Para:</w:t>
      </w:r>
      <w:r>
        <w:rPr>
          <w:rFonts w:eastAsia="Times New Roman" w:cs="Tahoma" w:ascii="Tahoma" w:hAnsi="Tahoma"/>
          <w:i/>
          <w:iCs/>
          <w:sz w:val="20"/>
          <w:szCs w:val="20"/>
          <w:lang w:val="es-ES"/>
        </w:rPr>
        <w:t xml:space="preserve"> Katherine Salazar Duarte</w:t>
        <w:br/>
      </w:r>
      <w:r>
        <w:rPr>
          <w:rFonts w:eastAsia="Times New Roman" w:cs="Tahoma" w:ascii="Tahoma" w:hAnsi="Tahoma"/>
          <w:b/>
          <w:bCs/>
          <w:i/>
          <w:iCs/>
          <w:sz w:val="20"/>
          <w:szCs w:val="20"/>
          <w:lang w:val="es-ES"/>
        </w:rPr>
        <w:t>Asunto:</w:t>
      </w:r>
      <w:r>
        <w:rPr>
          <w:rFonts w:eastAsia="Times New Roman" w:cs="Tahoma" w:ascii="Tahoma" w:hAnsi="Tahoma"/>
          <w:i/>
          <w:iCs/>
          <w:sz w:val="20"/>
          <w:szCs w:val="20"/>
          <w:lang w:val="es-ES"/>
        </w:rPr>
        <w:t xml:space="preserve"> Re: Oficio CACC-24-2020 Emigdio Cruz Elizondo Acuerdo Subcomisión de Acceso a la Justicia de Pueblos Indígenas 07 de enero</w:t>
      </w:r>
    </w:p>
    <w:p>
      <w:pPr>
        <w:pStyle w:val="Normal"/>
        <w:rPr>
          <w:rFonts w:ascii="Tahoma" w:hAnsi="Tahoma" w:cs="Tahoma"/>
          <w:i/>
          <w:i/>
          <w:iCs/>
          <w:sz w:val="20"/>
          <w:szCs w:val="20"/>
        </w:rPr>
      </w:pPr>
      <w:r>
        <w:rPr>
          <w:rFonts w:cs="Tahoma" w:ascii="Tahoma" w:hAnsi="Tahoma"/>
          <w:i/>
          <w:iCs/>
          <w:sz w:val="20"/>
          <w:szCs w:val="20"/>
        </w:rPr>
        <w:t>Estimada Katherine</w:t>
      </w:r>
    </w:p>
    <w:p>
      <w:pPr>
        <w:pStyle w:val="Normal"/>
        <w:rPr>
          <w:rFonts w:ascii="Tahoma" w:hAnsi="Tahoma" w:cs="Tahoma"/>
          <w:i/>
          <w:i/>
          <w:iCs/>
          <w:sz w:val="20"/>
          <w:szCs w:val="20"/>
        </w:rPr>
      </w:pPr>
      <w:r>
        <w:rPr>
          <w:rFonts w:cs="Tahoma" w:ascii="Tahoma" w:hAnsi="Tahoma"/>
          <w:i/>
          <w:iCs/>
          <w:sz w:val="20"/>
          <w:szCs w:val="20"/>
        </w:rPr>
        <w:t>Adjunto oficio con casos que requerimos información, asi mismo solicitamos una ves analizada los expedientes poder definir alguna fecha para la realización de la reunión en nuestro territorio Malecu</w:t>
      </w:r>
    </w:p>
    <w:p>
      <w:pPr>
        <w:pStyle w:val="Normal"/>
        <w:jc w:val="center"/>
        <w:rPr>
          <w:rFonts w:ascii="Tahoma" w:hAnsi="Tahoma" w:cs="Tahoma"/>
          <w:i/>
          <w:i/>
          <w:iCs/>
          <w:sz w:val="20"/>
          <w:szCs w:val="20"/>
        </w:rPr>
      </w:pPr>
      <w:r>
        <w:fldChar w:fldCharType="begin"/>
      </w:r>
      <w:r>
        <w:rPr>
          <w:sz w:val="20"/>
          <w:szCs w:val="20"/>
          <w:rFonts w:ascii="Tahoma" w:hAnsi="Tahoma"/>
        </w:rPr>
        <w:instrText>LINK AcroExch.Document.DC "C:\\Users\\KSALAZARD\\Desktop\\indígenas\\Expedientes pendientes.pdf" "" \a \p \f 0 \* MERGEFORMAT</w:instrText>
      </w:r>
      <w:r>
        <w:rPr>
          <w:rFonts w:ascii="Tahoma" w:hAnsi="Tahoma"/>
          <w:sz w:val="20"/>
          <w:szCs w:val="20"/>
        </w:rPr>
      </w:r>
      <w:r>
        <w:rPr>
          <w:sz w:val="20"/>
          <w:szCs w:val="20"/>
          <w:rFonts w:ascii="Tahoma" w:hAnsi="Tahoma"/>
        </w:rPr>
        <w:fldChar w:fldCharType="separate"/>
      </w:r>
      <w:r>
        <w:rPr>
          <w:rFonts w:ascii="Tahoma" w:hAnsi="Tahoma"/>
          <w:sz w:val="20"/>
          <w:szCs w:val="20"/>
        </w:rPr>
      </w:r>
      <w:r>
        <w:rPr/>
        <w:drawing>
          <wp:inline distT="0" distB="0" distL="0" distR="0">
            <wp:extent cx="972820" cy="640715"/>
            <wp:effectExtent l="0" t="0" r="0" b="0"/>
            <wp:docPr id="9" name="Objeto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jeto 3" descr=""/>
                    <pic:cNvPicPr>
                      <a:picLocks noChangeAspect="1" noChangeArrowheads="1"/>
                    </pic:cNvPicPr>
                  </pic:nvPicPr>
                  <pic:blipFill>
                    <a:blip r:embed="rId11"/>
                    <a:stretch>
                      <a:fillRect/>
                    </a:stretch>
                  </pic:blipFill>
                  <pic:spPr bwMode="auto">
                    <a:xfrm>
                      <a:off x="0" y="0"/>
                      <a:ext cx="972820" cy="640715"/>
                    </a:xfrm>
                    <a:prstGeom prst="rect">
                      <a:avLst/>
                    </a:prstGeom>
                  </pic:spPr>
                </pic:pic>
              </a:graphicData>
            </a:graphic>
          </wp:inline>
        </w:drawing>
      </w:r>
      <w:r>
        <w:rPr>
          <w:rFonts w:ascii="Tahoma" w:hAnsi="Tahoma"/>
          <w:sz w:val="20"/>
          <w:szCs w:val="20"/>
        </w:rPr>
      </w:r>
      <w:r>
        <w:rPr>
          <w:sz w:val="20"/>
          <w:szCs w:val="20"/>
          <w:rFonts w:ascii="Tahoma" w:hAnsi="Tahoma"/>
        </w:rPr>
        <w:fldChar w:fldCharType="end"/>
      </w:r>
    </w:p>
    <w:p>
      <w:pPr>
        <w:pStyle w:val="Normal"/>
        <w:jc w:val="both"/>
        <w:rPr>
          <w:rFonts w:ascii="Tahoma" w:hAnsi="Tahoma" w:cs="Tahoma"/>
          <w:bCs/>
          <w:sz w:val="20"/>
          <w:szCs w:val="20"/>
        </w:rPr>
      </w:pPr>
      <w:r>
        <w:drawing>
          <wp:anchor behindDoc="1" distT="0" distB="0" distL="0" distR="0" simplePos="0" locked="0" layoutInCell="0" allowOverlap="1" relativeHeight="17">
            <wp:simplePos x="0" y="0"/>
            <wp:positionH relativeFrom="margin">
              <wp:align>left</wp:align>
            </wp:positionH>
            <wp:positionV relativeFrom="paragraph">
              <wp:posOffset>608330</wp:posOffset>
            </wp:positionV>
            <wp:extent cx="5649595" cy="2886075"/>
            <wp:effectExtent l="0" t="0" r="0" b="0"/>
            <wp:wrapNone/>
            <wp:docPr id="10" name="Imagen 10" descr="C:\Users\KSALAZARD\AppData\Local\Microsoft\Windows\Temporary Internet Files\Content.Word\image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C:\Users\KSALAZARD\AppData\Local\Microsoft\Windows\Temporary Internet Files\Content.Word\image001 (1).jpg"/>
                    <pic:cNvPicPr>
                      <a:picLocks noChangeAspect="1" noChangeArrowheads="1"/>
                    </pic:cNvPicPr>
                  </pic:nvPicPr>
                  <pic:blipFill>
                    <a:blip r:embed="rId12"/>
                    <a:stretch>
                      <a:fillRect/>
                    </a:stretch>
                  </pic:blipFill>
                  <pic:spPr bwMode="auto">
                    <a:xfrm>
                      <a:off x="0" y="0"/>
                      <a:ext cx="5649595" cy="2886075"/>
                    </a:xfrm>
                    <a:prstGeom prst="rect">
                      <a:avLst/>
                    </a:prstGeom>
                  </pic:spPr>
                </pic:pic>
              </a:graphicData>
            </a:graphic>
          </wp:anchor>
        </w:drawing>
      </w:r>
      <w:r>
        <w:rPr>
          <w:rFonts w:cs="Tahoma" w:ascii="Tahoma" w:hAnsi="Tahoma"/>
          <w:bCs/>
          <w:sz w:val="20"/>
          <w:szCs w:val="20"/>
        </w:rPr>
        <w:t>E</w:t>
      </w:r>
      <w:r>
        <w:rPr>
          <w:rFonts w:cs="Tahoma" w:ascii="Tahoma" w:hAnsi="Tahoma"/>
          <w:bCs/>
          <w:sz w:val="20"/>
          <w:szCs w:val="20"/>
        </w:rPr>
        <w:t>l listado se trasladó a la Contraloría de Servicios para que colaboraran con informar el estado de esos expedientes a fin de comunicarlo a los gestionantes, en los casos en que sea legalmente posible suministrar esa información.</w:t>
      </w:r>
    </w:p>
    <w:p>
      <w:pPr>
        <w:pStyle w:val="Normal"/>
        <w:jc w:val="both"/>
        <w:rPr>
          <w:rFonts w:ascii="Tahoma" w:hAnsi="Tahoma" w:cs="Tahoma"/>
          <w:b/>
          <w:b/>
          <w:sz w:val="20"/>
          <w:szCs w:val="20"/>
          <w:u w:val="single"/>
        </w:rPr>
      </w:pPr>
      <w:r>
        <w:rPr>
          <w:rFonts w:cs="Tahoma" w:ascii="Tahoma" w:hAnsi="Tahoma"/>
          <w:b/>
          <w:sz w:val="20"/>
          <w:szCs w:val="20"/>
          <w:u w:val="single"/>
        </w:rPr>
      </w:r>
    </w:p>
    <w:p>
      <w:pPr>
        <w:pStyle w:val="Normal"/>
        <w:jc w:val="both"/>
        <w:rPr>
          <w:rFonts w:ascii="Tahoma" w:hAnsi="Tahoma" w:cs="Tahoma"/>
          <w:b/>
          <w:b/>
          <w:sz w:val="20"/>
          <w:szCs w:val="20"/>
          <w:u w:val="single"/>
        </w:rPr>
      </w:pPr>
      <w:r>
        <w:rPr>
          <w:rFonts w:cs="Tahoma" w:ascii="Tahoma" w:hAnsi="Tahoma"/>
          <w:b/>
          <w:sz w:val="20"/>
          <w:szCs w:val="20"/>
          <w:u w:val="single"/>
        </w:rPr>
      </w:r>
    </w:p>
    <w:p>
      <w:pPr>
        <w:pStyle w:val="Normal"/>
        <w:jc w:val="both"/>
        <w:rPr>
          <w:rFonts w:ascii="Tahoma" w:hAnsi="Tahoma" w:cs="Tahoma"/>
          <w:b/>
          <w:b/>
          <w:sz w:val="20"/>
          <w:szCs w:val="20"/>
          <w:u w:val="single"/>
        </w:rPr>
      </w:pPr>
      <w:r>
        <w:rPr>
          <w:rFonts w:cs="Tahoma" w:ascii="Tahoma" w:hAnsi="Tahoma"/>
          <w:b/>
          <w:sz w:val="20"/>
          <w:szCs w:val="20"/>
          <w:u w:val="single"/>
        </w:rPr>
      </w:r>
    </w:p>
    <w:p>
      <w:pPr>
        <w:pStyle w:val="Normal"/>
        <w:jc w:val="both"/>
        <w:rPr>
          <w:rFonts w:ascii="Tahoma" w:hAnsi="Tahoma" w:cs="Tahoma"/>
          <w:b/>
          <w:b/>
          <w:sz w:val="20"/>
          <w:szCs w:val="20"/>
          <w:u w:val="single"/>
        </w:rPr>
      </w:pPr>
      <w:r>
        <w:rPr>
          <w:rFonts w:cs="Tahoma" w:ascii="Tahoma" w:hAnsi="Tahoma"/>
          <w:b/>
          <w:sz w:val="20"/>
          <w:szCs w:val="20"/>
          <w:u w:val="single"/>
        </w:rPr>
      </w:r>
    </w:p>
    <w:p>
      <w:pPr>
        <w:pStyle w:val="Normal"/>
        <w:jc w:val="both"/>
        <w:rPr>
          <w:rFonts w:ascii="Tahoma" w:hAnsi="Tahoma" w:cs="Tahoma"/>
          <w:b/>
          <w:b/>
          <w:sz w:val="20"/>
          <w:szCs w:val="20"/>
          <w:u w:val="single"/>
        </w:rPr>
      </w:pPr>
      <w:r>
        <w:rPr>
          <w:rFonts w:cs="Tahoma" w:ascii="Tahoma" w:hAnsi="Tahoma"/>
          <w:b/>
          <w:sz w:val="20"/>
          <w:szCs w:val="20"/>
          <w:u w:val="single"/>
        </w:rPr>
      </w:r>
    </w:p>
    <w:p>
      <w:pPr>
        <w:pStyle w:val="Normal"/>
        <w:jc w:val="both"/>
        <w:rPr>
          <w:rFonts w:ascii="Tahoma" w:hAnsi="Tahoma" w:cs="Tahoma"/>
          <w:b/>
          <w:b/>
          <w:sz w:val="20"/>
          <w:szCs w:val="20"/>
          <w:u w:val="single"/>
        </w:rPr>
      </w:pPr>
      <w:r>
        <w:rPr>
          <w:rFonts w:cs="Tahoma" w:ascii="Tahoma" w:hAnsi="Tahoma"/>
          <w:b/>
          <w:sz w:val="20"/>
          <w:szCs w:val="20"/>
          <w:u w:val="single"/>
        </w:rPr>
      </w:r>
    </w:p>
    <w:p>
      <w:pPr>
        <w:pStyle w:val="Normal"/>
        <w:jc w:val="both"/>
        <w:rPr>
          <w:rFonts w:ascii="Tahoma" w:hAnsi="Tahoma" w:cs="Tahoma"/>
          <w:b/>
          <w:b/>
          <w:sz w:val="20"/>
          <w:szCs w:val="20"/>
          <w:u w:val="single"/>
        </w:rPr>
      </w:pPr>
      <w:r>
        <w:rPr>
          <w:rFonts w:cs="Tahoma" w:ascii="Tahoma" w:hAnsi="Tahoma"/>
          <w:b/>
          <w:sz w:val="20"/>
          <w:szCs w:val="20"/>
          <w:u w:val="single"/>
        </w:rPr>
      </w:r>
    </w:p>
    <w:p>
      <w:pPr>
        <w:pStyle w:val="Normal"/>
        <w:jc w:val="both"/>
        <w:rPr>
          <w:rFonts w:ascii="Tahoma" w:hAnsi="Tahoma" w:cs="Tahoma"/>
          <w:b/>
          <w:b/>
          <w:sz w:val="20"/>
          <w:szCs w:val="20"/>
          <w:u w:val="single"/>
        </w:rPr>
      </w:pPr>
      <w:r>
        <w:rPr>
          <w:rFonts w:cs="Tahoma" w:ascii="Tahoma" w:hAnsi="Tahoma"/>
          <w:b/>
          <w:sz w:val="20"/>
          <w:szCs w:val="20"/>
          <w:u w:val="single"/>
        </w:rPr>
      </w:r>
    </w:p>
    <w:p>
      <w:pPr>
        <w:pStyle w:val="Normal"/>
        <w:jc w:val="both"/>
        <w:rPr>
          <w:rFonts w:ascii="Tahoma" w:hAnsi="Tahoma" w:cs="Tahoma"/>
          <w:b/>
          <w:b/>
          <w:sz w:val="20"/>
          <w:szCs w:val="20"/>
          <w:u w:val="single"/>
        </w:rPr>
      </w:pPr>
      <w:r>
        <w:rPr>
          <w:rFonts w:cs="Tahoma" w:ascii="Tahoma" w:hAnsi="Tahoma"/>
          <w:b/>
          <w:sz w:val="20"/>
          <w:szCs w:val="20"/>
          <w:u w:val="single"/>
        </w:rPr>
      </w:r>
    </w:p>
    <w:p>
      <w:pPr>
        <w:pStyle w:val="Normal"/>
        <w:jc w:val="both"/>
        <w:rPr>
          <w:rFonts w:ascii="Tahoma" w:hAnsi="Tahoma" w:cs="Tahoma"/>
          <w:b/>
          <w:b/>
          <w:sz w:val="20"/>
          <w:szCs w:val="20"/>
          <w:u w:val="single"/>
        </w:rPr>
      </w:pPr>
      <w:r>
        <w:rPr>
          <w:rFonts w:cs="Tahoma" w:ascii="Tahoma" w:hAnsi="Tahoma"/>
          <w:b/>
          <w:sz w:val="20"/>
          <w:szCs w:val="20"/>
          <w:u w:val="single"/>
        </w:rPr>
      </w:r>
    </w:p>
    <w:p>
      <w:pPr>
        <w:pStyle w:val="Normal"/>
        <w:jc w:val="both"/>
        <w:rPr>
          <w:rFonts w:ascii="Tahoma" w:hAnsi="Tahoma" w:cs="Tahoma"/>
          <w:bCs/>
          <w:sz w:val="20"/>
          <w:szCs w:val="20"/>
        </w:rPr>
      </w:pPr>
      <w:r>
        <w:rPr>
          <w:rFonts w:cs="Tahoma" w:ascii="Tahoma" w:hAnsi="Tahoma"/>
          <w:b/>
          <w:sz w:val="20"/>
          <w:szCs w:val="20"/>
          <w:u w:val="single"/>
        </w:rPr>
        <w:t>SE ACUERDA</w:t>
      </w:r>
      <w:r>
        <w:rPr>
          <w:rFonts w:cs="Tahoma" w:ascii="Tahoma" w:hAnsi="Tahoma"/>
          <w:bCs/>
          <w:sz w:val="20"/>
          <w:szCs w:val="20"/>
        </w:rPr>
        <w:t>: 1. Se toma nota del informe de la representante de la Defensa Pública de que ellos y CONAMAJ van el 27 de marzo próximo a visitar al pueblo Malecu. 2. Solicitar a las oficinas representadas en esta Subcomisión que cuando realicen visitas a los territorios indígenas, incluyendo el de los Malecu, se procure coordinar con todas las oficinas involucradas para que sea una sola visita y no en forma separada a efecto de que las personas indígenas puedan aprovechar al máximo el tiempo destinado a atender a las personas servidoras judiciales. 3. Solicitar al Consejo Superior instar a las oficinas judiciales que cuando programen visitas a territorios indígenas, en forma previa deben investigar sobre su cosmovisión para no vulnerar sus derechos y respetar sus costumbres desde diferentes áreas, incluyendo su alimentación y forma de preparación, horarios preferentes de atención de parte de la población; además de consultar previamente a la población indígena sus costumbres. 4. Solicitar a la Dirección de Planificación que plantee al Consejo Superior y a Corte Plena oportunamente, en las sesiones extraordinarias de presupuesto la necesidad de que en las Unidades de Capacitación del Ministerio Público, Defensa Pública, OIJ, Escuela Judicial, Dirección de Justicia Restaurativa, y las Comisiones, entre otros, se contemple un rubro bajo las partidas de capacitación, viáticos y transportes, a efecto de contar con recursos para la alimentación en las visitas a territorios indígenas. La alimentación que se brinde en la actividad organizada por las diferentes oficinas del Poder Judicial debe ajustarse a las costumbres de las personas indígenas de los territorios que se visiten, con el objetivo de que se adecúen a la pertinencia cultural. La Subcomisión coordinará con la Dirección de Planificación para la elaboración de un plan de trabajo o de capacitaciones de giras, para cuyo efecto cada una de las Unidades de Capacitación aquí representadas deben enviar a más tardar el lunes próximo la programación de visitas que incluya monto requerido, fechas, cantidad de giras y de personas que se proyecta atender. La Escuela Judicial remitirá la información relativa a la judicatura. 5. Se declara firme este acuerdo por unanimidad para su ejecución.-</w:t>
      </w:r>
    </w:p>
    <w:p>
      <w:pPr>
        <w:pStyle w:val="Normal"/>
        <w:spacing w:lineRule="auto" w:line="360"/>
        <w:jc w:val="center"/>
        <w:rPr>
          <w:rFonts w:ascii="Tahoma" w:hAnsi="Tahoma" w:cs="Tahoma"/>
          <w:b/>
          <w:b/>
          <w:sz w:val="20"/>
          <w:szCs w:val="20"/>
          <w:highlight w:val="yellow"/>
          <w:u w:val="single"/>
        </w:rPr>
      </w:pPr>
      <w:r>
        <w:rPr>
          <w:rFonts w:cs="Tahoma" w:ascii="Tahoma" w:hAnsi="Tahoma"/>
          <w:b/>
          <w:sz w:val="20"/>
          <w:szCs w:val="20"/>
          <w:highlight w:val="yellow"/>
          <w:u w:val="single"/>
        </w:rPr>
      </w:r>
    </w:p>
    <w:p>
      <w:pPr>
        <w:pStyle w:val="Normal"/>
        <w:spacing w:lineRule="auto" w:line="360"/>
        <w:jc w:val="center"/>
        <w:rPr>
          <w:rFonts w:ascii="Tahoma" w:hAnsi="Tahoma" w:cs="Tahoma"/>
          <w:b/>
          <w:b/>
          <w:sz w:val="20"/>
          <w:szCs w:val="20"/>
          <w:u w:val="single"/>
        </w:rPr>
      </w:pPr>
      <w:r>
        <w:rPr>
          <w:rFonts w:cs="Tahoma" w:ascii="Tahoma" w:hAnsi="Tahoma"/>
          <w:b/>
          <w:sz w:val="20"/>
          <w:szCs w:val="20"/>
          <w:highlight w:val="yellow"/>
          <w:u w:val="single"/>
        </w:rPr>
        <w:t>ARTÍCULO V:</w:t>
      </w:r>
    </w:p>
    <w:p>
      <w:pPr>
        <w:pStyle w:val="Normal"/>
        <w:spacing w:lineRule="auto" w:line="360"/>
        <w:jc w:val="both"/>
        <w:rPr>
          <w:rFonts w:ascii="Tahoma" w:hAnsi="Tahoma" w:cs="Tahoma"/>
          <w:b/>
          <w:b/>
          <w:i/>
          <w:i/>
          <w:iCs/>
          <w:sz w:val="20"/>
          <w:szCs w:val="20"/>
          <w:u w:val="single"/>
        </w:rPr>
      </w:pPr>
      <w:r>
        <w:rPr>
          <w:rFonts w:cs="Tahoma" w:ascii="Tahoma" w:hAnsi="Tahoma"/>
          <w:b/>
          <w:sz w:val="20"/>
          <w:szCs w:val="20"/>
          <w:u w:val="single"/>
        </w:rPr>
        <w:t xml:space="preserve">TEMA: GESTION DEL PUEBLO INDÍGENA MELECU A LA PRESIDENCIA DE LA CORTE SUPREMA DE JUSTICIA SOBRE: </w:t>
      </w:r>
      <w:r>
        <w:rPr>
          <w:rFonts w:cs="Tahoma" w:ascii="Tahoma" w:hAnsi="Tahoma"/>
          <w:b/>
          <w:i/>
          <w:iCs/>
          <w:sz w:val="20"/>
          <w:szCs w:val="20"/>
          <w:u w:val="single"/>
        </w:rPr>
        <w:t>“COORDINAR SEGURIDAD COMUNITARIA Y FORMAS DE LUCHAR EN CONTRA DEL INGRESO DE DROGAS EN LA COMUNIDAD MALEKU”</w:t>
      </w:r>
    </w:p>
    <w:p>
      <w:pPr>
        <w:pStyle w:val="Normal"/>
        <w:jc w:val="both"/>
        <w:rPr>
          <w:rFonts w:ascii="Tahoma" w:hAnsi="Tahoma" w:cs="Tahoma"/>
          <w:sz w:val="20"/>
          <w:szCs w:val="20"/>
        </w:rPr>
      </w:pPr>
      <w:r>
        <w:rPr>
          <w:rFonts w:cs="Tahoma" w:ascii="Tahoma" w:hAnsi="Tahoma"/>
          <w:sz w:val="20"/>
          <w:szCs w:val="20"/>
          <w:lang w:val="es-ES"/>
        </w:rPr>
        <w:t>La Unidad de Acceso a la Justicia comunicó mediante el</w:t>
      </w:r>
      <w:r>
        <w:rPr>
          <w:rFonts w:cs="Tahoma" w:ascii="Tahoma" w:hAnsi="Tahoma"/>
          <w:b/>
          <w:sz w:val="20"/>
          <w:szCs w:val="20"/>
          <w:lang w:val="es-ES"/>
        </w:rPr>
        <w:t xml:space="preserve"> Oficio CACC-25-2020</w:t>
      </w:r>
      <w:r>
        <w:rPr>
          <w:rFonts w:cs="Tahoma" w:ascii="Tahoma" w:hAnsi="Tahoma"/>
          <w:sz w:val="20"/>
          <w:szCs w:val="20"/>
          <w:lang w:val="es-ES"/>
        </w:rPr>
        <w:t xml:space="preserve"> al Organismo de Investigación Judicial, el acuerdo estipulado en el Artículo III del Acta 01-20 el cual se transcribe literalmente</w:t>
      </w:r>
    </w:p>
    <w:p>
      <w:pPr>
        <w:pStyle w:val="Normal"/>
        <w:jc w:val="both"/>
        <w:rPr>
          <w:rFonts w:ascii="Tahoma" w:hAnsi="Tahoma" w:cs="Tahoma"/>
          <w:bCs/>
          <w:i/>
          <w:i/>
          <w:sz w:val="20"/>
          <w:szCs w:val="20"/>
        </w:rPr>
      </w:pPr>
      <w:r>
        <w:rPr>
          <w:rFonts w:cs="Tahoma" w:ascii="Tahoma" w:hAnsi="Tahoma"/>
          <w:bCs/>
          <w:i/>
          <w:sz w:val="20"/>
          <w:szCs w:val="20"/>
        </w:rPr>
        <w:t>SE ACUERDA: 6°. Trasladar a la Dirección del Organismo de Investigación Judicial y a la Fiscalía General la solicitud vinculada con “Coordinar seguridad comunitaria y formas de luchar en contra del ingreso de drogas en la comunidad” planteadas por el señor Emigdio Cruz, presidente de la Asociación de Desarrollo Integral de la Reserva Indígena Guatuso (Territorio Malecu) a efecto de brinden su colaboración con la atención de esta solicitud.</w:t>
      </w:r>
    </w:p>
    <w:p>
      <w:pPr>
        <w:pStyle w:val="Cuerpodetexto"/>
        <w:spacing w:lineRule="auto" w:line="360" w:before="160" w:after="0"/>
        <w:ind w:left="141" w:right="135" w:hanging="0"/>
        <w:jc w:val="both"/>
        <w:rPr>
          <w:rFonts w:ascii="Tahoma" w:hAnsi="Tahoma" w:cs="Tahoma"/>
          <w:sz w:val="20"/>
          <w:szCs w:val="20"/>
        </w:rPr>
      </w:pPr>
      <w:r>
        <w:rPr>
          <w:rFonts w:cs="Tahoma" w:ascii="Tahoma" w:hAnsi="Tahoma"/>
          <w:sz w:val="20"/>
          <w:szCs w:val="20"/>
        </w:rPr>
        <w:t xml:space="preserve">La Dirección del Organismo de Investigación Judicial comunico mediante el </w:t>
      </w:r>
      <w:r>
        <w:rPr>
          <w:rFonts w:cs="Tahoma" w:ascii="Tahoma" w:hAnsi="Tahoma"/>
          <w:b/>
          <w:sz w:val="20"/>
          <w:szCs w:val="20"/>
        </w:rPr>
        <w:t xml:space="preserve">Oficio </w:t>
      </w:r>
      <w:r>
        <w:rPr>
          <w:rFonts w:cs="Tahoma" w:ascii="Tahoma" w:hAnsi="Tahoma"/>
          <w:b/>
          <w:color w:val="00000A"/>
          <w:sz w:val="20"/>
          <w:szCs w:val="20"/>
        </w:rPr>
        <w:t>0087-DG-2020 REF. 0082-2020</w:t>
      </w:r>
      <w:r>
        <w:rPr>
          <w:rFonts w:cs="Tahoma" w:ascii="Tahoma" w:hAnsi="Tahoma"/>
          <w:color w:val="00000A"/>
          <w:sz w:val="20"/>
          <w:szCs w:val="20"/>
        </w:rPr>
        <w:t>, lo siguiente:</w:t>
      </w:r>
    </w:p>
    <w:p>
      <w:pPr>
        <w:pStyle w:val="Normal"/>
        <w:rPr>
          <w:rFonts w:ascii="Tahoma" w:hAnsi="Tahoma" w:cs="Tahoma"/>
          <w:sz w:val="20"/>
          <w:szCs w:val="20"/>
          <w:lang w:val="es-ES"/>
        </w:rPr>
      </w:pPr>
      <w:r>
        <w:rPr>
          <w:rFonts w:cs="Tahoma" w:ascii="Tahoma" w:hAnsi="Tahoma"/>
          <w:sz w:val="20"/>
          <w:szCs w:val="20"/>
          <w:lang w:val="es-ES"/>
        </w:rPr>
      </w:r>
    </w:p>
    <w:p>
      <w:pPr>
        <w:pStyle w:val="Cuerpodetexto"/>
        <w:spacing w:lineRule="exact" w:line="285"/>
        <w:ind w:left="5867" w:hanging="0"/>
        <w:rPr>
          <w:rFonts w:ascii="Tahoma" w:hAnsi="Tahoma" w:cs="Tahoma"/>
          <w:i/>
          <w:i/>
          <w:iCs/>
          <w:sz w:val="20"/>
          <w:szCs w:val="20"/>
        </w:rPr>
      </w:pPr>
      <w:r>
        <w:rPr>
          <w:rFonts w:cs="Tahoma" w:ascii="Tahoma" w:hAnsi="Tahoma"/>
          <w:i/>
          <w:iCs/>
          <w:color w:val="000009"/>
          <w:sz w:val="20"/>
          <w:szCs w:val="20"/>
        </w:rPr>
        <w:t>0087-DG-2020/ Ref.</w:t>
      </w:r>
      <w:r>
        <w:rPr>
          <w:rFonts w:cs="Tahoma" w:ascii="Tahoma" w:hAnsi="Tahoma"/>
          <w:i/>
          <w:iCs/>
          <w:color w:val="000009"/>
          <w:spacing w:val="-5"/>
          <w:sz w:val="20"/>
          <w:szCs w:val="20"/>
        </w:rPr>
        <w:t xml:space="preserve"> </w:t>
      </w:r>
      <w:r>
        <w:rPr>
          <w:rFonts w:cs="Tahoma" w:ascii="Tahoma" w:hAnsi="Tahoma"/>
          <w:i/>
          <w:iCs/>
          <w:color w:val="000009"/>
          <w:sz w:val="20"/>
          <w:szCs w:val="20"/>
        </w:rPr>
        <w:t>0082-2020.</w:t>
      </w:r>
    </w:p>
    <w:p>
      <w:pPr>
        <w:pStyle w:val="Cuerpodetexto"/>
        <w:spacing w:before="43" w:after="0"/>
        <w:ind w:left="5757" w:hanging="0"/>
        <w:rPr>
          <w:rFonts w:ascii="Tahoma" w:hAnsi="Tahoma" w:cs="Tahoma"/>
          <w:i/>
          <w:i/>
          <w:iCs/>
          <w:sz w:val="20"/>
          <w:szCs w:val="20"/>
        </w:rPr>
      </w:pPr>
      <w:r>
        <w:rPr>
          <w:rFonts w:cs="Tahoma" w:ascii="Tahoma" w:hAnsi="Tahoma"/>
          <w:i/>
          <w:iCs/>
          <w:color w:val="000009"/>
          <w:sz w:val="20"/>
          <w:szCs w:val="20"/>
        </w:rPr>
        <w:t>San José, 10 de febrero del</w:t>
      </w:r>
      <w:r>
        <w:rPr>
          <w:rFonts w:cs="Tahoma" w:ascii="Tahoma" w:hAnsi="Tahoma"/>
          <w:i/>
          <w:iCs/>
          <w:color w:val="000009"/>
          <w:spacing w:val="-12"/>
          <w:sz w:val="20"/>
          <w:szCs w:val="20"/>
        </w:rPr>
        <w:t xml:space="preserve"> </w:t>
      </w:r>
      <w:r>
        <w:rPr>
          <w:rFonts w:cs="Tahoma" w:ascii="Tahoma" w:hAnsi="Tahoma"/>
          <w:i/>
          <w:iCs/>
          <w:color w:val="000009"/>
          <w:sz w:val="20"/>
          <w:szCs w:val="20"/>
        </w:rPr>
        <w:t>2020.</w:t>
      </w:r>
    </w:p>
    <w:p>
      <w:pPr>
        <w:pStyle w:val="Ttulo11"/>
        <w:spacing w:before="43" w:after="0"/>
        <w:rPr>
          <w:rFonts w:ascii="Tahoma" w:hAnsi="Tahoma" w:cs="Tahoma"/>
          <w:i/>
          <w:i/>
          <w:iCs/>
          <w:sz w:val="20"/>
          <w:szCs w:val="20"/>
        </w:rPr>
      </w:pPr>
      <w:r>
        <w:rPr>
          <w:rFonts w:cs="Tahoma" w:ascii="Tahoma" w:hAnsi="Tahoma"/>
          <w:i/>
          <w:iCs/>
          <w:color w:val="000009"/>
          <w:sz w:val="20"/>
          <w:szCs w:val="20"/>
        </w:rPr>
        <w:t>Máster</w:t>
      </w:r>
    </w:p>
    <w:p>
      <w:pPr>
        <w:pStyle w:val="Normal"/>
        <w:spacing w:before="45" w:after="200"/>
        <w:ind w:left="141" w:right="6396" w:hanging="0"/>
        <w:rPr>
          <w:rFonts w:ascii="Tahoma" w:hAnsi="Tahoma" w:cs="Tahoma"/>
          <w:b/>
          <w:b/>
          <w:i/>
          <w:i/>
          <w:iCs/>
          <w:sz w:val="20"/>
          <w:szCs w:val="20"/>
        </w:rPr>
      </w:pPr>
      <w:r>
        <w:rPr>
          <w:rFonts w:cs="Tahoma" w:ascii="Tahoma" w:hAnsi="Tahoma"/>
          <w:b/>
          <w:i/>
          <w:iCs/>
          <w:color w:val="000009"/>
          <w:sz w:val="20"/>
          <w:szCs w:val="20"/>
        </w:rPr>
        <w:t>Melissa Benavides Víquez Coordinadora</w:t>
      </w:r>
    </w:p>
    <w:p>
      <w:pPr>
        <w:pStyle w:val="Normal"/>
        <w:spacing w:before="1" w:after="200"/>
        <w:ind w:left="141" w:hanging="0"/>
        <w:rPr>
          <w:rFonts w:ascii="Tahoma" w:hAnsi="Tahoma" w:cs="Tahoma"/>
          <w:b/>
          <w:b/>
          <w:i/>
          <w:i/>
          <w:iCs/>
          <w:sz w:val="20"/>
          <w:szCs w:val="20"/>
        </w:rPr>
      </w:pPr>
      <w:r>
        <w:rPr>
          <w:rFonts w:cs="Tahoma" w:ascii="Tahoma" w:hAnsi="Tahoma"/>
          <w:b/>
          <w:i/>
          <w:iCs/>
          <w:color w:val="000009"/>
          <w:sz w:val="20"/>
          <w:szCs w:val="20"/>
        </w:rPr>
        <w:t>Unidad de Acceso a la Justicia</w:t>
      </w:r>
    </w:p>
    <w:p>
      <w:pPr>
        <w:pStyle w:val="Cuerpodetexto"/>
        <w:rPr>
          <w:rFonts w:ascii="Tahoma" w:hAnsi="Tahoma" w:cs="Tahoma"/>
          <w:b/>
          <w:b/>
          <w:i/>
          <w:i/>
          <w:iCs/>
          <w:sz w:val="20"/>
          <w:szCs w:val="20"/>
        </w:rPr>
      </w:pPr>
      <w:r>
        <w:rPr>
          <w:rFonts w:cs="Tahoma" w:ascii="Tahoma" w:hAnsi="Tahoma"/>
          <w:b/>
          <w:i/>
          <w:iCs/>
          <w:sz w:val="20"/>
          <w:szCs w:val="20"/>
        </w:rPr>
      </w:r>
    </w:p>
    <w:p>
      <w:pPr>
        <w:pStyle w:val="Cuerpodetexto"/>
        <w:spacing w:before="8" w:after="0"/>
        <w:rPr>
          <w:rFonts w:ascii="Tahoma" w:hAnsi="Tahoma" w:cs="Tahoma"/>
          <w:b/>
          <w:b/>
          <w:i/>
          <w:i/>
          <w:iCs/>
          <w:sz w:val="20"/>
          <w:szCs w:val="20"/>
        </w:rPr>
      </w:pPr>
      <w:r>
        <w:rPr>
          <w:rFonts w:cs="Tahoma" w:ascii="Tahoma" w:hAnsi="Tahoma"/>
          <w:b/>
          <w:i/>
          <w:iCs/>
          <w:sz w:val="20"/>
          <w:szCs w:val="20"/>
        </w:rPr>
      </w:r>
    </w:p>
    <w:p>
      <w:pPr>
        <w:pStyle w:val="Cuerpodetexto"/>
        <w:ind w:left="141" w:hanging="0"/>
        <w:rPr>
          <w:rFonts w:ascii="Tahoma" w:hAnsi="Tahoma" w:cs="Tahoma"/>
          <w:i/>
          <w:i/>
          <w:iCs/>
          <w:sz w:val="20"/>
          <w:szCs w:val="20"/>
        </w:rPr>
      </w:pPr>
      <w:r>
        <w:rPr>
          <w:rFonts w:cs="Tahoma" w:ascii="Tahoma" w:hAnsi="Tahoma"/>
          <w:i/>
          <w:iCs/>
          <w:color w:val="000009"/>
          <w:sz w:val="20"/>
          <w:szCs w:val="20"/>
        </w:rPr>
        <w:t>Estimada señora:</w:t>
      </w:r>
    </w:p>
    <w:p>
      <w:pPr>
        <w:pStyle w:val="Cuerpodetexto"/>
        <w:spacing w:before="11" w:after="0"/>
        <w:rPr>
          <w:rFonts w:ascii="Tahoma" w:hAnsi="Tahoma" w:cs="Tahoma"/>
          <w:i/>
          <w:i/>
          <w:iCs/>
          <w:sz w:val="20"/>
          <w:szCs w:val="20"/>
        </w:rPr>
      </w:pPr>
      <w:r>
        <w:rPr>
          <w:rFonts w:cs="Tahoma" w:ascii="Tahoma" w:hAnsi="Tahoma"/>
          <w:i/>
          <w:iCs/>
          <w:sz w:val="20"/>
          <w:szCs w:val="20"/>
        </w:rPr>
      </w:r>
    </w:p>
    <w:p>
      <w:pPr>
        <w:pStyle w:val="Cuerpodetexto"/>
        <w:spacing w:lineRule="auto" w:line="360" w:before="52" w:after="0"/>
        <w:ind w:left="141" w:right="135" w:firstLine="707"/>
        <w:jc w:val="both"/>
        <w:rPr>
          <w:rFonts w:ascii="Tahoma" w:hAnsi="Tahoma" w:cs="Tahoma"/>
          <w:i/>
          <w:i/>
          <w:iCs/>
          <w:sz w:val="20"/>
          <w:szCs w:val="20"/>
        </w:rPr>
      </w:pPr>
      <w:r>
        <w:rPr>
          <w:rFonts w:cs="Tahoma" w:ascii="Tahoma" w:hAnsi="Tahoma"/>
          <w:i/>
          <w:iCs/>
          <w:color w:val="000009"/>
          <w:sz w:val="20"/>
          <w:szCs w:val="20"/>
        </w:rPr>
        <w:t>Reciba un cordial saludo de esta Dirección General. En atención al oficio CACC-25- 2020 en el cual pone en conocimiento el acuerdo tomado por la Subcomisión de Acceso a la Justicia de Pueblos Indígenas celebrada el 07 de enero del 2020, me permito indicar:</w:t>
      </w:r>
    </w:p>
    <w:p>
      <w:pPr>
        <w:pStyle w:val="Cuerpodetexto"/>
        <w:spacing w:lineRule="auto" w:line="360" w:before="160" w:after="0"/>
        <w:ind w:left="141" w:right="135" w:firstLine="708"/>
        <w:jc w:val="both"/>
        <w:rPr>
          <w:rFonts w:ascii="Tahoma" w:hAnsi="Tahoma" w:cs="Tahoma"/>
          <w:i/>
          <w:i/>
          <w:iCs/>
          <w:color w:val="000009"/>
          <w:sz w:val="20"/>
          <w:szCs w:val="20"/>
        </w:rPr>
      </w:pPr>
      <w:r>
        <w:rPr>
          <w:rFonts w:cs="Tahoma" w:ascii="Tahoma" w:hAnsi="Tahoma"/>
          <w:i/>
          <w:iCs/>
          <w:color w:val="000009"/>
          <w:sz w:val="20"/>
          <w:szCs w:val="20"/>
        </w:rPr>
      </w:r>
    </w:p>
    <w:p>
      <w:pPr>
        <w:pStyle w:val="Cuerpodetexto"/>
        <w:spacing w:lineRule="auto" w:line="360" w:before="160" w:after="0"/>
        <w:ind w:left="141" w:right="135" w:firstLine="708"/>
        <w:jc w:val="both"/>
        <w:rPr>
          <w:rFonts w:ascii="Tahoma" w:hAnsi="Tahoma" w:cs="Tahoma"/>
          <w:i/>
          <w:i/>
          <w:iCs/>
          <w:sz w:val="20"/>
          <w:szCs w:val="20"/>
        </w:rPr>
      </w:pPr>
      <w:r>
        <w:rPr>
          <w:rFonts w:cs="Tahoma" w:ascii="Tahoma" w:hAnsi="Tahoma"/>
          <w:i/>
          <w:iCs/>
          <w:color w:val="000009"/>
          <w:sz w:val="20"/>
          <w:szCs w:val="20"/>
        </w:rPr>
        <w:t>Analizadas las consideraciones planteadas por parte de la Subcomisión, esta Dirección General giró instrucciones a las Jefaturas de la Delegación Regional de este Organismo en San Carlos, así como la Unidad Regional de La Fortuna para que atiendan las consultas del señor Emigdio Cruz, presidente de la Asociación de Desarrollo Integral de la Reserva</w:t>
      </w:r>
      <w:r>
        <w:rPr>
          <w:rFonts w:cs="Tahoma" w:ascii="Tahoma" w:hAnsi="Tahoma"/>
          <w:i/>
          <w:iCs/>
          <w:color w:val="000009"/>
          <w:spacing w:val="-9"/>
          <w:sz w:val="20"/>
          <w:szCs w:val="20"/>
        </w:rPr>
        <w:t xml:space="preserve"> </w:t>
      </w:r>
      <w:r>
        <w:rPr>
          <w:rFonts w:cs="Tahoma" w:ascii="Tahoma" w:hAnsi="Tahoma"/>
          <w:i/>
          <w:iCs/>
          <w:color w:val="000009"/>
          <w:sz w:val="20"/>
          <w:szCs w:val="20"/>
        </w:rPr>
        <w:t>Indígena</w:t>
      </w:r>
      <w:r>
        <w:rPr>
          <w:rFonts w:cs="Tahoma" w:ascii="Tahoma" w:hAnsi="Tahoma"/>
          <w:i/>
          <w:iCs/>
          <w:color w:val="000009"/>
          <w:spacing w:val="-10"/>
          <w:sz w:val="20"/>
          <w:szCs w:val="20"/>
        </w:rPr>
        <w:t xml:space="preserve"> </w:t>
      </w:r>
      <w:r>
        <w:rPr>
          <w:rFonts w:cs="Tahoma" w:ascii="Tahoma" w:hAnsi="Tahoma"/>
          <w:i/>
          <w:iCs/>
          <w:color w:val="000009"/>
          <w:sz w:val="20"/>
          <w:szCs w:val="20"/>
        </w:rPr>
        <w:t>Guatuso</w:t>
      </w:r>
      <w:r>
        <w:rPr>
          <w:rFonts w:cs="Tahoma" w:ascii="Tahoma" w:hAnsi="Tahoma"/>
          <w:i/>
          <w:iCs/>
          <w:color w:val="000009"/>
          <w:spacing w:val="-9"/>
          <w:sz w:val="20"/>
          <w:szCs w:val="20"/>
        </w:rPr>
        <w:t xml:space="preserve"> </w:t>
      </w:r>
      <w:r>
        <w:rPr>
          <w:rFonts w:cs="Tahoma" w:ascii="Tahoma" w:hAnsi="Tahoma"/>
          <w:i/>
          <w:iCs/>
          <w:color w:val="000009"/>
          <w:sz w:val="20"/>
          <w:szCs w:val="20"/>
        </w:rPr>
        <w:t>y</w:t>
      </w:r>
      <w:r>
        <w:rPr>
          <w:rFonts w:cs="Tahoma" w:ascii="Tahoma" w:hAnsi="Tahoma"/>
          <w:i/>
          <w:iCs/>
          <w:color w:val="000009"/>
          <w:spacing w:val="-9"/>
          <w:sz w:val="20"/>
          <w:szCs w:val="20"/>
        </w:rPr>
        <w:t xml:space="preserve"> </w:t>
      </w:r>
      <w:r>
        <w:rPr>
          <w:rFonts w:cs="Tahoma" w:ascii="Tahoma" w:hAnsi="Tahoma"/>
          <w:i/>
          <w:iCs/>
          <w:color w:val="000009"/>
          <w:sz w:val="20"/>
          <w:szCs w:val="20"/>
        </w:rPr>
        <w:t>así</w:t>
      </w:r>
      <w:r>
        <w:rPr>
          <w:rFonts w:cs="Tahoma" w:ascii="Tahoma" w:hAnsi="Tahoma"/>
          <w:i/>
          <w:iCs/>
          <w:color w:val="000009"/>
          <w:spacing w:val="-12"/>
          <w:sz w:val="20"/>
          <w:szCs w:val="20"/>
        </w:rPr>
        <w:t xml:space="preserve"> </w:t>
      </w:r>
      <w:r>
        <w:rPr>
          <w:rFonts w:cs="Tahoma" w:ascii="Tahoma" w:hAnsi="Tahoma"/>
          <w:i/>
          <w:iCs/>
          <w:color w:val="000009"/>
          <w:sz w:val="20"/>
          <w:szCs w:val="20"/>
        </w:rPr>
        <w:t>obtener</w:t>
      </w:r>
      <w:r>
        <w:rPr>
          <w:rFonts w:cs="Tahoma" w:ascii="Tahoma" w:hAnsi="Tahoma"/>
          <w:i/>
          <w:iCs/>
          <w:color w:val="000009"/>
          <w:spacing w:val="-10"/>
          <w:sz w:val="20"/>
          <w:szCs w:val="20"/>
        </w:rPr>
        <w:t xml:space="preserve"> </w:t>
      </w:r>
      <w:r>
        <w:rPr>
          <w:rFonts w:cs="Tahoma" w:ascii="Tahoma" w:hAnsi="Tahoma"/>
          <w:i/>
          <w:iCs/>
          <w:color w:val="000009"/>
          <w:sz w:val="20"/>
          <w:szCs w:val="20"/>
        </w:rPr>
        <w:t>además</w:t>
      </w:r>
      <w:r>
        <w:rPr>
          <w:rFonts w:cs="Tahoma" w:ascii="Tahoma" w:hAnsi="Tahoma"/>
          <w:i/>
          <w:iCs/>
          <w:color w:val="000009"/>
          <w:spacing w:val="-12"/>
          <w:sz w:val="20"/>
          <w:szCs w:val="20"/>
        </w:rPr>
        <w:t xml:space="preserve"> </w:t>
      </w:r>
      <w:r>
        <w:rPr>
          <w:rFonts w:cs="Tahoma" w:ascii="Tahoma" w:hAnsi="Tahoma"/>
          <w:i/>
          <w:iCs/>
          <w:color w:val="000009"/>
          <w:sz w:val="20"/>
          <w:szCs w:val="20"/>
        </w:rPr>
        <w:t>datos</w:t>
      </w:r>
      <w:r>
        <w:rPr>
          <w:rFonts w:cs="Tahoma" w:ascii="Tahoma" w:hAnsi="Tahoma"/>
          <w:i/>
          <w:iCs/>
          <w:color w:val="000009"/>
          <w:spacing w:val="-11"/>
          <w:sz w:val="20"/>
          <w:szCs w:val="20"/>
        </w:rPr>
        <w:t xml:space="preserve"> </w:t>
      </w:r>
      <w:r>
        <w:rPr>
          <w:rFonts w:cs="Tahoma" w:ascii="Tahoma" w:hAnsi="Tahoma"/>
          <w:i/>
          <w:iCs/>
          <w:color w:val="000009"/>
          <w:sz w:val="20"/>
          <w:szCs w:val="20"/>
        </w:rPr>
        <w:t>del</w:t>
      </w:r>
      <w:r>
        <w:rPr>
          <w:rFonts w:cs="Tahoma" w:ascii="Tahoma" w:hAnsi="Tahoma"/>
          <w:i/>
          <w:iCs/>
          <w:color w:val="000009"/>
          <w:spacing w:val="-12"/>
          <w:sz w:val="20"/>
          <w:szCs w:val="20"/>
        </w:rPr>
        <w:t xml:space="preserve"> </w:t>
      </w:r>
      <w:r>
        <w:rPr>
          <w:rFonts w:cs="Tahoma" w:ascii="Tahoma" w:hAnsi="Tahoma"/>
          <w:i/>
          <w:iCs/>
          <w:color w:val="000009"/>
          <w:sz w:val="20"/>
          <w:szCs w:val="20"/>
        </w:rPr>
        <w:t>ingreso</w:t>
      </w:r>
      <w:r>
        <w:rPr>
          <w:rFonts w:cs="Tahoma" w:ascii="Tahoma" w:hAnsi="Tahoma"/>
          <w:i/>
          <w:iCs/>
          <w:color w:val="000009"/>
          <w:spacing w:val="-10"/>
          <w:sz w:val="20"/>
          <w:szCs w:val="20"/>
        </w:rPr>
        <w:t xml:space="preserve"> </w:t>
      </w:r>
      <w:r>
        <w:rPr>
          <w:rFonts w:cs="Tahoma" w:ascii="Tahoma" w:hAnsi="Tahoma"/>
          <w:i/>
          <w:iCs/>
          <w:color w:val="000009"/>
          <w:sz w:val="20"/>
          <w:szCs w:val="20"/>
        </w:rPr>
        <w:t>de</w:t>
      </w:r>
      <w:r>
        <w:rPr>
          <w:rFonts w:cs="Tahoma" w:ascii="Tahoma" w:hAnsi="Tahoma"/>
          <w:i/>
          <w:iCs/>
          <w:color w:val="000009"/>
          <w:spacing w:val="-10"/>
          <w:sz w:val="20"/>
          <w:szCs w:val="20"/>
        </w:rPr>
        <w:t xml:space="preserve"> </w:t>
      </w:r>
      <w:r>
        <w:rPr>
          <w:rFonts w:cs="Tahoma" w:ascii="Tahoma" w:hAnsi="Tahoma"/>
          <w:i/>
          <w:iCs/>
          <w:color w:val="000009"/>
          <w:sz w:val="20"/>
          <w:szCs w:val="20"/>
        </w:rPr>
        <w:t>drogas</w:t>
      </w:r>
      <w:r>
        <w:rPr>
          <w:rFonts w:cs="Tahoma" w:ascii="Tahoma" w:hAnsi="Tahoma"/>
          <w:i/>
          <w:iCs/>
          <w:color w:val="000009"/>
          <w:spacing w:val="-10"/>
          <w:sz w:val="20"/>
          <w:szCs w:val="20"/>
        </w:rPr>
        <w:t xml:space="preserve"> </w:t>
      </w:r>
      <w:r>
        <w:rPr>
          <w:rFonts w:cs="Tahoma" w:ascii="Tahoma" w:hAnsi="Tahoma"/>
          <w:i/>
          <w:iCs/>
          <w:color w:val="000009"/>
          <w:sz w:val="20"/>
          <w:szCs w:val="20"/>
        </w:rPr>
        <w:t>a</w:t>
      </w:r>
      <w:r>
        <w:rPr>
          <w:rFonts w:cs="Tahoma" w:ascii="Tahoma" w:hAnsi="Tahoma"/>
          <w:i/>
          <w:iCs/>
          <w:color w:val="000009"/>
          <w:spacing w:val="-8"/>
          <w:sz w:val="20"/>
          <w:szCs w:val="20"/>
        </w:rPr>
        <w:t xml:space="preserve"> </w:t>
      </w:r>
      <w:r>
        <w:rPr>
          <w:rFonts w:cs="Tahoma" w:ascii="Tahoma" w:hAnsi="Tahoma"/>
          <w:i/>
          <w:iCs/>
          <w:color w:val="000009"/>
          <w:sz w:val="20"/>
          <w:szCs w:val="20"/>
        </w:rPr>
        <w:t>la</w:t>
      </w:r>
      <w:r>
        <w:rPr>
          <w:rFonts w:cs="Tahoma" w:ascii="Tahoma" w:hAnsi="Tahoma"/>
          <w:i/>
          <w:iCs/>
          <w:color w:val="000009"/>
          <w:spacing w:val="-11"/>
          <w:sz w:val="20"/>
          <w:szCs w:val="20"/>
        </w:rPr>
        <w:t xml:space="preserve"> </w:t>
      </w:r>
      <w:r>
        <w:rPr>
          <w:rFonts w:cs="Tahoma" w:ascii="Tahoma" w:hAnsi="Tahoma"/>
          <w:i/>
          <w:iCs/>
          <w:color w:val="000009"/>
          <w:sz w:val="20"/>
          <w:szCs w:val="20"/>
        </w:rPr>
        <w:t>comunidad a la que hace</w:t>
      </w:r>
      <w:r>
        <w:rPr>
          <w:rFonts w:cs="Tahoma" w:ascii="Tahoma" w:hAnsi="Tahoma"/>
          <w:i/>
          <w:iCs/>
          <w:color w:val="000009"/>
          <w:spacing w:val="-2"/>
          <w:sz w:val="20"/>
          <w:szCs w:val="20"/>
        </w:rPr>
        <w:t xml:space="preserve"> </w:t>
      </w:r>
      <w:r>
        <w:rPr>
          <w:rFonts w:cs="Tahoma" w:ascii="Tahoma" w:hAnsi="Tahoma"/>
          <w:i/>
          <w:iCs/>
          <w:color w:val="000009"/>
          <w:sz w:val="20"/>
          <w:szCs w:val="20"/>
        </w:rPr>
        <w:t>referencia.</w:t>
      </w:r>
    </w:p>
    <w:p>
      <w:pPr>
        <w:pStyle w:val="Cuerpodetexto"/>
        <w:spacing w:lineRule="auto" w:line="360" w:before="159" w:after="0"/>
        <w:ind w:left="141" w:right="135" w:firstLine="708"/>
        <w:jc w:val="both"/>
        <w:rPr>
          <w:rFonts w:ascii="Tahoma" w:hAnsi="Tahoma" w:cs="Tahoma"/>
          <w:i/>
          <w:i/>
          <w:iCs/>
          <w:sz w:val="20"/>
          <w:szCs w:val="20"/>
        </w:rPr>
      </w:pPr>
      <w:r>
        <w:rPr>
          <w:rFonts w:cs="Tahoma" w:ascii="Tahoma" w:hAnsi="Tahoma"/>
          <w:i/>
          <w:iCs/>
          <w:color w:val="000009"/>
          <w:sz w:val="20"/>
          <w:szCs w:val="20"/>
        </w:rPr>
        <w:t>De igual forma es necesario destacar que por mandato legislativo las facultades conferidas a la policía judicial se concentran sobre aspectos represivos, delegando la prevención en el Ministerio de Seguridad Pública.</w:t>
      </w:r>
    </w:p>
    <w:p>
      <w:pPr>
        <w:pStyle w:val="Cuerpodetexto"/>
        <w:spacing w:lineRule="auto" w:line="360" w:before="160" w:after="0"/>
        <w:ind w:left="141" w:right="135" w:firstLine="707"/>
        <w:jc w:val="both"/>
        <w:rPr>
          <w:rFonts w:ascii="Tahoma" w:hAnsi="Tahoma" w:cs="Tahoma"/>
          <w:i/>
          <w:i/>
          <w:iCs/>
          <w:sz w:val="20"/>
          <w:szCs w:val="20"/>
        </w:rPr>
      </w:pPr>
      <w:r>
        <w:rPr>
          <w:rFonts w:cs="Tahoma" w:ascii="Tahoma" w:hAnsi="Tahoma"/>
          <w:i/>
          <w:iCs/>
          <w:color w:val="000009"/>
          <w:sz w:val="20"/>
          <w:szCs w:val="20"/>
        </w:rPr>
        <w:t>Por lo que en apego al principio de legalidad no resulta conveniente que el Organismo de Investigación Judicial se atribuya potestades que por imperio de ley corresponden a otro órgano.</w:t>
      </w:r>
    </w:p>
    <w:p>
      <w:pPr>
        <w:pStyle w:val="Cuerpodetexto"/>
        <w:spacing w:lineRule="auto" w:line="360"/>
        <w:ind w:left="141" w:hanging="0"/>
        <w:rPr>
          <w:rFonts w:ascii="Tahoma" w:hAnsi="Tahoma" w:cs="Tahoma"/>
          <w:i/>
          <w:i/>
          <w:iCs/>
          <w:sz w:val="20"/>
          <w:szCs w:val="20"/>
        </w:rPr>
      </w:pPr>
      <w:r>
        <w:rPr>
          <w:rFonts w:cs="Tahoma" w:ascii="Tahoma" w:hAnsi="Tahoma"/>
          <w:i/>
          <w:iCs/>
          <w:color w:val="000009"/>
          <w:sz w:val="20"/>
          <w:szCs w:val="20"/>
        </w:rPr>
        <w:t>Consecuente con lo anterior, se nos imposibilita brindar la capacitación y asesoramiento planteada por el señor Cruz, siendo además que este Organismo no cuenta con una Unidad de Capacitación propia, por lo que se recomienda dirigir dicha gestión a la Escuela Judicial.</w:t>
      </w:r>
    </w:p>
    <w:p>
      <w:pPr>
        <w:pStyle w:val="Cuerpodetexto"/>
        <w:spacing w:before="152" w:after="0"/>
        <w:ind w:left="849" w:hanging="0"/>
        <w:rPr>
          <w:rFonts w:ascii="Tahoma" w:hAnsi="Tahoma" w:cs="Tahoma"/>
          <w:i/>
          <w:i/>
          <w:iCs/>
          <w:sz w:val="20"/>
          <w:szCs w:val="20"/>
        </w:rPr>
      </w:pPr>
      <w:r>
        <mc:AlternateContent>
          <mc:Choice Requires="wps">
            <w:drawing>
              <wp:anchor behindDoc="1" distT="0" distB="0" distL="0" distR="0" simplePos="0" locked="0" layoutInCell="0" allowOverlap="1" relativeHeight="61" wp14:anchorId="440317AF">
                <wp:simplePos x="0" y="0"/>
                <wp:positionH relativeFrom="page">
                  <wp:posOffset>3629025</wp:posOffset>
                </wp:positionH>
                <wp:positionV relativeFrom="paragraph">
                  <wp:posOffset>-65405</wp:posOffset>
                </wp:positionV>
                <wp:extent cx="612775" cy="608330"/>
                <wp:effectExtent l="0" t="6350" r="6985" b="5080"/>
                <wp:wrapNone/>
                <wp:docPr id="11" name="AutoShape 8"/>
                <a:graphic xmlns:a="http://schemas.openxmlformats.org/drawingml/2006/main">
                  <a:graphicData uri="http://schemas.microsoft.com/office/word/2010/wordprocessingShape">
                    <wps:wsp>
                      <wps:cNvSpPr/>
                      <wps:spPr>
                        <a:xfrm>
                          <a:off x="0" y="0"/>
                          <a:ext cx="612000" cy="607680"/>
                        </a:xfrm>
                        <a:custGeom>
                          <a:avLst/>
                          <a:gdLst/>
                          <a:ahLst/>
                          <a:rect l="l" t="t" r="r" b="b"/>
                          <a:pathLst>
                            <a:path w="964" h="957">
                              <a:moveTo>
                                <a:pt x="174" y="754"/>
                              </a:moveTo>
                              <a:lnTo>
                                <a:pt x="90" y="809"/>
                              </a:lnTo>
                              <a:lnTo>
                                <a:pt x="37" y="862"/>
                              </a:lnTo>
                              <a:lnTo>
                                <a:pt x="8" y="907"/>
                              </a:lnTo>
                              <a:lnTo>
                                <a:pt x="0" y="941"/>
                              </a:lnTo>
                              <a:lnTo>
                                <a:pt x="6" y="953"/>
                              </a:lnTo>
                              <a:lnTo>
                                <a:pt x="12" y="957"/>
                              </a:lnTo>
                              <a:lnTo>
                                <a:pt x="74" y="957"/>
                              </a:lnTo>
                              <a:lnTo>
                                <a:pt x="80" y="955"/>
                              </a:lnTo>
                              <a:lnTo>
                                <a:pt x="19" y="955"/>
                              </a:lnTo>
                              <a:lnTo>
                                <a:pt x="27" y="919"/>
                              </a:lnTo>
                              <a:lnTo>
                                <a:pt x="59" y="868"/>
                              </a:lnTo>
                              <a:lnTo>
                                <a:pt x="109" y="811"/>
                              </a:lnTo>
                              <a:lnTo>
                                <a:pt x="174" y="754"/>
                              </a:lnTo>
                              <a:close/>
                              <a:moveTo>
                                <a:pt x="412" y="0"/>
                              </a:moveTo>
                              <a:lnTo>
                                <a:pt x="393" y="13"/>
                              </a:lnTo>
                              <a:lnTo>
                                <a:pt x="383" y="43"/>
                              </a:lnTo>
                              <a:lnTo>
                                <a:pt x="379" y="76"/>
                              </a:lnTo>
                              <a:lnTo>
                                <a:pt x="379" y="100"/>
                              </a:lnTo>
                              <a:lnTo>
                                <a:pt x="380" y="122"/>
                              </a:lnTo>
                              <a:lnTo>
                                <a:pt x="382" y="145"/>
                              </a:lnTo>
                              <a:lnTo>
                                <a:pt x="385" y="170"/>
                              </a:lnTo>
                              <a:lnTo>
                                <a:pt x="389" y="195"/>
                              </a:lnTo>
                              <a:lnTo>
                                <a:pt x="393" y="221"/>
                              </a:lnTo>
                              <a:lnTo>
                                <a:pt x="399" y="248"/>
                              </a:lnTo>
                              <a:lnTo>
                                <a:pt x="405" y="275"/>
                              </a:lnTo>
                              <a:lnTo>
                                <a:pt x="412" y="301"/>
                              </a:lnTo>
                              <a:lnTo>
                                <a:pt x="406" y="329"/>
                              </a:lnTo>
                              <a:lnTo>
                                <a:pt x="389" y="378"/>
                              </a:lnTo>
                              <a:lnTo>
                                <a:pt x="363" y="444"/>
                              </a:lnTo>
                              <a:lnTo>
                                <a:pt x="329" y="521"/>
                              </a:lnTo>
                              <a:lnTo>
                                <a:pt x="289" y="605"/>
                              </a:lnTo>
                              <a:lnTo>
                                <a:pt x="245" y="691"/>
                              </a:lnTo>
                              <a:lnTo>
                                <a:pt x="198" y="772"/>
                              </a:lnTo>
                              <a:lnTo>
                                <a:pt x="151" y="844"/>
                              </a:lnTo>
                              <a:lnTo>
                                <a:pt x="104" y="902"/>
                              </a:lnTo>
                              <a:lnTo>
                                <a:pt x="59" y="941"/>
                              </a:lnTo>
                              <a:lnTo>
                                <a:pt x="19" y="955"/>
                              </a:lnTo>
                              <a:lnTo>
                                <a:pt x="80" y="955"/>
                              </a:lnTo>
                              <a:lnTo>
                                <a:pt x="83" y="953"/>
                              </a:lnTo>
                              <a:lnTo>
                                <a:pt x="134" y="909"/>
                              </a:lnTo>
                              <a:lnTo>
                                <a:pt x="195" y="831"/>
                              </a:lnTo>
                              <a:lnTo>
                                <a:pt x="268" y="715"/>
                              </a:lnTo>
                              <a:lnTo>
                                <a:pt x="277" y="712"/>
                              </a:lnTo>
                              <a:lnTo>
                                <a:pt x="268" y="712"/>
                              </a:lnTo>
                              <a:lnTo>
                                <a:pt x="326" y="608"/>
                              </a:lnTo>
                              <a:lnTo>
                                <a:pt x="368" y="523"/>
                              </a:lnTo>
                              <a:lnTo>
                                <a:pt x="397" y="455"/>
                              </a:lnTo>
                              <a:lnTo>
                                <a:pt x="417" y="400"/>
                              </a:lnTo>
                              <a:lnTo>
                                <a:pt x="430" y="355"/>
                              </a:lnTo>
                              <a:lnTo>
                                <a:pt x="464" y="355"/>
                              </a:lnTo>
                              <a:lnTo>
                                <a:pt x="443" y="298"/>
                              </a:lnTo>
                              <a:lnTo>
                                <a:pt x="450" y="248"/>
                              </a:lnTo>
                              <a:lnTo>
                                <a:pt x="430" y="248"/>
                              </a:lnTo>
                              <a:lnTo>
                                <a:pt x="419" y="205"/>
                              </a:lnTo>
                              <a:lnTo>
                                <a:pt x="411" y="164"/>
                              </a:lnTo>
                              <a:lnTo>
                                <a:pt x="407" y="125"/>
                              </a:lnTo>
                              <a:lnTo>
                                <a:pt x="405" y="89"/>
                              </a:lnTo>
                              <a:lnTo>
                                <a:pt x="406" y="75"/>
                              </a:lnTo>
                              <a:lnTo>
                                <a:pt x="408" y="50"/>
                              </a:lnTo>
                              <a:lnTo>
                                <a:pt x="414" y="24"/>
                              </a:lnTo>
                              <a:lnTo>
                                <a:pt x="426" y="6"/>
                              </a:lnTo>
                              <a:lnTo>
                                <a:pt x="450" y="6"/>
                              </a:lnTo>
                              <a:lnTo>
                                <a:pt x="437" y="1"/>
                              </a:lnTo>
                              <a:lnTo>
                                <a:pt x="412" y="0"/>
                              </a:lnTo>
                              <a:close/>
                              <a:moveTo>
                                <a:pt x="954" y="710"/>
                              </a:moveTo>
                              <a:lnTo>
                                <a:pt x="926" y="710"/>
                              </a:lnTo>
                              <a:lnTo>
                                <a:pt x="915" y="720"/>
                              </a:lnTo>
                              <a:lnTo>
                                <a:pt x="915" y="747"/>
                              </a:lnTo>
                              <a:lnTo>
                                <a:pt x="926" y="756"/>
                              </a:lnTo>
                              <a:lnTo>
                                <a:pt x="954" y="756"/>
                              </a:lnTo>
                              <a:lnTo>
                                <a:pt x="959" y="752"/>
                              </a:lnTo>
                              <a:lnTo>
                                <a:pt x="929" y="752"/>
                              </a:lnTo>
                              <a:lnTo>
                                <a:pt x="920" y="744"/>
                              </a:lnTo>
                              <a:lnTo>
                                <a:pt x="920" y="723"/>
                              </a:lnTo>
                              <a:lnTo>
                                <a:pt x="929" y="715"/>
                              </a:lnTo>
                              <a:lnTo>
                                <a:pt x="959" y="715"/>
                              </a:lnTo>
                              <a:lnTo>
                                <a:pt x="954" y="710"/>
                              </a:lnTo>
                              <a:close/>
                              <a:moveTo>
                                <a:pt x="959" y="715"/>
                              </a:moveTo>
                              <a:lnTo>
                                <a:pt x="951" y="715"/>
                              </a:lnTo>
                              <a:lnTo>
                                <a:pt x="958" y="723"/>
                              </a:lnTo>
                              <a:lnTo>
                                <a:pt x="958" y="744"/>
                              </a:lnTo>
                              <a:lnTo>
                                <a:pt x="951" y="752"/>
                              </a:lnTo>
                              <a:lnTo>
                                <a:pt x="959" y="752"/>
                              </a:lnTo>
                              <a:lnTo>
                                <a:pt x="963" y="747"/>
                              </a:lnTo>
                              <a:lnTo>
                                <a:pt x="963" y="720"/>
                              </a:lnTo>
                              <a:lnTo>
                                <a:pt x="959" y="715"/>
                              </a:lnTo>
                              <a:close/>
                              <a:moveTo>
                                <a:pt x="946" y="718"/>
                              </a:moveTo>
                              <a:lnTo>
                                <a:pt x="930" y="718"/>
                              </a:lnTo>
                              <a:lnTo>
                                <a:pt x="930" y="747"/>
                              </a:lnTo>
                              <a:lnTo>
                                <a:pt x="935" y="747"/>
                              </a:lnTo>
                              <a:lnTo>
                                <a:pt x="935" y="736"/>
                              </a:lnTo>
                              <a:lnTo>
                                <a:pt x="947" y="736"/>
                              </a:lnTo>
                              <a:lnTo>
                                <a:pt x="947" y="735"/>
                              </a:lnTo>
                              <a:lnTo>
                                <a:pt x="944" y="734"/>
                              </a:lnTo>
                              <a:lnTo>
                                <a:pt x="950" y="732"/>
                              </a:lnTo>
                              <a:lnTo>
                                <a:pt x="935" y="732"/>
                              </a:lnTo>
                              <a:lnTo>
                                <a:pt x="935" y="724"/>
                              </a:lnTo>
                              <a:lnTo>
                                <a:pt x="949" y="724"/>
                              </a:lnTo>
                              <a:lnTo>
                                <a:pt x="949" y="722"/>
                              </a:lnTo>
                              <a:lnTo>
                                <a:pt x="946" y="718"/>
                              </a:lnTo>
                              <a:close/>
                              <a:moveTo>
                                <a:pt x="947" y="736"/>
                              </a:moveTo>
                              <a:lnTo>
                                <a:pt x="941" y="736"/>
                              </a:lnTo>
                              <a:lnTo>
                                <a:pt x="943" y="739"/>
                              </a:lnTo>
                              <a:lnTo>
                                <a:pt x="944" y="742"/>
                              </a:lnTo>
                              <a:lnTo>
                                <a:pt x="945" y="747"/>
                              </a:lnTo>
                              <a:lnTo>
                                <a:pt x="950" y="747"/>
                              </a:lnTo>
                              <a:lnTo>
                                <a:pt x="949" y="742"/>
                              </a:lnTo>
                              <a:lnTo>
                                <a:pt x="949" y="738"/>
                              </a:lnTo>
                              <a:lnTo>
                                <a:pt x="947" y="736"/>
                              </a:lnTo>
                              <a:close/>
                              <a:moveTo>
                                <a:pt x="949" y="724"/>
                              </a:moveTo>
                              <a:lnTo>
                                <a:pt x="942" y="724"/>
                              </a:lnTo>
                              <a:lnTo>
                                <a:pt x="944" y="725"/>
                              </a:lnTo>
                              <a:lnTo>
                                <a:pt x="944" y="731"/>
                              </a:lnTo>
                              <a:lnTo>
                                <a:pt x="941" y="732"/>
                              </a:lnTo>
                              <a:lnTo>
                                <a:pt x="950" y="732"/>
                              </a:lnTo>
                              <a:lnTo>
                                <a:pt x="950" y="728"/>
                              </a:lnTo>
                              <a:lnTo>
                                <a:pt x="949" y="724"/>
                              </a:lnTo>
                              <a:close/>
                              <a:moveTo>
                                <a:pt x="464" y="355"/>
                              </a:moveTo>
                              <a:lnTo>
                                <a:pt x="430" y="355"/>
                              </a:lnTo>
                              <a:lnTo>
                                <a:pt x="483" y="462"/>
                              </a:lnTo>
                              <a:lnTo>
                                <a:pt x="538" y="534"/>
                              </a:lnTo>
                              <a:lnTo>
                                <a:pt x="589" y="580"/>
                              </a:lnTo>
                              <a:lnTo>
                                <a:pt x="631" y="607"/>
                              </a:lnTo>
                              <a:lnTo>
                                <a:pt x="561" y="621"/>
                              </a:lnTo>
                              <a:lnTo>
                                <a:pt x="488" y="638"/>
                              </a:lnTo>
                              <a:lnTo>
                                <a:pt x="414" y="659"/>
                              </a:lnTo>
                              <a:lnTo>
                                <a:pt x="340" y="684"/>
                              </a:lnTo>
                              <a:lnTo>
                                <a:pt x="268" y="712"/>
                              </a:lnTo>
                              <a:lnTo>
                                <a:pt x="277" y="712"/>
                              </a:lnTo>
                              <a:lnTo>
                                <a:pt x="341" y="692"/>
                              </a:lnTo>
                              <a:lnTo>
                                <a:pt x="419" y="672"/>
                              </a:lnTo>
                              <a:lnTo>
                                <a:pt x="502" y="656"/>
                              </a:lnTo>
                              <a:lnTo>
                                <a:pt x="585" y="642"/>
                              </a:lnTo>
                              <a:lnTo>
                                <a:pt x="667" y="632"/>
                              </a:lnTo>
                              <a:lnTo>
                                <a:pt x="741" y="632"/>
                              </a:lnTo>
                              <a:lnTo>
                                <a:pt x="725" y="625"/>
                              </a:lnTo>
                              <a:lnTo>
                                <a:pt x="792" y="622"/>
                              </a:lnTo>
                              <a:lnTo>
                                <a:pt x="943" y="622"/>
                              </a:lnTo>
                              <a:lnTo>
                                <a:pt x="918" y="608"/>
                              </a:lnTo>
                              <a:lnTo>
                                <a:pt x="881" y="600"/>
                              </a:lnTo>
                              <a:lnTo>
                                <a:pt x="682" y="600"/>
                              </a:lnTo>
                              <a:lnTo>
                                <a:pt x="659" y="587"/>
                              </a:lnTo>
                              <a:lnTo>
                                <a:pt x="637" y="573"/>
                              </a:lnTo>
                              <a:lnTo>
                                <a:pt x="615" y="559"/>
                              </a:lnTo>
                              <a:lnTo>
                                <a:pt x="594" y="544"/>
                              </a:lnTo>
                              <a:lnTo>
                                <a:pt x="545" y="494"/>
                              </a:lnTo>
                              <a:lnTo>
                                <a:pt x="503" y="435"/>
                              </a:lnTo>
                              <a:lnTo>
                                <a:pt x="469" y="368"/>
                              </a:lnTo>
                              <a:lnTo>
                                <a:pt x="464" y="355"/>
                              </a:lnTo>
                              <a:close/>
                              <a:moveTo>
                                <a:pt x="741" y="632"/>
                              </a:moveTo>
                              <a:lnTo>
                                <a:pt x="667" y="632"/>
                              </a:lnTo>
                              <a:lnTo>
                                <a:pt x="732" y="661"/>
                              </a:lnTo>
                              <a:lnTo>
                                <a:pt x="795" y="683"/>
                              </a:lnTo>
                              <a:lnTo>
                                <a:pt x="854" y="697"/>
                              </a:lnTo>
                              <a:lnTo>
                                <a:pt x="903" y="701"/>
                              </a:lnTo>
                              <a:lnTo>
                                <a:pt x="923" y="700"/>
                              </a:lnTo>
                              <a:lnTo>
                                <a:pt x="938" y="696"/>
                              </a:lnTo>
                              <a:lnTo>
                                <a:pt x="948" y="689"/>
                              </a:lnTo>
                              <a:lnTo>
                                <a:pt x="950" y="686"/>
                              </a:lnTo>
                              <a:lnTo>
                                <a:pt x="923" y="686"/>
                              </a:lnTo>
                              <a:lnTo>
                                <a:pt x="884" y="681"/>
                              </a:lnTo>
                              <a:lnTo>
                                <a:pt x="836" y="669"/>
                              </a:lnTo>
                              <a:lnTo>
                                <a:pt x="782" y="650"/>
                              </a:lnTo>
                              <a:lnTo>
                                <a:pt x="741" y="632"/>
                              </a:lnTo>
                              <a:close/>
                              <a:moveTo>
                                <a:pt x="954" y="679"/>
                              </a:moveTo>
                              <a:lnTo>
                                <a:pt x="947" y="682"/>
                              </a:lnTo>
                              <a:lnTo>
                                <a:pt x="936" y="686"/>
                              </a:lnTo>
                              <a:lnTo>
                                <a:pt x="950" y="686"/>
                              </a:lnTo>
                              <a:lnTo>
                                <a:pt x="954" y="679"/>
                              </a:lnTo>
                              <a:close/>
                              <a:moveTo>
                                <a:pt x="943" y="622"/>
                              </a:moveTo>
                              <a:lnTo>
                                <a:pt x="792" y="622"/>
                              </a:lnTo>
                              <a:lnTo>
                                <a:pt x="869" y="624"/>
                              </a:lnTo>
                              <a:lnTo>
                                <a:pt x="932" y="638"/>
                              </a:lnTo>
                              <a:lnTo>
                                <a:pt x="958" y="668"/>
                              </a:lnTo>
                              <a:lnTo>
                                <a:pt x="961" y="661"/>
                              </a:lnTo>
                              <a:lnTo>
                                <a:pt x="963" y="658"/>
                              </a:lnTo>
                              <a:lnTo>
                                <a:pt x="963" y="651"/>
                              </a:lnTo>
                              <a:lnTo>
                                <a:pt x="952" y="626"/>
                              </a:lnTo>
                              <a:lnTo>
                                <a:pt x="943" y="622"/>
                              </a:lnTo>
                              <a:close/>
                              <a:moveTo>
                                <a:pt x="800" y="594"/>
                              </a:moveTo>
                              <a:lnTo>
                                <a:pt x="773" y="594"/>
                              </a:lnTo>
                              <a:lnTo>
                                <a:pt x="745" y="596"/>
                              </a:lnTo>
                              <a:lnTo>
                                <a:pt x="682" y="600"/>
                              </a:lnTo>
                              <a:lnTo>
                                <a:pt x="881" y="600"/>
                              </a:lnTo>
                              <a:lnTo>
                                <a:pt x="866" y="597"/>
                              </a:lnTo>
                              <a:lnTo>
                                <a:pt x="800" y="594"/>
                              </a:lnTo>
                              <a:close/>
                              <a:moveTo>
                                <a:pt x="459" y="81"/>
                              </a:moveTo>
                              <a:lnTo>
                                <a:pt x="454" y="110"/>
                              </a:lnTo>
                              <a:lnTo>
                                <a:pt x="448" y="147"/>
                              </a:lnTo>
                              <a:lnTo>
                                <a:pt x="440" y="193"/>
                              </a:lnTo>
                              <a:lnTo>
                                <a:pt x="430" y="248"/>
                              </a:lnTo>
                              <a:lnTo>
                                <a:pt x="450" y="248"/>
                              </a:lnTo>
                              <a:lnTo>
                                <a:pt x="451" y="242"/>
                              </a:lnTo>
                              <a:lnTo>
                                <a:pt x="455" y="188"/>
                              </a:lnTo>
                              <a:lnTo>
                                <a:pt x="457" y="135"/>
                              </a:lnTo>
                              <a:lnTo>
                                <a:pt x="459" y="81"/>
                              </a:lnTo>
                              <a:close/>
                              <a:moveTo>
                                <a:pt x="450" y="6"/>
                              </a:moveTo>
                              <a:lnTo>
                                <a:pt x="426" y="6"/>
                              </a:lnTo>
                              <a:lnTo>
                                <a:pt x="437" y="13"/>
                              </a:lnTo>
                              <a:lnTo>
                                <a:pt x="447" y="23"/>
                              </a:lnTo>
                              <a:lnTo>
                                <a:pt x="455" y="40"/>
                              </a:lnTo>
                              <a:lnTo>
                                <a:pt x="459" y="63"/>
                              </a:lnTo>
                              <a:lnTo>
                                <a:pt x="463" y="27"/>
                              </a:lnTo>
                              <a:lnTo>
                                <a:pt x="455" y="8"/>
                              </a:lnTo>
                              <a:lnTo>
                                <a:pt x="450" y="6"/>
                              </a:lnTo>
                              <a:close/>
                            </a:path>
                          </a:pathLst>
                        </a:custGeom>
                        <a:solidFill>
                          <a:srgbClr val="ffd8d8"/>
                        </a:solidFill>
                        <a:ln w="0">
                          <a:noFill/>
                        </a:ln>
                      </wps:spPr>
                      <wps:style>
                        <a:lnRef idx="0"/>
                        <a:fillRef idx="0"/>
                        <a:effectRef idx="0"/>
                        <a:fontRef idx="minor"/>
                      </wps:style>
                      <wps:bodyPr/>
                    </wps:wsp>
                  </a:graphicData>
                </a:graphic>
              </wp:anchor>
            </w:drawing>
          </mc:Choice>
          <mc:Fallback>
            <w:pict/>
          </mc:Fallback>
        </mc:AlternateContent>
      </w:r>
      <w:r>
        <w:rPr>
          <w:rFonts w:cs="Tahoma" w:ascii="Tahoma" w:hAnsi="Tahoma"/>
          <w:i/>
          <w:iCs/>
          <w:color w:val="000009"/>
          <w:sz w:val="20"/>
          <w:szCs w:val="20"/>
        </w:rPr>
        <w:t>Con mis más altas muestras de consideración, atentamente,</w:t>
      </w:r>
      <w:r>
        <w:rPr>
          <w:rFonts w:cs="Tahoma" w:ascii="Tahoma" w:hAnsi="Tahoma"/>
          <w:i/>
          <w:iCs/>
          <w:w w:val="105"/>
          <w:sz w:val="20"/>
          <w:szCs w:val="20"/>
        </w:rPr>
        <w:t xml:space="preserve">WALTER </w:t>
      </w:r>
      <w:r>
        <w:rPr>
          <w:rFonts w:cs="Tahoma" w:ascii="Tahoma" w:hAnsi="Tahoma"/>
          <w:i/>
          <w:iCs/>
          <w:sz w:val="20"/>
          <w:szCs w:val="20"/>
        </w:rPr>
        <w:t xml:space="preserve">ESPINOZA </w:t>
      </w:r>
      <w:r>
        <w:rPr>
          <w:rFonts w:cs="Tahoma" w:ascii="Tahoma" w:hAnsi="Tahoma"/>
          <w:i/>
          <w:iCs/>
          <w:position w:val="-6"/>
          <w:sz w:val="20"/>
          <w:szCs w:val="20"/>
        </w:rPr>
        <w:t xml:space="preserve">ESPINOZA (FIRMA) </w:t>
      </w:r>
      <w:r>
        <w:rPr>
          <w:rFonts w:cs="Tahoma" w:ascii="Tahoma" w:hAnsi="Tahoma"/>
          <w:i/>
          <w:iCs/>
          <w:sz w:val="20"/>
          <w:szCs w:val="20"/>
        </w:rPr>
        <w:t>Fecha: 2020.02.10</w:t>
      </w:r>
    </w:p>
    <w:p>
      <w:pPr>
        <w:pStyle w:val="Cuerpodetexto"/>
        <w:spacing w:before="2" w:after="0"/>
        <w:jc w:val="center"/>
        <w:rPr>
          <w:rFonts w:ascii="Tahoma" w:hAnsi="Tahoma" w:cs="Tahoma"/>
          <w:i/>
          <w:i/>
          <w:iCs/>
          <w:sz w:val="20"/>
          <w:szCs w:val="20"/>
          <w:lang w:val="es-CR"/>
        </w:rPr>
      </w:pPr>
      <w:r>
        <w:rPr>
          <w:rFonts w:cs="Tahoma" w:ascii="Tahoma" w:hAnsi="Tahoma"/>
          <w:i/>
          <w:iCs/>
          <w:sz w:val="20"/>
          <w:szCs w:val="20"/>
          <w:lang w:val="es-CR"/>
        </w:rPr>
      </w:r>
    </w:p>
    <w:p>
      <w:pPr>
        <w:pStyle w:val="Cuerpodetexto"/>
        <w:spacing w:before="2" w:after="0"/>
        <w:jc w:val="center"/>
        <w:rPr>
          <w:rFonts w:ascii="Tahoma" w:hAnsi="Tahoma" w:cs="Tahoma"/>
          <w:sz w:val="20"/>
          <w:szCs w:val="20"/>
        </w:rPr>
      </w:pPr>
      <w:r>
        <w:rPr>
          <w:rFonts w:cs="Tahoma" w:ascii="Tahoma" w:hAnsi="Tahoma"/>
          <w:sz w:val="20"/>
          <w:szCs w:val="20"/>
        </w:rPr>
      </w:r>
    </w:p>
    <w:p>
      <w:pPr>
        <w:pStyle w:val="Cuerpodetexto"/>
        <w:spacing w:before="2" w:after="0"/>
        <w:rPr>
          <w:rFonts w:ascii="Tahoma" w:hAnsi="Tahoma" w:cs="Tahoma"/>
          <w:b/>
          <w:b/>
          <w:sz w:val="20"/>
          <w:szCs w:val="20"/>
          <w:u w:val="single"/>
        </w:rPr>
      </w:pPr>
      <w:r>
        <w:rPr>
          <w:rFonts w:cs="Tahoma" w:ascii="Tahoma" w:hAnsi="Tahoma"/>
          <w:b/>
          <w:sz w:val="20"/>
          <w:szCs w:val="20"/>
          <w:u w:val="single"/>
        </w:rPr>
      </w:r>
    </w:p>
    <w:p>
      <w:pPr>
        <w:pStyle w:val="Cuerpodetexto"/>
        <w:spacing w:before="2" w:after="0"/>
        <w:rPr>
          <w:rFonts w:ascii="Tahoma" w:hAnsi="Tahoma" w:cs="Tahoma"/>
          <w:b/>
          <w:b/>
          <w:sz w:val="20"/>
          <w:szCs w:val="20"/>
          <w:u w:val="single"/>
        </w:rPr>
      </w:pPr>
      <w:r>
        <w:rPr>
          <w:rFonts w:cs="Tahoma" w:ascii="Tahoma" w:hAnsi="Tahoma"/>
          <w:b/>
          <w:sz w:val="20"/>
          <w:szCs w:val="20"/>
          <w:u w:val="single"/>
        </w:rPr>
      </w:r>
    </w:p>
    <w:p>
      <w:pPr>
        <w:pStyle w:val="Cuerpodetexto"/>
        <w:spacing w:before="2" w:after="0"/>
        <w:jc w:val="both"/>
        <w:rPr>
          <w:rFonts w:ascii="Tahoma" w:hAnsi="Tahoma" w:cs="Tahoma"/>
          <w:sz w:val="20"/>
          <w:szCs w:val="20"/>
        </w:rPr>
      </w:pPr>
      <w:r>
        <w:rPr>
          <w:rFonts w:cs="Tahoma" w:ascii="Tahoma" w:hAnsi="Tahoma"/>
          <w:b/>
          <w:sz w:val="20"/>
          <w:szCs w:val="20"/>
          <w:u w:val="single"/>
        </w:rPr>
        <w:t>SE ACUERDA</w:t>
      </w:r>
      <w:r>
        <w:rPr>
          <w:rFonts w:cs="Tahoma" w:ascii="Tahoma" w:hAnsi="Tahoma"/>
          <w:b/>
          <w:sz w:val="20"/>
          <w:szCs w:val="20"/>
        </w:rPr>
        <w:t xml:space="preserve">:  1° </w:t>
      </w:r>
      <w:r>
        <w:rPr>
          <w:rFonts w:cs="Tahoma" w:ascii="Tahoma" w:hAnsi="Tahoma"/>
          <w:bCs/>
          <w:sz w:val="20"/>
          <w:szCs w:val="20"/>
        </w:rPr>
        <w:t>Se toma nota d</w:t>
      </w:r>
      <w:r>
        <w:rPr>
          <w:rFonts w:cs="Tahoma" w:ascii="Tahoma" w:hAnsi="Tahoma"/>
          <w:sz w:val="20"/>
          <w:szCs w:val="20"/>
        </w:rPr>
        <w:t xml:space="preserve">el </w:t>
      </w:r>
      <w:r>
        <w:rPr>
          <w:rFonts w:cs="Tahoma" w:ascii="Tahoma" w:hAnsi="Tahoma"/>
          <w:b/>
          <w:sz w:val="20"/>
          <w:szCs w:val="20"/>
        </w:rPr>
        <w:t xml:space="preserve">Oficio </w:t>
      </w:r>
      <w:r>
        <w:rPr>
          <w:rFonts w:cs="Tahoma" w:ascii="Tahoma" w:hAnsi="Tahoma"/>
          <w:b/>
          <w:color w:val="00000A"/>
          <w:sz w:val="20"/>
          <w:szCs w:val="20"/>
        </w:rPr>
        <w:t>0087-DG-2020 REF. 0082-2020</w:t>
      </w:r>
      <w:r>
        <w:rPr>
          <w:rFonts w:cs="Tahoma" w:ascii="Tahoma" w:hAnsi="Tahoma"/>
          <w:color w:val="00000A"/>
          <w:sz w:val="20"/>
          <w:szCs w:val="20"/>
        </w:rPr>
        <w:t>, de 10 de febrero pasado, remitido por l</w:t>
      </w:r>
      <w:r>
        <w:rPr>
          <w:rFonts w:cs="Tahoma" w:ascii="Tahoma" w:hAnsi="Tahoma"/>
          <w:sz w:val="20"/>
          <w:szCs w:val="20"/>
        </w:rPr>
        <w:t>a Dirección del Organismo de Investigación Judicial en el que, con ocasión de la solicitud formulada por el pueblo indígena Malecu, informa que a</w:t>
      </w:r>
      <w:r>
        <w:rPr>
          <w:rFonts w:cs="Tahoma" w:ascii="Tahoma" w:hAnsi="Tahoma"/>
          <w:color w:val="000009"/>
          <w:sz w:val="20"/>
          <w:szCs w:val="20"/>
        </w:rPr>
        <w:t>nalizadas las consideraciones planteadas por parte de la Subcomisión, esa Dirección General giró instrucciones a las Jefaturas de la Delegación Regional de este Organismo en San Carlos, así como la Unidad Regional de La Fortuna para que atiendan las consultas del señor Emigdio Cruz, presidente de la Asociación de Desarrollo Integral de la Reserva</w:t>
      </w:r>
      <w:r>
        <w:rPr>
          <w:rFonts w:cs="Tahoma" w:ascii="Tahoma" w:hAnsi="Tahoma"/>
          <w:color w:val="000009"/>
          <w:spacing w:val="-9"/>
          <w:sz w:val="20"/>
          <w:szCs w:val="20"/>
        </w:rPr>
        <w:t xml:space="preserve"> </w:t>
      </w:r>
      <w:r>
        <w:rPr>
          <w:rFonts w:cs="Tahoma" w:ascii="Tahoma" w:hAnsi="Tahoma"/>
          <w:color w:val="000009"/>
          <w:sz w:val="20"/>
          <w:szCs w:val="20"/>
        </w:rPr>
        <w:t>Indígena</w:t>
      </w:r>
      <w:r>
        <w:rPr>
          <w:rFonts w:cs="Tahoma" w:ascii="Tahoma" w:hAnsi="Tahoma"/>
          <w:color w:val="000009"/>
          <w:spacing w:val="-10"/>
          <w:sz w:val="20"/>
          <w:szCs w:val="20"/>
        </w:rPr>
        <w:t xml:space="preserve"> </w:t>
      </w:r>
      <w:r>
        <w:rPr>
          <w:rFonts w:cs="Tahoma" w:ascii="Tahoma" w:hAnsi="Tahoma"/>
          <w:color w:val="000009"/>
          <w:sz w:val="20"/>
          <w:szCs w:val="20"/>
        </w:rPr>
        <w:t>Guatuso</w:t>
      </w:r>
      <w:r>
        <w:rPr>
          <w:rFonts w:cs="Tahoma" w:ascii="Tahoma" w:hAnsi="Tahoma"/>
          <w:color w:val="000009"/>
          <w:spacing w:val="-9"/>
          <w:sz w:val="20"/>
          <w:szCs w:val="20"/>
        </w:rPr>
        <w:t xml:space="preserve"> </w:t>
      </w:r>
      <w:r>
        <w:rPr>
          <w:rFonts w:cs="Tahoma" w:ascii="Tahoma" w:hAnsi="Tahoma"/>
          <w:color w:val="000009"/>
          <w:sz w:val="20"/>
          <w:szCs w:val="20"/>
        </w:rPr>
        <w:t>y</w:t>
      </w:r>
      <w:r>
        <w:rPr>
          <w:rFonts w:cs="Tahoma" w:ascii="Tahoma" w:hAnsi="Tahoma"/>
          <w:color w:val="000009"/>
          <w:spacing w:val="-9"/>
          <w:sz w:val="20"/>
          <w:szCs w:val="20"/>
        </w:rPr>
        <w:t xml:space="preserve"> </w:t>
      </w:r>
      <w:r>
        <w:rPr>
          <w:rFonts w:cs="Tahoma" w:ascii="Tahoma" w:hAnsi="Tahoma"/>
          <w:color w:val="000009"/>
          <w:sz w:val="20"/>
          <w:szCs w:val="20"/>
        </w:rPr>
        <w:t>así</w:t>
      </w:r>
      <w:r>
        <w:rPr>
          <w:rFonts w:cs="Tahoma" w:ascii="Tahoma" w:hAnsi="Tahoma"/>
          <w:color w:val="000009"/>
          <w:spacing w:val="-12"/>
          <w:sz w:val="20"/>
          <w:szCs w:val="20"/>
        </w:rPr>
        <w:t xml:space="preserve"> </w:t>
      </w:r>
      <w:r>
        <w:rPr>
          <w:rFonts w:cs="Tahoma" w:ascii="Tahoma" w:hAnsi="Tahoma"/>
          <w:color w:val="000009"/>
          <w:sz w:val="20"/>
          <w:szCs w:val="20"/>
        </w:rPr>
        <w:t>obtener</w:t>
      </w:r>
      <w:r>
        <w:rPr>
          <w:rFonts w:cs="Tahoma" w:ascii="Tahoma" w:hAnsi="Tahoma"/>
          <w:color w:val="000009"/>
          <w:spacing w:val="-10"/>
          <w:sz w:val="20"/>
          <w:szCs w:val="20"/>
        </w:rPr>
        <w:t xml:space="preserve"> </w:t>
      </w:r>
      <w:r>
        <w:rPr>
          <w:rFonts w:cs="Tahoma" w:ascii="Tahoma" w:hAnsi="Tahoma"/>
          <w:color w:val="000009"/>
          <w:sz w:val="20"/>
          <w:szCs w:val="20"/>
        </w:rPr>
        <w:t>además</w:t>
      </w:r>
      <w:r>
        <w:rPr>
          <w:rFonts w:cs="Tahoma" w:ascii="Tahoma" w:hAnsi="Tahoma"/>
          <w:color w:val="000009"/>
          <w:spacing w:val="-12"/>
          <w:sz w:val="20"/>
          <w:szCs w:val="20"/>
        </w:rPr>
        <w:t xml:space="preserve"> </w:t>
      </w:r>
      <w:r>
        <w:rPr>
          <w:rFonts w:cs="Tahoma" w:ascii="Tahoma" w:hAnsi="Tahoma"/>
          <w:color w:val="000009"/>
          <w:sz w:val="20"/>
          <w:szCs w:val="20"/>
        </w:rPr>
        <w:t>datos</w:t>
      </w:r>
      <w:r>
        <w:rPr>
          <w:rFonts w:cs="Tahoma" w:ascii="Tahoma" w:hAnsi="Tahoma"/>
          <w:color w:val="000009"/>
          <w:spacing w:val="-11"/>
          <w:sz w:val="20"/>
          <w:szCs w:val="20"/>
        </w:rPr>
        <w:t xml:space="preserve"> </w:t>
      </w:r>
      <w:r>
        <w:rPr>
          <w:rFonts w:cs="Tahoma" w:ascii="Tahoma" w:hAnsi="Tahoma"/>
          <w:color w:val="000009"/>
          <w:sz w:val="20"/>
          <w:szCs w:val="20"/>
        </w:rPr>
        <w:t>del</w:t>
      </w:r>
      <w:r>
        <w:rPr>
          <w:rFonts w:cs="Tahoma" w:ascii="Tahoma" w:hAnsi="Tahoma"/>
          <w:color w:val="000009"/>
          <w:spacing w:val="-12"/>
          <w:sz w:val="20"/>
          <w:szCs w:val="20"/>
        </w:rPr>
        <w:t xml:space="preserve"> </w:t>
      </w:r>
      <w:r>
        <w:rPr>
          <w:rFonts w:cs="Tahoma" w:ascii="Tahoma" w:hAnsi="Tahoma"/>
          <w:color w:val="000009"/>
          <w:sz w:val="20"/>
          <w:szCs w:val="20"/>
        </w:rPr>
        <w:t>ingreso</w:t>
      </w:r>
      <w:r>
        <w:rPr>
          <w:rFonts w:cs="Tahoma" w:ascii="Tahoma" w:hAnsi="Tahoma"/>
          <w:color w:val="000009"/>
          <w:spacing w:val="-10"/>
          <w:sz w:val="20"/>
          <w:szCs w:val="20"/>
        </w:rPr>
        <w:t xml:space="preserve"> </w:t>
      </w:r>
      <w:r>
        <w:rPr>
          <w:rFonts w:cs="Tahoma" w:ascii="Tahoma" w:hAnsi="Tahoma"/>
          <w:color w:val="000009"/>
          <w:sz w:val="20"/>
          <w:szCs w:val="20"/>
        </w:rPr>
        <w:t>de</w:t>
      </w:r>
      <w:r>
        <w:rPr>
          <w:rFonts w:cs="Tahoma" w:ascii="Tahoma" w:hAnsi="Tahoma"/>
          <w:color w:val="000009"/>
          <w:spacing w:val="-10"/>
          <w:sz w:val="20"/>
          <w:szCs w:val="20"/>
        </w:rPr>
        <w:t xml:space="preserve"> </w:t>
      </w:r>
      <w:r>
        <w:rPr>
          <w:rFonts w:cs="Tahoma" w:ascii="Tahoma" w:hAnsi="Tahoma"/>
          <w:color w:val="000009"/>
          <w:sz w:val="20"/>
          <w:szCs w:val="20"/>
        </w:rPr>
        <w:t>drogas</w:t>
      </w:r>
      <w:r>
        <w:rPr>
          <w:rFonts w:cs="Tahoma" w:ascii="Tahoma" w:hAnsi="Tahoma"/>
          <w:color w:val="000009"/>
          <w:spacing w:val="-10"/>
          <w:sz w:val="20"/>
          <w:szCs w:val="20"/>
        </w:rPr>
        <w:t xml:space="preserve"> </w:t>
      </w:r>
      <w:r>
        <w:rPr>
          <w:rFonts w:cs="Tahoma" w:ascii="Tahoma" w:hAnsi="Tahoma"/>
          <w:color w:val="000009"/>
          <w:sz w:val="20"/>
          <w:szCs w:val="20"/>
        </w:rPr>
        <w:t>a</w:t>
      </w:r>
      <w:r>
        <w:rPr>
          <w:rFonts w:cs="Tahoma" w:ascii="Tahoma" w:hAnsi="Tahoma"/>
          <w:color w:val="000009"/>
          <w:spacing w:val="-8"/>
          <w:sz w:val="20"/>
          <w:szCs w:val="20"/>
        </w:rPr>
        <w:t xml:space="preserve"> </w:t>
      </w:r>
      <w:r>
        <w:rPr>
          <w:rFonts w:cs="Tahoma" w:ascii="Tahoma" w:hAnsi="Tahoma"/>
          <w:color w:val="000009"/>
          <w:sz w:val="20"/>
          <w:szCs w:val="20"/>
        </w:rPr>
        <w:t>la</w:t>
      </w:r>
      <w:r>
        <w:rPr>
          <w:rFonts w:cs="Tahoma" w:ascii="Tahoma" w:hAnsi="Tahoma"/>
          <w:color w:val="000009"/>
          <w:spacing w:val="-11"/>
          <w:sz w:val="20"/>
          <w:szCs w:val="20"/>
        </w:rPr>
        <w:t xml:space="preserve"> </w:t>
      </w:r>
      <w:r>
        <w:rPr>
          <w:rFonts w:cs="Tahoma" w:ascii="Tahoma" w:hAnsi="Tahoma"/>
          <w:color w:val="000009"/>
          <w:sz w:val="20"/>
          <w:szCs w:val="20"/>
        </w:rPr>
        <w:t>comunidad a la que hace</w:t>
      </w:r>
      <w:r>
        <w:rPr>
          <w:rFonts w:cs="Tahoma" w:ascii="Tahoma" w:hAnsi="Tahoma"/>
          <w:color w:val="000009"/>
          <w:spacing w:val="-2"/>
          <w:sz w:val="20"/>
          <w:szCs w:val="20"/>
        </w:rPr>
        <w:t xml:space="preserve"> </w:t>
      </w:r>
      <w:r>
        <w:rPr>
          <w:rFonts w:cs="Tahoma" w:ascii="Tahoma" w:hAnsi="Tahoma"/>
          <w:color w:val="000009"/>
          <w:sz w:val="20"/>
          <w:szCs w:val="20"/>
        </w:rPr>
        <w:t xml:space="preserve">referencia. Además, que por mandato legislativo las facultades conferidas a la policía judicial se concentran sobre aspectos represivos, delegando la prevención en el Ministerio de Seguridad Pública, por lo que en apego al principio de legalidad no resulta conveniente que el Organismo de Investigación Judicial se atribuya potestades que por imperio de ley corresponden a otro órgano, por lo que se les imposibilita brindar la capacitación y asesoramiento planteada por el señor Cruz, siendo además que este Organismo no cuenta con una Unidad de Capacitación propia, por lo que se recomienda dirigir dicha gestión a la Escuela Judicial. </w:t>
      </w:r>
      <w:r>
        <w:rPr>
          <w:rFonts w:cs="Tahoma" w:ascii="Tahoma" w:hAnsi="Tahoma"/>
          <w:b/>
          <w:bCs/>
          <w:color w:val="000009"/>
          <w:sz w:val="20"/>
          <w:szCs w:val="20"/>
        </w:rPr>
        <w:t>2°</w:t>
      </w:r>
      <w:r>
        <w:rPr>
          <w:rFonts w:cs="Tahoma" w:ascii="Tahoma" w:hAnsi="Tahoma"/>
          <w:color w:val="000009"/>
          <w:sz w:val="20"/>
          <w:szCs w:val="20"/>
        </w:rPr>
        <w:t xml:space="preserve"> Trasladar a la Escuela Judicial la solicitud planteada por el pueblo indígena Melecu acerca de los requerimientos de capacitación y solicitar que de acogerse la petición, ésta se ejecute dentro de los parámetros institucionales, incluyendo lo señalado por Corte Plena en la Circular 188-19. </w:t>
      </w:r>
      <w:r>
        <w:rPr>
          <w:rFonts w:cs="Tahoma" w:ascii="Tahoma" w:hAnsi="Tahoma"/>
          <w:b/>
          <w:bCs/>
          <w:color w:val="000009"/>
          <w:sz w:val="20"/>
          <w:szCs w:val="20"/>
        </w:rPr>
        <w:t>3°</w:t>
      </w:r>
      <w:r>
        <w:rPr>
          <w:rFonts w:cs="Tahoma" w:ascii="Tahoma" w:hAnsi="Tahoma"/>
          <w:color w:val="000009"/>
          <w:sz w:val="20"/>
          <w:szCs w:val="20"/>
        </w:rPr>
        <w:t xml:space="preserve"> Se declara firme este acuerdo por unanimidad, comuníquese a la Dirección del OIJ, Escuela Judicial, Despacho de la Presidencia de la Corte Suprema de Justicia y al señor Emigdio Cruz por medio de la Unidad de Acceso a la Justicia.</w:t>
      </w:r>
    </w:p>
    <w:p>
      <w:pPr>
        <w:pStyle w:val="Cuerpodetexto"/>
        <w:spacing w:before="2" w:after="0"/>
        <w:rPr>
          <w:rFonts w:ascii="Tahoma" w:hAnsi="Tahoma" w:cs="Tahoma"/>
          <w:bCs/>
          <w:sz w:val="20"/>
          <w:szCs w:val="20"/>
        </w:rPr>
      </w:pPr>
      <w:r>
        <w:rPr>
          <w:rFonts w:cs="Tahoma" w:ascii="Tahoma" w:hAnsi="Tahoma"/>
          <w:bCs/>
          <w:sz w:val="20"/>
          <w:szCs w:val="20"/>
        </w:rPr>
      </w:r>
    </w:p>
    <w:p>
      <w:pPr>
        <w:pStyle w:val="Cuerpodetexto"/>
        <w:spacing w:before="2" w:after="0"/>
        <w:rPr>
          <w:rFonts w:ascii="Tahoma" w:hAnsi="Tahoma" w:cs="Tahoma"/>
          <w:bCs/>
          <w:sz w:val="20"/>
          <w:szCs w:val="20"/>
        </w:rPr>
      </w:pPr>
      <w:r>
        <w:rPr>
          <w:rFonts w:cs="Tahoma" w:ascii="Tahoma" w:hAnsi="Tahoma"/>
          <w:bCs/>
          <w:sz w:val="20"/>
          <w:szCs w:val="20"/>
        </w:rPr>
      </w:r>
    </w:p>
    <w:p>
      <w:pPr>
        <w:pStyle w:val="Cuerpodetexto"/>
        <w:spacing w:before="2" w:after="0"/>
        <w:rPr>
          <w:rFonts w:ascii="Tahoma" w:hAnsi="Tahoma" w:cs="Tahoma"/>
          <w:b/>
          <w:b/>
          <w:sz w:val="20"/>
          <w:szCs w:val="20"/>
          <w:u w:val="single"/>
        </w:rPr>
      </w:pPr>
      <w:r>
        <w:rPr>
          <w:rFonts w:cs="Tahoma" w:ascii="Tahoma" w:hAnsi="Tahoma"/>
          <w:b/>
          <w:sz w:val="20"/>
          <w:szCs w:val="20"/>
          <w:u w:val="single"/>
        </w:rPr>
      </w:r>
    </w:p>
    <w:p>
      <w:pPr>
        <w:pStyle w:val="Normal"/>
        <w:spacing w:lineRule="auto" w:line="360"/>
        <w:jc w:val="center"/>
        <w:rPr>
          <w:rFonts w:ascii="Tahoma" w:hAnsi="Tahoma" w:cs="Tahoma"/>
          <w:b/>
          <w:b/>
          <w:sz w:val="20"/>
          <w:szCs w:val="20"/>
          <w:u w:val="single"/>
        </w:rPr>
      </w:pPr>
      <w:r>
        <w:rPr>
          <w:rFonts w:cs="Tahoma" w:ascii="Tahoma" w:hAnsi="Tahoma"/>
          <w:b/>
          <w:color w:val="000009"/>
          <w:sz w:val="20"/>
          <w:szCs w:val="20"/>
          <w:u w:val="single"/>
        </w:rPr>
        <w:t xml:space="preserve">  </w:t>
      </w:r>
      <w:r>
        <w:rPr>
          <w:rFonts w:cs="Tahoma" w:ascii="Tahoma" w:hAnsi="Tahoma"/>
          <w:b/>
          <w:sz w:val="20"/>
          <w:szCs w:val="20"/>
          <w:highlight w:val="yellow"/>
          <w:u w:val="single"/>
        </w:rPr>
        <w:t>ARTÍCULO VI:</w:t>
      </w:r>
    </w:p>
    <w:p>
      <w:pPr>
        <w:pStyle w:val="Normal"/>
        <w:spacing w:lineRule="auto" w:line="360"/>
        <w:jc w:val="both"/>
        <w:rPr>
          <w:rFonts w:ascii="Tahoma" w:hAnsi="Tahoma" w:cs="Tahoma"/>
          <w:b/>
          <w:b/>
          <w:sz w:val="20"/>
          <w:szCs w:val="20"/>
          <w:u w:val="single"/>
        </w:rPr>
      </w:pPr>
      <w:r>
        <w:rPr>
          <w:rFonts w:cs="Tahoma" w:ascii="Tahoma" w:hAnsi="Tahoma"/>
          <w:b/>
          <w:sz w:val="20"/>
          <w:szCs w:val="20"/>
          <w:u w:val="single"/>
        </w:rPr>
        <w:t>TEMA: ACUERDO DE CORTE PLENA” APROBACIÓN DE LA PROPUESTA DE CONSTRUCCIÓN DE POLÍTICAS INSTITUCIONALES PLANTEADAS CON BASE EN LA METODOLOGÍA DE MIDEPLAN”.</w:t>
      </w:r>
    </w:p>
    <w:p>
      <w:pPr>
        <w:pStyle w:val="Normal"/>
        <w:jc w:val="both"/>
        <w:rPr>
          <w:rFonts w:ascii="Tahoma" w:hAnsi="Tahoma" w:cs="Tahoma"/>
          <w:sz w:val="20"/>
          <w:szCs w:val="20"/>
          <w:lang w:val="es-ES"/>
        </w:rPr>
      </w:pPr>
      <w:r>
        <w:rPr>
          <w:rFonts w:cs="Tahoma" w:ascii="Tahoma" w:hAnsi="Tahoma"/>
          <w:sz w:val="20"/>
          <w:szCs w:val="20"/>
          <w:lang w:val="es-ES"/>
        </w:rPr>
        <w:t>La Unidad de Acceso a la Justicia comunicó mediante el</w:t>
      </w:r>
      <w:r>
        <w:rPr>
          <w:rFonts w:cs="Tahoma" w:ascii="Tahoma" w:hAnsi="Tahoma"/>
          <w:b/>
          <w:sz w:val="20"/>
          <w:szCs w:val="20"/>
          <w:lang w:val="es-ES"/>
        </w:rPr>
        <w:t xml:space="preserve"> Oficio CACC-26-2020</w:t>
      </w:r>
      <w:r>
        <w:rPr>
          <w:rFonts w:cs="Tahoma" w:ascii="Tahoma" w:hAnsi="Tahoma"/>
          <w:sz w:val="20"/>
          <w:szCs w:val="20"/>
          <w:lang w:val="es-ES"/>
        </w:rPr>
        <w:t xml:space="preserve"> a la Dirección de Planificación, el acuerdo estipulado en el Artículo III del Acta 01-20 el cual se transcribe literalmente: </w:t>
      </w:r>
    </w:p>
    <w:p>
      <w:pPr>
        <w:pStyle w:val="Gmailm4214538879123250192default"/>
        <w:spacing w:before="280" w:after="280"/>
        <w:jc w:val="both"/>
        <w:rPr>
          <w:rFonts w:ascii="Tahoma" w:hAnsi="Tahoma" w:cs="Tahoma"/>
          <w:b/>
          <w:b/>
          <w:bCs/>
          <w:i/>
          <w:i/>
          <w:sz w:val="20"/>
          <w:szCs w:val="20"/>
          <w:u w:val="single"/>
        </w:rPr>
      </w:pPr>
      <w:r>
        <w:rPr>
          <w:rFonts w:cs="Tahoma" w:ascii="Tahoma" w:hAnsi="Tahoma"/>
          <w:b/>
          <w:bCs/>
          <w:i/>
          <w:sz w:val="20"/>
          <w:szCs w:val="20"/>
          <w:u w:val="single"/>
        </w:rPr>
        <w:t xml:space="preserve">6°. Instar a la Dirección de Planificación a efecto de que informen cuando Corte Plena conozca y apruebe la propuesta de construcción de Políticas Institucionales planteadas con base en la metodología de MIDEPLAN. </w:t>
      </w:r>
    </w:p>
    <w:p>
      <w:pPr>
        <w:pStyle w:val="Gmailm4214538879123250192default"/>
        <w:spacing w:before="280" w:after="280"/>
        <w:jc w:val="both"/>
        <w:rPr>
          <w:rFonts w:ascii="Tahoma" w:hAnsi="Tahoma" w:cs="Tahoma"/>
          <w:b/>
          <w:b/>
          <w:bCs/>
          <w:i/>
          <w:i/>
          <w:sz w:val="20"/>
          <w:szCs w:val="20"/>
          <w:u w:val="single"/>
        </w:rPr>
      </w:pPr>
      <w:r>
        <w:rPr>
          <w:rFonts w:cs="Tahoma" w:ascii="Tahoma" w:hAnsi="Tahoma"/>
          <w:b/>
          <w:bCs/>
          <w:i/>
          <w:sz w:val="20"/>
          <w:szCs w:val="20"/>
          <w:u w:val="single"/>
        </w:rPr>
      </w:r>
    </w:p>
    <w:p>
      <w:pPr>
        <w:pStyle w:val="Gmailm4214538879123250192default"/>
        <w:spacing w:before="280" w:after="280"/>
        <w:jc w:val="both"/>
        <w:rPr>
          <w:rFonts w:ascii="Tahoma" w:hAnsi="Tahoma" w:cs="Tahoma"/>
          <w:bCs/>
          <w:sz w:val="20"/>
          <w:szCs w:val="20"/>
        </w:rPr>
      </w:pPr>
      <w:r>
        <w:rPr>
          <w:rFonts w:cs="Tahoma" w:ascii="Tahoma" w:hAnsi="Tahoma"/>
          <w:bCs/>
          <w:sz w:val="20"/>
          <w:szCs w:val="20"/>
        </w:rPr>
        <w:t>El señor Allan Pow Hing Cordero, Jefe del Subproceso de Planificación Estratégica, comunico el día viernes 28 de febrero vía correo electrónico, lo siguiente:</w:t>
      </w:r>
    </w:p>
    <w:p>
      <w:pPr>
        <w:pStyle w:val="Normal"/>
        <w:numPr>
          <w:ilvl w:val="0"/>
          <w:numId w:val="0"/>
        </w:numPr>
        <w:outlineLvl w:val="0"/>
        <w:rPr>
          <w:rFonts w:ascii="Tahoma" w:hAnsi="Tahoma" w:cs="Tahoma"/>
          <w:i/>
          <w:i/>
          <w:iCs/>
          <w:sz w:val="20"/>
          <w:szCs w:val="20"/>
          <w:lang w:val="es-ES"/>
        </w:rPr>
      </w:pPr>
      <w:r>
        <w:rPr>
          <w:rFonts w:cs="Tahoma" w:ascii="Tahoma" w:hAnsi="Tahoma"/>
          <w:b/>
          <w:bCs/>
          <w:i/>
          <w:iCs/>
          <w:sz w:val="20"/>
          <w:szCs w:val="20"/>
          <w:lang w:val="es-ES"/>
        </w:rPr>
        <w:t>De:</w:t>
      </w:r>
      <w:r>
        <w:rPr>
          <w:rFonts w:cs="Tahoma" w:ascii="Tahoma" w:hAnsi="Tahoma"/>
          <w:i/>
          <w:iCs/>
          <w:sz w:val="20"/>
          <w:szCs w:val="20"/>
          <w:lang w:val="es-ES"/>
        </w:rPr>
        <w:t xml:space="preserve"> Allan Pow Hing Cordero </w:t>
        <w:br/>
      </w:r>
      <w:r>
        <w:rPr>
          <w:rFonts w:cs="Tahoma" w:ascii="Tahoma" w:hAnsi="Tahoma"/>
          <w:b/>
          <w:bCs/>
          <w:i/>
          <w:iCs/>
          <w:sz w:val="20"/>
          <w:szCs w:val="20"/>
          <w:lang w:val="es-ES"/>
        </w:rPr>
        <w:t>Enviado el:</w:t>
      </w:r>
      <w:r>
        <w:rPr>
          <w:rFonts w:cs="Tahoma" w:ascii="Tahoma" w:hAnsi="Tahoma"/>
          <w:i/>
          <w:iCs/>
          <w:sz w:val="20"/>
          <w:szCs w:val="20"/>
          <w:lang w:val="es-ES"/>
        </w:rPr>
        <w:t xml:space="preserve"> viernes, 28 de febrero de 2020 02:49 p.m.</w:t>
        <w:br/>
      </w:r>
      <w:r>
        <w:rPr>
          <w:rFonts w:cs="Tahoma" w:ascii="Tahoma" w:hAnsi="Tahoma"/>
          <w:b/>
          <w:bCs/>
          <w:i/>
          <w:iCs/>
          <w:sz w:val="20"/>
          <w:szCs w:val="20"/>
          <w:lang w:val="es-ES"/>
        </w:rPr>
        <w:t>Para:</w:t>
      </w:r>
      <w:r>
        <w:rPr>
          <w:rFonts w:cs="Tahoma" w:ascii="Tahoma" w:hAnsi="Tahoma"/>
          <w:i/>
          <w:iCs/>
          <w:sz w:val="20"/>
          <w:szCs w:val="20"/>
          <w:lang w:val="es-ES"/>
        </w:rPr>
        <w:t xml:space="preserve"> Melissa Benavides Víquez</w:t>
        <w:br/>
      </w:r>
      <w:r>
        <w:rPr>
          <w:rFonts w:cs="Tahoma" w:ascii="Tahoma" w:hAnsi="Tahoma"/>
          <w:b/>
          <w:bCs/>
          <w:i/>
          <w:iCs/>
          <w:sz w:val="20"/>
          <w:szCs w:val="20"/>
          <w:lang w:val="es-ES"/>
        </w:rPr>
        <w:t>CC:</w:t>
      </w:r>
      <w:r>
        <w:rPr>
          <w:rFonts w:cs="Tahoma" w:ascii="Tahoma" w:hAnsi="Tahoma"/>
          <w:i/>
          <w:iCs/>
          <w:sz w:val="20"/>
          <w:szCs w:val="20"/>
          <w:lang w:val="es-ES"/>
        </w:rPr>
        <w:t xml:space="preserve"> Katherine Salazar Duarte; Ellen Villegas Hernández; Graciela Lugo Solano; Yesenia Salazar Guzmán; Erick Mora Leiva</w:t>
        <w:br/>
      </w:r>
      <w:r>
        <w:rPr>
          <w:rFonts w:cs="Tahoma" w:ascii="Tahoma" w:hAnsi="Tahoma"/>
          <w:b/>
          <w:bCs/>
          <w:i/>
          <w:iCs/>
          <w:sz w:val="20"/>
          <w:szCs w:val="20"/>
          <w:lang w:val="es-ES"/>
        </w:rPr>
        <w:t>Asunto:</w:t>
      </w:r>
      <w:r>
        <w:rPr>
          <w:rFonts w:cs="Tahoma" w:ascii="Tahoma" w:hAnsi="Tahoma"/>
          <w:i/>
          <w:iCs/>
          <w:sz w:val="20"/>
          <w:szCs w:val="20"/>
          <w:lang w:val="es-ES"/>
        </w:rPr>
        <w:t xml:space="preserve"> RV: DVV-S1-020-2020</w:t>
      </w:r>
    </w:p>
    <w:p>
      <w:pPr>
        <w:pStyle w:val="Normal"/>
        <w:numPr>
          <w:ilvl w:val="0"/>
          <w:numId w:val="0"/>
        </w:numPr>
        <w:outlineLvl w:val="0"/>
        <w:rPr>
          <w:rFonts w:ascii="Tahoma" w:hAnsi="Tahoma" w:cs="Tahoma"/>
          <w:i/>
          <w:i/>
          <w:iCs/>
          <w:sz w:val="20"/>
          <w:szCs w:val="20"/>
          <w:lang w:val="es-ES"/>
        </w:rPr>
      </w:pPr>
      <w:r>
        <w:rPr>
          <w:rFonts w:cs="Tahoma" w:ascii="Tahoma" w:hAnsi="Tahoma"/>
          <w:i/>
          <w:iCs/>
          <w:sz w:val="20"/>
          <w:szCs w:val="20"/>
          <w:lang w:val="es-ES"/>
        </w:rPr>
      </w:r>
    </w:p>
    <w:p>
      <w:pPr>
        <w:pStyle w:val="Normal"/>
        <w:rPr>
          <w:rFonts w:ascii="Tahoma" w:hAnsi="Tahoma" w:cs="Tahoma"/>
          <w:i/>
          <w:i/>
          <w:iCs/>
          <w:sz w:val="20"/>
          <w:szCs w:val="20"/>
        </w:rPr>
      </w:pPr>
      <w:r>
        <w:rPr>
          <w:rFonts w:cs="Tahoma" w:ascii="Tahoma" w:hAnsi="Tahoma"/>
          <w:i/>
          <w:iCs/>
          <w:sz w:val="20"/>
          <w:szCs w:val="20"/>
        </w:rPr>
        <w:t xml:space="preserve">Buena tarde estimada Melissa, un gusto saludarla, </w:t>
      </w:r>
    </w:p>
    <w:p>
      <w:pPr>
        <w:pStyle w:val="Normal"/>
        <w:rPr>
          <w:rFonts w:ascii="Tahoma" w:hAnsi="Tahoma" w:cs="Tahoma"/>
          <w:i/>
          <w:i/>
          <w:iCs/>
          <w:sz w:val="20"/>
          <w:szCs w:val="20"/>
        </w:rPr>
      </w:pPr>
      <w:r>
        <w:rPr>
          <w:rFonts w:cs="Tahoma" w:ascii="Tahoma" w:hAnsi="Tahoma"/>
          <w:i/>
          <w:iCs/>
          <w:sz w:val="20"/>
          <w:szCs w:val="20"/>
        </w:rPr>
      </w:r>
    </w:p>
    <w:p>
      <w:pPr>
        <w:pStyle w:val="Normal"/>
        <w:rPr>
          <w:rFonts w:ascii="Tahoma" w:hAnsi="Tahoma" w:cs="Tahoma"/>
          <w:i/>
          <w:i/>
          <w:iCs/>
          <w:sz w:val="20"/>
          <w:szCs w:val="20"/>
        </w:rPr>
      </w:pPr>
      <w:r>
        <w:rPr>
          <w:rFonts w:cs="Tahoma" w:ascii="Tahoma" w:hAnsi="Tahoma"/>
          <w:i/>
          <w:iCs/>
          <w:sz w:val="20"/>
          <w:szCs w:val="20"/>
        </w:rPr>
        <w:t xml:space="preserve">En virtud del Oficio CACC-26-2020, en cuanto al acuerdo: </w:t>
      </w:r>
    </w:p>
    <w:p>
      <w:pPr>
        <w:pStyle w:val="Normal"/>
        <w:rPr>
          <w:rFonts w:ascii="Tahoma" w:hAnsi="Tahoma" w:cs="Tahoma"/>
          <w:i/>
          <w:i/>
          <w:iCs/>
          <w:sz w:val="20"/>
          <w:szCs w:val="20"/>
        </w:rPr>
      </w:pPr>
      <w:r>
        <w:rPr>
          <w:rFonts w:cs="Tahoma" w:ascii="Tahoma" w:hAnsi="Tahoma"/>
          <w:i/>
          <w:iCs/>
          <w:sz w:val="20"/>
          <w:szCs w:val="20"/>
        </w:rPr>
      </w:r>
    </w:p>
    <w:p>
      <w:pPr>
        <w:pStyle w:val="Normal"/>
        <w:ind w:left="708" w:hanging="0"/>
        <w:rPr>
          <w:rFonts w:ascii="Tahoma" w:hAnsi="Tahoma" w:cs="Tahoma"/>
          <w:i/>
          <w:i/>
          <w:iCs/>
          <w:sz w:val="20"/>
          <w:szCs w:val="20"/>
        </w:rPr>
      </w:pPr>
      <w:r>
        <w:rPr>
          <w:rFonts w:cs="Tahoma" w:ascii="Tahoma" w:hAnsi="Tahoma"/>
          <w:i/>
          <w:iCs/>
          <w:sz w:val="20"/>
          <w:szCs w:val="20"/>
        </w:rPr>
        <w:t>“</w:t>
      </w:r>
      <w:r>
        <w:rPr>
          <w:rFonts w:cs="Tahoma" w:ascii="Tahoma" w:hAnsi="Tahoma"/>
          <w:i/>
          <w:iCs/>
          <w:sz w:val="20"/>
          <w:szCs w:val="20"/>
        </w:rPr>
        <w:t xml:space="preserve">6°. Instar a la Dirección de Planificación a efecto de que informen cuando Corte Plena conozca y apruebe la propuesta de construcción de Políticas Institucionales planteadas con base en la metodología de MIDEPLAN.”. </w:t>
      </w:r>
    </w:p>
    <w:p>
      <w:pPr>
        <w:pStyle w:val="Normal"/>
        <w:rPr>
          <w:rFonts w:ascii="Tahoma" w:hAnsi="Tahoma" w:cs="Tahoma"/>
          <w:i/>
          <w:i/>
          <w:iCs/>
          <w:sz w:val="20"/>
          <w:szCs w:val="20"/>
        </w:rPr>
      </w:pPr>
      <w:r>
        <w:rPr>
          <w:rFonts w:cs="Tahoma" w:ascii="Tahoma" w:hAnsi="Tahoma"/>
          <w:i/>
          <w:iCs/>
          <w:sz w:val="20"/>
          <w:szCs w:val="20"/>
        </w:rPr>
      </w:r>
    </w:p>
    <w:p>
      <w:pPr>
        <w:pStyle w:val="Normal"/>
        <w:rPr>
          <w:rFonts w:ascii="Tahoma" w:hAnsi="Tahoma" w:cs="Tahoma"/>
          <w:i/>
          <w:i/>
          <w:iCs/>
          <w:sz w:val="20"/>
          <w:szCs w:val="20"/>
        </w:rPr>
      </w:pPr>
      <w:r>
        <w:rPr>
          <w:rFonts w:cs="Tahoma" w:ascii="Tahoma" w:hAnsi="Tahoma"/>
          <w:i/>
          <w:iCs/>
          <w:sz w:val="20"/>
          <w:szCs w:val="20"/>
        </w:rPr>
      </w:r>
    </w:p>
    <w:p>
      <w:pPr>
        <w:pStyle w:val="Normal"/>
        <w:rPr>
          <w:rFonts w:ascii="Tahoma" w:hAnsi="Tahoma" w:cs="Tahoma"/>
          <w:i/>
          <w:i/>
          <w:iCs/>
          <w:sz w:val="20"/>
          <w:szCs w:val="20"/>
        </w:rPr>
      </w:pPr>
      <w:r>
        <w:rPr>
          <w:rFonts w:cs="Tahoma" w:ascii="Tahoma" w:hAnsi="Tahoma"/>
          <w:i/>
          <w:iCs/>
          <w:sz w:val="20"/>
          <w:szCs w:val="20"/>
        </w:rPr>
      </w:r>
    </w:p>
    <w:p>
      <w:pPr>
        <w:pStyle w:val="Normal"/>
        <w:rPr>
          <w:rFonts w:ascii="Tahoma" w:hAnsi="Tahoma" w:cs="Tahoma"/>
          <w:i/>
          <w:i/>
          <w:iCs/>
          <w:sz w:val="20"/>
          <w:szCs w:val="20"/>
        </w:rPr>
      </w:pPr>
      <w:r>
        <w:rPr>
          <w:rFonts w:cs="Tahoma" w:ascii="Tahoma" w:hAnsi="Tahoma"/>
          <w:i/>
          <w:iCs/>
          <w:sz w:val="20"/>
          <w:szCs w:val="20"/>
        </w:rPr>
      </w:r>
    </w:p>
    <w:p>
      <w:pPr>
        <w:pStyle w:val="Normal"/>
        <w:rPr>
          <w:rFonts w:ascii="Tahoma" w:hAnsi="Tahoma" w:cs="Tahoma"/>
          <w:i/>
          <w:i/>
          <w:iCs/>
          <w:sz w:val="20"/>
          <w:szCs w:val="20"/>
        </w:rPr>
      </w:pPr>
      <w:r>
        <w:rPr>
          <w:rFonts w:cs="Tahoma" w:ascii="Tahoma" w:hAnsi="Tahoma"/>
          <w:i/>
          <w:iCs/>
          <w:sz w:val="20"/>
          <w:szCs w:val="20"/>
        </w:rPr>
        <w:t xml:space="preserve">Al respecto, procedemos a adjuntar el acuerdo de la Corte Plena donde aprobó el modelo de gestión de políticas institucionales para su referencia. </w:t>
      </w:r>
    </w:p>
    <w:p>
      <w:pPr>
        <w:pStyle w:val="Normal"/>
        <w:rPr>
          <w:rFonts w:ascii="Tahoma" w:hAnsi="Tahoma" w:cs="Tahoma"/>
          <w:i/>
          <w:i/>
          <w:iCs/>
          <w:sz w:val="20"/>
          <w:szCs w:val="20"/>
        </w:rPr>
      </w:pPr>
      <w:r>
        <w:rPr>
          <w:rFonts w:cs="Tahoma" w:ascii="Tahoma" w:hAnsi="Tahoma"/>
          <w:i/>
          <w:iCs/>
          <w:sz w:val="20"/>
          <w:szCs w:val="20"/>
        </w:rPr>
      </w:r>
    </w:p>
    <w:p>
      <w:pPr>
        <w:pStyle w:val="Normal"/>
        <w:rPr>
          <w:rFonts w:ascii="Tahoma" w:hAnsi="Tahoma" w:cs="Tahoma"/>
          <w:i/>
          <w:i/>
          <w:iCs/>
          <w:sz w:val="20"/>
          <w:szCs w:val="20"/>
        </w:rPr>
      </w:pPr>
      <w:r>
        <w:rPr>
          <w:rFonts w:cs="Tahoma" w:ascii="Tahoma" w:hAnsi="Tahoma"/>
          <w:i/>
          <w:iCs/>
          <w:sz w:val="20"/>
          <w:szCs w:val="20"/>
        </w:rPr>
        <w:t xml:space="preserve">Quedamos atentos a cualquier consulta. </w:t>
      </w:r>
    </w:p>
    <w:p>
      <w:pPr>
        <w:pStyle w:val="Normal"/>
        <w:rPr>
          <w:rFonts w:ascii="Tahoma" w:hAnsi="Tahoma" w:cs="Tahoma"/>
          <w:i/>
          <w:i/>
          <w:iCs/>
          <w:sz w:val="20"/>
          <w:szCs w:val="20"/>
        </w:rPr>
      </w:pPr>
      <w:r>
        <w:rPr>
          <w:rFonts w:cs="Tahoma" w:ascii="Tahoma" w:hAnsi="Tahoma"/>
          <w:i/>
          <w:iCs/>
          <w:sz w:val="20"/>
          <w:szCs w:val="20"/>
        </w:rPr>
      </w:r>
    </w:p>
    <w:p>
      <w:pPr>
        <w:pStyle w:val="Normal"/>
        <w:rPr>
          <w:rFonts w:ascii="Tahoma" w:hAnsi="Tahoma" w:cs="Tahoma"/>
          <w:i/>
          <w:i/>
          <w:iCs/>
          <w:sz w:val="20"/>
          <w:szCs w:val="20"/>
        </w:rPr>
      </w:pPr>
      <w:r>
        <w:rPr>
          <w:rFonts w:cs="Tahoma" w:ascii="Tahoma" w:hAnsi="Tahoma"/>
          <w:i/>
          <w:iCs/>
          <w:sz w:val="20"/>
          <w:szCs w:val="20"/>
        </w:rPr>
        <w:t xml:space="preserve">Atentamente, </w:t>
      </w:r>
    </w:p>
    <w:p>
      <w:pPr>
        <w:pStyle w:val="Normal"/>
        <w:rPr>
          <w:rFonts w:ascii="Tahoma" w:hAnsi="Tahoma" w:cs="Tahoma"/>
          <w:sz w:val="20"/>
          <w:szCs w:val="20"/>
        </w:rPr>
      </w:pPr>
      <w:r>
        <w:rPr/>
        <w:drawing>
          <wp:inline distT="0" distB="0" distL="0" distR="0">
            <wp:extent cx="4981575" cy="1533525"/>
            <wp:effectExtent l="0" t="0" r="0" b="0"/>
            <wp:docPr id="12" name="Imagen 1" descr="cid:image001.jpg@01D5EE46.3AECB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 descr="cid:image001.jpg@01D5EE46.3AECB350"/>
                    <pic:cNvPicPr>
                      <a:picLocks noChangeAspect="1" noChangeArrowheads="1"/>
                    </pic:cNvPicPr>
                  </pic:nvPicPr>
                  <pic:blipFill>
                    <a:blip r:embed="rId13"/>
                    <a:stretch>
                      <a:fillRect/>
                    </a:stretch>
                  </pic:blipFill>
                  <pic:spPr bwMode="auto">
                    <a:xfrm>
                      <a:off x="0" y="0"/>
                      <a:ext cx="4981575" cy="1533525"/>
                    </a:xfrm>
                    <a:prstGeom prst="rect">
                      <a:avLst/>
                    </a:prstGeom>
                  </pic:spPr>
                </pic:pic>
              </a:graphicData>
            </a:graphic>
          </wp:inline>
        </w:drawing>
      </w:r>
    </w:p>
    <w:p>
      <w:pPr>
        <w:pStyle w:val="Gmailm4214538879123250192default"/>
        <w:spacing w:before="280" w:after="280"/>
        <w:jc w:val="both"/>
        <w:rPr>
          <w:rFonts w:ascii="Tahoma" w:hAnsi="Tahoma" w:cs="Tahoma"/>
          <w:b/>
          <w:b/>
          <w:bCs/>
          <w:i/>
          <w:i/>
          <w:sz w:val="20"/>
          <w:szCs w:val="20"/>
          <w:u w:val="single"/>
        </w:rPr>
      </w:pPr>
      <w:r>
        <w:rPr>
          <w:rFonts w:cs="Tahoma" w:ascii="Tahoma" w:hAnsi="Tahoma"/>
          <w:b/>
          <w:bCs/>
          <w:i/>
          <w:sz w:val="20"/>
          <w:szCs w:val="20"/>
          <w:u w:val="single"/>
        </w:rPr>
      </w:r>
    </w:p>
    <w:p>
      <w:pPr>
        <w:pStyle w:val="Ttulo7"/>
        <w:tabs>
          <w:tab w:val="clear" w:pos="708"/>
          <w:tab w:val="left" w:pos="4280" w:leader="none"/>
        </w:tabs>
        <w:ind w:left="4248" w:hanging="0"/>
        <w:jc w:val="both"/>
        <w:rPr>
          <w:rFonts w:ascii="Tahoma" w:hAnsi="Tahoma" w:cs="Tahoma"/>
          <w:bCs/>
          <w:sz w:val="20"/>
          <w:szCs w:val="20"/>
          <w:lang w:val="es-ES_tradnl"/>
        </w:rPr>
      </w:pPr>
      <w:r>
        <w:rPr>
          <w:rFonts w:cs="Tahoma" w:ascii="Tahoma" w:hAnsi="Tahoma"/>
          <w:sz w:val="20"/>
          <w:szCs w:val="20"/>
          <w:lang w:val="es-ES_tradnl"/>
        </w:rPr>
        <w:t>San José, 04 de febrero de 2020</w:t>
      </w:r>
    </w:p>
    <w:p>
      <w:pPr>
        <w:pStyle w:val="Ttulo7"/>
        <w:tabs>
          <w:tab w:val="clear" w:pos="708"/>
          <w:tab w:val="left" w:pos="4280" w:leader="none"/>
        </w:tabs>
        <w:ind w:left="4248" w:hanging="0"/>
        <w:jc w:val="both"/>
        <w:rPr>
          <w:rFonts w:ascii="Tahoma" w:hAnsi="Tahoma" w:cs="Tahoma"/>
          <w:sz w:val="20"/>
          <w:szCs w:val="20"/>
          <w:lang w:val="es-ES_tradnl"/>
        </w:rPr>
      </w:pPr>
      <w:r>
        <w:rPr>
          <w:rFonts w:cs="Tahoma" w:ascii="Tahoma" w:hAnsi="Tahoma"/>
          <w:sz w:val="20"/>
          <w:szCs w:val="20"/>
          <w:lang w:val="es-ES_tradnl"/>
        </w:rPr>
        <w:t>N° 1095-2020</w:t>
      </w:r>
    </w:p>
    <w:p>
      <w:pPr>
        <w:pStyle w:val="Ttulo7"/>
        <w:tabs>
          <w:tab w:val="clear" w:pos="708"/>
          <w:tab w:val="left" w:pos="4280" w:leader="none"/>
        </w:tabs>
        <w:ind w:left="4248" w:hanging="0"/>
        <w:jc w:val="both"/>
        <w:rPr>
          <w:rFonts w:ascii="Tahoma" w:hAnsi="Tahoma" w:cs="Tahoma"/>
          <w:sz w:val="20"/>
          <w:szCs w:val="20"/>
        </w:rPr>
      </w:pPr>
      <w:r>
        <w:rPr>
          <w:rFonts w:cs="Tahoma" w:ascii="Tahoma" w:hAnsi="Tahoma"/>
          <w:sz w:val="20"/>
          <w:szCs w:val="20"/>
        </w:rPr>
        <w:t>Al contestar refiérase a este # de oficio</w:t>
      </w:r>
    </w:p>
    <w:p>
      <w:pPr>
        <w:pStyle w:val="Normal"/>
        <w:jc w:val="both"/>
        <w:rPr>
          <w:rFonts w:ascii="Tahoma" w:hAnsi="Tahoma" w:cs="Tahoma"/>
          <w:b/>
          <w:b/>
          <w:bCs/>
          <w:i/>
          <w:i/>
          <w:iCs/>
          <w:sz w:val="20"/>
          <w:szCs w:val="20"/>
        </w:rPr>
      </w:pPr>
      <w:r>
        <w:rPr>
          <w:rFonts w:cs="Tahoma" w:ascii="Tahoma" w:hAnsi="Tahoma"/>
          <w:b/>
          <w:bCs/>
          <w:i/>
          <w:iCs/>
          <w:sz w:val="20"/>
          <w:szCs w:val="20"/>
        </w:rPr>
      </w:r>
    </w:p>
    <w:p>
      <w:pPr>
        <w:pStyle w:val="Normal"/>
        <w:jc w:val="both"/>
        <w:rPr>
          <w:rFonts w:ascii="Tahoma" w:hAnsi="Tahoma" w:cs="Tahoma"/>
          <w:b/>
          <w:b/>
          <w:bCs/>
          <w:i/>
          <w:i/>
          <w:iCs/>
          <w:sz w:val="20"/>
          <w:szCs w:val="20"/>
        </w:rPr>
      </w:pPr>
      <w:r>
        <w:rPr>
          <w:rFonts w:cs="Tahoma" w:ascii="Tahoma" w:hAnsi="Tahoma"/>
          <w:b/>
          <w:bCs/>
          <w:i/>
          <w:iCs/>
          <w:sz w:val="20"/>
          <w:szCs w:val="20"/>
        </w:rPr>
      </w:r>
    </w:p>
    <w:p>
      <w:pPr>
        <w:pStyle w:val="Normal"/>
        <w:jc w:val="both"/>
        <w:rPr>
          <w:rFonts w:ascii="Tahoma" w:hAnsi="Tahoma" w:eastAsia="Arial Unicode MS" w:cs="Tahoma"/>
          <w:b/>
          <w:b/>
          <w:bCs/>
          <w:i/>
          <w:i/>
          <w:iCs/>
          <w:kern w:val="2"/>
          <w:sz w:val="20"/>
          <w:szCs w:val="20"/>
          <w:lang w:eastAsia="hi-IN" w:bidi="hi-IN"/>
        </w:rPr>
      </w:pPr>
      <w:r>
        <w:rPr>
          <w:rFonts w:eastAsia="Arial Unicode MS" w:cs="Tahoma" w:ascii="Tahoma" w:hAnsi="Tahoma"/>
          <w:b/>
          <w:bCs/>
          <w:i/>
          <w:iCs/>
          <w:kern w:val="2"/>
          <w:sz w:val="20"/>
          <w:szCs w:val="20"/>
          <w:lang w:eastAsia="hi-IN" w:bidi="hi-IN"/>
        </w:rPr>
        <w:t>Señora</w:t>
      </w:r>
    </w:p>
    <w:p>
      <w:pPr>
        <w:pStyle w:val="Normal"/>
        <w:jc w:val="both"/>
        <w:rPr>
          <w:rFonts w:ascii="Tahoma" w:hAnsi="Tahoma" w:eastAsia="Arial Unicode MS" w:cs="Tahoma"/>
          <w:b/>
          <w:b/>
          <w:bCs/>
          <w:i/>
          <w:i/>
          <w:iCs/>
          <w:kern w:val="2"/>
          <w:sz w:val="20"/>
          <w:szCs w:val="20"/>
          <w:lang w:eastAsia="hi-IN" w:bidi="hi-IN"/>
        </w:rPr>
      </w:pPr>
      <w:r>
        <w:rPr>
          <w:rFonts w:eastAsia="Arial Unicode MS" w:cs="Tahoma" w:ascii="Tahoma" w:hAnsi="Tahoma"/>
          <w:b/>
          <w:bCs/>
          <w:i/>
          <w:iCs/>
          <w:kern w:val="2"/>
          <w:sz w:val="20"/>
          <w:szCs w:val="20"/>
          <w:lang w:eastAsia="hi-IN" w:bidi="hi-IN"/>
        </w:rPr>
        <w:t>Licda. Nacira Valverde Bermúdez</w:t>
      </w:r>
    </w:p>
    <w:p>
      <w:pPr>
        <w:pStyle w:val="Normal"/>
        <w:jc w:val="both"/>
        <w:rPr>
          <w:rFonts w:ascii="Tahoma" w:hAnsi="Tahoma" w:eastAsia="Arial Unicode MS" w:cs="Tahoma"/>
          <w:b/>
          <w:b/>
          <w:bCs/>
          <w:i/>
          <w:i/>
          <w:iCs/>
          <w:kern w:val="2"/>
          <w:sz w:val="20"/>
          <w:szCs w:val="20"/>
          <w:lang w:eastAsia="hi-IN" w:bidi="hi-IN"/>
        </w:rPr>
      </w:pPr>
      <w:r>
        <w:rPr>
          <w:rFonts w:eastAsia="Arial Unicode MS" w:cs="Tahoma" w:ascii="Tahoma" w:hAnsi="Tahoma"/>
          <w:b/>
          <w:bCs/>
          <w:i/>
          <w:iCs/>
          <w:kern w:val="2"/>
          <w:sz w:val="20"/>
          <w:szCs w:val="20"/>
          <w:lang w:eastAsia="hi-IN" w:bidi="hi-IN"/>
        </w:rPr>
        <w:t>Directora de Planificación</w:t>
      </w:r>
    </w:p>
    <w:p>
      <w:pPr>
        <w:pStyle w:val="Normal"/>
        <w:jc w:val="both"/>
        <w:rPr>
          <w:rFonts w:ascii="Tahoma" w:hAnsi="Tahoma" w:eastAsia="Arial Unicode MS" w:cs="Tahoma"/>
          <w:b/>
          <w:b/>
          <w:bCs/>
          <w:i/>
          <w:i/>
          <w:iCs/>
          <w:kern w:val="2"/>
          <w:sz w:val="20"/>
          <w:szCs w:val="20"/>
          <w:lang w:eastAsia="hi-IN" w:bidi="hi-IN"/>
        </w:rPr>
      </w:pPr>
      <w:r>
        <w:rPr>
          <w:rFonts w:eastAsia="Arial Unicode MS" w:cs="Tahoma" w:ascii="Tahoma" w:hAnsi="Tahoma"/>
          <w:b/>
          <w:bCs/>
          <w:i/>
          <w:iCs/>
          <w:kern w:val="2"/>
          <w:sz w:val="20"/>
          <w:szCs w:val="20"/>
          <w:lang w:eastAsia="hi-IN" w:bidi="hi-IN"/>
        </w:rPr>
        <w:tab/>
      </w:r>
    </w:p>
    <w:p>
      <w:pPr>
        <w:pStyle w:val="Normal"/>
        <w:jc w:val="both"/>
        <w:rPr>
          <w:rFonts w:ascii="Tahoma" w:hAnsi="Tahoma" w:eastAsia="Arial Unicode MS" w:cs="Tahoma"/>
          <w:b/>
          <w:b/>
          <w:bCs/>
          <w:i/>
          <w:i/>
          <w:iCs/>
          <w:kern w:val="2"/>
          <w:sz w:val="20"/>
          <w:szCs w:val="20"/>
          <w:lang w:eastAsia="hi-IN" w:bidi="hi-IN"/>
        </w:rPr>
      </w:pPr>
      <w:r>
        <w:rPr>
          <w:rFonts w:eastAsia="Arial Unicode MS" w:cs="Tahoma" w:ascii="Tahoma" w:hAnsi="Tahoma"/>
          <w:b/>
          <w:bCs/>
          <w:i/>
          <w:iCs/>
          <w:kern w:val="2"/>
          <w:sz w:val="20"/>
          <w:szCs w:val="20"/>
          <w:lang w:eastAsia="hi-IN" w:bidi="hi-IN"/>
        </w:rPr>
        <w:t>Estimada señora:</w:t>
      </w:r>
    </w:p>
    <w:p>
      <w:pPr>
        <w:pStyle w:val="Normal"/>
        <w:jc w:val="both"/>
        <w:rPr>
          <w:rFonts w:ascii="Tahoma" w:hAnsi="Tahoma" w:eastAsia="Arial Unicode MS" w:cs="Tahoma"/>
          <w:b/>
          <w:b/>
          <w:bCs/>
          <w:i/>
          <w:i/>
          <w:iCs/>
          <w:kern w:val="2"/>
          <w:sz w:val="20"/>
          <w:szCs w:val="20"/>
          <w:lang w:eastAsia="hi-IN" w:bidi="hi-IN"/>
        </w:rPr>
      </w:pPr>
      <w:r>
        <w:rPr>
          <w:rFonts w:eastAsia="Arial Unicode MS" w:cs="Tahoma" w:ascii="Tahoma" w:hAnsi="Tahoma"/>
          <w:b/>
          <w:bCs/>
          <w:i/>
          <w:iCs/>
          <w:kern w:val="2"/>
          <w:sz w:val="20"/>
          <w:szCs w:val="20"/>
          <w:lang w:eastAsia="hi-IN" w:bidi="hi-IN"/>
        </w:rPr>
      </w:r>
    </w:p>
    <w:p>
      <w:pPr>
        <w:pStyle w:val="Normal"/>
        <w:jc w:val="both"/>
        <w:rPr>
          <w:rFonts w:ascii="Tahoma" w:hAnsi="Tahoma" w:cs="Tahoma"/>
          <w:b/>
          <w:b/>
          <w:bCs/>
          <w:i/>
          <w:i/>
          <w:iCs/>
          <w:sz w:val="20"/>
          <w:szCs w:val="20"/>
        </w:rPr>
      </w:pPr>
      <w:r>
        <w:rPr>
          <w:rFonts w:cs="Tahoma" w:ascii="Tahoma" w:hAnsi="Tahoma"/>
          <w:b/>
          <w:bCs/>
          <w:i/>
          <w:iCs/>
          <w:sz w:val="20"/>
          <w:szCs w:val="20"/>
        </w:rPr>
      </w:r>
    </w:p>
    <w:p>
      <w:pPr>
        <w:pStyle w:val="Normal"/>
        <w:ind w:firstLine="708"/>
        <w:jc w:val="both"/>
        <w:rPr>
          <w:rFonts w:ascii="Tahoma" w:hAnsi="Tahoma" w:cs="Tahoma"/>
          <w:i/>
          <w:i/>
          <w:iCs/>
          <w:sz w:val="20"/>
          <w:szCs w:val="20"/>
        </w:rPr>
      </w:pPr>
      <w:r>
        <w:rPr>
          <w:rFonts w:cs="Tahoma" w:ascii="Tahoma" w:hAnsi="Tahoma"/>
          <w:i/>
          <w:iCs/>
          <w:sz w:val="20"/>
          <w:szCs w:val="20"/>
        </w:rPr>
        <w:t xml:space="preserve">Para su estimable conocimiento y fines consiguientes, le transcribo el acuerdo tomado por la Corte Plena, en sesión </w:t>
      </w:r>
      <w:r>
        <w:rPr>
          <w:rFonts w:cs="Tahoma" w:ascii="Tahoma" w:hAnsi="Tahoma"/>
          <w:b/>
          <w:bCs/>
          <w:i/>
          <w:iCs/>
          <w:sz w:val="20"/>
          <w:szCs w:val="20"/>
        </w:rPr>
        <w:t xml:space="preserve">N° 02-2020 </w:t>
      </w:r>
      <w:r>
        <w:rPr>
          <w:rFonts w:cs="Tahoma" w:ascii="Tahoma" w:hAnsi="Tahoma"/>
          <w:bCs/>
          <w:i/>
          <w:iCs/>
          <w:sz w:val="20"/>
          <w:szCs w:val="20"/>
        </w:rPr>
        <w:t>c</w:t>
      </w:r>
      <w:r>
        <w:rPr>
          <w:rFonts w:cs="Tahoma" w:ascii="Tahoma" w:hAnsi="Tahoma"/>
          <w:i/>
          <w:iCs/>
          <w:sz w:val="20"/>
          <w:szCs w:val="20"/>
        </w:rPr>
        <w:t xml:space="preserve">elebrada el </w:t>
      </w:r>
      <w:r>
        <w:rPr>
          <w:rFonts w:cs="Tahoma" w:ascii="Tahoma" w:hAnsi="Tahoma"/>
          <w:b/>
          <w:i/>
          <w:iCs/>
          <w:sz w:val="20"/>
          <w:szCs w:val="20"/>
        </w:rPr>
        <w:t>13 de enero</w:t>
      </w:r>
      <w:r>
        <w:rPr>
          <w:rFonts w:cs="Tahoma" w:ascii="Tahoma" w:hAnsi="Tahoma"/>
          <w:b/>
          <w:bCs/>
          <w:i/>
          <w:iCs/>
          <w:sz w:val="20"/>
          <w:szCs w:val="20"/>
        </w:rPr>
        <w:t xml:space="preserve"> del 2020,</w:t>
      </w:r>
      <w:r>
        <w:rPr>
          <w:rFonts w:cs="Tahoma" w:ascii="Tahoma" w:hAnsi="Tahoma"/>
          <w:i/>
          <w:iCs/>
          <w:sz w:val="20"/>
          <w:szCs w:val="20"/>
        </w:rPr>
        <w:t xml:space="preserve"> que literalmente dice:</w:t>
      </w:r>
    </w:p>
    <w:p>
      <w:pPr>
        <w:pStyle w:val="Normal"/>
        <w:ind w:firstLine="15"/>
        <w:jc w:val="both"/>
        <w:rPr>
          <w:rFonts w:ascii="Tahoma" w:hAnsi="Tahoma" w:cs="Tahoma"/>
          <w:i/>
          <w:i/>
          <w:iCs/>
          <w:sz w:val="20"/>
          <w:szCs w:val="20"/>
        </w:rPr>
      </w:pPr>
      <w:r>
        <w:rPr>
          <w:rFonts w:cs="Tahoma" w:ascii="Tahoma" w:hAnsi="Tahoma"/>
          <w:i/>
          <w:iCs/>
          <w:sz w:val="20"/>
          <w:szCs w:val="20"/>
        </w:rPr>
      </w:r>
    </w:p>
    <w:p>
      <w:pPr>
        <w:pStyle w:val="Normal"/>
        <w:keepNext w:val="true"/>
        <w:numPr>
          <w:ilvl w:val="0"/>
          <w:numId w:val="0"/>
        </w:numPr>
        <w:tabs>
          <w:tab w:val="clear" w:pos="708"/>
          <w:tab w:val="left" w:pos="0" w:leader="none"/>
        </w:tabs>
        <w:jc w:val="center"/>
        <w:outlineLvl w:val="1"/>
        <w:rPr>
          <w:rFonts w:ascii="Tahoma" w:hAnsi="Tahoma" w:cs="Tahoma"/>
          <w:b/>
          <w:b/>
          <w:bCs/>
          <w:i/>
          <w:i/>
          <w:iCs/>
          <w:sz w:val="20"/>
          <w:szCs w:val="20"/>
          <w:u w:val="single"/>
        </w:rPr>
      </w:pPr>
      <w:r>
        <w:rPr>
          <w:rFonts w:cs="Tahoma" w:ascii="Tahoma" w:hAnsi="Tahoma"/>
          <w:b/>
          <w:bCs/>
          <w:i/>
          <w:iCs/>
          <w:sz w:val="20"/>
          <w:szCs w:val="20"/>
        </w:rPr>
        <w:t>“</w:t>
      </w:r>
      <w:bookmarkStart w:id="3" w:name="_Toc29548635"/>
      <w:bookmarkStart w:id="4" w:name="_Toc27126309"/>
      <w:bookmarkStart w:id="5" w:name="_Toc26521081"/>
      <w:r>
        <w:rPr>
          <w:rFonts w:cs="Tahoma" w:ascii="Tahoma" w:hAnsi="Tahoma"/>
          <w:b/>
          <w:bCs/>
          <w:i/>
          <w:iCs/>
          <w:sz w:val="20"/>
          <w:szCs w:val="20"/>
          <w:u w:val="single"/>
        </w:rPr>
        <w:t xml:space="preserve">ARTÍCULO </w:t>
      </w:r>
      <w:bookmarkEnd w:id="3"/>
      <w:bookmarkEnd w:id="4"/>
      <w:bookmarkEnd w:id="5"/>
      <w:r>
        <w:rPr>
          <w:rFonts w:cs="Tahoma" w:ascii="Tahoma" w:hAnsi="Tahoma"/>
          <w:b/>
          <w:bCs/>
          <w:i/>
          <w:iCs/>
          <w:sz w:val="20"/>
          <w:szCs w:val="20"/>
          <w:u w:val="single"/>
        </w:rPr>
        <w:t>XXXII</w:t>
      </w:r>
    </w:p>
    <w:p>
      <w:pPr>
        <w:pStyle w:val="Normal"/>
        <w:keepNext w:val="true"/>
        <w:numPr>
          <w:ilvl w:val="0"/>
          <w:numId w:val="0"/>
        </w:numPr>
        <w:tabs>
          <w:tab w:val="clear" w:pos="708"/>
          <w:tab w:val="left" w:pos="0" w:leader="none"/>
        </w:tabs>
        <w:jc w:val="center"/>
        <w:outlineLvl w:val="1"/>
        <w:rPr>
          <w:rFonts w:ascii="Tahoma" w:hAnsi="Tahoma" w:cs="Tahoma"/>
          <w:b/>
          <w:b/>
          <w:bCs/>
          <w:i/>
          <w:i/>
          <w:iCs/>
          <w:sz w:val="20"/>
          <w:szCs w:val="20"/>
          <w:u w:val="single"/>
        </w:rPr>
      </w:pPr>
      <w:r>
        <w:rPr>
          <w:rFonts w:cs="Tahoma" w:ascii="Tahoma" w:hAnsi="Tahoma"/>
          <w:b/>
          <w:bCs/>
          <w:i/>
          <w:iCs/>
          <w:sz w:val="20"/>
          <w:szCs w:val="20"/>
          <w:u w:val="single"/>
        </w:rPr>
      </w:r>
    </w:p>
    <w:p>
      <w:pPr>
        <w:pStyle w:val="Normal"/>
        <w:keepNext w:val="true"/>
        <w:numPr>
          <w:ilvl w:val="0"/>
          <w:numId w:val="0"/>
        </w:numPr>
        <w:tabs>
          <w:tab w:val="clear" w:pos="708"/>
          <w:tab w:val="left" w:pos="0" w:leader="none"/>
        </w:tabs>
        <w:jc w:val="both"/>
        <w:outlineLvl w:val="1"/>
        <w:rPr>
          <w:rFonts w:ascii="Tahoma" w:hAnsi="Tahoma" w:cs="Tahoma"/>
          <w:b/>
          <w:b/>
          <w:bCs/>
          <w:i/>
          <w:i/>
          <w:iCs/>
          <w:sz w:val="20"/>
          <w:szCs w:val="20"/>
        </w:rPr>
      </w:pPr>
      <w:r>
        <w:rPr>
          <w:rFonts w:cs="Tahoma" w:ascii="Tahoma" w:hAnsi="Tahoma"/>
          <w:b/>
          <w:bCs/>
          <w:i/>
          <w:iCs/>
          <w:sz w:val="20"/>
          <w:szCs w:val="20"/>
        </w:rPr>
        <w:tab/>
        <w:t>SALEN EL MAGISTRADO SOLÍS Y LA MAGISTRADA HERNÁNDEZ.</w:t>
      </w:r>
    </w:p>
    <w:p>
      <w:pPr>
        <w:pStyle w:val="Normal"/>
        <w:keepNext w:val="true"/>
        <w:numPr>
          <w:ilvl w:val="0"/>
          <w:numId w:val="0"/>
        </w:numPr>
        <w:tabs>
          <w:tab w:val="clear" w:pos="708"/>
          <w:tab w:val="left" w:pos="0" w:leader="none"/>
        </w:tabs>
        <w:jc w:val="both"/>
        <w:outlineLvl w:val="1"/>
        <w:rPr>
          <w:rFonts w:ascii="Tahoma" w:hAnsi="Tahoma" w:cs="Tahoma"/>
          <w:b/>
          <w:b/>
          <w:bCs/>
          <w:i/>
          <w:i/>
          <w:iCs/>
          <w:sz w:val="20"/>
          <w:szCs w:val="20"/>
        </w:rPr>
      </w:pPr>
      <w:r>
        <w:rPr>
          <w:rFonts w:cs="Tahoma" w:ascii="Tahoma" w:hAnsi="Tahoma"/>
          <w:b/>
          <w:bCs/>
          <w:i/>
          <w:iCs/>
          <w:sz w:val="20"/>
          <w:szCs w:val="20"/>
        </w:rPr>
      </w:r>
    </w:p>
    <w:p>
      <w:pPr>
        <w:pStyle w:val="Normal"/>
        <w:ind w:firstLine="709"/>
        <w:jc w:val="both"/>
        <w:rPr>
          <w:rFonts w:ascii="Tahoma" w:hAnsi="Tahoma" w:cs="Tahoma"/>
          <w:b/>
          <w:b/>
          <w:i/>
          <w:i/>
          <w:iCs/>
          <w:sz w:val="20"/>
          <w:szCs w:val="20"/>
        </w:rPr>
      </w:pPr>
      <w:r>
        <w:rPr>
          <w:rFonts w:cs="Tahoma" w:ascii="Tahoma" w:hAnsi="Tahoma"/>
          <w:b/>
          <w:i/>
          <w:iCs/>
          <w:sz w:val="20"/>
          <w:szCs w:val="20"/>
        </w:rPr>
        <w:t>Documento 10405-17/15762-19</w:t>
      </w:r>
    </w:p>
    <w:p>
      <w:pPr>
        <w:pStyle w:val="Normal"/>
        <w:ind w:firstLine="709"/>
        <w:jc w:val="both"/>
        <w:rPr>
          <w:rFonts w:ascii="Tahoma" w:hAnsi="Tahoma" w:cs="Tahoma"/>
          <w:b/>
          <w:b/>
          <w:i/>
          <w:i/>
          <w:iCs/>
          <w:sz w:val="20"/>
          <w:szCs w:val="20"/>
        </w:rPr>
      </w:pPr>
      <w:r>
        <w:rPr>
          <w:rFonts w:cs="Tahoma" w:ascii="Tahoma" w:hAnsi="Tahoma"/>
          <w:b/>
          <w:i/>
          <w:iCs/>
          <w:sz w:val="20"/>
          <w:szCs w:val="20"/>
        </w:rPr>
      </w:r>
    </w:p>
    <w:p>
      <w:pPr>
        <w:pStyle w:val="Normal"/>
        <w:ind w:firstLine="709"/>
        <w:jc w:val="both"/>
        <w:rPr>
          <w:rFonts w:ascii="Tahoma" w:hAnsi="Tahoma" w:cs="Tahoma"/>
          <w:i/>
          <w:i/>
          <w:iCs/>
          <w:sz w:val="20"/>
          <w:szCs w:val="20"/>
        </w:rPr>
      </w:pPr>
      <w:r>
        <w:rPr>
          <w:rFonts w:cs="Tahoma" w:ascii="Tahoma" w:hAnsi="Tahoma"/>
          <w:i/>
          <w:iCs/>
          <w:sz w:val="20"/>
          <w:szCs w:val="20"/>
        </w:rPr>
        <w:t>En sesión N° 56-18 celebrada el 10 de diciembre de 2018, artículo XXIII, se tuvo por hecha la exposición de la licenciada Nacira Valverde Bermúdez, Directora de Planificación, sobre el Plan Estratégico Institucional 2019-2024. En ese sentido se acogió el informe N° 1463-PLA-2018, Plan Estratégico Institucional 2019-2024, así como sus recomendaciones en los términos señalados.</w:t>
      </w:r>
    </w:p>
    <w:p>
      <w:pPr>
        <w:pStyle w:val="Normal"/>
        <w:ind w:firstLine="709"/>
        <w:jc w:val="both"/>
        <w:rPr>
          <w:rFonts w:ascii="Tahoma" w:hAnsi="Tahoma" w:cs="Tahoma"/>
          <w:i/>
          <w:i/>
          <w:iCs/>
          <w:sz w:val="20"/>
          <w:szCs w:val="20"/>
        </w:rPr>
      </w:pPr>
      <w:r>
        <w:rPr>
          <w:rFonts w:cs="Tahoma" w:ascii="Tahoma" w:hAnsi="Tahoma"/>
          <w:i/>
          <w:iCs/>
          <w:sz w:val="20"/>
          <w:szCs w:val="20"/>
        </w:rPr>
      </w:r>
    </w:p>
    <w:p>
      <w:pPr>
        <w:pStyle w:val="Normal"/>
        <w:ind w:firstLine="709"/>
        <w:jc w:val="both"/>
        <w:rPr>
          <w:rFonts w:ascii="Tahoma" w:hAnsi="Tahoma" w:cs="Tahoma"/>
          <w:i/>
          <w:i/>
          <w:iCs/>
          <w:sz w:val="20"/>
          <w:szCs w:val="20"/>
        </w:rPr>
      </w:pPr>
      <w:r>
        <w:rPr>
          <w:rFonts w:cs="Tahoma" w:ascii="Tahoma" w:hAnsi="Tahoma"/>
          <w:i/>
          <w:iCs/>
          <w:sz w:val="20"/>
          <w:szCs w:val="20"/>
        </w:rPr>
        <w:t xml:space="preserve">La máster Nacira Valverde Bermúdez, Directora interina de la Dirección de Planificación, en oficio N° 1995-PLA-PE-2019 de 27 de noviembre de 2019, remite el informe relacionado con la propuesta para implementar la metodología para la confección y aprobación de Políticas Institucionales, cuyas conclusiones y recomendaciones dicen: </w:t>
      </w:r>
    </w:p>
    <w:p>
      <w:pPr>
        <w:pStyle w:val="Normal"/>
        <w:ind w:firstLine="709"/>
        <w:jc w:val="both"/>
        <w:rPr>
          <w:rFonts w:ascii="Tahoma" w:hAnsi="Tahoma" w:cs="Tahoma"/>
          <w:i/>
          <w:i/>
          <w:iCs/>
          <w:sz w:val="20"/>
          <w:szCs w:val="20"/>
          <w:lang w:eastAsia="es-ES"/>
        </w:rPr>
      </w:pPr>
      <w:r>
        <w:rPr>
          <w:rFonts w:cs="Tahoma" w:ascii="Tahoma" w:hAnsi="Tahoma"/>
          <w:i/>
          <w:iCs/>
          <w:sz w:val="20"/>
          <w:szCs w:val="20"/>
          <w:lang w:eastAsia="es-ES"/>
        </w:rPr>
      </w:r>
    </w:p>
    <w:p>
      <w:pPr>
        <w:pStyle w:val="Normal"/>
        <w:ind w:left="851" w:right="851" w:firstLine="709"/>
        <w:jc w:val="both"/>
        <w:rPr>
          <w:rFonts w:ascii="Tahoma" w:hAnsi="Tahoma" w:cs="Tahoma"/>
          <w:i/>
          <w:i/>
          <w:iCs/>
          <w:sz w:val="20"/>
          <w:szCs w:val="20"/>
        </w:rPr>
      </w:pPr>
      <w:r>
        <w:rPr>
          <w:rFonts w:cs="Tahoma" w:ascii="Tahoma" w:hAnsi="Tahoma"/>
          <w:i/>
          <w:iCs/>
          <w:sz w:val="20"/>
          <w:szCs w:val="20"/>
        </w:rPr>
        <w:t>“</w:t>
      </w:r>
      <w:r>
        <w:rPr>
          <w:rFonts w:cs="Tahoma" w:ascii="Tahoma" w:hAnsi="Tahoma"/>
          <w:i/>
          <w:iCs/>
          <w:sz w:val="20"/>
          <w:szCs w:val="20"/>
        </w:rPr>
        <w:t>(…)</w:t>
      </w:r>
    </w:p>
    <w:p>
      <w:pPr>
        <w:pStyle w:val="Normal"/>
        <w:ind w:left="851" w:right="851" w:firstLine="709"/>
        <w:jc w:val="both"/>
        <w:rPr>
          <w:rFonts w:ascii="Tahoma" w:hAnsi="Tahoma" w:cs="Tahoma"/>
          <w:i/>
          <w:i/>
          <w:iCs/>
          <w:sz w:val="20"/>
          <w:szCs w:val="20"/>
        </w:rPr>
      </w:pPr>
      <w:r>
        <w:rPr>
          <w:rFonts w:cs="Tahoma" w:ascii="Tahoma" w:hAnsi="Tahoma"/>
          <w:i/>
          <w:iCs/>
          <w:sz w:val="20"/>
          <w:szCs w:val="20"/>
        </w:rPr>
      </w:r>
    </w:p>
    <w:p>
      <w:pPr>
        <w:pStyle w:val="Normal"/>
        <w:ind w:left="851" w:right="851" w:firstLine="709"/>
        <w:jc w:val="both"/>
        <w:rPr>
          <w:rFonts w:ascii="Tahoma" w:hAnsi="Tahoma" w:cs="Tahoma"/>
          <w:i/>
          <w:i/>
          <w:iCs/>
          <w:sz w:val="20"/>
          <w:szCs w:val="20"/>
        </w:rPr>
      </w:pPr>
      <w:bookmarkStart w:id="6" w:name="_Toc24623680"/>
      <w:r>
        <w:rPr>
          <w:rFonts w:cs="Tahoma" w:ascii="Tahoma" w:hAnsi="Tahoma"/>
          <w:i/>
          <w:iCs/>
          <w:sz w:val="20"/>
          <w:szCs w:val="20"/>
        </w:rPr>
        <w:t>“</w:t>
      </w:r>
      <w:r>
        <w:rPr>
          <w:rFonts w:cs="Tahoma" w:ascii="Tahoma" w:hAnsi="Tahoma"/>
          <w:b/>
          <w:bCs/>
          <w:i/>
          <w:iCs/>
          <w:sz w:val="20"/>
          <w:szCs w:val="20"/>
        </w:rPr>
        <w:t>VII. Elementos Conclusivos</w:t>
      </w:r>
      <w:bookmarkEnd w:id="6"/>
    </w:p>
    <w:p>
      <w:pPr>
        <w:pStyle w:val="Normal"/>
        <w:ind w:left="851" w:right="851" w:firstLine="709"/>
        <w:jc w:val="both"/>
        <w:rPr>
          <w:rFonts w:ascii="Tahoma" w:hAnsi="Tahoma" w:cs="Tahoma"/>
          <w:i/>
          <w:i/>
          <w:iCs/>
          <w:sz w:val="20"/>
          <w:szCs w:val="20"/>
        </w:rPr>
      </w:pPr>
      <w:r>
        <w:rPr>
          <w:rFonts w:cs="Tahoma" w:ascii="Tahoma" w:hAnsi="Tahoma"/>
          <w:i/>
          <w:iCs/>
          <w:sz w:val="20"/>
          <w:szCs w:val="20"/>
        </w:rPr>
      </w:r>
    </w:p>
    <w:p>
      <w:pPr>
        <w:pStyle w:val="Normal"/>
        <w:ind w:left="851" w:right="851" w:firstLine="709"/>
        <w:jc w:val="both"/>
        <w:rPr>
          <w:rFonts w:ascii="Tahoma" w:hAnsi="Tahoma" w:cs="Tahoma"/>
          <w:i/>
          <w:i/>
          <w:iCs/>
          <w:sz w:val="20"/>
          <w:szCs w:val="20"/>
        </w:rPr>
      </w:pPr>
      <w:r>
        <w:rPr>
          <w:rFonts w:cs="Tahoma" w:ascii="Tahoma" w:hAnsi="Tahoma"/>
          <w:i/>
          <w:iCs/>
          <w:sz w:val="20"/>
          <w:szCs w:val="20"/>
        </w:rPr>
        <w:t>Entre las principales conclusiones sobresalen las siguientes:</w:t>
      </w:r>
    </w:p>
    <w:p>
      <w:pPr>
        <w:pStyle w:val="Normal"/>
        <w:ind w:left="851" w:right="851" w:firstLine="709"/>
        <w:jc w:val="both"/>
        <w:rPr>
          <w:rFonts w:ascii="Tahoma" w:hAnsi="Tahoma" w:cs="Tahoma"/>
          <w:i/>
          <w:i/>
          <w:iCs/>
          <w:sz w:val="20"/>
          <w:szCs w:val="20"/>
        </w:rPr>
      </w:pPr>
      <w:r>
        <w:rPr>
          <w:rFonts w:cs="Tahoma" w:ascii="Tahoma" w:hAnsi="Tahoma"/>
          <w:i/>
          <w:iCs/>
          <w:sz w:val="20"/>
          <w:szCs w:val="20"/>
        </w:rPr>
      </w:r>
    </w:p>
    <w:p>
      <w:pPr>
        <w:pStyle w:val="Normal"/>
        <w:ind w:left="851" w:right="851" w:firstLine="709"/>
        <w:jc w:val="both"/>
        <w:rPr>
          <w:rFonts w:ascii="Tahoma" w:hAnsi="Tahoma" w:cs="Tahoma"/>
          <w:i/>
          <w:i/>
          <w:iCs/>
          <w:sz w:val="20"/>
          <w:szCs w:val="20"/>
        </w:rPr>
      </w:pPr>
      <w:r>
        <w:rPr>
          <w:rFonts w:cs="Tahoma" w:ascii="Tahoma" w:hAnsi="Tahoma"/>
          <w:i/>
          <w:iCs/>
          <w:sz w:val="20"/>
          <w:szCs w:val="20"/>
        </w:rPr>
        <w:t xml:space="preserve">7.1. En el Poder Judicial, se destacan dos tipos de políticas: las políticas institucionales de impacto social y/o institucional y las políticas institucionales de índole operativo. </w:t>
      </w:r>
    </w:p>
    <w:p>
      <w:pPr>
        <w:pStyle w:val="Normal"/>
        <w:ind w:left="851" w:right="851" w:firstLine="709"/>
        <w:jc w:val="both"/>
        <w:rPr>
          <w:rFonts w:ascii="Tahoma" w:hAnsi="Tahoma" w:cs="Tahoma"/>
          <w:i/>
          <w:i/>
          <w:iCs/>
          <w:sz w:val="20"/>
          <w:szCs w:val="20"/>
        </w:rPr>
      </w:pPr>
      <w:r>
        <w:rPr>
          <w:rFonts w:cs="Tahoma" w:ascii="Tahoma" w:hAnsi="Tahoma"/>
          <w:i/>
          <w:iCs/>
          <w:sz w:val="20"/>
          <w:szCs w:val="20"/>
        </w:rPr>
      </w:r>
    </w:p>
    <w:p>
      <w:pPr>
        <w:pStyle w:val="Normal"/>
        <w:ind w:left="851" w:right="851" w:firstLine="709"/>
        <w:jc w:val="both"/>
        <w:rPr>
          <w:rFonts w:ascii="Tahoma" w:hAnsi="Tahoma" w:cs="Tahoma"/>
          <w:i/>
          <w:i/>
          <w:iCs/>
          <w:sz w:val="20"/>
          <w:szCs w:val="20"/>
        </w:rPr>
      </w:pPr>
      <w:r>
        <w:rPr>
          <w:rFonts w:cs="Tahoma" w:ascii="Tahoma" w:hAnsi="Tahoma"/>
          <w:i/>
          <w:iCs/>
          <w:sz w:val="20"/>
          <w:szCs w:val="20"/>
        </w:rPr>
        <w:t>7.2. Actualmente, se logró identificar en el Poder Judicial 31 instrumentos, que en su oportunidad fueron catalogados como Políticas Institucionales y 6 propuestas de políticas nueva en el nuevo plan estratégico para el periodo 2019-2024.</w:t>
      </w:r>
    </w:p>
    <w:p>
      <w:pPr>
        <w:pStyle w:val="Normal"/>
        <w:ind w:left="851" w:right="851" w:firstLine="709"/>
        <w:jc w:val="both"/>
        <w:rPr>
          <w:rFonts w:ascii="Tahoma" w:hAnsi="Tahoma" w:cs="Tahoma"/>
          <w:i/>
          <w:i/>
          <w:iCs/>
          <w:sz w:val="20"/>
          <w:szCs w:val="20"/>
        </w:rPr>
      </w:pPr>
      <w:r>
        <w:rPr>
          <w:rFonts w:cs="Tahoma" w:ascii="Tahoma" w:hAnsi="Tahoma"/>
          <w:i/>
          <w:iCs/>
          <w:sz w:val="20"/>
          <w:szCs w:val="20"/>
        </w:rPr>
      </w:r>
    </w:p>
    <w:p>
      <w:pPr>
        <w:pStyle w:val="Normal"/>
        <w:ind w:left="851" w:right="851" w:firstLine="709"/>
        <w:jc w:val="both"/>
        <w:rPr>
          <w:rFonts w:ascii="Tahoma" w:hAnsi="Tahoma" w:cs="Tahoma"/>
          <w:i/>
          <w:i/>
          <w:iCs/>
          <w:sz w:val="20"/>
          <w:szCs w:val="20"/>
        </w:rPr>
      </w:pPr>
      <w:r>
        <w:rPr>
          <w:rFonts w:cs="Tahoma" w:ascii="Tahoma" w:hAnsi="Tahoma"/>
          <w:i/>
          <w:iCs/>
          <w:sz w:val="20"/>
          <w:szCs w:val="20"/>
        </w:rPr>
        <w:t>7.3. Debido a la variabilidad que caracteriza estas políticas, se establece la necesidad de estandarizar la gestión de las nuevas políticas institucionales de índole social y/o institucional, lo que permitirá una mejora en la efectividad de su ejecución.</w:t>
      </w:r>
    </w:p>
    <w:p>
      <w:pPr>
        <w:pStyle w:val="Normal"/>
        <w:ind w:left="851" w:right="851" w:firstLine="709"/>
        <w:jc w:val="both"/>
        <w:rPr>
          <w:rFonts w:ascii="Tahoma" w:hAnsi="Tahoma" w:cs="Tahoma"/>
          <w:i/>
          <w:i/>
          <w:iCs/>
          <w:sz w:val="20"/>
          <w:szCs w:val="20"/>
        </w:rPr>
      </w:pPr>
      <w:r>
        <w:rPr>
          <w:rFonts w:cs="Tahoma" w:ascii="Tahoma" w:hAnsi="Tahoma"/>
          <w:i/>
          <w:iCs/>
          <w:sz w:val="20"/>
          <w:szCs w:val="20"/>
        </w:rPr>
        <w:t>7.4. Para garantizar el cumplimiento del proceso de gestión de las Políticas Institucionales y lograr el alineamiento con el Plan Estratégico</w:t>
      </w:r>
    </w:p>
    <w:p>
      <w:pPr>
        <w:pStyle w:val="Normal"/>
        <w:ind w:left="851" w:right="851" w:firstLine="709"/>
        <w:jc w:val="both"/>
        <w:rPr>
          <w:rFonts w:ascii="Tahoma" w:hAnsi="Tahoma" w:cs="Tahoma"/>
          <w:i/>
          <w:i/>
          <w:iCs/>
          <w:sz w:val="20"/>
          <w:szCs w:val="20"/>
        </w:rPr>
      </w:pPr>
      <w:r>
        <w:rPr>
          <w:rFonts w:cs="Tahoma" w:ascii="Tahoma" w:hAnsi="Tahoma"/>
          <w:i/>
          <w:iCs/>
          <w:sz w:val="20"/>
          <w:szCs w:val="20"/>
        </w:rPr>
        <w:t xml:space="preserve">Institucional 2019-2024, se propone la gestión de un informe anual con el seguimiento de los resultados del plan de acción de cada una de las políticas institucionales nuevas, que hayan sido construidas a partir de este modelo; establecido en los planes anuales operativos de las oficinas responsables, utilizando la metodología descrita supra sobre el desarrollo de los planes de acción. </w:t>
      </w:r>
    </w:p>
    <w:p>
      <w:pPr>
        <w:pStyle w:val="Normal"/>
        <w:ind w:left="851" w:right="851" w:firstLine="709"/>
        <w:jc w:val="both"/>
        <w:rPr>
          <w:rFonts w:ascii="Tahoma" w:hAnsi="Tahoma" w:cs="Tahoma"/>
          <w:b/>
          <w:b/>
          <w:bCs/>
          <w:i/>
          <w:i/>
          <w:iCs/>
          <w:sz w:val="20"/>
          <w:szCs w:val="20"/>
        </w:rPr>
      </w:pPr>
      <w:r>
        <w:rPr>
          <w:rFonts w:cs="Tahoma" w:ascii="Tahoma" w:hAnsi="Tahoma"/>
          <w:b/>
          <w:bCs/>
          <w:i/>
          <w:iCs/>
          <w:sz w:val="20"/>
          <w:szCs w:val="20"/>
        </w:rPr>
      </w:r>
      <w:bookmarkStart w:id="7" w:name="_Toc24623681"/>
      <w:bookmarkStart w:id="8" w:name="_Toc24623681"/>
    </w:p>
    <w:p>
      <w:pPr>
        <w:pStyle w:val="Normal"/>
        <w:ind w:left="851" w:right="851" w:firstLine="709"/>
        <w:jc w:val="both"/>
        <w:rPr>
          <w:rFonts w:ascii="Tahoma" w:hAnsi="Tahoma" w:cs="Tahoma"/>
          <w:b/>
          <w:b/>
          <w:bCs/>
          <w:i/>
          <w:i/>
          <w:iCs/>
          <w:sz w:val="20"/>
          <w:szCs w:val="20"/>
        </w:rPr>
      </w:pPr>
      <w:bookmarkStart w:id="9" w:name="_Toc24623681"/>
      <w:r>
        <w:rPr>
          <w:rFonts w:cs="Tahoma" w:ascii="Tahoma" w:hAnsi="Tahoma"/>
          <w:b/>
          <w:bCs/>
          <w:i/>
          <w:iCs/>
          <w:sz w:val="20"/>
          <w:szCs w:val="20"/>
        </w:rPr>
        <w:t>VIII. Recomendaciones</w:t>
      </w:r>
      <w:bookmarkEnd w:id="9"/>
    </w:p>
    <w:p>
      <w:pPr>
        <w:pStyle w:val="Normal"/>
        <w:ind w:left="851" w:right="851" w:firstLine="709"/>
        <w:jc w:val="both"/>
        <w:rPr>
          <w:rFonts w:ascii="Tahoma" w:hAnsi="Tahoma" w:cs="Tahoma"/>
          <w:i/>
          <w:i/>
          <w:iCs/>
          <w:sz w:val="20"/>
          <w:szCs w:val="20"/>
        </w:rPr>
      </w:pPr>
      <w:r>
        <w:rPr>
          <w:rFonts w:cs="Tahoma" w:ascii="Tahoma" w:hAnsi="Tahoma"/>
          <w:i/>
          <w:iCs/>
          <w:sz w:val="20"/>
          <w:szCs w:val="20"/>
        </w:rPr>
      </w:r>
    </w:p>
    <w:p>
      <w:pPr>
        <w:pStyle w:val="Normal"/>
        <w:ind w:left="851" w:right="851" w:firstLine="709"/>
        <w:jc w:val="both"/>
        <w:rPr>
          <w:rFonts w:ascii="Tahoma" w:hAnsi="Tahoma" w:cs="Tahoma"/>
          <w:i/>
          <w:i/>
          <w:iCs/>
          <w:sz w:val="20"/>
          <w:szCs w:val="20"/>
        </w:rPr>
      </w:pPr>
      <w:r>
        <w:rPr>
          <w:rFonts w:cs="Tahoma" w:ascii="Tahoma" w:hAnsi="Tahoma"/>
          <w:i/>
          <w:iCs/>
          <w:sz w:val="20"/>
          <w:szCs w:val="20"/>
        </w:rPr>
        <w:t>Con el fin de mejorar la gestión de Políticas Institucionales en el Poder Judicial, se recomienda:</w:t>
      </w:r>
    </w:p>
    <w:p>
      <w:pPr>
        <w:pStyle w:val="Normal"/>
        <w:ind w:left="851" w:right="851" w:firstLine="709"/>
        <w:jc w:val="both"/>
        <w:rPr>
          <w:rFonts w:ascii="Tahoma" w:hAnsi="Tahoma" w:cs="Tahoma"/>
          <w:i/>
          <w:i/>
          <w:iCs/>
          <w:sz w:val="20"/>
          <w:szCs w:val="20"/>
        </w:rPr>
      </w:pPr>
      <w:r>
        <w:rPr>
          <w:rFonts w:cs="Tahoma" w:ascii="Tahoma" w:hAnsi="Tahoma"/>
          <w:i/>
          <w:iCs/>
          <w:sz w:val="20"/>
          <w:szCs w:val="20"/>
        </w:rPr>
      </w:r>
    </w:p>
    <w:p>
      <w:pPr>
        <w:pStyle w:val="Normal"/>
        <w:ind w:left="851" w:right="851" w:firstLine="709"/>
        <w:jc w:val="both"/>
        <w:rPr>
          <w:rFonts w:ascii="Tahoma" w:hAnsi="Tahoma" w:cs="Tahoma"/>
          <w:b/>
          <w:b/>
          <w:i/>
          <w:i/>
          <w:iCs/>
          <w:sz w:val="20"/>
          <w:szCs w:val="20"/>
          <w:u w:val="single"/>
        </w:rPr>
      </w:pPr>
      <w:r>
        <w:rPr>
          <w:rFonts w:cs="Tahoma" w:ascii="Tahoma" w:hAnsi="Tahoma"/>
          <w:b/>
          <w:i/>
          <w:iCs/>
          <w:sz w:val="20"/>
          <w:szCs w:val="20"/>
          <w:u w:val="single"/>
        </w:rPr>
        <w:t>A la Corte Plena:</w:t>
      </w:r>
    </w:p>
    <w:p>
      <w:pPr>
        <w:pStyle w:val="Normal"/>
        <w:ind w:left="851" w:right="851" w:firstLine="709"/>
        <w:jc w:val="both"/>
        <w:rPr>
          <w:rFonts w:ascii="Tahoma" w:hAnsi="Tahoma" w:cs="Tahoma"/>
          <w:i/>
          <w:i/>
          <w:iCs/>
          <w:sz w:val="20"/>
          <w:szCs w:val="20"/>
        </w:rPr>
      </w:pPr>
      <w:r>
        <w:rPr>
          <w:rFonts w:cs="Tahoma" w:ascii="Tahoma" w:hAnsi="Tahoma"/>
          <w:i/>
          <w:iCs/>
          <w:sz w:val="20"/>
          <w:szCs w:val="20"/>
        </w:rPr>
      </w:r>
    </w:p>
    <w:p>
      <w:pPr>
        <w:pStyle w:val="Normal"/>
        <w:ind w:left="851" w:right="851" w:firstLine="709"/>
        <w:jc w:val="both"/>
        <w:rPr>
          <w:rFonts w:ascii="Tahoma" w:hAnsi="Tahoma" w:cs="Tahoma"/>
          <w:i/>
          <w:i/>
          <w:iCs/>
          <w:sz w:val="20"/>
          <w:szCs w:val="20"/>
        </w:rPr>
      </w:pPr>
      <w:r>
        <w:rPr>
          <w:rFonts w:cs="Tahoma" w:ascii="Tahoma" w:hAnsi="Tahoma"/>
          <w:i/>
          <w:iCs/>
          <w:sz w:val="20"/>
          <w:szCs w:val="20"/>
        </w:rPr>
        <w:t xml:space="preserve">8.1. Aprobar el </w:t>
      </w:r>
      <w:bookmarkStart w:id="10" w:name="_Hlk9341020"/>
      <w:r>
        <w:rPr>
          <w:rFonts w:cs="Tahoma" w:ascii="Tahoma" w:hAnsi="Tahoma"/>
          <w:i/>
          <w:iCs/>
          <w:sz w:val="20"/>
          <w:szCs w:val="20"/>
        </w:rPr>
        <w:t>“Modelo de Gestión (formulación, implementación, seguimiento y evaluación) de Políticas Institucionales”, que se detalla en el capítulo 3 de este informe.</w:t>
      </w:r>
      <w:bookmarkEnd w:id="10"/>
    </w:p>
    <w:p>
      <w:pPr>
        <w:pStyle w:val="Normal"/>
        <w:ind w:left="851" w:right="851" w:firstLine="709"/>
        <w:jc w:val="both"/>
        <w:rPr>
          <w:rFonts w:ascii="Tahoma" w:hAnsi="Tahoma" w:cs="Tahoma"/>
          <w:i/>
          <w:i/>
          <w:iCs/>
          <w:sz w:val="20"/>
          <w:szCs w:val="20"/>
        </w:rPr>
      </w:pPr>
      <w:r>
        <w:rPr>
          <w:rFonts w:cs="Tahoma" w:ascii="Tahoma" w:hAnsi="Tahoma"/>
          <w:i/>
          <w:iCs/>
          <w:sz w:val="20"/>
          <w:szCs w:val="20"/>
        </w:rPr>
      </w:r>
    </w:p>
    <w:p>
      <w:pPr>
        <w:pStyle w:val="Normal"/>
        <w:ind w:left="851" w:right="851" w:firstLine="709"/>
        <w:jc w:val="both"/>
        <w:rPr>
          <w:rFonts w:ascii="Tahoma" w:hAnsi="Tahoma" w:cs="Tahoma"/>
          <w:i/>
          <w:i/>
          <w:iCs/>
          <w:sz w:val="20"/>
          <w:szCs w:val="20"/>
        </w:rPr>
      </w:pPr>
      <w:r>
        <w:rPr>
          <w:rFonts w:cs="Tahoma" w:ascii="Tahoma" w:hAnsi="Tahoma"/>
          <w:i/>
          <w:iCs/>
          <w:sz w:val="20"/>
          <w:szCs w:val="20"/>
        </w:rPr>
        <w:t xml:space="preserve">8.2. Solicitar a la Secretaría General de la Corte, la publicación mediante circular del </w:t>
      </w:r>
      <w:bookmarkStart w:id="11" w:name="_Hlk24468507"/>
      <w:r>
        <w:rPr>
          <w:rFonts w:cs="Tahoma" w:ascii="Tahoma" w:hAnsi="Tahoma"/>
          <w:i/>
          <w:iCs/>
          <w:sz w:val="20"/>
          <w:szCs w:val="20"/>
        </w:rPr>
        <w:t>“Modelo de Gestión (formulación, implementación, seguimiento y evaluación) de Políticas Institucionales”</w:t>
      </w:r>
      <w:bookmarkEnd w:id="11"/>
      <w:r>
        <w:rPr>
          <w:rFonts w:cs="Tahoma" w:ascii="Tahoma" w:hAnsi="Tahoma"/>
          <w:i/>
          <w:iCs/>
          <w:sz w:val="20"/>
          <w:szCs w:val="20"/>
        </w:rPr>
        <w:t xml:space="preserve">, indicando que este modelo aplica para la gestión de nuevas políticas institucionales de índole social o institucional (capítulo 3).  Ver propuesta de circular adjunta: </w:t>
      </w:r>
    </w:p>
    <w:p>
      <w:pPr>
        <w:pStyle w:val="Normal"/>
        <w:ind w:left="851" w:right="851" w:firstLine="709"/>
        <w:jc w:val="both"/>
        <w:rPr>
          <w:rFonts w:ascii="Tahoma" w:hAnsi="Tahoma" w:cs="Tahoma"/>
          <w:i/>
          <w:i/>
          <w:iCs/>
          <w:sz w:val="20"/>
          <w:szCs w:val="20"/>
        </w:rPr>
      </w:pPr>
      <w:r>
        <w:rPr>
          <w:rFonts w:cs="Tahoma" w:ascii="Tahoma" w:hAnsi="Tahoma"/>
          <w:i/>
          <w:iCs/>
          <w:sz w:val="20"/>
          <w:szCs w:val="20"/>
        </w:rPr>
      </w:r>
      <w:bookmarkStart w:id="12" w:name="_MON_1636196255"/>
      <w:bookmarkStart w:id="13" w:name="_MON_1636196255"/>
      <w:bookmarkEnd w:id="13"/>
    </w:p>
    <w:p>
      <w:pPr>
        <w:pStyle w:val="Normal"/>
        <w:ind w:left="851" w:right="851" w:firstLine="709"/>
        <w:jc w:val="center"/>
        <w:rPr>
          <w:rFonts w:ascii="Tahoma" w:hAnsi="Tahoma" w:cs="Tahoma"/>
          <w:i/>
          <w:i/>
          <w:iCs/>
          <w:sz w:val="20"/>
          <w:szCs w:val="20"/>
        </w:rPr>
      </w:pPr>
      <w:r>
        <w:rPr/>
        <w:object>
          <v:shape id="ole_rId14" style="width:78.85pt;height:51.45pt" o:ole="">
            <v:imagedata r:id="rId15" o:title=""/>
          </v:shape>
          <o:OLEObject Type="Embed" ProgID="Word.Document.12" ShapeID="ole_rId14" DrawAspect="Icon" ObjectID="_471384424" r:id="rId14"/>
        </w:object>
      </w:r>
    </w:p>
    <w:p>
      <w:pPr>
        <w:pStyle w:val="Normal"/>
        <w:ind w:left="851" w:right="851" w:firstLine="709"/>
        <w:jc w:val="both"/>
        <w:rPr>
          <w:rFonts w:ascii="Tahoma" w:hAnsi="Tahoma" w:cs="Tahoma"/>
          <w:i/>
          <w:i/>
          <w:iCs/>
          <w:sz w:val="20"/>
          <w:szCs w:val="20"/>
        </w:rPr>
      </w:pPr>
      <w:r>
        <w:rPr>
          <w:rFonts w:cs="Tahoma" w:ascii="Tahoma" w:hAnsi="Tahoma"/>
          <w:i/>
          <w:iCs/>
          <w:sz w:val="20"/>
          <w:szCs w:val="20"/>
        </w:rPr>
      </w:r>
    </w:p>
    <w:p>
      <w:pPr>
        <w:pStyle w:val="Normal"/>
        <w:ind w:left="851" w:right="851" w:firstLine="709"/>
        <w:jc w:val="both"/>
        <w:rPr>
          <w:rFonts w:ascii="Tahoma" w:hAnsi="Tahoma" w:cs="Tahoma"/>
          <w:i/>
          <w:i/>
          <w:iCs/>
          <w:sz w:val="20"/>
          <w:szCs w:val="20"/>
        </w:rPr>
      </w:pPr>
      <w:r>
        <w:rPr>
          <w:rFonts w:cs="Tahoma" w:ascii="Tahoma" w:hAnsi="Tahoma"/>
          <w:i/>
          <w:iCs/>
          <w:sz w:val="20"/>
          <w:szCs w:val="20"/>
        </w:rPr>
        <w:t>8.3. Aprobar el diseño e impresión de al menos 50 ejemplares del documento “Modelo de Gestión (formulación, implementación, seguimiento y evaluación) de Políticas Institucionales” para que la Dirección de Planificación los distribuya a las diferentes instancias que gestionan políticas institucionales.</w:t>
      </w:r>
    </w:p>
    <w:p>
      <w:pPr>
        <w:pStyle w:val="Normal"/>
        <w:ind w:left="851" w:right="851" w:firstLine="709"/>
        <w:jc w:val="both"/>
        <w:rPr>
          <w:rFonts w:ascii="Tahoma" w:hAnsi="Tahoma" w:cs="Tahoma"/>
          <w:i/>
          <w:i/>
          <w:iCs/>
          <w:sz w:val="20"/>
          <w:szCs w:val="20"/>
        </w:rPr>
      </w:pPr>
      <w:r>
        <w:rPr>
          <w:rFonts w:cs="Tahoma" w:ascii="Tahoma" w:hAnsi="Tahoma"/>
          <w:i/>
          <w:iCs/>
          <w:sz w:val="20"/>
          <w:szCs w:val="20"/>
        </w:rPr>
      </w:r>
    </w:p>
    <w:p>
      <w:pPr>
        <w:pStyle w:val="Normal"/>
        <w:ind w:left="851" w:right="851" w:firstLine="709"/>
        <w:jc w:val="both"/>
        <w:rPr>
          <w:rFonts w:ascii="Tahoma" w:hAnsi="Tahoma" w:cs="Tahoma"/>
          <w:i/>
          <w:i/>
          <w:iCs/>
          <w:sz w:val="20"/>
          <w:szCs w:val="20"/>
        </w:rPr>
      </w:pPr>
      <w:r>
        <w:rPr>
          <w:rFonts w:cs="Tahoma" w:ascii="Tahoma" w:hAnsi="Tahoma"/>
          <w:i/>
          <w:iCs/>
          <w:sz w:val="20"/>
          <w:szCs w:val="20"/>
        </w:rPr>
        <w:t>8.4. Aprobar el “Proceso de Gestión Estratégica de Políticas Institucionales (Alineación Estratégica)”, contenido en el capítulo 4 de este informe, que incluye la elaboración de un informe anual de seguimiento y evaluación de los resultados obtenidos de la gestión de las políticas institucionales, a cargo del Subproceso de Evaluación de la Dirección de Planificación, con el fin de que sea conocido por la Corte Plena para la toma de decisiones correspondiente.”</w:t>
      </w:r>
    </w:p>
    <w:p>
      <w:pPr>
        <w:pStyle w:val="Normal"/>
        <w:ind w:firstLine="709"/>
        <w:jc w:val="both"/>
        <w:rPr>
          <w:rFonts w:ascii="Tahoma" w:hAnsi="Tahoma" w:cs="Tahoma"/>
          <w:b/>
          <w:b/>
          <w:bCs/>
          <w:i/>
          <w:i/>
          <w:iCs/>
          <w:sz w:val="20"/>
          <w:szCs w:val="20"/>
        </w:rPr>
      </w:pPr>
      <w:r>
        <w:rPr>
          <w:rFonts w:cs="Tahoma" w:ascii="Tahoma" w:hAnsi="Tahoma"/>
          <w:b/>
          <w:bCs/>
          <w:i/>
          <w:iCs/>
          <w:sz w:val="20"/>
          <w:szCs w:val="20"/>
        </w:rPr>
        <w:t>SALE EL MAGISTRADO CASTILLO.</w:t>
      </w:r>
    </w:p>
    <w:p>
      <w:pPr>
        <w:pStyle w:val="Normal"/>
        <w:ind w:firstLine="709"/>
        <w:jc w:val="both"/>
        <w:rPr>
          <w:rFonts w:ascii="Tahoma" w:hAnsi="Tahoma" w:cs="Tahoma"/>
          <w:b/>
          <w:b/>
          <w:bCs/>
          <w:i/>
          <w:i/>
          <w:iCs/>
          <w:sz w:val="20"/>
          <w:szCs w:val="20"/>
        </w:rPr>
      </w:pPr>
      <w:r>
        <w:rPr>
          <w:rFonts w:cs="Tahoma" w:ascii="Tahoma" w:hAnsi="Tahoma"/>
          <w:b/>
          <w:bCs/>
          <w:i/>
          <w:iCs/>
          <w:sz w:val="20"/>
          <w:szCs w:val="20"/>
        </w:rPr>
      </w:r>
    </w:p>
    <w:p>
      <w:pPr>
        <w:pStyle w:val="Normal"/>
        <w:ind w:firstLine="709"/>
        <w:jc w:val="both"/>
        <w:rPr>
          <w:rFonts w:ascii="Tahoma" w:hAnsi="Tahoma" w:cs="Tahoma"/>
          <w:i/>
          <w:i/>
          <w:iCs/>
          <w:sz w:val="20"/>
          <w:szCs w:val="20"/>
          <w:lang w:eastAsia="es-MX"/>
        </w:rPr>
      </w:pPr>
      <w:r>
        <w:rPr>
          <w:rFonts w:cs="Tahoma" w:ascii="Tahoma" w:hAnsi="Tahoma"/>
          <w:i/>
          <w:iCs/>
          <w:sz w:val="20"/>
          <w:szCs w:val="20"/>
        </w:rPr>
        <w:t xml:space="preserve">Se concede el uso de la palabra a la licenciada Nacira Valverde Bermúdez, quien expone: </w:t>
      </w:r>
      <w:r>
        <w:rPr>
          <w:rFonts w:cs="Tahoma" w:ascii="Tahoma" w:hAnsi="Tahoma"/>
          <w:i/>
          <w:iCs/>
          <w:sz w:val="20"/>
          <w:szCs w:val="20"/>
          <w:lang w:eastAsia="es-MX"/>
        </w:rPr>
        <w:t xml:space="preserve">"Esta propuesta se realizó mediante el oficio 1995 del 27 de noviembre de 2019. Es una propuesta que se está realizando de cómo implementar y cómo desarrollar las Políticas en el Poder Judicial. </w:t>
      </w:r>
    </w:p>
    <w:p>
      <w:pPr>
        <w:pStyle w:val="Normal"/>
        <w:ind w:firstLine="709"/>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Comentarles un poco que este informe fue remitido a consulta a bastantes oficinas en el Poder Judicial, ya que es fundamental que todos los conocieran porque resulta vital para el funcionamiento para el Poder Judicial y para esta Corte, ya que es la que fija los lineamientos en relación con las políticas que se desarrollan para el Poder Judicial. También fue de conocimiento del Comité de planeación y estratégica. Ahí está representada la Presidencia de la Corte, Dirección de Tecnología de la Información, Dirección Jurídica, Dirección Ejecutiva, Dirección de Gestión Humana, Despacho de la Presidencia y miembros del Consejo Superior.</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Se envió de consulta y el informe fue contenido de observaciones por este grupo de personas como tal.</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 xml:space="preserve">La agenda lo que trae es el informe, varios antecedentes, que son las políticas, la situación actual de hoy, las políticas en el Poder Judicial, la propuesta de gestión de política y el proceso de gestión estratégica de esas políticas institucionales que tenemos hoy en día. </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 xml:space="preserve">Como antecedente hay que tomar en consideración no solamente importante resaltar la necesidad de poder tener mecanismos de seguimiento, sino que el segundo informe del Estado de la Justicia genera una recomendación o un indicador a esta Corte en temas de Consejo Superior y desconcentración de funciones, que le llamó el Estado de la Justicia. </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 xml:space="preserve">Uno de los indicadores propuestos por el Estado de la Justicia era el poder determinar cuál era el mecanismo de seguimiento de las políticas institucionales, ya que hoy en día había muchas políticas, pero no había instrumentos claros para poder medir todo el impacto y el aporte que tenían cada una de esas políticas. </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 xml:space="preserve">Otro de los antecedentes no es solamente el informe del Estado de la Justicia o de la Nación, sino también el modelo de gestión estratégica que aprobó esta Corte con el Plan Estratégico Institucional. </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ind w:firstLine="709"/>
        <w:jc w:val="both"/>
        <w:rPr>
          <w:rFonts w:ascii="Tahoma" w:hAnsi="Tahoma" w:cs="Tahoma"/>
          <w:i/>
          <w:i/>
          <w:iCs/>
          <w:sz w:val="20"/>
          <w:szCs w:val="20"/>
          <w:lang w:eastAsia="es-MX"/>
        </w:rPr>
      </w:pPr>
      <w:r>
        <w:rPr>
          <w:rFonts w:cs="Tahoma" w:ascii="Tahoma" w:hAnsi="Tahoma"/>
          <w:i/>
          <w:iCs/>
          <w:sz w:val="20"/>
          <w:szCs w:val="20"/>
          <w:lang w:eastAsia="es-MX"/>
        </w:rPr>
        <w:t xml:space="preserve">Lo que está encerrado en un círculo en el apartado N°6 se indica que parte del Modelo de Gestión Estratégica, es la gestión de las Políticas Institucionales. </w:t>
      </w:r>
    </w:p>
    <w:p>
      <w:pPr>
        <w:pStyle w:val="Normal"/>
        <w:widowControl w:val="false"/>
        <w:ind w:firstLine="709"/>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 xml:space="preserve">Partiendo de lo que indicó el Estado de la Justicia, más lo que se aprueba en el Modelo de Gestión Estratégica, es que hoy responde la presentación de este informe a esta Corte como uno de los mecanismos para cumplir también, lo que es la estrategia en el Poder Judicial. </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 xml:space="preserve">En el apartado de los temas estratégicos del Plan Estratégico del Poder Judicial en el N°5 que está al final dice “Planificación Institucional” y una de las acciones estratégicas donde se indicó cómo se iban a cumplir estas acciones, era a través de la Gestión Estratégica Institucional, la Gestión de Políticas Institucionales y la Gestión Administrativa por medio del portafolio de proyectos estratégicos. </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 xml:space="preserve">Este estudio nuevamente responde también al planteamiento de lo que es un mecanismo para cumplir el Plan Estratégico Institucional. </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ind w:firstLine="709"/>
        <w:jc w:val="both"/>
        <w:rPr>
          <w:rFonts w:ascii="Tahoma" w:hAnsi="Tahoma" w:cs="Tahoma"/>
          <w:i/>
          <w:i/>
          <w:iCs/>
          <w:sz w:val="20"/>
          <w:szCs w:val="20"/>
          <w:lang w:eastAsia="es-MX"/>
        </w:rPr>
      </w:pPr>
      <w:r>
        <w:rPr>
          <w:rFonts w:cs="Tahoma" w:ascii="Tahoma" w:hAnsi="Tahoma"/>
          <w:i/>
          <w:iCs/>
          <w:sz w:val="20"/>
          <w:szCs w:val="20"/>
          <w:lang w:eastAsia="es-MX"/>
        </w:rPr>
        <w:t>¿Por qué es de relevancia poder entender hoy este informe? Porque es lo que le serviría de pauta a las oficinas y a esta Corte como tal, para poder de aquí en adelante redireccionar todas las propuestas de política que se realicen.</w:t>
      </w:r>
    </w:p>
    <w:p>
      <w:pPr>
        <w:pStyle w:val="Normal"/>
        <w:widowControl w:val="false"/>
        <w:ind w:firstLine="709"/>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No solamente mecanismos de seguimiento, sino mecanismos para poder orientar a esta Corte en cómo aprobar el que se inicie un proceso de políticas. Como qué son las políticas, les canalizamos dos conceptos básicos: Uno, qué es lo que indica la CEPAL y dos, lo que indica MIDEPLAN.</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Los dos nos llevan a poder determinar en que las políticas son esos cursos o esos flujos de información que se relacionan con ese objetivo político que se plantea para poder orientar y desarrollar en el sector público las acciones que se requieran.</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ind w:firstLine="709"/>
        <w:jc w:val="both"/>
        <w:rPr>
          <w:rFonts w:ascii="Tahoma" w:hAnsi="Tahoma" w:cs="Tahoma"/>
          <w:i/>
          <w:i/>
          <w:iCs/>
          <w:sz w:val="20"/>
          <w:szCs w:val="20"/>
          <w:lang w:eastAsia="es-MX"/>
        </w:rPr>
      </w:pPr>
      <w:r>
        <w:rPr>
          <w:rFonts w:cs="Tahoma" w:ascii="Tahoma" w:hAnsi="Tahoma"/>
          <w:i/>
          <w:iCs/>
          <w:sz w:val="20"/>
          <w:szCs w:val="20"/>
          <w:lang w:eastAsia="es-MX"/>
        </w:rPr>
        <w:t xml:space="preserve">El MIDEPLAN es un poco más específico y determina el curso o línea de acción definida para orientar y alcanzar un fin, que se expresa en directrices, en lineamientos y en objetivos estratégicos y acciones sobre un tema a desarrollar. Esto explica la voluntad política traducida en decisiones. </w:t>
      </w:r>
    </w:p>
    <w:p>
      <w:pPr>
        <w:pStyle w:val="Normal"/>
        <w:widowControl w:val="false"/>
        <w:ind w:firstLine="709"/>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ind w:firstLine="709"/>
        <w:jc w:val="both"/>
        <w:rPr>
          <w:rFonts w:ascii="Tahoma" w:hAnsi="Tahoma" w:cs="Tahoma"/>
          <w:i/>
          <w:i/>
          <w:iCs/>
          <w:sz w:val="20"/>
          <w:szCs w:val="20"/>
          <w:lang w:eastAsia="es-MX"/>
        </w:rPr>
      </w:pPr>
      <w:r>
        <w:rPr>
          <w:rFonts w:cs="Tahoma" w:ascii="Tahoma" w:hAnsi="Tahoma"/>
          <w:i/>
          <w:iCs/>
          <w:sz w:val="20"/>
          <w:szCs w:val="20"/>
          <w:lang w:eastAsia="es-MX"/>
        </w:rPr>
        <w:t xml:space="preserve">Precisamente las políticas, al implementarse en el Poder Judicial viene a plasmarse hoy como una voluntad política de esta Corte para que se inicie un proceso de implementación de políticas en el Poder Judicial. </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 xml:space="preserve">Quisimos pensar que eran políticas, tropicalizado el término en el Poder Judicial. Lo delimitamos o lo construimos como la Política Institucional de impacto social o institucional, porque estas políticas que nosotros analizamos hoy -las vigentes- hay algunas que tienen un impacto institucional y otras que van más allá solamente de la institución, sino que también tienen un impacto a nivel social. </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 xml:space="preserve">Ahí pusimos como término que era una guía orientadora que se expresa en los objetivos, la línea de acción y de resultados esperados sobre un tema y la atención o transformación de un problema de interés institucional o social que se sustenta de los mandatos, acuerdos o compromisos Nacional e Internacionales del Poder Judicial. Es decir, tropicalizamos nuestro concepto de política aplicable al Poder Judicial. Revisando lo que tenemos hoy vigente, tenemos otras políticas institucionales, sin embargo, esas son de índole operativo. Ahí tenemos algunas que son: lineamientos, directrices, guías prácticas, procedimientos; entre otros, dirigidos al logro de la administración. Sin embargo, para efectos de ubicarnos en este informe, esas políticas de índole operativo no están siendo analizadas en esta propuesta como tal. En esta propuesta como tal, hoy lo que viene es el procedimiento para lo que es la política institucional de impacto social o institucional, no las de índole administrativo. </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 xml:space="preserve">Las de índole administrativo serán de una segunda etapa en la que estamos trabajando en este momento. </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ind w:firstLine="709"/>
        <w:jc w:val="both"/>
        <w:rPr>
          <w:rFonts w:ascii="Tahoma" w:hAnsi="Tahoma" w:cs="Tahoma"/>
          <w:i/>
          <w:i/>
          <w:iCs/>
          <w:sz w:val="20"/>
          <w:szCs w:val="20"/>
          <w:lang w:eastAsia="es-MX"/>
        </w:rPr>
      </w:pPr>
      <w:r>
        <w:rPr>
          <w:rFonts w:cs="Tahoma" w:ascii="Tahoma" w:hAnsi="Tahoma"/>
          <w:i/>
          <w:iCs/>
          <w:sz w:val="20"/>
          <w:szCs w:val="20"/>
          <w:lang w:eastAsia="es-MX"/>
        </w:rPr>
        <w:t xml:space="preserve">Hoy en el Poder Judicial hicimos todo un recuento en las diferentes oficinas y podemos determinar que tenemos 34 políticas vigentes en la institución. También hemos visto en el Plan Estratégico Institucional como tenemos 6 iniciativas de políticas que están ahí para poder desarrollarse. </w:t>
      </w:r>
    </w:p>
    <w:p>
      <w:pPr>
        <w:pStyle w:val="Normal"/>
        <w:widowControl w:val="false"/>
        <w:ind w:firstLine="709"/>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 xml:space="preserve">Estas 34 políticas que hoy están vigentes, lo que estamos haciendo es un recuento de esas políticas porque las que ya están vigentes, lo que estamos recomendando son esos mecanismos de seguimiento para que puedan seguir reportando las acciones que se están realizando. </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 xml:space="preserve">La propuesta que también se trae aquí es para lo que son las políticas nuevas. El modelo propiamente de gestión de las políticas institucionales trae 4 apartados: 1. lo que es la formulación, 2. la implementación, 3. el seguimiento y 4. la evaluación. </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 xml:space="preserve">Aquí a diferencia del procedimiento que existía que es lo que se está proponiendo. Cuando se ha presentado alguna política inicialmente lo que se ha realizado es que aquí llega prácticamente todo el documento, llega cuando se está implementando y cuando todas las necesidades y todas las cosas ya están generadas. </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 xml:space="preserve">La propuesta que se está planteando ya que la Corte es el que fija lineamientos, es que la iniciativa para la elaboración de esa política institucional que se proponga, venga de previo a Corte. </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 xml:space="preserve">Esa instancia judicial proponente debe analizar el cumplimiento de los criterios que define la política institucional. Esta instancia proponente va a remitir la solicitud normal a la Corte indicando el tema o problema a resolver y la manera que considera que se cumple la política institucional. </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 xml:space="preserve">Es la Corte Plena la que va a establecer si la propuesta es de interés institucional y si la aprueba o no la elaboración de la nueva política. Si se aprueba la instancia judicial proponente podrá iniciar la elaboración de la política institucional utilizando como guía el modelo que ya les vamos a indicar. </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 xml:space="preserve">El paso 1 es traer a la Corte Plena el proponente, la iniciativa para construir la política. </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ind w:firstLine="709"/>
        <w:jc w:val="both"/>
        <w:rPr>
          <w:rFonts w:ascii="Tahoma" w:hAnsi="Tahoma" w:cs="Tahoma"/>
          <w:i/>
          <w:i/>
          <w:iCs/>
          <w:sz w:val="20"/>
          <w:szCs w:val="20"/>
        </w:rPr>
      </w:pPr>
      <w:r>
        <w:rPr>
          <w:rFonts w:cs="Tahoma" w:ascii="Tahoma" w:hAnsi="Tahoma"/>
          <w:i/>
          <w:iCs/>
          <w:sz w:val="20"/>
          <w:szCs w:val="20"/>
          <w:lang w:eastAsia="es-MX"/>
        </w:rPr>
        <w:t xml:space="preserve">Si Corte Plena aprueba esa iniciativa, ahora considerando algunos criterios que deberán considerarse, va a tener que responder en esa iniciativa si es de interés institucional, si es de índole social o impacta socialmente, si incide directamente en la generación del valor público, entendiéndose valor público como el valor que se genera en la medida en que las personas usuarias reconozcan y confíen en el resultado </w:t>
      </w:r>
      <w:r>
        <w:rPr>
          <w:rFonts w:cs="Tahoma" w:ascii="Tahoma" w:hAnsi="Tahoma"/>
          <w:i/>
          <w:iCs/>
          <w:sz w:val="20"/>
          <w:szCs w:val="20"/>
        </w:rPr>
        <w:t xml:space="preserve">del servicio de administración de justicia como respuesta adecuada a sus necesidades. </w:t>
      </w:r>
    </w:p>
    <w:p>
      <w:pPr>
        <w:pStyle w:val="Normal"/>
        <w:widowControl w:val="false"/>
        <w:ind w:firstLine="709"/>
        <w:jc w:val="both"/>
        <w:rPr>
          <w:rFonts w:ascii="Tahoma" w:hAnsi="Tahoma" w:cs="Tahoma"/>
          <w:i/>
          <w:i/>
          <w:iCs/>
          <w:sz w:val="20"/>
          <w:szCs w:val="20"/>
        </w:rPr>
      </w:pPr>
      <w:r>
        <w:rPr>
          <w:rFonts w:cs="Tahoma" w:ascii="Tahoma" w:hAnsi="Tahoma"/>
          <w:i/>
          <w:iCs/>
          <w:sz w:val="20"/>
          <w:szCs w:val="20"/>
        </w:rPr>
      </w:r>
    </w:p>
    <w:p>
      <w:pPr>
        <w:pStyle w:val="Normal"/>
        <w:jc w:val="both"/>
        <w:rPr>
          <w:rFonts w:ascii="Tahoma" w:hAnsi="Tahoma" w:cs="Tahoma"/>
          <w:i/>
          <w:i/>
          <w:iCs/>
          <w:sz w:val="20"/>
          <w:szCs w:val="20"/>
        </w:rPr>
      </w:pPr>
      <w:r>
        <w:rPr>
          <w:rFonts w:cs="Tahoma" w:ascii="Tahoma" w:hAnsi="Tahoma"/>
          <w:i/>
          <w:iCs/>
          <w:sz w:val="20"/>
          <w:szCs w:val="20"/>
        </w:rPr>
        <w:tab/>
        <w:t>Va a tener que decir o indicar en la solicitud si responde a un mandato de ley, si responde a un acuerdo o compromiso en el Poder Judicial y si se relaciona con el Plan Estratégico Institucional. Con estos criterios la oficina proponente planteará la propuesta inicial para la elaboración posterior de la política a la Corte Plena.</w:t>
      </w:r>
    </w:p>
    <w:p>
      <w:pPr>
        <w:pStyle w:val="Normal"/>
        <w:jc w:val="both"/>
        <w:rPr>
          <w:rFonts w:ascii="Tahoma" w:hAnsi="Tahoma" w:cs="Tahoma"/>
          <w:i/>
          <w:i/>
          <w:iCs/>
          <w:sz w:val="20"/>
          <w:szCs w:val="20"/>
        </w:rPr>
      </w:pPr>
      <w:r>
        <w:rPr>
          <w:rFonts w:cs="Tahoma" w:ascii="Tahoma" w:hAnsi="Tahoma"/>
          <w:i/>
          <w:iCs/>
          <w:sz w:val="20"/>
          <w:szCs w:val="20"/>
        </w:rPr>
      </w:r>
    </w:p>
    <w:p>
      <w:pPr>
        <w:pStyle w:val="Normal"/>
        <w:jc w:val="both"/>
        <w:rPr>
          <w:rFonts w:ascii="Tahoma" w:hAnsi="Tahoma" w:cs="Tahoma"/>
          <w:i/>
          <w:i/>
          <w:iCs/>
          <w:sz w:val="20"/>
          <w:szCs w:val="20"/>
        </w:rPr>
      </w:pPr>
      <w:r>
        <w:rPr>
          <w:rFonts w:cs="Tahoma" w:ascii="Tahoma" w:hAnsi="Tahoma"/>
          <w:i/>
          <w:iCs/>
          <w:sz w:val="20"/>
          <w:szCs w:val="20"/>
        </w:rPr>
        <w:tab/>
        <w:t>Una vez que se apruebe -si llega a ser aprobada la elaboración de esta política- se procede a la aplicación del modelo de gestión de política que aquí les explicamos.</w:t>
      </w:r>
    </w:p>
    <w:p>
      <w:pPr>
        <w:pStyle w:val="Normal"/>
        <w:jc w:val="both"/>
        <w:rPr>
          <w:rFonts w:ascii="Tahoma" w:hAnsi="Tahoma" w:cs="Tahoma"/>
          <w:i/>
          <w:i/>
          <w:iCs/>
          <w:sz w:val="20"/>
          <w:szCs w:val="20"/>
        </w:rPr>
      </w:pPr>
      <w:r>
        <w:rPr>
          <w:rFonts w:cs="Tahoma" w:ascii="Tahoma" w:hAnsi="Tahoma"/>
          <w:i/>
          <w:iCs/>
          <w:sz w:val="20"/>
          <w:szCs w:val="20"/>
        </w:rPr>
      </w:r>
    </w:p>
    <w:p>
      <w:pPr>
        <w:pStyle w:val="Normal"/>
        <w:jc w:val="both"/>
        <w:rPr>
          <w:rFonts w:ascii="Tahoma" w:hAnsi="Tahoma" w:cs="Tahoma"/>
          <w:i/>
          <w:i/>
          <w:iCs/>
          <w:sz w:val="20"/>
          <w:szCs w:val="20"/>
        </w:rPr>
      </w:pPr>
      <w:r>
        <w:rPr>
          <w:rFonts w:cs="Tahoma" w:ascii="Tahoma" w:hAnsi="Tahoma"/>
          <w:i/>
          <w:iCs/>
          <w:sz w:val="20"/>
          <w:szCs w:val="20"/>
        </w:rPr>
        <w:tab/>
        <w:t xml:space="preserve">Este modelo propiamente ahora sí va a tener cuatro pasos. El primero es el diagnóstico, va a haber un pequeño diagnóstico en donde se delimita el problema, se revisa el marco legal que un poco ya tuvo que haber visto desde la iniciativa y se analiza el problema. El segundo paso es la elaboración y aprobación de la política, ahí se establece una metodología, la elaboración de la propuesta y la validación y aprobación de la política. </w:t>
      </w:r>
    </w:p>
    <w:p>
      <w:pPr>
        <w:pStyle w:val="Normal"/>
        <w:jc w:val="both"/>
        <w:rPr>
          <w:rFonts w:ascii="Tahoma" w:hAnsi="Tahoma" w:cs="Tahoma"/>
          <w:i/>
          <w:i/>
          <w:iCs/>
          <w:sz w:val="20"/>
          <w:szCs w:val="20"/>
        </w:rPr>
      </w:pPr>
      <w:r>
        <w:rPr>
          <w:rFonts w:cs="Tahoma" w:ascii="Tahoma" w:hAnsi="Tahoma"/>
          <w:i/>
          <w:iCs/>
          <w:sz w:val="20"/>
          <w:szCs w:val="20"/>
        </w:rPr>
      </w:r>
    </w:p>
    <w:p>
      <w:pPr>
        <w:pStyle w:val="Normal"/>
        <w:ind w:firstLine="709"/>
        <w:jc w:val="both"/>
        <w:rPr>
          <w:rFonts w:ascii="Tahoma" w:hAnsi="Tahoma" w:cs="Tahoma"/>
          <w:i/>
          <w:i/>
          <w:iCs/>
          <w:sz w:val="20"/>
          <w:szCs w:val="20"/>
        </w:rPr>
      </w:pPr>
      <w:r>
        <w:rPr>
          <w:rFonts w:cs="Tahoma" w:ascii="Tahoma" w:hAnsi="Tahoma"/>
          <w:i/>
          <w:iCs/>
          <w:sz w:val="20"/>
          <w:szCs w:val="20"/>
        </w:rPr>
        <w:t>Todo esto si ustedes lo ven, hay una flechita en donde dice que va a tener transversal participación ciudadana y participación tanto institucional como interinstitucional.</w:t>
      </w:r>
    </w:p>
    <w:p>
      <w:pPr>
        <w:pStyle w:val="Normal"/>
        <w:ind w:firstLine="709"/>
        <w:jc w:val="both"/>
        <w:rPr>
          <w:rFonts w:ascii="Tahoma" w:hAnsi="Tahoma" w:cs="Tahoma"/>
          <w:i/>
          <w:i/>
          <w:iCs/>
          <w:sz w:val="20"/>
          <w:szCs w:val="20"/>
        </w:rPr>
      </w:pPr>
      <w:r>
        <w:rPr>
          <w:rFonts w:cs="Tahoma" w:ascii="Tahoma" w:hAnsi="Tahoma"/>
          <w:i/>
          <w:iCs/>
          <w:sz w:val="20"/>
          <w:szCs w:val="20"/>
        </w:rPr>
      </w:r>
    </w:p>
    <w:p>
      <w:pPr>
        <w:pStyle w:val="Normal"/>
        <w:jc w:val="both"/>
        <w:rPr>
          <w:rFonts w:ascii="Tahoma" w:hAnsi="Tahoma" w:cs="Tahoma"/>
          <w:i/>
          <w:i/>
          <w:iCs/>
          <w:sz w:val="20"/>
          <w:szCs w:val="20"/>
        </w:rPr>
      </w:pPr>
      <w:r>
        <w:rPr>
          <w:rFonts w:cs="Tahoma" w:ascii="Tahoma" w:hAnsi="Tahoma"/>
          <w:i/>
          <w:iCs/>
          <w:sz w:val="20"/>
          <w:szCs w:val="20"/>
        </w:rPr>
        <w:tab/>
        <w:t xml:space="preserve">En el apartado número tres, va a tener que proponerse lo que es la implementación de la política, se va a proponer alineado al Plan Estratégico y alineado a los Planes Anuales Operativos, y en el punto número cuatro en el seguimiento y evaluación. </w:t>
      </w:r>
    </w:p>
    <w:p>
      <w:pPr>
        <w:pStyle w:val="Normal"/>
        <w:jc w:val="both"/>
        <w:rPr>
          <w:rFonts w:ascii="Tahoma" w:hAnsi="Tahoma" w:cs="Tahoma"/>
          <w:i/>
          <w:i/>
          <w:iCs/>
          <w:sz w:val="20"/>
          <w:szCs w:val="20"/>
        </w:rPr>
      </w:pPr>
      <w:r>
        <w:rPr>
          <w:rFonts w:cs="Tahoma" w:ascii="Tahoma" w:hAnsi="Tahoma"/>
          <w:i/>
          <w:iCs/>
          <w:sz w:val="20"/>
          <w:szCs w:val="20"/>
        </w:rPr>
      </w:r>
    </w:p>
    <w:p>
      <w:pPr>
        <w:pStyle w:val="Normal"/>
        <w:jc w:val="both"/>
        <w:rPr>
          <w:rFonts w:ascii="Tahoma" w:hAnsi="Tahoma" w:cs="Tahoma"/>
          <w:i/>
          <w:i/>
          <w:iCs/>
          <w:sz w:val="20"/>
          <w:szCs w:val="20"/>
        </w:rPr>
      </w:pPr>
      <w:r>
        <w:rPr>
          <w:rFonts w:cs="Tahoma" w:ascii="Tahoma" w:hAnsi="Tahoma"/>
          <w:i/>
          <w:iCs/>
          <w:sz w:val="20"/>
          <w:szCs w:val="20"/>
        </w:rPr>
        <w:tab/>
        <w:t>Esta propuesta que nosotros les traemos acá también está alineada con el modelo de que hoy trabaja también MIDEPLAN, solamente que le hemos realizado algunas adaptaciones a nuestros procesos institucionales."</w:t>
      </w:r>
    </w:p>
    <w:p>
      <w:pPr>
        <w:pStyle w:val="Normal"/>
        <w:jc w:val="both"/>
        <w:rPr>
          <w:rFonts w:ascii="Tahoma" w:hAnsi="Tahoma" w:cs="Tahoma"/>
          <w:i/>
          <w:i/>
          <w:iCs/>
          <w:sz w:val="20"/>
          <w:szCs w:val="20"/>
        </w:rPr>
      </w:pPr>
      <w:r>
        <w:rPr>
          <w:rFonts w:cs="Tahoma" w:ascii="Tahoma" w:hAnsi="Tahoma"/>
          <w:i/>
          <w:iCs/>
          <w:sz w:val="20"/>
          <w:szCs w:val="20"/>
        </w:rPr>
      </w:r>
    </w:p>
    <w:p>
      <w:pPr>
        <w:pStyle w:val="Normal"/>
        <w:ind w:firstLine="709"/>
        <w:jc w:val="both"/>
        <w:rPr>
          <w:rFonts w:ascii="Tahoma" w:hAnsi="Tahoma" w:cs="Tahoma"/>
          <w:b/>
          <w:b/>
          <w:bCs/>
          <w:i/>
          <w:i/>
          <w:iCs/>
          <w:sz w:val="20"/>
          <w:szCs w:val="20"/>
        </w:rPr>
      </w:pPr>
      <w:r>
        <w:rPr>
          <w:rFonts w:cs="Tahoma" w:ascii="Tahoma" w:hAnsi="Tahoma"/>
          <w:b/>
          <w:bCs/>
          <w:i/>
          <w:iCs/>
          <w:sz w:val="20"/>
          <w:szCs w:val="20"/>
        </w:rPr>
        <w:t>ENTRA EL MAGISTRADO ALFARO. SALEN EL MAGISTRADO AGUIRRE Y EL SUPLENTE DESANTI HENDERSON.</w:t>
      </w:r>
    </w:p>
    <w:p>
      <w:pPr>
        <w:pStyle w:val="Normal"/>
        <w:ind w:firstLine="709"/>
        <w:jc w:val="both"/>
        <w:rPr>
          <w:rFonts w:ascii="Tahoma" w:hAnsi="Tahoma" w:cs="Tahoma"/>
          <w:b/>
          <w:b/>
          <w:bCs/>
          <w:i/>
          <w:i/>
          <w:iCs/>
          <w:sz w:val="20"/>
          <w:szCs w:val="20"/>
        </w:rPr>
      </w:pPr>
      <w:r>
        <w:rPr>
          <w:rFonts w:cs="Tahoma" w:ascii="Tahoma" w:hAnsi="Tahoma"/>
          <w:b/>
          <w:bCs/>
          <w:i/>
          <w:iCs/>
          <w:sz w:val="20"/>
          <w:szCs w:val="20"/>
        </w:rPr>
      </w:r>
    </w:p>
    <w:p>
      <w:pPr>
        <w:pStyle w:val="Normal"/>
        <w:jc w:val="both"/>
        <w:rPr>
          <w:rFonts w:ascii="Tahoma" w:hAnsi="Tahoma" w:cs="Tahoma"/>
          <w:i/>
          <w:i/>
          <w:iCs/>
          <w:sz w:val="20"/>
          <w:szCs w:val="20"/>
        </w:rPr>
      </w:pPr>
      <w:r>
        <w:rPr>
          <w:rFonts w:cs="Tahoma" w:ascii="Tahoma" w:hAnsi="Tahoma"/>
          <w:i/>
          <w:iCs/>
          <w:sz w:val="20"/>
          <w:szCs w:val="20"/>
        </w:rPr>
        <w:tab/>
        <w:t>Consulta el magistrado Molinari: "Es una pregunta licenciada Valverde Bermúdez. Si tal vez nos devolvemos a la anterior, para efectos de la definición de la política que ustedes están proponiendo que se haga aquí en Corte Plena supongo que los pasos uno y dos están previamente dados o ¿no es así?"</w:t>
      </w:r>
    </w:p>
    <w:p>
      <w:pPr>
        <w:pStyle w:val="Normal"/>
        <w:jc w:val="both"/>
        <w:rPr>
          <w:rFonts w:ascii="Tahoma" w:hAnsi="Tahoma" w:cs="Tahoma"/>
          <w:i/>
          <w:i/>
          <w:iCs/>
          <w:sz w:val="20"/>
          <w:szCs w:val="20"/>
        </w:rPr>
      </w:pPr>
      <w:r>
        <w:rPr>
          <w:rFonts w:cs="Tahoma" w:ascii="Tahoma" w:hAnsi="Tahoma"/>
          <w:i/>
          <w:iCs/>
          <w:sz w:val="20"/>
          <w:szCs w:val="20"/>
        </w:rPr>
      </w:r>
    </w:p>
    <w:p>
      <w:pPr>
        <w:pStyle w:val="Normal"/>
        <w:jc w:val="both"/>
        <w:rPr>
          <w:rFonts w:ascii="Tahoma" w:hAnsi="Tahoma" w:cs="Tahoma"/>
          <w:i/>
          <w:i/>
          <w:iCs/>
          <w:sz w:val="20"/>
          <w:szCs w:val="20"/>
          <w:lang w:eastAsia="es-ES_tradnl"/>
        </w:rPr>
      </w:pPr>
      <w:r>
        <w:rPr>
          <w:rFonts w:eastAsia="Calibri" w:cs="Tahoma" w:ascii="Tahoma" w:hAnsi="Tahoma"/>
          <w:i/>
          <w:iCs/>
          <w:sz w:val="20"/>
          <w:szCs w:val="20"/>
          <w:lang w:eastAsia="es-ES_tradnl"/>
        </w:rPr>
        <w:tab/>
        <w:t xml:space="preserve">Contesta </w:t>
      </w:r>
      <w:r>
        <w:rPr>
          <w:rFonts w:eastAsia="Calibri" w:cs="Tahoma" w:ascii="Tahoma" w:hAnsi="Tahoma"/>
          <w:i/>
          <w:iCs/>
          <w:sz w:val="20"/>
          <w:szCs w:val="20"/>
        </w:rPr>
        <w:t xml:space="preserve">la licenciada </w:t>
      </w:r>
      <w:r>
        <w:rPr>
          <w:rFonts w:cs="Tahoma" w:ascii="Tahoma" w:hAnsi="Tahoma"/>
          <w:i/>
          <w:iCs/>
          <w:sz w:val="20"/>
          <w:szCs w:val="20"/>
        </w:rPr>
        <w:t>Valverde Bermúdez</w:t>
      </w:r>
      <w:r>
        <w:rPr>
          <w:rFonts w:eastAsia="Calibri" w:cs="Tahoma" w:ascii="Tahoma" w:hAnsi="Tahoma"/>
          <w:i/>
          <w:iCs/>
          <w:sz w:val="20"/>
          <w:szCs w:val="20"/>
          <w:lang w:eastAsia="es-ES_tradnl"/>
        </w:rPr>
        <w:t>: "El paso uno que es el previamente, posiblemente ya casi va a estar contenido en la propuesta que les llegue aqu</w:t>
      </w:r>
      <w:r>
        <w:rPr>
          <w:rFonts w:cs="Tahoma" w:ascii="Tahoma" w:hAnsi="Tahoma"/>
          <w:i/>
          <w:iCs/>
          <w:sz w:val="20"/>
          <w:szCs w:val="20"/>
          <w:lang w:eastAsia="es-ES_tradnl"/>
        </w:rPr>
        <w:t>í inicialmente, porque parte de la definición del problema, parte del marco legal es lo que les indicamos que serían estas preguntas que se tienen que responder en el planteamiento que se haga aquí a la Corte."</w:t>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ind w:firstLine="709"/>
        <w:jc w:val="both"/>
        <w:rPr>
          <w:rFonts w:ascii="Tahoma" w:hAnsi="Tahoma" w:cs="Tahoma"/>
          <w:b/>
          <w:b/>
          <w:bCs/>
          <w:i/>
          <w:i/>
          <w:iCs/>
          <w:sz w:val="20"/>
          <w:szCs w:val="20"/>
        </w:rPr>
      </w:pPr>
      <w:r>
        <w:rPr>
          <w:rFonts w:cs="Tahoma" w:ascii="Tahoma" w:hAnsi="Tahoma"/>
          <w:b/>
          <w:bCs/>
          <w:i/>
          <w:iCs/>
          <w:sz w:val="20"/>
          <w:szCs w:val="20"/>
        </w:rPr>
        <w:t>ENTRA EL MAGISTRADO CASTILLO.</w:t>
      </w:r>
    </w:p>
    <w:p>
      <w:pPr>
        <w:pStyle w:val="Normal"/>
        <w:ind w:firstLine="709"/>
        <w:jc w:val="both"/>
        <w:rPr>
          <w:rFonts w:ascii="Tahoma" w:hAnsi="Tahoma" w:cs="Tahoma"/>
          <w:b/>
          <w:b/>
          <w:bCs/>
          <w:i/>
          <w:i/>
          <w:iCs/>
          <w:sz w:val="20"/>
          <w:szCs w:val="20"/>
        </w:rPr>
      </w:pPr>
      <w:r>
        <w:rPr>
          <w:rFonts w:cs="Tahoma" w:ascii="Tahoma" w:hAnsi="Tahoma"/>
          <w:b/>
          <w:bCs/>
          <w:i/>
          <w:iCs/>
          <w:sz w:val="20"/>
          <w:szCs w:val="20"/>
        </w:rPr>
      </w:r>
    </w:p>
    <w:p>
      <w:pPr>
        <w:pStyle w:val="Normal"/>
        <w:jc w:val="both"/>
        <w:rPr>
          <w:rFonts w:ascii="Tahoma" w:hAnsi="Tahoma" w:cs="Tahoma"/>
          <w:i/>
          <w:i/>
          <w:iCs/>
          <w:sz w:val="20"/>
          <w:szCs w:val="20"/>
        </w:rPr>
      </w:pPr>
      <w:r>
        <w:rPr>
          <w:rFonts w:cs="Tahoma" w:ascii="Tahoma" w:hAnsi="Tahoma"/>
          <w:i/>
          <w:iCs/>
          <w:sz w:val="20"/>
          <w:szCs w:val="20"/>
          <w:lang w:eastAsia="es-ES_tradnl"/>
        </w:rPr>
        <w:tab/>
        <w:t xml:space="preserve">Prosigue el </w:t>
      </w:r>
      <w:r>
        <w:rPr>
          <w:rFonts w:eastAsia="Calibri" w:cs="Tahoma" w:ascii="Tahoma" w:hAnsi="Tahoma"/>
          <w:i/>
          <w:iCs/>
          <w:sz w:val="20"/>
          <w:szCs w:val="20"/>
        </w:rPr>
        <w:t>magistrado Molinari: "Volvamos a ese gráfico. En la elaboraci</w:t>
      </w:r>
      <w:r>
        <w:rPr>
          <w:rFonts w:cs="Tahoma" w:ascii="Tahoma" w:hAnsi="Tahoma"/>
          <w:i/>
          <w:iCs/>
          <w:sz w:val="20"/>
          <w:szCs w:val="20"/>
        </w:rPr>
        <w:t>ón y aprobación de la política institucional habla de una metodología, de una elaboración de la propuesta de la política y una validación y aprobación de la política, es porque yo sentí que es ahí donde nosotros entramos, pero que vendrá con una metodología porque si vamos a aprobar una política institucional supongo que tendrá que tener un contenido metodológico como para poder decir: “vamos a ejecutar esta política de esta manera”. Nada más para estar claro."</w:t>
      </w:r>
    </w:p>
    <w:p>
      <w:pPr>
        <w:pStyle w:val="Normal"/>
        <w:jc w:val="both"/>
        <w:rPr>
          <w:rFonts w:ascii="Tahoma" w:hAnsi="Tahoma" w:cs="Tahoma"/>
          <w:i/>
          <w:i/>
          <w:iCs/>
          <w:sz w:val="20"/>
          <w:szCs w:val="20"/>
        </w:rPr>
      </w:pPr>
      <w:r>
        <w:rPr>
          <w:rFonts w:cs="Tahoma" w:ascii="Tahoma" w:hAnsi="Tahoma"/>
          <w:i/>
          <w:iCs/>
          <w:sz w:val="20"/>
          <w:szCs w:val="20"/>
        </w:rPr>
      </w:r>
    </w:p>
    <w:p>
      <w:pPr>
        <w:pStyle w:val="Normal"/>
        <w:jc w:val="both"/>
        <w:rPr>
          <w:rFonts w:ascii="Tahoma" w:hAnsi="Tahoma" w:cs="Tahoma"/>
          <w:i/>
          <w:i/>
          <w:iCs/>
          <w:sz w:val="20"/>
          <w:szCs w:val="20"/>
          <w:lang w:eastAsia="es-ES_tradnl"/>
        </w:rPr>
      </w:pPr>
      <w:r>
        <w:rPr>
          <w:rFonts w:eastAsia="Calibri" w:cs="Tahoma" w:ascii="Tahoma" w:hAnsi="Tahoma"/>
          <w:i/>
          <w:iCs/>
          <w:sz w:val="20"/>
          <w:szCs w:val="20"/>
          <w:lang w:eastAsia="es-ES_tradnl"/>
        </w:rPr>
        <w:tab/>
        <w:t xml:space="preserve">Aclara </w:t>
      </w:r>
      <w:r>
        <w:rPr>
          <w:rFonts w:eastAsia="Calibri" w:cs="Tahoma" w:ascii="Tahoma" w:hAnsi="Tahoma"/>
          <w:i/>
          <w:iCs/>
          <w:sz w:val="20"/>
          <w:szCs w:val="20"/>
          <w:lang w:eastAsia="es-MX"/>
        </w:rPr>
        <w:t xml:space="preserve">la licenciada </w:t>
      </w:r>
      <w:r>
        <w:rPr>
          <w:rFonts w:cs="Tahoma" w:ascii="Tahoma" w:hAnsi="Tahoma"/>
          <w:i/>
          <w:iCs/>
          <w:sz w:val="20"/>
          <w:szCs w:val="20"/>
          <w:lang w:eastAsia="es-MX"/>
        </w:rPr>
        <w:t>Valverde Bermúdez</w:t>
      </w:r>
      <w:r>
        <w:rPr>
          <w:rFonts w:eastAsia="Calibri" w:cs="Tahoma" w:ascii="Tahoma" w:hAnsi="Tahoma"/>
          <w:i/>
          <w:iCs/>
          <w:sz w:val="20"/>
          <w:szCs w:val="20"/>
          <w:lang w:eastAsia="es-ES_tradnl"/>
        </w:rPr>
        <w:t>: "La propuesta que viene aqu</w:t>
      </w:r>
      <w:r>
        <w:rPr>
          <w:rFonts w:cs="Tahoma" w:ascii="Tahoma" w:hAnsi="Tahoma"/>
          <w:i/>
          <w:iCs/>
          <w:sz w:val="20"/>
          <w:szCs w:val="20"/>
          <w:lang w:eastAsia="es-ES_tradnl"/>
        </w:rPr>
        <w:t>í es de dos momentos. Una es el interés institucional del tema a desarrollar en la política, ese es el primer momento en donde el lineamiento de Corte se aprueba y el segundo momento, ahora sí es aprobar la política pero con toda la elaboración ya diciéndole a Corte, esto cuesta tanto, esto se va a implementar de esta forma y esto se va a desarrollar de esta forma y consultado a todas las instancias también que tienen que ver con el desarrollo de la política. Entonces, la propuesta va en esas dos vías. La primera es el lineamiento, tema, si es de importancia y la segunda, ahora sí, todo el desarrollo que va a venir en un segundo momento.</w:t>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tab/>
        <w:t>La política como tal o el documento que se espera traer tiene varios componentes básicos que ya traería el documento final o en el segundo momento de la propuesta, la portada, la introducción, el índice, tendríamos la definición y delimitación, el marco legal, el análisis, aquí tendríamos la metodología.</w:t>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tab/>
        <w:t>La metodología es participativa, es a nivel de talleres, es a nivel toda con grupos de trabajo definiríamos las poblaciones o grupos beneficiarios, a quienes se les dirige e impacta la política, el alineamiento con los ejes trasversales del Plan Estratégico, temas prioritarios, ahí desarrollaríamos objetivos, líneas de acción, resultados esperados y lo más importante los indicadores de resultados de la implementación de la política, que esto ha sido un tema que no se ha desarrollado.</w:t>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tab/>
        <w:t>Que estos temas son los que hoy día son los que no se han desarrollado en las políticas que se han propuesto, por tanto, ha sido difícil poder determinar cuantitativamente cual ha sido el impacto de estas iniciativas y lo más importante es el plan de acción.</w:t>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tab/>
        <w:t>El plan de acción, ahí si va a desarrollar el análisis e impacto presupuestario de la implementación de esas políticas y la definición del modelo de gestión para la implementación, seguimiento y evaluación.</w:t>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tab/>
        <w:t>Quiere decir que la propuesta que vendrá aquí de políticas va a tener ese estudio de previo para poder ver si es viable o no institucionalmente la aplicación de estas políticas."</w:t>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ind w:firstLine="709"/>
        <w:jc w:val="both"/>
        <w:rPr>
          <w:rFonts w:ascii="Tahoma" w:hAnsi="Tahoma" w:cs="Tahoma"/>
          <w:b/>
          <w:b/>
          <w:bCs/>
          <w:i/>
          <w:i/>
          <w:iCs/>
          <w:sz w:val="20"/>
          <w:szCs w:val="20"/>
        </w:rPr>
      </w:pPr>
      <w:r>
        <w:rPr>
          <w:rFonts w:cs="Tahoma" w:ascii="Tahoma" w:hAnsi="Tahoma"/>
          <w:b/>
          <w:bCs/>
          <w:i/>
          <w:iCs/>
          <w:sz w:val="20"/>
          <w:szCs w:val="20"/>
        </w:rPr>
        <w:t>ENTRA EL MAGISTRADO SOLÍS.</w:t>
      </w:r>
    </w:p>
    <w:p>
      <w:pPr>
        <w:pStyle w:val="Normal"/>
        <w:ind w:firstLine="709"/>
        <w:jc w:val="both"/>
        <w:rPr>
          <w:rFonts w:ascii="Tahoma" w:hAnsi="Tahoma" w:cs="Tahoma"/>
          <w:b/>
          <w:b/>
          <w:bCs/>
          <w:i/>
          <w:i/>
          <w:iCs/>
          <w:sz w:val="20"/>
          <w:szCs w:val="20"/>
        </w:rPr>
      </w:pPr>
      <w:r>
        <w:rPr>
          <w:rFonts w:cs="Tahoma" w:ascii="Tahoma" w:hAnsi="Tahoma"/>
          <w:b/>
          <w:bCs/>
          <w:i/>
          <w:iCs/>
          <w:sz w:val="20"/>
          <w:szCs w:val="20"/>
        </w:rPr>
      </w:r>
    </w:p>
    <w:p>
      <w:pPr>
        <w:pStyle w:val="Normal"/>
        <w:ind w:firstLine="709"/>
        <w:jc w:val="both"/>
        <w:rPr>
          <w:rFonts w:ascii="Tahoma" w:hAnsi="Tahoma" w:cs="Tahoma"/>
          <w:i/>
          <w:i/>
          <w:iCs/>
          <w:sz w:val="20"/>
          <w:szCs w:val="20"/>
          <w:lang w:eastAsia="es-ES_tradnl"/>
        </w:rPr>
      </w:pPr>
      <w:r>
        <w:rPr>
          <w:rFonts w:cs="Tahoma" w:ascii="Tahoma" w:hAnsi="Tahoma"/>
          <w:i/>
          <w:iCs/>
          <w:sz w:val="20"/>
          <w:szCs w:val="20"/>
          <w:lang w:eastAsia="es-ES_tradnl"/>
        </w:rPr>
        <w:t>Expresa el Magistrado Molinari: "Supongo que la idea para efectos de proponer alguna política pues nacerá en algún lugar equis, nada más como para yo tener también una mejor idea y quién colabora a elaborar todo eso para efectos de que venga a Corte Plena, nosotros la podamos aprobar y continuar incluso con el desarrollo, con la implementación y evaluación de esa política.</w:t>
      </w:r>
    </w:p>
    <w:p>
      <w:pPr>
        <w:pStyle w:val="Normal"/>
        <w:ind w:firstLine="709"/>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ind w:firstLine="709"/>
        <w:jc w:val="both"/>
        <w:rPr>
          <w:rFonts w:ascii="Tahoma" w:hAnsi="Tahoma" w:cs="Tahoma"/>
          <w:i/>
          <w:i/>
          <w:iCs/>
          <w:sz w:val="20"/>
          <w:szCs w:val="20"/>
          <w:lang w:eastAsia="es-ES_tradnl"/>
        </w:rPr>
      </w:pPr>
      <w:r>
        <w:rPr>
          <w:rFonts w:cs="Tahoma" w:ascii="Tahoma" w:hAnsi="Tahoma"/>
          <w:i/>
          <w:iCs/>
          <w:sz w:val="20"/>
          <w:szCs w:val="20"/>
          <w:lang w:eastAsia="es-ES_tradnl"/>
        </w:rPr>
        <w:t>¿Quién? ¿Qué departamento es el que se encarga?¿Cuál subproceso? Si es de planificación o no sé, para tener claro ese tema también."</w:t>
      </w:r>
    </w:p>
    <w:p>
      <w:pPr>
        <w:pStyle w:val="Normal"/>
        <w:ind w:firstLine="709"/>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ind w:firstLine="709"/>
        <w:jc w:val="both"/>
        <w:rPr>
          <w:rFonts w:ascii="Tahoma" w:hAnsi="Tahoma" w:eastAsia="Calibri" w:cs="Tahoma"/>
          <w:i/>
          <w:i/>
          <w:iCs/>
          <w:sz w:val="20"/>
          <w:szCs w:val="20"/>
          <w:lang w:eastAsia="es-ES_tradnl"/>
        </w:rPr>
      </w:pPr>
      <w:r>
        <w:rPr>
          <w:rFonts w:cs="Tahoma" w:ascii="Tahoma" w:hAnsi="Tahoma"/>
          <w:i/>
          <w:iCs/>
          <w:sz w:val="20"/>
          <w:szCs w:val="20"/>
          <w:lang w:eastAsia="es-ES_tradnl"/>
        </w:rPr>
        <w:t xml:space="preserve">Responde </w:t>
      </w:r>
      <w:r>
        <w:rPr>
          <w:rFonts w:eastAsia="Calibri" w:cs="Tahoma" w:ascii="Tahoma" w:hAnsi="Tahoma"/>
          <w:i/>
          <w:iCs/>
          <w:sz w:val="20"/>
          <w:szCs w:val="20"/>
          <w:lang w:eastAsia="es-MX"/>
        </w:rPr>
        <w:t>la m</w:t>
      </w:r>
      <w:r>
        <w:rPr>
          <w:rFonts w:cs="Tahoma" w:ascii="Tahoma" w:hAnsi="Tahoma"/>
          <w:i/>
          <w:iCs/>
          <w:sz w:val="20"/>
          <w:szCs w:val="20"/>
          <w:lang w:eastAsia="es-MX"/>
        </w:rPr>
        <w:t>áster Valverde Bermúdez</w:t>
      </w:r>
      <w:r>
        <w:rPr>
          <w:rFonts w:eastAsia="Calibri" w:cs="Tahoma" w:ascii="Tahoma" w:hAnsi="Tahoma"/>
          <w:i/>
          <w:iCs/>
          <w:sz w:val="20"/>
          <w:szCs w:val="20"/>
          <w:lang w:eastAsia="es-ES_tradnl"/>
        </w:rPr>
        <w:t xml:space="preserve">: "En la presentación que viene, ya está un poco el resumen de esa consulta que nos hace el magistrado Molinari. </w:t>
      </w:r>
    </w:p>
    <w:p>
      <w:pPr>
        <w:pStyle w:val="Normal"/>
        <w:ind w:firstLine="709"/>
        <w:jc w:val="both"/>
        <w:rPr>
          <w:rFonts w:ascii="Tahoma" w:hAnsi="Tahoma" w:eastAsia="Calibri" w:cs="Tahoma"/>
          <w:i/>
          <w:i/>
          <w:iCs/>
          <w:sz w:val="20"/>
          <w:szCs w:val="20"/>
          <w:lang w:eastAsia="es-ES_tradnl"/>
        </w:rPr>
      </w:pPr>
      <w:r>
        <w:rPr>
          <w:rFonts w:eastAsia="Calibri" w:cs="Tahoma" w:ascii="Tahoma" w:hAnsi="Tahoma"/>
          <w:i/>
          <w:iCs/>
          <w:sz w:val="20"/>
          <w:szCs w:val="20"/>
          <w:lang w:eastAsia="es-ES_tradnl"/>
        </w:rPr>
      </w:r>
    </w:p>
    <w:p>
      <w:pPr>
        <w:pStyle w:val="Normal"/>
        <w:jc w:val="both"/>
        <w:rPr>
          <w:rFonts w:ascii="Tahoma" w:hAnsi="Tahoma" w:cs="Tahoma"/>
          <w:i/>
          <w:i/>
          <w:iCs/>
          <w:sz w:val="20"/>
          <w:szCs w:val="20"/>
          <w:lang w:eastAsia="es-ES_tradnl"/>
        </w:rPr>
      </w:pPr>
      <w:r>
        <w:rPr>
          <w:rFonts w:eastAsia="Calibri" w:cs="Tahoma" w:ascii="Tahoma" w:hAnsi="Tahoma"/>
          <w:i/>
          <w:iCs/>
          <w:sz w:val="20"/>
          <w:szCs w:val="20"/>
          <w:lang w:eastAsia="es-ES_tradnl"/>
        </w:rPr>
        <w:tab/>
        <w:t>El primer paso es la instancia o comisi</w:t>
      </w:r>
      <w:r>
        <w:rPr>
          <w:rFonts w:cs="Tahoma" w:ascii="Tahoma" w:hAnsi="Tahoma"/>
          <w:i/>
          <w:iCs/>
          <w:sz w:val="20"/>
          <w:szCs w:val="20"/>
          <w:lang w:eastAsia="es-ES_tradnl"/>
        </w:rPr>
        <w:t>ón institucional. Nosotros siempre vamos a participar como la parte técnica, participaría como esa parte técnica que les daría la orientación en metodologías de trabajo, de hecho, ya hoy lo estamos haciendo con algunas Comisiones para poder orientar esos métodos o formas de trabajo.</w:t>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tab/>
        <w:t>Pero inicialmente la instancia o comisión institucional solicita la aprobación a la Corte Plena sobre la propuesta para la elaboración de la política institucional basado en los criterios ya antes expresados.</w:t>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tab/>
        <w:t>La Corte Plena es la que establece si la propuesta es de interés institucional y aprueba o no la elaboración de esta nueva política. La instancia o comisión institucional elabora la propuesta de la política según el modelo que ya dijimos que también tiene cuatro pasos, ese modelo como tal, la propuesta es que se remita a la Dirección de Planificación y a la Dirección Jurídica de previo a que venga aquí.</w:t>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jc w:val="both"/>
        <w:rPr>
          <w:rFonts w:ascii="Tahoma" w:hAnsi="Tahoma" w:cs="Tahoma"/>
          <w:i/>
          <w:i/>
          <w:iCs/>
          <w:sz w:val="20"/>
          <w:szCs w:val="20"/>
          <w:lang w:eastAsia="es-ES_tradnl"/>
        </w:rPr>
      </w:pPr>
      <w:r>
        <w:rPr>
          <w:rFonts w:eastAsia="Calibri" w:cs="Tahoma" w:ascii="Tahoma" w:hAnsi="Tahoma"/>
          <w:i/>
          <w:iCs/>
          <w:sz w:val="20"/>
          <w:szCs w:val="20"/>
          <w:lang w:eastAsia="es-ES_tradnl"/>
        </w:rPr>
        <w:tab/>
        <w:t>La Direcci</w:t>
      </w:r>
      <w:r>
        <w:rPr>
          <w:rFonts w:cs="Tahoma" w:ascii="Tahoma" w:hAnsi="Tahoma"/>
          <w:i/>
          <w:iCs/>
          <w:sz w:val="20"/>
          <w:szCs w:val="20"/>
          <w:lang w:eastAsia="es-ES_tradnl"/>
        </w:rPr>
        <w:t>ón de Planificación revisará toda la metodología, todo el procedimiento que aquí se está exponiendo y la Dirección Jurídica revisará a partir del criterio jurídico sobre el marco legal que está exponiendo en la política.</w:t>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ind w:firstLine="709"/>
        <w:jc w:val="both"/>
        <w:rPr>
          <w:rFonts w:ascii="Tahoma" w:hAnsi="Tahoma" w:cs="Tahoma"/>
          <w:i/>
          <w:i/>
          <w:iCs/>
          <w:sz w:val="20"/>
          <w:szCs w:val="20"/>
          <w:lang w:eastAsia="es-ES_tradnl"/>
        </w:rPr>
      </w:pPr>
      <w:r>
        <w:rPr>
          <w:rFonts w:cs="Tahoma" w:ascii="Tahoma" w:hAnsi="Tahoma"/>
          <w:i/>
          <w:iCs/>
          <w:sz w:val="20"/>
          <w:szCs w:val="20"/>
          <w:lang w:eastAsia="es-ES_tradnl"/>
        </w:rPr>
        <w:t xml:space="preserve">Después de que pasa a estas dos instancias, al instancia o comisión que fue la proponente atiende las recomendaciones de los órganos técnicos y remite la propuesta actualizada a la Secretaria General de la Corte con copia de información a estos dos: Dirección de Planificación y Dirección Jurídica para que sea remitida aquí a la Corte Plena. Entonces pasa por esas remisiones de previo antes de venir aquí a la Corte Plena. </w:t>
      </w:r>
    </w:p>
    <w:p>
      <w:pPr>
        <w:pStyle w:val="Normal"/>
        <w:ind w:firstLine="709"/>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tab/>
        <w:t>Ahora, propiamente el proceso de gestión estratégica como tal global. Este era el específico y ahora el global.</w:t>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tab/>
        <w:t xml:space="preserve">Ya para poder conocer ahora si los resultados de las políticas, entonces ¿qué estamos proponiendo en este resultado final? </w:t>
      </w:r>
      <w:r>
        <w:rPr>
          <w:rFonts w:cs="Tahoma" w:ascii="Tahoma" w:hAnsi="Tahoma"/>
          <w:b/>
          <w:bCs/>
          <w:i/>
          <w:iCs/>
          <w:sz w:val="20"/>
          <w:szCs w:val="20"/>
          <w:lang w:eastAsia="es-ES_tradnl"/>
        </w:rPr>
        <w:t>1)</w:t>
      </w:r>
      <w:r>
        <w:rPr>
          <w:rFonts w:cs="Tahoma" w:ascii="Tahoma" w:hAnsi="Tahoma"/>
          <w:i/>
          <w:iCs/>
          <w:sz w:val="20"/>
          <w:szCs w:val="20"/>
          <w:lang w:eastAsia="es-ES_tradnl"/>
        </w:rPr>
        <w:t xml:space="preserve"> Elaborar un informe anual de la evaluación de los resultados de la incidencia de la ejecución de la política, este resultado como ya previamente han desarrollado indicadores debería de ser muy sencilla la evaluación ya que previamente se tuvieron que haber desarrollado esos indicadores. Eso se remite a la Dirección de Planificación, quien recoge un informe anual que elabora, el cual va a remitir de previo a este grupo, a este comité de Planeación Estratégica para su conocimiento y observaciones o valoraciones si tuviese que realizar ese comité </w:t>
      </w:r>
      <w:r>
        <w:rPr>
          <w:rFonts w:eastAsia="Calibri" w:cs="Tahoma" w:ascii="Tahoma" w:hAnsi="Tahoma"/>
          <w:i/>
          <w:iCs/>
          <w:sz w:val="20"/>
          <w:szCs w:val="20"/>
          <w:lang w:eastAsia="es-ES_tradnl"/>
        </w:rPr>
        <w:t>conoce el informe de pol</w:t>
      </w:r>
      <w:r>
        <w:rPr>
          <w:rFonts w:cs="Tahoma" w:ascii="Tahoma" w:hAnsi="Tahoma"/>
          <w:i/>
          <w:iCs/>
          <w:sz w:val="20"/>
          <w:szCs w:val="20"/>
          <w:lang w:eastAsia="es-ES_tradnl"/>
        </w:rPr>
        <w:t xml:space="preserve">íticas institucionales o de resultado de políticas institucionales. </w:t>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tab/>
        <w:t xml:space="preserve">La Dirección de Planificación una vez que tiene el informe de consulta y de revisión, lo remite a la Secretaria General de la Corte y a las instancias involucradas. </w:t>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tab/>
        <w:t>La Corte Plena conoce, aprueba y emite las recomendaciones sobre el informe remitido que considere pertinente en relación con las líneas estratégicas y políticas institucionales que ya están pautadas.</w:t>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tab/>
        <w:t>Con esto, podemos decir que se establecería el mecanismo anual de rendición de cuentas de las políticas implementadas que se nos había solicitado por el Estado de la Justicia y que también nos serviría para rendir cuentas a las diferentes oficinas.</w:t>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tab/>
        <w:t>En resumen, las recomendaciones que se plantean son las que se indicó, aprobar el modelo de gestión que se detalla en el capítulo tres de este informe. En caso de aprobarse que la Secretaria General de la Corte publique la circular que también se genere en un documento escrito con el Departamento de Impresión del diseño de los cincuenta ejemplares para uso de las diferentes oficinas y aprobar el modelo de gestión estratégica propuesto también para tema de las evaluaciones anuales.</w:t>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tab/>
        <w:t xml:space="preserve">Recordar que la propuesta que se está realizando es para la propuesta de nuevas políticas, no para las existentes, ya que las existentes han desarrollado todo proceso completamente distinto a este. </w:t>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tab/>
        <w:t>Eso sería, en resumen."</w:t>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tab/>
        <w:t>Manifiesta la Magistrada Varela: "Me parece muy importante todo lo que nos ha venido a informar doña Nacira y está claro que está generándose una ruta clara de pasos a seguir para mejorar la gestión a nivel institucional en todos los ámbitos.</w:t>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tab/>
        <w:t>Mi preocupación radicaría básicamente con esas treinta y cuatro políticas que tenemos, treinta y cuatro creo que señaló, si ya las tenemos en curso, si ya se han invertido recursos, tiempos, recursos económicos y demás, si una revisión de esas sería conveniente o debería de hacerse para ir priorizando también cuales de esas son las que en razón de los recursos económicos que tenemos se van a implementar de primero o si tienen que hacerse simultáneamente porque son transversales según corresponda.</w:t>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tab/>
        <w:t>De manera tal que puedan verse los resultados, los efectivos en la gestión sobre todo especialmente en el área jurisdiccional y otras áreas también son importantes por supuesto, porque esto implica esfuerzos institucionales.</w:t>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ind w:firstLine="709"/>
        <w:jc w:val="both"/>
        <w:rPr>
          <w:rFonts w:ascii="Tahoma" w:hAnsi="Tahoma" w:cs="Tahoma"/>
          <w:i/>
          <w:i/>
          <w:iCs/>
          <w:sz w:val="20"/>
          <w:szCs w:val="20"/>
          <w:lang w:eastAsia="es-ES_tradnl"/>
        </w:rPr>
      </w:pPr>
      <w:r>
        <w:rPr>
          <w:rFonts w:cs="Tahoma" w:ascii="Tahoma" w:hAnsi="Tahoma"/>
          <w:i/>
          <w:iCs/>
          <w:sz w:val="20"/>
          <w:szCs w:val="20"/>
          <w:lang w:eastAsia="es-ES_tradnl"/>
        </w:rPr>
        <w:t>Estimo que hay que hacer una revisión de esas treinta y cuatro, si hay que hacerle un ajuste reformularlas, hacer esa reformulación y optimizar los recursos que estamos invirtiendo para su cumplimiento.</w:t>
      </w:r>
    </w:p>
    <w:p>
      <w:pPr>
        <w:pStyle w:val="Normal"/>
        <w:ind w:firstLine="709"/>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tab/>
        <w:t xml:space="preserve">Pregunto más bien ¿podría hacerse ese ajuste con esta buena propuesta estratégica de gestión o no? </w:t>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ind w:firstLine="709"/>
        <w:jc w:val="both"/>
        <w:rPr>
          <w:rFonts w:ascii="Tahoma" w:hAnsi="Tahoma" w:cs="Tahoma"/>
          <w:i/>
          <w:i/>
          <w:iCs/>
          <w:sz w:val="20"/>
          <w:szCs w:val="20"/>
          <w:lang w:eastAsia="es-ES_tradnl"/>
        </w:rPr>
      </w:pPr>
      <w:r>
        <w:rPr>
          <w:rFonts w:cs="Tahoma" w:ascii="Tahoma" w:hAnsi="Tahoma"/>
          <w:i/>
          <w:iCs/>
          <w:sz w:val="20"/>
          <w:szCs w:val="20"/>
          <w:lang w:eastAsia="es-ES_tradnl"/>
        </w:rPr>
        <w:t>Estimo que es necesario desde mi punto vista, pero quisiera oír la opinión experta sobre el tema."</w:t>
      </w:r>
    </w:p>
    <w:p>
      <w:pPr>
        <w:pStyle w:val="Normal"/>
        <w:ind w:firstLine="709"/>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ind w:firstLine="709"/>
        <w:jc w:val="both"/>
        <w:rPr>
          <w:rFonts w:ascii="Tahoma" w:hAnsi="Tahoma" w:cs="Tahoma"/>
          <w:b/>
          <w:b/>
          <w:bCs/>
          <w:i/>
          <w:i/>
          <w:iCs/>
          <w:sz w:val="20"/>
          <w:szCs w:val="20"/>
        </w:rPr>
      </w:pPr>
      <w:r>
        <w:rPr>
          <w:rFonts w:cs="Tahoma" w:ascii="Tahoma" w:hAnsi="Tahoma"/>
          <w:b/>
          <w:bCs/>
          <w:i/>
          <w:iCs/>
          <w:sz w:val="20"/>
          <w:szCs w:val="20"/>
        </w:rPr>
        <w:t>ENTRA EL MAGISTRADO AGUIRRE. SALE EL MAGISTRADO ARAYA.</w:t>
      </w:r>
    </w:p>
    <w:p>
      <w:pPr>
        <w:pStyle w:val="Normal"/>
        <w:ind w:firstLine="709"/>
        <w:jc w:val="both"/>
        <w:rPr>
          <w:rFonts w:ascii="Tahoma" w:hAnsi="Tahoma" w:cs="Tahoma"/>
          <w:b/>
          <w:b/>
          <w:bCs/>
          <w:i/>
          <w:i/>
          <w:iCs/>
          <w:sz w:val="20"/>
          <w:szCs w:val="20"/>
        </w:rPr>
      </w:pPr>
      <w:r>
        <w:rPr>
          <w:rFonts w:cs="Tahoma" w:ascii="Tahoma" w:hAnsi="Tahoma"/>
          <w:b/>
          <w:bCs/>
          <w:i/>
          <w:iCs/>
          <w:sz w:val="20"/>
          <w:szCs w:val="20"/>
        </w:rPr>
      </w:r>
    </w:p>
    <w:p>
      <w:pPr>
        <w:pStyle w:val="Normal"/>
        <w:ind w:firstLine="709"/>
        <w:jc w:val="both"/>
        <w:rPr>
          <w:rFonts w:ascii="Tahoma" w:hAnsi="Tahoma" w:cs="Tahoma"/>
          <w:i/>
          <w:i/>
          <w:iCs/>
          <w:sz w:val="20"/>
          <w:szCs w:val="20"/>
          <w:lang w:eastAsia="es-ES_tradnl"/>
        </w:rPr>
      </w:pPr>
      <w:r>
        <w:rPr>
          <w:rFonts w:cs="Tahoma" w:ascii="Tahoma" w:hAnsi="Tahoma"/>
          <w:i/>
          <w:iCs/>
          <w:sz w:val="20"/>
          <w:szCs w:val="20"/>
          <w:lang w:eastAsia="es-ES_tradnl"/>
        </w:rPr>
        <w:t xml:space="preserve">Señala </w:t>
      </w:r>
      <w:r>
        <w:rPr>
          <w:rFonts w:eastAsia="Calibri" w:cs="Tahoma" w:ascii="Tahoma" w:hAnsi="Tahoma"/>
          <w:i/>
          <w:iCs/>
          <w:sz w:val="20"/>
          <w:szCs w:val="20"/>
          <w:lang w:eastAsia="es-MX"/>
        </w:rPr>
        <w:t xml:space="preserve">la licenciada </w:t>
      </w:r>
      <w:r>
        <w:rPr>
          <w:rFonts w:cs="Tahoma" w:ascii="Tahoma" w:hAnsi="Tahoma"/>
          <w:i/>
          <w:iCs/>
          <w:sz w:val="20"/>
          <w:szCs w:val="20"/>
          <w:lang w:eastAsia="es-MX"/>
        </w:rPr>
        <w:t>Valverde Bermúdez</w:t>
      </w:r>
      <w:r>
        <w:rPr>
          <w:rFonts w:eastAsia="Calibri" w:cs="Tahoma" w:ascii="Tahoma" w:hAnsi="Tahoma"/>
          <w:i/>
          <w:iCs/>
          <w:sz w:val="20"/>
          <w:szCs w:val="20"/>
          <w:lang w:eastAsia="es-ES_tradnl"/>
        </w:rPr>
        <w:t>: "Sí, tal vez las treinta y cuatro políticas vigentes Magistrada Varela ya se est</w:t>
      </w:r>
      <w:r>
        <w:rPr>
          <w:rFonts w:cs="Tahoma" w:ascii="Tahoma" w:hAnsi="Tahoma"/>
          <w:i/>
          <w:iCs/>
          <w:sz w:val="20"/>
          <w:szCs w:val="20"/>
          <w:lang w:eastAsia="es-ES_tradnl"/>
        </w:rPr>
        <w:t>án aplicando en el Poder Judicial, ya se vienen trabajando en el Poder Judicial.</w:t>
      </w:r>
    </w:p>
    <w:p>
      <w:pPr>
        <w:pStyle w:val="Normal"/>
        <w:ind w:firstLine="709"/>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jc w:val="both"/>
        <w:rPr>
          <w:rFonts w:ascii="Tahoma" w:hAnsi="Tahoma" w:cs="Tahoma"/>
          <w:i/>
          <w:i/>
          <w:iCs/>
          <w:sz w:val="20"/>
          <w:szCs w:val="20"/>
          <w:lang w:eastAsia="es-MX"/>
        </w:rPr>
      </w:pPr>
      <w:r>
        <w:rPr>
          <w:rFonts w:cs="Tahoma" w:ascii="Tahoma" w:hAnsi="Tahoma"/>
          <w:i/>
          <w:iCs/>
          <w:sz w:val="20"/>
          <w:szCs w:val="20"/>
          <w:lang w:eastAsia="es-ES_tradnl"/>
        </w:rPr>
        <w:tab/>
        <w:t>Que es tal vez lo que todavía ni tenemos es ese plan de acción específico</w:t>
      </w:r>
      <w:r>
        <w:rPr>
          <w:rFonts w:eastAsia="Calibri" w:cs="Tahoma" w:ascii="Tahoma" w:hAnsi="Tahoma"/>
          <w:i/>
          <w:iCs/>
          <w:sz w:val="20"/>
          <w:szCs w:val="20"/>
          <w:lang w:eastAsia="es-ES_tradnl"/>
        </w:rPr>
        <w:t xml:space="preserve"> para poder determinar, entonces hemos estado trabajando ya con algunas oficinas para poder determinar con ellas un plan de acci</w:t>
      </w:r>
      <w:r>
        <w:rPr>
          <w:rFonts w:cs="Tahoma" w:ascii="Tahoma" w:hAnsi="Tahoma"/>
          <w:i/>
          <w:iCs/>
          <w:sz w:val="20"/>
          <w:szCs w:val="20"/>
          <w:lang w:eastAsia="es-ES_tradnl"/>
        </w:rPr>
        <w:t xml:space="preserve">ón para </w:t>
      </w:r>
      <w:r>
        <w:rPr>
          <w:rFonts w:cs="Tahoma" w:ascii="Tahoma" w:hAnsi="Tahoma"/>
          <w:i/>
          <w:iCs/>
          <w:sz w:val="20"/>
          <w:szCs w:val="20"/>
          <w:lang w:eastAsia="es-MX"/>
        </w:rPr>
        <w:t>documentar y poder más fácilmente dar el resultado hacia la gestión que estén realizando, las que son iniciativas son solamente seis, esas seis iniciativas son las que se estarían trabajando en este nuevo año a saber dependiendo de los recursos que se realicen y si son institucionales o son operativas, pero en eso todavía estamos trabajando y estas las treinta y cuatro existentes  ya nosotros estamos trabajando con ellos poco a poco con las que lo han venido solicitando a generar  un plan de acción para que sea más fácil la rendición de cuentas.</w:t>
      </w:r>
    </w:p>
    <w:p>
      <w:pPr>
        <w:pStyle w:val="Normal"/>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Lo que si se ha visto es que todos han venido realizando un trabajo bastante bueno y lo que nos falta es poder determinar la forma en cómo visibilizar los resultados finales".</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ind w:firstLine="709"/>
        <w:jc w:val="both"/>
        <w:rPr>
          <w:rFonts w:ascii="Tahoma" w:hAnsi="Tahoma" w:cs="Tahoma"/>
          <w:b/>
          <w:b/>
          <w:bCs/>
          <w:i/>
          <w:i/>
          <w:iCs/>
          <w:sz w:val="20"/>
          <w:szCs w:val="20"/>
        </w:rPr>
      </w:pPr>
      <w:r>
        <w:rPr>
          <w:rFonts w:cs="Tahoma" w:ascii="Tahoma" w:hAnsi="Tahoma"/>
          <w:b/>
          <w:bCs/>
          <w:i/>
          <w:iCs/>
          <w:sz w:val="20"/>
          <w:szCs w:val="20"/>
        </w:rPr>
        <w:t>SALE EL MAGISTRADO CASTILLO.</w:t>
      </w:r>
    </w:p>
    <w:p>
      <w:pPr>
        <w:pStyle w:val="Normal"/>
        <w:ind w:firstLine="709"/>
        <w:jc w:val="both"/>
        <w:rPr>
          <w:rFonts w:ascii="Tahoma" w:hAnsi="Tahoma" w:cs="Tahoma"/>
          <w:b/>
          <w:b/>
          <w:bCs/>
          <w:i/>
          <w:i/>
          <w:iCs/>
          <w:sz w:val="20"/>
          <w:szCs w:val="20"/>
        </w:rPr>
      </w:pPr>
      <w:r>
        <w:rPr>
          <w:rFonts w:cs="Tahoma" w:ascii="Tahoma" w:hAnsi="Tahoma"/>
          <w:b/>
          <w:bCs/>
          <w:i/>
          <w:iCs/>
          <w:sz w:val="20"/>
          <w:szCs w:val="20"/>
        </w:rPr>
      </w:r>
    </w:p>
    <w:p>
      <w:pPr>
        <w:pStyle w:val="Normal"/>
        <w:widowControl w:val="false"/>
        <w:ind w:firstLine="709"/>
        <w:jc w:val="both"/>
        <w:rPr>
          <w:rFonts w:ascii="Tahoma" w:hAnsi="Tahoma" w:cs="Tahoma"/>
          <w:i/>
          <w:i/>
          <w:iCs/>
          <w:sz w:val="20"/>
          <w:szCs w:val="20"/>
          <w:lang w:eastAsia="es-MX"/>
        </w:rPr>
      </w:pPr>
      <w:r>
        <w:rPr>
          <w:rFonts w:eastAsia="Calibri" w:cs="Tahoma" w:ascii="Tahoma" w:hAnsi="Tahoma"/>
          <w:i/>
          <w:iCs/>
          <w:sz w:val="20"/>
          <w:szCs w:val="20"/>
          <w:lang w:eastAsia="es-MX"/>
        </w:rPr>
        <w:t xml:space="preserve">Prosigue la Magistrada Varela: "Precisamente cuando queremos ordenarnos, hay que ordenarse para optimizar el esfuerzo institucional, el esfuerzo personal y tener el cumplimiento de los objetivos finalmente, de manera tal, que si en el </w:t>
      </w:r>
      <w:r>
        <w:rPr>
          <w:rFonts w:cs="Tahoma" w:ascii="Tahoma" w:hAnsi="Tahoma"/>
          <w:i/>
          <w:iCs/>
          <w:sz w:val="20"/>
          <w:szCs w:val="20"/>
          <w:lang w:eastAsia="es-MX"/>
        </w:rPr>
        <w:t>área fundamental de la institución que es la jurisdiccional no hacemos esas revisiones con frecuencia para tomar decisiones oportunas y tener los resultados, al finalizar cada año, ver mejores resultados creo que por ahí habría que meterle mayor iniciativa y esfuerzo en esa área, pues eso sugeriría que le prestemos especial atención, para que no se diga que se hace mucho pero no se ven los resultados".</w:t>
      </w:r>
    </w:p>
    <w:p>
      <w:pPr>
        <w:pStyle w:val="Normal"/>
        <w:widowControl w:val="false"/>
        <w:ind w:firstLine="709"/>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Agrega la suplente Esquivel Rodriguez: "Este esquema que se presenta definitivamente es sumamente importante, si estamos en una organización que se preocupa por el buen uso y manejo de los fondos públicos al igual que la magistrada Varela me parece a mí que en las que ya tiene el Poder Judicial sí debería de generarse algún tipo de priorización de las que en mayor forma afectan lo que tiene que ver con el acceso a la Justicia y en el análisis de riesgos, que también tiene que hacer la organización yo creo que es importante determinar si en algunas de estas políticas se debe esperar hasta que finalice el año o si por la gravedad que implicaría una distorsión del cumplimiento de la política deberíamos tener una especie de avance que no sea anual necesariamente.</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Estimo que definitivamente estos sistemas son fundamentales para la toma de decisiones y considero que aquí a los compañeros que están, la decisión más importante en este avance es la que se toma hoy, que el órgano superior disponga que esto sea la ruta de paso que va a seguir la organización, porque es indispensable que toda la organización conozca y sepa que hay una orden que emana del supremo para poder ejercer este tipo de actividades.</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A mí me parece fundamental este sistema que se está proponiendo y al igual que la magistrada Varela creo que es indispensable que las que ya están en vigencia se vayan convirtiendo en este sistema para que en algún momento pueda toda la organización tener la claridad de que se siguieron todos los pasos aquí, en algunas será pero al revés de atrás hacia delante, pero si es importante revisar cómo se ajustan al Plan Estratégico que objetivos tiene, sobre todo los indicadores de gestión lo que no se mide no se corrige y no podemos saber si se está ajustando a lo que inicialmente proponía y me parece que es indispensable que el Poder Judicial avance hacia este escenario.</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Otra pregunta que le tenía a la máster Valverde Bermúdez es si todo este esquema le genera algún costo adicional al Poder Judicial".</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eastAsia="Calibri" w:cs="Tahoma" w:ascii="Tahoma" w:hAnsi="Tahoma"/>
          <w:b/>
          <w:bCs/>
          <w:i/>
          <w:iCs/>
          <w:sz w:val="20"/>
          <w:szCs w:val="20"/>
          <w:lang w:eastAsia="es-MX"/>
        </w:rPr>
        <w:tab/>
      </w:r>
      <w:r>
        <w:rPr>
          <w:rFonts w:eastAsia="Calibri" w:cs="Tahoma" w:ascii="Tahoma" w:hAnsi="Tahoma"/>
          <w:i/>
          <w:iCs/>
          <w:sz w:val="20"/>
          <w:szCs w:val="20"/>
          <w:lang w:eastAsia="es-MX"/>
        </w:rPr>
        <w:t xml:space="preserve">Responde la licenciada </w:t>
      </w:r>
      <w:r>
        <w:rPr>
          <w:rFonts w:cs="Tahoma" w:ascii="Tahoma" w:hAnsi="Tahoma"/>
          <w:i/>
          <w:iCs/>
          <w:sz w:val="20"/>
          <w:szCs w:val="20"/>
          <w:lang w:eastAsia="es-MX"/>
        </w:rPr>
        <w:t>Valverde Bermúdez: "En relación a los costos lo estamos haciendo con personal interno, ha sido un trabajo sumamente laborioso en coordinación con las diferentes oficinas, pero creo que hemos estado haciendo todos en conjunto un esfuerzo por priorizar, entendiendo que la ruta correcta es la organización, es el ordenamiento para poder maximizar los recursos a la fecha, todo lo hemos estado haciendo con recursos internos".</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eastAsia="Calibri" w:cs="Tahoma" w:ascii="Tahoma" w:hAnsi="Tahoma"/>
          <w:b/>
          <w:bCs/>
          <w:i/>
          <w:iCs/>
          <w:sz w:val="20"/>
          <w:szCs w:val="20"/>
          <w:lang w:eastAsia="es-MX"/>
        </w:rPr>
        <w:tab/>
      </w:r>
      <w:r>
        <w:rPr>
          <w:rFonts w:eastAsia="Calibri" w:cs="Tahoma" w:ascii="Tahoma" w:hAnsi="Tahoma"/>
          <w:i/>
          <w:iCs/>
          <w:sz w:val="20"/>
          <w:szCs w:val="20"/>
          <w:lang w:eastAsia="es-MX"/>
        </w:rPr>
        <w:t>Prosigue el magistrado Molinari: "Un poco para aportar lo que dec</w:t>
      </w:r>
      <w:r>
        <w:rPr>
          <w:rFonts w:cs="Tahoma" w:ascii="Tahoma" w:hAnsi="Tahoma"/>
          <w:i/>
          <w:iCs/>
          <w:sz w:val="20"/>
          <w:szCs w:val="20"/>
          <w:lang w:eastAsia="es-MX"/>
        </w:rPr>
        <w:t xml:space="preserve">ía la magistrada Varela, me parece ya que estamos en esto, sería muy conveniente buscar la forma de entrar en la revisión de algunas de esas políticas si ustedes lo consideran conveniente. </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ind w:firstLine="709"/>
        <w:jc w:val="both"/>
        <w:rPr>
          <w:rFonts w:ascii="Tahoma" w:hAnsi="Tahoma" w:cs="Tahoma"/>
          <w:i/>
          <w:i/>
          <w:iCs/>
          <w:sz w:val="20"/>
          <w:szCs w:val="20"/>
          <w:lang w:eastAsia="es-MX"/>
        </w:rPr>
      </w:pPr>
      <w:r>
        <w:rPr>
          <w:rFonts w:cs="Tahoma" w:ascii="Tahoma" w:hAnsi="Tahoma"/>
          <w:i/>
          <w:iCs/>
          <w:sz w:val="20"/>
          <w:szCs w:val="20"/>
          <w:lang w:eastAsia="es-MX"/>
        </w:rPr>
        <w:t>Supongo y eso es una pregunta que la revisión y la modificación de esas políticas si seguirían la misma metodología para venir a Corte si ustedes lo llegaran a establecer, es una pregunta.</w:t>
      </w:r>
    </w:p>
    <w:p>
      <w:pPr>
        <w:pStyle w:val="Normal"/>
        <w:widowControl w:val="false"/>
        <w:ind w:firstLine="709"/>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La otra es el período en el que ustedes van a someter a Corte los informes de los planes de acción de esas políticas, si tienen algún período definido, si eso va a depender en alguna forma del tipo de políticas que se estén revisando u algo sobre el particular tiene que ver esta nota con lo que acaba de decir la magistrada Esquivel Rodríguez, y es la posibilidad en realidad de contar con informes en momentos adecuados para poder tomar decisiones. Esas serían las dos preguntas que tienen que ver con esto, un adicional si ustedes están generando alguna metodología de gestión de riesgos que considero que se asociaría a esta propuesta y finalmente decirles que me parece magnífico lo que están haciendo realmente, es lo que deberíamos hacer para poder tener una definición adecuada de la gestión y lograr alinear toda la institución con políticas que vengan a ser definidas en este caso por este órgano.</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Se asocia esto como parte de la propuesta que se hace en el grupo ocho, aunque con algunas pequeñas diferencias, aunque en realidad creo que nos acercamos bastante, tal vez el único tema un poco distinto es el órgano este al que ustedes someten muchas de estas propuestas como órgano técnico que participa de alguna forma de la administración activa que es un poquito distinto al que nosotros estábamos formulando en el grupo ocho a lo que refiere a gobierno corporativo, pero que todo está muy asociado y que me parece magnífico lo que están haciendo, con esto ya tendríamos un gran avance.</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Estimo que lo único que quedaría por definir es el tema de las competencias de lo que hicimos en el grupo ocho para redefinir algunas competencias, ahí valdría la pena, pero en todo lo demás de mi parte realmente se los agradezco".</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eastAsia="Calibri" w:cs="Tahoma" w:ascii="Tahoma" w:hAnsi="Tahoma"/>
          <w:b/>
          <w:bCs/>
          <w:i/>
          <w:iCs/>
          <w:sz w:val="20"/>
          <w:szCs w:val="20"/>
          <w:lang w:eastAsia="es-MX"/>
        </w:rPr>
        <w:tab/>
      </w:r>
      <w:r>
        <w:rPr>
          <w:rFonts w:eastAsia="Calibri" w:cs="Tahoma" w:ascii="Tahoma" w:hAnsi="Tahoma"/>
          <w:i/>
          <w:iCs/>
          <w:sz w:val="20"/>
          <w:szCs w:val="20"/>
          <w:lang w:eastAsia="es-MX"/>
        </w:rPr>
        <w:t>Consulta el Presidente, magistrado Cruz: "Alguna otra observaci</w:t>
      </w:r>
      <w:r>
        <w:rPr>
          <w:rFonts w:cs="Tahoma" w:ascii="Tahoma" w:hAnsi="Tahoma"/>
          <w:i/>
          <w:iCs/>
          <w:sz w:val="20"/>
          <w:szCs w:val="20"/>
          <w:lang w:eastAsia="es-MX"/>
        </w:rPr>
        <w:t>ón, lo aprobamos".</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Refiere la licenciada Valverde Bermúdez: "Tal vez nada más para contestarle a las magistradas Varela y Esquivel Rodriguez y al magistrado Molinari, la prioridad que nosotros habíamos propuesto de la evaluación es anual, sin embargo, si ustedes a bien lo consideran pues nosotros podríamos proponer que al menos sea semestral, de esa forma podría ser un análisis todavía más oportuno de esto, lo cual si usted a bien nosotros lo propondríamos.</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Con el tema de revisar las vigentes, nosotros podríamos hacer tal vez un cronograma de trabajo, porque vean que son bastantes políticas, ha sido toda una historia institucional, por eso nosotros la propuesta que hacemos es a partir de lo nuevo. Si ustedes también lo consideran, pues nosotros podríamos proponer un plan de trabajo para ir poco a poco revisando las vigentes al menos, para poder crearles el plan de acción y que ese plan de acción permita medir con indicadores más sencillo su operatividad. Entonces, podríamos proponer que solamente revisemos con las vigentes ese plan de acción y conforme a cronograma que nosotros poco a poco podríamos ir confeccionando porque también esto le genera bastante trabajo a las oficinas generar toda la metodología, entonces no nos devolveríamos solamente a un plan de acción si ustedes lo consideran prudente.</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Con el tema de la metodología de riesgos, nosotros en conjunto con la Oficina de Riesgos estamos desarrollando también una propuesta para traerles a ustedes en conjunto con los compañeros un modelo también de gestión de riesgos a nivel institucional que próximamente estaríamos terminando de construir y validar para luego traer acá a esta Corte".</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 xml:space="preserve">Señala el Presidente, magistrado Cruz: "No hay ninguna otra observación. Lo aprobamos así y me parece que hacer el esfuerzo que sea semestral es una guía muy importante. </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ind w:firstLine="709"/>
        <w:jc w:val="both"/>
        <w:rPr>
          <w:rFonts w:ascii="Tahoma" w:hAnsi="Tahoma" w:cs="Tahoma"/>
          <w:i/>
          <w:i/>
          <w:iCs/>
          <w:sz w:val="20"/>
          <w:szCs w:val="20"/>
          <w:lang w:eastAsia="es-MX"/>
        </w:rPr>
      </w:pPr>
      <w:r>
        <w:rPr>
          <w:rFonts w:cs="Tahoma" w:ascii="Tahoma" w:hAnsi="Tahoma"/>
          <w:i/>
          <w:iCs/>
          <w:sz w:val="20"/>
          <w:szCs w:val="20"/>
          <w:lang w:eastAsia="es-MX"/>
        </w:rPr>
        <w:t>Tengo la impresión de que esto nos resuelve un poco el tema de que pasa mucho tiempo y no hacemos evaluaciones y no hacemos el seguimiento, creo que esta estructura, este esquema nos permite tratar de aproximarnos mejor a una visión más eficaz.”</w:t>
      </w:r>
    </w:p>
    <w:p>
      <w:pPr>
        <w:pStyle w:val="Normal"/>
        <w:widowControl w:val="false"/>
        <w:ind w:firstLine="709"/>
        <w:jc w:val="both"/>
        <w:rPr>
          <w:rFonts w:ascii="Tahoma" w:hAnsi="Tahoma" w:cs="Tahoma"/>
          <w:i/>
          <w:i/>
          <w:iCs/>
          <w:sz w:val="20"/>
          <w:szCs w:val="20"/>
          <w:lang w:eastAsia="es-MX"/>
        </w:rPr>
      </w:pPr>
      <w:r>
        <w:rPr>
          <w:rFonts w:cs="Tahoma" w:ascii="Tahoma" w:hAnsi="Tahoma"/>
          <w:i/>
          <w:iCs/>
          <w:sz w:val="20"/>
          <w:szCs w:val="20"/>
          <w:lang w:eastAsia="es-MX"/>
        </w:rPr>
      </w:r>
    </w:p>
    <w:p>
      <w:pPr>
        <w:pStyle w:val="Normal"/>
        <w:ind w:firstLine="709"/>
        <w:jc w:val="both"/>
        <w:rPr>
          <w:rFonts w:ascii="Tahoma" w:hAnsi="Tahoma" w:cs="Tahoma"/>
          <w:i/>
          <w:i/>
          <w:iCs/>
          <w:sz w:val="20"/>
          <w:szCs w:val="20"/>
        </w:rPr>
      </w:pPr>
      <w:r>
        <w:rPr>
          <w:rFonts w:cs="Tahoma" w:ascii="Tahoma" w:hAnsi="Tahoma"/>
          <w:i/>
          <w:iCs/>
          <w:sz w:val="20"/>
          <w:szCs w:val="20"/>
        </w:rPr>
        <w:t xml:space="preserve">Sin objeción de las señoras magistradas y los señores magistrados presentes, </w:t>
      </w:r>
      <w:r>
        <w:rPr>
          <w:rFonts w:cs="Tahoma" w:ascii="Tahoma" w:hAnsi="Tahoma"/>
          <w:b/>
          <w:bCs/>
          <w:i/>
          <w:iCs/>
          <w:sz w:val="20"/>
          <w:szCs w:val="20"/>
        </w:rPr>
        <w:t>se acordó:</w:t>
      </w:r>
      <w:r>
        <w:rPr>
          <w:rFonts w:cs="Tahoma" w:ascii="Tahoma" w:hAnsi="Tahoma"/>
          <w:i/>
          <w:iCs/>
          <w:sz w:val="20"/>
          <w:szCs w:val="20"/>
        </w:rPr>
        <w:t xml:space="preserve"> Acoger el informe N° 1995-PLA-PE-2019, por ende: </w:t>
      </w:r>
      <w:r>
        <w:rPr>
          <w:rFonts w:cs="Tahoma" w:ascii="Tahoma" w:hAnsi="Tahoma"/>
          <w:b/>
          <w:bCs/>
          <w:i/>
          <w:iCs/>
          <w:sz w:val="20"/>
          <w:szCs w:val="20"/>
        </w:rPr>
        <w:t>1.)</w:t>
      </w:r>
      <w:r>
        <w:rPr>
          <w:rFonts w:cs="Tahoma" w:ascii="Tahoma" w:hAnsi="Tahoma"/>
          <w:i/>
          <w:iCs/>
          <w:sz w:val="20"/>
          <w:szCs w:val="20"/>
        </w:rPr>
        <w:t xml:space="preserve"> Aprobar el “Modelo de Gestión (formulación, implementación, seguimiento y evaluación) de Políticas Institucionales” en los términos señalados en el apartado III del citado informe y con las observaciones señaladas por la licenciada Nacira Valverde Bermúdez, Directora de ese despacho. </w:t>
      </w:r>
      <w:r>
        <w:rPr>
          <w:rFonts w:cs="Tahoma" w:ascii="Tahoma" w:hAnsi="Tahoma"/>
          <w:b/>
          <w:bCs/>
          <w:i/>
          <w:iCs/>
          <w:sz w:val="20"/>
          <w:szCs w:val="20"/>
        </w:rPr>
        <w:t xml:space="preserve">2.) </w:t>
      </w:r>
      <w:r>
        <w:rPr>
          <w:rFonts w:cs="Tahoma" w:ascii="Tahoma" w:hAnsi="Tahoma"/>
          <w:i/>
          <w:iCs/>
          <w:sz w:val="20"/>
          <w:szCs w:val="20"/>
        </w:rPr>
        <w:t xml:space="preserve">Solicitar al Departamento de Artes Gráficas del Poder Judicial se sirva realizar el diseño e impresión de al menos 50 ejemplares del documento “Modelo de Gestión (formulación, implementación, seguimiento y evaluación) de Políticas Institucionales” y lo remita a la Dirección de Planificación a fin de que los distribuya a las diferentes instancias que gestionan políticas institucionales. </w:t>
      </w:r>
      <w:r>
        <w:rPr>
          <w:rFonts w:cs="Tahoma" w:ascii="Tahoma" w:hAnsi="Tahoma"/>
          <w:b/>
          <w:bCs/>
          <w:i/>
          <w:iCs/>
          <w:sz w:val="20"/>
          <w:szCs w:val="20"/>
        </w:rPr>
        <w:t xml:space="preserve">3.) </w:t>
      </w:r>
      <w:r>
        <w:rPr>
          <w:rFonts w:cs="Tahoma" w:ascii="Tahoma" w:hAnsi="Tahoma"/>
          <w:i/>
          <w:iCs/>
          <w:sz w:val="20"/>
          <w:szCs w:val="20"/>
        </w:rPr>
        <w:t xml:space="preserve">Aprobar el “Proceso de Gestión Estratégica de Políticas Institucionales (Alineación Estratégica)”, contenido en el apartado IV de este informe, que incluye la elaboración de un informe semestral de seguimiento y evaluación de los resultados obtenidos de la gestión de las políticas institucionales, a cargo del Subproceso de Evaluación de la Dirección de Planificación, con el fin de que sea conocido por esta Corte para la toma de decisiones correspondiente.” </w:t>
      </w:r>
      <w:r>
        <w:rPr>
          <w:rFonts w:cs="Tahoma" w:ascii="Tahoma" w:hAnsi="Tahoma"/>
          <w:b/>
          <w:bCs/>
          <w:i/>
          <w:iCs/>
          <w:sz w:val="20"/>
          <w:szCs w:val="20"/>
        </w:rPr>
        <w:t xml:space="preserve">4.) </w:t>
      </w:r>
      <w:r>
        <w:rPr>
          <w:rFonts w:cs="Tahoma" w:ascii="Tahoma" w:hAnsi="Tahoma"/>
          <w:i/>
          <w:iCs/>
          <w:sz w:val="20"/>
          <w:szCs w:val="20"/>
        </w:rPr>
        <w:t>La Secretaría General de la Corte tomará nota para la publicación de la siguiente circular:</w:t>
      </w:r>
    </w:p>
    <w:p>
      <w:pPr>
        <w:pStyle w:val="Normal"/>
        <w:ind w:firstLine="709"/>
        <w:jc w:val="both"/>
        <w:rPr>
          <w:rFonts w:ascii="Tahoma" w:hAnsi="Tahoma" w:cs="Tahoma"/>
          <w:i/>
          <w:i/>
          <w:iCs/>
          <w:sz w:val="20"/>
          <w:szCs w:val="20"/>
        </w:rPr>
      </w:pPr>
      <w:r>
        <w:rPr>
          <w:rFonts w:cs="Tahoma" w:ascii="Tahoma" w:hAnsi="Tahoma"/>
          <w:i/>
          <w:iCs/>
          <w:sz w:val="20"/>
          <w:szCs w:val="20"/>
        </w:rPr>
      </w:r>
    </w:p>
    <w:p>
      <w:pPr>
        <w:pStyle w:val="Normal"/>
        <w:ind w:firstLine="567"/>
        <w:jc w:val="center"/>
        <w:rPr>
          <w:rFonts w:ascii="Tahoma" w:hAnsi="Tahoma" w:cs="Tahoma"/>
          <w:b/>
          <w:b/>
          <w:bCs/>
          <w:i/>
          <w:i/>
          <w:iCs/>
          <w:sz w:val="20"/>
          <w:szCs w:val="20"/>
          <w:u w:val="single"/>
          <w:lang w:eastAsia="es-ES"/>
        </w:rPr>
      </w:pPr>
      <w:r>
        <w:rPr>
          <w:rFonts w:cs="Tahoma" w:ascii="Tahoma" w:hAnsi="Tahoma"/>
          <w:b/>
          <w:bCs/>
          <w:i/>
          <w:iCs/>
          <w:sz w:val="20"/>
          <w:szCs w:val="20"/>
          <w:u w:val="single"/>
          <w:lang w:eastAsia="es-ES"/>
        </w:rPr>
        <w:t>CIRCULAR No. -2019</w:t>
      </w:r>
    </w:p>
    <w:p>
      <w:pPr>
        <w:pStyle w:val="Normal"/>
        <w:ind w:firstLine="567"/>
        <w:jc w:val="center"/>
        <w:rPr>
          <w:rFonts w:ascii="Tahoma" w:hAnsi="Tahoma" w:cs="Tahoma"/>
          <w:b/>
          <w:b/>
          <w:bCs/>
          <w:i/>
          <w:i/>
          <w:iCs/>
          <w:sz w:val="20"/>
          <w:szCs w:val="20"/>
          <w:u w:val="single"/>
          <w:lang w:eastAsia="es-ES"/>
        </w:rPr>
      </w:pPr>
      <w:r>
        <w:rPr>
          <w:rFonts w:cs="Tahoma" w:ascii="Tahoma" w:hAnsi="Tahoma"/>
          <w:b/>
          <w:bCs/>
          <w:i/>
          <w:iCs/>
          <w:sz w:val="20"/>
          <w:szCs w:val="20"/>
          <w:u w:val="single"/>
          <w:lang w:eastAsia="es-ES"/>
        </w:rPr>
      </w:r>
    </w:p>
    <w:p>
      <w:pPr>
        <w:pStyle w:val="Normal"/>
        <w:ind w:left="996" w:hanging="429"/>
        <w:jc w:val="both"/>
        <w:rPr>
          <w:rFonts w:ascii="Tahoma" w:hAnsi="Tahoma" w:eastAsia="Calibri" w:cs="Tahoma"/>
          <w:i/>
          <w:i/>
          <w:iCs/>
          <w:sz w:val="20"/>
          <w:szCs w:val="20"/>
          <w:lang w:eastAsia="es-CR"/>
        </w:rPr>
      </w:pPr>
      <w:r>
        <w:rPr>
          <w:rFonts w:eastAsia="Calibri" w:cs="Tahoma" w:ascii="Tahoma" w:hAnsi="Tahoma"/>
          <w:b/>
          <w:bCs/>
          <w:i/>
          <w:iCs/>
          <w:sz w:val="20"/>
          <w:szCs w:val="20"/>
          <w:u w:val="single"/>
          <w:lang w:eastAsia="es-CR"/>
        </w:rPr>
        <w:t>Asunto</w:t>
      </w:r>
      <w:r>
        <w:rPr>
          <w:rFonts w:eastAsia="Calibri" w:cs="Tahoma" w:ascii="Tahoma" w:hAnsi="Tahoma"/>
          <w:i/>
          <w:iCs/>
          <w:sz w:val="20"/>
          <w:szCs w:val="20"/>
          <w:lang w:eastAsia="es-CR"/>
        </w:rPr>
        <w:t>: Modelo de Gestión de Políticas Institucionales</w:t>
      </w:r>
    </w:p>
    <w:p>
      <w:pPr>
        <w:pStyle w:val="Normal"/>
        <w:ind w:firstLine="709"/>
        <w:jc w:val="both"/>
        <w:rPr>
          <w:rFonts w:ascii="Tahoma" w:hAnsi="Tahoma" w:eastAsia="Calibri" w:cs="Tahoma"/>
          <w:b/>
          <w:b/>
          <w:bCs/>
          <w:i/>
          <w:i/>
          <w:iCs/>
          <w:sz w:val="20"/>
          <w:szCs w:val="20"/>
          <w:lang w:eastAsia="es-CR"/>
        </w:rPr>
      </w:pPr>
      <w:r>
        <w:rPr>
          <w:rFonts w:eastAsia="Calibri" w:cs="Tahoma" w:ascii="Tahoma" w:hAnsi="Tahoma"/>
          <w:b/>
          <w:bCs/>
          <w:i/>
          <w:iCs/>
          <w:sz w:val="20"/>
          <w:szCs w:val="20"/>
          <w:lang w:eastAsia="es-CR"/>
        </w:rPr>
      </w:r>
    </w:p>
    <w:p>
      <w:pPr>
        <w:pStyle w:val="Normal"/>
        <w:ind w:firstLine="709"/>
        <w:jc w:val="center"/>
        <w:rPr>
          <w:rFonts w:ascii="Tahoma" w:hAnsi="Tahoma" w:eastAsia="Calibri" w:cs="Tahoma"/>
          <w:i/>
          <w:i/>
          <w:iCs/>
          <w:sz w:val="20"/>
          <w:szCs w:val="20"/>
          <w:lang w:eastAsia="es-CR"/>
        </w:rPr>
      </w:pPr>
      <w:r>
        <w:rPr>
          <w:rFonts w:eastAsia="Calibri" w:cs="Tahoma" w:ascii="Tahoma" w:hAnsi="Tahoma"/>
          <w:b/>
          <w:bCs/>
          <w:i/>
          <w:iCs/>
          <w:sz w:val="20"/>
          <w:szCs w:val="20"/>
          <w:lang w:eastAsia="es-CR"/>
        </w:rPr>
        <w:t>A LAS OFICINAS Y DESPACHOS JUDICIALES</w:t>
      </w:r>
    </w:p>
    <w:p>
      <w:pPr>
        <w:pStyle w:val="Normal"/>
        <w:ind w:firstLine="709"/>
        <w:jc w:val="center"/>
        <w:rPr>
          <w:rFonts w:ascii="Tahoma" w:hAnsi="Tahoma" w:eastAsia="Calibri" w:cs="Tahoma"/>
          <w:i/>
          <w:i/>
          <w:iCs/>
          <w:sz w:val="20"/>
          <w:szCs w:val="20"/>
          <w:lang w:eastAsia="es-CR"/>
        </w:rPr>
      </w:pPr>
      <w:r>
        <w:rPr>
          <w:rFonts w:eastAsia="Calibri" w:cs="Tahoma" w:ascii="Tahoma" w:hAnsi="Tahoma"/>
          <w:i/>
          <w:iCs/>
          <w:sz w:val="20"/>
          <w:szCs w:val="20"/>
          <w:lang w:eastAsia="es-CR"/>
        </w:rPr>
      </w:r>
    </w:p>
    <w:p>
      <w:pPr>
        <w:pStyle w:val="Normal"/>
        <w:ind w:firstLine="709"/>
        <w:jc w:val="center"/>
        <w:rPr>
          <w:rFonts w:ascii="Tahoma" w:hAnsi="Tahoma" w:eastAsia="Calibri" w:cs="Tahoma"/>
          <w:i/>
          <w:i/>
          <w:iCs/>
          <w:sz w:val="20"/>
          <w:szCs w:val="20"/>
          <w:lang w:eastAsia="es-CR"/>
        </w:rPr>
      </w:pPr>
      <w:r>
        <w:rPr>
          <w:rFonts w:eastAsia="Calibri" w:cs="Tahoma" w:ascii="Tahoma" w:hAnsi="Tahoma"/>
          <w:b/>
          <w:bCs/>
          <w:i/>
          <w:iCs/>
          <w:sz w:val="20"/>
          <w:szCs w:val="20"/>
          <w:u w:val="single"/>
          <w:lang w:eastAsia="es-CR"/>
        </w:rPr>
        <w:t>SE LES HACE SABER QUE</w:t>
      </w:r>
      <w:r>
        <w:rPr>
          <w:rFonts w:eastAsia="Calibri" w:cs="Tahoma" w:ascii="Tahoma" w:hAnsi="Tahoma"/>
          <w:b/>
          <w:bCs/>
          <w:i/>
          <w:iCs/>
          <w:sz w:val="20"/>
          <w:szCs w:val="20"/>
          <w:lang w:eastAsia="es-CR"/>
        </w:rPr>
        <w:t>:</w:t>
      </w:r>
    </w:p>
    <w:p>
      <w:pPr>
        <w:pStyle w:val="Normal"/>
        <w:ind w:firstLine="709"/>
        <w:jc w:val="center"/>
        <w:rPr>
          <w:rFonts w:ascii="Tahoma" w:hAnsi="Tahoma" w:eastAsia="Calibri" w:cs="Tahoma"/>
          <w:i/>
          <w:i/>
          <w:iCs/>
          <w:sz w:val="20"/>
          <w:szCs w:val="20"/>
          <w:lang w:eastAsia="es-CR"/>
        </w:rPr>
      </w:pPr>
      <w:r>
        <w:rPr>
          <w:rFonts w:eastAsia="Calibri" w:cs="Tahoma" w:ascii="Tahoma" w:hAnsi="Tahoma"/>
          <w:i/>
          <w:iCs/>
          <w:sz w:val="20"/>
          <w:szCs w:val="20"/>
          <w:lang w:eastAsia="es-CR"/>
        </w:rPr>
      </w:r>
    </w:p>
    <w:p>
      <w:pPr>
        <w:pStyle w:val="Normal"/>
        <w:ind w:firstLine="360"/>
        <w:jc w:val="both"/>
        <w:rPr>
          <w:rFonts w:ascii="Tahoma" w:hAnsi="Tahoma" w:eastAsia="Calibri" w:cs="Tahoma"/>
          <w:i/>
          <w:i/>
          <w:iCs/>
          <w:sz w:val="20"/>
          <w:szCs w:val="20"/>
          <w:lang w:eastAsia="es-CR"/>
        </w:rPr>
      </w:pPr>
      <w:r>
        <w:rPr>
          <w:rFonts w:eastAsia="Calibri" w:cs="Tahoma" w:ascii="Tahoma" w:hAnsi="Tahoma"/>
          <w:i/>
          <w:iCs/>
          <w:sz w:val="20"/>
          <w:szCs w:val="20"/>
          <w:lang w:eastAsia="es-CR"/>
        </w:rPr>
        <w:t xml:space="preserve">La Corte Plena del Poder Judicial en sesión No. 02-2020 celebrada el 13 de enero de 2020, artículo XXXII, aprobó el modelo de gestión de las políticas institucionales en los siguientes términos: </w:t>
      </w:r>
    </w:p>
    <w:p>
      <w:pPr>
        <w:pStyle w:val="Normal"/>
        <w:rPr>
          <w:rFonts w:ascii="Tahoma" w:hAnsi="Tahoma" w:eastAsia="Calibri" w:cs="Tahoma"/>
          <w:i/>
          <w:i/>
          <w:iCs/>
          <w:sz w:val="20"/>
          <w:szCs w:val="20"/>
          <w:lang w:eastAsia="es-CR"/>
        </w:rPr>
      </w:pPr>
      <w:r>
        <w:rPr>
          <w:rFonts w:eastAsia="Calibri" w:cs="Tahoma" w:ascii="Tahoma" w:hAnsi="Tahoma"/>
          <w:i/>
          <w:iCs/>
          <w:sz w:val="20"/>
          <w:szCs w:val="20"/>
          <w:lang w:eastAsia="es-CR"/>
        </w:rPr>
      </w:r>
    </w:p>
    <w:p>
      <w:pPr>
        <w:pStyle w:val="Normal"/>
        <w:keepNext w:val="true"/>
        <w:widowControl w:val="false"/>
        <w:numPr>
          <w:ilvl w:val="0"/>
          <w:numId w:val="7"/>
        </w:numPr>
        <w:pBdr>
          <w:top w:val="single" w:sz="4" w:space="1" w:color="365F91"/>
          <w:left w:val="single" w:sz="4" w:space="4" w:color="365F91"/>
          <w:bottom w:val="single" w:sz="4" w:space="1" w:color="365F91"/>
          <w:right w:val="single" w:sz="4" w:space="4" w:color="365F91"/>
        </w:pBdr>
        <w:shd w:val="clear" w:color="auto" w:fill="548DD4"/>
        <w:spacing w:lineRule="auto" w:line="240" w:before="0" w:after="0"/>
        <w:jc w:val="both"/>
        <w:outlineLvl w:val="0"/>
        <w:rPr>
          <w:rFonts w:ascii="Tahoma" w:hAnsi="Tahoma" w:cs="Tahoma"/>
          <w:b/>
          <w:b/>
          <w:bCs/>
          <w:i/>
          <w:i/>
          <w:iCs/>
          <w:spacing w:val="-3"/>
          <w:sz w:val="20"/>
          <w:szCs w:val="20"/>
          <w:u w:val="none" w:color="000000"/>
          <w:lang w:eastAsia="es-ES"/>
        </w:rPr>
      </w:pPr>
      <w:bookmarkStart w:id="14" w:name="_Toc24623663"/>
      <w:r>
        <w:rPr>
          <w:rFonts w:cs="Tahoma" w:ascii="Tahoma" w:hAnsi="Tahoma"/>
          <w:b/>
          <w:bCs/>
          <w:i/>
          <w:iCs/>
          <w:spacing w:val="-3"/>
          <w:sz w:val="20"/>
          <w:szCs w:val="20"/>
          <w:u w:val="none" w:color="000000"/>
          <w:lang w:eastAsia="es-ES"/>
        </w:rPr>
        <w:t>Modelo de Gestión (formulación, implementación, seguimiento y evaluación) de las Políticas Institucionales</w:t>
      </w:r>
      <w:bookmarkEnd w:id="14"/>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numPr>
          <w:ilvl w:val="1"/>
          <w:numId w:val="6"/>
        </w:numPr>
        <w:spacing w:lineRule="auto" w:line="240" w:before="0" w:after="0"/>
        <w:jc w:val="both"/>
        <w:rPr>
          <w:rFonts w:ascii="Tahoma" w:hAnsi="Tahoma" w:eastAsia="Calibri" w:cs="Tahoma"/>
          <w:b/>
          <w:b/>
          <w:i/>
          <w:i/>
          <w:iCs/>
          <w:sz w:val="20"/>
          <w:szCs w:val="20"/>
        </w:rPr>
      </w:pPr>
      <w:r>
        <w:rPr>
          <w:rFonts w:eastAsia="Calibri" w:cs="Tahoma" w:ascii="Tahoma" w:hAnsi="Tahoma"/>
          <w:b/>
          <w:i/>
          <w:iCs/>
          <w:sz w:val="20"/>
          <w:szCs w:val="20"/>
        </w:rPr>
        <w:t>Definición de política institucional y otros conceptos</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ind w:firstLine="708"/>
        <w:jc w:val="both"/>
        <w:rPr>
          <w:rFonts w:ascii="Tahoma" w:hAnsi="Tahoma" w:eastAsia="Calibri" w:cs="Tahoma"/>
          <w:i/>
          <w:i/>
          <w:iCs/>
          <w:sz w:val="20"/>
          <w:szCs w:val="20"/>
        </w:rPr>
      </w:pPr>
      <w:r>
        <w:rPr>
          <w:rFonts w:eastAsia="Calibri" w:cs="Tahoma" w:ascii="Tahoma" w:hAnsi="Tahoma"/>
          <w:i/>
          <w:iCs/>
          <w:sz w:val="20"/>
          <w:szCs w:val="20"/>
        </w:rPr>
        <w:t xml:space="preserve">La Comisión </w:t>
        <w:tab/>
        <w:t xml:space="preserve">Económica para América Latina y el Caribe (CEPAL) menciona que una política pública de excelencia corresponde a aquellos cursos de acción y flujos de información relacionados con un objetivo político definido en forma democrática; los que son desarrollados por el sector público y, frecuentemente, con la participación de la comunidad y el sector privado. Una política pública de calidad incluirá orientaciones o contenidos, instrumentos o mecanismos, definiciones o modificaciones institucionales, y la previsión de sus resultados. (2004). </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ind w:firstLine="708"/>
        <w:jc w:val="both"/>
        <w:rPr>
          <w:rFonts w:ascii="Tahoma" w:hAnsi="Tahoma" w:eastAsia="Calibri" w:cs="Tahoma"/>
          <w:i/>
          <w:i/>
          <w:iCs/>
          <w:sz w:val="20"/>
          <w:szCs w:val="20"/>
        </w:rPr>
      </w:pPr>
      <w:r>
        <w:rPr>
          <w:rFonts w:eastAsia="Calibri" w:cs="Tahoma" w:ascii="Tahoma" w:hAnsi="Tahoma"/>
          <w:i/>
          <w:iCs/>
          <w:sz w:val="20"/>
          <w:szCs w:val="20"/>
        </w:rPr>
        <w:t>Por otra parte, la Política Pública se encuentra definida por MIDEPLAN (2016) como: "Curso o línea de acción definido para orientar o alcanzar un fin, que se expresa en directrices, lineamientos, objetivos estratégicos y acciones sobre un tema y la atención o transformación de un problema de interés público. Explicitan la voluntad política traducida en decisiones y apoyo en recursos humanos, técnicos, tecnológicos y financieros y se sustenta en los mandatos, acuerdos o compromisos nacionales e internacionales.”</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ind w:firstLine="360"/>
        <w:jc w:val="both"/>
        <w:rPr>
          <w:rFonts w:ascii="Tahoma" w:hAnsi="Tahoma" w:eastAsia="Calibri" w:cs="Tahoma"/>
          <w:i/>
          <w:i/>
          <w:iCs/>
          <w:sz w:val="20"/>
          <w:szCs w:val="20"/>
        </w:rPr>
      </w:pPr>
      <w:r>
        <w:rPr>
          <w:rFonts w:eastAsia="Calibri" w:cs="Tahoma" w:ascii="Tahoma" w:hAnsi="Tahoma"/>
          <w:i/>
          <w:iCs/>
          <w:sz w:val="20"/>
          <w:szCs w:val="20"/>
        </w:rPr>
        <w:t>Al respecto, en el contexto del Poder Judicial, se procede a definir los conceptos de lo que es una política institucional para su efectiva gestión:</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numPr>
          <w:ilvl w:val="0"/>
          <w:numId w:val="5"/>
        </w:numPr>
        <w:spacing w:lineRule="auto" w:line="240" w:before="0" w:after="0"/>
        <w:jc w:val="both"/>
        <w:rPr>
          <w:rFonts w:ascii="Tahoma" w:hAnsi="Tahoma" w:eastAsia="Calibri" w:cs="Tahoma"/>
          <w:b/>
          <w:b/>
          <w:i/>
          <w:i/>
          <w:iCs/>
          <w:sz w:val="20"/>
          <w:szCs w:val="20"/>
        </w:rPr>
      </w:pPr>
      <w:r>
        <w:rPr>
          <w:rFonts w:eastAsia="Calibri" w:cs="Tahoma" w:ascii="Tahoma" w:hAnsi="Tahoma"/>
          <w:b/>
          <w:i/>
          <w:iCs/>
          <w:sz w:val="20"/>
          <w:szCs w:val="20"/>
        </w:rPr>
        <w:t xml:space="preserve">Política institucional de impacto social y/o institucional: </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ind w:left="360" w:hanging="0"/>
        <w:jc w:val="both"/>
        <w:rPr>
          <w:rFonts w:ascii="Tahoma" w:hAnsi="Tahoma" w:eastAsia="Calibri" w:cs="Tahoma"/>
          <w:i/>
          <w:i/>
          <w:iCs/>
          <w:sz w:val="20"/>
          <w:szCs w:val="20"/>
        </w:rPr>
      </w:pPr>
      <w:r>
        <w:rPr>
          <w:rFonts w:eastAsia="Calibri" w:cs="Tahoma" w:ascii="Tahoma" w:hAnsi="Tahoma"/>
          <w:i/>
          <w:iCs/>
          <w:sz w:val="20"/>
          <w:szCs w:val="20"/>
        </w:rPr>
        <w:t xml:space="preserve">Es una guía orientadora que se expresa en los objetivos, las líneas de acción y los resultados esperados sobre un tema y la atención o transformación de un problema de interés institucional y/o social; que se sustenta en los mandatos, acuerdos o compromisos nacionales e internacionales del Poder Judicial. </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numPr>
          <w:ilvl w:val="0"/>
          <w:numId w:val="5"/>
        </w:numPr>
        <w:spacing w:lineRule="auto" w:line="240" w:before="0" w:after="0"/>
        <w:jc w:val="both"/>
        <w:rPr>
          <w:rFonts w:ascii="Tahoma" w:hAnsi="Tahoma" w:eastAsia="Calibri" w:cs="Tahoma"/>
          <w:i/>
          <w:i/>
          <w:iCs/>
          <w:sz w:val="20"/>
          <w:szCs w:val="20"/>
        </w:rPr>
      </w:pPr>
      <w:r>
        <w:rPr>
          <w:rFonts w:eastAsia="Calibri" w:cs="Tahoma" w:ascii="Tahoma" w:hAnsi="Tahoma"/>
          <w:b/>
          <w:i/>
          <w:iCs/>
          <w:sz w:val="20"/>
          <w:szCs w:val="20"/>
        </w:rPr>
        <w:t>Política institucional de índole operativo:</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ind w:left="360" w:hanging="0"/>
        <w:jc w:val="both"/>
        <w:rPr>
          <w:rFonts w:ascii="Tahoma" w:hAnsi="Tahoma" w:eastAsia="Calibri" w:cs="Tahoma"/>
          <w:i/>
          <w:i/>
          <w:iCs/>
          <w:sz w:val="20"/>
          <w:szCs w:val="20"/>
        </w:rPr>
      </w:pPr>
      <w:r>
        <w:rPr>
          <w:rFonts w:eastAsia="Calibri" w:cs="Tahoma" w:ascii="Tahoma" w:hAnsi="Tahoma"/>
          <w:i/>
          <w:iCs/>
          <w:sz w:val="20"/>
          <w:szCs w:val="20"/>
        </w:rPr>
        <w:t xml:space="preserve">Corresponde al conjunto de lineamientos, directrices, reglas prácticas, guías, procedimientos, entre otros; dirigidos al logro de una mejor administración de los recursos y procesos específicos de gestión administrativa y de control institucional; que se caracterizan por ser de índole interno y están delimitadas por su alcance. </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ind w:firstLine="360"/>
        <w:jc w:val="both"/>
        <w:rPr>
          <w:rFonts w:ascii="Tahoma" w:hAnsi="Tahoma" w:eastAsia="Calibri" w:cs="Tahoma"/>
          <w:b/>
          <w:b/>
          <w:bCs/>
          <w:i/>
          <w:i/>
          <w:iCs/>
          <w:sz w:val="20"/>
          <w:szCs w:val="20"/>
        </w:rPr>
      </w:pPr>
      <w:r>
        <w:rPr>
          <w:rFonts w:eastAsia="Calibri" w:cs="Tahoma" w:ascii="Tahoma" w:hAnsi="Tahoma"/>
          <w:b/>
          <w:bCs/>
          <w:i/>
          <w:iCs/>
          <w:sz w:val="20"/>
          <w:szCs w:val="20"/>
        </w:rPr>
        <w:t>En virtud de lo anterior, es importante aclarar que, el alcance de este modelo sólo abordará la gestión de la “política institucional de impacto social y/o institucional”, por lo que para efectos de este informe, en adelante se utilizará la frase “política institucional”, para hacer referencia a la política institucional de impacto social y/o institucional.</w:t>
      </w:r>
    </w:p>
    <w:p>
      <w:pPr>
        <w:pStyle w:val="Normal"/>
        <w:jc w:val="both"/>
        <w:rPr>
          <w:rFonts w:ascii="Tahoma" w:hAnsi="Tahoma" w:eastAsia="Calibri" w:cs="Tahoma"/>
          <w:b/>
          <w:b/>
          <w:bCs/>
          <w:i/>
          <w:i/>
          <w:iCs/>
          <w:sz w:val="20"/>
          <w:szCs w:val="20"/>
        </w:rPr>
      </w:pPr>
      <w:r>
        <w:rPr>
          <w:rFonts w:eastAsia="Calibri" w:cs="Tahoma" w:ascii="Tahoma" w:hAnsi="Tahoma"/>
          <w:b/>
          <w:bCs/>
          <w:i/>
          <w:iCs/>
          <w:sz w:val="20"/>
          <w:szCs w:val="20"/>
        </w:rPr>
      </w:r>
    </w:p>
    <w:p>
      <w:pPr>
        <w:pStyle w:val="Normal"/>
        <w:ind w:firstLine="360"/>
        <w:jc w:val="both"/>
        <w:rPr>
          <w:rFonts w:ascii="Tahoma" w:hAnsi="Tahoma" w:eastAsia="Calibri" w:cs="Tahoma"/>
          <w:b/>
          <w:b/>
          <w:bCs/>
          <w:i/>
          <w:i/>
          <w:iCs/>
          <w:sz w:val="20"/>
          <w:szCs w:val="20"/>
        </w:rPr>
      </w:pPr>
      <w:r>
        <w:rPr>
          <w:rFonts w:eastAsia="Calibri" w:cs="Tahoma" w:ascii="Tahoma" w:hAnsi="Tahoma"/>
          <w:b/>
          <w:bCs/>
          <w:i/>
          <w:iCs/>
          <w:sz w:val="20"/>
          <w:szCs w:val="20"/>
        </w:rPr>
        <w:t xml:space="preserve">Basados en los conceptos antes indicados, en el Anexo 3 se presenta la clasificación preliminar de las políticas institucionales de acuerdo a si corresponden a impacto social y/o institucional o de índole operativo.  </w:t>
      </w:r>
    </w:p>
    <w:p>
      <w:pPr>
        <w:pStyle w:val="Normal"/>
        <w:jc w:val="both"/>
        <w:rPr>
          <w:rFonts w:ascii="Tahoma" w:hAnsi="Tahoma" w:eastAsia="Calibri" w:cs="Tahoma"/>
          <w:b/>
          <w:b/>
          <w:bCs/>
          <w:i/>
          <w:i/>
          <w:iCs/>
          <w:sz w:val="20"/>
          <w:szCs w:val="20"/>
        </w:rPr>
      </w:pPr>
      <w:r>
        <w:rPr>
          <w:rFonts w:eastAsia="Calibri" w:cs="Tahoma" w:ascii="Tahoma" w:hAnsi="Tahoma"/>
          <w:b/>
          <w:bCs/>
          <w:i/>
          <w:iCs/>
          <w:sz w:val="20"/>
          <w:szCs w:val="20"/>
        </w:rPr>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jc w:val="both"/>
        <w:rPr>
          <w:rFonts w:ascii="Tahoma" w:hAnsi="Tahoma" w:eastAsia="Calibri" w:cs="Tahoma"/>
          <w:i/>
          <w:i/>
          <w:iCs/>
          <w:sz w:val="20"/>
          <w:szCs w:val="20"/>
        </w:rPr>
      </w:pPr>
      <w:r>
        <w:rPr>
          <w:rFonts w:eastAsia="Calibri" w:cs="Tahoma" w:ascii="Tahoma" w:hAnsi="Tahoma"/>
          <w:i/>
          <w:iCs/>
          <w:sz w:val="20"/>
          <w:szCs w:val="20"/>
        </w:rPr>
        <w:t xml:space="preserve">A continuación, se presenta el Modelo de Gestión de Políticas Institucionales: </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numPr>
          <w:ilvl w:val="1"/>
          <w:numId w:val="6"/>
        </w:numPr>
        <w:spacing w:lineRule="auto" w:line="240" w:before="0" w:after="0"/>
        <w:jc w:val="both"/>
        <w:rPr>
          <w:rFonts w:ascii="Tahoma" w:hAnsi="Tahoma" w:eastAsia="Calibri" w:cs="Tahoma"/>
          <w:b/>
          <w:b/>
          <w:i/>
          <w:i/>
          <w:iCs/>
          <w:sz w:val="20"/>
          <w:szCs w:val="20"/>
        </w:rPr>
      </w:pPr>
      <w:r>
        <w:rPr>
          <w:rFonts w:eastAsia="Calibri" w:cs="Tahoma" w:ascii="Tahoma" w:hAnsi="Tahoma"/>
          <w:b/>
          <w:i/>
          <w:iCs/>
          <w:sz w:val="20"/>
          <w:szCs w:val="20"/>
        </w:rPr>
        <w:t>Modelo de Gestión de las Políticas Institucionales.</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ind w:firstLine="708"/>
        <w:jc w:val="both"/>
        <w:rPr>
          <w:rFonts w:ascii="Tahoma" w:hAnsi="Tahoma" w:eastAsia="Calibri" w:cs="Tahoma"/>
          <w:i/>
          <w:i/>
          <w:iCs/>
          <w:sz w:val="20"/>
          <w:szCs w:val="20"/>
        </w:rPr>
      </w:pPr>
      <w:r>
        <w:rPr>
          <w:rFonts w:eastAsia="Calibri" w:cs="Tahoma" w:ascii="Tahoma" w:hAnsi="Tahoma"/>
          <w:i/>
          <w:iCs/>
          <w:sz w:val="20"/>
          <w:szCs w:val="20"/>
        </w:rPr>
        <w:t xml:space="preserve">Cuando la instancia judicial propone la elaboración de una nueva una política institucional, se debe solicitar la aprobación previa por parte de la Corte Plena. </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numPr>
          <w:ilvl w:val="2"/>
          <w:numId w:val="6"/>
        </w:numPr>
        <w:spacing w:lineRule="auto" w:line="240" w:before="0" w:after="0"/>
        <w:jc w:val="both"/>
        <w:rPr>
          <w:rFonts w:ascii="Tahoma" w:hAnsi="Tahoma" w:eastAsia="Calibri" w:cs="Tahoma"/>
          <w:b/>
          <w:b/>
          <w:bCs/>
          <w:i/>
          <w:i/>
          <w:iCs/>
          <w:sz w:val="20"/>
          <w:szCs w:val="20"/>
        </w:rPr>
      </w:pPr>
      <w:r>
        <w:rPr>
          <w:rFonts w:eastAsia="Calibri" w:cs="Tahoma" w:ascii="Tahoma" w:hAnsi="Tahoma"/>
          <w:b/>
          <w:bCs/>
          <w:i/>
          <w:iCs/>
          <w:sz w:val="20"/>
          <w:szCs w:val="20"/>
        </w:rPr>
        <w:t>Procedimiento</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jc w:val="both"/>
        <w:rPr>
          <w:rFonts w:ascii="Tahoma" w:hAnsi="Tahoma" w:eastAsia="Calibri" w:cs="Tahoma"/>
          <w:i/>
          <w:i/>
          <w:iCs/>
          <w:sz w:val="20"/>
          <w:szCs w:val="20"/>
        </w:rPr>
      </w:pPr>
      <w:r>
        <w:rPr>
          <w:rFonts w:eastAsia="Calibri" w:cs="Tahoma" w:ascii="Tahoma" w:hAnsi="Tahoma"/>
          <w:i/>
          <w:iCs/>
          <w:sz w:val="20"/>
          <w:szCs w:val="20"/>
        </w:rPr>
        <w:t xml:space="preserve">De esta manera, se describe a continuación los pasos a seguir: </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keepNext w:val="true"/>
        <w:widowControl w:val="false"/>
        <w:numPr>
          <w:ilvl w:val="3"/>
          <w:numId w:val="6"/>
        </w:numPr>
        <w:spacing w:lineRule="auto" w:line="240" w:before="0" w:after="0"/>
        <w:jc w:val="both"/>
        <w:outlineLvl w:val="2"/>
        <w:rPr>
          <w:rFonts w:ascii="Tahoma" w:hAnsi="Tahoma" w:cs="Tahoma"/>
          <w:b/>
          <w:b/>
          <w:bCs/>
          <w:i/>
          <w:i/>
          <w:iCs/>
          <w:sz w:val="20"/>
          <w:szCs w:val="20"/>
          <w:lang w:eastAsia="es-ES"/>
        </w:rPr>
      </w:pPr>
      <w:bookmarkStart w:id="15" w:name="_Toc24623664"/>
      <w:bookmarkStart w:id="16" w:name="_Toc24623611"/>
      <w:bookmarkEnd w:id="15"/>
      <w:bookmarkEnd w:id="16"/>
      <w:r>
        <w:rPr>
          <w:rFonts w:cs="Tahoma" w:ascii="Tahoma" w:hAnsi="Tahoma"/>
          <w:b/>
          <w:bCs/>
          <w:i/>
          <w:iCs/>
          <w:sz w:val="20"/>
          <w:szCs w:val="20"/>
          <w:lang w:eastAsia="es-ES"/>
        </w:rPr>
        <w:t>A partir de la definición de política institucional</w:t>
      </w:r>
      <w:r>
        <w:rPr>
          <w:rStyle w:val="Ancladenotaalpie"/>
          <w:rFonts w:cs="Tahoma" w:ascii="Tahoma" w:hAnsi="Tahoma"/>
          <w:b/>
          <w:bCs/>
          <w:i/>
          <w:iCs/>
          <w:sz w:val="20"/>
          <w:szCs w:val="20"/>
          <w:vertAlign w:val="superscript"/>
          <w:lang w:eastAsia="es-ES"/>
        </w:rPr>
        <w:footnoteReference w:id="5"/>
      </w:r>
      <w:r>
        <w:rPr>
          <w:rFonts w:cs="Tahoma" w:ascii="Tahoma" w:hAnsi="Tahoma"/>
          <w:b/>
          <w:bCs/>
          <w:i/>
          <w:iCs/>
          <w:sz w:val="20"/>
          <w:szCs w:val="20"/>
          <w:lang w:eastAsia="es-ES"/>
        </w:rPr>
        <w:t xml:space="preserve"> mencionada supra, la instancia judicial proponente de la elaboración de una nueva política institucional debe analizar los siguientes criterios</w:t>
      </w:r>
      <w:bookmarkStart w:id="17" w:name="_Toc24623665"/>
      <w:bookmarkStart w:id="18" w:name="_Toc24623612"/>
      <w:bookmarkEnd w:id="17"/>
      <w:bookmarkEnd w:id="18"/>
      <w:r>
        <w:rPr>
          <w:rFonts w:cs="Tahoma" w:ascii="Tahoma" w:hAnsi="Tahoma"/>
          <w:b/>
          <w:bCs/>
          <w:i/>
          <w:iCs/>
          <w:sz w:val="20"/>
          <w:szCs w:val="20"/>
          <w:lang w:eastAsia="es-ES"/>
        </w:rPr>
        <w:t>:</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numPr>
          <w:ilvl w:val="0"/>
          <w:numId w:val="4"/>
        </w:numPr>
        <w:spacing w:lineRule="auto" w:line="240" w:before="0" w:after="0"/>
        <w:jc w:val="both"/>
        <w:rPr>
          <w:rFonts w:ascii="Tahoma" w:hAnsi="Tahoma" w:eastAsia="Calibri" w:cs="Tahoma"/>
          <w:i/>
          <w:i/>
          <w:iCs/>
          <w:sz w:val="20"/>
          <w:szCs w:val="20"/>
        </w:rPr>
      </w:pPr>
      <w:r>
        <w:rPr>
          <w:rFonts w:eastAsia="Calibri" w:cs="Tahoma" w:ascii="Tahoma" w:hAnsi="Tahoma"/>
          <w:i/>
          <w:iCs/>
          <w:sz w:val="20"/>
          <w:szCs w:val="20"/>
        </w:rPr>
        <w:t>¿El tema o problema a atender o resolver es de interés institucional?</w:t>
      </w:r>
    </w:p>
    <w:p>
      <w:pPr>
        <w:pStyle w:val="Normal"/>
        <w:numPr>
          <w:ilvl w:val="0"/>
          <w:numId w:val="4"/>
        </w:numPr>
        <w:spacing w:lineRule="auto" w:line="240" w:before="0" w:after="0"/>
        <w:jc w:val="both"/>
        <w:rPr>
          <w:rFonts w:ascii="Tahoma" w:hAnsi="Tahoma" w:eastAsia="Calibri" w:cs="Tahoma"/>
          <w:i/>
          <w:i/>
          <w:iCs/>
          <w:sz w:val="20"/>
          <w:szCs w:val="20"/>
        </w:rPr>
      </w:pPr>
      <w:r>
        <w:rPr>
          <w:rFonts w:eastAsia="Calibri" w:cs="Tahoma" w:ascii="Tahoma" w:hAnsi="Tahoma"/>
          <w:i/>
          <w:iCs/>
          <w:sz w:val="20"/>
          <w:szCs w:val="20"/>
        </w:rPr>
        <w:t xml:space="preserve">¿El tema o problema a atender o resolver es de índole social (orientado a la resolución de un problema que involucra a la sociedad y/o personas usuarias)? </w:t>
      </w:r>
    </w:p>
    <w:p>
      <w:pPr>
        <w:pStyle w:val="Normal"/>
        <w:numPr>
          <w:ilvl w:val="0"/>
          <w:numId w:val="4"/>
        </w:numPr>
        <w:spacing w:lineRule="auto" w:line="240" w:before="0" w:after="0"/>
        <w:jc w:val="both"/>
        <w:rPr>
          <w:rFonts w:ascii="Tahoma" w:hAnsi="Tahoma" w:eastAsia="Calibri" w:cs="Tahoma"/>
          <w:i/>
          <w:i/>
          <w:iCs/>
          <w:sz w:val="20"/>
          <w:szCs w:val="20"/>
        </w:rPr>
      </w:pPr>
      <w:r>
        <w:rPr>
          <w:rFonts w:eastAsia="Calibri" w:cs="Tahoma" w:ascii="Tahoma" w:hAnsi="Tahoma"/>
          <w:i/>
          <w:iCs/>
          <w:sz w:val="20"/>
          <w:szCs w:val="20"/>
        </w:rPr>
        <w:t>¿El tema o problema a atender o resolver tiene incidencia directa, y su atención o transformación genera valor, en las personas usuarias externas, sociedad y/o país?</w:t>
      </w:r>
    </w:p>
    <w:p>
      <w:pPr>
        <w:pStyle w:val="Normal"/>
        <w:numPr>
          <w:ilvl w:val="0"/>
          <w:numId w:val="4"/>
        </w:numPr>
        <w:spacing w:lineRule="auto" w:line="240" w:before="0" w:after="0"/>
        <w:jc w:val="both"/>
        <w:rPr>
          <w:rFonts w:ascii="Tahoma" w:hAnsi="Tahoma" w:eastAsia="Calibri" w:cs="Tahoma"/>
          <w:i/>
          <w:i/>
          <w:iCs/>
          <w:sz w:val="20"/>
          <w:szCs w:val="20"/>
        </w:rPr>
      </w:pPr>
      <w:r>
        <w:rPr>
          <w:rFonts w:eastAsia="Calibri" w:cs="Tahoma" w:ascii="Tahoma" w:hAnsi="Tahoma"/>
          <w:i/>
          <w:iCs/>
          <w:sz w:val="20"/>
          <w:szCs w:val="20"/>
        </w:rPr>
        <w:t>¿El tema o problema a atender o resolver responde a los mandatos de ley, acuerdos o compromisos nacionales e internacionales adquiridos por el Poder Judicial?</w:t>
      </w:r>
    </w:p>
    <w:p>
      <w:pPr>
        <w:pStyle w:val="Normal"/>
        <w:numPr>
          <w:ilvl w:val="0"/>
          <w:numId w:val="4"/>
        </w:numPr>
        <w:spacing w:lineRule="auto" w:line="240" w:before="0" w:after="0"/>
        <w:jc w:val="both"/>
        <w:rPr>
          <w:rFonts w:ascii="Tahoma" w:hAnsi="Tahoma" w:eastAsia="Calibri" w:cs="Tahoma"/>
          <w:i/>
          <w:i/>
          <w:iCs/>
          <w:sz w:val="20"/>
          <w:szCs w:val="20"/>
        </w:rPr>
      </w:pPr>
      <w:r>
        <w:rPr>
          <w:rFonts w:eastAsia="Calibri" w:cs="Tahoma" w:ascii="Tahoma" w:hAnsi="Tahoma"/>
          <w:i/>
          <w:iCs/>
          <w:sz w:val="20"/>
          <w:szCs w:val="20"/>
        </w:rPr>
        <w:t xml:space="preserve">¿La atención o resolución del tema o problema se encuentra acorde al plan estratégico institucional? </w:t>
      </w:r>
    </w:p>
    <w:p>
      <w:pPr>
        <w:pStyle w:val="Normal"/>
        <w:ind w:left="1068" w:hanging="0"/>
        <w:jc w:val="both"/>
        <w:rPr>
          <w:rFonts w:ascii="Tahoma" w:hAnsi="Tahoma" w:eastAsia="Calibri" w:cs="Tahoma"/>
          <w:i/>
          <w:i/>
          <w:iCs/>
          <w:sz w:val="20"/>
          <w:szCs w:val="20"/>
        </w:rPr>
      </w:pPr>
      <w:r>
        <w:rPr>
          <w:rFonts w:eastAsia="Calibri" w:cs="Tahoma" w:ascii="Tahoma" w:hAnsi="Tahoma"/>
          <w:i/>
          <w:iCs/>
          <w:sz w:val="20"/>
          <w:szCs w:val="20"/>
        </w:rPr>
      </w:r>
    </w:p>
    <w:p>
      <w:pPr>
        <w:pStyle w:val="Normal"/>
        <w:keepNext w:val="true"/>
        <w:widowControl w:val="false"/>
        <w:numPr>
          <w:ilvl w:val="3"/>
          <w:numId w:val="6"/>
        </w:numPr>
        <w:spacing w:lineRule="auto" w:line="240" w:before="0" w:after="0"/>
        <w:jc w:val="both"/>
        <w:outlineLvl w:val="2"/>
        <w:rPr>
          <w:rFonts w:ascii="Tahoma" w:hAnsi="Tahoma" w:cs="Tahoma"/>
          <w:b/>
          <w:b/>
          <w:bCs/>
          <w:i/>
          <w:i/>
          <w:iCs/>
          <w:sz w:val="20"/>
          <w:szCs w:val="20"/>
          <w:lang w:eastAsia="es-ES"/>
        </w:rPr>
      </w:pPr>
      <w:r>
        <w:rPr>
          <w:rFonts w:cs="Tahoma" w:ascii="Tahoma" w:hAnsi="Tahoma"/>
          <w:b/>
          <w:bCs/>
          <w:i/>
          <w:iCs/>
          <w:sz w:val="20"/>
          <w:szCs w:val="20"/>
          <w:lang w:eastAsia="es-ES"/>
        </w:rPr>
        <w:t>evaluación) que se detalla seguidamente.</w:t>
      </w:r>
    </w:p>
    <w:p>
      <w:pPr>
        <w:pStyle w:val="Normal"/>
        <w:keepNext w:val="true"/>
        <w:widowControl w:val="false"/>
        <w:numPr>
          <w:ilvl w:val="0"/>
          <w:numId w:val="0"/>
        </w:numPr>
        <w:jc w:val="both"/>
        <w:outlineLvl w:val="2"/>
        <w:rPr>
          <w:rFonts w:ascii="Tahoma" w:hAnsi="Tahoma" w:cs="Tahoma"/>
          <w:b/>
          <w:b/>
          <w:bCs/>
          <w:i/>
          <w:i/>
          <w:iCs/>
          <w:sz w:val="20"/>
          <w:szCs w:val="20"/>
          <w:lang w:eastAsia="es-ES"/>
        </w:rPr>
      </w:pPr>
      <w:r>
        <w:rPr>
          <w:rFonts w:cs="Tahoma" w:ascii="Tahoma" w:hAnsi="Tahoma"/>
          <w:b/>
          <w:bCs/>
          <w:i/>
          <w:iCs/>
          <w:sz w:val="20"/>
          <w:szCs w:val="20"/>
          <w:lang w:eastAsia="es-ES"/>
        </w:rPr>
      </w:r>
    </w:p>
    <w:p>
      <w:pPr>
        <w:pStyle w:val="Normal"/>
        <w:keepNext w:val="true"/>
        <w:widowControl w:val="false"/>
        <w:numPr>
          <w:ilvl w:val="3"/>
          <w:numId w:val="6"/>
        </w:numPr>
        <w:spacing w:lineRule="auto" w:line="240" w:before="0" w:after="0"/>
        <w:jc w:val="both"/>
        <w:outlineLvl w:val="2"/>
        <w:rPr>
          <w:rFonts w:ascii="Tahoma" w:hAnsi="Tahoma" w:cs="Tahoma"/>
          <w:b/>
          <w:b/>
          <w:bCs/>
          <w:i/>
          <w:i/>
          <w:iCs/>
          <w:sz w:val="20"/>
          <w:szCs w:val="20"/>
          <w:lang w:eastAsia="es-ES"/>
        </w:rPr>
      </w:pPr>
      <w:bookmarkStart w:id="19" w:name="_Toc24623673"/>
      <w:bookmarkStart w:id="20" w:name="_Toc24623620"/>
      <w:bookmarkStart w:id="21" w:name="_Toc24623672"/>
      <w:bookmarkStart w:id="22" w:name="_Toc24623619"/>
      <w:bookmarkEnd w:id="21"/>
      <w:bookmarkEnd w:id="22"/>
      <w:r>
        <w:rPr>
          <w:rFonts w:cs="Tahoma" w:ascii="Tahoma" w:hAnsi="Tahoma"/>
          <w:b/>
          <w:bCs/>
          <w:i/>
          <w:iCs/>
          <w:sz w:val="20"/>
          <w:szCs w:val="20"/>
          <w:lang w:eastAsia="es-ES"/>
        </w:rPr>
        <w:t>Una vez que se haya elaborado la política institucional deberá ser sometida a aprobación por parte de la Corte Plena.</w:t>
      </w:r>
      <w:bookmarkEnd w:id="19"/>
      <w:bookmarkEnd w:id="20"/>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numPr>
          <w:ilvl w:val="2"/>
          <w:numId w:val="6"/>
        </w:numPr>
        <w:spacing w:lineRule="auto" w:line="240" w:before="0" w:after="0"/>
        <w:jc w:val="both"/>
        <w:rPr>
          <w:rFonts w:ascii="Tahoma" w:hAnsi="Tahoma" w:eastAsia="Calibri" w:cs="Tahoma"/>
          <w:b/>
          <w:b/>
          <w:bCs/>
          <w:i/>
          <w:i/>
          <w:iCs/>
          <w:sz w:val="20"/>
          <w:szCs w:val="20"/>
        </w:rPr>
      </w:pPr>
      <w:r>
        <w:rPr>
          <w:rFonts w:eastAsia="Calibri" w:cs="Tahoma" w:ascii="Tahoma" w:hAnsi="Tahoma"/>
          <w:b/>
          <w:bCs/>
          <w:i/>
          <w:iCs/>
          <w:sz w:val="20"/>
          <w:szCs w:val="20"/>
        </w:rPr>
        <w:t>Modelo de Gestión</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jc w:val="both"/>
        <w:rPr>
          <w:rFonts w:ascii="Tahoma" w:hAnsi="Tahoma" w:eastAsia="Calibri" w:cs="Tahoma"/>
          <w:i/>
          <w:i/>
          <w:iCs/>
          <w:sz w:val="20"/>
          <w:szCs w:val="20"/>
        </w:rPr>
      </w:pPr>
      <w:r>
        <w:rPr>
          <w:rFonts w:eastAsia="Calibri" w:cs="Tahoma" w:ascii="Tahoma" w:hAnsi="Tahoma"/>
          <w:i/>
          <w:iCs/>
          <w:sz w:val="20"/>
          <w:szCs w:val="20"/>
        </w:rPr>
        <w:t>El Modelo de Gestión de las Políticas Institucionales está conformado por las siguientes 4 fases:</w:t>
      </w:r>
    </w:p>
    <w:p>
      <w:pPr>
        <w:pStyle w:val="Normal"/>
        <w:jc w:val="center"/>
        <w:rPr>
          <w:rFonts w:ascii="Tahoma" w:hAnsi="Tahoma" w:eastAsia="Calibri" w:cs="Tahoma"/>
          <w:i/>
          <w:i/>
          <w:iCs/>
          <w:sz w:val="20"/>
          <w:szCs w:val="20"/>
        </w:rPr>
      </w:pPr>
      <w:r>
        <w:rPr>
          <w:rFonts w:eastAsia="Calibri" w:cs="Tahoma" w:ascii="Tahoma" w:hAnsi="Tahoma"/>
          <w:i/>
          <w:iCs/>
          <w:sz w:val="20"/>
          <w:szCs w:val="20"/>
        </w:rPr>
      </w:r>
    </w:p>
    <w:p>
      <w:pPr>
        <w:pStyle w:val="Normal"/>
        <w:jc w:val="center"/>
        <w:rPr>
          <w:rFonts w:ascii="Tahoma" w:hAnsi="Tahoma" w:eastAsia="Calibri" w:cs="Tahoma"/>
          <w:b/>
          <w:b/>
          <w:i/>
          <w:i/>
          <w:iCs/>
          <w:sz w:val="20"/>
          <w:szCs w:val="20"/>
        </w:rPr>
      </w:pPr>
      <w:r>
        <w:rPr>
          <w:rFonts w:eastAsia="Calibri" w:cs="Tahoma" w:ascii="Tahoma" w:hAnsi="Tahoma"/>
          <w:b/>
          <w:i/>
          <w:iCs/>
          <w:sz w:val="20"/>
          <w:szCs w:val="20"/>
        </w:rPr>
        <w:t>Figura 1</w:t>
      </w:r>
    </w:p>
    <w:p>
      <w:pPr>
        <w:pStyle w:val="Normal"/>
        <w:jc w:val="center"/>
        <w:rPr>
          <w:rFonts w:ascii="Tahoma" w:hAnsi="Tahoma" w:eastAsia="Calibri" w:cs="Tahoma"/>
          <w:b/>
          <w:b/>
          <w:i/>
          <w:i/>
          <w:iCs/>
          <w:sz w:val="20"/>
          <w:szCs w:val="20"/>
        </w:rPr>
      </w:pPr>
      <w:r>
        <w:rPr>
          <w:rFonts w:eastAsia="Calibri" w:cs="Tahoma" w:ascii="Tahoma" w:hAnsi="Tahoma"/>
          <w:b/>
          <w:i/>
          <w:iCs/>
          <w:sz w:val="20"/>
          <w:szCs w:val="20"/>
        </w:rPr>
        <w:t>Modelo de Gestión de Políticas Institucionales</w:t>
      </w:r>
      <w:bookmarkStart w:id="23" w:name="_Hlk10193100"/>
      <w:bookmarkEnd w:id="23"/>
    </w:p>
    <w:p>
      <w:pPr>
        <w:pStyle w:val="Normal"/>
        <w:jc w:val="center"/>
        <w:rPr>
          <w:rFonts w:ascii="Tahoma" w:hAnsi="Tahoma" w:eastAsia="Calibri" w:cs="Tahoma"/>
          <w:i/>
          <w:i/>
          <w:iCs/>
          <w:sz w:val="20"/>
          <w:szCs w:val="20"/>
        </w:rPr>
      </w:pPr>
      <w:r>
        <w:rPr/>
        <w:drawing>
          <wp:inline distT="0" distB="0" distL="0" distR="0">
            <wp:extent cx="3031490" cy="2134870"/>
            <wp:effectExtent l="0" t="0" r="0" b="0"/>
            <wp:docPr id="13" name="Imagen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6" descr=""/>
                    <pic:cNvPicPr>
                      <a:picLocks noChangeAspect="1" noChangeArrowheads="1"/>
                    </pic:cNvPicPr>
                  </pic:nvPicPr>
                  <pic:blipFill>
                    <a:blip r:embed="rId16"/>
                    <a:stretch>
                      <a:fillRect/>
                    </a:stretch>
                  </pic:blipFill>
                  <pic:spPr bwMode="auto">
                    <a:xfrm>
                      <a:off x="0" y="0"/>
                      <a:ext cx="3031490" cy="2134870"/>
                    </a:xfrm>
                    <a:prstGeom prst="rect">
                      <a:avLst/>
                    </a:prstGeom>
                  </pic:spPr>
                </pic:pic>
              </a:graphicData>
            </a:graphic>
          </wp:inline>
        </w:drawing>
      </w:r>
    </w:p>
    <w:p>
      <w:pPr>
        <w:pStyle w:val="Normal"/>
        <w:ind w:left="708" w:firstLine="708"/>
        <w:jc w:val="center"/>
        <w:rPr>
          <w:rFonts w:ascii="Tahoma" w:hAnsi="Tahoma" w:eastAsia="Calibri" w:cs="Tahoma"/>
          <w:i/>
          <w:i/>
          <w:iCs/>
          <w:sz w:val="20"/>
          <w:szCs w:val="20"/>
        </w:rPr>
      </w:pPr>
      <w:r>
        <w:rPr>
          <w:rFonts w:eastAsia="Calibri" w:cs="Tahoma" w:ascii="Tahoma" w:hAnsi="Tahoma"/>
          <w:b/>
          <w:i/>
          <w:iCs/>
          <w:sz w:val="20"/>
          <w:szCs w:val="20"/>
        </w:rPr>
        <w:t>Fuente:</w:t>
      </w:r>
      <w:r>
        <w:rPr>
          <w:rFonts w:eastAsia="Calibri" w:cs="Tahoma" w:ascii="Tahoma" w:hAnsi="Tahoma"/>
          <w:i/>
          <w:iCs/>
          <w:sz w:val="20"/>
          <w:szCs w:val="20"/>
        </w:rPr>
        <w:t xml:space="preserve"> Elaboración propia.</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jc w:val="both"/>
        <w:rPr>
          <w:rFonts w:ascii="Tahoma" w:hAnsi="Tahoma" w:eastAsia="Calibri" w:cs="Tahoma"/>
          <w:i/>
          <w:i/>
          <w:iCs/>
          <w:sz w:val="20"/>
          <w:szCs w:val="20"/>
        </w:rPr>
      </w:pPr>
      <w:r>
        <w:rPr>
          <w:rFonts w:eastAsia="Calibri" w:cs="Tahoma" w:ascii="Tahoma" w:hAnsi="Tahoma"/>
          <w:i/>
          <w:iCs/>
          <w:sz w:val="20"/>
          <w:szCs w:val="20"/>
        </w:rPr>
        <w:t xml:space="preserve">A continuación, se detalla cada una de estas fases: </w:t>
      </w:r>
    </w:p>
    <w:p>
      <w:pPr>
        <w:pStyle w:val="Normal"/>
        <w:jc w:val="center"/>
        <w:rPr>
          <w:rFonts w:ascii="Tahoma" w:hAnsi="Tahoma" w:eastAsia="Calibri" w:cs="Tahoma"/>
          <w:i/>
          <w:i/>
          <w:iCs/>
          <w:sz w:val="20"/>
          <w:szCs w:val="20"/>
        </w:rPr>
      </w:pPr>
      <w:r>
        <w:rPr>
          <w:rFonts w:eastAsia="Calibri" w:cs="Tahoma" w:ascii="Tahoma" w:hAnsi="Tahoma"/>
          <w:i/>
          <w:iCs/>
          <w:sz w:val="20"/>
          <w:szCs w:val="20"/>
        </w:rPr>
      </w:r>
    </w:p>
    <w:p>
      <w:pPr>
        <w:pStyle w:val="Normal"/>
        <w:keepNext w:val="true"/>
        <w:widowControl w:val="false"/>
        <w:numPr>
          <w:ilvl w:val="0"/>
          <w:numId w:val="0"/>
        </w:numPr>
        <w:outlineLvl w:val="3"/>
        <w:rPr>
          <w:rFonts w:ascii="Tahoma" w:hAnsi="Tahoma" w:cs="Tahoma"/>
          <w:b/>
          <w:b/>
          <w:i/>
          <w:i/>
          <w:iCs/>
          <w:sz w:val="20"/>
          <w:szCs w:val="20"/>
          <w:u w:val="none" w:color="000000"/>
          <w:lang w:eastAsia="es-ES"/>
        </w:rPr>
      </w:pPr>
      <w:r>
        <w:rPr>
          <w:rFonts w:cs="Tahoma" w:ascii="Tahoma" w:hAnsi="Tahoma"/>
          <w:b/>
          <w:i/>
          <w:iCs/>
          <w:sz w:val="20"/>
          <w:szCs w:val="20"/>
          <w:u w:val="none" w:color="000000"/>
          <w:lang w:eastAsia="es-ES"/>
        </w:rPr>
        <w:t>3.2.2.1 Fase I: Diagnóstico situacional</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ind w:firstLine="708"/>
        <w:jc w:val="both"/>
        <w:rPr>
          <w:rFonts w:ascii="Tahoma" w:hAnsi="Tahoma" w:eastAsia="Calibri" w:cs="Tahoma"/>
          <w:i/>
          <w:i/>
          <w:iCs/>
          <w:sz w:val="20"/>
          <w:szCs w:val="20"/>
        </w:rPr>
      </w:pPr>
      <w:r>
        <w:rPr>
          <w:rFonts w:eastAsia="Calibri" w:cs="Tahoma" w:ascii="Tahoma" w:hAnsi="Tahoma"/>
          <w:i/>
          <w:iCs/>
          <w:sz w:val="20"/>
          <w:szCs w:val="20"/>
        </w:rPr>
        <w:t>El proceso de diagnóstico “constituye un balance de situación del entorno político-social-económico-ambiental, en los ámbitos mundial, nacional o regional” (MIDEPLAN, 2016).</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ind w:firstLine="708"/>
        <w:jc w:val="both"/>
        <w:rPr>
          <w:rFonts w:ascii="Tahoma" w:hAnsi="Tahoma" w:eastAsia="Calibri" w:cs="Tahoma"/>
          <w:i/>
          <w:i/>
          <w:iCs/>
          <w:sz w:val="20"/>
          <w:szCs w:val="20"/>
        </w:rPr>
      </w:pPr>
      <w:r>
        <w:rPr>
          <w:rFonts w:eastAsia="Calibri" w:cs="Tahoma" w:ascii="Tahoma" w:hAnsi="Tahoma"/>
          <w:i/>
          <w:iCs/>
          <w:sz w:val="20"/>
          <w:szCs w:val="20"/>
        </w:rPr>
        <w:t xml:space="preserve">El diagnóstico está compuesto por el análisis de información recabada por diferentes fuentes, como son los estudios formales realizados por instancias nacionales e internacionales, las instancias investigadoras técnicas, las entrevistas con personas expertas, las experiencias internas o externas y otras fuentes de recolección de información (talleres, foros, mesas de diálogo y encuestas); relacionadas con el tema que se desea desarrollar. </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ind w:firstLine="708"/>
        <w:jc w:val="both"/>
        <w:rPr>
          <w:rFonts w:ascii="Tahoma" w:hAnsi="Tahoma" w:eastAsia="Calibri" w:cs="Tahoma"/>
          <w:i/>
          <w:i/>
          <w:iCs/>
          <w:sz w:val="20"/>
          <w:szCs w:val="20"/>
        </w:rPr>
      </w:pPr>
      <w:r>
        <w:rPr>
          <w:rFonts w:eastAsia="Calibri" w:cs="Tahoma" w:ascii="Tahoma" w:hAnsi="Tahoma"/>
          <w:i/>
          <w:iCs/>
          <w:sz w:val="20"/>
          <w:szCs w:val="20"/>
        </w:rPr>
        <w:t xml:space="preserve">Para la construcción del diagnóstico situacional se deben considerar al menos los siguientes elementos: </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jc w:val="center"/>
        <w:rPr>
          <w:rFonts w:ascii="Tahoma" w:hAnsi="Tahoma" w:eastAsia="Calibri" w:cs="Tahoma"/>
          <w:b/>
          <w:b/>
          <w:i/>
          <w:i/>
          <w:iCs/>
          <w:sz w:val="20"/>
          <w:szCs w:val="20"/>
        </w:rPr>
      </w:pPr>
      <w:r>
        <w:rPr>
          <w:rFonts w:eastAsia="Calibri" w:cs="Tahoma" w:ascii="Tahoma" w:hAnsi="Tahoma"/>
          <w:b/>
          <w:i/>
          <w:iCs/>
          <w:sz w:val="20"/>
          <w:szCs w:val="20"/>
        </w:rPr>
        <w:t>Figura 2</w:t>
      </w:r>
    </w:p>
    <w:p>
      <w:pPr>
        <w:pStyle w:val="Normal"/>
        <w:jc w:val="center"/>
        <w:rPr>
          <w:rFonts w:ascii="Tahoma" w:hAnsi="Tahoma" w:eastAsia="Calibri" w:cs="Tahoma"/>
          <w:b/>
          <w:b/>
          <w:i/>
          <w:i/>
          <w:iCs/>
          <w:sz w:val="20"/>
          <w:szCs w:val="20"/>
        </w:rPr>
      </w:pPr>
      <w:r>
        <w:rPr>
          <w:rFonts w:eastAsia="Calibri" w:cs="Tahoma" w:ascii="Tahoma" w:hAnsi="Tahoma"/>
          <w:b/>
          <w:i/>
          <w:iCs/>
          <w:sz w:val="20"/>
          <w:szCs w:val="20"/>
        </w:rPr>
        <w:t>Elementos básicos del diagnóstico situacional</w:t>
      </w:r>
    </w:p>
    <w:p>
      <w:pPr>
        <w:pStyle w:val="Normal"/>
        <w:jc w:val="center"/>
        <w:rPr>
          <w:rFonts w:ascii="Tahoma" w:hAnsi="Tahoma" w:eastAsia="Calibri" w:cs="Tahoma"/>
          <w:i/>
          <w:i/>
          <w:iCs/>
          <w:sz w:val="20"/>
          <w:szCs w:val="20"/>
        </w:rPr>
      </w:pPr>
      <w:r>
        <w:rPr/>
        <w:drawing>
          <wp:inline distT="0" distB="0" distL="0" distR="0">
            <wp:extent cx="3632835" cy="2543175"/>
            <wp:effectExtent l="0" t="0" r="0" b="0"/>
            <wp:docPr id="14" name="Imagen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7" descr=""/>
                    <pic:cNvPicPr>
                      <a:picLocks noChangeAspect="1" noChangeArrowheads="1"/>
                    </pic:cNvPicPr>
                  </pic:nvPicPr>
                  <pic:blipFill>
                    <a:blip r:embed="rId17"/>
                    <a:stretch>
                      <a:fillRect/>
                    </a:stretch>
                  </pic:blipFill>
                  <pic:spPr bwMode="auto">
                    <a:xfrm>
                      <a:off x="0" y="0"/>
                      <a:ext cx="3632835" cy="2543175"/>
                    </a:xfrm>
                    <a:prstGeom prst="rect">
                      <a:avLst/>
                    </a:prstGeom>
                  </pic:spPr>
                </pic:pic>
              </a:graphicData>
            </a:graphic>
          </wp:inline>
        </w:drawing>
      </w:r>
    </w:p>
    <w:p>
      <w:pPr>
        <w:pStyle w:val="Normal"/>
        <w:ind w:left="732" w:firstLine="708"/>
        <w:jc w:val="center"/>
        <w:rPr>
          <w:rFonts w:ascii="Tahoma" w:hAnsi="Tahoma" w:eastAsia="Calibri" w:cs="Tahoma"/>
          <w:i/>
          <w:i/>
          <w:iCs/>
          <w:sz w:val="20"/>
          <w:szCs w:val="20"/>
        </w:rPr>
      </w:pPr>
      <w:r>
        <w:rPr>
          <w:rFonts w:eastAsia="Calibri" w:cs="Tahoma" w:ascii="Tahoma" w:hAnsi="Tahoma"/>
          <w:b/>
          <w:i/>
          <w:iCs/>
          <w:sz w:val="20"/>
          <w:szCs w:val="20"/>
        </w:rPr>
        <w:t>Fuente:</w:t>
      </w:r>
      <w:r>
        <w:rPr>
          <w:rFonts w:eastAsia="Calibri" w:cs="Tahoma" w:ascii="Tahoma" w:hAnsi="Tahoma"/>
          <w:i/>
          <w:iCs/>
          <w:sz w:val="20"/>
          <w:szCs w:val="20"/>
        </w:rPr>
        <w:t xml:space="preserve"> Elaboración propia.</w:t>
      </w:r>
      <w:bookmarkStart w:id="24" w:name="_Hlk1395836"/>
      <w:bookmarkEnd w:id="24"/>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keepNext w:val="true"/>
        <w:widowControl w:val="false"/>
        <w:numPr>
          <w:ilvl w:val="0"/>
          <w:numId w:val="14"/>
        </w:numPr>
        <w:spacing w:lineRule="auto" w:line="240" w:before="0" w:after="0"/>
        <w:jc w:val="both"/>
        <w:outlineLvl w:val="3"/>
        <w:rPr>
          <w:rFonts w:ascii="Tahoma" w:hAnsi="Tahoma" w:cs="Tahoma"/>
          <w:b/>
          <w:b/>
          <w:bCs/>
          <w:i/>
          <w:i/>
          <w:iCs/>
          <w:sz w:val="20"/>
          <w:szCs w:val="20"/>
          <w:u w:val="none" w:color="000000"/>
          <w:lang w:eastAsia="es-ES"/>
        </w:rPr>
      </w:pPr>
      <w:r>
        <w:rPr>
          <w:rFonts w:cs="Tahoma" w:ascii="Tahoma" w:hAnsi="Tahoma"/>
          <w:b/>
          <w:i/>
          <w:iCs/>
          <w:sz w:val="20"/>
          <w:szCs w:val="20"/>
          <w:u w:val="none" w:color="000000"/>
          <w:lang w:eastAsia="es-ES"/>
        </w:rPr>
        <w:t>Definición y delimitación del tema o problema:</w:t>
      </w:r>
      <w:r>
        <w:rPr>
          <w:rFonts w:cs="Tahoma" w:ascii="Tahoma" w:hAnsi="Tahoma"/>
          <w:i/>
          <w:iCs/>
          <w:sz w:val="20"/>
          <w:szCs w:val="20"/>
          <w:u w:val="none" w:color="000000"/>
          <w:lang w:eastAsia="es-ES"/>
        </w:rPr>
        <w:t xml:space="preserve"> Consiste en la descripción del tema o problema institucional a resolver. Entre las variables a considerar se encuentran: </w:t>
      </w:r>
    </w:p>
    <w:p>
      <w:pPr>
        <w:pStyle w:val="Normal"/>
        <w:numPr>
          <w:ilvl w:val="0"/>
          <w:numId w:val="8"/>
        </w:numPr>
        <w:spacing w:lineRule="auto" w:line="240" w:before="0" w:after="0"/>
        <w:jc w:val="both"/>
        <w:rPr>
          <w:rFonts w:ascii="Tahoma" w:hAnsi="Tahoma" w:eastAsia="Calibri" w:cs="Tahoma"/>
          <w:i/>
          <w:i/>
          <w:iCs/>
          <w:sz w:val="20"/>
          <w:szCs w:val="20"/>
        </w:rPr>
      </w:pPr>
      <w:r>
        <w:rPr>
          <w:rFonts w:eastAsia="Calibri" w:cs="Tahoma" w:ascii="Tahoma" w:hAnsi="Tahoma"/>
          <w:i/>
          <w:iCs/>
          <w:sz w:val="20"/>
          <w:szCs w:val="20"/>
        </w:rPr>
        <w:t xml:space="preserve">Identificar si el tema o problema se considera de interés institucional y social, </w:t>
      </w:r>
      <w:bookmarkStart w:id="25" w:name="_Hlk10019625"/>
      <w:r>
        <w:rPr>
          <w:rFonts w:eastAsia="Calibri" w:cs="Tahoma" w:ascii="Tahoma" w:hAnsi="Tahoma"/>
          <w:i/>
          <w:iCs/>
          <w:sz w:val="20"/>
          <w:szCs w:val="20"/>
        </w:rPr>
        <w:t>elemento que lo establece la Corte Plena con la aprobación para la elaboración de la nueva política institucional.</w:t>
      </w:r>
      <w:bookmarkEnd w:id="25"/>
    </w:p>
    <w:p>
      <w:pPr>
        <w:pStyle w:val="Normal"/>
        <w:numPr>
          <w:ilvl w:val="0"/>
          <w:numId w:val="8"/>
        </w:numPr>
        <w:spacing w:lineRule="auto" w:line="240" w:before="0" w:after="0"/>
        <w:jc w:val="both"/>
        <w:rPr>
          <w:rFonts w:ascii="Tahoma" w:hAnsi="Tahoma" w:eastAsia="Calibri" w:cs="Tahoma"/>
          <w:i/>
          <w:i/>
          <w:iCs/>
          <w:sz w:val="20"/>
          <w:szCs w:val="20"/>
        </w:rPr>
      </w:pPr>
      <w:r>
        <w:rPr>
          <w:rFonts w:eastAsia="Calibri" w:cs="Tahoma" w:ascii="Tahoma" w:hAnsi="Tahoma"/>
          <w:i/>
          <w:iCs/>
          <w:sz w:val="20"/>
          <w:szCs w:val="20"/>
        </w:rPr>
        <w:t xml:space="preserve">Describir, de manera general, el marco normativo que lo justifica. </w:t>
      </w:r>
    </w:p>
    <w:p>
      <w:pPr>
        <w:pStyle w:val="Normal"/>
        <w:numPr>
          <w:ilvl w:val="0"/>
          <w:numId w:val="8"/>
        </w:numPr>
        <w:spacing w:lineRule="auto" w:line="240" w:before="0" w:after="0"/>
        <w:jc w:val="both"/>
        <w:rPr>
          <w:rFonts w:ascii="Tahoma" w:hAnsi="Tahoma" w:eastAsia="Calibri" w:cs="Tahoma"/>
          <w:i/>
          <w:i/>
          <w:iCs/>
          <w:sz w:val="20"/>
          <w:szCs w:val="20"/>
        </w:rPr>
      </w:pPr>
      <w:r>
        <w:rPr>
          <w:rFonts w:eastAsia="Calibri" w:cs="Tahoma" w:ascii="Tahoma" w:hAnsi="Tahoma"/>
          <w:i/>
          <w:iCs/>
          <w:sz w:val="20"/>
          <w:szCs w:val="20"/>
        </w:rPr>
        <w:t>Debe definirse la instancia rectora responsable de su gestión a nivel institucional.</w:t>
      </w:r>
      <w:bookmarkStart w:id="26" w:name="_Hlk9588504"/>
      <w:bookmarkEnd w:id="26"/>
    </w:p>
    <w:p>
      <w:pPr>
        <w:pStyle w:val="Normal"/>
        <w:keepNext w:val="true"/>
        <w:widowControl w:val="false"/>
        <w:numPr>
          <w:ilvl w:val="0"/>
          <w:numId w:val="14"/>
        </w:numPr>
        <w:spacing w:lineRule="auto" w:line="240" w:before="0" w:after="0"/>
        <w:jc w:val="both"/>
        <w:outlineLvl w:val="3"/>
        <w:rPr>
          <w:rFonts w:ascii="Tahoma" w:hAnsi="Tahoma" w:cs="Tahoma"/>
          <w:b/>
          <w:b/>
          <w:bCs/>
          <w:i/>
          <w:i/>
          <w:iCs/>
          <w:sz w:val="20"/>
          <w:szCs w:val="20"/>
          <w:u w:val="none" w:color="000000"/>
          <w:lang w:eastAsia="es-ES"/>
        </w:rPr>
      </w:pPr>
      <w:r>
        <w:rPr>
          <w:rFonts w:cs="Tahoma" w:ascii="Tahoma" w:hAnsi="Tahoma"/>
          <w:b/>
          <w:i/>
          <w:iCs/>
          <w:sz w:val="20"/>
          <w:szCs w:val="20"/>
          <w:u w:val="none" w:color="000000"/>
          <w:lang w:eastAsia="es-ES"/>
        </w:rPr>
        <w:t xml:space="preserve">Marco </w:t>
      </w:r>
      <w:bookmarkStart w:id="27" w:name="_Hlk9588601"/>
      <w:r>
        <w:rPr>
          <w:rFonts w:cs="Tahoma" w:ascii="Tahoma" w:hAnsi="Tahoma"/>
          <w:b/>
          <w:i/>
          <w:iCs/>
          <w:sz w:val="20"/>
          <w:szCs w:val="20"/>
          <w:u w:val="none" w:color="000000"/>
          <w:lang w:eastAsia="es-ES"/>
        </w:rPr>
        <w:t>legal:</w:t>
      </w:r>
      <w:r>
        <w:rPr>
          <w:rFonts w:cs="Tahoma" w:ascii="Tahoma" w:hAnsi="Tahoma"/>
          <w:i/>
          <w:iCs/>
          <w:sz w:val="20"/>
          <w:szCs w:val="20"/>
          <w:u w:val="none" w:color="000000"/>
          <w:lang w:eastAsia="es-ES"/>
        </w:rPr>
        <w:t xml:space="preserve"> Es la revisión del marco legal nacional e internacional, en la que se contempla la normativa de manera detallada relacionada con el tema o problema a resolver. Se deben considerar los tratados, leyes, decretos, directrices técnicas, entre otros documentos relacionados. Debe contemplar como mínimo el nombre del instrumento legal, la fecha de emisión y vigencia, además de los aspectos relevantes para la política (objetivos o compromisos para la institución).</w:t>
      </w:r>
      <w:bookmarkEnd w:id="27"/>
    </w:p>
    <w:p>
      <w:pPr>
        <w:pStyle w:val="Normal"/>
        <w:keepNext w:val="true"/>
        <w:widowControl w:val="false"/>
        <w:numPr>
          <w:ilvl w:val="0"/>
          <w:numId w:val="14"/>
        </w:numPr>
        <w:spacing w:lineRule="auto" w:line="240" w:before="0" w:after="0"/>
        <w:jc w:val="both"/>
        <w:outlineLvl w:val="3"/>
        <w:rPr>
          <w:rFonts w:ascii="Tahoma" w:hAnsi="Tahoma" w:cs="Tahoma"/>
          <w:b/>
          <w:b/>
          <w:bCs/>
          <w:i/>
          <w:i/>
          <w:iCs/>
          <w:sz w:val="20"/>
          <w:szCs w:val="20"/>
          <w:u w:val="none" w:color="000000"/>
          <w:lang w:eastAsia="es-ES"/>
        </w:rPr>
      </w:pPr>
      <w:r>
        <w:rPr>
          <w:rFonts w:cs="Tahoma" w:ascii="Tahoma" w:hAnsi="Tahoma"/>
          <w:b/>
          <w:i/>
          <w:iCs/>
          <w:sz w:val="20"/>
          <w:szCs w:val="20"/>
          <w:u w:val="none" w:color="000000"/>
          <w:lang w:eastAsia="es-ES"/>
        </w:rPr>
        <w:t>Análisis del tema o problema:</w:t>
      </w:r>
      <w:r>
        <w:rPr>
          <w:rFonts w:cs="Tahoma" w:ascii="Tahoma" w:hAnsi="Tahoma"/>
          <w:i/>
          <w:iCs/>
          <w:sz w:val="20"/>
          <w:szCs w:val="20"/>
          <w:u w:val="none" w:color="000000"/>
          <w:lang w:eastAsia="es-ES"/>
        </w:rPr>
        <w:t xml:space="preserve"> Debe contemplar el entorno social, económico, cultural, político, ambiental, tecnológico y algún otro, que incide sobre el tema o problema a resolver; así como distinguir las fortalezas y las debilidades institucionales, las oportunidades y las amenazas del entorno, que contribuyan a definir el alcance de la política y la identificación de oportunidades de mejora.</w:t>
      </w:r>
    </w:p>
    <w:p>
      <w:pPr>
        <w:pStyle w:val="Normal"/>
        <w:ind w:left="708" w:hanging="0"/>
        <w:rPr>
          <w:rFonts w:ascii="Tahoma" w:hAnsi="Tahoma" w:cs="Tahoma"/>
          <w:i/>
          <w:i/>
          <w:iCs/>
          <w:sz w:val="20"/>
          <w:szCs w:val="20"/>
          <w:lang w:eastAsia="es-ES"/>
        </w:rPr>
      </w:pPr>
      <w:r>
        <w:rPr>
          <w:rFonts w:cs="Tahoma" w:ascii="Tahoma" w:hAnsi="Tahoma"/>
          <w:i/>
          <w:iCs/>
          <w:sz w:val="20"/>
          <w:szCs w:val="20"/>
          <w:lang w:eastAsia="es-ES"/>
        </w:rPr>
      </w:r>
    </w:p>
    <w:p>
      <w:pPr>
        <w:pStyle w:val="Normal"/>
        <w:ind w:left="708" w:hanging="0"/>
        <w:rPr>
          <w:rFonts w:ascii="Tahoma" w:hAnsi="Tahoma" w:cs="Tahoma"/>
          <w:i/>
          <w:i/>
          <w:iCs/>
          <w:sz w:val="20"/>
          <w:szCs w:val="20"/>
          <w:lang w:eastAsia="es-ES"/>
        </w:rPr>
      </w:pPr>
      <w:r>
        <w:rPr>
          <w:rFonts w:cs="Tahoma" w:ascii="Tahoma" w:hAnsi="Tahoma"/>
          <w:i/>
          <w:iCs/>
          <w:sz w:val="20"/>
          <w:szCs w:val="20"/>
          <w:lang w:eastAsia="es-ES"/>
        </w:rPr>
        <w:t>Las fuentes de información de estos datos pueden ser:</w:t>
      </w:r>
    </w:p>
    <w:p>
      <w:pPr>
        <w:pStyle w:val="Normal"/>
        <w:ind w:left="708" w:hanging="0"/>
        <w:rPr>
          <w:rFonts w:ascii="Tahoma" w:hAnsi="Tahoma" w:cs="Tahoma"/>
          <w:i/>
          <w:i/>
          <w:iCs/>
          <w:sz w:val="20"/>
          <w:szCs w:val="20"/>
          <w:lang w:eastAsia="es-ES"/>
        </w:rPr>
      </w:pPr>
      <w:r>
        <w:rPr>
          <w:rFonts w:cs="Tahoma" w:ascii="Tahoma" w:hAnsi="Tahoma"/>
          <w:i/>
          <w:iCs/>
          <w:sz w:val="20"/>
          <w:szCs w:val="20"/>
          <w:lang w:eastAsia="es-ES"/>
        </w:rPr>
      </w:r>
    </w:p>
    <w:p>
      <w:pPr>
        <w:pStyle w:val="Normal"/>
        <w:numPr>
          <w:ilvl w:val="0"/>
          <w:numId w:val="13"/>
        </w:numPr>
        <w:spacing w:lineRule="auto" w:line="240" w:before="0" w:after="0"/>
        <w:jc w:val="both"/>
        <w:rPr>
          <w:rFonts w:ascii="Tahoma" w:hAnsi="Tahoma" w:cs="Tahoma"/>
          <w:i/>
          <w:i/>
          <w:iCs/>
          <w:sz w:val="20"/>
          <w:szCs w:val="20"/>
          <w:lang w:eastAsia="es-ES"/>
        </w:rPr>
      </w:pPr>
      <w:r>
        <w:rPr>
          <w:rFonts w:cs="Tahoma" w:ascii="Tahoma" w:hAnsi="Tahoma"/>
          <w:i/>
          <w:iCs/>
          <w:sz w:val="20"/>
          <w:szCs w:val="20"/>
          <w:lang w:eastAsia="es-ES"/>
        </w:rPr>
        <w:t>Internas, entre los que se destacan: Datos estadísticos, estructura organizacional (Relación de Puestos), presupuestos formulados y ejecutados, datos demográficos (Sistema Georeferencial), estudios técnicos de oficinas especialistas, acuerdos del Consejo Superior y Corte Plena, entre otros.</w:t>
      </w:r>
    </w:p>
    <w:p>
      <w:pPr>
        <w:pStyle w:val="Normal"/>
        <w:ind w:left="708" w:hanging="0"/>
        <w:jc w:val="both"/>
        <w:rPr>
          <w:rFonts w:ascii="Tahoma" w:hAnsi="Tahoma" w:cs="Tahoma"/>
          <w:i/>
          <w:i/>
          <w:iCs/>
          <w:sz w:val="20"/>
          <w:szCs w:val="20"/>
          <w:lang w:eastAsia="es-ES"/>
        </w:rPr>
      </w:pPr>
      <w:r>
        <w:rPr>
          <w:rFonts w:cs="Tahoma" w:ascii="Tahoma" w:hAnsi="Tahoma"/>
          <w:i/>
          <w:iCs/>
          <w:sz w:val="20"/>
          <w:szCs w:val="20"/>
          <w:lang w:eastAsia="es-ES"/>
        </w:rPr>
      </w:r>
    </w:p>
    <w:p>
      <w:pPr>
        <w:pStyle w:val="Normal"/>
        <w:numPr>
          <w:ilvl w:val="0"/>
          <w:numId w:val="13"/>
        </w:numPr>
        <w:spacing w:lineRule="auto" w:line="240" w:before="0" w:after="0"/>
        <w:jc w:val="both"/>
        <w:rPr>
          <w:rFonts w:ascii="Tahoma" w:hAnsi="Tahoma" w:cs="Tahoma"/>
          <w:i/>
          <w:i/>
          <w:iCs/>
          <w:sz w:val="20"/>
          <w:szCs w:val="20"/>
          <w:lang w:eastAsia="es-ES"/>
        </w:rPr>
      </w:pPr>
      <w:r>
        <w:rPr>
          <w:rFonts w:cs="Tahoma" w:ascii="Tahoma" w:hAnsi="Tahoma"/>
          <w:i/>
          <w:iCs/>
          <w:sz w:val="20"/>
          <w:szCs w:val="20"/>
          <w:lang w:eastAsia="es-ES"/>
        </w:rPr>
        <w:t>Externas, dependiendo del tema a abordar, se pueden tomar datos como: Estadísticas del Instituto Nacional de Estadísticas y Censos (INEC), informes específicos del Estado de la Nación, datos y estudios técnicos de órganos especializados del Gobierno o instancias internacionales reconocidas, entre otros.</w:t>
      </w:r>
    </w:p>
    <w:p>
      <w:pPr>
        <w:pStyle w:val="Normal"/>
        <w:ind w:left="708" w:hanging="0"/>
        <w:rPr>
          <w:rFonts w:ascii="Tahoma" w:hAnsi="Tahoma" w:cs="Tahoma"/>
          <w:i/>
          <w:i/>
          <w:iCs/>
          <w:sz w:val="20"/>
          <w:szCs w:val="20"/>
          <w:lang w:eastAsia="es-ES"/>
        </w:rPr>
      </w:pPr>
      <w:r>
        <w:rPr>
          <w:rFonts w:cs="Tahoma" w:ascii="Tahoma" w:hAnsi="Tahoma"/>
          <w:i/>
          <w:iCs/>
          <w:sz w:val="20"/>
          <w:szCs w:val="20"/>
          <w:lang w:eastAsia="es-ES"/>
        </w:rPr>
      </w:r>
    </w:p>
    <w:p>
      <w:pPr>
        <w:pStyle w:val="Normal"/>
        <w:ind w:left="720" w:firstLine="348"/>
        <w:jc w:val="both"/>
        <w:rPr>
          <w:rFonts w:ascii="Tahoma" w:hAnsi="Tahoma" w:eastAsia="Calibri" w:cs="Tahoma"/>
          <w:i/>
          <w:i/>
          <w:iCs/>
          <w:sz w:val="20"/>
          <w:szCs w:val="20"/>
        </w:rPr>
      </w:pPr>
      <w:r>
        <w:rPr>
          <w:rFonts w:eastAsia="Calibri" w:cs="Tahoma" w:ascii="Tahoma" w:hAnsi="Tahoma"/>
          <w:i/>
          <w:iCs/>
          <w:sz w:val="20"/>
          <w:szCs w:val="20"/>
        </w:rPr>
        <w:t xml:space="preserve">Con el análisis de la información recopilada sobre el tema, se crea un panorama del estado de situación del problema, sus causas y los factores del entorno que afectan la situación. </w:t>
      </w:r>
    </w:p>
    <w:p>
      <w:pPr>
        <w:pStyle w:val="Normal"/>
        <w:ind w:left="720" w:hanging="0"/>
        <w:jc w:val="both"/>
        <w:rPr>
          <w:rFonts w:ascii="Tahoma" w:hAnsi="Tahoma" w:eastAsia="Calibri" w:cs="Tahoma"/>
          <w:i/>
          <w:i/>
          <w:iCs/>
          <w:sz w:val="20"/>
          <w:szCs w:val="20"/>
        </w:rPr>
      </w:pPr>
      <w:r>
        <w:rPr>
          <w:rFonts w:eastAsia="Calibri" w:cs="Tahoma" w:ascii="Tahoma" w:hAnsi="Tahoma"/>
          <w:i/>
          <w:iCs/>
          <w:sz w:val="20"/>
          <w:szCs w:val="20"/>
        </w:rPr>
      </w:r>
    </w:p>
    <w:p>
      <w:pPr>
        <w:pStyle w:val="Normal"/>
        <w:ind w:left="720" w:firstLine="348"/>
        <w:jc w:val="both"/>
        <w:rPr>
          <w:rFonts w:ascii="Tahoma" w:hAnsi="Tahoma" w:eastAsia="Calibri" w:cs="Tahoma"/>
          <w:i/>
          <w:i/>
          <w:iCs/>
          <w:sz w:val="20"/>
          <w:szCs w:val="20"/>
        </w:rPr>
      </w:pPr>
      <w:r>
        <w:rPr>
          <w:rFonts w:eastAsia="Calibri" w:cs="Tahoma" w:ascii="Tahoma" w:hAnsi="Tahoma"/>
          <w:i/>
          <w:iCs/>
          <w:sz w:val="20"/>
          <w:szCs w:val="20"/>
        </w:rPr>
        <w:t xml:space="preserve">Para el análisis del problema es de relevancia la participación de los diferentes actores relacionados de manera directa e indirecta con el tema o problema. Así, la recolección y sistematización de la información obtenida mediante experiencias, entrevistas, talleres, foros, mesas de diálogo, narraciones o cualquier otro medio que aborde el tema; que constituyen mecanismos de cocreación, donde se garantiza la participación ciudadana, interinstitucional e institucional desde el inicio de la creación de la política. </w:t>
      </w:r>
    </w:p>
    <w:p>
      <w:pPr>
        <w:pStyle w:val="Normal"/>
        <w:ind w:left="720" w:hanging="0"/>
        <w:jc w:val="both"/>
        <w:rPr>
          <w:rFonts w:ascii="Tahoma" w:hAnsi="Tahoma" w:eastAsia="Calibri" w:cs="Tahoma"/>
          <w:i/>
          <w:i/>
          <w:iCs/>
          <w:sz w:val="20"/>
          <w:szCs w:val="20"/>
        </w:rPr>
      </w:pPr>
      <w:r>
        <w:rPr>
          <w:rFonts w:eastAsia="Calibri" w:cs="Tahoma" w:ascii="Tahoma" w:hAnsi="Tahoma"/>
          <w:i/>
          <w:iCs/>
          <w:sz w:val="20"/>
          <w:szCs w:val="20"/>
        </w:rPr>
      </w:r>
      <w:bookmarkStart w:id="28" w:name="_Hlk9618463"/>
      <w:bookmarkStart w:id="29" w:name="_Hlk9588797"/>
      <w:bookmarkStart w:id="30" w:name="_Hlk9618463"/>
      <w:bookmarkStart w:id="31" w:name="_Hlk9588797"/>
      <w:bookmarkEnd w:id="30"/>
      <w:bookmarkEnd w:id="31"/>
    </w:p>
    <w:p>
      <w:pPr>
        <w:pStyle w:val="Normal"/>
        <w:ind w:left="708" w:firstLine="360"/>
        <w:jc w:val="both"/>
        <w:rPr>
          <w:rFonts w:ascii="Tahoma" w:hAnsi="Tahoma" w:eastAsia="Calibri" w:cs="Tahoma"/>
          <w:i/>
          <w:i/>
          <w:iCs/>
          <w:sz w:val="20"/>
          <w:szCs w:val="20"/>
        </w:rPr>
      </w:pPr>
      <w:r>
        <w:rPr>
          <w:rFonts w:eastAsia="Calibri" w:cs="Tahoma" w:ascii="Tahoma" w:hAnsi="Tahoma"/>
          <w:i/>
          <w:iCs/>
          <w:sz w:val="20"/>
          <w:szCs w:val="20"/>
        </w:rPr>
        <w:t xml:space="preserve">Además, se considera de relevancia la inclusión de información estadística e indicadores disponibles, que describan de manera cuantitativa el estado situacional del tema o problema a resolver.     </w:t>
      </w:r>
    </w:p>
    <w:p>
      <w:pPr>
        <w:pStyle w:val="Normal"/>
        <w:jc w:val="both"/>
        <w:rPr>
          <w:rFonts w:ascii="Tahoma" w:hAnsi="Tahoma" w:eastAsia="Calibri" w:cs="Tahoma"/>
          <w:b/>
          <w:b/>
          <w:i/>
          <w:i/>
          <w:iCs/>
          <w:sz w:val="20"/>
          <w:szCs w:val="20"/>
        </w:rPr>
      </w:pPr>
      <w:r>
        <w:rPr>
          <w:rFonts w:eastAsia="Calibri" w:cs="Tahoma" w:ascii="Tahoma" w:hAnsi="Tahoma"/>
          <w:b/>
          <w:i/>
          <w:iCs/>
          <w:sz w:val="20"/>
          <w:szCs w:val="20"/>
        </w:rPr>
      </w:r>
    </w:p>
    <w:p>
      <w:pPr>
        <w:pStyle w:val="Normal"/>
        <w:jc w:val="both"/>
        <w:rPr>
          <w:rFonts w:ascii="Tahoma" w:hAnsi="Tahoma" w:eastAsia="Calibri" w:cs="Tahoma"/>
          <w:b/>
          <w:b/>
          <w:i/>
          <w:i/>
          <w:iCs/>
          <w:sz w:val="20"/>
          <w:szCs w:val="20"/>
        </w:rPr>
      </w:pPr>
      <w:r>
        <w:rPr>
          <w:rFonts w:eastAsia="Calibri" w:cs="Tahoma" w:ascii="Tahoma" w:hAnsi="Tahoma"/>
          <w:b/>
          <w:i/>
          <w:iCs/>
          <w:sz w:val="20"/>
          <w:szCs w:val="20"/>
        </w:rPr>
      </w:r>
    </w:p>
    <w:p>
      <w:pPr>
        <w:pStyle w:val="Normal"/>
        <w:keepNext w:val="true"/>
        <w:widowControl w:val="false"/>
        <w:numPr>
          <w:ilvl w:val="0"/>
          <w:numId w:val="0"/>
        </w:numPr>
        <w:outlineLvl w:val="3"/>
        <w:rPr>
          <w:rFonts w:ascii="Tahoma" w:hAnsi="Tahoma" w:cs="Tahoma"/>
          <w:b/>
          <w:b/>
          <w:i/>
          <w:i/>
          <w:iCs/>
          <w:sz w:val="20"/>
          <w:szCs w:val="20"/>
          <w:u w:val="none" w:color="000000"/>
          <w:lang w:eastAsia="es-ES"/>
        </w:rPr>
      </w:pPr>
      <w:r>
        <w:rPr>
          <w:rFonts w:cs="Tahoma" w:ascii="Tahoma" w:hAnsi="Tahoma"/>
          <w:b/>
          <w:i/>
          <w:iCs/>
          <w:sz w:val="20"/>
          <w:szCs w:val="20"/>
          <w:u w:val="none" w:color="000000"/>
          <w:lang w:eastAsia="es-ES"/>
        </w:rPr>
        <w:t>3.2.2.2 Fase 2: Elaboración y aprobación de la Política</w:t>
      </w:r>
    </w:p>
    <w:p>
      <w:pPr>
        <w:pStyle w:val="Normal"/>
        <w:jc w:val="both"/>
        <w:rPr>
          <w:rFonts w:ascii="Tahoma" w:hAnsi="Tahoma" w:eastAsia="Calibri" w:cs="Tahoma"/>
          <w:i/>
          <w:i/>
          <w:iCs/>
          <w:sz w:val="20"/>
          <w:szCs w:val="20"/>
          <w:u w:val="single"/>
        </w:rPr>
      </w:pPr>
      <w:r>
        <w:rPr>
          <w:rFonts w:eastAsia="Calibri" w:cs="Tahoma" w:ascii="Tahoma" w:hAnsi="Tahoma"/>
          <w:i/>
          <w:iCs/>
          <w:sz w:val="20"/>
          <w:szCs w:val="20"/>
          <w:u w:val="single"/>
        </w:rPr>
      </w:r>
    </w:p>
    <w:p>
      <w:pPr>
        <w:pStyle w:val="Normal"/>
        <w:ind w:firstLine="708"/>
        <w:jc w:val="both"/>
        <w:rPr>
          <w:rFonts w:ascii="Tahoma" w:hAnsi="Tahoma" w:eastAsia="Calibri" w:cs="Tahoma"/>
          <w:i/>
          <w:i/>
          <w:iCs/>
          <w:sz w:val="20"/>
          <w:szCs w:val="20"/>
        </w:rPr>
      </w:pPr>
      <w:r>
        <w:rPr>
          <w:rFonts w:eastAsia="Calibri" w:cs="Tahoma" w:ascii="Tahoma" w:hAnsi="Tahoma"/>
          <w:i/>
          <w:iCs/>
          <w:sz w:val="20"/>
          <w:szCs w:val="20"/>
        </w:rPr>
        <w:t xml:space="preserve">En esta fase es donde se elabora la política institucional, mediante la participación de las personas actoras involucradas, donde se debe lograr el consenso, validación y aceptación de la propuesta, previo a su remisión para aprobación por parte de la Corte Plena. Para la elaboración de la Política, deben considerarse los siguientes elementos.  </w:t>
      </w:r>
    </w:p>
    <w:p>
      <w:pPr>
        <w:pStyle w:val="Normal"/>
        <w:rPr>
          <w:rFonts w:ascii="Tahoma" w:hAnsi="Tahoma" w:eastAsia="Calibri" w:cs="Tahoma"/>
          <w:b/>
          <w:b/>
          <w:i/>
          <w:i/>
          <w:iCs/>
          <w:sz w:val="20"/>
          <w:szCs w:val="20"/>
        </w:rPr>
      </w:pPr>
      <w:r>
        <w:rPr>
          <w:rFonts w:eastAsia="Calibri" w:cs="Tahoma" w:ascii="Tahoma" w:hAnsi="Tahoma"/>
          <w:b/>
          <w:i/>
          <w:iCs/>
          <w:sz w:val="20"/>
          <w:szCs w:val="20"/>
        </w:rPr>
      </w:r>
    </w:p>
    <w:p>
      <w:pPr>
        <w:pStyle w:val="Normal"/>
        <w:jc w:val="center"/>
        <w:rPr>
          <w:rFonts w:ascii="Tahoma" w:hAnsi="Tahoma" w:eastAsia="Calibri" w:cs="Tahoma"/>
          <w:b/>
          <w:b/>
          <w:i/>
          <w:i/>
          <w:iCs/>
          <w:sz w:val="20"/>
          <w:szCs w:val="20"/>
        </w:rPr>
      </w:pPr>
      <w:r>
        <w:rPr>
          <w:rFonts w:eastAsia="Calibri" w:cs="Tahoma" w:ascii="Tahoma" w:hAnsi="Tahoma"/>
          <w:b/>
          <w:i/>
          <w:iCs/>
          <w:sz w:val="20"/>
          <w:szCs w:val="20"/>
        </w:rPr>
        <w:t>Figura 3</w:t>
      </w:r>
    </w:p>
    <w:p>
      <w:pPr>
        <w:pStyle w:val="Normal"/>
        <w:jc w:val="center"/>
        <w:rPr>
          <w:rFonts w:ascii="Tahoma" w:hAnsi="Tahoma" w:eastAsia="Calibri" w:cs="Tahoma"/>
          <w:b/>
          <w:b/>
          <w:i/>
          <w:i/>
          <w:iCs/>
          <w:sz w:val="20"/>
          <w:szCs w:val="20"/>
        </w:rPr>
      </w:pPr>
      <w:r>
        <w:rPr>
          <w:rFonts w:eastAsia="Calibri" w:cs="Tahoma" w:ascii="Tahoma" w:hAnsi="Tahoma"/>
          <w:b/>
          <w:i/>
          <w:iCs/>
          <w:sz w:val="20"/>
          <w:szCs w:val="20"/>
        </w:rPr>
        <w:t>Elementos para la elaboración de la Política</w:t>
      </w:r>
      <w:bookmarkStart w:id="32" w:name="_Hlk1398019"/>
      <w:bookmarkEnd w:id="32"/>
    </w:p>
    <w:p>
      <w:pPr>
        <w:pStyle w:val="Normal"/>
        <w:jc w:val="center"/>
        <w:rPr>
          <w:rFonts w:ascii="Tahoma" w:hAnsi="Tahoma" w:eastAsia="Calibri" w:cs="Tahoma"/>
          <w:i/>
          <w:i/>
          <w:iCs/>
          <w:sz w:val="20"/>
          <w:szCs w:val="20"/>
        </w:rPr>
      </w:pPr>
      <w:r>
        <w:rPr/>
        <w:drawing>
          <wp:inline distT="0" distB="0" distL="0" distR="0">
            <wp:extent cx="3585210" cy="2217420"/>
            <wp:effectExtent l="0" t="0" r="0" b="0"/>
            <wp:docPr id="15" name="Imagen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8" descr=""/>
                    <pic:cNvPicPr>
                      <a:picLocks noChangeAspect="1" noChangeArrowheads="1"/>
                    </pic:cNvPicPr>
                  </pic:nvPicPr>
                  <pic:blipFill>
                    <a:blip r:embed="rId18"/>
                    <a:stretch>
                      <a:fillRect/>
                    </a:stretch>
                  </pic:blipFill>
                  <pic:spPr bwMode="auto">
                    <a:xfrm>
                      <a:off x="0" y="0"/>
                      <a:ext cx="3585210" cy="2217420"/>
                    </a:xfrm>
                    <a:prstGeom prst="rect">
                      <a:avLst/>
                    </a:prstGeom>
                  </pic:spPr>
                </pic:pic>
              </a:graphicData>
            </a:graphic>
          </wp:inline>
        </w:drawing>
      </w:r>
    </w:p>
    <w:p>
      <w:pPr>
        <w:pStyle w:val="Normal"/>
        <w:ind w:left="732" w:firstLine="708"/>
        <w:jc w:val="center"/>
        <w:rPr>
          <w:rFonts w:ascii="Tahoma" w:hAnsi="Tahoma" w:eastAsia="Calibri" w:cs="Tahoma"/>
          <w:i/>
          <w:i/>
          <w:iCs/>
          <w:sz w:val="20"/>
          <w:szCs w:val="20"/>
        </w:rPr>
      </w:pPr>
      <w:r>
        <w:rPr>
          <w:rFonts w:eastAsia="Calibri" w:cs="Tahoma" w:ascii="Tahoma" w:hAnsi="Tahoma"/>
          <w:b/>
          <w:i/>
          <w:iCs/>
          <w:sz w:val="20"/>
          <w:szCs w:val="20"/>
        </w:rPr>
        <w:t>Fuente:</w:t>
      </w:r>
      <w:r>
        <w:rPr>
          <w:rFonts w:eastAsia="Calibri" w:cs="Tahoma" w:ascii="Tahoma" w:hAnsi="Tahoma"/>
          <w:i/>
          <w:iCs/>
          <w:sz w:val="20"/>
          <w:szCs w:val="20"/>
        </w:rPr>
        <w:t xml:space="preserve"> Elaboración propia.</w:t>
      </w:r>
    </w:p>
    <w:p>
      <w:pPr>
        <w:pStyle w:val="Normal"/>
        <w:jc w:val="both"/>
        <w:rPr>
          <w:rFonts w:ascii="Tahoma" w:hAnsi="Tahoma" w:eastAsia="Calibri" w:cs="Tahoma"/>
          <w:b/>
          <w:b/>
          <w:i/>
          <w:i/>
          <w:iCs/>
          <w:sz w:val="20"/>
          <w:szCs w:val="20"/>
        </w:rPr>
      </w:pPr>
      <w:r>
        <w:rPr>
          <w:rFonts w:eastAsia="Calibri" w:cs="Tahoma" w:ascii="Tahoma" w:hAnsi="Tahoma"/>
          <w:b/>
          <w:i/>
          <w:iCs/>
          <w:sz w:val="20"/>
          <w:szCs w:val="20"/>
        </w:rPr>
      </w:r>
    </w:p>
    <w:p>
      <w:pPr>
        <w:pStyle w:val="Normal"/>
        <w:jc w:val="both"/>
        <w:rPr>
          <w:rFonts w:ascii="Tahoma" w:hAnsi="Tahoma" w:eastAsia="Calibri" w:cs="Tahoma"/>
          <w:b/>
          <w:b/>
          <w:i/>
          <w:i/>
          <w:iCs/>
          <w:sz w:val="20"/>
          <w:szCs w:val="20"/>
        </w:rPr>
      </w:pPr>
      <w:r>
        <w:rPr>
          <w:rFonts w:eastAsia="Calibri" w:cs="Tahoma" w:ascii="Tahoma" w:hAnsi="Tahoma"/>
          <w:b/>
          <w:i/>
          <w:iCs/>
          <w:sz w:val="20"/>
          <w:szCs w:val="20"/>
        </w:rPr>
      </w:r>
    </w:p>
    <w:p>
      <w:pPr>
        <w:pStyle w:val="Normal"/>
        <w:jc w:val="both"/>
        <w:rPr>
          <w:rFonts w:ascii="Tahoma" w:hAnsi="Tahoma" w:eastAsia="Calibri" w:cs="Tahoma"/>
          <w:b/>
          <w:b/>
          <w:i/>
          <w:i/>
          <w:iCs/>
          <w:sz w:val="20"/>
          <w:szCs w:val="20"/>
        </w:rPr>
      </w:pPr>
      <w:r>
        <w:rPr>
          <w:rFonts w:eastAsia="Calibri" w:cs="Tahoma" w:ascii="Tahoma" w:hAnsi="Tahoma"/>
          <w:b/>
          <w:i/>
          <w:iCs/>
          <w:sz w:val="20"/>
          <w:szCs w:val="20"/>
        </w:rPr>
      </w:r>
    </w:p>
    <w:p>
      <w:pPr>
        <w:pStyle w:val="Normal"/>
        <w:jc w:val="both"/>
        <w:rPr>
          <w:rFonts w:ascii="Tahoma" w:hAnsi="Tahoma" w:eastAsia="Calibri" w:cs="Tahoma"/>
          <w:b/>
          <w:b/>
          <w:i/>
          <w:i/>
          <w:iCs/>
          <w:sz w:val="20"/>
          <w:szCs w:val="20"/>
        </w:rPr>
      </w:pPr>
      <w:r>
        <w:rPr>
          <w:rFonts w:eastAsia="Calibri" w:cs="Tahoma" w:ascii="Tahoma" w:hAnsi="Tahoma"/>
          <w:b/>
          <w:i/>
          <w:iCs/>
          <w:sz w:val="20"/>
          <w:szCs w:val="20"/>
        </w:rPr>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keepNext w:val="true"/>
        <w:widowControl w:val="false"/>
        <w:numPr>
          <w:ilvl w:val="0"/>
          <w:numId w:val="15"/>
        </w:numPr>
        <w:spacing w:lineRule="auto" w:line="240" w:before="0" w:after="0"/>
        <w:jc w:val="both"/>
        <w:outlineLvl w:val="3"/>
        <w:rPr>
          <w:rFonts w:ascii="Tahoma" w:hAnsi="Tahoma" w:cs="Tahoma"/>
          <w:bCs/>
          <w:i/>
          <w:i/>
          <w:iCs/>
          <w:sz w:val="20"/>
          <w:szCs w:val="20"/>
          <w:u w:val="none" w:color="000000"/>
          <w:lang w:eastAsia="es-ES"/>
        </w:rPr>
      </w:pPr>
      <w:r>
        <w:rPr>
          <w:rFonts w:cs="Tahoma" w:ascii="Tahoma" w:hAnsi="Tahoma"/>
          <w:b/>
          <w:i/>
          <w:iCs/>
          <w:sz w:val="20"/>
          <w:szCs w:val="20"/>
          <w:u w:val="none" w:color="000000"/>
          <w:lang w:eastAsia="es-ES"/>
        </w:rPr>
        <w:t xml:space="preserve">Metodología: </w:t>
      </w:r>
      <w:bookmarkStart w:id="33" w:name="_Hlk9589393"/>
      <w:r>
        <w:rPr>
          <w:rFonts w:cs="Tahoma" w:ascii="Tahoma" w:hAnsi="Tahoma"/>
          <w:bCs/>
          <w:i/>
          <w:iCs/>
          <w:sz w:val="20"/>
          <w:szCs w:val="20"/>
          <w:u w:val="none" w:color="000000"/>
          <w:lang w:eastAsia="es-ES"/>
        </w:rPr>
        <w:t xml:space="preserve">A partir de los elementos que debe contener la política institucional, que se detallan más adelante; se deben definir las metodologías que se emplearían para la elaboración de cada uno de estos elementos y componentes que se encuentran en la política institucional. </w:t>
      </w:r>
    </w:p>
    <w:p>
      <w:pPr>
        <w:pStyle w:val="Normal"/>
        <w:ind w:left="720" w:hanging="0"/>
        <w:jc w:val="both"/>
        <w:rPr>
          <w:rFonts w:ascii="Tahoma" w:hAnsi="Tahoma" w:eastAsia="Calibri" w:cs="Tahoma"/>
          <w:b/>
          <w:b/>
          <w:i/>
          <w:i/>
          <w:iCs/>
          <w:sz w:val="20"/>
          <w:szCs w:val="20"/>
        </w:rPr>
      </w:pPr>
      <w:r>
        <w:rPr>
          <w:rFonts w:eastAsia="Calibri" w:cs="Tahoma" w:ascii="Tahoma" w:hAnsi="Tahoma"/>
          <w:b/>
          <w:i/>
          <w:iCs/>
          <w:sz w:val="20"/>
          <w:szCs w:val="20"/>
        </w:rPr>
      </w:r>
    </w:p>
    <w:p>
      <w:pPr>
        <w:pStyle w:val="Normal"/>
        <w:ind w:left="720" w:firstLine="360"/>
        <w:jc w:val="both"/>
        <w:rPr>
          <w:rFonts w:ascii="Tahoma" w:hAnsi="Tahoma" w:eastAsia="Calibri" w:cs="Tahoma"/>
          <w:i/>
          <w:i/>
          <w:iCs/>
          <w:sz w:val="20"/>
          <w:szCs w:val="20"/>
        </w:rPr>
      </w:pPr>
      <w:r>
        <w:rPr>
          <w:rFonts w:eastAsia="Calibri" w:cs="Tahoma" w:ascii="Tahoma" w:hAnsi="Tahoma"/>
          <w:i/>
          <w:iCs/>
          <w:sz w:val="20"/>
          <w:szCs w:val="20"/>
        </w:rPr>
        <w:t xml:space="preserve">Para lo anterior, es importante que se contemple la participación institucional, interinstitucional y ciudadana en la creación de la política; y tomar en cuenta los mecanismos existentes en la institución sobre el tema como son: la Política de Participación Ciudadana, la Política de Justicia Abierta, entre otros. </w:t>
      </w:r>
      <w:r>
        <w:rPr>
          <w:rStyle w:val="Ancladenotaalpie"/>
          <w:rFonts w:eastAsia="Calibri" w:cs="Tahoma" w:ascii="Tahoma" w:hAnsi="Tahoma"/>
          <w:i/>
          <w:iCs/>
          <w:sz w:val="20"/>
          <w:szCs w:val="20"/>
          <w:vertAlign w:val="superscript"/>
        </w:rPr>
        <w:footnoteReference w:id="6"/>
      </w:r>
    </w:p>
    <w:p>
      <w:pPr>
        <w:pStyle w:val="Normal"/>
        <w:ind w:left="720" w:hanging="0"/>
        <w:jc w:val="both"/>
        <w:rPr>
          <w:rFonts w:ascii="Tahoma" w:hAnsi="Tahoma" w:eastAsia="Calibri" w:cs="Tahoma"/>
          <w:i/>
          <w:i/>
          <w:iCs/>
          <w:sz w:val="20"/>
          <w:szCs w:val="20"/>
        </w:rPr>
      </w:pPr>
      <w:r>
        <w:rPr>
          <w:rFonts w:eastAsia="Calibri" w:cs="Tahoma" w:ascii="Tahoma" w:hAnsi="Tahoma"/>
          <w:i/>
          <w:iCs/>
          <w:sz w:val="20"/>
          <w:szCs w:val="20"/>
        </w:rPr>
      </w:r>
    </w:p>
    <w:p>
      <w:pPr>
        <w:pStyle w:val="Normal"/>
        <w:ind w:left="720" w:firstLine="360"/>
        <w:jc w:val="both"/>
        <w:rPr>
          <w:rFonts w:ascii="Tahoma" w:hAnsi="Tahoma" w:eastAsia="Calibri" w:cs="Tahoma"/>
          <w:i/>
          <w:i/>
          <w:iCs/>
          <w:sz w:val="20"/>
          <w:szCs w:val="20"/>
        </w:rPr>
      </w:pPr>
      <w:r>
        <w:rPr>
          <w:rFonts w:eastAsia="Calibri" w:cs="Tahoma" w:ascii="Tahoma" w:hAnsi="Tahoma"/>
          <w:i/>
          <w:iCs/>
          <w:sz w:val="20"/>
          <w:szCs w:val="20"/>
        </w:rPr>
        <w:t>En este apartado se puede adicionar un cronograma con las actividades que se tienen programadas a realizar; el detalle de las personas, instituciones e instancias involucradas en esas actividades</w:t>
      </w:r>
      <w:bookmarkStart w:id="34" w:name="_Hlk11923854"/>
      <w:r>
        <w:rPr>
          <w:rFonts w:eastAsia="Calibri" w:cs="Tahoma" w:ascii="Tahoma" w:hAnsi="Tahoma"/>
          <w:i/>
          <w:iCs/>
          <w:sz w:val="20"/>
          <w:szCs w:val="20"/>
        </w:rPr>
        <w:t>, así como los recursos ordinarios (humanos, sistemas de información, equipos, viáticos, etc.) que se requieren para desarrollar la metodología planteada.</w:t>
      </w:r>
      <w:bookmarkEnd w:id="33"/>
      <w:bookmarkEnd w:id="34"/>
    </w:p>
    <w:p>
      <w:pPr>
        <w:pStyle w:val="Normal"/>
        <w:ind w:left="720" w:hanging="0"/>
        <w:jc w:val="both"/>
        <w:rPr>
          <w:rFonts w:ascii="Tahoma" w:hAnsi="Tahoma" w:eastAsia="Calibri" w:cs="Tahoma"/>
          <w:i/>
          <w:i/>
          <w:iCs/>
          <w:sz w:val="20"/>
          <w:szCs w:val="20"/>
        </w:rPr>
      </w:pPr>
      <w:r>
        <w:rPr>
          <w:rFonts w:eastAsia="Calibri" w:cs="Tahoma" w:ascii="Tahoma" w:hAnsi="Tahoma"/>
          <w:i/>
          <w:iCs/>
          <w:sz w:val="20"/>
          <w:szCs w:val="20"/>
        </w:rPr>
      </w:r>
    </w:p>
    <w:p>
      <w:pPr>
        <w:pStyle w:val="Normal"/>
        <w:keepNext w:val="true"/>
        <w:widowControl w:val="false"/>
        <w:numPr>
          <w:ilvl w:val="0"/>
          <w:numId w:val="15"/>
        </w:numPr>
        <w:spacing w:lineRule="auto" w:line="240" w:before="0" w:after="0"/>
        <w:jc w:val="both"/>
        <w:outlineLvl w:val="3"/>
        <w:rPr>
          <w:rFonts w:ascii="Tahoma" w:hAnsi="Tahoma" w:cs="Tahoma"/>
          <w:b/>
          <w:b/>
          <w:bCs/>
          <w:i/>
          <w:i/>
          <w:iCs/>
          <w:sz w:val="20"/>
          <w:szCs w:val="20"/>
          <w:u w:val="none" w:color="000000"/>
          <w:lang w:eastAsia="es-ES"/>
        </w:rPr>
      </w:pPr>
      <w:r>
        <w:rPr>
          <w:rFonts w:cs="Tahoma" w:ascii="Tahoma" w:hAnsi="Tahoma"/>
          <w:b/>
          <w:i/>
          <w:iCs/>
          <w:sz w:val="20"/>
          <w:szCs w:val="20"/>
          <w:u w:val="none" w:color="000000"/>
          <w:lang w:eastAsia="es-ES"/>
        </w:rPr>
        <w:t>Elaboración de la propuesta de la política institucional:</w:t>
      </w:r>
      <w:r>
        <w:rPr>
          <w:rFonts w:cs="Tahoma" w:ascii="Tahoma" w:hAnsi="Tahoma"/>
          <w:i/>
          <w:iCs/>
          <w:sz w:val="20"/>
          <w:szCs w:val="20"/>
          <w:u w:val="none" w:color="000000"/>
          <w:lang w:eastAsia="es-ES"/>
        </w:rPr>
        <w:t xml:space="preserve"> Los componentes básicos que debe contener una Política Institucional son:</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numPr>
          <w:ilvl w:val="0"/>
          <w:numId w:val="9"/>
        </w:numPr>
        <w:spacing w:lineRule="auto" w:line="240" w:before="0" w:after="0"/>
        <w:jc w:val="both"/>
        <w:rPr>
          <w:rFonts w:ascii="Tahoma" w:hAnsi="Tahoma" w:eastAsia="Calibri" w:cs="Tahoma"/>
          <w:i/>
          <w:i/>
          <w:iCs/>
          <w:sz w:val="20"/>
          <w:szCs w:val="20"/>
          <w:u w:val="single"/>
        </w:rPr>
      </w:pPr>
      <w:r>
        <w:rPr>
          <w:rFonts w:eastAsia="Calibri" w:cs="Tahoma" w:ascii="Tahoma" w:hAnsi="Tahoma"/>
          <w:i/>
          <w:iCs/>
          <w:sz w:val="20"/>
          <w:szCs w:val="20"/>
        </w:rPr>
        <w:t xml:space="preserve">Portada. </w:t>
      </w:r>
    </w:p>
    <w:p>
      <w:pPr>
        <w:pStyle w:val="Normal"/>
        <w:numPr>
          <w:ilvl w:val="0"/>
          <w:numId w:val="9"/>
        </w:numPr>
        <w:spacing w:lineRule="auto" w:line="240" w:before="0" w:after="0"/>
        <w:jc w:val="both"/>
        <w:rPr>
          <w:rFonts w:ascii="Tahoma" w:hAnsi="Tahoma" w:eastAsia="Calibri" w:cs="Tahoma"/>
          <w:i/>
          <w:i/>
          <w:iCs/>
          <w:sz w:val="20"/>
          <w:szCs w:val="20"/>
          <w:u w:val="single"/>
        </w:rPr>
      </w:pPr>
      <w:r>
        <w:rPr>
          <w:rFonts w:eastAsia="Calibri" w:cs="Tahoma" w:ascii="Tahoma" w:hAnsi="Tahoma"/>
          <w:i/>
          <w:iCs/>
          <w:sz w:val="20"/>
          <w:szCs w:val="20"/>
        </w:rPr>
        <w:t xml:space="preserve">Introducción. </w:t>
      </w:r>
    </w:p>
    <w:p>
      <w:pPr>
        <w:pStyle w:val="Normal"/>
        <w:numPr>
          <w:ilvl w:val="0"/>
          <w:numId w:val="9"/>
        </w:numPr>
        <w:spacing w:lineRule="auto" w:line="240" w:before="0" w:after="0"/>
        <w:jc w:val="both"/>
        <w:rPr>
          <w:rFonts w:ascii="Tahoma" w:hAnsi="Tahoma" w:eastAsia="Calibri" w:cs="Tahoma"/>
          <w:i/>
          <w:i/>
          <w:iCs/>
          <w:sz w:val="20"/>
          <w:szCs w:val="20"/>
          <w:u w:val="single"/>
        </w:rPr>
      </w:pPr>
      <w:r>
        <w:rPr>
          <w:rFonts w:eastAsia="Calibri" w:cs="Tahoma" w:ascii="Tahoma" w:hAnsi="Tahoma"/>
          <w:i/>
          <w:iCs/>
          <w:sz w:val="20"/>
          <w:szCs w:val="20"/>
        </w:rPr>
        <w:t xml:space="preserve">Índice. </w:t>
      </w:r>
    </w:p>
    <w:p>
      <w:pPr>
        <w:pStyle w:val="Normal"/>
        <w:numPr>
          <w:ilvl w:val="0"/>
          <w:numId w:val="9"/>
        </w:numPr>
        <w:spacing w:lineRule="auto" w:line="240" w:before="0" w:after="0"/>
        <w:jc w:val="both"/>
        <w:rPr>
          <w:rFonts w:ascii="Tahoma" w:hAnsi="Tahoma" w:eastAsia="Calibri" w:cs="Tahoma"/>
          <w:i/>
          <w:i/>
          <w:iCs/>
          <w:sz w:val="20"/>
          <w:szCs w:val="20"/>
          <w:u w:val="single"/>
        </w:rPr>
      </w:pPr>
      <w:r>
        <w:rPr>
          <w:rFonts w:eastAsia="Calibri" w:cs="Tahoma" w:ascii="Tahoma" w:hAnsi="Tahoma"/>
          <w:i/>
          <w:iCs/>
          <w:sz w:val="20"/>
          <w:szCs w:val="20"/>
        </w:rPr>
        <w:t xml:space="preserve">Diagnóstico situacional. </w:t>
      </w:r>
    </w:p>
    <w:p>
      <w:pPr>
        <w:pStyle w:val="Normal"/>
        <w:ind w:left="1788" w:hanging="0"/>
        <w:jc w:val="both"/>
        <w:rPr>
          <w:rFonts w:ascii="Tahoma" w:hAnsi="Tahoma" w:eastAsia="Calibri" w:cs="Tahoma"/>
          <w:i/>
          <w:i/>
          <w:iCs/>
          <w:sz w:val="20"/>
          <w:szCs w:val="20"/>
          <w:u w:val="single"/>
        </w:rPr>
      </w:pPr>
      <w:r>
        <w:rPr>
          <w:rFonts w:eastAsia="Calibri" w:cs="Tahoma" w:ascii="Tahoma" w:hAnsi="Tahoma"/>
          <w:i/>
          <w:iCs/>
          <w:sz w:val="20"/>
          <w:szCs w:val="20"/>
        </w:rPr>
        <w:t xml:space="preserve">d.1. Definición y delimitación del tema o problema. </w:t>
      </w:r>
    </w:p>
    <w:p>
      <w:pPr>
        <w:pStyle w:val="Normal"/>
        <w:ind w:left="1788" w:hanging="0"/>
        <w:jc w:val="both"/>
        <w:rPr>
          <w:rFonts w:ascii="Tahoma" w:hAnsi="Tahoma" w:eastAsia="Calibri" w:cs="Tahoma"/>
          <w:i/>
          <w:i/>
          <w:iCs/>
          <w:sz w:val="20"/>
          <w:szCs w:val="20"/>
          <w:u w:val="single"/>
        </w:rPr>
      </w:pPr>
      <w:r>
        <w:rPr>
          <w:rFonts w:eastAsia="Calibri" w:cs="Tahoma" w:ascii="Tahoma" w:hAnsi="Tahoma"/>
          <w:i/>
          <w:iCs/>
          <w:sz w:val="20"/>
          <w:szCs w:val="20"/>
        </w:rPr>
        <w:t xml:space="preserve">d.2. Marco legal. </w:t>
      </w:r>
    </w:p>
    <w:p>
      <w:pPr>
        <w:pStyle w:val="Normal"/>
        <w:ind w:left="1788" w:hanging="0"/>
        <w:jc w:val="both"/>
        <w:rPr>
          <w:rFonts w:ascii="Tahoma" w:hAnsi="Tahoma" w:eastAsia="Calibri" w:cs="Tahoma"/>
          <w:i/>
          <w:i/>
          <w:iCs/>
          <w:sz w:val="20"/>
          <w:szCs w:val="20"/>
          <w:u w:val="single"/>
        </w:rPr>
      </w:pPr>
      <w:r>
        <w:rPr>
          <w:rFonts w:eastAsia="Calibri" w:cs="Tahoma" w:ascii="Tahoma" w:hAnsi="Tahoma"/>
          <w:i/>
          <w:iCs/>
          <w:sz w:val="20"/>
          <w:szCs w:val="20"/>
        </w:rPr>
        <w:t>d.3. Análisis del tema o problema.</w:t>
      </w:r>
    </w:p>
    <w:p>
      <w:pPr>
        <w:pStyle w:val="Normal"/>
        <w:numPr>
          <w:ilvl w:val="0"/>
          <w:numId w:val="9"/>
        </w:numPr>
        <w:spacing w:lineRule="auto" w:line="240" w:before="0" w:after="0"/>
        <w:jc w:val="both"/>
        <w:rPr>
          <w:rFonts w:ascii="Tahoma" w:hAnsi="Tahoma" w:eastAsia="Calibri" w:cs="Tahoma"/>
          <w:i/>
          <w:i/>
          <w:iCs/>
          <w:sz w:val="20"/>
          <w:szCs w:val="20"/>
          <w:u w:val="single"/>
        </w:rPr>
      </w:pPr>
      <w:r>
        <w:rPr>
          <w:rFonts w:eastAsia="Calibri" w:cs="Tahoma" w:ascii="Tahoma" w:hAnsi="Tahoma"/>
          <w:i/>
          <w:iCs/>
          <w:sz w:val="20"/>
          <w:szCs w:val="20"/>
        </w:rPr>
        <w:t>Metodología.</w:t>
      </w:r>
    </w:p>
    <w:p>
      <w:pPr>
        <w:pStyle w:val="Normal"/>
        <w:numPr>
          <w:ilvl w:val="0"/>
          <w:numId w:val="9"/>
        </w:numPr>
        <w:spacing w:lineRule="auto" w:line="240" w:before="0" w:after="0"/>
        <w:jc w:val="both"/>
        <w:rPr>
          <w:rFonts w:ascii="Tahoma" w:hAnsi="Tahoma" w:eastAsia="Calibri" w:cs="Tahoma"/>
          <w:i/>
          <w:i/>
          <w:iCs/>
          <w:sz w:val="20"/>
          <w:szCs w:val="20"/>
          <w:u w:val="single"/>
        </w:rPr>
      </w:pPr>
      <w:r>
        <w:rPr>
          <w:rFonts w:eastAsia="Calibri" w:cs="Tahoma" w:ascii="Tahoma" w:hAnsi="Tahoma"/>
          <w:i/>
          <w:iCs/>
          <w:sz w:val="20"/>
          <w:szCs w:val="20"/>
        </w:rPr>
        <w:t>Definición de las poblaciones y/o grupos beneficiarios a quienes se dirige e impacta la política institucional.</w:t>
      </w:r>
    </w:p>
    <w:p>
      <w:pPr>
        <w:pStyle w:val="Normal"/>
        <w:numPr>
          <w:ilvl w:val="0"/>
          <w:numId w:val="9"/>
        </w:numPr>
        <w:spacing w:lineRule="auto" w:line="240" w:before="0" w:after="0"/>
        <w:jc w:val="both"/>
        <w:rPr>
          <w:rFonts w:ascii="Tahoma" w:hAnsi="Tahoma" w:eastAsia="Calibri" w:cs="Tahoma"/>
          <w:i/>
          <w:i/>
          <w:iCs/>
          <w:sz w:val="20"/>
          <w:szCs w:val="20"/>
          <w:u w:val="single"/>
        </w:rPr>
      </w:pPr>
      <w:r>
        <w:rPr>
          <w:rFonts w:eastAsia="Calibri" w:cs="Tahoma" w:ascii="Tahoma" w:hAnsi="Tahoma"/>
          <w:i/>
          <w:iCs/>
          <w:sz w:val="20"/>
          <w:szCs w:val="20"/>
        </w:rPr>
        <w:t xml:space="preserve">Alineamiento de la política institucional con los ejes transversales del Plan Estratégico Institucional. </w:t>
      </w:r>
    </w:p>
    <w:p>
      <w:pPr>
        <w:pStyle w:val="Normal"/>
        <w:numPr>
          <w:ilvl w:val="0"/>
          <w:numId w:val="9"/>
        </w:numPr>
        <w:spacing w:lineRule="auto" w:line="240" w:before="0" w:after="0"/>
        <w:rPr>
          <w:rFonts w:ascii="Tahoma" w:hAnsi="Tahoma" w:eastAsia="Calibri" w:cs="Tahoma"/>
          <w:i/>
          <w:i/>
          <w:iCs/>
          <w:sz w:val="20"/>
          <w:szCs w:val="20"/>
        </w:rPr>
      </w:pPr>
      <w:r>
        <w:rPr>
          <w:rFonts w:eastAsia="Calibri" w:cs="Tahoma" w:ascii="Tahoma" w:hAnsi="Tahoma"/>
          <w:i/>
          <w:iCs/>
          <w:sz w:val="20"/>
          <w:szCs w:val="20"/>
        </w:rPr>
        <w:t xml:space="preserve">Temas Prioritarios, Objetivos, Líneas de Acción, Resultados Esperados e Indicadores de Resultados. </w:t>
      </w:r>
    </w:p>
    <w:p>
      <w:pPr>
        <w:pStyle w:val="Normal"/>
        <w:numPr>
          <w:ilvl w:val="0"/>
          <w:numId w:val="9"/>
        </w:numPr>
        <w:spacing w:lineRule="auto" w:line="240" w:before="0" w:after="0"/>
        <w:rPr>
          <w:rFonts w:ascii="Tahoma" w:hAnsi="Tahoma" w:eastAsia="Calibri" w:cs="Tahoma"/>
          <w:i/>
          <w:i/>
          <w:iCs/>
          <w:sz w:val="20"/>
          <w:szCs w:val="20"/>
        </w:rPr>
      </w:pPr>
      <w:r>
        <w:rPr>
          <w:rFonts w:eastAsia="Calibri" w:cs="Tahoma" w:ascii="Tahoma" w:hAnsi="Tahoma"/>
          <w:i/>
          <w:iCs/>
          <w:sz w:val="20"/>
          <w:szCs w:val="20"/>
        </w:rPr>
        <w:t xml:space="preserve">Plan de Acción. </w:t>
      </w:r>
    </w:p>
    <w:p>
      <w:pPr>
        <w:pStyle w:val="Normal"/>
        <w:numPr>
          <w:ilvl w:val="0"/>
          <w:numId w:val="9"/>
        </w:numPr>
        <w:spacing w:lineRule="auto" w:line="240" w:before="0" w:after="0"/>
        <w:rPr>
          <w:rFonts w:ascii="Tahoma" w:hAnsi="Tahoma" w:eastAsia="Calibri" w:cs="Tahoma"/>
          <w:i/>
          <w:i/>
          <w:iCs/>
          <w:sz w:val="20"/>
          <w:szCs w:val="20"/>
        </w:rPr>
      </w:pPr>
      <w:r>
        <w:rPr>
          <w:rFonts w:eastAsia="Calibri" w:cs="Tahoma" w:ascii="Tahoma" w:hAnsi="Tahoma"/>
          <w:i/>
          <w:iCs/>
          <w:sz w:val="20"/>
          <w:szCs w:val="20"/>
        </w:rPr>
        <w:t xml:space="preserve">Análisis de impacto presupuestario de implementación de la política institucional.  </w:t>
      </w:r>
    </w:p>
    <w:p>
      <w:pPr>
        <w:pStyle w:val="Normal"/>
        <w:numPr>
          <w:ilvl w:val="0"/>
          <w:numId w:val="9"/>
        </w:numPr>
        <w:spacing w:lineRule="auto" w:line="240" w:before="0" w:after="0"/>
        <w:rPr>
          <w:rFonts w:ascii="Tahoma" w:hAnsi="Tahoma" w:eastAsia="Calibri" w:cs="Tahoma"/>
          <w:i/>
          <w:i/>
          <w:iCs/>
          <w:sz w:val="20"/>
          <w:szCs w:val="20"/>
        </w:rPr>
      </w:pPr>
      <w:r>
        <w:rPr>
          <w:rFonts w:eastAsia="Calibri" w:cs="Tahoma" w:ascii="Tahoma" w:hAnsi="Tahoma"/>
          <w:i/>
          <w:iCs/>
          <w:sz w:val="20"/>
          <w:szCs w:val="20"/>
        </w:rPr>
        <w:t>Definición del modelo de gestión para la implementación, seguimiento, evaluación.</w:t>
      </w:r>
    </w:p>
    <w:p>
      <w:pPr>
        <w:pStyle w:val="Normal"/>
        <w:ind w:left="568" w:hanging="0"/>
        <w:jc w:val="both"/>
        <w:rPr>
          <w:rFonts w:ascii="Tahoma" w:hAnsi="Tahoma" w:eastAsia="Calibri" w:cs="Tahoma"/>
          <w:i/>
          <w:i/>
          <w:iCs/>
          <w:sz w:val="20"/>
          <w:szCs w:val="20"/>
        </w:rPr>
      </w:pPr>
      <w:r>
        <w:rPr>
          <w:rFonts w:eastAsia="Calibri" w:cs="Tahoma" w:ascii="Tahoma" w:hAnsi="Tahoma"/>
          <w:i/>
          <w:iCs/>
          <w:sz w:val="20"/>
          <w:szCs w:val="20"/>
        </w:rPr>
      </w:r>
    </w:p>
    <w:p>
      <w:pPr>
        <w:pStyle w:val="Normal"/>
        <w:jc w:val="both"/>
        <w:rPr>
          <w:rFonts w:ascii="Tahoma" w:hAnsi="Tahoma" w:eastAsia="Calibri" w:cs="Tahoma"/>
          <w:i/>
          <w:i/>
          <w:iCs/>
          <w:sz w:val="20"/>
          <w:szCs w:val="20"/>
        </w:rPr>
      </w:pPr>
      <w:r>
        <w:rPr>
          <w:rFonts w:eastAsia="Calibri" w:cs="Tahoma" w:ascii="Tahoma" w:hAnsi="Tahoma"/>
          <w:i/>
          <w:iCs/>
          <w:sz w:val="20"/>
          <w:szCs w:val="20"/>
        </w:rPr>
        <w:t xml:space="preserve">A continuación, se detallan cada uno de los componentes señalados anteriormente: </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jc w:val="center"/>
        <w:rPr>
          <w:rFonts w:ascii="Tahoma" w:hAnsi="Tahoma" w:eastAsia="Calibri" w:cs="Tahoma"/>
          <w:b/>
          <w:b/>
          <w:i/>
          <w:i/>
          <w:iCs/>
          <w:sz w:val="20"/>
          <w:szCs w:val="20"/>
          <w:u w:val="single"/>
        </w:rPr>
      </w:pPr>
      <w:r>
        <w:rPr>
          <w:rFonts w:eastAsia="Calibri" w:cs="Tahoma" w:ascii="Tahoma" w:hAnsi="Tahoma"/>
          <w:b/>
          <w:i/>
          <w:iCs/>
          <w:sz w:val="20"/>
          <w:szCs w:val="20"/>
          <w:u w:val="single"/>
        </w:rPr>
        <w:t>GUÍA PARA LA FORMULACIÓN DE LAS POLÍTICAS INSTITUCIONALES</w:t>
      </w:r>
    </w:p>
    <w:p>
      <w:pPr>
        <w:pStyle w:val="Normal"/>
        <w:jc w:val="center"/>
        <w:rPr>
          <w:rFonts w:ascii="Tahoma" w:hAnsi="Tahoma" w:eastAsia="Calibri" w:cs="Tahoma"/>
          <w:b/>
          <w:b/>
          <w:i/>
          <w:i/>
          <w:iCs/>
          <w:sz w:val="20"/>
          <w:szCs w:val="20"/>
        </w:rPr>
      </w:pPr>
      <w:r>
        <w:rPr>
          <w:rFonts w:eastAsia="Calibri" w:cs="Tahoma" w:ascii="Tahoma" w:hAnsi="Tahoma"/>
          <w:b/>
          <w:i/>
          <w:iCs/>
          <w:sz w:val="20"/>
          <w:szCs w:val="20"/>
        </w:rPr>
      </w:r>
    </w:p>
    <w:p>
      <w:pPr>
        <w:pStyle w:val="Normal"/>
        <w:numPr>
          <w:ilvl w:val="0"/>
          <w:numId w:val="10"/>
        </w:numPr>
        <w:spacing w:lineRule="auto" w:line="240" w:before="0" w:after="0"/>
        <w:contextualSpacing/>
        <w:jc w:val="both"/>
        <w:rPr>
          <w:rFonts w:ascii="Tahoma" w:hAnsi="Tahoma" w:cs="Tahoma"/>
          <w:b/>
          <w:b/>
          <w:i/>
          <w:i/>
          <w:iCs/>
          <w:sz w:val="20"/>
          <w:szCs w:val="20"/>
          <w:lang w:eastAsia="es-ES"/>
        </w:rPr>
      </w:pPr>
      <w:r>
        <w:rPr>
          <w:rFonts w:cs="Tahoma" w:ascii="Tahoma" w:hAnsi="Tahoma"/>
          <w:b/>
          <w:i/>
          <w:iCs/>
          <w:sz w:val="20"/>
          <w:szCs w:val="20"/>
          <w:lang w:eastAsia="es-ES"/>
        </w:rPr>
        <w:t>Diagnóstico situacional</w:t>
      </w:r>
    </w:p>
    <w:p>
      <w:pPr>
        <w:pStyle w:val="Normal"/>
        <w:ind w:left="360" w:hanging="0"/>
        <w:jc w:val="both"/>
        <w:rPr>
          <w:rFonts w:ascii="Tahoma" w:hAnsi="Tahoma" w:cs="Tahoma"/>
          <w:b/>
          <w:b/>
          <w:i/>
          <w:i/>
          <w:iCs/>
          <w:sz w:val="20"/>
          <w:szCs w:val="20"/>
          <w:lang w:eastAsia="es-ES"/>
        </w:rPr>
      </w:pPr>
      <w:r>
        <w:rPr>
          <w:rFonts w:cs="Tahoma" w:ascii="Tahoma" w:hAnsi="Tahoma"/>
          <w:b/>
          <w:i/>
          <w:iCs/>
          <w:sz w:val="20"/>
          <w:szCs w:val="20"/>
          <w:lang w:eastAsia="es-ES"/>
        </w:rPr>
      </w:r>
    </w:p>
    <w:p>
      <w:pPr>
        <w:pStyle w:val="Normal"/>
        <w:numPr>
          <w:ilvl w:val="1"/>
          <w:numId w:val="10"/>
        </w:numPr>
        <w:spacing w:lineRule="auto" w:line="240" w:before="0" w:after="0"/>
        <w:contextualSpacing/>
        <w:jc w:val="both"/>
        <w:rPr>
          <w:rFonts w:ascii="Tahoma" w:hAnsi="Tahoma" w:cs="Tahoma"/>
          <w:b/>
          <w:b/>
          <w:i/>
          <w:i/>
          <w:iCs/>
          <w:sz w:val="20"/>
          <w:szCs w:val="20"/>
          <w:lang w:eastAsia="es-ES"/>
        </w:rPr>
      </w:pPr>
      <w:r>
        <w:rPr>
          <w:rFonts w:cs="Tahoma" w:ascii="Tahoma" w:hAnsi="Tahoma"/>
          <w:b/>
          <w:i/>
          <w:iCs/>
          <w:sz w:val="20"/>
          <w:szCs w:val="20"/>
          <w:lang w:eastAsia="es-ES"/>
        </w:rPr>
        <w:t xml:space="preserve">Definición y delimitación del tema o problema </w:t>
      </w:r>
    </w:p>
    <w:p>
      <w:pPr>
        <w:pStyle w:val="Normal"/>
        <w:ind w:left="360" w:hanging="0"/>
        <w:jc w:val="both"/>
        <w:rPr>
          <w:rFonts w:ascii="Tahoma" w:hAnsi="Tahoma" w:cs="Tahoma"/>
          <w:i/>
          <w:i/>
          <w:iCs/>
          <w:sz w:val="20"/>
          <w:szCs w:val="20"/>
          <w:lang w:eastAsia="es-ES"/>
        </w:rPr>
      </w:pPr>
      <w:r>
        <w:rPr>
          <w:rFonts w:cs="Tahoma" w:ascii="Tahoma" w:hAnsi="Tahoma"/>
          <w:i/>
          <w:iCs/>
          <w:sz w:val="20"/>
          <w:szCs w:val="20"/>
          <w:lang w:eastAsia="es-ES"/>
        </w:rPr>
      </w:r>
    </w:p>
    <w:p>
      <w:pPr>
        <w:pStyle w:val="Normal"/>
        <w:spacing w:before="0" w:after="200"/>
        <w:ind w:left="708" w:hanging="0"/>
        <w:contextualSpacing/>
        <w:jc w:val="both"/>
        <w:rPr>
          <w:rFonts w:ascii="Tahoma" w:hAnsi="Tahoma" w:cs="Tahoma"/>
          <w:i/>
          <w:i/>
          <w:iCs/>
          <w:sz w:val="20"/>
          <w:szCs w:val="20"/>
          <w:lang w:eastAsia="es-ES"/>
        </w:rPr>
      </w:pPr>
      <w:r>
        <w:rPr>
          <w:rFonts w:cs="Tahoma" w:ascii="Tahoma" w:hAnsi="Tahoma"/>
          <w:i/>
          <w:iCs/>
          <w:sz w:val="20"/>
          <w:szCs w:val="20"/>
          <w:lang w:eastAsia="es-ES"/>
        </w:rPr>
        <w:t xml:space="preserve">Consiste en la descripción del tema o problema institucional a resolver. Entre las variables a considerar se encuentran: </w:t>
      </w:r>
    </w:p>
    <w:p>
      <w:pPr>
        <w:pStyle w:val="Normal"/>
        <w:spacing w:before="0" w:after="200"/>
        <w:ind w:left="360" w:hanging="0"/>
        <w:contextualSpacing/>
        <w:jc w:val="both"/>
        <w:rPr>
          <w:rFonts w:ascii="Tahoma" w:hAnsi="Tahoma" w:cs="Tahoma"/>
          <w:i/>
          <w:i/>
          <w:iCs/>
          <w:sz w:val="20"/>
          <w:szCs w:val="20"/>
          <w:lang w:eastAsia="es-ES"/>
        </w:rPr>
      </w:pPr>
      <w:r>
        <w:rPr>
          <w:rFonts w:cs="Tahoma" w:ascii="Tahoma" w:hAnsi="Tahoma"/>
          <w:i/>
          <w:iCs/>
          <w:sz w:val="20"/>
          <w:szCs w:val="20"/>
          <w:lang w:eastAsia="es-ES"/>
        </w:rPr>
      </w:r>
    </w:p>
    <w:p>
      <w:pPr>
        <w:pStyle w:val="Normal"/>
        <w:numPr>
          <w:ilvl w:val="2"/>
          <w:numId w:val="10"/>
        </w:numPr>
        <w:spacing w:lineRule="auto" w:line="240" w:before="0" w:after="0"/>
        <w:contextualSpacing/>
        <w:jc w:val="both"/>
        <w:rPr>
          <w:rFonts w:ascii="Tahoma" w:hAnsi="Tahoma" w:cs="Tahoma"/>
          <w:i/>
          <w:i/>
          <w:iCs/>
          <w:sz w:val="20"/>
          <w:szCs w:val="20"/>
          <w:lang w:eastAsia="es-ES"/>
        </w:rPr>
      </w:pPr>
      <w:r>
        <w:rPr>
          <w:rFonts w:eastAsia="Calibri" w:cs="Tahoma" w:ascii="Tahoma" w:hAnsi="Tahoma"/>
          <w:i/>
          <w:iCs/>
          <w:sz w:val="20"/>
          <w:szCs w:val="20"/>
        </w:rPr>
        <w:t>Identificar</w:t>
      </w:r>
      <w:r>
        <w:rPr>
          <w:rFonts w:cs="Tahoma" w:ascii="Tahoma" w:hAnsi="Tahoma"/>
          <w:i/>
          <w:iCs/>
          <w:sz w:val="20"/>
          <w:szCs w:val="20"/>
          <w:lang w:eastAsia="es-ES"/>
        </w:rPr>
        <w:t xml:space="preserve"> si el tema o problema es de interés institucional y social. </w:t>
      </w:r>
    </w:p>
    <w:p>
      <w:pPr>
        <w:pStyle w:val="Normal"/>
        <w:numPr>
          <w:ilvl w:val="2"/>
          <w:numId w:val="10"/>
        </w:numPr>
        <w:spacing w:lineRule="auto" w:line="240" w:before="0" w:after="0"/>
        <w:contextualSpacing/>
        <w:jc w:val="both"/>
        <w:rPr>
          <w:rFonts w:ascii="Tahoma" w:hAnsi="Tahoma" w:cs="Tahoma"/>
          <w:i/>
          <w:i/>
          <w:iCs/>
          <w:sz w:val="20"/>
          <w:szCs w:val="20"/>
          <w:lang w:eastAsia="es-ES"/>
        </w:rPr>
      </w:pPr>
      <w:r>
        <w:rPr>
          <w:rFonts w:eastAsia="Calibri" w:cs="Tahoma" w:ascii="Tahoma" w:hAnsi="Tahoma"/>
          <w:i/>
          <w:iCs/>
          <w:sz w:val="20"/>
          <w:szCs w:val="20"/>
        </w:rPr>
        <w:t>Señalar</w:t>
      </w:r>
      <w:r>
        <w:rPr>
          <w:rFonts w:cs="Tahoma" w:ascii="Tahoma" w:hAnsi="Tahoma"/>
          <w:i/>
          <w:iCs/>
          <w:sz w:val="20"/>
          <w:szCs w:val="20"/>
          <w:lang w:eastAsia="es-ES"/>
        </w:rPr>
        <w:t xml:space="preserve"> de manera general el marco normativo que lo justifica. </w:t>
      </w:r>
    </w:p>
    <w:p>
      <w:pPr>
        <w:pStyle w:val="Normal"/>
        <w:numPr>
          <w:ilvl w:val="2"/>
          <w:numId w:val="10"/>
        </w:numPr>
        <w:spacing w:lineRule="auto" w:line="240" w:before="0" w:after="0"/>
        <w:contextualSpacing/>
        <w:jc w:val="both"/>
        <w:rPr>
          <w:rFonts w:ascii="Tahoma" w:hAnsi="Tahoma" w:cs="Tahoma"/>
          <w:i/>
          <w:i/>
          <w:iCs/>
          <w:sz w:val="20"/>
          <w:szCs w:val="20"/>
          <w:lang w:eastAsia="es-ES"/>
        </w:rPr>
      </w:pPr>
      <w:r>
        <w:rPr>
          <w:rFonts w:eastAsia="Calibri" w:cs="Tahoma" w:ascii="Tahoma" w:hAnsi="Tahoma"/>
          <w:i/>
          <w:iCs/>
          <w:sz w:val="20"/>
          <w:szCs w:val="20"/>
        </w:rPr>
        <w:t>Debe</w:t>
      </w:r>
      <w:r>
        <w:rPr>
          <w:rFonts w:cs="Tahoma" w:ascii="Tahoma" w:hAnsi="Tahoma"/>
          <w:i/>
          <w:iCs/>
          <w:sz w:val="20"/>
          <w:szCs w:val="20"/>
          <w:lang w:eastAsia="es-ES"/>
        </w:rPr>
        <w:t xml:space="preserve"> definirse la instancia rectora responsable de su gestión a nivel institucional.</w:t>
      </w:r>
    </w:p>
    <w:p>
      <w:pPr>
        <w:pStyle w:val="Normal"/>
        <w:ind w:left="360" w:hanging="0"/>
        <w:jc w:val="both"/>
        <w:rPr>
          <w:rFonts w:ascii="Tahoma" w:hAnsi="Tahoma" w:cs="Tahoma"/>
          <w:b/>
          <w:b/>
          <w:i/>
          <w:i/>
          <w:iCs/>
          <w:sz w:val="20"/>
          <w:szCs w:val="20"/>
          <w:lang w:eastAsia="es-ES"/>
        </w:rPr>
      </w:pPr>
      <w:r>
        <w:rPr>
          <w:rFonts w:cs="Tahoma" w:ascii="Tahoma" w:hAnsi="Tahoma"/>
          <w:b/>
          <w:i/>
          <w:iCs/>
          <w:sz w:val="20"/>
          <w:szCs w:val="20"/>
          <w:lang w:eastAsia="es-ES"/>
        </w:rPr>
      </w:r>
    </w:p>
    <w:p>
      <w:pPr>
        <w:pStyle w:val="Normal"/>
        <w:numPr>
          <w:ilvl w:val="1"/>
          <w:numId w:val="10"/>
        </w:numPr>
        <w:spacing w:lineRule="auto" w:line="240" w:before="0" w:after="0"/>
        <w:contextualSpacing/>
        <w:jc w:val="both"/>
        <w:rPr>
          <w:rFonts w:ascii="Tahoma" w:hAnsi="Tahoma" w:cs="Tahoma"/>
          <w:i/>
          <w:i/>
          <w:iCs/>
          <w:sz w:val="20"/>
          <w:szCs w:val="20"/>
          <w:lang w:eastAsia="es-ES"/>
        </w:rPr>
      </w:pPr>
      <w:r>
        <w:rPr>
          <w:rFonts w:cs="Tahoma" w:ascii="Tahoma" w:hAnsi="Tahoma"/>
          <w:b/>
          <w:i/>
          <w:iCs/>
          <w:sz w:val="20"/>
          <w:szCs w:val="20"/>
          <w:lang w:eastAsia="es-ES"/>
        </w:rPr>
        <w:t>Marco legal</w:t>
      </w:r>
    </w:p>
    <w:p>
      <w:pPr>
        <w:pStyle w:val="Normal"/>
        <w:spacing w:before="0" w:after="200"/>
        <w:contextualSpacing/>
        <w:jc w:val="both"/>
        <w:rPr>
          <w:rFonts w:ascii="Tahoma" w:hAnsi="Tahoma" w:cs="Tahoma"/>
          <w:i/>
          <w:i/>
          <w:iCs/>
          <w:sz w:val="20"/>
          <w:szCs w:val="20"/>
          <w:lang w:eastAsia="es-ES"/>
        </w:rPr>
      </w:pPr>
      <w:r>
        <w:rPr>
          <w:rFonts w:cs="Tahoma" w:ascii="Tahoma" w:hAnsi="Tahoma"/>
          <w:i/>
          <w:iCs/>
          <w:sz w:val="20"/>
          <w:szCs w:val="20"/>
          <w:lang w:eastAsia="es-ES"/>
        </w:rPr>
      </w:r>
    </w:p>
    <w:p>
      <w:pPr>
        <w:pStyle w:val="Normal"/>
        <w:ind w:firstLine="360"/>
        <w:jc w:val="both"/>
        <w:rPr>
          <w:rFonts w:ascii="Tahoma" w:hAnsi="Tahoma" w:eastAsia="Calibri" w:cs="Tahoma"/>
          <w:i/>
          <w:i/>
          <w:iCs/>
          <w:sz w:val="20"/>
          <w:szCs w:val="20"/>
        </w:rPr>
      </w:pPr>
      <w:r>
        <w:rPr>
          <w:rFonts w:eastAsia="Calibri" w:cs="Tahoma" w:ascii="Tahoma" w:hAnsi="Tahoma"/>
          <w:i/>
          <w:iCs/>
          <w:sz w:val="20"/>
          <w:szCs w:val="20"/>
        </w:rPr>
        <w:t xml:space="preserve">Es la revisión del marco legal nacional e internacional, en la que se contempla la normativa detallada relacionada con el tema o problema a resolver. Se deben considerar los tratados, leyes, decretos, directrices técnicas, entre otros documentos relacionados. </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ind w:firstLine="360"/>
        <w:jc w:val="both"/>
        <w:rPr>
          <w:rFonts w:ascii="Tahoma" w:hAnsi="Tahoma" w:eastAsia="Calibri" w:cs="Tahoma"/>
          <w:i/>
          <w:i/>
          <w:iCs/>
          <w:sz w:val="20"/>
          <w:szCs w:val="20"/>
        </w:rPr>
      </w:pPr>
      <w:r>
        <w:rPr>
          <w:rFonts w:eastAsia="Calibri" w:cs="Tahoma" w:ascii="Tahoma" w:hAnsi="Tahoma"/>
          <w:i/>
          <w:iCs/>
          <w:sz w:val="20"/>
          <w:szCs w:val="20"/>
        </w:rPr>
        <w:t>Debe contemplar como mínimo el nombre del instrumento legal, la fecha de emisión y vigencia, además de los aspectos relevantes para la política (objetivos o compromisos para la institución).</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numPr>
          <w:ilvl w:val="1"/>
          <w:numId w:val="10"/>
        </w:numPr>
        <w:spacing w:lineRule="auto" w:line="240" w:before="0" w:after="0"/>
        <w:contextualSpacing/>
        <w:jc w:val="both"/>
        <w:rPr>
          <w:rFonts w:ascii="Tahoma" w:hAnsi="Tahoma" w:cs="Tahoma"/>
          <w:i/>
          <w:i/>
          <w:iCs/>
          <w:sz w:val="20"/>
          <w:szCs w:val="20"/>
          <w:lang w:eastAsia="es-ES"/>
        </w:rPr>
      </w:pPr>
      <w:r>
        <w:rPr>
          <w:rFonts w:cs="Tahoma" w:ascii="Tahoma" w:hAnsi="Tahoma"/>
          <w:b/>
          <w:i/>
          <w:iCs/>
          <w:sz w:val="20"/>
          <w:szCs w:val="20"/>
          <w:lang w:eastAsia="es-ES"/>
        </w:rPr>
        <w:t>Análisis del tema o problema</w:t>
      </w:r>
    </w:p>
    <w:p>
      <w:pPr>
        <w:pStyle w:val="Normal"/>
        <w:spacing w:before="0" w:after="200"/>
        <w:ind w:left="360" w:hanging="0"/>
        <w:contextualSpacing/>
        <w:jc w:val="both"/>
        <w:rPr>
          <w:rFonts w:ascii="Tahoma" w:hAnsi="Tahoma" w:cs="Tahoma"/>
          <w:i/>
          <w:i/>
          <w:iCs/>
          <w:sz w:val="20"/>
          <w:szCs w:val="20"/>
          <w:lang w:eastAsia="es-ES"/>
        </w:rPr>
      </w:pPr>
      <w:r>
        <w:rPr>
          <w:rFonts w:cs="Tahoma" w:ascii="Tahoma" w:hAnsi="Tahoma"/>
          <w:i/>
          <w:iCs/>
          <w:sz w:val="20"/>
          <w:szCs w:val="20"/>
          <w:lang w:eastAsia="es-ES"/>
        </w:rPr>
      </w:r>
    </w:p>
    <w:p>
      <w:pPr>
        <w:pStyle w:val="Normal"/>
        <w:ind w:firstLine="360"/>
        <w:jc w:val="both"/>
        <w:rPr>
          <w:rFonts w:ascii="Tahoma" w:hAnsi="Tahoma" w:eastAsia="Calibri" w:cs="Tahoma"/>
          <w:i/>
          <w:i/>
          <w:iCs/>
          <w:sz w:val="20"/>
          <w:szCs w:val="20"/>
        </w:rPr>
      </w:pPr>
      <w:r>
        <w:rPr>
          <w:rFonts w:eastAsia="Calibri" w:cs="Tahoma" w:ascii="Tahoma" w:hAnsi="Tahoma"/>
          <w:i/>
          <w:iCs/>
          <w:sz w:val="20"/>
          <w:szCs w:val="20"/>
        </w:rPr>
        <w:t>Debe contemplar el entorno social, económico, cultural, político, ambiental, tecnológico y algún otro, que incide sobre el tema o problema a resolver; así como distinguir las fortalezas y las debilidades institucionales, las oportunidades y las amenazas del entorno, que contribuyan a definir el alcance de la política y la identificación de oportunidades de mejora.</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ind w:firstLine="360"/>
        <w:jc w:val="both"/>
        <w:rPr>
          <w:rFonts w:ascii="Tahoma" w:hAnsi="Tahoma" w:eastAsia="Calibri" w:cs="Tahoma"/>
          <w:i/>
          <w:i/>
          <w:iCs/>
          <w:sz w:val="20"/>
          <w:szCs w:val="20"/>
        </w:rPr>
      </w:pPr>
      <w:r>
        <w:rPr>
          <w:rFonts w:eastAsia="Calibri" w:cs="Tahoma" w:ascii="Tahoma" w:hAnsi="Tahoma"/>
          <w:i/>
          <w:iCs/>
          <w:sz w:val="20"/>
          <w:szCs w:val="20"/>
        </w:rPr>
        <w:t>Con el análisis de la información recopilada sobre el tema, se crea un panorama del estado de situación del problema, sus causas y los factores del entorno que afectan la situación.</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ind w:firstLine="360"/>
        <w:jc w:val="both"/>
        <w:rPr>
          <w:rFonts w:ascii="Tahoma" w:hAnsi="Tahoma" w:eastAsia="Calibri" w:cs="Tahoma"/>
          <w:i/>
          <w:i/>
          <w:iCs/>
          <w:sz w:val="20"/>
          <w:szCs w:val="20"/>
        </w:rPr>
      </w:pPr>
      <w:r>
        <w:rPr>
          <w:rFonts w:eastAsia="Calibri" w:cs="Tahoma" w:ascii="Tahoma" w:hAnsi="Tahoma"/>
          <w:i/>
          <w:iCs/>
          <w:sz w:val="20"/>
          <w:szCs w:val="20"/>
        </w:rPr>
        <w:t>Para el análisis del problema es de relevancia la participación de los diferentes actores relacionados de manera directa e indirecta con el tema o problema. Así, la recolección y sistematización de la información obtenida mediante experiencias, entrevistas, talleres, foros, mesas de diálogo, narraciones o cualquier otro medio que aborde el tema; constituyen mecanismos de cocreación, donde se garantiza la participación ciudadana, interinstitucional e institucional desde el inicio de la construcción de la política.</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ind w:firstLine="360"/>
        <w:jc w:val="both"/>
        <w:rPr>
          <w:rFonts w:ascii="Tahoma" w:hAnsi="Tahoma" w:eastAsia="Calibri" w:cs="Tahoma"/>
          <w:i/>
          <w:i/>
          <w:iCs/>
          <w:sz w:val="20"/>
          <w:szCs w:val="20"/>
        </w:rPr>
      </w:pPr>
      <w:r>
        <w:rPr>
          <w:rFonts w:eastAsia="Calibri" w:cs="Tahoma" w:ascii="Tahoma" w:hAnsi="Tahoma"/>
          <w:i/>
          <w:iCs/>
          <w:sz w:val="20"/>
          <w:szCs w:val="20"/>
        </w:rPr>
        <w:t xml:space="preserve">Además, se considera de relevancia la inclusión de información estadística e indicadores disponibles, que describan de manera cuantitativa el estado situacional del tema o problema a resolver.     </w:t>
      </w:r>
    </w:p>
    <w:p>
      <w:pPr>
        <w:pStyle w:val="Normal"/>
        <w:jc w:val="both"/>
        <w:rPr>
          <w:rFonts w:ascii="Tahoma" w:hAnsi="Tahoma" w:eastAsia="Calibri" w:cs="Tahoma"/>
          <w:b/>
          <w:b/>
          <w:i/>
          <w:i/>
          <w:iCs/>
          <w:sz w:val="20"/>
          <w:szCs w:val="20"/>
        </w:rPr>
      </w:pPr>
      <w:r>
        <w:rPr>
          <w:rFonts w:eastAsia="Calibri" w:cs="Tahoma" w:ascii="Tahoma" w:hAnsi="Tahoma"/>
          <w:b/>
          <w:i/>
          <w:iCs/>
          <w:sz w:val="20"/>
          <w:szCs w:val="20"/>
        </w:rPr>
      </w:r>
    </w:p>
    <w:p>
      <w:pPr>
        <w:pStyle w:val="Normal"/>
        <w:numPr>
          <w:ilvl w:val="0"/>
          <w:numId w:val="10"/>
        </w:numPr>
        <w:spacing w:lineRule="auto" w:line="240" w:before="0" w:after="0"/>
        <w:contextualSpacing/>
        <w:jc w:val="both"/>
        <w:rPr>
          <w:rFonts w:ascii="Tahoma" w:hAnsi="Tahoma" w:cs="Tahoma"/>
          <w:b/>
          <w:b/>
          <w:i/>
          <w:i/>
          <w:iCs/>
          <w:sz w:val="20"/>
          <w:szCs w:val="20"/>
          <w:lang w:eastAsia="es-ES"/>
        </w:rPr>
      </w:pPr>
      <w:r>
        <w:rPr>
          <w:rFonts w:cs="Tahoma" w:ascii="Tahoma" w:hAnsi="Tahoma"/>
          <w:b/>
          <w:i/>
          <w:iCs/>
          <w:sz w:val="20"/>
          <w:szCs w:val="20"/>
          <w:lang w:eastAsia="es-ES"/>
        </w:rPr>
        <w:t xml:space="preserve">Metodología </w:t>
      </w:r>
    </w:p>
    <w:p>
      <w:pPr>
        <w:pStyle w:val="Normal"/>
        <w:spacing w:before="0" w:after="200"/>
        <w:ind w:left="360" w:hanging="0"/>
        <w:contextualSpacing/>
        <w:jc w:val="both"/>
        <w:rPr>
          <w:rFonts w:ascii="Tahoma" w:hAnsi="Tahoma" w:cs="Tahoma"/>
          <w:b/>
          <w:b/>
          <w:i/>
          <w:i/>
          <w:iCs/>
          <w:sz w:val="20"/>
          <w:szCs w:val="20"/>
          <w:lang w:eastAsia="es-ES"/>
        </w:rPr>
      </w:pPr>
      <w:r>
        <w:rPr>
          <w:rFonts w:cs="Tahoma" w:ascii="Tahoma" w:hAnsi="Tahoma"/>
          <w:b/>
          <w:i/>
          <w:iCs/>
          <w:sz w:val="20"/>
          <w:szCs w:val="20"/>
          <w:lang w:eastAsia="es-ES"/>
        </w:rPr>
      </w:r>
    </w:p>
    <w:p>
      <w:pPr>
        <w:pStyle w:val="Normal"/>
        <w:ind w:firstLine="360"/>
        <w:jc w:val="both"/>
        <w:rPr>
          <w:rFonts w:ascii="Tahoma" w:hAnsi="Tahoma" w:eastAsia="Calibri" w:cs="Tahoma"/>
          <w:i/>
          <w:i/>
          <w:iCs/>
          <w:sz w:val="20"/>
          <w:szCs w:val="20"/>
        </w:rPr>
      </w:pPr>
      <w:r>
        <w:rPr>
          <w:rFonts w:eastAsia="Calibri" w:cs="Tahoma" w:ascii="Tahoma" w:hAnsi="Tahoma"/>
          <w:i/>
          <w:iCs/>
          <w:sz w:val="20"/>
          <w:szCs w:val="20"/>
        </w:rPr>
        <w:t>A partir de los elementos de la política institucional, se deben definir las metodologías para la elaboración de cada uno de estos los elementos y componentes que se encuentran en la política institucional, lo cual implica la definición de los pasos a seguir en cada uno de ellos.</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ind w:firstLine="360"/>
        <w:jc w:val="both"/>
        <w:rPr>
          <w:rFonts w:ascii="Tahoma" w:hAnsi="Tahoma" w:eastAsia="Calibri" w:cs="Tahoma"/>
          <w:i/>
          <w:i/>
          <w:iCs/>
          <w:sz w:val="20"/>
          <w:szCs w:val="20"/>
        </w:rPr>
      </w:pPr>
      <w:r>
        <w:rPr>
          <w:rFonts w:eastAsia="Calibri" w:cs="Tahoma" w:ascii="Tahoma" w:hAnsi="Tahoma"/>
          <w:i/>
          <w:iCs/>
          <w:sz w:val="20"/>
          <w:szCs w:val="20"/>
        </w:rPr>
        <w:t>Por tanto, es importante que exista la participación institucional, interinstitucional y ciudadana en la construcción de la política. En este apartado se puede adicionar los cronogramas, el detalle de las personas o instancias responsables, instituciones e instancias participantes, así como los recursos ordinarios (humanos, sistemas de información, equipos, viáticos, etc.) que se requieren para desarrollar la metodología planteada.</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numPr>
          <w:ilvl w:val="0"/>
          <w:numId w:val="10"/>
        </w:numPr>
        <w:spacing w:lineRule="auto" w:line="240" w:before="0" w:after="0"/>
        <w:contextualSpacing/>
        <w:jc w:val="both"/>
        <w:rPr>
          <w:rFonts w:ascii="Tahoma" w:hAnsi="Tahoma" w:cs="Tahoma"/>
          <w:b/>
          <w:b/>
          <w:i/>
          <w:i/>
          <w:iCs/>
          <w:sz w:val="20"/>
          <w:szCs w:val="20"/>
          <w:lang w:eastAsia="es-ES"/>
        </w:rPr>
      </w:pPr>
      <w:r>
        <w:rPr>
          <w:rFonts w:cs="Tahoma" w:ascii="Tahoma" w:hAnsi="Tahoma"/>
          <w:b/>
          <w:i/>
          <w:iCs/>
          <w:sz w:val="20"/>
          <w:szCs w:val="20"/>
          <w:lang w:eastAsia="es-ES"/>
        </w:rPr>
        <w:t>Definición de las poblaciones o grupos beneficiarios a quienes se dirige e impacta la política institucional</w:t>
      </w:r>
    </w:p>
    <w:p>
      <w:pPr>
        <w:pStyle w:val="Normal"/>
        <w:spacing w:before="0" w:after="200"/>
        <w:ind w:left="360" w:hanging="0"/>
        <w:contextualSpacing/>
        <w:jc w:val="both"/>
        <w:rPr>
          <w:rFonts w:ascii="Tahoma" w:hAnsi="Tahoma" w:cs="Tahoma"/>
          <w:b/>
          <w:b/>
          <w:i/>
          <w:i/>
          <w:iCs/>
          <w:sz w:val="20"/>
          <w:szCs w:val="20"/>
          <w:lang w:eastAsia="es-ES"/>
        </w:rPr>
      </w:pPr>
      <w:r>
        <w:rPr>
          <w:rFonts w:cs="Tahoma" w:ascii="Tahoma" w:hAnsi="Tahoma"/>
          <w:b/>
          <w:i/>
          <w:iCs/>
          <w:sz w:val="20"/>
          <w:szCs w:val="20"/>
          <w:lang w:eastAsia="es-ES"/>
        </w:rPr>
      </w:r>
    </w:p>
    <w:p>
      <w:pPr>
        <w:pStyle w:val="Normal"/>
        <w:jc w:val="both"/>
        <w:rPr>
          <w:rFonts w:ascii="Tahoma" w:hAnsi="Tahoma" w:eastAsia="Calibri" w:cs="Tahoma"/>
          <w:i/>
          <w:i/>
          <w:iCs/>
          <w:sz w:val="20"/>
          <w:szCs w:val="20"/>
        </w:rPr>
      </w:pPr>
      <w:r>
        <w:rPr>
          <w:rFonts w:eastAsia="Calibri" w:cs="Tahoma" w:ascii="Tahoma" w:hAnsi="Tahoma"/>
          <w:i/>
          <w:iCs/>
          <w:sz w:val="20"/>
          <w:szCs w:val="20"/>
        </w:rPr>
        <w:t>En esta etapa deberá indicarse:</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numPr>
          <w:ilvl w:val="0"/>
          <w:numId w:val="11"/>
        </w:numPr>
        <w:spacing w:lineRule="auto" w:line="240" w:before="0" w:after="0"/>
        <w:contextualSpacing/>
        <w:jc w:val="both"/>
        <w:rPr>
          <w:rFonts w:ascii="Tahoma" w:hAnsi="Tahoma" w:cs="Tahoma"/>
          <w:i/>
          <w:i/>
          <w:iCs/>
          <w:sz w:val="20"/>
          <w:szCs w:val="20"/>
          <w:lang w:eastAsia="es-ES"/>
        </w:rPr>
      </w:pPr>
      <w:r>
        <w:rPr>
          <w:rFonts w:cs="Tahoma" w:ascii="Tahoma" w:hAnsi="Tahoma"/>
          <w:i/>
          <w:iCs/>
          <w:sz w:val="20"/>
          <w:szCs w:val="20"/>
          <w:lang w:eastAsia="es-ES"/>
        </w:rPr>
        <w:t xml:space="preserve">El grupo poblacional al que va dirigido el tema o problema planteado en la Política y el cual se verá beneficiado o presentará una mejoría de la situación actual. – Enfoque externo.  </w:t>
      </w:r>
    </w:p>
    <w:p>
      <w:pPr>
        <w:pStyle w:val="Normal"/>
        <w:numPr>
          <w:ilvl w:val="0"/>
          <w:numId w:val="11"/>
        </w:numPr>
        <w:spacing w:lineRule="auto" w:line="240" w:before="0" w:after="0"/>
        <w:contextualSpacing/>
        <w:jc w:val="both"/>
        <w:rPr>
          <w:rFonts w:ascii="Tahoma" w:hAnsi="Tahoma" w:cs="Tahoma"/>
          <w:i/>
          <w:i/>
          <w:iCs/>
          <w:sz w:val="20"/>
          <w:szCs w:val="20"/>
          <w:lang w:eastAsia="es-ES"/>
        </w:rPr>
      </w:pPr>
      <w:r>
        <w:rPr>
          <w:rFonts w:cs="Tahoma" w:ascii="Tahoma" w:hAnsi="Tahoma"/>
          <w:i/>
          <w:iCs/>
          <w:sz w:val="20"/>
          <w:szCs w:val="20"/>
          <w:lang w:eastAsia="es-ES"/>
        </w:rPr>
        <w:t xml:space="preserve">Las personas e instancias que participan e intervienen en cada una de las etapas del proceso de gestión de la Política Institucional. – Enfoque interno e interinstitucional. </w:t>
      </w:r>
    </w:p>
    <w:p>
      <w:pPr>
        <w:pStyle w:val="Normal"/>
        <w:jc w:val="both"/>
        <w:rPr>
          <w:rFonts w:ascii="Tahoma" w:hAnsi="Tahoma" w:eastAsia="Calibri" w:cs="Tahoma"/>
          <w:i/>
          <w:i/>
          <w:iCs/>
          <w:sz w:val="20"/>
          <w:szCs w:val="20"/>
        </w:rPr>
      </w:pPr>
      <w:r>
        <w:rPr>
          <w:rFonts w:eastAsia="Calibri" w:cs="Tahoma" w:ascii="Tahoma" w:hAnsi="Tahoma"/>
          <w:i/>
          <w:iCs/>
          <w:sz w:val="20"/>
          <w:szCs w:val="20"/>
        </w:rPr>
        <w:t xml:space="preserve">A continuación, se adjunta un cuadro de referencia para la definición de las poblaciones y grupos beneficiarios: </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jc w:val="center"/>
        <w:rPr>
          <w:rFonts w:ascii="Tahoma" w:hAnsi="Tahoma" w:eastAsia="Calibri" w:cs="Tahoma"/>
          <w:b/>
          <w:b/>
          <w:i/>
          <w:i/>
          <w:iCs/>
          <w:sz w:val="20"/>
          <w:szCs w:val="20"/>
        </w:rPr>
      </w:pPr>
      <w:r>
        <w:rPr>
          <w:rFonts w:eastAsia="Calibri" w:cs="Tahoma" w:ascii="Tahoma" w:hAnsi="Tahoma"/>
          <w:b/>
          <w:i/>
          <w:iCs/>
          <w:sz w:val="20"/>
          <w:szCs w:val="20"/>
        </w:rPr>
        <w:t>Cuadro 2</w:t>
      </w:r>
    </w:p>
    <w:p>
      <w:pPr>
        <w:pStyle w:val="Normal"/>
        <w:jc w:val="center"/>
        <w:rPr>
          <w:rFonts w:ascii="Tahoma" w:hAnsi="Tahoma" w:eastAsia="Calibri" w:cs="Tahoma"/>
          <w:b/>
          <w:b/>
          <w:i/>
          <w:i/>
          <w:iCs/>
          <w:sz w:val="20"/>
          <w:szCs w:val="20"/>
        </w:rPr>
      </w:pPr>
      <w:r>
        <w:rPr>
          <w:rFonts w:eastAsia="Calibri" w:cs="Tahoma" w:ascii="Tahoma" w:hAnsi="Tahoma"/>
          <w:b/>
          <w:i/>
          <w:iCs/>
          <w:sz w:val="20"/>
          <w:szCs w:val="20"/>
        </w:rPr>
        <w:t>Cuadro de referencia para la definición de poblaciones o grupo beneficiario</w:t>
      </w:r>
    </w:p>
    <w:p>
      <w:pPr>
        <w:pStyle w:val="Normal"/>
        <w:jc w:val="center"/>
        <w:rPr>
          <w:rFonts w:ascii="Tahoma" w:hAnsi="Tahoma" w:eastAsia="Calibri" w:cs="Tahoma"/>
          <w:b/>
          <w:b/>
          <w:i/>
          <w:i/>
          <w:iCs/>
          <w:sz w:val="20"/>
          <w:szCs w:val="20"/>
        </w:rPr>
      </w:pPr>
      <w:r>
        <w:rPr>
          <w:rFonts w:eastAsia="Calibri" w:cs="Tahoma" w:ascii="Tahoma" w:hAnsi="Tahoma"/>
          <w:b/>
          <w:i/>
          <w:iCs/>
          <w:sz w:val="20"/>
          <w:szCs w:val="20"/>
        </w:rPr>
      </w:r>
    </w:p>
    <w:tbl>
      <w:tblPr>
        <w:tblW w:w="8494"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123"/>
        <w:gridCol w:w="2123"/>
        <w:gridCol w:w="2124"/>
        <w:gridCol w:w="2123"/>
      </w:tblGrid>
      <w:tr>
        <w:trPr/>
        <w:tc>
          <w:tcPr>
            <w:tcW w:w="2123" w:type="dxa"/>
            <w:tcBorders>
              <w:top w:val="single" w:sz="4" w:space="0" w:color="000000"/>
              <w:left w:val="single" w:sz="4" w:space="0" w:color="000000"/>
              <w:bottom w:val="single" w:sz="4" w:space="0" w:color="000000"/>
              <w:right w:val="single" w:sz="4" w:space="0" w:color="000000"/>
            </w:tcBorders>
            <w:shd w:color="auto" w:fill="2E74B5" w:val="clear"/>
            <w:vAlign w:val="center"/>
          </w:tcPr>
          <w:p>
            <w:pPr>
              <w:pStyle w:val="Normal"/>
              <w:widowControl w:val="false"/>
              <w:spacing w:before="0" w:after="200"/>
              <w:jc w:val="center"/>
              <w:rPr>
                <w:rFonts w:ascii="Tahoma" w:hAnsi="Tahoma" w:eastAsia="Calibri" w:cs="Tahoma"/>
                <w:b/>
                <w:b/>
                <w:i/>
                <w:i/>
                <w:iCs/>
                <w:sz w:val="20"/>
                <w:szCs w:val="20"/>
              </w:rPr>
            </w:pPr>
            <w:r>
              <w:rPr>
                <w:rFonts w:eastAsia="Calibri" w:cs="Tahoma" w:ascii="Tahoma" w:hAnsi="Tahoma"/>
                <w:b/>
                <w:i/>
                <w:iCs/>
                <w:sz w:val="20"/>
                <w:szCs w:val="20"/>
              </w:rPr>
              <w:t>Población o grupo beneficiario</w:t>
            </w:r>
          </w:p>
        </w:tc>
        <w:tc>
          <w:tcPr>
            <w:tcW w:w="2123" w:type="dxa"/>
            <w:tcBorders>
              <w:top w:val="single" w:sz="4" w:space="0" w:color="000000"/>
              <w:left w:val="single" w:sz="4" w:space="0" w:color="000000"/>
              <w:bottom w:val="single" w:sz="4" w:space="0" w:color="000000"/>
              <w:right w:val="single" w:sz="4" w:space="0" w:color="000000"/>
            </w:tcBorders>
            <w:shd w:color="auto" w:fill="2E74B5" w:val="clear"/>
            <w:vAlign w:val="center"/>
          </w:tcPr>
          <w:p>
            <w:pPr>
              <w:pStyle w:val="Normal"/>
              <w:widowControl w:val="false"/>
              <w:spacing w:before="0" w:after="200"/>
              <w:jc w:val="center"/>
              <w:rPr>
                <w:rFonts w:ascii="Tahoma" w:hAnsi="Tahoma" w:eastAsia="Calibri" w:cs="Tahoma"/>
                <w:b/>
                <w:b/>
                <w:i/>
                <w:i/>
                <w:iCs/>
                <w:sz w:val="20"/>
                <w:szCs w:val="20"/>
              </w:rPr>
            </w:pPr>
            <w:r>
              <w:rPr>
                <w:rFonts w:eastAsia="Calibri" w:cs="Tahoma" w:ascii="Tahoma" w:hAnsi="Tahoma"/>
                <w:b/>
                <w:i/>
                <w:iCs/>
                <w:sz w:val="20"/>
                <w:szCs w:val="20"/>
              </w:rPr>
              <w:t>Situación Actual</w:t>
            </w:r>
          </w:p>
        </w:tc>
        <w:tc>
          <w:tcPr>
            <w:tcW w:w="2124" w:type="dxa"/>
            <w:tcBorders>
              <w:top w:val="single" w:sz="4" w:space="0" w:color="000000"/>
              <w:left w:val="single" w:sz="4" w:space="0" w:color="000000"/>
              <w:bottom w:val="single" w:sz="4" w:space="0" w:color="000000"/>
              <w:right w:val="single" w:sz="4" w:space="0" w:color="000000"/>
            </w:tcBorders>
            <w:shd w:color="auto" w:fill="2E74B5" w:val="clear"/>
            <w:vAlign w:val="center"/>
          </w:tcPr>
          <w:p>
            <w:pPr>
              <w:pStyle w:val="Normal"/>
              <w:widowControl w:val="false"/>
              <w:spacing w:before="0" w:after="200"/>
              <w:jc w:val="center"/>
              <w:rPr>
                <w:rFonts w:ascii="Tahoma" w:hAnsi="Tahoma" w:eastAsia="Calibri" w:cs="Tahoma"/>
                <w:b/>
                <w:b/>
                <w:i/>
                <w:i/>
                <w:iCs/>
                <w:sz w:val="20"/>
                <w:szCs w:val="20"/>
              </w:rPr>
            </w:pPr>
            <w:r>
              <w:rPr>
                <w:rFonts w:eastAsia="Calibri" w:cs="Tahoma" w:ascii="Tahoma" w:hAnsi="Tahoma"/>
                <w:b/>
                <w:i/>
                <w:iCs/>
                <w:sz w:val="20"/>
                <w:szCs w:val="20"/>
              </w:rPr>
              <w:t>Beneficios o resultados esperados</w:t>
            </w:r>
          </w:p>
        </w:tc>
        <w:tc>
          <w:tcPr>
            <w:tcW w:w="2123" w:type="dxa"/>
            <w:tcBorders>
              <w:top w:val="single" w:sz="4" w:space="0" w:color="000000"/>
              <w:left w:val="single" w:sz="4" w:space="0" w:color="000000"/>
              <w:bottom w:val="single" w:sz="4" w:space="0" w:color="000000"/>
              <w:right w:val="single" w:sz="4" w:space="0" w:color="000000"/>
            </w:tcBorders>
            <w:shd w:color="auto" w:fill="2E74B5" w:val="clear"/>
            <w:vAlign w:val="center"/>
          </w:tcPr>
          <w:p>
            <w:pPr>
              <w:pStyle w:val="Normal"/>
              <w:widowControl w:val="false"/>
              <w:spacing w:before="0" w:after="200"/>
              <w:jc w:val="center"/>
              <w:rPr>
                <w:rFonts w:ascii="Tahoma" w:hAnsi="Tahoma" w:eastAsia="Calibri" w:cs="Tahoma"/>
                <w:b/>
                <w:b/>
                <w:i/>
                <w:i/>
                <w:iCs/>
                <w:sz w:val="20"/>
                <w:szCs w:val="20"/>
              </w:rPr>
            </w:pPr>
            <w:r>
              <w:rPr>
                <w:rFonts w:eastAsia="Calibri" w:cs="Tahoma" w:ascii="Tahoma" w:hAnsi="Tahoma"/>
                <w:b/>
                <w:i/>
                <w:iCs/>
                <w:sz w:val="20"/>
                <w:szCs w:val="20"/>
              </w:rPr>
              <w:t>Indicador</w:t>
            </w:r>
          </w:p>
        </w:tc>
      </w:tr>
      <w:tr>
        <w:trPr/>
        <w:tc>
          <w:tcPr>
            <w:tcW w:w="21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eastAsia="Calibri" w:cs="Tahoma"/>
                <w:i/>
                <w:i/>
                <w:iCs/>
                <w:sz w:val="20"/>
                <w:szCs w:val="20"/>
              </w:rPr>
            </w:pPr>
            <w:r>
              <w:rPr>
                <w:rFonts w:eastAsia="Calibri" w:cs="Tahoma" w:ascii="Tahoma" w:hAnsi="Tahoma"/>
                <w:i/>
                <w:iCs/>
                <w:sz w:val="20"/>
                <w:szCs w:val="20"/>
              </w:rPr>
            </w:r>
          </w:p>
        </w:tc>
        <w:tc>
          <w:tcPr>
            <w:tcW w:w="21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eastAsia="Calibri" w:cs="Tahoma"/>
                <w:i/>
                <w:i/>
                <w:iCs/>
                <w:sz w:val="20"/>
                <w:szCs w:val="20"/>
              </w:rPr>
            </w:pPr>
            <w:r>
              <w:rPr>
                <w:rFonts w:eastAsia="Calibri" w:cs="Tahoma" w:ascii="Tahoma" w:hAnsi="Tahoma"/>
                <w:i/>
                <w:iCs/>
                <w:sz w:val="20"/>
                <w:szCs w:val="20"/>
              </w:rPr>
            </w:r>
          </w:p>
        </w:tc>
        <w:tc>
          <w:tcPr>
            <w:tcW w:w="212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eastAsia="Calibri" w:cs="Tahoma"/>
                <w:i/>
                <w:i/>
                <w:iCs/>
                <w:sz w:val="20"/>
                <w:szCs w:val="20"/>
              </w:rPr>
            </w:pPr>
            <w:r>
              <w:rPr>
                <w:rFonts w:eastAsia="Calibri" w:cs="Tahoma" w:ascii="Tahoma" w:hAnsi="Tahoma"/>
                <w:i/>
                <w:iCs/>
                <w:sz w:val="20"/>
                <w:szCs w:val="20"/>
              </w:rPr>
            </w:r>
          </w:p>
        </w:tc>
        <w:tc>
          <w:tcPr>
            <w:tcW w:w="21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eastAsia="Calibri" w:cs="Tahoma"/>
                <w:i/>
                <w:i/>
                <w:iCs/>
                <w:sz w:val="20"/>
                <w:szCs w:val="20"/>
              </w:rPr>
            </w:pPr>
            <w:r>
              <w:rPr>
                <w:rFonts w:eastAsia="Calibri" w:cs="Tahoma" w:ascii="Tahoma" w:hAnsi="Tahoma"/>
                <w:i/>
                <w:iCs/>
                <w:sz w:val="20"/>
                <w:szCs w:val="20"/>
              </w:rPr>
            </w:r>
          </w:p>
        </w:tc>
      </w:tr>
      <w:tr>
        <w:trPr/>
        <w:tc>
          <w:tcPr>
            <w:tcW w:w="21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eastAsia="Calibri" w:cs="Tahoma"/>
                <w:i/>
                <w:i/>
                <w:iCs/>
                <w:sz w:val="20"/>
                <w:szCs w:val="20"/>
              </w:rPr>
            </w:pPr>
            <w:r>
              <w:rPr>
                <w:rFonts w:eastAsia="Calibri" w:cs="Tahoma" w:ascii="Tahoma" w:hAnsi="Tahoma"/>
                <w:i/>
                <w:iCs/>
                <w:sz w:val="20"/>
                <w:szCs w:val="20"/>
              </w:rPr>
            </w:r>
          </w:p>
        </w:tc>
        <w:tc>
          <w:tcPr>
            <w:tcW w:w="21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eastAsia="Calibri" w:cs="Tahoma"/>
                <w:i/>
                <w:i/>
                <w:iCs/>
                <w:sz w:val="20"/>
                <w:szCs w:val="20"/>
              </w:rPr>
            </w:pPr>
            <w:r>
              <w:rPr>
                <w:rFonts w:eastAsia="Calibri" w:cs="Tahoma" w:ascii="Tahoma" w:hAnsi="Tahoma"/>
                <w:i/>
                <w:iCs/>
                <w:sz w:val="20"/>
                <w:szCs w:val="20"/>
              </w:rPr>
            </w:r>
          </w:p>
        </w:tc>
        <w:tc>
          <w:tcPr>
            <w:tcW w:w="212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eastAsia="Calibri" w:cs="Tahoma"/>
                <w:i/>
                <w:i/>
                <w:iCs/>
                <w:sz w:val="20"/>
                <w:szCs w:val="20"/>
              </w:rPr>
            </w:pPr>
            <w:r>
              <w:rPr>
                <w:rFonts w:eastAsia="Calibri" w:cs="Tahoma" w:ascii="Tahoma" w:hAnsi="Tahoma"/>
                <w:i/>
                <w:iCs/>
                <w:sz w:val="20"/>
                <w:szCs w:val="20"/>
              </w:rPr>
            </w:r>
          </w:p>
        </w:tc>
        <w:tc>
          <w:tcPr>
            <w:tcW w:w="21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eastAsia="Calibri" w:cs="Tahoma"/>
                <w:i/>
                <w:i/>
                <w:iCs/>
                <w:sz w:val="20"/>
                <w:szCs w:val="20"/>
              </w:rPr>
            </w:pPr>
            <w:r>
              <w:rPr>
                <w:rFonts w:eastAsia="Calibri" w:cs="Tahoma" w:ascii="Tahoma" w:hAnsi="Tahoma"/>
                <w:i/>
                <w:iCs/>
                <w:sz w:val="20"/>
                <w:szCs w:val="20"/>
              </w:rPr>
            </w:r>
          </w:p>
        </w:tc>
      </w:tr>
      <w:tr>
        <w:trPr/>
        <w:tc>
          <w:tcPr>
            <w:tcW w:w="21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eastAsia="Calibri" w:cs="Tahoma"/>
                <w:i/>
                <w:i/>
                <w:iCs/>
                <w:sz w:val="20"/>
                <w:szCs w:val="20"/>
              </w:rPr>
            </w:pPr>
            <w:r>
              <w:rPr>
                <w:rFonts w:eastAsia="Calibri" w:cs="Tahoma" w:ascii="Tahoma" w:hAnsi="Tahoma"/>
                <w:i/>
                <w:iCs/>
                <w:sz w:val="20"/>
                <w:szCs w:val="20"/>
              </w:rPr>
            </w:r>
          </w:p>
        </w:tc>
        <w:tc>
          <w:tcPr>
            <w:tcW w:w="21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eastAsia="Calibri" w:cs="Tahoma"/>
                <w:i/>
                <w:i/>
                <w:iCs/>
                <w:sz w:val="20"/>
                <w:szCs w:val="20"/>
              </w:rPr>
            </w:pPr>
            <w:r>
              <w:rPr>
                <w:rFonts w:eastAsia="Calibri" w:cs="Tahoma" w:ascii="Tahoma" w:hAnsi="Tahoma"/>
                <w:i/>
                <w:iCs/>
                <w:sz w:val="20"/>
                <w:szCs w:val="20"/>
              </w:rPr>
            </w:r>
          </w:p>
        </w:tc>
        <w:tc>
          <w:tcPr>
            <w:tcW w:w="212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eastAsia="Calibri" w:cs="Tahoma"/>
                <w:i/>
                <w:i/>
                <w:iCs/>
                <w:sz w:val="20"/>
                <w:szCs w:val="20"/>
              </w:rPr>
            </w:pPr>
            <w:r>
              <w:rPr>
                <w:rFonts w:eastAsia="Calibri" w:cs="Tahoma" w:ascii="Tahoma" w:hAnsi="Tahoma"/>
                <w:i/>
                <w:iCs/>
                <w:sz w:val="20"/>
                <w:szCs w:val="20"/>
              </w:rPr>
            </w:r>
          </w:p>
        </w:tc>
        <w:tc>
          <w:tcPr>
            <w:tcW w:w="21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eastAsia="Calibri" w:cs="Tahoma"/>
                <w:i/>
                <w:i/>
                <w:iCs/>
                <w:sz w:val="20"/>
                <w:szCs w:val="20"/>
              </w:rPr>
            </w:pPr>
            <w:r>
              <w:rPr>
                <w:rFonts w:eastAsia="Calibri" w:cs="Tahoma" w:ascii="Tahoma" w:hAnsi="Tahoma"/>
                <w:i/>
                <w:iCs/>
                <w:sz w:val="20"/>
                <w:szCs w:val="20"/>
              </w:rPr>
            </w:r>
          </w:p>
        </w:tc>
      </w:tr>
    </w:tbl>
    <w:p>
      <w:pPr>
        <w:pStyle w:val="Normal"/>
        <w:jc w:val="both"/>
        <w:rPr>
          <w:rFonts w:ascii="Tahoma" w:hAnsi="Tahoma" w:eastAsia="Calibri" w:cs="Tahoma"/>
          <w:i/>
          <w:i/>
          <w:iCs/>
          <w:sz w:val="20"/>
          <w:szCs w:val="20"/>
        </w:rPr>
      </w:pPr>
      <w:r>
        <w:rPr>
          <w:rFonts w:eastAsia="Calibri" w:cs="Tahoma" w:ascii="Tahoma" w:hAnsi="Tahoma"/>
          <w:b/>
          <w:i/>
          <w:iCs/>
          <w:sz w:val="20"/>
          <w:szCs w:val="20"/>
        </w:rPr>
        <w:t xml:space="preserve">Fuente: </w:t>
      </w:r>
      <w:r>
        <w:rPr>
          <w:rFonts w:eastAsia="Calibri" w:cs="Tahoma" w:ascii="Tahoma" w:hAnsi="Tahoma"/>
          <w:i/>
          <w:iCs/>
          <w:sz w:val="20"/>
          <w:szCs w:val="20"/>
        </w:rPr>
        <w:t xml:space="preserve">Elaboración propia. </w:t>
      </w:r>
    </w:p>
    <w:p>
      <w:pPr>
        <w:pStyle w:val="Normal"/>
        <w:jc w:val="both"/>
        <w:rPr>
          <w:rFonts w:ascii="Tahoma" w:hAnsi="Tahoma" w:eastAsia="Calibri" w:cs="Tahoma"/>
          <w:b/>
          <w:b/>
          <w:i/>
          <w:i/>
          <w:iCs/>
          <w:sz w:val="20"/>
          <w:szCs w:val="20"/>
        </w:rPr>
      </w:pPr>
      <w:r>
        <w:rPr>
          <w:rFonts w:eastAsia="Calibri" w:cs="Tahoma" w:ascii="Tahoma" w:hAnsi="Tahoma"/>
          <w:b/>
          <w:i/>
          <w:iCs/>
          <w:sz w:val="20"/>
          <w:szCs w:val="20"/>
        </w:rPr>
      </w:r>
    </w:p>
    <w:p>
      <w:pPr>
        <w:pStyle w:val="Normal"/>
        <w:numPr>
          <w:ilvl w:val="0"/>
          <w:numId w:val="10"/>
        </w:numPr>
        <w:spacing w:lineRule="auto" w:line="240" w:before="0" w:after="0"/>
        <w:contextualSpacing/>
        <w:jc w:val="both"/>
        <w:rPr>
          <w:rFonts w:ascii="Tahoma" w:hAnsi="Tahoma" w:cs="Tahoma"/>
          <w:b/>
          <w:b/>
          <w:i/>
          <w:i/>
          <w:iCs/>
          <w:sz w:val="20"/>
          <w:szCs w:val="20"/>
          <w:lang w:eastAsia="es-ES"/>
        </w:rPr>
      </w:pPr>
      <w:r>
        <w:rPr>
          <w:rFonts w:cs="Tahoma" w:ascii="Tahoma" w:hAnsi="Tahoma"/>
          <w:b/>
          <w:i/>
          <w:iCs/>
          <w:sz w:val="20"/>
          <w:szCs w:val="20"/>
          <w:lang w:eastAsia="es-ES"/>
        </w:rPr>
        <w:t>Alineamiento de la política con los ejes transversales del Plan Estratégico Institucional</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jc w:val="both"/>
        <w:rPr>
          <w:rFonts w:ascii="Tahoma" w:hAnsi="Tahoma" w:eastAsia="Calibri" w:cs="Tahoma"/>
          <w:i/>
          <w:i/>
          <w:iCs/>
          <w:sz w:val="20"/>
          <w:szCs w:val="20"/>
        </w:rPr>
      </w:pPr>
      <w:r>
        <w:rPr>
          <w:rFonts w:eastAsia="Calibri" w:cs="Tahoma" w:ascii="Tahoma" w:hAnsi="Tahoma"/>
          <w:i/>
          <w:iCs/>
          <w:sz w:val="20"/>
          <w:szCs w:val="20"/>
        </w:rPr>
        <w:t xml:space="preserve">En este apartado se debe señalar y justificar el eje transversal o los ejes transversales, del Plan Estratégico Institucional vigente, a los que se encuentra alineada y/o contribuye la política institucional. </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numPr>
          <w:ilvl w:val="0"/>
          <w:numId w:val="10"/>
        </w:numPr>
        <w:spacing w:lineRule="auto" w:line="240" w:before="0" w:after="0"/>
        <w:contextualSpacing/>
        <w:jc w:val="both"/>
        <w:rPr>
          <w:rFonts w:ascii="Tahoma" w:hAnsi="Tahoma" w:cs="Tahoma"/>
          <w:b/>
          <w:b/>
          <w:i/>
          <w:i/>
          <w:iCs/>
          <w:sz w:val="20"/>
          <w:szCs w:val="20"/>
          <w:lang w:eastAsia="es-ES"/>
        </w:rPr>
      </w:pPr>
      <w:r>
        <w:rPr>
          <w:rFonts w:cs="Tahoma" w:ascii="Tahoma" w:hAnsi="Tahoma"/>
          <w:b/>
          <w:i/>
          <w:iCs/>
          <w:sz w:val="20"/>
          <w:szCs w:val="20"/>
          <w:lang w:eastAsia="es-ES"/>
        </w:rPr>
        <w:t xml:space="preserve">Temas Prioritarios, objetivos, líneas de acción, resultados esperados e indicadores de resultados </w:t>
      </w:r>
      <w:bookmarkStart w:id="35" w:name="_Hlk9600350"/>
      <w:bookmarkEnd w:id="35"/>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ind w:firstLine="360"/>
        <w:jc w:val="both"/>
        <w:rPr>
          <w:rFonts w:ascii="Tahoma" w:hAnsi="Tahoma" w:eastAsia="Calibri" w:cs="Tahoma"/>
          <w:i/>
          <w:i/>
          <w:iCs/>
          <w:sz w:val="20"/>
          <w:szCs w:val="20"/>
        </w:rPr>
      </w:pPr>
      <w:r>
        <w:rPr>
          <w:rFonts w:eastAsia="Calibri" w:cs="Tahoma" w:ascii="Tahoma" w:hAnsi="Tahoma"/>
          <w:i/>
          <w:iCs/>
          <w:sz w:val="20"/>
          <w:szCs w:val="20"/>
        </w:rPr>
        <w:t xml:space="preserve">En este apartado se definen los temas, los objetivos, las líneas de acción, los resultados esperados y los indicadores de la política institucional con una visión en el largo plazo. </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numPr>
          <w:ilvl w:val="1"/>
          <w:numId w:val="10"/>
        </w:numPr>
        <w:spacing w:lineRule="auto" w:line="240" w:before="0" w:after="0"/>
        <w:contextualSpacing/>
        <w:jc w:val="both"/>
        <w:rPr>
          <w:rFonts w:ascii="Tahoma" w:hAnsi="Tahoma" w:cs="Tahoma"/>
          <w:b/>
          <w:b/>
          <w:i/>
          <w:i/>
          <w:iCs/>
          <w:sz w:val="20"/>
          <w:szCs w:val="20"/>
          <w:lang w:eastAsia="es-ES"/>
        </w:rPr>
      </w:pPr>
      <w:r>
        <w:rPr>
          <w:rFonts w:cs="Tahoma" w:ascii="Tahoma" w:hAnsi="Tahoma"/>
          <w:b/>
          <w:i/>
          <w:iCs/>
          <w:sz w:val="20"/>
          <w:szCs w:val="20"/>
          <w:lang w:eastAsia="es-ES"/>
        </w:rPr>
        <w:t xml:space="preserve">Temas Prioritarios: </w:t>
      </w:r>
      <w:r>
        <w:rPr>
          <w:rFonts w:cs="Tahoma" w:ascii="Tahoma" w:hAnsi="Tahoma"/>
          <w:i/>
          <w:iCs/>
          <w:sz w:val="20"/>
          <w:szCs w:val="20"/>
          <w:lang w:eastAsia="es-ES"/>
        </w:rPr>
        <w:t>Son los grandes temas en que se va a concentrar la Política, que tienen el fin de guiar y asegurar los esfuerzos y recursos institucionales para resolver el problema o tema principal planteado.</w:t>
      </w:r>
    </w:p>
    <w:p>
      <w:pPr>
        <w:pStyle w:val="Normal"/>
        <w:ind w:left="720" w:hanging="0"/>
        <w:jc w:val="both"/>
        <w:rPr>
          <w:rFonts w:ascii="Tahoma" w:hAnsi="Tahoma" w:cs="Tahoma"/>
          <w:b/>
          <w:b/>
          <w:i/>
          <w:i/>
          <w:iCs/>
          <w:sz w:val="20"/>
          <w:szCs w:val="20"/>
          <w:lang w:eastAsia="es-ES"/>
        </w:rPr>
      </w:pPr>
      <w:r>
        <w:rPr>
          <w:rFonts w:cs="Tahoma" w:ascii="Tahoma" w:hAnsi="Tahoma"/>
          <w:b/>
          <w:i/>
          <w:iCs/>
          <w:sz w:val="20"/>
          <w:szCs w:val="20"/>
          <w:lang w:eastAsia="es-ES"/>
        </w:rPr>
      </w:r>
    </w:p>
    <w:p>
      <w:pPr>
        <w:pStyle w:val="Normal"/>
        <w:numPr>
          <w:ilvl w:val="1"/>
          <w:numId w:val="10"/>
        </w:numPr>
        <w:spacing w:lineRule="auto" w:line="240" w:before="0" w:after="0"/>
        <w:contextualSpacing/>
        <w:jc w:val="both"/>
        <w:rPr>
          <w:rFonts w:ascii="Tahoma" w:hAnsi="Tahoma" w:cs="Tahoma"/>
          <w:b/>
          <w:b/>
          <w:i/>
          <w:i/>
          <w:iCs/>
          <w:sz w:val="20"/>
          <w:szCs w:val="20"/>
          <w:lang w:eastAsia="es-ES"/>
        </w:rPr>
      </w:pPr>
      <w:r>
        <w:rPr>
          <w:rFonts w:cs="Tahoma" w:ascii="Tahoma" w:hAnsi="Tahoma"/>
          <w:b/>
          <w:i/>
          <w:iCs/>
          <w:sz w:val="20"/>
          <w:szCs w:val="20"/>
          <w:lang w:eastAsia="es-ES"/>
        </w:rPr>
        <w:t xml:space="preserve">Objetivos: </w:t>
      </w:r>
      <w:r>
        <w:rPr>
          <w:rFonts w:cs="Tahoma" w:ascii="Tahoma" w:hAnsi="Tahoma"/>
          <w:i/>
          <w:iCs/>
          <w:sz w:val="20"/>
          <w:szCs w:val="20"/>
          <w:lang w:eastAsia="es-ES"/>
        </w:rPr>
        <w:t xml:space="preserve">Son los logros que espera alcanzar la Política en el largo plazo, para mejorar la situación actual de la población beneficiaria. </w:t>
      </w:r>
    </w:p>
    <w:p>
      <w:pPr>
        <w:pStyle w:val="Normal"/>
        <w:ind w:left="720" w:hanging="0"/>
        <w:jc w:val="both"/>
        <w:rPr>
          <w:rFonts w:ascii="Tahoma" w:hAnsi="Tahoma" w:cs="Tahoma"/>
          <w:i/>
          <w:i/>
          <w:iCs/>
          <w:sz w:val="20"/>
          <w:szCs w:val="20"/>
          <w:lang w:eastAsia="es-ES"/>
        </w:rPr>
      </w:pPr>
      <w:r>
        <w:rPr>
          <w:rFonts w:cs="Tahoma" w:ascii="Tahoma" w:hAnsi="Tahoma"/>
          <w:i/>
          <w:iCs/>
          <w:sz w:val="20"/>
          <w:szCs w:val="20"/>
          <w:lang w:eastAsia="es-ES"/>
        </w:rPr>
      </w:r>
    </w:p>
    <w:p>
      <w:pPr>
        <w:pStyle w:val="Normal"/>
        <w:spacing w:before="0" w:after="200"/>
        <w:ind w:left="360" w:firstLine="348"/>
        <w:contextualSpacing/>
        <w:jc w:val="both"/>
        <w:rPr>
          <w:rFonts w:ascii="Tahoma" w:hAnsi="Tahoma" w:cs="Tahoma"/>
          <w:b/>
          <w:b/>
          <w:i/>
          <w:i/>
          <w:iCs/>
          <w:sz w:val="20"/>
          <w:szCs w:val="20"/>
          <w:lang w:eastAsia="es-ES"/>
        </w:rPr>
      </w:pPr>
      <w:r>
        <w:rPr>
          <w:rFonts w:cs="Tahoma" w:ascii="Tahoma" w:hAnsi="Tahoma"/>
          <w:i/>
          <w:iCs/>
          <w:sz w:val="20"/>
          <w:szCs w:val="20"/>
          <w:lang w:eastAsia="es-ES"/>
        </w:rPr>
        <w:t>Los objetivos responden a la pregunta: ¿Qué debemos lograr en el largo plazo, para resolver el problema o temas planteados?</w:t>
      </w:r>
    </w:p>
    <w:p>
      <w:pPr>
        <w:pStyle w:val="Normal"/>
        <w:ind w:left="720" w:hanging="0"/>
        <w:jc w:val="both"/>
        <w:rPr>
          <w:rFonts w:ascii="Tahoma" w:hAnsi="Tahoma" w:cs="Tahoma"/>
          <w:b/>
          <w:b/>
          <w:i/>
          <w:i/>
          <w:iCs/>
          <w:sz w:val="20"/>
          <w:szCs w:val="20"/>
          <w:lang w:eastAsia="es-ES"/>
        </w:rPr>
      </w:pPr>
      <w:r>
        <w:rPr>
          <w:rFonts w:cs="Tahoma" w:ascii="Tahoma" w:hAnsi="Tahoma"/>
          <w:b/>
          <w:i/>
          <w:iCs/>
          <w:sz w:val="20"/>
          <w:szCs w:val="20"/>
          <w:lang w:eastAsia="es-ES"/>
        </w:rPr>
      </w:r>
    </w:p>
    <w:p>
      <w:pPr>
        <w:pStyle w:val="Normal"/>
        <w:numPr>
          <w:ilvl w:val="1"/>
          <w:numId w:val="10"/>
        </w:numPr>
        <w:spacing w:lineRule="auto" w:line="240" w:before="0" w:after="0"/>
        <w:contextualSpacing/>
        <w:jc w:val="both"/>
        <w:rPr>
          <w:rFonts w:ascii="Tahoma" w:hAnsi="Tahoma" w:cs="Tahoma"/>
          <w:b/>
          <w:b/>
          <w:i/>
          <w:i/>
          <w:iCs/>
          <w:sz w:val="20"/>
          <w:szCs w:val="20"/>
          <w:lang w:eastAsia="es-ES"/>
        </w:rPr>
      </w:pPr>
      <w:r>
        <w:rPr>
          <w:rFonts w:cs="Tahoma" w:ascii="Tahoma" w:hAnsi="Tahoma"/>
          <w:b/>
          <w:i/>
          <w:iCs/>
          <w:sz w:val="20"/>
          <w:szCs w:val="20"/>
          <w:lang w:eastAsia="es-ES"/>
        </w:rPr>
        <w:t xml:space="preserve">Líneas de acción: </w:t>
      </w:r>
      <w:r>
        <w:rPr>
          <w:rFonts w:cs="Tahoma" w:ascii="Tahoma" w:hAnsi="Tahoma"/>
          <w:i/>
          <w:iCs/>
          <w:sz w:val="20"/>
          <w:szCs w:val="20"/>
          <w:lang w:eastAsia="es-ES"/>
        </w:rPr>
        <w:t xml:space="preserve">Son el planteamiento de las acciones dirigidas al cumplimiento de los objetivos generales de la Política. </w:t>
      </w:r>
    </w:p>
    <w:p>
      <w:pPr>
        <w:pStyle w:val="Normal"/>
        <w:ind w:firstLine="360"/>
        <w:jc w:val="both"/>
        <w:rPr>
          <w:rFonts w:ascii="Tahoma" w:hAnsi="Tahoma" w:cs="Tahoma"/>
          <w:i/>
          <w:i/>
          <w:iCs/>
          <w:sz w:val="20"/>
          <w:szCs w:val="20"/>
          <w:lang w:eastAsia="es-ES"/>
        </w:rPr>
      </w:pPr>
      <w:r>
        <w:rPr>
          <w:rFonts w:cs="Tahoma" w:ascii="Tahoma" w:hAnsi="Tahoma"/>
          <w:i/>
          <w:iCs/>
          <w:sz w:val="20"/>
          <w:szCs w:val="20"/>
          <w:lang w:eastAsia="es-ES"/>
        </w:rPr>
      </w:r>
    </w:p>
    <w:p>
      <w:pPr>
        <w:pStyle w:val="Normal"/>
        <w:ind w:left="360" w:firstLine="348"/>
        <w:jc w:val="both"/>
        <w:rPr>
          <w:rFonts w:ascii="Tahoma" w:hAnsi="Tahoma" w:cs="Tahoma"/>
          <w:b/>
          <w:b/>
          <w:i/>
          <w:i/>
          <w:iCs/>
          <w:sz w:val="20"/>
          <w:szCs w:val="20"/>
          <w:lang w:eastAsia="es-ES"/>
        </w:rPr>
      </w:pPr>
      <w:r>
        <w:rPr>
          <w:rFonts w:cs="Tahoma" w:ascii="Tahoma" w:hAnsi="Tahoma"/>
          <w:i/>
          <w:iCs/>
          <w:sz w:val="20"/>
          <w:szCs w:val="20"/>
          <w:lang w:eastAsia="es-ES"/>
        </w:rPr>
        <w:t>Las líneas de acción responden a la pregunta: ¿Cómo vamos a resolver el problema o temas planteados?</w:t>
      </w:r>
    </w:p>
    <w:p>
      <w:pPr>
        <w:pStyle w:val="Normal"/>
        <w:ind w:left="720" w:hanging="0"/>
        <w:jc w:val="both"/>
        <w:rPr>
          <w:rFonts w:ascii="Tahoma" w:hAnsi="Tahoma" w:cs="Tahoma"/>
          <w:b/>
          <w:b/>
          <w:i/>
          <w:i/>
          <w:iCs/>
          <w:sz w:val="20"/>
          <w:szCs w:val="20"/>
          <w:lang w:eastAsia="es-ES"/>
        </w:rPr>
      </w:pPr>
      <w:r>
        <w:rPr>
          <w:rFonts w:cs="Tahoma" w:ascii="Tahoma" w:hAnsi="Tahoma"/>
          <w:b/>
          <w:i/>
          <w:iCs/>
          <w:sz w:val="20"/>
          <w:szCs w:val="20"/>
          <w:lang w:eastAsia="es-ES"/>
        </w:rPr>
      </w:r>
    </w:p>
    <w:p>
      <w:pPr>
        <w:pStyle w:val="Normal"/>
        <w:numPr>
          <w:ilvl w:val="1"/>
          <w:numId w:val="10"/>
        </w:numPr>
        <w:spacing w:lineRule="auto" w:line="240" w:before="0" w:after="0"/>
        <w:contextualSpacing/>
        <w:jc w:val="both"/>
        <w:rPr>
          <w:rFonts w:ascii="Tahoma" w:hAnsi="Tahoma" w:cs="Tahoma"/>
          <w:b/>
          <w:b/>
          <w:i/>
          <w:i/>
          <w:iCs/>
          <w:sz w:val="20"/>
          <w:szCs w:val="20"/>
          <w:lang w:eastAsia="es-ES"/>
        </w:rPr>
      </w:pPr>
      <w:r>
        <w:rPr>
          <w:rFonts w:cs="Tahoma" w:ascii="Tahoma" w:hAnsi="Tahoma"/>
          <w:b/>
          <w:i/>
          <w:iCs/>
          <w:sz w:val="20"/>
          <w:szCs w:val="20"/>
          <w:lang w:eastAsia="es-ES"/>
        </w:rPr>
        <w:t xml:space="preserve">Resultados esperados: </w:t>
      </w:r>
      <w:r>
        <w:rPr>
          <w:rFonts w:cs="Tahoma" w:ascii="Tahoma" w:hAnsi="Tahoma"/>
          <w:i/>
          <w:iCs/>
          <w:sz w:val="20"/>
          <w:szCs w:val="20"/>
          <w:lang w:eastAsia="es-ES"/>
        </w:rPr>
        <w:t>Son los resultados finales que se esperan obtener con el cumplimiento de las líneas de acción planteadas. Debe tomarse en cuenta la línea base (a partir de las estadísticas e indicadores del diagnóstico) de la situación, el comportamiento histórico de estas variables y el impacto que se espera producir con la implementación de la Política.</w:t>
      </w:r>
    </w:p>
    <w:p>
      <w:pPr>
        <w:pStyle w:val="Normal"/>
        <w:ind w:left="720" w:hanging="0"/>
        <w:jc w:val="both"/>
        <w:rPr>
          <w:rFonts w:ascii="Tahoma" w:hAnsi="Tahoma" w:cs="Tahoma"/>
          <w:b/>
          <w:b/>
          <w:i/>
          <w:i/>
          <w:iCs/>
          <w:sz w:val="20"/>
          <w:szCs w:val="20"/>
          <w:lang w:eastAsia="es-ES"/>
        </w:rPr>
      </w:pPr>
      <w:r>
        <w:rPr>
          <w:rFonts w:cs="Tahoma" w:ascii="Tahoma" w:hAnsi="Tahoma"/>
          <w:b/>
          <w:i/>
          <w:iCs/>
          <w:sz w:val="20"/>
          <w:szCs w:val="20"/>
          <w:lang w:eastAsia="es-ES"/>
        </w:rPr>
      </w:r>
    </w:p>
    <w:p>
      <w:pPr>
        <w:pStyle w:val="Normal"/>
        <w:numPr>
          <w:ilvl w:val="1"/>
          <w:numId w:val="10"/>
        </w:numPr>
        <w:spacing w:lineRule="auto" w:line="240" w:before="0" w:after="0"/>
        <w:contextualSpacing/>
        <w:jc w:val="both"/>
        <w:rPr>
          <w:rFonts w:ascii="Tahoma" w:hAnsi="Tahoma" w:cs="Tahoma"/>
          <w:b/>
          <w:b/>
          <w:i/>
          <w:i/>
          <w:iCs/>
          <w:sz w:val="20"/>
          <w:szCs w:val="20"/>
          <w:lang w:eastAsia="es-ES"/>
        </w:rPr>
      </w:pPr>
      <w:r>
        <w:rPr>
          <w:rFonts w:cs="Tahoma" w:ascii="Tahoma" w:hAnsi="Tahoma"/>
          <w:b/>
          <w:i/>
          <w:iCs/>
          <w:sz w:val="20"/>
          <w:szCs w:val="20"/>
          <w:lang w:eastAsia="es-ES"/>
        </w:rPr>
        <w:t>Indicadores de resultado:</w:t>
      </w:r>
      <w:r>
        <w:rPr>
          <w:rFonts w:cs="Tahoma" w:ascii="Tahoma" w:hAnsi="Tahoma"/>
          <w:i/>
          <w:iCs/>
          <w:sz w:val="20"/>
          <w:szCs w:val="20"/>
          <w:lang w:eastAsia="es-ES"/>
        </w:rPr>
        <w:t xml:space="preserve"> Son los instrumentos utilizados para medir el cumplimiento de los objetivos y líneas de acción planteadas en la Política. Además, responde a la forma de medir los resultados esperados, vinculados a los beneficiarios finales. Estos son datos de índole cuantitativo que serán monitoreados durante la implementación, el seguimiento y la evaluación de la política (este proceso se detallará más adelante). </w:t>
      </w:r>
    </w:p>
    <w:p>
      <w:pPr>
        <w:pStyle w:val="Normal"/>
        <w:jc w:val="both"/>
        <w:rPr>
          <w:rFonts w:ascii="Tahoma" w:hAnsi="Tahoma" w:cs="Tahoma"/>
          <w:b/>
          <w:b/>
          <w:i/>
          <w:i/>
          <w:iCs/>
          <w:sz w:val="20"/>
          <w:szCs w:val="20"/>
          <w:lang w:eastAsia="es-ES"/>
        </w:rPr>
      </w:pPr>
      <w:r>
        <w:rPr>
          <w:rFonts w:cs="Tahoma" w:ascii="Tahoma" w:hAnsi="Tahoma"/>
          <w:b/>
          <w:i/>
          <w:iCs/>
          <w:sz w:val="20"/>
          <w:szCs w:val="20"/>
          <w:lang w:eastAsia="es-ES"/>
        </w:rPr>
      </w:r>
    </w:p>
    <w:p>
      <w:pPr>
        <w:pStyle w:val="Normal"/>
        <w:numPr>
          <w:ilvl w:val="0"/>
          <w:numId w:val="10"/>
        </w:numPr>
        <w:spacing w:lineRule="auto" w:line="240" w:before="0" w:after="0"/>
        <w:contextualSpacing/>
        <w:jc w:val="both"/>
        <w:rPr>
          <w:rFonts w:ascii="Tahoma" w:hAnsi="Tahoma" w:cs="Tahoma"/>
          <w:b/>
          <w:b/>
          <w:i/>
          <w:i/>
          <w:iCs/>
          <w:sz w:val="20"/>
          <w:szCs w:val="20"/>
          <w:lang w:eastAsia="es-ES"/>
        </w:rPr>
      </w:pPr>
      <w:r>
        <w:rPr>
          <w:rFonts w:cs="Tahoma" w:ascii="Tahoma" w:hAnsi="Tahoma"/>
          <w:b/>
          <w:i/>
          <w:iCs/>
          <w:sz w:val="20"/>
          <w:szCs w:val="20"/>
          <w:lang w:eastAsia="es-ES"/>
        </w:rPr>
        <w:t>Plan de Acción para la implementación de la Política Institucional</w:t>
      </w:r>
    </w:p>
    <w:p>
      <w:pPr>
        <w:pStyle w:val="Normal"/>
        <w:spacing w:before="0" w:after="200"/>
        <w:ind w:left="360" w:hanging="0"/>
        <w:contextualSpacing/>
        <w:jc w:val="both"/>
        <w:rPr>
          <w:rFonts w:ascii="Tahoma" w:hAnsi="Tahoma" w:cs="Tahoma"/>
          <w:b/>
          <w:b/>
          <w:i/>
          <w:i/>
          <w:iCs/>
          <w:sz w:val="20"/>
          <w:szCs w:val="20"/>
          <w:lang w:eastAsia="es-ES"/>
        </w:rPr>
      </w:pPr>
      <w:r>
        <w:rPr>
          <w:rFonts w:cs="Tahoma" w:ascii="Tahoma" w:hAnsi="Tahoma"/>
          <w:b/>
          <w:i/>
          <w:iCs/>
          <w:sz w:val="20"/>
          <w:szCs w:val="20"/>
          <w:lang w:eastAsia="es-ES"/>
        </w:rPr>
      </w:r>
    </w:p>
    <w:p>
      <w:pPr>
        <w:pStyle w:val="Normal"/>
        <w:ind w:firstLine="360"/>
        <w:jc w:val="both"/>
        <w:rPr>
          <w:rFonts w:ascii="Tahoma" w:hAnsi="Tahoma" w:eastAsia="Calibri" w:cs="Tahoma"/>
          <w:i/>
          <w:i/>
          <w:iCs/>
          <w:sz w:val="20"/>
          <w:szCs w:val="20"/>
        </w:rPr>
      </w:pPr>
      <w:r>
        <w:rPr>
          <w:rFonts w:eastAsia="Calibri" w:cs="Tahoma" w:ascii="Tahoma" w:hAnsi="Tahoma"/>
          <w:i/>
          <w:iCs/>
          <w:sz w:val="20"/>
          <w:szCs w:val="20"/>
        </w:rPr>
        <w:t xml:space="preserve">El plan de acción está dirigido a la implementación operativa de la Política Institucional, por lo que debe contener una visión de corto y mediano plazo. Como sugerencia, se recomienda definir el plan de acción con al menos una previsión de dos años en adelante. </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ind w:firstLine="360"/>
        <w:jc w:val="both"/>
        <w:rPr>
          <w:rFonts w:ascii="Tahoma" w:hAnsi="Tahoma" w:eastAsia="Calibri" w:cs="Tahoma"/>
          <w:i/>
          <w:i/>
          <w:iCs/>
          <w:sz w:val="20"/>
          <w:szCs w:val="20"/>
        </w:rPr>
      </w:pPr>
      <w:r>
        <w:rPr>
          <w:rFonts w:eastAsia="Calibri" w:cs="Tahoma" w:ascii="Tahoma" w:hAnsi="Tahoma"/>
          <w:i/>
          <w:iCs/>
          <w:sz w:val="20"/>
          <w:szCs w:val="20"/>
        </w:rPr>
        <w:t xml:space="preserve">Las variables que incluye el plan de acción son los mismos utilizados para los planes anuales operativos, que se componen de los siguientes elementos: </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numPr>
          <w:ilvl w:val="0"/>
          <w:numId w:val="12"/>
        </w:numPr>
        <w:spacing w:lineRule="auto" w:line="240" w:before="0" w:after="0"/>
        <w:contextualSpacing/>
        <w:jc w:val="both"/>
        <w:rPr>
          <w:rFonts w:ascii="Tahoma" w:hAnsi="Tahoma" w:cs="Tahoma"/>
          <w:i/>
          <w:i/>
          <w:iCs/>
          <w:sz w:val="20"/>
          <w:szCs w:val="20"/>
          <w:lang w:eastAsia="es-ES"/>
        </w:rPr>
      </w:pPr>
      <w:r>
        <w:rPr>
          <w:rFonts w:cs="Tahoma" w:ascii="Tahoma" w:hAnsi="Tahoma"/>
          <w:i/>
          <w:iCs/>
          <w:sz w:val="20"/>
          <w:szCs w:val="20"/>
          <w:lang w:eastAsia="es-ES"/>
        </w:rPr>
        <w:t xml:space="preserve">Objetivos operativos. </w:t>
      </w:r>
    </w:p>
    <w:p>
      <w:pPr>
        <w:pStyle w:val="Normal"/>
        <w:numPr>
          <w:ilvl w:val="0"/>
          <w:numId w:val="12"/>
        </w:numPr>
        <w:spacing w:lineRule="auto" w:line="240" w:before="0" w:after="0"/>
        <w:contextualSpacing/>
        <w:jc w:val="both"/>
        <w:rPr>
          <w:rFonts w:ascii="Tahoma" w:hAnsi="Tahoma" w:cs="Tahoma"/>
          <w:i/>
          <w:i/>
          <w:iCs/>
          <w:sz w:val="20"/>
          <w:szCs w:val="20"/>
          <w:lang w:eastAsia="es-ES"/>
        </w:rPr>
      </w:pPr>
      <w:r>
        <w:rPr>
          <w:rFonts w:cs="Tahoma" w:ascii="Tahoma" w:hAnsi="Tahoma"/>
          <w:i/>
          <w:iCs/>
          <w:sz w:val="20"/>
          <w:szCs w:val="20"/>
          <w:lang w:eastAsia="es-ES"/>
        </w:rPr>
        <w:t xml:space="preserve">Metas Operativas. </w:t>
      </w:r>
    </w:p>
    <w:p>
      <w:pPr>
        <w:pStyle w:val="Normal"/>
        <w:numPr>
          <w:ilvl w:val="0"/>
          <w:numId w:val="12"/>
        </w:numPr>
        <w:spacing w:lineRule="auto" w:line="240" w:before="0" w:after="0"/>
        <w:contextualSpacing/>
        <w:jc w:val="both"/>
        <w:rPr>
          <w:rFonts w:ascii="Tahoma" w:hAnsi="Tahoma" w:cs="Tahoma"/>
          <w:i/>
          <w:i/>
          <w:iCs/>
          <w:sz w:val="20"/>
          <w:szCs w:val="20"/>
          <w:lang w:eastAsia="es-ES"/>
        </w:rPr>
      </w:pPr>
      <w:r>
        <w:rPr>
          <w:rFonts w:cs="Tahoma" w:ascii="Tahoma" w:hAnsi="Tahoma"/>
          <w:i/>
          <w:iCs/>
          <w:sz w:val="20"/>
          <w:szCs w:val="20"/>
          <w:lang w:eastAsia="es-ES"/>
        </w:rPr>
        <w:t xml:space="preserve">Indicadores operativos. </w:t>
      </w:r>
    </w:p>
    <w:p>
      <w:pPr>
        <w:pStyle w:val="Normal"/>
        <w:numPr>
          <w:ilvl w:val="0"/>
          <w:numId w:val="12"/>
        </w:numPr>
        <w:spacing w:lineRule="auto" w:line="240" w:before="0" w:after="0"/>
        <w:contextualSpacing/>
        <w:jc w:val="both"/>
        <w:rPr>
          <w:rFonts w:ascii="Tahoma" w:hAnsi="Tahoma" w:cs="Tahoma"/>
          <w:i/>
          <w:i/>
          <w:iCs/>
          <w:sz w:val="20"/>
          <w:szCs w:val="20"/>
          <w:lang w:eastAsia="es-ES"/>
        </w:rPr>
      </w:pPr>
      <w:r>
        <w:rPr>
          <w:rFonts w:cs="Tahoma" w:ascii="Tahoma" w:hAnsi="Tahoma"/>
          <w:i/>
          <w:iCs/>
          <w:sz w:val="20"/>
          <w:szCs w:val="20"/>
          <w:lang w:eastAsia="es-ES"/>
        </w:rPr>
        <w:t xml:space="preserve">Responsables. </w:t>
      </w:r>
    </w:p>
    <w:p>
      <w:pPr>
        <w:pStyle w:val="Normal"/>
        <w:numPr>
          <w:ilvl w:val="0"/>
          <w:numId w:val="12"/>
        </w:numPr>
        <w:spacing w:lineRule="auto" w:line="240" w:before="0" w:after="0"/>
        <w:contextualSpacing/>
        <w:jc w:val="both"/>
        <w:rPr>
          <w:rFonts w:ascii="Tahoma" w:hAnsi="Tahoma" w:cs="Tahoma"/>
          <w:i/>
          <w:i/>
          <w:iCs/>
          <w:sz w:val="20"/>
          <w:szCs w:val="20"/>
          <w:lang w:eastAsia="es-ES"/>
        </w:rPr>
      </w:pPr>
      <w:r>
        <w:rPr>
          <w:rFonts w:cs="Tahoma" w:ascii="Tahoma" w:hAnsi="Tahoma"/>
          <w:i/>
          <w:iCs/>
          <w:sz w:val="20"/>
          <w:szCs w:val="20"/>
          <w:lang w:eastAsia="es-ES"/>
        </w:rPr>
        <w:t xml:space="preserve">Actividades. </w:t>
      </w:r>
    </w:p>
    <w:p>
      <w:pPr>
        <w:pStyle w:val="Normal"/>
        <w:numPr>
          <w:ilvl w:val="0"/>
          <w:numId w:val="12"/>
        </w:numPr>
        <w:spacing w:lineRule="auto" w:line="240" w:before="0" w:after="0"/>
        <w:contextualSpacing/>
        <w:jc w:val="both"/>
        <w:rPr>
          <w:rFonts w:ascii="Tahoma" w:hAnsi="Tahoma" w:cs="Tahoma"/>
          <w:i/>
          <w:i/>
          <w:iCs/>
          <w:sz w:val="20"/>
          <w:szCs w:val="20"/>
          <w:lang w:eastAsia="es-ES"/>
        </w:rPr>
      </w:pPr>
      <w:r>
        <w:rPr>
          <w:rFonts w:cs="Tahoma" w:ascii="Tahoma" w:hAnsi="Tahoma"/>
          <w:i/>
          <w:iCs/>
          <w:sz w:val="20"/>
          <w:szCs w:val="20"/>
          <w:lang w:eastAsia="es-ES"/>
        </w:rPr>
        <w:t xml:space="preserve">Coordinaciones.  </w:t>
      </w:r>
    </w:p>
    <w:p>
      <w:pPr>
        <w:pStyle w:val="Normal"/>
        <w:spacing w:before="0" w:after="200"/>
        <w:ind w:left="787" w:hanging="0"/>
        <w:contextualSpacing/>
        <w:jc w:val="both"/>
        <w:rPr>
          <w:rFonts w:ascii="Tahoma" w:hAnsi="Tahoma" w:cs="Tahoma"/>
          <w:i/>
          <w:i/>
          <w:iCs/>
          <w:sz w:val="20"/>
          <w:szCs w:val="20"/>
          <w:lang w:eastAsia="es-ES"/>
        </w:rPr>
      </w:pPr>
      <w:r>
        <w:rPr>
          <w:rFonts w:cs="Tahoma" w:ascii="Tahoma" w:hAnsi="Tahoma"/>
          <w:i/>
          <w:iCs/>
          <w:sz w:val="20"/>
          <w:szCs w:val="20"/>
          <w:lang w:eastAsia="es-ES"/>
        </w:rPr>
      </w:r>
    </w:p>
    <w:p>
      <w:pPr>
        <w:pStyle w:val="Normal"/>
        <w:ind w:firstLine="427"/>
        <w:jc w:val="both"/>
        <w:rPr>
          <w:rFonts w:ascii="Tahoma" w:hAnsi="Tahoma" w:eastAsia="Calibri" w:cs="Tahoma"/>
          <w:i/>
          <w:i/>
          <w:iCs/>
          <w:sz w:val="20"/>
          <w:szCs w:val="20"/>
        </w:rPr>
      </w:pPr>
      <w:r>
        <w:rPr>
          <w:rFonts w:eastAsia="Calibri" w:cs="Tahoma" w:ascii="Tahoma" w:hAnsi="Tahoma"/>
          <w:i/>
          <w:iCs/>
          <w:sz w:val="20"/>
          <w:szCs w:val="20"/>
        </w:rPr>
        <w:t xml:space="preserve">El plan de acción propuesto al inicio de la elaboración de la política debe ser validado, consensuado y aceptado por las instancias, oficinas y despachos que serán responsables operativos del cumplimiento de los objetivos operativos alineados a la política institucional. </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ind w:firstLine="427"/>
        <w:jc w:val="both"/>
        <w:rPr>
          <w:rFonts w:ascii="Tahoma" w:hAnsi="Tahoma" w:eastAsia="Calibri" w:cs="Tahoma"/>
          <w:i/>
          <w:i/>
          <w:iCs/>
          <w:sz w:val="20"/>
          <w:szCs w:val="20"/>
        </w:rPr>
      </w:pPr>
      <w:r>
        <w:rPr>
          <w:rFonts w:eastAsia="Calibri" w:cs="Tahoma" w:ascii="Tahoma" w:hAnsi="Tahoma"/>
          <w:i/>
          <w:iCs/>
          <w:sz w:val="20"/>
          <w:szCs w:val="20"/>
        </w:rPr>
        <w:t>No obstante, previo a la formulación de los PAOs cada año, la instancia rectora de la política institucional deberá asegurar que el plan de acción haya sido validado, consensuado y aceptado por cada instancia involucrada nuevamente, esto por cuanto el plan de acción puede tener ajustes o actualizaciones anualmente.</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ind w:firstLine="427"/>
        <w:jc w:val="both"/>
        <w:rPr>
          <w:rFonts w:ascii="Tahoma" w:hAnsi="Tahoma" w:eastAsia="Calibri" w:cs="Tahoma"/>
          <w:i/>
          <w:i/>
          <w:iCs/>
          <w:sz w:val="20"/>
          <w:szCs w:val="20"/>
        </w:rPr>
      </w:pPr>
      <w:r>
        <w:rPr>
          <w:rFonts w:eastAsia="Calibri" w:cs="Tahoma" w:ascii="Tahoma" w:hAnsi="Tahoma"/>
          <w:i/>
          <w:iCs/>
          <w:sz w:val="20"/>
          <w:szCs w:val="20"/>
        </w:rPr>
        <w:t xml:space="preserve">Posteriormente, la instancia rectora de la política deberá coordinar con la Dirección de Planificación, para que se vincule con el Plan Estratégico Institucional vía sistema, ya que los compromisos anuales propuestos se cargarían automáticamente, a través del Sistema de los Planes Anuales Operativos, a las oficinas responsables de implementar las acciones operativas de la política. </w:t>
      </w:r>
    </w:p>
    <w:p>
      <w:pPr>
        <w:pStyle w:val="Normal"/>
        <w:ind w:firstLine="427"/>
        <w:jc w:val="both"/>
        <w:rPr>
          <w:rFonts w:ascii="Tahoma" w:hAnsi="Tahoma" w:eastAsia="Calibri" w:cs="Tahoma"/>
          <w:i/>
          <w:i/>
          <w:iCs/>
          <w:sz w:val="20"/>
          <w:szCs w:val="20"/>
        </w:rPr>
      </w:pPr>
      <w:r>
        <w:rPr>
          <w:rFonts w:eastAsia="Calibri" w:cs="Tahoma" w:ascii="Tahoma" w:hAnsi="Tahoma"/>
          <w:i/>
          <w:iCs/>
          <w:sz w:val="20"/>
          <w:szCs w:val="20"/>
        </w:rPr>
      </w:r>
    </w:p>
    <w:p>
      <w:pPr>
        <w:pStyle w:val="Normal"/>
        <w:ind w:firstLine="427"/>
        <w:jc w:val="both"/>
        <w:rPr>
          <w:rFonts w:ascii="Tahoma" w:hAnsi="Tahoma" w:eastAsia="Calibri" w:cs="Tahoma"/>
          <w:i/>
          <w:i/>
          <w:iCs/>
          <w:sz w:val="20"/>
          <w:szCs w:val="20"/>
        </w:rPr>
      </w:pPr>
      <w:r>
        <w:rPr>
          <w:rFonts w:eastAsia="Calibri" w:cs="Tahoma" w:ascii="Tahoma" w:hAnsi="Tahoma"/>
          <w:i/>
          <w:iCs/>
          <w:sz w:val="20"/>
          <w:szCs w:val="20"/>
        </w:rPr>
        <w:t>A continuación, se presenta la plantilla que deberán de utilizar para definir el Plan de Acción de la Política Institucional:</w:t>
      </w:r>
    </w:p>
    <w:p>
      <w:pPr>
        <w:pStyle w:val="Normal"/>
        <w:jc w:val="center"/>
        <w:rPr>
          <w:rFonts w:ascii="Tahoma" w:hAnsi="Tahoma" w:eastAsia="Calibri" w:cs="Tahoma"/>
          <w:b/>
          <w:b/>
          <w:i/>
          <w:i/>
          <w:iCs/>
          <w:sz w:val="20"/>
          <w:szCs w:val="20"/>
        </w:rPr>
      </w:pPr>
      <w:r>
        <w:rPr>
          <w:rFonts w:eastAsia="Calibri" w:cs="Tahoma" w:ascii="Tahoma" w:hAnsi="Tahoma"/>
          <w:b/>
          <w:i/>
          <w:iCs/>
          <w:sz w:val="20"/>
          <w:szCs w:val="20"/>
        </w:rPr>
      </w:r>
    </w:p>
    <w:p>
      <w:pPr>
        <w:pStyle w:val="Normal"/>
        <w:jc w:val="center"/>
        <w:rPr>
          <w:rFonts w:ascii="Tahoma" w:hAnsi="Tahoma" w:eastAsia="Calibri" w:cs="Tahoma"/>
          <w:b/>
          <w:b/>
          <w:i/>
          <w:i/>
          <w:iCs/>
          <w:sz w:val="20"/>
          <w:szCs w:val="20"/>
        </w:rPr>
      </w:pPr>
      <w:r>
        <w:rPr>
          <w:rFonts w:eastAsia="Calibri" w:cs="Tahoma" w:ascii="Tahoma" w:hAnsi="Tahoma"/>
          <w:b/>
          <w:i/>
          <w:iCs/>
          <w:sz w:val="20"/>
          <w:szCs w:val="20"/>
        </w:rPr>
      </w:r>
    </w:p>
    <w:p>
      <w:pPr>
        <w:pStyle w:val="Normal"/>
        <w:jc w:val="center"/>
        <w:rPr>
          <w:rFonts w:ascii="Tahoma" w:hAnsi="Tahoma" w:eastAsia="Calibri" w:cs="Tahoma"/>
          <w:b/>
          <w:b/>
          <w:i/>
          <w:i/>
          <w:iCs/>
          <w:sz w:val="20"/>
          <w:szCs w:val="20"/>
        </w:rPr>
      </w:pPr>
      <w:r>
        <w:rPr>
          <w:rFonts w:eastAsia="Calibri" w:cs="Tahoma" w:ascii="Tahoma" w:hAnsi="Tahoma"/>
          <w:b/>
          <w:i/>
          <w:iCs/>
          <w:sz w:val="20"/>
          <w:szCs w:val="20"/>
        </w:rPr>
      </w:r>
    </w:p>
    <w:p>
      <w:pPr>
        <w:pStyle w:val="Normal"/>
        <w:jc w:val="center"/>
        <w:rPr>
          <w:rFonts w:ascii="Tahoma" w:hAnsi="Tahoma" w:eastAsia="Calibri" w:cs="Tahoma"/>
          <w:b/>
          <w:b/>
          <w:i/>
          <w:i/>
          <w:iCs/>
          <w:sz w:val="20"/>
          <w:szCs w:val="20"/>
        </w:rPr>
      </w:pPr>
      <w:r>
        <w:rPr>
          <w:rFonts w:eastAsia="Calibri" w:cs="Tahoma" w:ascii="Tahoma" w:hAnsi="Tahoma"/>
          <w:b/>
          <w:i/>
          <w:iCs/>
          <w:sz w:val="20"/>
          <w:szCs w:val="20"/>
        </w:rPr>
        <w:t>Cuadro 3</w:t>
      </w:r>
    </w:p>
    <w:p>
      <w:pPr>
        <w:pStyle w:val="Normal"/>
        <w:jc w:val="center"/>
        <w:rPr>
          <w:rFonts w:ascii="Tahoma" w:hAnsi="Tahoma" w:eastAsia="Calibri" w:cs="Tahoma"/>
          <w:b/>
          <w:b/>
          <w:i/>
          <w:i/>
          <w:iCs/>
          <w:sz w:val="20"/>
          <w:szCs w:val="20"/>
        </w:rPr>
      </w:pPr>
      <w:r>
        <w:rPr>
          <w:rFonts w:eastAsia="Calibri" w:cs="Tahoma" w:ascii="Tahoma" w:hAnsi="Tahoma"/>
          <w:b/>
          <w:i/>
          <w:iCs/>
          <w:sz w:val="20"/>
          <w:szCs w:val="20"/>
        </w:rPr>
        <w:t>Plantilla del plan de acción para la implementación de la política institucional</w:t>
      </w:r>
    </w:p>
    <w:p>
      <w:pPr>
        <w:pStyle w:val="Normal"/>
        <w:jc w:val="center"/>
        <w:rPr>
          <w:rFonts w:ascii="Tahoma" w:hAnsi="Tahoma" w:eastAsia="Calibri" w:cs="Tahoma"/>
          <w:i/>
          <w:i/>
          <w:iCs/>
          <w:sz w:val="20"/>
          <w:szCs w:val="20"/>
        </w:rPr>
      </w:pPr>
      <w:r>
        <w:rPr>
          <w:rFonts w:eastAsia="Calibri" w:cs="Tahoma" w:ascii="Tahoma" w:hAnsi="Tahoma"/>
          <w:i/>
          <w:iCs/>
          <w:sz w:val="20"/>
          <w:szCs w:val="20"/>
        </w:rPr>
        <w:t>“</w:t>
      </w:r>
      <w:r>
        <w:rPr>
          <w:rFonts w:eastAsia="Calibri" w:cs="Tahoma" w:ascii="Tahoma" w:hAnsi="Tahoma"/>
          <w:i/>
          <w:iCs/>
          <w:sz w:val="20"/>
          <w:szCs w:val="20"/>
        </w:rPr>
        <w:t>Nombre de la Política”</w:t>
      </w:r>
    </w:p>
    <w:tbl>
      <w:tblPr>
        <w:tblW w:w="9945" w:type="dxa"/>
        <w:jc w:val="left"/>
        <w:tblInd w:w="-856" w:type="dxa"/>
        <w:tblLayout w:type="fixed"/>
        <w:tblCellMar>
          <w:top w:w="0" w:type="dxa"/>
          <w:left w:w="108" w:type="dxa"/>
          <w:bottom w:w="0" w:type="dxa"/>
          <w:right w:w="108" w:type="dxa"/>
        </w:tblCellMar>
        <w:tblLook w:firstRow="1" w:noVBand="1" w:lastRow="0" w:firstColumn="1" w:lastColumn="0" w:noHBand="0" w:val="04a0"/>
      </w:tblPr>
      <w:tblGrid>
        <w:gridCol w:w="662"/>
        <w:gridCol w:w="1458"/>
        <w:gridCol w:w="965"/>
        <w:gridCol w:w="1437"/>
        <w:gridCol w:w="1689"/>
        <w:gridCol w:w="1853"/>
        <w:gridCol w:w="1880"/>
      </w:tblGrid>
      <w:tr>
        <w:trPr>
          <w:trHeight w:val="396" w:hRule="atLeast"/>
        </w:trPr>
        <w:tc>
          <w:tcPr>
            <w:tcW w:w="662" w:type="dxa"/>
            <w:tcBorders>
              <w:top w:val="single" w:sz="4" w:space="0" w:color="000000"/>
              <w:left w:val="single" w:sz="4" w:space="0" w:color="000000"/>
              <w:bottom w:val="single" w:sz="4" w:space="0" w:color="000000"/>
              <w:right w:val="single" w:sz="4" w:space="0" w:color="000000"/>
            </w:tcBorders>
            <w:shd w:color="auto" w:fill="D9E2F3" w:val="clear"/>
          </w:tcPr>
          <w:p>
            <w:pPr>
              <w:pStyle w:val="Normal"/>
              <w:widowControl w:val="false"/>
              <w:spacing w:before="0" w:after="200"/>
              <w:jc w:val="center"/>
              <w:rPr>
                <w:rFonts w:ascii="Tahoma" w:hAnsi="Tahoma" w:eastAsia="Calibri" w:cs="Tahoma"/>
                <w:b/>
                <w:b/>
                <w:i/>
                <w:i/>
                <w:iCs/>
                <w:sz w:val="20"/>
                <w:szCs w:val="20"/>
              </w:rPr>
            </w:pPr>
            <w:r>
              <w:rPr>
                <w:rFonts w:eastAsia="Calibri" w:cs="Tahoma" w:ascii="Tahoma" w:hAnsi="Tahoma"/>
                <w:b/>
                <w:i/>
                <w:iCs/>
                <w:sz w:val="20"/>
                <w:szCs w:val="20"/>
              </w:rPr>
              <w:t>AÑO</w:t>
            </w:r>
          </w:p>
        </w:tc>
        <w:tc>
          <w:tcPr>
            <w:tcW w:w="1458" w:type="dxa"/>
            <w:tcBorders>
              <w:top w:val="single" w:sz="4" w:space="0" w:color="000000"/>
              <w:left w:val="single" w:sz="4" w:space="0" w:color="000000"/>
              <w:bottom w:val="single" w:sz="4" w:space="0" w:color="000000"/>
              <w:right w:val="single" w:sz="4" w:space="0" w:color="000000"/>
            </w:tcBorders>
            <w:shd w:color="auto" w:fill="D9E2F3" w:val="clear"/>
          </w:tcPr>
          <w:p>
            <w:pPr>
              <w:pStyle w:val="Normal"/>
              <w:widowControl w:val="false"/>
              <w:spacing w:before="0" w:after="200"/>
              <w:jc w:val="center"/>
              <w:rPr>
                <w:rFonts w:ascii="Tahoma" w:hAnsi="Tahoma" w:eastAsia="Calibri" w:cs="Tahoma"/>
                <w:b/>
                <w:b/>
                <w:i/>
                <w:i/>
                <w:iCs/>
                <w:sz w:val="20"/>
                <w:szCs w:val="20"/>
              </w:rPr>
            </w:pPr>
            <w:r>
              <w:rPr>
                <w:rFonts w:eastAsia="Calibri" w:cs="Tahoma" w:ascii="Tahoma" w:hAnsi="Tahoma"/>
                <w:b/>
                <w:i/>
                <w:iCs/>
                <w:sz w:val="20"/>
                <w:szCs w:val="20"/>
              </w:rPr>
              <w:t>OBJETIVO OPERATIVO</w:t>
            </w:r>
          </w:p>
        </w:tc>
        <w:tc>
          <w:tcPr>
            <w:tcW w:w="965" w:type="dxa"/>
            <w:tcBorders>
              <w:top w:val="single" w:sz="4" w:space="0" w:color="000000"/>
              <w:left w:val="single" w:sz="4" w:space="0" w:color="000000"/>
              <w:bottom w:val="single" w:sz="4" w:space="0" w:color="000000"/>
              <w:right w:val="single" w:sz="4" w:space="0" w:color="000000"/>
            </w:tcBorders>
            <w:shd w:color="auto" w:fill="D9E2F3" w:val="clear"/>
          </w:tcPr>
          <w:p>
            <w:pPr>
              <w:pStyle w:val="Normal"/>
              <w:widowControl w:val="false"/>
              <w:spacing w:before="0" w:after="200"/>
              <w:jc w:val="center"/>
              <w:rPr>
                <w:rFonts w:ascii="Tahoma" w:hAnsi="Tahoma" w:eastAsia="Calibri" w:cs="Tahoma"/>
                <w:b/>
                <w:b/>
                <w:i/>
                <w:i/>
                <w:iCs/>
                <w:sz w:val="20"/>
                <w:szCs w:val="20"/>
              </w:rPr>
            </w:pPr>
            <w:r>
              <w:rPr>
                <w:rFonts w:eastAsia="Calibri" w:cs="Tahoma" w:ascii="Tahoma" w:hAnsi="Tahoma"/>
                <w:b/>
                <w:i/>
                <w:iCs/>
                <w:sz w:val="20"/>
                <w:szCs w:val="20"/>
              </w:rPr>
              <w:t>META</w:t>
            </w:r>
          </w:p>
        </w:tc>
        <w:tc>
          <w:tcPr>
            <w:tcW w:w="1437" w:type="dxa"/>
            <w:tcBorders>
              <w:top w:val="single" w:sz="4" w:space="0" w:color="000000"/>
              <w:left w:val="single" w:sz="4" w:space="0" w:color="000000"/>
              <w:bottom w:val="single" w:sz="4" w:space="0" w:color="000000"/>
              <w:right w:val="single" w:sz="4" w:space="0" w:color="000000"/>
            </w:tcBorders>
            <w:shd w:color="auto" w:fill="D9E2F3" w:val="clear"/>
          </w:tcPr>
          <w:p>
            <w:pPr>
              <w:pStyle w:val="Normal"/>
              <w:widowControl w:val="false"/>
              <w:spacing w:before="0" w:after="200"/>
              <w:jc w:val="center"/>
              <w:rPr>
                <w:rFonts w:ascii="Tahoma" w:hAnsi="Tahoma" w:eastAsia="Calibri" w:cs="Tahoma"/>
                <w:b/>
                <w:b/>
                <w:i/>
                <w:i/>
                <w:iCs/>
                <w:sz w:val="20"/>
                <w:szCs w:val="20"/>
              </w:rPr>
            </w:pPr>
            <w:r>
              <w:rPr>
                <w:rFonts w:eastAsia="Calibri" w:cs="Tahoma" w:ascii="Tahoma" w:hAnsi="Tahoma"/>
                <w:b/>
                <w:i/>
                <w:iCs/>
                <w:sz w:val="20"/>
                <w:szCs w:val="20"/>
              </w:rPr>
              <w:t>INDICADOR</w:t>
            </w:r>
          </w:p>
        </w:tc>
        <w:tc>
          <w:tcPr>
            <w:tcW w:w="1689" w:type="dxa"/>
            <w:tcBorders>
              <w:top w:val="single" w:sz="4" w:space="0" w:color="000000"/>
              <w:left w:val="single" w:sz="4" w:space="0" w:color="000000"/>
              <w:bottom w:val="single" w:sz="4" w:space="0" w:color="000000"/>
              <w:right w:val="single" w:sz="4" w:space="0" w:color="000000"/>
            </w:tcBorders>
            <w:shd w:color="auto" w:fill="D9E2F3" w:val="clear"/>
          </w:tcPr>
          <w:p>
            <w:pPr>
              <w:pStyle w:val="Normal"/>
              <w:widowControl w:val="false"/>
              <w:spacing w:before="0" w:after="200"/>
              <w:jc w:val="center"/>
              <w:rPr>
                <w:rFonts w:ascii="Tahoma" w:hAnsi="Tahoma" w:eastAsia="Calibri" w:cs="Tahoma"/>
                <w:b/>
                <w:b/>
                <w:i/>
                <w:i/>
                <w:iCs/>
                <w:sz w:val="20"/>
                <w:szCs w:val="20"/>
              </w:rPr>
            </w:pPr>
            <w:r>
              <w:rPr>
                <w:rFonts w:eastAsia="Calibri" w:cs="Tahoma" w:ascii="Tahoma" w:hAnsi="Tahoma"/>
                <w:b/>
                <w:i/>
                <w:iCs/>
                <w:sz w:val="20"/>
                <w:szCs w:val="20"/>
              </w:rPr>
              <w:t>RESPONSABLE</w:t>
            </w:r>
          </w:p>
        </w:tc>
        <w:tc>
          <w:tcPr>
            <w:tcW w:w="1853" w:type="dxa"/>
            <w:tcBorders>
              <w:top w:val="single" w:sz="4" w:space="0" w:color="000000"/>
              <w:left w:val="single" w:sz="4" w:space="0" w:color="000000"/>
              <w:bottom w:val="single" w:sz="4" w:space="0" w:color="000000"/>
              <w:right w:val="single" w:sz="4" w:space="0" w:color="000000"/>
            </w:tcBorders>
            <w:shd w:color="auto" w:fill="D9E2F3" w:val="clear"/>
          </w:tcPr>
          <w:p>
            <w:pPr>
              <w:pStyle w:val="Normal"/>
              <w:widowControl w:val="false"/>
              <w:spacing w:before="0" w:after="200"/>
              <w:jc w:val="center"/>
              <w:rPr>
                <w:rFonts w:ascii="Tahoma" w:hAnsi="Tahoma" w:eastAsia="Calibri" w:cs="Tahoma"/>
                <w:b/>
                <w:b/>
                <w:i/>
                <w:i/>
                <w:iCs/>
                <w:sz w:val="20"/>
                <w:szCs w:val="20"/>
              </w:rPr>
            </w:pPr>
            <w:r>
              <w:rPr>
                <w:rFonts w:eastAsia="Calibri" w:cs="Tahoma" w:ascii="Tahoma" w:hAnsi="Tahoma"/>
                <w:b/>
                <w:i/>
                <w:iCs/>
                <w:sz w:val="20"/>
                <w:szCs w:val="20"/>
              </w:rPr>
              <w:t>ACTIVIDADES</w:t>
            </w:r>
          </w:p>
        </w:tc>
        <w:tc>
          <w:tcPr>
            <w:tcW w:w="1880" w:type="dxa"/>
            <w:tcBorders>
              <w:top w:val="single" w:sz="4" w:space="0" w:color="000000"/>
              <w:left w:val="single" w:sz="4" w:space="0" w:color="000000"/>
              <w:bottom w:val="single" w:sz="4" w:space="0" w:color="000000"/>
              <w:right w:val="single" w:sz="4" w:space="0" w:color="000000"/>
            </w:tcBorders>
            <w:shd w:color="auto" w:fill="D9E2F3" w:val="clear"/>
          </w:tcPr>
          <w:p>
            <w:pPr>
              <w:pStyle w:val="Normal"/>
              <w:widowControl w:val="false"/>
              <w:spacing w:before="0" w:after="200"/>
              <w:jc w:val="center"/>
              <w:rPr>
                <w:rFonts w:ascii="Tahoma" w:hAnsi="Tahoma" w:eastAsia="Calibri" w:cs="Tahoma"/>
                <w:b/>
                <w:b/>
                <w:i/>
                <w:i/>
                <w:iCs/>
                <w:sz w:val="20"/>
                <w:szCs w:val="20"/>
              </w:rPr>
            </w:pPr>
            <w:r>
              <w:rPr>
                <w:rFonts w:eastAsia="Calibri" w:cs="Tahoma" w:ascii="Tahoma" w:hAnsi="Tahoma"/>
                <w:b/>
                <w:i/>
                <w:iCs/>
                <w:sz w:val="20"/>
                <w:szCs w:val="20"/>
              </w:rPr>
              <w:t>COORDINACIÓN</w:t>
            </w:r>
          </w:p>
        </w:tc>
      </w:tr>
      <w:tr>
        <w:trPr>
          <w:trHeight w:val="55" w:hRule="atLeast"/>
        </w:trPr>
        <w:tc>
          <w:tcPr>
            <w:tcW w:w="6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ahoma" w:hAnsi="Tahoma" w:eastAsia="Calibri" w:cs="Tahoma"/>
                <w:i/>
                <w:i/>
                <w:iCs/>
                <w:sz w:val="20"/>
                <w:szCs w:val="20"/>
              </w:rPr>
            </w:pPr>
            <w:r>
              <w:rPr>
                <w:rFonts w:eastAsia="Calibri" w:cs="Tahoma" w:ascii="Tahoma" w:hAnsi="Tahoma"/>
                <w:i/>
                <w:iCs/>
                <w:sz w:val="20"/>
                <w:szCs w:val="20"/>
              </w:rPr>
              <w:t>2019</w:t>
            </w:r>
          </w:p>
        </w:tc>
        <w:tc>
          <w:tcPr>
            <w:tcW w:w="145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1.</w:t>
            </w:r>
          </w:p>
        </w:tc>
        <w:tc>
          <w:tcPr>
            <w:tcW w:w="96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1.1.</w:t>
            </w:r>
          </w:p>
        </w:tc>
        <w:tc>
          <w:tcPr>
            <w:tcW w:w="14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1.1.1.</w:t>
            </w:r>
          </w:p>
        </w:tc>
        <w:tc>
          <w:tcPr>
            <w:tcW w:w="1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r>
          </w:p>
        </w:tc>
        <w:tc>
          <w:tcPr>
            <w:tcW w:w="18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16"/>
              </w:numPr>
              <w:spacing w:lineRule="auto" w:line="240" w:before="0" w:after="0"/>
              <w:contextualSpacing/>
              <w:rPr>
                <w:rFonts w:ascii="Tahoma" w:hAnsi="Tahoma" w:cs="Tahoma"/>
                <w:i/>
                <w:i/>
                <w:iCs/>
                <w:sz w:val="20"/>
                <w:szCs w:val="20"/>
                <w:lang w:eastAsia="es-ES"/>
              </w:rPr>
            </w:pPr>
            <w:r>
              <w:rPr>
                <w:rFonts w:cs="Tahoma" w:ascii="Tahoma" w:hAnsi="Tahoma"/>
                <w:i/>
                <w:iCs/>
                <w:sz w:val="20"/>
                <w:szCs w:val="20"/>
                <w:lang w:eastAsia="es-ES"/>
              </w:rPr>
            </w:r>
          </w:p>
          <w:p>
            <w:pPr>
              <w:pStyle w:val="Normal"/>
              <w:widowControl w:val="false"/>
              <w:numPr>
                <w:ilvl w:val="0"/>
                <w:numId w:val="16"/>
              </w:numPr>
              <w:spacing w:lineRule="auto" w:line="240" w:before="0" w:after="0"/>
              <w:contextualSpacing/>
              <w:rPr>
                <w:rFonts w:ascii="Tahoma" w:hAnsi="Tahoma" w:cs="Tahoma"/>
                <w:i/>
                <w:i/>
                <w:iCs/>
                <w:sz w:val="20"/>
                <w:szCs w:val="20"/>
                <w:lang w:eastAsia="es-ES"/>
              </w:rPr>
            </w:pPr>
            <w:r>
              <w:rPr>
                <w:rFonts w:cs="Tahoma" w:ascii="Tahoma" w:hAnsi="Tahoma"/>
                <w:i/>
                <w:iCs/>
                <w:sz w:val="20"/>
                <w:szCs w:val="20"/>
                <w:lang w:eastAsia="es-ES"/>
              </w:rPr>
            </w:r>
          </w:p>
        </w:tc>
        <w:tc>
          <w:tcPr>
            <w:tcW w:w="18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r>
          </w:p>
        </w:tc>
      </w:tr>
      <w:tr>
        <w:trPr>
          <w:trHeight w:val="396" w:hRule="atLeast"/>
        </w:trPr>
        <w:tc>
          <w:tcPr>
            <w:tcW w:w="6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ahoma" w:hAnsi="Tahoma" w:eastAsia="Calibri" w:cs="Tahoma"/>
                <w:i/>
                <w:i/>
                <w:iCs/>
                <w:sz w:val="20"/>
                <w:szCs w:val="20"/>
              </w:rPr>
            </w:pPr>
            <w:r>
              <w:rPr>
                <w:rFonts w:eastAsia="Calibri" w:cs="Tahoma" w:ascii="Tahoma" w:hAnsi="Tahoma"/>
                <w:i/>
                <w:iCs/>
                <w:sz w:val="20"/>
                <w:szCs w:val="20"/>
              </w:rPr>
            </w:r>
          </w:p>
        </w:tc>
        <w:tc>
          <w:tcPr>
            <w:tcW w:w="145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2.</w:t>
            </w:r>
          </w:p>
        </w:tc>
        <w:tc>
          <w:tcPr>
            <w:tcW w:w="96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2.1.</w:t>
            </w:r>
          </w:p>
        </w:tc>
        <w:tc>
          <w:tcPr>
            <w:tcW w:w="14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2.1.1.</w:t>
            </w:r>
          </w:p>
        </w:tc>
        <w:tc>
          <w:tcPr>
            <w:tcW w:w="1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r>
          </w:p>
        </w:tc>
        <w:tc>
          <w:tcPr>
            <w:tcW w:w="18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16"/>
              </w:numPr>
              <w:spacing w:lineRule="auto" w:line="240" w:before="0" w:after="0"/>
              <w:contextualSpacing/>
              <w:rPr>
                <w:rFonts w:ascii="Tahoma" w:hAnsi="Tahoma" w:cs="Tahoma"/>
                <w:i/>
                <w:i/>
                <w:iCs/>
                <w:sz w:val="20"/>
                <w:szCs w:val="20"/>
                <w:lang w:eastAsia="es-ES"/>
              </w:rPr>
            </w:pPr>
            <w:r>
              <w:rPr>
                <w:rFonts w:cs="Tahoma" w:ascii="Tahoma" w:hAnsi="Tahoma"/>
                <w:i/>
                <w:iCs/>
                <w:sz w:val="20"/>
                <w:szCs w:val="20"/>
                <w:lang w:eastAsia="es-ES"/>
              </w:rPr>
            </w:r>
          </w:p>
          <w:p>
            <w:pPr>
              <w:pStyle w:val="Normal"/>
              <w:widowControl w:val="false"/>
              <w:numPr>
                <w:ilvl w:val="0"/>
                <w:numId w:val="16"/>
              </w:numPr>
              <w:spacing w:lineRule="auto" w:line="240" w:before="0" w:after="0"/>
              <w:contextualSpacing/>
              <w:rPr>
                <w:rFonts w:ascii="Tahoma" w:hAnsi="Tahoma" w:cs="Tahoma"/>
                <w:i/>
                <w:i/>
                <w:iCs/>
                <w:sz w:val="20"/>
                <w:szCs w:val="20"/>
                <w:lang w:eastAsia="es-ES"/>
              </w:rPr>
            </w:pPr>
            <w:r>
              <w:rPr>
                <w:rFonts w:cs="Tahoma" w:ascii="Tahoma" w:hAnsi="Tahoma"/>
                <w:i/>
                <w:iCs/>
                <w:sz w:val="20"/>
                <w:szCs w:val="20"/>
                <w:lang w:eastAsia="es-ES"/>
              </w:rPr>
            </w:r>
          </w:p>
        </w:tc>
        <w:tc>
          <w:tcPr>
            <w:tcW w:w="18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r>
            <w:bookmarkStart w:id="36" w:name="_Hlk9490936"/>
            <w:bookmarkStart w:id="37" w:name="_Hlk9490936"/>
            <w:bookmarkEnd w:id="37"/>
          </w:p>
        </w:tc>
      </w:tr>
      <w:tr>
        <w:trPr>
          <w:trHeight w:val="396" w:hRule="atLeast"/>
        </w:trPr>
        <w:tc>
          <w:tcPr>
            <w:tcW w:w="6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ahoma" w:hAnsi="Tahoma" w:eastAsia="Calibri" w:cs="Tahoma"/>
                <w:i/>
                <w:i/>
                <w:iCs/>
                <w:sz w:val="20"/>
                <w:szCs w:val="20"/>
              </w:rPr>
            </w:pPr>
            <w:r>
              <w:rPr>
                <w:rFonts w:eastAsia="Calibri" w:cs="Tahoma" w:ascii="Tahoma" w:hAnsi="Tahoma"/>
                <w:i/>
                <w:iCs/>
                <w:sz w:val="20"/>
                <w:szCs w:val="20"/>
              </w:rPr>
              <w:t>2020</w:t>
            </w:r>
          </w:p>
        </w:tc>
        <w:tc>
          <w:tcPr>
            <w:tcW w:w="145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1.</w:t>
            </w:r>
          </w:p>
        </w:tc>
        <w:tc>
          <w:tcPr>
            <w:tcW w:w="96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1.1.</w:t>
            </w:r>
          </w:p>
        </w:tc>
        <w:tc>
          <w:tcPr>
            <w:tcW w:w="14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1.1.1.</w:t>
            </w:r>
          </w:p>
        </w:tc>
        <w:tc>
          <w:tcPr>
            <w:tcW w:w="1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r>
          </w:p>
        </w:tc>
        <w:tc>
          <w:tcPr>
            <w:tcW w:w="18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16"/>
              </w:numPr>
              <w:spacing w:lineRule="auto" w:line="240" w:before="0" w:after="0"/>
              <w:contextualSpacing/>
              <w:rPr>
                <w:rFonts w:ascii="Tahoma" w:hAnsi="Tahoma" w:cs="Tahoma"/>
                <w:i/>
                <w:i/>
                <w:iCs/>
                <w:sz w:val="20"/>
                <w:szCs w:val="20"/>
                <w:lang w:eastAsia="es-ES"/>
              </w:rPr>
            </w:pPr>
            <w:r>
              <w:rPr>
                <w:rFonts w:cs="Tahoma" w:ascii="Tahoma" w:hAnsi="Tahoma"/>
                <w:i/>
                <w:iCs/>
                <w:sz w:val="20"/>
                <w:szCs w:val="20"/>
                <w:lang w:eastAsia="es-ES"/>
              </w:rPr>
            </w:r>
          </w:p>
          <w:p>
            <w:pPr>
              <w:pStyle w:val="Normal"/>
              <w:widowControl w:val="false"/>
              <w:numPr>
                <w:ilvl w:val="0"/>
                <w:numId w:val="16"/>
              </w:numPr>
              <w:spacing w:lineRule="auto" w:line="240" w:before="0" w:after="0"/>
              <w:contextualSpacing/>
              <w:rPr>
                <w:rFonts w:ascii="Tahoma" w:hAnsi="Tahoma" w:cs="Tahoma"/>
                <w:i/>
                <w:i/>
                <w:iCs/>
                <w:sz w:val="20"/>
                <w:szCs w:val="20"/>
                <w:lang w:eastAsia="es-ES"/>
              </w:rPr>
            </w:pPr>
            <w:r>
              <w:rPr>
                <w:rFonts w:cs="Tahoma" w:ascii="Tahoma" w:hAnsi="Tahoma"/>
                <w:i/>
                <w:iCs/>
                <w:sz w:val="20"/>
                <w:szCs w:val="20"/>
                <w:lang w:eastAsia="es-ES"/>
              </w:rPr>
            </w:r>
          </w:p>
        </w:tc>
        <w:tc>
          <w:tcPr>
            <w:tcW w:w="18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r>
          </w:p>
        </w:tc>
      </w:tr>
      <w:tr>
        <w:trPr>
          <w:trHeight w:val="396" w:hRule="atLeast"/>
        </w:trPr>
        <w:tc>
          <w:tcPr>
            <w:tcW w:w="6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ahoma" w:hAnsi="Tahoma" w:eastAsia="Calibri" w:cs="Tahoma"/>
                <w:i/>
                <w:i/>
                <w:iCs/>
                <w:sz w:val="20"/>
                <w:szCs w:val="20"/>
              </w:rPr>
            </w:pPr>
            <w:r>
              <w:rPr>
                <w:rFonts w:eastAsia="Calibri" w:cs="Tahoma" w:ascii="Tahoma" w:hAnsi="Tahoma"/>
                <w:i/>
                <w:iCs/>
                <w:sz w:val="20"/>
                <w:szCs w:val="20"/>
              </w:rPr>
            </w:r>
          </w:p>
        </w:tc>
        <w:tc>
          <w:tcPr>
            <w:tcW w:w="145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2.</w:t>
            </w:r>
          </w:p>
        </w:tc>
        <w:tc>
          <w:tcPr>
            <w:tcW w:w="96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2.1.</w:t>
            </w:r>
          </w:p>
        </w:tc>
        <w:tc>
          <w:tcPr>
            <w:tcW w:w="14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2.1.1.</w:t>
            </w:r>
          </w:p>
        </w:tc>
        <w:tc>
          <w:tcPr>
            <w:tcW w:w="1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r>
          </w:p>
        </w:tc>
        <w:tc>
          <w:tcPr>
            <w:tcW w:w="18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16"/>
              </w:numPr>
              <w:spacing w:lineRule="auto" w:line="240" w:before="0" w:after="0"/>
              <w:contextualSpacing/>
              <w:rPr>
                <w:rFonts w:ascii="Tahoma" w:hAnsi="Tahoma" w:cs="Tahoma"/>
                <w:i/>
                <w:i/>
                <w:iCs/>
                <w:sz w:val="20"/>
                <w:szCs w:val="20"/>
                <w:lang w:eastAsia="es-ES"/>
              </w:rPr>
            </w:pPr>
            <w:r>
              <w:rPr>
                <w:rFonts w:cs="Tahoma" w:ascii="Tahoma" w:hAnsi="Tahoma"/>
                <w:i/>
                <w:iCs/>
                <w:sz w:val="20"/>
                <w:szCs w:val="20"/>
                <w:lang w:eastAsia="es-ES"/>
              </w:rPr>
            </w:r>
          </w:p>
          <w:p>
            <w:pPr>
              <w:pStyle w:val="Normal"/>
              <w:widowControl w:val="false"/>
              <w:numPr>
                <w:ilvl w:val="0"/>
                <w:numId w:val="16"/>
              </w:numPr>
              <w:spacing w:lineRule="auto" w:line="240" w:before="0" w:after="0"/>
              <w:contextualSpacing/>
              <w:rPr>
                <w:rFonts w:ascii="Tahoma" w:hAnsi="Tahoma" w:cs="Tahoma"/>
                <w:i/>
                <w:i/>
                <w:iCs/>
                <w:sz w:val="20"/>
                <w:szCs w:val="20"/>
                <w:lang w:eastAsia="es-ES"/>
              </w:rPr>
            </w:pPr>
            <w:r>
              <w:rPr>
                <w:rFonts w:cs="Tahoma" w:ascii="Tahoma" w:hAnsi="Tahoma"/>
                <w:i/>
                <w:iCs/>
                <w:sz w:val="20"/>
                <w:szCs w:val="20"/>
                <w:lang w:eastAsia="es-ES"/>
              </w:rPr>
            </w:r>
          </w:p>
        </w:tc>
        <w:tc>
          <w:tcPr>
            <w:tcW w:w="18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r>
          </w:p>
        </w:tc>
      </w:tr>
      <w:tr>
        <w:trPr>
          <w:trHeight w:val="396" w:hRule="atLeast"/>
        </w:trPr>
        <w:tc>
          <w:tcPr>
            <w:tcW w:w="6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ahoma" w:hAnsi="Tahoma" w:eastAsia="Calibri" w:cs="Tahoma"/>
                <w:i/>
                <w:i/>
                <w:iCs/>
                <w:sz w:val="20"/>
                <w:szCs w:val="20"/>
              </w:rPr>
            </w:pPr>
            <w:r>
              <w:rPr>
                <w:rFonts w:eastAsia="Calibri" w:cs="Tahoma" w:ascii="Tahoma" w:hAnsi="Tahoma"/>
                <w:i/>
                <w:iCs/>
                <w:sz w:val="20"/>
                <w:szCs w:val="20"/>
              </w:rPr>
              <w:t>2021</w:t>
            </w:r>
          </w:p>
        </w:tc>
        <w:tc>
          <w:tcPr>
            <w:tcW w:w="145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1.</w:t>
            </w:r>
          </w:p>
        </w:tc>
        <w:tc>
          <w:tcPr>
            <w:tcW w:w="96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1.1.</w:t>
            </w:r>
          </w:p>
        </w:tc>
        <w:tc>
          <w:tcPr>
            <w:tcW w:w="14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1.1.1.</w:t>
            </w:r>
          </w:p>
        </w:tc>
        <w:tc>
          <w:tcPr>
            <w:tcW w:w="1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r>
          </w:p>
        </w:tc>
        <w:tc>
          <w:tcPr>
            <w:tcW w:w="18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17"/>
              </w:numPr>
              <w:spacing w:lineRule="auto" w:line="240" w:before="0" w:after="0"/>
              <w:contextualSpacing/>
              <w:rPr>
                <w:rFonts w:ascii="Tahoma" w:hAnsi="Tahoma" w:cs="Tahoma"/>
                <w:i/>
                <w:i/>
                <w:iCs/>
                <w:sz w:val="20"/>
                <w:szCs w:val="20"/>
                <w:lang w:eastAsia="es-ES"/>
              </w:rPr>
            </w:pPr>
            <w:r>
              <w:rPr>
                <w:rFonts w:cs="Tahoma" w:ascii="Tahoma" w:hAnsi="Tahoma"/>
                <w:i/>
                <w:iCs/>
                <w:sz w:val="20"/>
                <w:szCs w:val="20"/>
                <w:lang w:eastAsia="es-ES"/>
              </w:rPr>
            </w:r>
          </w:p>
          <w:p>
            <w:pPr>
              <w:pStyle w:val="Normal"/>
              <w:widowControl w:val="false"/>
              <w:numPr>
                <w:ilvl w:val="0"/>
                <w:numId w:val="17"/>
              </w:numPr>
              <w:spacing w:lineRule="auto" w:line="240" w:before="0" w:after="0"/>
              <w:contextualSpacing/>
              <w:rPr>
                <w:rFonts w:ascii="Tahoma" w:hAnsi="Tahoma" w:cs="Tahoma"/>
                <w:i/>
                <w:i/>
                <w:iCs/>
                <w:sz w:val="20"/>
                <w:szCs w:val="20"/>
                <w:lang w:eastAsia="es-ES"/>
              </w:rPr>
            </w:pPr>
            <w:r>
              <w:rPr>
                <w:rFonts w:cs="Tahoma" w:ascii="Tahoma" w:hAnsi="Tahoma"/>
                <w:i/>
                <w:iCs/>
                <w:sz w:val="20"/>
                <w:szCs w:val="20"/>
                <w:lang w:eastAsia="es-ES"/>
              </w:rPr>
            </w:r>
          </w:p>
        </w:tc>
        <w:tc>
          <w:tcPr>
            <w:tcW w:w="18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r>
          </w:p>
        </w:tc>
      </w:tr>
      <w:tr>
        <w:trPr>
          <w:trHeight w:val="396" w:hRule="atLeast"/>
        </w:trPr>
        <w:tc>
          <w:tcPr>
            <w:tcW w:w="6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ahoma" w:hAnsi="Tahoma" w:eastAsia="Calibri" w:cs="Tahoma"/>
                <w:i/>
                <w:i/>
                <w:iCs/>
                <w:sz w:val="20"/>
                <w:szCs w:val="20"/>
              </w:rPr>
            </w:pPr>
            <w:r>
              <w:rPr>
                <w:rFonts w:eastAsia="Calibri" w:cs="Tahoma" w:ascii="Tahoma" w:hAnsi="Tahoma"/>
                <w:i/>
                <w:iCs/>
                <w:sz w:val="20"/>
                <w:szCs w:val="20"/>
              </w:rPr>
            </w:r>
          </w:p>
        </w:tc>
        <w:tc>
          <w:tcPr>
            <w:tcW w:w="145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2.</w:t>
            </w:r>
          </w:p>
        </w:tc>
        <w:tc>
          <w:tcPr>
            <w:tcW w:w="96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2.1.</w:t>
            </w:r>
          </w:p>
        </w:tc>
        <w:tc>
          <w:tcPr>
            <w:tcW w:w="14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2.1.1.</w:t>
            </w:r>
          </w:p>
        </w:tc>
        <w:tc>
          <w:tcPr>
            <w:tcW w:w="1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r>
          </w:p>
        </w:tc>
        <w:tc>
          <w:tcPr>
            <w:tcW w:w="18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16"/>
              </w:numPr>
              <w:spacing w:lineRule="auto" w:line="240" w:before="0" w:after="0"/>
              <w:contextualSpacing/>
              <w:rPr>
                <w:rFonts w:ascii="Tahoma" w:hAnsi="Tahoma" w:cs="Tahoma"/>
                <w:i/>
                <w:i/>
                <w:iCs/>
                <w:sz w:val="20"/>
                <w:szCs w:val="20"/>
                <w:lang w:eastAsia="es-ES"/>
              </w:rPr>
            </w:pPr>
            <w:r>
              <w:rPr>
                <w:rFonts w:cs="Tahoma" w:ascii="Tahoma" w:hAnsi="Tahoma"/>
                <w:i/>
                <w:iCs/>
                <w:sz w:val="20"/>
                <w:szCs w:val="20"/>
                <w:lang w:eastAsia="es-ES"/>
              </w:rPr>
            </w:r>
          </w:p>
          <w:p>
            <w:pPr>
              <w:pStyle w:val="Normal"/>
              <w:widowControl w:val="false"/>
              <w:numPr>
                <w:ilvl w:val="0"/>
                <w:numId w:val="16"/>
              </w:numPr>
              <w:spacing w:lineRule="auto" w:line="240" w:before="0" w:after="0"/>
              <w:contextualSpacing/>
              <w:rPr>
                <w:rFonts w:ascii="Tahoma" w:hAnsi="Tahoma" w:cs="Tahoma"/>
                <w:i/>
                <w:i/>
                <w:iCs/>
                <w:sz w:val="20"/>
                <w:szCs w:val="20"/>
                <w:lang w:eastAsia="es-ES"/>
              </w:rPr>
            </w:pPr>
            <w:r>
              <w:rPr>
                <w:rFonts w:cs="Tahoma" w:ascii="Tahoma" w:hAnsi="Tahoma"/>
                <w:i/>
                <w:iCs/>
                <w:sz w:val="20"/>
                <w:szCs w:val="20"/>
                <w:lang w:eastAsia="es-ES"/>
              </w:rPr>
            </w:r>
          </w:p>
        </w:tc>
        <w:tc>
          <w:tcPr>
            <w:tcW w:w="18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r>
          </w:p>
        </w:tc>
      </w:tr>
      <w:tr>
        <w:trPr>
          <w:trHeight w:val="396" w:hRule="atLeast"/>
        </w:trPr>
        <w:tc>
          <w:tcPr>
            <w:tcW w:w="6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ahoma" w:hAnsi="Tahoma" w:eastAsia="Calibri" w:cs="Tahoma"/>
                <w:i/>
                <w:i/>
                <w:iCs/>
                <w:sz w:val="20"/>
                <w:szCs w:val="20"/>
              </w:rPr>
            </w:pPr>
            <w:r>
              <w:rPr>
                <w:rFonts w:eastAsia="Calibri" w:cs="Tahoma" w:ascii="Tahoma" w:hAnsi="Tahoma"/>
                <w:i/>
                <w:iCs/>
                <w:sz w:val="20"/>
                <w:szCs w:val="20"/>
              </w:rPr>
              <w:t>2022</w:t>
            </w:r>
          </w:p>
        </w:tc>
        <w:tc>
          <w:tcPr>
            <w:tcW w:w="145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1.</w:t>
            </w:r>
          </w:p>
        </w:tc>
        <w:tc>
          <w:tcPr>
            <w:tcW w:w="96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1.1.</w:t>
            </w:r>
          </w:p>
        </w:tc>
        <w:tc>
          <w:tcPr>
            <w:tcW w:w="14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1.1.1.</w:t>
            </w:r>
          </w:p>
        </w:tc>
        <w:tc>
          <w:tcPr>
            <w:tcW w:w="1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r>
          </w:p>
        </w:tc>
        <w:tc>
          <w:tcPr>
            <w:tcW w:w="18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18"/>
              </w:numPr>
              <w:spacing w:lineRule="auto" w:line="240" w:before="0" w:after="0"/>
              <w:contextualSpacing/>
              <w:rPr>
                <w:rFonts w:ascii="Tahoma" w:hAnsi="Tahoma" w:cs="Tahoma"/>
                <w:i/>
                <w:i/>
                <w:iCs/>
                <w:sz w:val="20"/>
                <w:szCs w:val="20"/>
                <w:lang w:eastAsia="es-ES"/>
              </w:rPr>
            </w:pPr>
            <w:r>
              <w:rPr>
                <w:rFonts w:cs="Tahoma" w:ascii="Tahoma" w:hAnsi="Tahoma"/>
                <w:i/>
                <w:iCs/>
                <w:sz w:val="20"/>
                <w:szCs w:val="20"/>
                <w:lang w:eastAsia="es-ES"/>
              </w:rPr>
            </w:r>
          </w:p>
          <w:p>
            <w:pPr>
              <w:pStyle w:val="Normal"/>
              <w:widowControl w:val="false"/>
              <w:numPr>
                <w:ilvl w:val="0"/>
                <w:numId w:val="18"/>
              </w:numPr>
              <w:spacing w:lineRule="auto" w:line="240" w:before="0" w:after="0"/>
              <w:contextualSpacing/>
              <w:rPr>
                <w:rFonts w:ascii="Tahoma" w:hAnsi="Tahoma" w:cs="Tahoma"/>
                <w:i/>
                <w:i/>
                <w:iCs/>
                <w:sz w:val="20"/>
                <w:szCs w:val="20"/>
                <w:lang w:eastAsia="es-ES"/>
              </w:rPr>
            </w:pPr>
            <w:r>
              <w:rPr>
                <w:rFonts w:cs="Tahoma" w:ascii="Tahoma" w:hAnsi="Tahoma"/>
                <w:i/>
                <w:iCs/>
                <w:sz w:val="20"/>
                <w:szCs w:val="20"/>
                <w:lang w:eastAsia="es-ES"/>
              </w:rPr>
            </w:r>
          </w:p>
        </w:tc>
        <w:tc>
          <w:tcPr>
            <w:tcW w:w="18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r>
          </w:p>
        </w:tc>
      </w:tr>
      <w:tr>
        <w:trPr>
          <w:trHeight w:val="396" w:hRule="atLeast"/>
        </w:trPr>
        <w:tc>
          <w:tcPr>
            <w:tcW w:w="6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ahoma" w:hAnsi="Tahoma" w:eastAsia="Calibri" w:cs="Tahoma"/>
                <w:i/>
                <w:i/>
                <w:iCs/>
                <w:sz w:val="20"/>
                <w:szCs w:val="20"/>
              </w:rPr>
            </w:pPr>
            <w:r>
              <w:rPr>
                <w:rFonts w:eastAsia="Calibri" w:cs="Tahoma" w:ascii="Tahoma" w:hAnsi="Tahoma"/>
                <w:i/>
                <w:iCs/>
                <w:sz w:val="20"/>
                <w:szCs w:val="20"/>
              </w:rPr>
            </w:r>
          </w:p>
        </w:tc>
        <w:tc>
          <w:tcPr>
            <w:tcW w:w="145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2.</w:t>
            </w:r>
          </w:p>
        </w:tc>
        <w:tc>
          <w:tcPr>
            <w:tcW w:w="96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2.1.</w:t>
            </w:r>
          </w:p>
        </w:tc>
        <w:tc>
          <w:tcPr>
            <w:tcW w:w="14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2.1.1.</w:t>
            </w:r>
          </w:p>
        </w:tc>
        <w:tc>
          <w:tcPr>
            <w:tcW w:w="1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r>
          </w:p>
        </w:tc>
        <w:tc>
          <w:tcPr>
            <w:tcW w:w="18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16"/>
              </w:numPr>
              <w:spacing w:lineRule="auto" w:line="240" w:before="0" w:after="0"/>
              <w:contextualSpacing/>
              <w:rPr>
                <w:rFonts w:ascii="Tahoma" w:hAnsi="Tahoma" w:cs="Tahoma"/>
                <w:i/>
                <w:i/>
                <w:iCs/>
                <w:sz w:val="20"/>
                <w:szCs w:val="20"/>
                <w:lang w:eastAsia="es-ES"/>
              </w:rPr>
            </w:pPr>
            <w:r>
              <w:rPr>
                <w:rFonts w:cs="Tahoma" w:ascii="Tahoma" w:hAnsi="Tahoma"/>
                <w:i/>
                <w:iCs/>
                <w:sz w:val="20"/>
                <w:szCs w:val="20"/>
                <w:lang w:eastAsia="es-ES"/>
              </w:rPr>
            </w:r>
          </w:p>
          <w:p>
            <w:pPr>
              <w:pStyle w:val="Normal"/>
              <w:widowControl w:val="false"/>
              <w:numPr>
                <w:ilvl w:val="0"/>
                <w:numId w:val="16"/>
              </w:numPr>
              <w:spacing w:lineRule="auto" w:line="240" w:before="0" w:after="0"/>
              <w:contextualSpacing/>
              <w:rPr>
                <w:rFonts w:ascii="Tahoma" w:hAnsi="Tahoma" w:cs="Tahoma"/>
                <w:i/>
                <w:i/>
                <w:iCs/>
                <w:sz w:val="20"/>
                <w:szCs w:val="20"/>
                <w:lang w:eastAsia="es-ES"/>
              </w:rPr>
            </w:pPr>
            <w:r>
              <w:rPr>
                <w:rFonts w:cs="Tahoma" w:ascii="Tahoma" w:hAnsi="Tahoma"/>
                <w:i/>
                <w:iCs/>
                <w:sz w:val="20"/>
                <w:szCs w:val="20"/>
                <w:lang w:eastAsia="es-ES"/>
              </w:rPr>
            </w:r>
          </w:p>
        </w:tc>
        <w:tc>
          <w:tcPr>
            <w:tcW w:w="18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r>
          </w:p>
        </w:tc>
      </w:tr>
      <w:tr>
        <w:trPr>
          <w:trHeight w:val="396" w:hRule="atLeast"/>
        </w:trPr>
        <w:tc>
          <w:tcPr>
            <w:tcW w:w="6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ahoma" w:hAnsi="Tahoma" w:eastAsia="Calibri" w:cs="Tahoma"/>
                <w:i/>
                <w:i/>
                <w:iCs/>
                <w:sz w:val="20"/>
                <w:szCs w:val="20"/>
              </w:rPr>
            </w:pPr>
            <w:r>
              <w:rPr>
                <w:rFonts w:eastAsia="Calibri" w:cs="Tahoma" w:ascii="Tahoma" w:hAnsi="Tahoma"/>
                <w:i/>
                <w:iCs/>
                <w:sz w:val="20"/>
                <w:szCs w:val="20"/>
              </w:rPr>
              <w:t>2023</w:t>
            </w:r>
          </w:p>
        </w:tc>
        <w:tc>
          <w:tcPr>
            <w:tcW w:w="145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1.</w:t>
            </w:r>
          </w:p>
        </w:tc>
        <w:tc>
          <w:tcPr>
            <w:tcW w:w="96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1.1.</w:t>
            </w:r>
          </w:p>
        </w:tc>
        <w:tc>
          <w:tcPr>
            <w:tcW w:w="14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1.1.1.</w:t>
            </w:r>
          </w:p>
        </w:tc>
        <w:tc>
          <w:tcPr>
            <w:tcW w:w="1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r>
          </w:p>
        </w:tc>
        <w:tc>
          <w:tcPr>
            <w:tcW w:w="18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19"/>
              </w:numPr>
              <w:spacing w:lineRule="auto" w:line="240" w:before="0" w:after="0"/>
              <w:contextualSpacing/>
              <w:rPr>
                <w:rFonts w:ascii="Tahoma" w:hAnsi="Tahoma" w:cs="Tahoma"/>
                <w:i/>
                <w:i/>
                <w:iCs/>
                <w:sz w:val="20"/>
                <w:szCs w:val="20"/>
                <w:lang w:eastAsia="es-ES"/>
              </w:rPr>
            </w:pPr>
            <w:r>
              <w:rPr>
                <w:rFonts w:cs="Tahoma" w:ascii="Tahoma" w:hAnsi="Tahoma"/>
                <w:i/>
                <w:iCs/>
                <w:sz w:val="20"/>
                <w:szCs w:val="20"/>
                <w:lang w:eastAsia="es-ES"/>
              </w:rPr>
            </w:r>
          </w:p>
          <w:p>
            <w:pPr>
              <w:pStyle w:val="Normal"/>
              <w:widowControl w:val="false"/>
              <w:numPr>
                <w:ilvl w:val="0"/>
                <w:numId w:val="19"/>
              </w:numPr>
              <w:spacing w:lineRule="auto" w:line="240" w:before="0" w:after="0"/>
              <w:contextualSpacing/>
              <w:rPr>
                <w:rFonts w:ascii="Tahoma" w:hAnsi="Tahoma" w:cs="Tahoma"/>
                <w:i/>
                <w:i/>
                <w:iCs/>
                <w:sz w:val="20"/>
                <w:szCs w:val="20"/>
                <w:lang w:eastAsia="es-ES"/>
              </w:rPr>
            </w:pPr>
            <w:r>
              <w:rPr>
                <w:rFonts w:cs="Tahoma" w:ascii="Tahoma" w:hAnsi="Tahoma"/>
                <w:i/>
                <w:iCs/>
                <w:sz w:val="20"/>
                <w:szCs w:val="20"/>
                <w:lang w:eastAsia="es-ES"/>
              </w:rPr>
            </w:r>
          </w:p>
        </w:tc>
        <w:tc>
          <w:tcPr>
            <w:tcW w:w="18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r>
          </w:p>
        </w:tc>
      </w:tr>
      <w:tr>
        <w:trPr>
          <w:trHeight w:val="396" w:hRule="atLeast"/>
        </w:trPr>
        <w:tc>
          <w:tcPr>
            <w:tcW w:w="6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ahoma" w:hAnsi="Tahoma" w:eastAsia="Calibri" w:cs="Tahoma"/>
                <w:i/>
                <w:i/>
                <w:iCs/>
                <w:sz w:val="20"/>
                <w:szCs w:val="20"/>
              </w:rPr>
            </w:pPr>
            <w:r>
              <w:rPr>
                <w:rFonts w:eastAsia="Calibri" w:cs="Tahoma" w:ascii="Tahoma" w:hAnsi="Tahoma"/>
                <w:i/>
                <w:iCs/>
                <w:sz w:val="20"/>
                <w:szCs w:val="20"/>
              </w:rPr>
            </w:r>
          </w:p>
        </w:tc>
        <w:tc>
          <w:tcPr>
            <w:tcW w:w="145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2.</w:t>
            </w:r>
          </w:p>
        </w:tc>
        <w:tc>
          <w:tcPr>
            <w:tcW w:w="96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2.1.</w:t>
            </w:r>
          </w:p>
        </w:tc>
        <w:tc>
          <w:tcPr>
            <w:tcW w:w="14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2.1.1.</w:t>
            </w:r>
          </w:p>
        </w:tc>
        <w:tc>
          <w:tcPr>
            <w:tcW w:w="1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r>
          </w:p>
        </w:tc>
        <w:tc>
          <w:tcPr>
            <w:tcW w:w="18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16"/>
              </w:numPr>
              <w:spacing w:lineRule="auto" w:line="240" w:before="0" w:after="0"/>
              <w:contextualSpacing/>
              <w:rPr>
                <w:rFonts w:ascii="Tahoma" w:hAnsi="Tahoma" w:cs="Tahoma"/>
                <w:i/>
                <w:i/>
                <w:iCs/>
                <w:sz w:val="20"/>
                <w:szCs w:val="20"/>
                <w:lang w:eastAsia="es-ES"/>
              </w:rPr>
            </w:pPr>
            <w:r>
              <w:rPr>
                <w:rFonts w:cs="Tahoma" w:ascii="Tahoma" w:hAnsi="Tahoma"/>
                <w:i/>
                <w:iCs/>
                <w:sz w:val="20"/>
                <w:szCs w:val="20"/>
                <w:lang w:eastAsia="es-ES"/>
              </w:rPr>
            </w:r>
          </w:p>
          <w:p>
            <w:pPr>
              <w:pStyle w:val="Normal"/>
              <w:widowControl w:val="false"/>
              <w:numPr>
                <w:ilvl w:val="0"/>
                <w:numId w:val="16"/>
              </w:numPr>
              <w:spacing w:lineRule="auto" w:line="240" w:before="0" w:after="0"/>
              <w:contextualSpacing/>
              <w:rPr>
                <w:rFonts w:ascii="Tahoma" w:hAnsi="Tahoma" w:cs="Tahoma"/>
                <w:i/>
                <w:i/>
                <w:iCs/>
                <w:sz w:val="20"/>
                <w:szCs w:val="20"/>
                <w:lang w:eastAsia="es-ES"/>
              </w:rPr>
            </w:pPr>
            <w:r>
              <w:rPr>
                <w:rFonts w:cs="Tahoma" w:ascii="Tahoma" w:hAnsi="Tahoma"/>
                <w:i/>
                <w:iCs/>
                <w:sz w:val="20"/>
                <w:szCs w:val="20"/>
                <w:lang w:eastAsia="es-ES"/>
              </w:rPr>
            </w:r>
          </w:p>
        </w:tc>
        <w:tc>
          <w:tcPr>
            <w:tcW w:w="18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r>
            <w:bookmarkStart w:id="38" w:name="_Hlk24553052"/>
            <w:bookmarkStart w:id="39" w:name="_Hlk24553052"/>
            <w:bookmarkEnd w:id="39"/>
          </w:p>
        </w:tc>
      </w:tr>
      <w:tr>
        <w:trPr>
          <w:trHeight w:val="396" w:hRule="atLeast"/>
        </w:trPr>
        <w:tc>
          <w:tcPr>
            <w:tcW w:w="6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ahoma" w:hAnsi="Tahoma" w:eastAsia="Calibri" w:cs="Tahoma"/>
                <w:i/>
                <w:i/>
                <w:iCs/>
                <w:sz w:val="20"/>
                <w:szCs w:val="20"/>
              </w:rPr>
            </w:pPr>
            <w:r>
              <w:rPr>
                <w:rFonts w:eastAsia="Calibri" w:cs="Tahoma" w:ascii="Tahoma" w:hAnsi="Tahoma"/>
                <w:i/>
                <w:iCs/>
                <w:sz w:val="20"/>
                <w:szCs w:val="20"/>
              </w:rPr>
              <w:t>2024</w:t>
            </w:r>
          </w:p>
        </w:tc>
        <w:tc>
          <w:tcPr>
            <w:tcW w:w="145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1.</w:t>
            </w:r>
          </w:p>
        </w:tc>
        <w:tc>
          <w:tcPr>
            <w:tcW w:w="96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1.1.</w:t>
            </w:r>
          </w:p>
        </w:tc>
        <w:tc>
          <w:tcPr>
            <w:tcW w:w="14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1.1.1.</w:t>
            </w:r>
          </w:p>
        </w:tc>
        <w:tc>
          <w:tcPr>
            <w:tcW w:w="1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r>
          </w:p>
        </w:tc>
        <w:tc>
          <w:tcPr>
            <w:tcW w:w="18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20"/>
              </w:numPr>
              <w:spacing w:lineRule="auto" w:line="240" w:before="0" w:after="0"/>
              <w:contextualSpacing/>
              <w:rPr>
                <w:rFonts w:ascii="Tahoma" w:hAnsi="Tahoma" w:cs="Tahoma"/>
                <w:i/>
                <w:i/>
                <w:iCs/>
                <w:sz w:val="20"/>
                <w:szCs w:val="20"/>
                <w:lang w:eastAsia="es-ES"/>
              </w:rPr>
            </w:pPr>
            <w:r>
              <w:rPr>
                <w:rFonts w:cs="Tahoma" w:ascii="Tahoma" w:hAnsi="Tahoma"/>
                <w:i/>
                <w:iCs/>
                <w:sz w:val="20"/>
                <w:szCs w:val="20"/>
                <w:lang w:eastAsia="es-ES"/>
              </w:rPr>
            </w:r>
          </w:p>
          <w:p>
            <w:pPr>
              <w:pStyle w:val="Normal"/>
              <w:widowControl w:val="false"/>
              <w:numPr>
                <w:ilvl w:val="0"/>
                <w:numId w:val="20"/>
              </w:numPr>
              <w:spacing w:lineRule="auto" w:line="240" w:before="0" w:after="0"/>
              <w:contextualSpacing/>
              <w:rPr>
                <w:rFonts w:ascii="Tahoma" w:hAnsi="Tahoma" w:cs="Tahoma"/>
                <w:i/>
                <w:i/>
                <w:iCs/>
                <w:sz w:val="20"/>
                <w:szCs w:val="20"/>
                <w:lang w:eastAsia="es-ES"/>
              </w:rPr>
            </w:pPr>
            <w:r>
              <w:rPr>
                <w:rFonts w:cs="Tahoma" w:ascii="Tahoma" w:hAnsi="Tahoma"/>
                <w:i/>
                <w:iCs/>
                <w:sz w:val="20"/>
                <w:szCs w:val="20"/>
                <w:lang w:eastAsia="es-ES"/>
              </w:rPr>
            </w:r>
          </w:p>
        </w:tc>
        <w:tc>
          <w:tcPr>
            <w:tcW w:w="18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r>
          </w:p>
        </w:tc>
      </w:tr>
      <w:tr>
        <w:trPr>
          <w:trHeight w:val="407" w:hRule="atLeast"/>
        </w:trPr>
        <w:tc>
          <w:tcPr>
            <w:tcW w:w="6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ahoma" w:hAnsi="Tahoma" w:eastAsia="Calibri" w:cs="Tahoma"/>
                <w:i/>
                <w:i/>
                <w:iCs/>
                <w:sz w:val="20"/>
                <w:szCs w:val="20"/>
              </w:rPr>
            </w:pPr>
            <w:r>
              <w:rPr>
                <w:rFonts w:eastAsia="Calibri" w:cs="Tahoma" w:ascii="Tahoma" w:hAnsi="Tahoma"/>
                <w:i/>
                <w:iCs/>
                <w:sz w:val="20"/>
                <w:szCs w:val="20"/>
              </w:rPr>
            </w:r>
          </w:p>
        </w:tc>
        <w:tc>
          <w:tcPr>
            <w:tcW w:w="145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2.</w:t>
            </w:r>
          </w:p>
        </w:tc>
        <w:tc>
          <w:tcPr>
            <w:tcW w:w="96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2.1.</w:t>
            </w:r>
          </w:p>
        </w:tc>
        <w:tc>
          <w:tcPr>
            <w:tcW w:w="14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2.1.1.</w:t>
            </w:r>
          </w:p>
        </w:tc>
        <w:tc>
          <w:tcPr>
            <w:tcW w:w="1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r>
          </w:p>
        </w:tc>
        <w:tc>
          <w:tcPr>
            <w:tcW w:w="18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16"/>
              </w:numPr>
              <w:spacing w:lineRule="auto" w:line="240" w:before="0" w:after="0"/>
              <w:contextualSpacing/>
              <w:rPr>
                <w:rFonts w:ascii="Tahoma" w:hAnsi="Tahoma" w:cs="Tahoma"/>
                <w:i/>
                <w:i/>
                <w:iCs/>
                <w:sz w:val="20"/>
                <w:szCs w:val="20"/>
                <w:lang w:eastAsia="es-ES"/>
              </w:rPr>
            </w:pPr>
            <w:r>
              <w:rPr>
                <w:rFonts w:cs="Tahoma" w:ascii="Tahoma" w:hAnsi="Tahoma"/>
                <w:i/>
                <w:iCs/>
                <w:sz w:val="20"/>
                <w:szCs w:val="20"/>
                <w:lang w:eastAsia="es-ES"/>
              </w:rPr>
            </w:r>
          </w:p>
          <w:p>
            <w:pPr>
              <w:pStyle w:val="Normal"/>
              <w:widowControl w:val="false"/>
              <w:numPr>
                <w:ilvl w:val="0"/>
                <w:numId w:val="20"/>
              </w:numPr>
              <w:spacing w:lineRule="auto" w:line="240" w:before="0" w:after="0"/>
              <w:contextualSpacing/>
              <w:rPr>
                <w:rFonts w:ascii="Tahoma" w:hAnsi="Tahoma" w:cs="Tahoma"/>
                <w:i/>
                <w:i/>
                <w:iCs/>
                <w:sz w:val="20"/>
                <w:szCs w:val="20"/>
                <w:lang w:eastAsia="es-ES"/>
              </w:rPr>
            </w:pPr>
            <w:r>
              <w:rPr>
                <w:rFonts w:cs="Tahoma" w:ascii="Tahoma" w:hAnsi="Tahoma"/>
                <w:i/>
                <w:iCs/>
                <w:sz w:val="20"/>
                <w:szCs w:val="20"/>
                <w:lang w:eastAsia="es-ES"/>
              </w:rPr>
            </w:r>
          </w:p>
        </w:tc>
        <w:tc>
          <w:tcPr>
            <w:tcW w:w="18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r>
          </w:p>
        </w:tc>
      </w:tr>
    </w:tbl>
    <w:p>
      <w:pPr>
        <w:pStyle w:val="Normal"/>
        <w:rPr>
          <w:rFonts w:ascii="Tahoma" w:hAnsi="Tahoma" w:eastAsia="Calibri" w:cs="Tahoma"/>
          <w:b/>
          <w:b/>
          <w:i/>
          <w:i/>
          <w:iCs/>
          <w:sz w:val="20"/>
          <w:szCs w:val="20"/>
        </w:rPr>
      </w:pPr>
      <w:r>
        <w:rPr>
          <w:rFonts w:eastAsia="Calibri" w:cs="Tahoma" w:ascii="Tahoma" w:hAnsi="Tahoma"/>
          <w:b/>
          <w:i/>
          <w:iCs/>
          <w:sz w:val="20"/>
          <w:szCs w:val="20"/>
        </w:rPr>
      </w:r>
    </w:p>
    <w:p>
      <w:pPr>
        <w:pStyle w:val="Normal"/>
        <w:rPr>
          <w:rFonts w:ascii="Tahoma" w:hAnsi="Tahoma" w:eastAsia="Calibri" w:cs="Tahoma"/>
          <w:i/>
          <w:i/>
          <w:iCs/>
          <w:sz w:val="20"/>
          <w:szCs w:val="20"/>
        </w:rPr>
      </w:pPr>
      <w:r>
        <w:rPr>
          <w:rFonts w:eastAsia="Calibri" w:cs="Tahoma" w:ascii="Tahoma" w:hAnsi="Tahoma"/>
          <w:b/>
          <w:i/>
          <w:iCs/>
          <w:sz w:val="20"/>
          <w:szCs w:val="20"/>
        </w:rPr>
        <w:t xml:space="preserve">Fuente: </w:t>
      </w:r>
      <w:r>
        <w:rPr>
          <w:rFonts w:eastAsia="Calibri" w:cs="Tahoma" w:ascii="Tahoma" w:hAnsi="Tahoma"/>
          <w:i/>
          <w:iCs/>
          <w:sz w:val="20"/>
          <w:szCs w:val="20"/>
        </w:rPr>
        <w:t xml:space="preserve">Elaboración propia. </w:t>
      </w:r>
    </w:p>
    <w:p>
      <w:pPr>
        <w:pStyle w:val="Normal"/>
        <w:rPr>
          <w:rFonts w:ascii="Tahoma" w:hAnsi="Tahoma" w:eastAsia="Calibri" w:cs="Tahoma"/>
          <w:i/>
          <w:i/>
          <w:iCs/>
          <w:sz w:val="20"/>
          <w:szCs w:val="20"/>
        </w:rPr>
      </w:pPr>
      <w:r>
        <w:rPr>
          <w:rFonts w:eastAsia="Calibri" w:cs="Tahoma" w:ascii="Tahoma" w:hAnsi="Tahoma"/>
          <w:i/>
          <w:iCs/>
          <w:sz w:val="20"/>
          <w:szCs w:val="20"/>
        </w:rPr>
      </w:r>
    </w:p>
    <w:p>
      <w:pPr>
        <w:pStyle w:val="Normal"/>
        <w:numPr>
          <w:ilvl w:val="0"/>
          <w:numId w:val="10"/>
        </w:numPr>
        <w:spacing w:lineRule="auto" w:line="240" w:before="0" w:after="0"/>
        <w:ind w:left="993" w:hanging="360"/>
        <w:contextualSpacing/>
        <w:jc w:val="both"/>
        <w:rPr>
          <w:rFonts w:ascii="Tahoma" w:hAnsi="Tahoma" w:cs="Tahoma"/>
          <w:b/>
          <w:b/>
          <w:i/>
          <w:i/>
          <w:iCs/>
          <w:sz w:val="20"/>
          <w:szCs w:val="20"/>
          <w:lang w:eastAsia="es-ES"/>
        </w:rPr>
      </w:pPr>
      <w:r>
        <w:rPr>
          <w:rFonts w:cs="Tahoma" w:ascii="Tahoma" w:hAnsi="Tahoma"/>
          <w:b/>
          <w:i/>
          <w:iCs/>
          <w:sz w:val="20"/>
          <w:szCs w:val="20"/>
          <w:lang w:eastAsia="es-ES"/>
        </w:rPr>
        <w:t xml:space="preserve">Análisis de impacto presupuestario de implementación de la política institucional.  </w:t>
      </w:r>
    </w:p>
    <w:p>
      <w:pPr>
        <w:pStyle w:val="Normal"/>
        <w:spacing w:before="0" w:after="200"/>
        <w:ind w:left="567" w:right="618" w:hanging="0"/>
        <w:contextualSpacing/>
        <w:jc w:val="both"/>
        <w:rPr>
          <w:rFonts w:ascii="Tahoma" w:hAnsi="Tahoma" w:cs="Tahoma"/>
          <w:b/>
          <w:b/>
          <w:i/>
          <w:i/>
          <w:iCs/>
          <w:sz w:val="20"/>
          <w:szCs w:val="20"/>
          <w:lang w:eastAsia="es-ES"/>
        </w:rPr>
      </w:pPr>
      <w:r>
        <w:rPr>
          <w:rFonts w:cs="Tahoma" w:ascii="Tahoma" w:hAnsi="Tahoma"/>
          <w:b/>
          <w:i/>
          <w:iCs/>
          <w:sz w:val="20"/>
          <w:szCs w:val="20"/>
          <w:lang w:eastAsia="es-ES"/>
        </w:rPr>
      </w:r>
    </w:p>
    <w:p>
      <w:pPr>
        <w:pStyle w:val="Normal"/>
        <w:spacing w:before="0" w:after="200"/>
        <w:ind w:left="633" w:right="618" w:hanging="0"/>
        <w:contextualSpacing/>
        <w:jc w:val="both"/>
        <w:rPr>
          <w:rFonts w:ascii="Tahoma" w:hAnsi="Tahoma" w:cs="Tahoma"/>
          <w:i/>
          <w:i/>
          <w:iCs/>
          <w:sz w:val="20"/>
          <w:szCs w:val="20"/>
          <w:lang w:eastAsia="es-ES"/>
        </w:rPr>
      </w:pPr>
      <w:r>
        <w:rPr>
          <w:rFonts w:cs="Tahoma" w:ascii="Tahoma" w:hAnsi="Tahoma"/>
          <w:i/>
          <w:iCs/>
          <w:sz w:val="20"/>
          <w:szCs w:val="20"/>
          <w:lang w:eastAsia="es-ES"/>
        </w:rPr>
        <w:t xml:space="preserve">La instancia rectora de la política deberá presentar la estimación presupuestaria por año requerida para la implementación de la política institucional, acorde al plan de acción definido y a las directrices de formulación presupuestaria. </w:t>
      </w:r>
    </w:p>
    <w:p>
      <w:pPr>
        <w:pStyle w:val="Normal"/>
        <w:spacing w:before="0" w:after="200"/>
        <w:ind w:right="618" w:hanging="0"/>
        <w:contextualSpacing/>
        <w:jc w:val="both"/>
        <w:rPr>
          <w:rFonts w:ascii="Tahoma" w:hAnsi="Tahoma" w:cs="Tahoma"/>
          <w:i/>
          <w:i/>
          <w:iCs/>
          <w:sz w:val="20"/>
          <w:szCs w:val="20"/>
          <w:lang w:eastAsia="es-ES"/>
        </w:rPr>
      </w:pPr>
      <w:r>
        <w:rPr>
          <w:rFonts w:cs="Tahoma" w:ascii="Tahoma" w:hAnsi="Tahoma"/>
          <w:i/>
          <w:iCs/>
          <w:sz w:val="20"/>
          <w:szCs w:val="20"/>
          <w:lang w:eastAsia="es-ES"/>
        </w:rPr>
      </w:r>
    </w:p>
    <w:p>
      <w:pPr>
        <w:pStyle w:val="Normal"/>
        <w:spacing w:before="0" w:after="200"/>
        <w:ind w:left="567" w:right="618" w:hanging="0"/>
        <w:contextualSpacing/>
        <w:jc w:val="both"/>
        <w:rPr>
          <w:rFonts w:ascii="Tahoma" w:hAnsi="Tahoma" w:cs="Tahoma"/>
          <w:b/>
          <w:b/>
          <w:i/>
          <w:i/>
          <w:iCs/>
          <w:sz w:val="20"/>
          <w:szCs w:val="20"/>
          <w:lang w:eastAsia="es-ES"/>
        </w:rPr>
      </w:pPr>
      <w:r>
        <w:rPr>
          <w:rFonts w:cs="Tahoma" w:ascii="Tahoma" w:hAnsi="Tahoma"/>
          <w:i/>
          <w:iCs/>
          <w:sz w:val="20"/>
          <w:szCs w:val="20"/>
          <w:lang w:eastAsia="es-ES"/>
        </w:rPr>
        <w:t xml:space="preserve">Deberán incluirse los recursos necesarios, tanto ordinarios como extraordinarios, tales como: recurso humano, equipo y mobiliario, suministros, recursos tecnológicos, viáticos, etc; que garanticen la sostenibilidad de la Política. Además, debe considerar las limitaciones presupuestarias por las que se enfrenta la Institución. </w:t>
      </w:r>
    </w:p>
    <w:p>
      <w:pPr>
        <w:pStyle w:val="Normal"/>
        <w:spacing w:before="0" w:after="200"/>
        <w:ind w:left="567" w:right="618" w:hanging="0"/>
        <w:contextualSpacing/>
        <w:jc w:val="both"/>
        <w:rPr>
          <w:rFonts w:ascii="Tahoma" w:hAnsi="Tahoma" w:cs="Tahoma"/>
          <w:b/>
          <w:b/>
          <w:i/>
          <w:i/>
          <w:iCs/>
          <w:sz w:val="20"/>
          <w:szCs w:val="20"/>
          <w:lang w:eastAsia="es-ES"/>
        </w:rPr>
      </w:pPr>
      <w:r>
        <w:rPr>
          <w:rFonts w:cs="Tahoma" w:ascii="Tahoma" w:hAnsi="Tahoma"/>
          <w:b/>
          <w:i/>
          <w:iCs/>
          <w:sz w:val="20"/>
          <w:szCs w:val="20"/>
          <w:lang w:eastAsia="es-ES"/>
        </w:rPr>
      </w:r>
    </w:p>
    <w:p>
      <w:pPr>
        <w:pStyle w:val="Normal"/>
        <w:numPr>
          <w:ilvl w:val="0"/>
          <w:numId w:val="10"/>
        </w:numPr>
        <w:spacing w:lineRule="auto" w:line="240" w:before="0" w:after="0"/>
        <w:ind w:left="993" w:hanging="360"/>
        <w:contextualSpacing/>
        <w:jc w:val="both"/>
        <w:rPr>
          <w:rFonts w:ascii="Tahoma" w:hAnsi="Tahoma" w:cs="Tahoma"/>
          <w:b/>
          <w:b/>
          <w:i/>
          <w:i/>
          <w:iCs/>
          <w:sz w:val="20"/>
          <w:szCs w:val="20"/>
          <w:lang w:eastAsia="es-ES"/>
        </w:rPr>
      </w:pPr>
      <w:r>
        <w:rPr>
          <w:rFonts w:cs="Tahoma" w:ascii="Tahoma" w:hAnsi="Tahoma"/>
          <w:b/>
          <w:i/>
          <w:iCs/>
          <w:sz w:val="20"/>
          <w:szCs w:val="20"/>
          <w:lang w:eastAsia="es-ES"/>
        </w:rPr>
        <w:t xml:space="preserve">Definición del modelo de gestión para la implementación, seguimiento y evaluación. </w:t>
      </w:r>
      <w:bookmarkStart w:id="40" w:name="_Hlk9600380"/>
      <w:bookmarkEnd w:id="40"/>
    </w:p>
    <w:p>
      <w:pPr>
        <w:pStyle w:val="Normal"/>
        <w:ind w:left="567" w:right="618" w:hanging="0"/>
        <w:jc w:val="both"/>
        <w:rPr>
          <w:rFonts w:ascii="Tahoma" w:hAnsi="Tahoma" w:cs="Tahoma"/>
          <w:i/>
          <w:i/>
          <w:iCs/>
          <w:sz w:val="20"/>
          <w:szCs w:val="20"/>
          <w:lang w:eastAsia="es-ES"/>
        </w:rPr>
      </w:pPr>
      <w:r>
        <w:rPr>
          <w:rFonts w:cs="Tahoma" w:ascii="Tahoma" w:hAnsi="Tahoma"/>
          <w:i/>
          <w:iCs/>
          <w:sz w:val="20"/>
          <w:szCs w:val="20"/>
          <w:lang w:eastAsia="es-ES"/>
        </w:rPr>
      </w:r>
    </w:p>
    <w:p>
      <w:pPr>
        <w:pStyle w:val="Normal"/>
        <w:ind w:left="567" w:right="618" w:hanging="0"/>
        <w:jc w:val="both"/>
        <w:rPr>
          <w:rFonts w:ascii="Tahoma" w:hAnsi="Tahoma" w:eastAsia="Calibri" w:cs="Tahoma"/>
          <w:i/>
          <w:i/>
          <w:iCs/>
          <w:sz w:val="20"/>
          <w:szCs w:val="20"/>
        </w:rPr>
      </w:pPr>
      <w:r>
        <w:rPr>
          <w:rFonts w:eastAsia="Calibri" w:cs="Tahoma" w:ascii="Tahoma" w:hAnsi="Tahoma"/>
          <w:i/>
          <w:iCs/>
          <w:sz w:val="20"/>
          <w:szCs w:val="20"/>
        </w:rPr>
        <w:t xml:space="preserve">Este modelo tiene como fin garantizar la implementación efectiva de la Política Institucional; por lo tanto, lo que se proponga realizar en cada una de estas etapas deberá ser incorporado en el plan de acción, que permite operativizar su cumplimiento. </w:t>
      </w:r>
    </w:p>
    <w:p>
      <w:pPr>
        <w:pStyle w:val="Normal"/>
        <w:ind w:left="567" w:right="618" w:hanging="0"/>
        <w:jc w:val="both"/>
        <w:rPr>
          <w:rFonts w:ascii="Tahoma" w:hAnsi="Tahoma" w:eastAsia="Calibri" w:cs="Tahoma"/>
          <w:i/>
          <w:i/>
          <w:iCs/>
          <w:sz w:val="20"/>
          <w:szCs w:val="20"/>
        </w:rPr>
      </w:pPr>
      <w:r>
        <w:rPr>
          <w:rFonts w:eastAsia="Calibri" w:cs="Tahoma" w:ascii="Tahoma" w:hAnsi="Tahoma"/>
          <w:i/>
          <w:iCs/>
          <w:sz w:val="20"/>
          <w:szCs w:val="20"/>
        </w:rPr>
      </w:r>
    </w:p>
    <w:p>
      <w:pPr>
        <w:pStyle w:val="Normal"/>
        <w:ind w:left="567" w:right="618" w:hanging="0"/>
        <w:jc w:val="both"/>
        <w:rPr>
          <w:rFonts w:ascii="Tahoma" w:hAnsi="Tahoma" w:eastAsia="Calibri" w:cs="Tahoma"/>
          <w:i/>
          <w:i/>
          <w:iCs/>
          <w:sz w:val="20"/>
          <w:szCs w:val="20"/>
        </w:rPr>
      </w:pPr>
      <w:r>
        <w:rPr>
          <w:rFonts w:eastAsia="Calibri" w:cs="Tahoma" w:ascii="Tahoma" w:hAnsi="Tahoma"/>
          <w:i/>
          <w:iCs/>
          <w:sz w:val="20"/>
          <w:szCs w:val="20"/>
        </w:rPr>
        <w:t xml:space="preserve">Es de relevancia que se defina con claridad los roles y responsabilidades de cada instancia involucrada en la implementación, seguimiento y evaluación de la política. </w:t>
      </w:r>
    </w:p>
    <w:p>
      <w:pPr>
        <w:pStyle w:val="Normal"/>
        <w:ind w:left="567" w:right="618" w:hanging="0"/>
        <w:jc w:val="both"/>
        <w:rPr>
          <w:rFonts w:ascii="Tahoma" w:hAnsi="Tahoma" w:eastAsia="Calibri" w:cs="Tahoma"/>
          <w:i/>
          <w:i/>
          <w:iCs/>
          <w:sz w:val="20"/>
          <w:szCs w:val="20"/>
        </w:rPr>
      </w:pPr>
      <w:r>
        <w:rPr>
          <w:rFonts w:eastAsia="Calibri" w:cs="Tahoma" w:ascii="Tahoma" w:hAnsi="Tahoma"/>
          <w:i/>
          <w:iCs/>
          <w:sz w:val="20"/>
          <w:szCs w:val="20"/>
        </w:rPr>
      </w:r>
    </w:p>
    <w:p>
      <w:pPr>
        <w:pStyle w:val="Normal"/>
        <w:ind w:left="567" w:right="618" w:hanging="0"/>
        <w:jc w:val="both"/>
        <w:rPr>
          <w:rFonts w:ascii="Tahoma" w:hAnsi="Tahoma" w:eastAsia="Calibri" w:cs="Tahoma"/>
          <w:i/>
          <w:i/>
          <w:iCs/>
          <w:sz w:val="20"/>
          <w:szCs w:val="20"/>
        </w:rPr>
      </w:pPr>
      <w:r>
        <w:rPr>
          <w:rFonts w:eastAsia="Calibri" w:cs="Tahoma" w:ascii="Tahoma" w:hAnsi="Tahoma"/>
          <w:i/>
          <w:iCs/>
          <w:sz w:val="20"/>
          <w:szCs w:val="20"/>
        </w:rPr>
        <w:t xml:space="preserve">En el apartado Fase III: Implementación y Fase IV: Seguimiento y Evaluación, se detallarán los aspectos a considerar en la definición de este modelo de gestión para la implementación, seguimiento y evaluación de la política. </w:t>
      </w:r>
    </w:p>
    <w:p>
      <w:pPr>
        <w:pStyle w:val="Normal"/>
        <w:ind w:left="567" w:right="618" w:hanging="0"/>
        <w:jc w:val="both"/>
        <w:rPr>
          <w:rFonts w:ascii="Tahoma" w:hAnsi="Tahoma" w:eastAsia="Calibri" w:cs="Tahoma"/>
          <w:i/>
          <w:i/>
          <w:iCs/>
          <w:sz w:val="20"/>
          <w:szCs w:val="20"/>
        </w:rPr>
      </w:pPr>
      <w:r>
        <w:rPr>
          <w:rFonts w:eastAsia="Calibri" w:cs="Tahoma" w:ascii="Tahoma" w:hAnsi="Tahoma"/>
          <w:i/>
          <w:iCs/>
          <w:sz w:val="20"/>
          <w:szCs w:val="20"/>
        </w:rPr>
      </w:r>
    </w:p>
    <w:p>
      <w:pPr>
        <w:pStyle w:val="Normal"/>
        <w:numPr>
          <w:ilvl w:val="0"/>
          <w:numId w:val="10"/>
        </w:numPr>
        <w:spacing w:lineRule="auto" w:line="240" w:before="0" w:after="0"/>
        <w:ind w:left="993" w:hanging="360"/>
        <w:contextualSpacing/>
        <w:jc w:val="both"/>
        <w:rPr>
          <w:rFonts w:ascii="Tahoma" w:hAnsi="Tahoma" w:cs="Tahoma"/>
          <w:b/>
          <w:b/>
          <w:i/>
          <w:i/>
          <w:iCs/>
          <w:sz w:val="20"/>
          <w:szCs w:val="20"/>
          <w:lang w:eastAsia="es-ES"/>
        </w:rPr>
      </w:pPr>
      <w:r>
        <w:rPr>
          <w:rFonts w:cs="Tahoma" w:ascii="Tahoma" w:hAnsi="Tahoma"/>
          <w:b/>
          <w:i/>
          <w:iCs/>
          <w:sz w:val="20"/>
          <w:szCs w:val="20"/>
          <w:lang w:eastAsia="es-ES"/>
        </w:rPr>
        <w:t xml:space="preserve">Validación y aprobación de la política institucional: </w:t>
      </w:r>
    </w:p>
    <w:p>
      <w:pPr>
        <w:pStyle w:val="Normal"/>
        <w:spacing w:before="0" w:after="200"/>
        <w:ind w:left="633" w:hanging="0"/>
        <w:contextualSpacing/>
        <w:jc w:val="both"/>
        <w:rPr>
          <w:rFonts w:ascii="Tahoma" w:hAnsi="Tahoma" w:cs="Tahoma"/>
          <w:b/>
          <w:b/>
          <w:i/>
          <w:i/>
          <w:iCs/>
          <w:sz w:val="20"/>
          <w:szCs w:val="20"/>
          <w:lang w:eastAsia="es-ES"/>
        </w:rPr>
      </w:pPr>
      <w:r>
        <w:rPr>
          <w:rFonts w:cs="Tahoma" w:ascii="Tahoma" w:hAnsi="Tahoma"/>
          <w:b/>
          <w:i/>
          <w:iCs/>
          <w:sz w:val="20"/>
          <w:szCs w:val="20"/>
          <w:lang w:eastAsia="es-ES"/>
        </w:rPr>
      </w:r>
    </w:p>
    <w:p>
      <w:pPr>
        <w:pStyle w:val="Normal"/>
        <w:spacing w:before="0" w:after="200"/>
        <w:ind w:left="633" w:hanging="0"/>
        <w:contextualSpacing/>
        <w:jc w:val="both"/>
        <w:rPr>
          <w:rFonts w:ascii="Tahoma" w:hAnsi="Tahoma" w:cs="Tahoma"/>
          <w:i/>
          <w:i/>
          <w:iCs/>
          <w:sz w:val="20"/>
          <w:szCs w:val="20"/>
          <w:lang w:eastAsia="es-ES"/>
        </w:rPr>
      </w:pPr>
      <w:r>
        <w:rPr>
          <w:rFonts w:cs="Tahoma" w:ascii="Tahoma" w:hAnsi="Tahoma"/>
          <w:i/>
          <w:iCs/>
          <w:sz w:val="20"/>
          <w:szCs w:val="20"/>
          <w:lang w:eastAsia="es-ES"/>
        </w:rPr>
        <w:t>Para realizar la validación y aprobación de la Política, se debe realizar los siguientes pasos.</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jc w:val="center"/>
        <w:rPr>
          <w:rFonts w:ascii="Tahoma" w:hAnsi="Tahoma" w:eastAsia="Calibri" w:cs="Tahoma"/>
          <w:b/>
          <w:b/>
          <w:i/>
          <w:i/>
          <w:iCs/>
          <w:sz w:val="20"/>
          <w:szCs w:val="20"/>
        </w:rPr>
      </w:pPr>
      <w:bookmarkStart w:id="41" w:name="_Hlk9328369"/>
      <w:r>
        <w:rPr>
          <w:rFonts w:eastAsia="Calibri" w:cs="Tahoma" w:ascii="Tahoma" w:hAnsi="Tahoma"/>
          <w:b/>
          <w:i/>
          <w:iCs/>
          <w:sz w:val="20"/>
          <w:szCs w:val="20"/>
        </w:rPr>
        <w:t>Figura 4</w:t>
      </w:r>
    </w:p>
    <w:p>
      <w:pPr>
        <w:pStyle w:val="Normal"/>
        <w:jc w:val="center"/>
        <w:rPr>
          <w:rFonts w:ascii="Tahoma" w:hAnsi="Tahoma" w:eastAsia="Calibri" w:cs="Tahoma"/>
          <w:b/>
          <w:b/>
          <w:i/>
          <w:i/>
          <w:iCs/>
          <w:sz w:val="20"/>
          <w:szCs w:val="20"/>
        </w:rPr>
      </w:pPr>
      <w:r>
        <w:rPr>
          <w:rFonts w:eastAsia="Calibri" w:cs="Tahoma" w:ascii="Tahoma" w:hAnsi="Tahoma"/>
          <w:b/>
          <w:i/>
          <w:iCs/>
          <w:sz w:val="20"/>
          <w:szCs w:val="20"/>
        </w:rPr>
        <w:t>Proceso de aprobación de las políticas institucionales</w:t>
      </w:r>
    </w:p>
    <w:p>
      <w:pPr>
        <w:pStyle w:val="Normal"/>
        <w:jc w:val="both"/>
        <w:rPr>
          <w:rFonts w:ascii="Tahoma" w:hAnsi="Tahoma" w:eastAsia="Calibri" w:cs="Tahoma"/>
          <w:i/>
          <w:i/>
          <w:iCs/>
          <w:sz w:val="20"/>
          <w:szCs w:val="20"/>
        </w:rPr>
      </w:pPr>
      <w:r>
        <w:rPr/>
        <w:drawing>
          <wp:inline distT="0" distB="0" distL="0" distR="0">
            <wp:extent cx="5400040" cy="2306320"/>
            <wp:effectExtent l="0" t="0" r="0" b="0"/>
            <wp:docPr id="16" name="Imagen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9" descr=""/>
                    <pic:cNvPicPr>
                      <a:picLocks noChangeAspect="1" noChangeArrowheads="1"/>
                    </pic:cNvPicPr>
                  </pic:nvPicPr>
                  <pic:blipFill>
                    <a:blip r:embed="rId19"/>
                    <a:stretch>
                      <a:fillRect/>
                    </a:stretch>
                  </pic:blipFill>
                  <pic:spPr bwMode="auto">
                    <a:xfrm>
                      <a:off x="0" y="0"/>
                      <a:ext cx="5400040" cy="2306320"/>
                    </a:xfrm>
                    <a:prstGeom prst="rect">
                      <a:avLst/>
                    </a:prstGeom>
                  </pic:spPr>
                </pic:pic>
              </a:graphicData>
            </a:graphic>
          </wp:inline>
        </w:drawing>
      </w:r>
    </w:p>
    <w:p>
      <w:pPr>
        <w:pStyle w:val="Normal"/>
        <w:jc w:val="both"/>
        <w:rPr>
          <w:rFonts w:ascii="Tahoma" w:hAnsi="Tahoma" w:eastAsia="Calibri" w:cs="Tahoma"/>
          <w:i/>
          <w:i/>
          <w:iCs/>
          <w:sz w:val="20"/>
          <w:szCs w:val="20"/>
        </w:rPr>
      </w:pPr>
      <w:r>
        <w:rPr>
          <w:rFonts w:eastAsia="Calibri" w:cs="Tahoma" w:ascii="Tahoma" w:hAnsi="Tahoma"/>
          <w:b/>
          <w:i/>
          <w:iCs/>
          <w:sz w:val="20"/>
          <w:szCs w:val="20"/>
        </w:rPr>
        <w:t>Fuente:</w:t>
      </w:r>
      <w:r>
        <w:rPr>
          <w:rFonts w:eastAsia="Calibri" w:cs="Tahoma" w:ascii="Tahoma" w:hAnsi="Tahoma"/>
          <w:i/>
          <w:iCs/>
          <w:sz w:val="20"/>
          <w:szCs w:val="20"/>
        </w:rPr>
        <w:t xml:space="preserve"> Elaboración propia.</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ind w:firstLine="708"/>
        <w:jc w:val="both"/>
        <w:rPr>
          <w:rFonts w:ascii="Tahoma" w:hAnsi="Tahoma" w:eastAsia="Calibri" w:cs="Tahoma"/>
          <w:i/>
          <w:i/>
          <w:iCs/>
          <w:sz w:val="20"/>
          <w:szCs w:val="20"/>
        </w:rPr>
      </w:pPr>
      <w:r>
        <w:rPr>
          <w:rFonts w:eastAsia="Calibri" w:cs="Tahoma" w:ascii="Tahoma" w:hAnsi="Tahoma"/>
          <w:i/>
          <w:iCs/>
          <w:sz w:val="20"/>
          <w:szCs w:val="20"/>
        </w:rPr>
        <w:t>Cabe indicar, que el paso 4 se realiza paralelamente, con el fin de no causar retrocesos del proceso. En este caso, la Instancia o Comisión Institucional deberá poner en conocimiento de la Dirección de Planificación y la Dirección Jurídica, para que estas se manifiesten sobre los aspectos técnicos que a cada una le competen, con un plazo prudencial.</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keepNext w:val="true"/>
        <w:widowControl w:val="false"/>
        <w:numPr>
          <w:ilvl w:val="0"/>
          <w:numId w:val="0"/>
        </w:numPr>
        <w:ind w:left="720" w:hanging="720"/>
        <w:outlineLvl w:val="2"/>
        <w:rPr>
          <w:rFonts w:ascii="Tahoma" w:hAnsi="Tahoma" w:cs="Tahoma"/>
          <w:b/>
          <w:b/>
          <w:bCs/>
          <w:i/>
          <w:i/>
          <w:iCs/>
          <w:sz w:val="20"/>
          <w:szCs w:val="20"/>
          <w:lang w:eastAsia="es-ES"/>
        </w:rPr>
      </w:pPr>
      <w:bookmarkStart w:id="42" w:name="_Hlk9328369"/>
      <w:bookmarkStart w:id="43" w:name="_Toc24623674"/>
      <w:bookmarkStart w:id="44" w:name="_Toc24623621"/>
      <w:r>
        <w:rPr>
          <w:rFonts w:cs="Tahoma" w:ascii="Tahoma" w:hAnsi="Tahoma"/>
          <w:b/>
          <w:bCs/>
          <w:i/>
          <w:iCs/>
          <w:sz w:val="20"/>
          <w:szCs w:val="20"/>
          <w:lang w:eastAsia="es-ES"/>
        </w:rPr>
        <w:t xml:space="preserve">3.2.2.3 </w:t>
      </w:r>
      <w:bookmarkEnd w:id="42"/>
      <w:r>
        <w:rPr>
          <w:rFonts w:cs="Tahoma" w:ascii="Tahoma" w:hAnsi="Tahoma"/>
          <w:b/>
          <w:bCs/>
          <w:i/>
          <w:iCs/>
          <w:sz w:val="20"/>
          <w:szCs w:val="20"/>
          <w:lang w:eastAsia="es-ES"/>
        </w:rPr>
        <w:t>Fase 3: Implementación de la política institucional</w:t>
      </w:r>
      <w:bookmarkEnd w:id="43"/>
      <w:bookmarkEnd w:id="44"/>
    </w:p>
    <w:p>
      <w:pPr>
        <w:pStyle w:val="Normal"/>
        <w:rPr>
          <w:rFonts w:ascii="Tahoma" w:hAnsi="Tahoma" w:eastAsia="Calibri" w:cs="Tahoma"/>
          <w:b/>
          <w:b/>
          <w:i/>
          <w:i/>
          <w:iCs/>
          <w:sz w:val="20"/>
          <w:szCs w:val="20"/>
        </w:rPr>
      </w:pPr>
      <w:r>
        <w:rPr>
          <w:rFonts w:eastAsia="Calibri" w:cs="Tahoma" w:ascii="Tahoma" w:hAnsi="Tahoma"/>
          <w:b/>
          <w:i/>
          <w:iCs/>
          <w:sz w:val="20"/>
          <w:szCs w:val="20"/>
        </w:rPr>
      </w:r>
    </w:p>
    <w:p>
      <w:pPr>
        <w:pStyle w:val="Normal"/>
        <w:ind w:right="51" w:firstLine="708"/>
        <w:jc w:val="both"/>
        <w:rPr>
          <w:rFonts w:ascii="Tahoma" w:hAnsi="Tahoma" w:eastAsia="Calibri" w:cs="Tahoma"/>
          <w:i/>
          <w:i/>
          <w:iCs/>
          <w:sz w:val="20"/>
          <w:szCs w:val="20"/>
        </w:rPr>
      </w:pPr>
      <w:r>
        <w:rPr>
          <w:rFonts w:eastAsia="Calibri" w:cs="Tahoma" w:ascii="Tahoma" w:hAnsi="Tahoma"/>
          <w:i/>
          <w:iCs/>
          <w:sz w:val="20"/>
          <w:szCs w:val="20"/>
        </w:rPr>
        <w:t xml:space="preserve">Una vez aprobada la política institucional por la Corte Plena se deberá iniciar su implementación. Esta fase se caracteriza por dar pase a la ejecución de lo definido en el plan de acción, cuyos compromisos se verán reflejados de manera automatizada a través del Sistema de formulación y seguimiento de los Planes Anuales Operativos (Sistema PAO). </w:t>
      </w:r>
    </w:p>
    <w:p>
      <w:pPr>
        <w:pStyle w:val="Normal"/>
        <w:ind w:right="51" w:hanging="0"/>
        <w:jc w:val="both"/>
        <w:rPr>
          <w:rFonts w:ascii="Tahoma" w:hAnsi="Tahoma" w:eastAsia="Calibri" w:cs="Tahoma"/>
          <w:i/>
          <w:i/>
          <w:iCs/>
          <w:sz w:val="20"/>
          <w:szCs w:val="20"/>
        </w:rPr>
      </w:pPr>
      <w:r>
        <w:rPr>
          <w:rFonts w:eastAsia="Calibri" w:cs="Tahoma" w:ascii="Tahoma" w:hAnsi="Tahoma"/>
          <w:i/>
          <w:iCs/>
          <w:sz w:val="20"/>
          <w:szCs w:val="20"/>
        </w:rPr>
      </w:r>
    </w:p>
    <w:p>
      <w:pPr>
        <w:pStyle w:val="Normal"/>
        <w:ind w:right="51" w:firstLine="708"/>
        <w:jc w:val="both"/>
        <w:rPr>
          <w:rFonts w:ascii="Tahoma" w:hAnsi="Tahoma" w:eastAsia="Calibri" w:cs="Tahoma"/>
          <w:i/>
          <w:i/>
          <w:iCs/>
          <w:sz w:val="20"/>
          <w:szCs w:val="20"/>
        </w:rPr>
      </w:pPr>
      <w:r>
        <w:rPr>
          <w:rFonts w:eastAsia="Calibri" w:cs="Tahoma" w:ascii="Tahoma" w:hAnsi="Tahoma"/>
          <w:i/>
          <w:iCs/>
          <w:sz w:val="20"/>
          <w:szCs w:val="20"/>
        </w:rPr>
        <w:t>Tal cual se mencionó supra, el plan de acción de la política institucional deberá ser validado, consensuado y aceptado por las instancias, oficinas y despachos que serán responsables operativos del cumplimiento de los objetivos operativos alineados a la política institucional.</w:t>
      </w:r>
    </w:p>
    <w:p>
      <w:pPr>
        <w:pStyle w:val="Normal"/>
        <w:ind w:right="618" w:hanging="0"/>
        <w:jc w:val="both"/>
        <w:rPr>
          <w:rFonts w:ascii="Tahoma" w:hAnsi="Tahoma" w:eastAsia="Calibri" w:cs="Tahoma"/>
          <w:i/>
          <w:i/>
          <w:iCs/>
          <w:sz w:val="20"/>
          <w:szCs w:val="20"/>
        </w:rPr>
      </w:pPr>
      <w:r>
        <w:rPr>
          <w:rFonts w:eastAsia="Calibri" w:cs="Tahoma" w:ascii="Tahoma" w:hAnsi="Tahoma"/>
          <w:i/>
          <w:iCs/>
          <w:sz w:val="20"/>
          <w:szCs w:val="20"/>
        </w:rPr>
      </w:r>
    </w:p>
    <w:p>
      <w:pPr>
        <w:pStyle w:val="Normal"/>
        <w:ind w:firstLine="708"/>
        <w:jc w:val="both"/>
        <w:rPr>
          <w:rFonts w:ascii="Tahoma" w:hAnsi="Tahoma" w:eastAsia="Calibri" w:cs="Tahoma"/>
          <w:i/>
          <w:i/>
          <w:iCs/>
          <w:sz w:val="20"/>
          <w:szCs w:val="20"/>
        </w:rPr>
      </w:pPr>
      <w:r>
        <w:rPr>
          <w:rFonts w:eastAsia="Calibri" w:cs="Tahoma" w:ascii="Tahoma" w:hAnsi="Tahoma"/>
          <w:i/>
          <w:iCs/>
          <w:sz w:val="20"/>
          <w:szCs w:val="20"/>
        </w:rPr>
        <w:t>Asimismo, la instancia rectora de la política institucional, previo a la formulación de los PAOs cada año, deberá asegurar que el plan de acción haya sido validado, consensuado y aceptado por cada instancia involucrada, esto por cuanto el plan de acción puede tener ajustes o actualizaciones anuales.</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ind w:firstLine="708"/>
        <w:jc w:val="both"/>
        <w:rPr>
          <w:rFonts w:ascii="Tahoma" w:hAnsi="Tahoma" w:eastAsia="Calibri" w:cs="Tahoma"/>
          <w:i/>
          <w:i/>
          <w:iCs/>
          <w:sz w:val="20"/>
          <w:szCs w:val="20"/>
        </w:rPr>
      </w:pPr>
      <w:r>
        <w:rPr>
          <w:rFonts w:eastAsia="Calibri" w:cs="Tahoma" w:ascii="Tahoma" w:hAnsi="Tahoma"/>
          <w:i/>
          <w:iCs/>
          <w:sz w:val="20"/>
          <w:szCs w:val="20"/>
        </w:rPr>
        <w:t xml:space="preserve">Posteriormente, la instancia rectora de la política deberá coordinar con la Dirección de Planificación, para que se vincule con el Plan Estratégico Institucional, por medio del Sistema PEI, ya que los compromisos anuales propuestos se cargarían automáticamente, a través del Sistema de los Planes Anuales Operativos, a las oficinas responsables de implementar las acciones operativas de la política. </w:t>
      </w:r>
    </w:p>
    <w:p>
      <w:pPr>
        <w:pStyle w:val="Normal"/>
        <w:ind w:right="618" w:hanging="0"/>
        <w:jc w:val="both"/>
        <w:rPr>
          <w:rFonts w:ascii="Tahoma" w:hAnsi="Tahoma" w:eastAsia="Calibri" w:cs="Tahoma"/>
          <w:i/>
          <w:i/>
          <w:iCs/>
          <w:sz w:val="20"/>
          <w:szCs w:val="20"/>
        </w:rPr>
      </w:pPr>
      <w:r>
        <w:rPr>
          <w:rFonts w:eastAsia="Calibri" w:cs="Tahoma" w:ascii="Tahoma" w:hAnsi="Tahoma"/>
          <w:i/>
          <w:iCs/>
          <w:sz w:val="20"/>
          <w:szCs w:val="20"/>
        </w:rPr>
      </w:r>
    </w:p>
    <w:p>
      <w:pPr>
        <w:pStyle w:val="Normal"/>
        <w:keepNext w:val="true"/>
        <w:widowControl w:val="false"/>
        <w:numPr>
          <w:ilvl w:val="0"/>
          <w:numId w:val="0"/>
        </w:numPr>
        <w:ind w:left="720" w:hanging="720"/>
        <w:outlineLvl w:val="2"/>
        <w:rPr>
          <w:rFonts w:ascii="Tahoma" w:hAnsi="Tahoma" w:cs="Tahoma"/>
          <w:b/>
          <w:b/>
          <w:i/>
          <w:i/>
          <w:iCs/>
          <w:sz w:val="20"/>
          <w:szCs w:val="20"/>
          <w:lang w:eastAsia="es-ES"/>
        </w:rPr>
      </w:pPr>
      <w:bookmarkStart w:id="45" w:name="_Toc24623675"/>
      <w:bookmarkStart w:id="46" w:name="_Toc24623622"/>
      <w:r>
        <w:rPr>
          <w:rFonts w:cs="Tahoma" w:ascii="Tahoma" w:hAnsi="Tahoma"/>
          <w:b/>
          <w:i/>
          <w:iCs/>
          <w:sz w:val="20"/>
          <w:szCs w:val="20"/>
          <w:lang w:eastAsia="es-ES"/>
        </w:rPr>
        <w:t>3.2.2.4 Fase 4: Seguimiento y evaluación</w:t>
      </w:r>
      <w:bookmarkEnd w:id="45"/>
      <w:bookmarkEnd w:id="46"/>
    </w:p>
    <w:p>
      <w:pPr>
        <w:pStyle w:val="Normal"/>
        <w:ind w:right="51" w:hanging="0"/>
        <w:jc w:val="both"/>
        <w:rPr>
          <w:rFonts w:ascii="Tahoma" w:hAnsi="Tahoma" w:eastAsia="Calibri" w:cs="Tahoma"/>
          <w:i/>
          <w:i/>
          <w:iCs/>
          <w:sz w:val="20"/>
          <w:szCs w:val="20"/>
        </w:rPr>
      </w:pPr>
      <w:r>
        <w:rPr>
          <w:rFonts w:eastAsia="Calibri" w:cs="Tahoma" w:ascii="Tahoma" w:hAnsi="Tahoma"/>
          <w:i/>
          <w:iCs/>
          <w:sz w:val="20"/>
          <w:szCs w:val="20"/>
        </w:rPr>
      </w:r>
    </w:p>
    <w:p>
      <w:pPr>
        <w:pStyle w:val="Normal"/>
        <w:ind w:right="51" w:firstLine="708"/>
        <w:jc w:val="both"/>
        <w:rPr>
          <w:rFonts w:ascii="Tahoma" w:hAnsi="Tahoma" w:eastAsia="Calibri" w:cs="Tahoma"/>
          <w:i/>
          <w:i/>
          <w:iCs/>
          <w:sz w:val="20"/>
          <w:szCs w:val="20"/>
        </w:rPr>
      </w:pPr>
      <w:r>
        <w:rPr>
          <w:rFonts w:eastAsia="Calibri" w:cs="Tahoma" w:ascii="Tahoma" w:hAnsi="Tahoma"/>
          <w:i/>
          <w:iCs/>
          <w:sz w:val="20"/>
          <w:szCs w:val="20"/>
        </w:rPr>
        <w:t xml:space="preserve">Las instancias responsables, de lo definido en el plan de acción de la política, deberán velar por su cumplimiento acorde a las directrices institucionales sobre el seguimiento y evaluación de los PAOs. </w:t>
      </w:r>
    </w:p>
    <w:p>
      <w:pPr>
        <w:pStyle w:val="Normal"/>
        <w:ind w:right="51" w:firstLine="708"/>
        <w:jc w:val="both"/>
        <w:rPr>
          <w:rFonts w:ascii="Tahoma" w:hAnsi="Tahoma" w:eastAsia="Calibri" w:cs="Tahoma"/>
          <w:i/>
          <w:i/>
          <w:iCs/>
          <w:sz w:val="20"/>
          <w:szCs w:val="20"/>
        </w:rPr>
      </w:pPr>
      <w:r>
        <w:rPr>
          <w:rFonts w:eastAsia="Calibri" w:cs="Tahoma" w:ascii="Tahoma" w:hAnsi="Tahoma"/>
          <w:i/>
          <w:iCs/>
          <w:sz w:val="20"/>
          <w:szCs w:val="20"/>
        </w:rPr>
      </w:r>
    </w:p>
    <w:p>
      <w:pPr>
        <w:pStyle w:val="Normal"/>
        <w:keepNext w:val="true"/>
        <w:widowControl w:val="false"/>
        <w:numPr>
          <w:ilvl w:val="3"/>
          <w:numId w:val="15"/>
        </w:numPr>
        <w:spacing w:lineRule="auto" w:line="240" w:before="0" w:after="0"/>
        <w:ind w:left="1134" w:hanging="360"/>
        <w:jc w:val="both"/>
        <w:outlineLvl w:val="3"/>
        <w:rPr>
          <w:rFonts w:ascii="Tahoma" w:hAnsi="Tahoma" w:cs="Tahoma"/>
          <w:i/>
          <w:i/>
          <w:iCs/>
          <w:sz w:val="20"/>
          <w:szCs w:val="20"/>
          <w:u w:val="none" w:color="000000"/>
          <w:lang w:eastAsia="es-ES"/>
        </w:rPr>
      </w:pPr>
      <w:r>
        <w:rPr>
          <w:rFonts w:cs="Tahoma" w:ascii="Tahoma" w:hAnsi="Tahoma"/>
          <w:b/>
          <w:bCs/>
          <w:i/>
          <w:iCs/>
          <w:sz w:val="20"/>
          <w:szCs w:val="20"/>
          <w:u w:val="none" w:color="000000"/>
          <w:lang w:eastAsia="es-ES"/>
        </w:rPr>
        <w:t>Seguimiento:</w:t>
      </w:r>
      <w:r>
        <w:rPr>
          <w:rFonts w:cs="Tahoma" w:ascii="Tahoma" w:hAnsi="Tahoma"/>
          <w:i/>
          <w:iCs/>
          <w:sz w:val="20"/>
          <w:szCs w:val="20"/>
          <w:u w:val="none" w:color="000000"/>
          <w:lang w:eastAsia="es-ES"/>
        </w:rPr>
        <w:t xml:space="preserve"> Corresponde a la forma en que se dará seguimiento a los compromisos establecidos en el plan de acción. En este caso, las oficinas destacadas como responsables de compromisos establecidos en el plan de acción deberán completar los avances en el cumplimiento de las metas planteadas en el Sistema de los Planes Anuales Operativos (Sistema PAO). </w:t>
      </w:r>
    </w:p>
    <w:p>
      <w:pPr>
        <w:pStyle w:val="Normal"/>
        <w:ind w:left="720" w:hanging="0"/>
        <w:jc w:val="both"/>
        <w:rPr>
          <w:rFonts w:ascii="Tahoma" w:hAnsi="Tahoma" w:eastAsia="Calibri" w:cs="Tahoma"/>
          <w:b/>
          <w:b/>
          <w:i/>
          <w:i/>
          <w:iCs/>
          <w:sz w:val="20"/>
          <w:szCs w:val="20"/>
        </w:rPr>
      </w:pPr>
      <w:r>
        <w:rPr>
          <w:rFonts w:eastAsia="Calibri" w:cs="Tahoma" w:ascii="Tahoma" w:hAnsi="Tahoma"/>
          <w:b/>
          <w:i/>
          <w:iCs/>
          <w:sz w:val="20"/>
          <w:szCs w:val="20"/>
        </w:rPr>
      </w:r>
    </w:p>
    <w:p>
      <w:pPr>
        <w:pStyle w:val="Normal"/>
        <w:ind w:left="720" w:firstLine="696"/>
        <w:jc w:val="both"/>
        <w:rPr>
          <w:rFonts w:ascii="Tahoma" w:hAnsi="Tahoma" w:eastAsia="Calibri" w:cs="Tahoma"/>
          <w:i/>
          <w:i/>
          <w:iCs/>
          <w:sz w:val="20"/>
          <w:szCs w:val="20"/>
        </w:rPr>
      </w:pPr>
      <w:r>
        <w:rPr>
          <w:rFonts w:eastAsia="Calibri" w:cs="Tahoma" w:ascii="Tahoma" w:hAnsi="Tahoma"/>
          <w:i/>
          <w:iCs/>
          <w:sz w:val="20"/>
          <w:szCs w:val="20"/>
        </w:rPr>
        <w:t>Asimismo, la instancia rectora de la Política verificará la información proporcionada y tomará las medidas necesarias para que se lleve a cabo la efectiva implementación de la Política Institucional.</w:t>
      </w:r>
    </w:p>
    <w:p>
      <w:pPr>
        <w:pStyle w:val="Normal"/>
        <w:ind w:left="720" w:hanging="0"/>
        <w:jc w:val="both"/>
        <w:rPr>
          <w:rFonts w:ascii="Tahoma" w:hAnsi="Tahoma" w:eastAsia="Calibri" w:cs="Tahoma"/>
          <w:i/>
          <w:i/>
          <w:iCs/>
          <w:sz w:val="20"/>
          <w:szCs w:val="20"/>
        </w:rPr>
      </w:pPr>
      <w:r>
        <w:rPr>
          <w:rFonts w:eastAsia="Calibri" w:cs="Tahoma" w:ascii="Tahoma" w:hAnsi="Tahoma"/>
          <w:i/>
          <w:iCs/>
          <w:sz w:val="20"/>
          <w:szCs w:val="20"/>
        </w:rPr>
      </w:r>
    </w:p>
    <w:p>
      <w:pPr>
        <w:pStyle w:val="Normal"/>
        <w:ind w:left="720" w:firstLine="696"/>
        <w:jc w:val="both"/>
        <w:rPr>
          <w:rFonts w:ascii="Tahoma" w:hAnsi="Tahoma" w:eastAsia="Calibri" w:cs="Tahoma"/>
          <w:i/>
          <w:i/>
          <w:iCs/>
          <w:sz w:val="20"/>
          <w:szCs w:val="20"/>
        </w:rPr>
      </w:pPr>
      <w:r>
        <w:rPr>
          <w:rFonts w:eastAsia="Calibri" w:cs="Tahoma" w:ascii="Tahoma" w:hAnsi="Tahoma"/>
          <w:i/>
          <w:iCs/>
          <w:sz w:val="20"/>
          <w:szCs w:val="20"/>
        </w:rPr>
        <w:t>Por medio de los sistemas informatizados (Sistema PAO y Sistema PEI), se podrá llevar a cabo el seguimiento en periodos estratégicos de las políticas institucionales, donde se podrá determinar el nivel de avance de una Política de acuerdo con sus metas asociadas.</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ind w:left="720" w:firstLine="696"/>
        <w:jc w:val="both"/>
        <w:rPr>
          <w:rFonts w:ascii="Tahoma" w:hAnsi="Tahoma" w:eastAsia="Calibri" w:cs="Tahoma"/>
          <w:i/>
          <w:i/>
          <w:iCs/>
          <w:sz w:val="20"/>
          <w:szCs w:val="20"/>
        </w:rPr>
      </w:pPr>
      <w:r>
        <w:rPr>
          <w:rFonts w:eastAsia="Calibri" w:cs="Tahoma" w:ascii="Tahoma" w:hAnsi="Tahoma"/>
          <w:i/>
          <w:iCs/>
          <w:sz w:val="20"/>
          <w:szCs w:val="20"/>
        </w:rPr>
        <w:t>A su vez, se podrá desagregar cada una de las políticas institucionales y determinar quiénes son responsables en el cumplimiento, cuáles actividades están asociadas, cuántas metas reportan avances, así como su cumplimiento porcentual, entre otros.</w:t>
      </w:r>
    </w:p>
    <w:p>
      <w:pPr>
        <w:pStyle w:val="Normal"/>
        <w:ind w:left="720" w:hanging="0"/>
        <w:rPr>
          <w:rFonts w:ascii="Tahoma" w:hAnsi="Tahoma" w:eastAsia="Calibri" w:cs="Tahoma"/>
          <w:i/>
          <w:i/>
          <w:iCs/>
          <w:sz w:val="20"/>
          <w:szCs w:val="20"/>
        </w:rPr>
      </w:pPr>
      <w:r>
        <w:rPr>
          <w:rFonts w:eastAsia="Calibri" w:cs="Tahoma" w:ascii="Tahoma" w:hAnsi="Tahoma"/>
          <w:i/>
          <w:iCs/>
          <w:sz w:val="20"/>
          <w:szCs w:val="20"/>
        </w:rPr>
      </w:r>
    </w:p>
    <w:p>
      <w:pPr>
        <w:pStyle w:val="Normal"/>
        <w:keepNext w:val="true"/>
        <w:widowControl w:val="false"/>
        <w:numPr>
          <w:ilvl w:val="3"/>
          <w:numId w:val="15"/>
        </w:numPr>
        <w:spacing w:lineRule="auto" w:line="240" w:before="0" w:after="0"/>
        <w:ind w:left="1134" w:hanging="360"/>
        <w:jc w:val="both"/>
        <w:outlineLvl w:val="3"/>
        <w:rPr>
          <w:rFonts w:ascii="Tahoma" w:hAnsi="Tahoma" w:cs="Tahoma"/>
          <w:b/>
          <w:b/>
          <w:bCs/>
          <w:i/>
          <w:i/>
          <w:iCs/>
          <w:sz w:val="20"/>
          <w:szCs w:val="20"/>
          <w:u w:val="none" w:color="000000"/>
          <w:lang w:eastAsia="es-ES"/>
        </w:rPr>
      </w:pPr>
      <w:r>
        <w:rPr>
          <w:rFonts w:cs="Tahoma" w:ascii="Tahoma" w:hAnsi="Tahoma"/>
          <w:b/>
          <w:i/>
          <w:iCs/>
          <w:sz w:val="20"/>
          <w:szCs w:val="20"/>
          <w:u w:val="none" w:color="000000"/>
          <w:lang w:eastAsia="es-ES"/>
        </w:rPr>
        <w:t>Evaluación:</w:t>
      </w:r>
      <w:r>
        <w:rPr>
          <w:rFonts w:cs="Tahoma" w:ascii="Tahoma" w:hAnsi="Tahoma"/>
          <w:i/>
          <w:iCs/>
          <w:sz w:val="20"/>
          <w:szCs w:val="20"/>
          <w:u w:val="none" w:color="000000"/>
          <w:lang w:eastAsia="es-ES"/>
        </w:rPr>
        <w:t xml:space="preserve"> La instancia rectora de la política debe definir la periodicidad y la frecuencia de las evaluaciones a realizar para medir los resultados e impacto esperados producto de la implementación de la Política Institucional.</w:t>
      </w:r>
    </w:p>
    <w:p>
      <w:pPr>
        <w:pStyle w:val="Normal"/>
        <w:ind w:left="720" w:hanging="0"/>
        <w:jc w:val="both"/>
        <w:rPr>
          <w:rFonts w:ascii="Tahoma" w:hAnsi="Tahoma" w:eastAsia="Calibri" w:cs="Tahoma"/>
          <w:b/>
          <w:b/>
          <w:i/>
          <w:i/>
          <w:iCs/>
          <w:sz w:val="20"/>
          <w:szCs w:val="20"/>
        </w:rPr>
      </w:pPr>
      <w:r>
        <w:rPr>
          <w:rFonts w:eastAsia="Calibri" w:cs="Tahoma" w:ascii="Tahoma" w:hAnsi="Tahoma"/>
          <w:b/>
          <w:i/>
          <w:iCs/>
          <w:sz w:val="20"/>
          <w:szCs w:val="20"/>
        </w:rPr>
      </w:r>
    </w:p>
    <w:p>
      <w:pPr>
        <w:pStyle w:val="Normal"/>
        <w:ind w:left="708" w:firstLine="708"/>
        <w:jc w:val="both"/>
        <w:rPr>
          <w:rFonts w:ascii="Tahoma" w:hAnsi="Tahoma" w:eastAsia="Calibri" w:cs="Tahoma"/>
          <w:i/>
          <w:i/>
          <w:iCs/>
          <w:sz w:val="20"/>
          <w:szCs w:val="20"/>
        </w:rPr>
      </w:pPr>
      <w:r>
        <w:rPr>
          <w:rFonts w:eastAsia="Calibri" w:cs="Tahoma" w:ascii="Tahoma" w:hAnsi="Tahoma"/>
          <w:i/>
          <w:iCs/>
          <w:sz w:val="20"/>
          <w:szCs w:val="20"/>
        </w:rPr>
        <w:t xml:space="preserve">Como resultado de las evaluaciones, la instancia rectora de la política deberá emitir las recomendaciones correspondientes en cuanto a la implementación de esta, hasta el cierre o cumplimiento total de sus objetivos. </w:t>
      </w:r>
    </w:p>
    <w:p>
      <w:pPr>
        <w:pStyle w:val="Normal"/>
        <w:ind w:left="720" w:hanging="0"/>
        <w:jc w:val="both"/>
        <w:rPr>
          <w:rFonts w:ascii="Tahoma" w:hAnsi="Tahoma" w:eastAsia="Calibri" w:cs="Tahoma"/>
          <w:i/>
          <w:i/>
          <w:iCs/>
          <w:sz w:val="20"/>
          <w:szCs w:val="20"/>
        </w:rPr>
      </w:pPr>
      <w:r>
        <w:rPr>
          <w:rFonts w:eastAsia="Calibri" w:cs="Tahoma" w:ascii="Tahoma" w:hAnsi="Tahoma"/>
          <w:i/>
          <w:iCs/>
          <w:sz w:val="20"/>
          <w:szCs w:val="20"/>
        </w:rPr>
      </w:r>
    </w:p>
    <w:p>
      <w:pPr>
        <w:pStyle w:val="Normal"/>
        <w:ind w:left="720" w:firstLine="696"/>
        <w:jc w:val="both"/>
        <w:rPr>
          <w:rFonts w:ascii="Tahoma" w:hAnsi="Tahoma" w:eastAsia="Calibri" w:cs="Tahoma"/>
          <w:i/>
          <w:i/>
          <w:iCs/>
          <w:sz w:val="20"/>
          <w:szCs w:val="20"/>
        </w:rPr>
      </w:pPr>
      <w:r>
        <w:rPr>
          <w:rFonts w:eastAsia="Calibri" w:cs="Tahoma" w:ascii="Tahoma" w:hAnsi="Tahoma"/>
          <w:i/>
          <w:iCs/>
          <w:sz w:val="20"/>
          <w:szCs w:val="20"/>
        </w:rPr>
        <w:t xml:space="preserve">No obstante, deberá presentar un informe de seguimiento y evaluación anual a la Dirección de Planificación, en el plazo que lo indique esta instancia, con el fin de velar por la rendición de cuentas y alineamiento con el Plan Estratégico Institucional de las Políticas Institucionales vigentes. </w:t>
      </w:r>
    </w:p>
    <w:p>
      <w:pPr>
        <w:pStyle w:val="Normal"/>
        <w:ind w:left="720" w:hanging="0"/>
        <w:jc w:val="both"/>
        <w:rPr>
          <w:rFonts w:ascii="Tahoma" w:hAnsi="Tahoma" w:eastAsia="Calibri" w:cs="Tahoma"/>
          <w:i/>
          <w:i/>
          <w:iCs/>
          <w:sz w:val="20"/>
          <w:szCs w:val="20"/>
        </w:rPr>
      </w:pPr>
      <w:r>
        <w:rPr>
          <w:rFonts w:eastAsia="Calibri" w:cs="Tahoma" w:ascii="Tahoma" w:hAnsi="Tahoma"/>
          <w:i/>
          <w:iCs/>
          <w:sz w:val="20"/>
          <w:szCs w:val="20"/>
        </w:rPr>
      </w:r>
    </w:p>
    <w:p>
      <w:pPr>
        <w:pStyle w:val="Normal"/>
        <w:ind w:left="720" w:firstLine="696"/>
        <w:jc w:val="both"/>
        <w:rPr>
          <w:rFonts w:ascii="Tahoma" w:hAnsi="Tahoma" w:eastAsia="Calibri" w:cs="Tahoma"/>
          <w:i/>
          <w:i/>
          <w:iCs/>
          <w:sz w:val="20"/>
          <w:szCs w:val="20"/>
        </w:rPr>
      </w:pPr>
      <w:r>
        <w:rPr>
          <w:rFonts w:eastAsia="Calibri" w:cs="Tahoma" w:ascii="Tahoma" w:hAnsi="Tahoma"/>
          <w:i/>
          <w:iCs/>
          <w:sz w:val="20"/>
          <w:szCs w:val="20"/>
        </w:rPr>
        <w:t>Lo anterior, conforme la sesión de Corte Plena 47-18, del 08 de octubre de 2018, artículo XXXII</w:t>
      </w:r>
      <w:r>
        <w:rPr>
          <w:rStyle w:val="Ancladenotaalpie"/>
          <w:rFonts w:eastAsia="Calibri" w:cs="Tahoma" w:ascii="Tahoma" w:hAnsi="Tahoma"/>
          <w:i/>
          <w:iCs/>
          <w:sz w:val="20"/>
          <w:szCs w:val="20"/>
          <w:vertAlign w:val="superscript"/>
        </w:rPr>
        <w:footnoteReference w:id="7"/>
      </w:r>
      <w:r>
        <w:rPr>
          <w:rFonts w:eastAsia="Calibri" w:cs="Tahoma" w:ascii="Tahoma" w:hAnsi="Tahoma"/>
          <w:i/>
          <w:iCs/>
          <w:sz w:val="20"/>
          <w:szCs w:val="20"/>
        </w:rPr>
        <w:t xml:space="preserve"> (Ver Anexo 4), donde se establece dar seguimiento al indicador que se sugiere en el Segundo Informe de la Justicia, que consiste en establecer los “mecanismos de seguimiento de las políticas institucionales”. Esto a partir del Dictamen emitido en este informe que señaló: “En la creación y desarrollo de políticas, mecanismos, proyectos y campañas se ha mantenido como prioridad el acceso a la justicia, con especial énfasis en poblaciones vulnerables. Aunque la cobertura territorial es amplia, no existen informes de evaluación sobre el impacto de estas acciones”. </w:t>
      </w:r>
    </w:p>
    <w:p>
      <w:pPr>
        <w:pStyle w:val="Normal"/>
        <w:ind w:left="720" w:hanging="0"/>
        <w:jc w:val="both"/>
        <w:rPr>
          <w:rFonts w:ascii="Tahoma" w:hAnsi="Tahoma" w:eastAsia="Calibri" w:cs="Tahoma"/>
          <w:i/>
          <w:i/>
          <w:iCs/>
          <w:sz w:val="20"/>
          <w:szCs w:val="20"/>
        </w:rPr>
      </w:pPr>
      <w:r>
        <w:rPr>
          <w:rFonts w:eastAsia="Calibri" w:cs="Tahoma" w:ascii="Tahoma" w:hAnsi="Tahoma"/>
          <w:i/>
          <w:iCs/>
          <w:sz w:val="20"/>
          <w:szCs w:val="20"/>
        </w:rPr>
      </w:r>
    </w:p>
    <w:p>
      <w:pPr>
        <w:pStyle w:val="Normal"/>
        <w:ind w:left="720" w:firstLine="696"/>
        <w:jc w:val="both"/>
        <w:rPr>
          <w:rFonts w:ascii="Tahoma" w:hAnsi="Tahoma" w:eastAsia="Calibri" w:cs="Tahoma"/>
          <w:i/>
          <w:i/>
          <w:iCs/>
          <w:sz w:val="20"/>
          <w:szCs w:val="20"/>
        </w:rPr>
      </w:pPr>
      <w:r>
        <w:rPr>
          <w:rFonts w:eastAsia="Calibri" w:cs="Tahoma" w:ascii="Tahoma" w:hAnsi="Tahoma"/>
          <w:i/>
          <w:iCs/>
          <w:sz w:val="20"/>
          <w:szCs w:val="20"/>
        </w:rPr>
        <w:t>El enfoque de evaluación debe estar orientado a verificar los resultados de las políticas e identificar lecciones aprendidas para las políticas presentes y futuras, de manera que su marco metodológico debe estar orientado a cumplir estos objetivos, que puedan ser interpretados de una forma clara y concisa, dirigida a la población interna y externa.</w:t>
      </w:r>
    </w:p>
    <w:p>
      <w:pPr>
        <w:pStyle w:val="Normal"/>
        <w:ind w:left="720" w:hanging="0"/>
        <w:jc w:val="both"/>
        <w:rPr>
          <w:rFonts w:ascii="Tahoma" w:hAnsi="Tahoma" w:eastAsia="Calibri" w:cs="Tahoma"/>
          <w:i/>
          <w:i/>
          <w:iCs/>
          <w:sz w:val="20"/>
          <w:szCs w:val="20"/>
        </w:rPr>
      </w:pPr>
      <w:r>
        <w:rPr>
          <w:rFonts w:eastAsia="Calibri" w:cs="Tahoma" w:ascii="Tahoma" w:hAnsi="Tahoma"/>
          <w:i/>
          <w:iCs/>
          <w:sz w:val="20"/>
          <w:szCs w:val="20"/>
        </w:rPr>
      </w:r>
    </w:p>
    <w:p>
      <w:pPr>
        <w:pStyle w:val="Normal"/>
        <w:ind w:left="720" w:firstLine="696"/>
        <w:jc w:val="both"/>
        <w:rPr>
          <w:rFonts w:ascii="Tahoma" w:hAnsi="Tahoma" w:eastAsia="Calibri" w:cs="Tahoma"/>
          <w:i/>
          <w:i/>
          <w:iCs/>
          <w:sz w:val="20"/>
          <w:szCs w:val="20"/>
        </w:rPr>
      </w:pPr>
      <w:r>
        <w:rPr>
          <w:rFonts w:eastAsia="Calibri" w:cs="Tahoma" w:ascii="Tahoma" w:hAnsi="Tahoma"/>
          <w:i/>
          <w:iCs/>
          <w:sz w:val="20"/>
          <w:szCs w:val="20"/>
        </w:rPr>
        <w:t xml:space="preserve">La evaluación será entonces un proceso de observación, medición, análisis e interpretación de los resultados alcanzados por la implementación de la política institucional, y su utilidad se basa en generar insumos para la toma de decisiones de los órganos jerárquicos. </w:t>
      </w:r>
    </w:p>
    <w:p>
      <w:pPr>
        <w:pStyle w:val="Normal"/>
        <w:ind w:left="720" w:hanging="0"/>
        <w:jc w:val="both"/>
        <w:rPr>
          <w:rFonts w:ascii="Tahoma" w:hAnsi="Tahoma" w:eastAsia="Calibri" w:cs="Tahoma"/>
          <w:i/>
          <w:i/>
          <w:iCs/>
          <w:sz w:val="20"/>
          <w:szCs w:val="20"/>
        </w:rPr>
      </w:pPr>
      <w:r>
        <w:rPr>
          <w:rFonts w:eastAsia="Calibri" w:cs="Tahoma" w:ascii="Tahoma" w:hAnsi="Tahoma"/>
          <w:i/>
          <w:iCs/>
          <w:sz w:val="20"/>
          <w:szCs w:val="20"/>
        </w:rPr>
      </w:r>
    </w:p>
    <w:p>
      <w:pPr>
        <w:pStyle w:val="Normal"/>
        <w:ind w:left="720" w:firstLine="696"/>
        <w:jc w:val="both"/>
        <w:rPr>
          <w:rFonts w:ascii="Tahoma" w:hAnsi="Tahoma" w:eastAsia="Calibri" w:cs="Tahoma"/>
          <w:i/>
          <w:i/>
          <w:iCs/>
          <w:sz w:val="20"/>
          <w:szCs w:val="20"/>
        </w:rPr>
      </w:pPr>
      <w:r>
        <w:rPr>
          <w:rFonts w:eastAsia="Calibri" w:cs="Tahoma" w:ascii="Tahoma" w:hAnsi="Tahoma"/>
          <w:i/>
          <w:iCs/>
          <w:sz w:val="20"/>
          <w:szCs w:val="20"/>
        </w:rPr>
        <w:t>La metodología de evaluación deberá ir orientada a la verificación de los resultados alcanzados a partir del cumplimiento de acciones de la política, que estarán al alcance a partir del seguimiento por medio del PEI y los PAO. A partir de lo anterior, se deberá generar una evaluación enfocada en los principios de pertinencia, eficiencia, eficacia y sostenibilidad, que deberá desarrollar los siguientes aspectos:</w:t>
      </w:r>
    </w:p>
    <w:p>
      <w:pPr>
        <w:pStyle w:val="Normal"/>
        <w:ind w:left="720" w:hanging="0"/>
        <w:jc w:val="both"/>
        <w:rPr>
          <w:rFonts w:ascii="Tahoma" w:hAnsi="Tahoma" w:eastAsia="Calibri" w:cs="Tahoma"/>
          <w:i/>
          <w:i/>
          <w:iCs/>
          <w:sz w:val="20"/>
          <w:szCs w:val="20"/>
        </w:rPr>
      </w:pPr>
      <w:r>
        <w:rPr>
          <w:rFonts w:eastAsia="Calibri" w:cs="Tahoma" w:ascii="Tahoma" w:hAnsi="Tahoma"/>
          <w:i/>
          <w:iCs/>
          <w:sz w:val="20"/>
          <w:szCs w:val="20"/>
        </w:rPr>
      </w:r>
    </w:p>
    <w:p>
      <w:pPr>
        <w:pStyle w:val="Normal"/>
        <w:numPr>
          <w:ilvl w:val="0"/>
          <w:numId w:val="21"/>
        </w:numPr>
        <w:spacing w:lineRule="auto" w:line="240" w:before="0" w:after="0"/>
        <w:jc w:val="both"/>
        <w:rPr>
          <w:rFonts w:ascii="Tahoma" w:hAnsi="Tahoma" w:eastAsia="Calibri" w:cs="Tahoma"/>
          <w:i/>
          <w:i/>
          <w:iCs/>
          <w:sz w:val="20"/>
          <w:szCs w:val="20"/>
        </w:rPr>
      </w:pPr>
      <w:r>
        <w:rPr>
          <w:rFonts w:eastAsia="Calibri" w:cs="Tahoma" w:ascii="Tahoma" w:hAnsi="Tahoma"/>
          <w:i/>
          <w:iCs/>
          <w:sz w:val="20"/>
          <w:szCs w:val="20"/>
        </w:rPr>
        <w:t>Descripción del objetivo inicial.</w:t>
      </w:r>
    </w:p>
    <w:p>
      <w:pPr>
        <w:pStyle w:val="Normal"/>
        <w:numPr>
          <w:ilvl w:val="0"/>
          <w:numId w:val="21"/>
        </w:numPr>
        <w:spacing w:lineRule="auto" w:line="240" w:before="0" w:after="0"/>
        <w:jc w:val="both"/>
        <w:rPr>
          <w:rFonts w:ascii="Tahoma" w:hAnsi="Tahoma" w:eastAsia="Calibri" w:cs="Tahoma"/>
          <w:i/>
          <w:i/>
          <w:iCs/>
          <w:sz w:val="20"/>
          <w:szCs w:val="20"/>
        </w:rPr>
      </w:pPr>
      <w:r>
        <w:rPr>
          <w:rFonts w:eastAsia="Calibri" w:cs="Tahoma" w:ascii="Tahoma" w:hAnsi="Tahoma"/>
          <w:i/>
          <w:iCs/>
          <w:sz w:val="20"/>
          <w:szCs w:val="20"/>
        </w:rPr>
        <w:t>Descripción del cumplimiento de las acciones planificadas de los involucrados.</w:t>
      </w:r>
    </w:p>
    <w:p>
      <w:pPr>
        <w:pStyle w:val="Normal"/>
        <w:numPr>
          <w:ilvl w:val="0"/>
          <w:numId w:val="21"/>
        </w:numPr>
        <w:spacing w:lineRule="auto" w:line="240" w:before="0" w:after="0"/>
        <w:jc w:val="both"/>
        <w:rPr>
          <w:rFonts w:ascii="Tahoma" w:hAnsi="Tahoma" w:eastAsia="Calibri" w:cs="Tahoma"/>
          <w:i/>
          <w:i/>
          <w:iCs/>
          <w:sz w:val="20"/>
          <w:szCs w:val="20"/>
        </w:rPr>
      </w:pPr>
      <w:r>
        <w:rPr>
          <w:rFonts w:eastAsia="Calibri" w:cs="Tahoma" w:ascii="Tahoma" w:hAnsi="Tahoma"/>
          <w:i/>
          <w:iCs/>
          <w:sz w:val="20"/>
          <w:szCs w:val="20"/>
          <w:lang w:eastAsia="es-CR"/>
        </w:rPr>
        <w:t>Totalidad de recursos, incluidos (recursos humanos y presupuestarios).</w:t>
      </w:r>
    </w:p>
    <w:p>
      <w:pPr>
        <w:pStyle w:val="Normal"/>
        <w:numPr>
          <w:ilvl w:val="0"/>
          <w:numId w:val="21"/>
        </w:numPr>
        <w:spacing w:lineRule="auto" w:line="240" w:before="0" w:after="0"/>
        <w:jc w:val="both"/>
        <w:rPr>
          <w:rFonts w:ascii="Tahoma" w:hAnsi="Tahoma" w:eastAsia="Calibri" w:cs="Tahoma"/>
          <w:i/>
          <w:i/>
          <w:iCs/>
          <w:sz w:val="20"/>
          <w:szCs w:val="20"/>
        </w:rPr>
      </w:pPr>
      <w:r>
        <w:rPr>
          <w:rFonts w:eastAsia="Calibri" w:cs="Tahoma" w:ascii="Tahoma" w:hAnsi="Tahoma"/>
          <w:i/>
          <w:iCs/>
          <w:sz w:val="20"/>
          <w:szCs w:val="20"/>
        </w:rPr>
        <w:t>Resultados obtenidos a partir de los indicadores establecidos.</w:t>
      </w:r>
    </w:p>
    <w:p>
      <w:pPr>
        <w:pStyle w:val="Normal"/>
        <w:numPr>
          <w:ilvl w:val="0"/>
          <w:numId w:val="21"/>
        </w:numPr>
        <w:spacing w:lineRule="auto" w:line="240" w:before="0" w:after="0"/>
        <w:jc w:val="both"/>
        <w:rPr>
          <w:rFonts w:ascii="Tahoma" w:hAnsi="Tahoma" w:eastAsia="Calibri" w:cs="Tahoma"/>
          <w:i/>
          <w:i/>
          <w:iCs/>
          <w:sz w:val="20"/>
          <w:szCs w:val="20"/>
        </w:rPr>
      </w:pPr>
      <w:r>
        <w:rPr>
          <w:rFonts w:eastAsia="Calibri" w:cs="Tahoma" w:ascii="Tahoma" w:hAnsi="Tahoma"/>
          <w:i/>
          <w:iCs/>
          <w:sz w:val="20"/>
          <w:szCs w:val="20"/>
        </w:rPr>
        <w:t>Nivel de cumplimiento en relación con el objetivo planteado.</w:t>
      </w:r>
    </w:p>
    <w:p>
      <w:pPr>
        <w:pStyle w:val="Normal"/>
        <w:numPr>
          <w:ilvl w:val="0"/>
          <w:numId w:val="21"/>
        </w:numPr>
        <w:spacing w:lineRule="auto" w:line="240" w:before="0" w:after="0"/>
        <w:jc w:val="both"/>
        <w:rPr>
          <w:rFonts w:ascii="Tahoma" w:hAnsi="Tahoma" w:eastAsia="Calibri" w:cs="Tahoma"/>
          <w:i/>
          <w:i/>
          <w:iCs/>
          <w:sz w:val="20"/>
          <w:szCs w:val="20"/>
        </w:rPr>
      </w:pPr>
      <w:r>
        <w:rPr>
          <w:rFonts w:eastAsia="Calibri" w:cs="Tahoma" w:ascii="Tahoma" w:hAnsi="Tahoma"/>
          <w:i/>
          <w:iCs/>
          <w:sz w:val="20"/>
          <w:szCs w:val="20"/>
        </w:rPr>
        <w:t>Riesgos y cambios materializados en el proceso de ejecución.</w:t>
      </w:r>
    </w:p>
    <w:p>
      <w:pPr>
        <w:pStyle w:val="Normal"/>
        <w:numPr>
          <w:ilvl w:val="0"/>
          <w:numId w:val="21"/>
        </w:numPr>
        <w:spacing w:lineRule="auto" w:line="240" w:before="0" w:after="0"/>
        <w:jc w:val="both"/>
        <w:rPr>
          <w:rFonts w:ascii="Tahoma" w:hAnsi="Tahoma" w:eastAsia="Calibri" w:cs="Tahoma"/>
          <w:i/>
          <w:i/>
          <w:iCs/>
          <w:sz w:val="20"/>
          <w:szCs w:val="20"/>
        </w:rPr>
      </w:pPr>
      <w:r>
        <w:rPr>
          <w:rFonts w:eastAsia="Calibri" w:cs="Tahoma" w:ascii="Tahoma" w:hAnsi="Tahoma"/>
          <w:i/>
          <w:iCs/>
          <w:sz w:val="20"/>
          <w:szCs w:val="20"/>
        </w:rPr>
        <w:t xml:space="preserve">Percepción de los resultados alcanzados por la población meta. </w:t>
      </w:r>
    </w:p>
    <w:p>
      <w:pPr>
        <w:pStyle w:val="Normal"/>
        <w:numPr>
          <w:ilvl w:val="0"/>
          <w:numId w:val="21"/>
        </w:numPr>
        <w:spacing w:lineRule="auto" w:line="240" w:before="0" w:after="0"/>
        <w:jc w:val="both"/>
        <w:rPr>
          <w:rFonts w:ascii="Tahoma" w:hAnsi="Tahoma" w:eastAsia="Calibri" w:cs="Tahoma"/>
          <w:i/>
          <w:i/>
          <w:iCs/>
          <w:sz w:val="20"/>
          <w:szCs w:val="20"/>
        </w:rPr>
      </w:pPr>
      <w:r>
        <w:rPr>
          <w:rFonts w:eastAsia="Calibri" w:cs="Tahoma" w:ascii="Tahoma" w:hAnsi="Tahoma"/>
          <w:i/>
          <w:iCs/>
          <w:sz w:val="20"/>
          <w:szCs w:val="20"/>
        </w:rPr>
        <w:t>Hallazgos.</w:t>
      </w:r>
    </w:p>
    <w:p>
      <w:pPr>
        <w:pStyle w:val="Normal"/>
        <w:numPr>
          <w:ilvl w:val="0"/>
          <w:numId w:val="21"/>
        </w:numPr>
        <w:spacing w:lineRule="auto" w:line="240" w:before="0" w:after="0"/>
        <w:jc w:val="both"/>
        <w:rPr>
          <w:rFonts w:ascii="Tahoma" w:hAnsi="Tahoma" w:eastAsia="Calibri" w:cs="Tahoma"/>
          <w:i/>
          <w:i/>
          <w:iCs/>
          <w:sz w:val="20"/>
          <w:szCs w:val="20"/>
        </w:rPr>
      </w:pPr>
      <w:r>
        <w:rPr>
          <w:rFonts w:eastAsia="Calibri" w:cs="Tahoma" w:ascii="Tahoma" w:hAnsi="Tahoma"/>
          <w:i/>
          <w:iCs/>
          <w:sz w:val="20"/>
          <w:szCs w:val="20"/>
        </w:rPr>
        <w:t>Conclusiones.</w:t>
      </w:r>
    </w:p>
    <w:p>
      <w:pPr>
        <w:pStyle w:val="Normal"/>
        <w:numPr>
          <w:ilvl w:val="0"/>
          <w:numId w:val="21"/>
        </w:numPr>
        <w:spacing w:lineRule="auto" w:line="240" w:before="0" w:after="0"/>
        <w:jc w:val="both"/>
        <w:rPr>
          <w:rFonts w:ascii="Tahoma" w:hAnsi="Tahoma" w:eastAsia="Calibri" w:cs="Tahoma"/>
          <w:i/>
          <w:i/>
          <w:iCs/>
          <w:sz w:val="20"/>
          <w:szCs w:val="20"/>
        </w:rPr>
      </w:pPr>
      <w:r>
        <w:rPr>
          <w:rFonts w:eastAsia="Calibri" w:cs="Tahoma" w:ascii="Tahoma" w:hAnsi="Tahoma"/>
          <w:i/>
          <w:iCs/>
          <w:sz w:val="20"/>
          <w:szCs w:val="20"/>
        </w:rPr>
        <w:t>Recomendaciones.</w:t>
      </w:r>
    </w:p>
    <w:p>
      <w:pPr>
        <w:pStyle w:val="Normal"/>
        <w:rPr>
          <w:rFonts w:ascii="Tahoma" w:hAnsi="Tahoma" w:eastAsia="Calibri" w:cs="Tahoma"/>
          <w:i/>
          <w:i/>
          <w:iCs/>
          <w:sz w:val="20"/>
          <w:szCs w:val="20"/>
        </w:rPr>
      </w:pPr>
      <w:r>
        <w:rPr>
          <w:rFonts w:eastAsia="Calibri" w:cs="Tahoma" w:ascii="Tahoma" w:hAnsi="Tahoma"/>
          <w:i/>
          <w:iCs/>
          <w:sz w:val="20"/>
          <w:szCs w:val="20"/>
        </w:rPr>
      </w:r>
    </w:p>
    <w:p>
      <w:pPr>
        <w:pStyle w:val="Normal"/>
        <w:ind w:firstLine="708"/>
        <w:jc w:val="center"/>
        <w:rPr>
          <w:rFonts w:ascii="Tahoma" w:hAnsi="Tahoma" w:cs="Tahoma"/>
          <w:i/>
          <w:i/>
          <w:iCs/>
          <w:sz w:val="20"/>
          <w:szCs w:val="20"/>
        </w:rPr>
      </w:pPr>
      <w:r>
        <w:rPr>
          <w:rFonts w:cs="Tahoma" w:ascii="Tahoma" w:hAnsi="Tahoma"/>
          <w:i/>
          <w:iCs/>
          <w:sz w:val="20"/>
          <w:szCs w:val="20"/>
        </w:rPr>
        <w:t>-0-</w:t>
      </w:r>
    </w:p>
    <w:p>
      <w:pPr>
        <w:pStyle w:val="Normal"/>
        <w:ind w:firstLine="708"/>
        <w:jc w:val="center"/>
        <w:rPr>
          <w:rFonts w:ascii="Tahoma" w:hAnsi="Tahoma" w:cs="Tahoma"/>
          <w:i/>
          <w:i/>
          <w:iCs/>
          <w:sz w:val="20"/>
          <w:szCs w:val="20"/>
        </w:rPr>
      </w:pPr>
      <w:r>
        <w:rPr>
          <w:rFonts w:cs="Tahoma" w:ascii="Tahoma" w:hAnsi="Tahoma"/>
          <w:i/>
          <w:iCs/>
          <w:sz w:val="20"/>
          <w:szCs w:val="20"/>
        </w:rPr>
      </w:r>
    </w:p>
    <w:p>
      <w:pPr>
        <w:pStyle w:val="Normal"/>
        <w:ind w:firstLine="709"/>
        <w:jc w:val="both"/>
        <w:rPr>
          <w:rFonts w:ascii="Tahoma" w:hAnsi="Tahoma" w:eastAsia="Arial Unicode MS" w:cs="Tahoma"/>
          <w:b/>
          <w:b/>
          <w:bCs/>
          <w:i/>
          <w:i/>
          <w:iCs/>
          <w:kern w:val="2"/>
          <w:sz w:val="20"/>
          <w:szCs w:val="20"/>
        </w:rPr>
      </w:pPr>
      <w:r>
        <w:rPr>
          <w:rFonts w:eastAsia="Arial Unicode MS" w:cs="Tahoma" w:ascii="Tahoma" w:hAnsi="Tahoma"/>
          <w:b/>
          <w:bCs/>
          <w:i/>
          <w:iCs/>
          <w:kern w:val="2"/>
          <w:sz w:val="20"/>
          <w:szCs w:val="20"/>
        </w:rPr>
        <w:t>San José, …. de….. de 2019</w:t>
      </w:r>
    </w:p>
    <w:p>
      <w:pPr>
        <w:pStyle w:val="Normal"/>
        <w:ind w:firstLine="709"/>
        <w:jc w:val="both"/>
        <w:rPr>
          <w:rFonts w:ascii="Tahoma" w:hAnsi="Tahoma" w:cs="Tahoma"/>
          <w:i/>
          <w:i/>
          <w:iCs/>
          <w:sz w:val="20"/>
          <w:szCs w:val="20"/>
          <w:lang w:eastAsia="es-ES"/>
        </w:rPr>
      </w:pPr>
      <w:r>
        <w:rPr>
          <w:rFonts w:cs="Tahoma" w:ascii="Tahoma" w:hAnsi="Tahoma"/>
          <w:i/>
          <w:iCs/>
          <w:sz w:val="20"/>
          <w:szCs w:val="20"/>
          <w:lang w:eastAsia="es-ES"/>
        </w:rPr>
      </w:r>
    </w:p>
    <w:p>
      <w:pPr>
        <w:pStyle w:val="Normal"/>
        <w:widowControl w:val="false"/>
        <w:shd w:val="clear" w:color="auto" w:fill="FFFFFF"/>
        <w:tabs>
          <w:tab w:val="clear" w:pos="708"/>
          <w:tab w:val="left" w:pos="720" w:leader="none"/>
        </w:tabs>
        <w:jc w:val="center"/>
        <w:rPr>
          <w:rFonts w:ascii="Tahoma" w:hAnsi="Tahoma" w:cs="Tahoma"/>
          <w:b/>
          <w:b/>
          <w:bCs/>
          <w:i/>
          <w:i/>
          <w:iCs/>
          <w:sz w:val="20"/>
          <w:szCs w:val="20"/>
        </w:rPr>
      </w:pPr>
      <w:r>
        <w:rPr>
          <w:rFonts w:cs="Tahoma" w:ascii="Tahoma" w:hAnsi="Tahoma"/>
          <w:b/>
          <w:bCs/>
          <w:i/>
          <w:iCs/>
          <w:sz w:val="20"/>
          <w:szCs w:val="20"/>
        </w:rPr>
        <w:t>Licda. Silvia Navarro Romanini</w:t>
      </w:r>
    </w:p>
    <w:p>
      <w:pPr>
        <w:pStyle w:val="Normal"/>
        <w:widowControl w:val="false"/>
        <w:shd w:val="clear" w:color="auto" w:fill="FFFFFF"/>
        <w:tabs>
          <w:tab w:val="clear" w:pos="708"/>
          <w:tab w:val="left" w:pos="720" w:leader="none"/>
        </w:tabs>
        <w:jc w:val="center"/>
        <w:rPr>
          <w:rFonts w:ascii="Tahoma" w:hAnsi="Tahoma" w:cs="Tahoma"/>
          <w:b/>
          <w:b/>
          <w:bCs/>
          <w:i/>
          <w:i/>
          <w:iCs/>
          <w:sz w:val="20"/>
          <w:szCs w:val="20"/>
        </w:rPr>
      </w:pPr>
      <w:r>
        <w:rPr>
          <w:rFonts w:cs="Tahoma" w:ascii="Tahoma" w:hAnsi="Tahoma"/>
          <w:b/>
          <w:bCs/>
          <w:i/>
          <w:iCs/>
          <w:sz w:val="20"/>
          <w:szCs w:val="20"/>
        </w:rPr>
        <w:t>Secretaria General</w:t>
      </w:r>
    </w:p>
    <w:p>
      <w:pPr>
        <w:pStyle w:val="Normal"/>
        <w:widowControl w:val="false"/>
        <w:jc w:val="center"/>
        <w:rPr>
          <w:rFonts w:ascii="Tahoma" w:hAnsi="Tahoma" w:eastAsia="Arial Unicode MS" w:cs="Tahoma"/>
          <w:b/>
          <w:b/>
          <w:bCs/>
          <w:i/>
          <w:i/>
          <w:iCs/>
          <w:kern w:val="2"/>
          <w:sz w:val="20"/>
          <w:szCs w:val="20"/>
        </w:rPr>
      </w:pPr>
      <w:r>
        <w:rPr>
          <w:rFonts w:eastAsia="Arial Unicode MS" w:cs="Tahoma" w:ascii="Tahoma" w:hAnsi="Tahoma"/>
          <w:b/>
          <w:bCs/>
          <w:i/>
          <w:iCs/>
          <w:kern w:val="2"/>
          <w:sz w:val="20"/>
          <w:szCs w:val="20"/>
        </w:rPr>
        <w:t>Corte Suprema de Justicia</w:t>
      </w:r>
    </w:p>
    <w:p>
      <w:pPr>
        <w:pStyle w:val="Normal"/>
        <w:widowControl w:val="false"/>
        <w:ind w:firstLine="567"/>
        <w:jc w:val="center"/>
        <w:rPr>
          <w:rFonts w:ascii="Tahoma" w:hAnsi="Tahoma" w:eastAsia="Arial Unicode MS" w:cs="Tahoma"/>
          <w:b/>
          <w:b/>
          <w:bCs/>
          <w:i/>
          <w:i/>
          <w:iCs/>
          <w:kern w:val="2"/>
          <w:sz w:val="20"/>
          <w:szCs w:val="20"/>
        </w:rPr>
      </w:pPr>
      <w:r>
        <w:rPr>
          <w:rFonts w:eastAsia="Arial Unicode MS" w:cs="Tahoma" w:ascii="Tahoma" w:hAnsi="Tahoma"/>
          <w:b/>
          <w:bCs/>
          <w:i/>
          <w:iCs/>
          <w:kern w:val="2"/>
          <w:sz w:val="20"/>
          <w:szCs w:val="20"/>
        </w:rPr>
      </w:r>
    </w:p>
    <w:p>
      <w:pPr>
        <w:pStyle w:val="Normal"/>
        <w:ind w:firstLine="708"/>
        <w:jc w:val="center"/>
        <w:rPr>
          <w:rFonts w:ascii="Tahoma" w:hAnsi="Tahoma" w:cs="Tahoma"/>
          <w:i/>
          <w:i/>
          <w:iCs/>
          <w:sz w:val="20"/>
          <w:szCs w:val="20"/>
        </w:rPr>
      </w:pPr>
      <w:r>
        <w:rPr>
          <w:rFonts w:cs="Tahoma" w:ascii="Tahoma" w:hAnsi="Tahoma"/>
          <w:i/>
          <w:iCs/>
          <w:sz w:val="20"/>
          <w:szCs w:val="20"/>
        </w:rPr>
        <w:t>-0-</w:t>
      </w:r>
    </w:p>
    <w:p>
      <w:pPr>
        <w:pStyle w:val="Normal"/>
        <w:ind w:firstLine="708"/>
        <w:jc w:val="center"/>
        <w:rPr>
          <w:rFonts w:ascii="Tahoma" w:hAnsi="Tahoma" w:cs="Tahoma"/>
          <w:i/>
          <w:i/>
          <w:iCs/>
          <w:sz w:val="20"/>
          <w:szCs w:val="20"/>
        </w:rPr>
      </w:pPr>
      <w:r>
        <w:rPr>
          <w:rFonts w:cs="Tahoma" w:ascii="Tahoma" w:hAnsi="Tahoma"/>
          <w:i/>
          <w:iCs/>
          <w:sz w:val="20"/>
          <w:szCs w:val="20"/>
        </w:rPr>
      </w:r>
    </w:p>
    <w:p>
      <w:pPr>
        <w:pStyle w:val="Normal"/>
        <w:ind w:firstLine="709"/>
        <w:jc w:val="both"/>
        <w:rPr>
          <w:rFonts w:ascii="Tahoma" w:hAnsi="Tahoma" w:cs="Tahoma"/>
          <w:b/>
          <w:b/>
          <w:bCs/>
          <w:i/>
          <w:i/>
          <w:iCs/>
          <w:sz w:val="20"/>
          <w:szCs w:val="20"/>
        </w:rPr>
      </w:pPr>
      <w:r>
        <w:rPr>
          <w:rFonts w:cs="Tahoma" w:ascii="Tahoma" w:hAnsi="Tahoma"/>
          <w:i/>
          <w:iCs/>
          <w:sz w:val="20"/>
          <w:szCs w:val="20"/>
        </w:rPr>
        <w:t>El magistrado Salazar Alvarado se abstiene de votar.”</w:t>
      </w:r>
    </w:p>
    <w:p>
      <w:pPr>
        <w:pStyle w:val="Normal"/>
        <w:widowControl w:val="false"/>
        <w:ind w:right="851" w:hanging="0"/>
        <w:jc w:val="both"/>
        <w:rPr>
          <w:rFonts w:ascii="Tahoma" w:hAnsi="Tahoma" w:cs="Tahoma"/>
          <w:i/>
          <w:i/>
          <w:iCs/>
          <w:sz w:val="20"/>
          <w:szCs w:val="20"/>
        </w:rPr>
      </w:pPr>
      <w:r>
        <w:rPr>
          <w:rFonts w:cs="Tahoma" w:ascii="Tahoma" w:hAnsi="Tahoma"/>
          <w:i/>
          <w:iCs/>
          <w:sz w:val="20"/>
          <w:szCs w:val="20"/>
        </w:rPr>
      </w:r>
    </w:p>
    <w:p>
      <w:pPr>
        <w:pStyle w:val="Normal"/>
        <w:tabs>
          <w:tab w:val="clear" w:pos="708"/>
          <w:tab w:val="left" w:pos="4295" w:leader="none"/>
        </w:tabs>
        <w:ind w:left="4248" w:hanging="0"/>
        <w:jc w:val="both"/>
        <w:rPr>
          <w:rFonts w:ascii="Tahoma" w:hAnsi="Tahoma" w:cs="Tahoma"/>
          <w:b/>
          <w:b/>
          <w:bCs/>
          <w:i/>
          <w:i/>
          <w:iCs/>
          <w:sz w:val="20"/>
          <w:szCs w:val="20"/>
        </w:rPr>
      </w:pPr>
      <w:r>
        <w:rPr>
          <w:rFonts w:cs="Tahoma" w:ascii="Tahoma" w:hAnsi="Tahoma"/>
          <w:b/>
          <w:bCs/>
          <w:i/>
          <w:iCs/>
          <w:sz w:val="20"/>
          <w:szCs w:val="20"/>
        </w:rPr>
        <w:t xml:space="preserve">Atentamente, </w:t>
      </w:r>
    </w:p>
    <w:p>
      <w:pPr>
        <w:pStyle w:val="Normal"/>
        <w:ind w:left="-708" w:hanging="0"/>
        <w:jc w:val="both"/>
        <w:rPr>
          <w:rFonts w:ascii="Tahoma" w:hAnsi="Tahoma" w:cs="Tahoma"/>
          <w:b/>
          <w:b/>
          <w:bCs/>
          <w:i/>
          <w:i/>
          <w:iCs/>
          <w:sz w:val="20"/>
          <w:szCs w:val="20"/>
        </w:rPr>
      </w:pPr>
      <w:r>
        <w:rPr>
          <w:rFonts w:cs="Tahoma" w:ascii="Tahoma" w:hAnsi="Tahoma"/>
          <w:b/>
          <w:bCs/>
          <w:i/>
          <w:iCs/>
          <w:sz w:val="20"/>
          <w:szCs w:val="20"/>
        </w:rPr>
      </w:r>
    </w:p>
    <w:p>
      <w:pPr>
        <w:pStyle w:val="Normal"/>
        <w:ind w:left="-708" w:hanging="0"/>
        <w:jc w:val="both"/>
        <w:rPr>
          <w:rFonts w:ascii="Tahoma" w:hAnsi="Tahoma" w:cs="Tahoma"/>
          <w:b/>
          <w:b/>
          <w:bCs/>
          <w:i/>
          <w:i/>
          <w:iCs/>
          <w:sz w:val="20"/>
          <w:szCs w:val="20"/>
        </w:rPr>
      </w:pPr>
      <w:r>
        <w:rPr>
          <w:rFonts w:cs="Tahoma" w:ascii="Tahoma" w:hAnsi="Tahoma"/>
          <w:b/>
          <w:bCs/>
          <w:i/>
          <w:iCs/>
          <w:sz w:val="20"/>
          <w:szCs w:val="20"/>
        </w:rPr>
      </w:r>
    </w:p>
    <w:p>
      <w:pPr>
        <w:pStyle w:val="Normal"/>
        <w:ind w:left="708" w:hanging="0"/>
        <w:jc w:val="both"/>
        <w:rPr>
          <w:rFonts w:ascii="Tahoma" w:hAnsi="Tahoma" w:cs="Tahoma"/>
          <w:b/>
          <w:b/>
          <w:bCs/>
          <w:i/>
          <w:i/>
          <w:iCs/>
          <w:sz w:val="20"/>
          <w:szCs w:val="20"/>
          <w:lang w:val="es-ES_tradnl"/>
        </w:rPr>
      </w:pPr>
      <w:r>
        <w:rPr>
          <w:rFonts w:cs="Tahoma" w:ascii="Tahoma" w:hAnsi="Tahoma"/>
          <w:b/>
          <w:bCs/>
          <w:i/>
          <w:iCs/>
          <w:sz w:val="20"/>
          <w:szCs w:val="20"/>
          <w:lang w:val="es-ES_tradnl"/>
        </w:rPr>
      </w:r>
    </w:p>
    <w:p>
      <w:pPr>
        <w:pStyle w:val="Normal"/>
        <w:ind w:left="708" w:hanging="0"/>
        <w:jc w:val="both"/>
        <w:rPr>
          <w:rFonts w:ascii="Tahoma" w:hAnsi="Tahoma" w:cs="Tahoma"/>
          <w:b/>
          <w:b/>
          <w:bCs/>
          <w:i/>
          <w:i/>
          <w:iCs/>
          <w:sz w:val="20"/>
          <w:szCs w:val="20"/>
          <w:lang w:val="es-ES_tradnl"/>
        </w:rPr>
      </w:pPr>
      <w:r>
        <w:rPr>
          <w:rFonts w:cs="Tahoma" w:ascii="Tahoma" w:hAnsi="Tahoma"/>
          <w:b/>
          <w:bCs/>
          <w:i/>
          <w:iCs/>
          <w:sz w:val="20"/>
          <w:szCs w:val="20"/>
          <w:lang w:val="es-ES_tradnl"/>
        </w:rPr>
      </w:r>
    </w:p>
    <w:p>
      <w:pPr>
        <w:pStyle w:val="Ttulo54"/>
        <w:keepNext w:val="false"/>
        <w:tabs>
          <w:tab w:val="clear" w:pos="0"/>
        </w:tabs>
        <w:ind w:left="4248" w:hanging="0"/>
        <w:jc w:val="left"/>
        <w:rPr>
          <w:rFonts w:ascii="Tahoma" w:hAnsi="Tahoma" w:eastAsia="Times New Roman" w:cs="Tahoma"/>
          <w:sz w:val="20"/>
          <w:szCs w:val="20"/>
          <w:u w:val="none"/>
          <w:shd w:fill="auto" w:val="clear"/>
          <w:lang w:val="es-CR"/>
        </w:rPr>
      </w:pPr>
      <w:r>
        <w:rPr>
          <w:rFonts w:eastAsia="Times New Roman" w:cs="Tahoma" w:ascii="Tahoma" w:hAnsi="Tahoma"/>
          <w:sz w:val="20"/>
          <w:szCs w:val="20"/>
          <w:u w:val="none"/>
          <w:shd w:fill="auto" w:val="clear"/>
          <w:lang w:val="es-CR"/>
        </w:rPr>
        <w:t>Licda. Silvia Navarro Romanini</w:t>
      </w:r>
    </w:p>
    <w:p>
      <w:pPr>
        <w:pStyle w:val="Ttulo54"/>
        <w:keepNext w:val="false"/>
        <w:tabs>
          <w:tab w:val="clear" w:pos="0"/>
        </w:tabs>
        <w:ind w:left="4248" w:hanging="0"/>
        <w:jc w:val="left"/>
        <w:rPr>
          <w:rFonts w:ascii="Tahoma" w:hAnsi="Tahoma" w:eastAsia="Times New Roman" w:cs="Tahoma"/>
          <w:sz w:val="20"/>
          <w:szCs w:val="20"/>
          <w:u w:val="none"/>
          <w:shd w:fill="auto" w:val="clear"/>
          <w:lang w:val="es-CR"/>
        </w:rPr>
      </w:pPr>
      <w:r>
        <w:rPr>
          <w:rFonts w:eastAsia="Times New Roman" w:cs="Tahoma" w:ascii="Tahoma" w:hAnsi="Tahoma"/>
          <w:sz w:val="20"/>
          <w:szCs w:val="20"/>
          <w:u w:val="none"/>
          <w:shd w:fill="auto" w:val="clear"/>
          <w:lang w:val="es-CR"/>
        </w:rPr>
        <w:t>Secretaria General</w:t>
      </w:r>
    </w:p>
    <w:p>
      <w:pPr>
        <w:pStyle w:val="Normal"/>
        <w:rPr>
          <w:rFonts w:ascii="Tahoma" w:hAnsi="Tahoma" w:cs="Tahoma"/>
          <w:b/>
          <w:b/>
          <w:bCs/>
          <w:i/>
          <w:i/>
          <w:iCs/>
          <w:sz w:val="20"/>
          <w:szCs w:val="20"/>
        </w:rPr>
      </w:pPr>
      <w:r>
        <w:rPr>
          <w:rFonts w:cs="Tahoma" w:ascii="Tahoma" w:hAnsi="Tahoma"/>
          <w:i/>
          <w:iCs/>
          <w:sz w:val="20"/>
          <w:szCs w:val="20"/>
        </w:rPr>
        <w:tab/>
        <w:tab/>
        <w:tab/>
        <w:tab/>
        <w:tab/>
        <w:tab/>
      </w:r>
      <w:r>
        <w:rPr>
          <w:rFonts w:cs="Tahoma" w:ascii="Tahoma" w:hAnsi="Tahoma"/>
          <w:b/>
          <w:bCs/>
          <w:i/>
          <w:iCs/>
          <w:sz w:val="20"/>
          <w:szCs w:val="20"/>
        </w:rPr>
        <w:t>Corte Suprema de Justicia</w:t>
      </w:r>
    </w:p>
    <w:p>
      <w:pPr>
        <w:pStyle w:val="Ttulo51"/>
        <w:keepNext w:val="false"/>
        <w:tabs>
          <w:tab w:val="clear" w:pos="0"/>
        </w:tabs>
        <w:jc w:val="both"/>
        <w:rPr>
          <w:rFonts w:ascii="Tahoma" w:hAnsi="Tahoma" w:eastAsia="Times New Roman" w:cs="Tahoma"/>
          <w:sz w:val="20"/>
          <w:szCs w:val="20"/>
          <w:u w:val="none"/>
          <w:shd w:fill="auto" w:val="clear"/>
          <w:lang w:val="es-CR"/>
        </w:rPr>
      </w:pPr>
      <w:r>
        <w:rPr>
          <w:rFonts w:eastAsia="Times New Roman" w:cs="Tahoma" w:ascii="Tahoma" w:hAnsi="Tahoma"/>
          <w:sz w:val="20"/>
          <w:szCs w:val="20"/>
          <w:u w:val="none"/>
          <w:shd w:fill="auto" w:val="clear"/>
          <w:lang w:val="es-CR"/>
        </w:rPr>
      </w:r>
    </w:p>
    <w:p>
      <w:pPr>
        <w:pStyle w:val="Ttulo51"/>
        <w:keepNext w:val="false"/>
        <w:tabs>
          <w:tab w:val="clear" w:pos="0"/>
        </w:tabs>
        <w:ind w:left="4248" w:hanging="0"/>
        <w:jc w:val="both"/>
        <w:rPr>
          <w:rFonts w:ascii="Tahoma" w:hAnsi="Tahoma" w:eastAsia="Times New Roman" w:cs="Tahoma"/>
          <w:sz w:val="20"/>
          <w:szCs w:val="20"/>
          <w:u w:val="none"/>
          <w:shd w:fill="auto" w:val="clear"/>
          <w:lang w:val="es-CR"/>
        </w:rPr>
      </w:pPr>
      <w:r>
        <w:rPr>
          <w:rFonts w:eastAsia="Times New Roman" w:cs="Tahoma" w:ascii="Tahoma" w:hAnsi="Tahoma"/>
          <w:sz w:val="20"/>
          <w:szCs w:val="20"/>
          <w:u w:val="none"/>
          <w:shd w:fill="auto" w:val="clear"/>
          <w:lang w:val="es-CR"/>
        </w:rPr>
      </w:r>
    </w:p>
    <w:p>
      <w:pPr>
        <w:pStyle w:val="Ttulo51"/>
        <w:keepNext w:val="false"/>
        <w:tabs>
          <w:tab w:val="clear" w:pos="0"/>
        </w:tabs>
        <w:ind w:left="4248" w:hanging="0"/>
        <w:jc w:val="both"/>
        <w:rPr>
          <w:rFonts w:ascii="Tahoma" w:hAnsi="Tahoma" w:eastAsia="Times New Roman" w:cs="Tahoma"/>
          <w:sz w:val="20"/>
          <w:szCs w:val="20"/>
          <w:u w:val="none"/>
          <w:shd w:fill="auto" w:val="clear"/>
          <w:lang w:val="es-CR"/>
        </w:rPr>
      </w:pPr>
      <w:r>
        <w:rPr>
          <w:rFonts w:eastAsia="Times New Roman" w:cs="Tahoma" w:ascii="Tahoma" w:hAnsi="Tahoma"/>
          <w:sz w:val="20"/>
          <w:szCs w:val="20"/>
          <w:u w:val="none"/>
          <w:shd w:fill="auto" w:val="clear"/>
          <w:lang w:val="es-CR"/>
        </w:rPr>
        <w:t xml:space="preserve"> </w:t>
      </w:r>
    </w:p>
    <w:p>
      <w:pPr>
        <w:pStyle w:val="Normal"/>
        <w:jc w:val="both"/>
        <w:rPr>
          <w:rFonts w:ascii="Tahoma" w:hAnsi="Tahoma" w:cs="Tahoma"/>
          <w:i/>
          <w:i/>
          <w:iCs/>
          <w:sz w:val="20"/>
          <w:szCs w:val="20"/>
        </w:rPr>
      </w:pPr>
      <w:r>
        <w:rPr>
          <w:rFonts w:cs="Tahoma" w:ascii="Tahoma" w:hAnsi="Tahoma"/>
          <w:i/>
          <w:iCs/>
          <w:sz w:val="20"/>
          <w:szCs w:val="20"/>
        </w:rPr>
        <w:t xml:space="preserve">c: </w:t>
        <w:tab/>
        <w:t>Diligencias / Refs: (</w:t>
      </w:r>
      <w:r>
        <w:rPr>
          <w:rFonts w:cs="Tahoma" w:ascii="Tahoma" w:hAnsi="Tahoma"/>
          <w:b/>
          <w:i/>
          <w:iCs/>
          <w:sz w:val="20"/>
          <w:szCs w:val="20"/>
        </w:rPr>
        <w:t>10405-17/15762-19</w:t>
      </w:r>
      <w:r>
        <w:rPr>
          <w:rFonts w:cs="Tahoma" w:ascii="Tahoma" w:hAnsi="Tahoma"/>
          <w:i/>
          <w:iCs/>
          <w:sz w:val="20"/>
          <w:szCs w:val="20"/>
        </w:rPr>
        <w:t xml:space="preserve">) </w:t>
      </w:r>
    </w:p>
    <w:p>
      <w:pPr>
        <w:pStyle w:val="Normal"/>
        <w:jc w:val="center"/>
        <w:rPr>
          <w:rFonts w:ascii="Tahoma" w:hAnsi="Tahoma" w:cs="Tahoma"/>
          <w:b/>
          <w:b/>
          <w:i/>
          <w:i/>
          <w:iCs/>
          <w:sz w:val="20"/>
          <w:szCs w:val="20"/>
          <w:shd w:fill="FFFFFF" w:val="clear"/>
          <w:lang w:val="es-ES_tradnl"/>
        </w:rPr>
      </w:pPr>
      <w:r>
        <w:rPr>
          <w:rFonts w:cs="Tahoma" w:ascii="Tahoma" w:hAnsi="Tahoma"/>
          <w:b/>
          <w:i/>
          <w:iCs/>
          <w:sz w:val="20"/>
          <w:szCs w:val="20"/>
          <w:shd w:fill="FFFFFF" w:val="clear"/>
          <w:lang w:val="es-ES_tradnl"/>
        </w:rPr>
      </w:r>
    </w:p>
    <w:p>
      <w:pPr>
        <w:pStyle w:val="Normal"/>
        <w:ind w:left="1068" w:hanging="0"/>
        <w:jc w:val="center"/>
        <w:rPr>
          <w:rFonts w:ascii="Tahoma" w:hAnsi="Tahoma" w:eastAsia="Calibri" w:cs="Tahoma"/>
          <w:i/>
          <w:i/>
          <w:iCs/>
          <w:sz w:val="20"/>
          <w:szCs w:val="20"/>
          <w:lang w:val="es-ES_tradnl"/>
        </w:rPr>
      </w:pPr>
      <w:r>
        <w:fldChar w:fldCharType="begin"/>
      </w:r>
      <w:r>
        <w:rPr>
          <w:sz w:val="20"/>
          <w:szCs w:val="20"/>
          <w:rFonts w:ascii="Tahoma" w:hAnsi="Tahoma"/>
        </w:rPr>
        <w:instrText>LINK Word.Document.12 "C:\\Users\\KSALAZARD\\Desktop\\indígenas\\1095-2020.docx" "" \a \p \f 0 \* MERGEFORMAT</w:instrText>
      </w:r>
      <w:r>
        <w:rPr>
          <w:rFonts w:ascii="Tahoma" w:hAnsi="Tahoma"/>
          <w:sz w:val="20"/>
          <w:szCs w:val="20"/>
        </w:rPr>
      </w:r>
      <w:r>
        <w:rPr>
          <w:sz w:val="20"/>
          <w:szCs w:val="20"/>
          <w:rFonts w:ascii="Tahoma" w:hAnsi="Tahoma"/>
        </w:rPr>
        <w:fldChar w:fldCharType="separate"/>
      </w:r>
      <w:r>
        <w:rPr>
          <w:rFonts w:ascii="Tahoma" w:hAnsi="Tahoma"/>
          <w:sz w:val="20"/>
          <w:szCs w:val="20"/>
        </w:rPr>
      </w:r>
      <w:r>
        <w:rPr/>
        <w:drawing>
          <wp:inline distT="0" distB="0" distL="0" distR="0">
            <wp:extent cx="972820" cy="640715"/>
            <wp:effectExtent l="0" t="0" r="0" b="0"/>
            <wp:docPr id="17" name="Objeto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jeto 5" descr=""/>
                    <pic:cNvPicPr>
                      <a:picLocks noChangeAspect="1" noChangeArrowheads="1"/>
                    </pic:cNvPicPr>
                  </pic:nvPicPr>
                  <pic:blipFill>
                    <a:blip r:embed="rId20"/>
                    <a:stretch>
                      <a:fillRect/>
                    </a:stretch>
                  </pic:blipFill>
                  <pic:spPr bwMode="auto">
                    <a:xfrm>
                      <a:off x="0" y="0"/>
                      <a:ext cx="972820" cy="640715"/>
                    </a:xfrm>
                    <a:prstGeom prst="rect">
                      <a:avLst/>
                    </a:prstGeom>
                  </pic:spPr>
                </pic:pic>
              </a:graphicData>
            </a:graphic>
          </wp:inline>
        </w:drawing>
      </w:r>
      <w:r>
        <w:rPr>
          <w:rFonts w:ascii="Tahoma" w:hAnsi="Tahoma"/>
          <w:sz w:val="20"/>
          <w:szCs w:val="20"/>
        </w:rPr>
      </w:r>
      <w:r>
        <w:rPr>
          <w:sz w:val="20"/>
          <w:szCs w:val="20"/>
          <w:rFonts w:ascii="Tahoma" w:hAnsi="Tahoma"/>
        </w:rPr>
        <w:fldChar w:fldCharType="end"/>
      </w:r>
    </w:p>
    <w:p>
      <w:pPr>
        <w:pStyle w:val="Normal"/>
        <w:spacing w:lineRule="auto" w:line="360"/>
        <w:rPr>
          <w:rFonts w:ascii="Tahoma" w:hAnsi="Tahoma" w:cs="Tahoma"/>
          <w:color w:val="000009"/>
          <w:sz w:val="20"/>
          <w:szCs w:val="20"/>
        </w:rPr>
      </w:pPr>
      <w:r>
        <w:rPr>
          <w:rFonts w:cs="Tahoma" w:ascii="Tahoma" w:hAnsi="Tahoma"/>
          <w:color w:val="000009"/>
          <w:sz w:val="20"/>
          <w:szCs w:val="20"/>
        </w:rPr>
      </w:r>
      <w:bookmarkStart w:id="47" w:name="_Toc24623666"/>
      <w:bookmarkStart w:id="48" w:name="_Toc24623613"/>
      <w:bookmarkStart w:id="49" w:name="_Toc24623666"/>
      <w:bookmarkStart w:id="50" w:name="_Toc24623613"/>
      <w:bookmarkEnd w:id="49"/>
      <w:bookmarkEnd w:id="50"/>
    </w:p>
    <w:p>
      <w:pPr>
        <w:pStyle w:val="Normal"/>
        <w:spacing w:lineRule="auto" w:line="360"/>
        <w:rPr>
          <w:rFonts w:ascii="Tahoma" w:hAnsi="Tahoma" w:cs="Tahoma"/>
          <w:color w:val="000009"/>
          <w:sz w:val="20"/>
          <w:szCs w:val="20"/>
        </w:rPr>
      </w:pPr>
      <w:r>
        <w:rPr>
          <w:rFonts w:cs="Tahoma" w:ascii="Tahoma" w:hAnsi="Tahoma"/>
          <w:color w:val="000009"/>
          <w:sz w:val="20"/>
          <w:szCs w:val="20"/>
        </w:rPr>
      </w:r>
    </w:p>
    <w:p>
      <w:pPr>
        <w:pStyle w:val="Normal"/>
        <w:jc w:val="both"/>
        <w:rPr>
          <w:rFonts w:ascii="Tahoma" w:hAnsi="Tahoma" w:cs="Tahoma"/>
          <w:bCs/>
          <w:color w:val="000009"/>
          <w:sz w:val="20"/>
          <w:szCs w:val="20"/>
        </w:rPr>
      </w:pPr>
      <w:r>
        <w:rPr>
          <w:rFonts w:cs="Tahoma" w:ascii="Tahoma" w:hAnsi="Tahoma"/>
          <w:b/>
          <w:color w:val="000009"/>
          <w:sz w:val="20"/>
          <w:szCs w:val="20"/>
          <w:u w:val="single"/>
        </w:rPr>
        <w:t>SE ACUERDA</w:t>
      </w:r>
      <w:r>
        <w:rPr>
          <w:rFonts w:cs="Tahoma" w:ascii="Tahoma" w:hAnsi="Tahoma"/>
          <w:bCs/>
          <w:color w:val="000009"/>
          <w:sz w:val="20"/>
          <w:szCs w:val="20"/>
        </w:rPr>
        <w:t xml:space="preserve">: </w:t>
      </w:r>
    </w:p>
    <w:p>
      <w:pPr>
        <w:pStyle w:val="Normal"/>
        <w:jc w:val="both"/>
        <w:rPr>
          <w:rFonts w:ascii="Tahoma" w:hAnsi="Tahoma" w:cs="Tahoma"/>
          <w:i/>
          <w:i/>
          <w:iCs/>
          <w:sz w:val="20"/>
          <w:szCs w:val="20"/>
        </w:rPr>
      </w:pPr>
      <w:r>
        <w:rPr>
          <w:rFonts w:cs="Tahoma" w:ascii="Tahoma" w:hAnsi="Tahoma"/>
          <w:b/>
          <w:color w:val="000009"/>
          <w:sz w:val="20"/>
          <w:szCs w:val="20"/>
        </w:rPr>
        <w:t>1°</w:t>
      </w:r>
      <w:r>
        <w:rPr>
          <w:rFonts w:cs="Tahoma" w:ascii="Tahoma" w:hAnsi="Tahoma"/>
          <w:bCs/>
          <w:color w:val="000009"/>
          <w:sz w:val="20"/>
          <w:szCs w:val="20"/>
        </w:rPr>
        <w:t xml:space="preserve"> Se toma nota del Oficio N° 1095-2020 de </w:t>
      </w:r>
      <w:r>
        <w:rPr>
          <w:rFonts w:cs="Tahoma" w:ascii="Tahoma" w:hAnsi="Tahoma"/>
          <w:sz w:val="20"/>
          <w:szCs w:val="20"/>
          <w:lang w:val="es-ES_tradnl"/>
        </w:rPr>
        <w:t>4 de febrero de 2020, en el que se</w:t>
      </w:r>
      <w:r>
        <w:rPr>
          <w:rFonts w:cs="Tahoma" w:ascii="Tahoma" w:hAnsi="Tahoma"/>
          <w:sz w:val="20"/>
          <w:szCs w:val="20"/>
        </w:rPr>
        <w:t xml:space="preserve"> transcribe el acuerdo tomado por la Corte Plena, en sesión </w:t>
      </w:r>
      <w:r>
        <w:rPr>
          <w:rFonts w:cs="Tahoma" w:ascii="Tahoma" w:hAnsi="Tahoma"/>
          <w:b/>
          <w:bCs/>
          <w:sz w:val="20"/>
          <w:szCs w:val="20"/>
        </w:rPr>
        <w:t xml:space="preserve">N° 02-2020 </w:t>
      </w:r>
      <w:r>
        <w:rPr>
          <w:rFonts w:cs="Tahoma" w:ascii="Tahoma" w:hAnsi="Tahoma"/>
          <w:bCs/>
          <w:sz w:val="20"/>
          <w:szCs w:val="20"/>
        </w:rPr>
        <w:t>c</w:t>
      </w:r>
      <w:r>
        <w:rPr>
          <w:rFonts w:cs="Tahoma" w:ascii="Tahoma" w:hAnsi="Tahoma"/>
          <w:sz w:val="20"/>
          <w:szCs w:val="20"/>
        </w:rPr>
        <w:t xml:space="preserve">elebrada el </w:t>
      </w:r>
      <w:r>
        <w:rPr>
          <w:rFonts w:cs="Tahoma" w:ascii="Tahoma" w:hAnsi="Tahoma"/>
          <w:b/>
          <w:sz w:val="20"/>
          <w:szCs w:val="20"/>
        </w:rPr>
        <w:t>13 de enero</w:t>
      </w:r>
      <w:r>
        <w:rPr>
          <w:rFonts w:cs="Tahoma" w:ascii="Tahoma" w:hAnsi="Tahoma"/>
          <w:b/>
          <w:bCs/>
          <w:sz w:val="20"/>
          <w:szCs w:val="20"/>
        </w:rPr>
        <w:t xml:space="preserve"> del 2020,</w:t>
      </w:r>
      <w:r>
        <w:rPr>
          <w:rFonts w:cs="Tahoma" w:ascii="Tahoma" w:hAnsi="Tahoma"/>
          <w:sz w:val="20"/>
          <w:szCs w:val="20"/>
        </w:rPr>
        <w:t xml:space="preserve"> Artículo XXXII, en el que se acogió</w:t>
      </w:r>
      <w:r>
        <w:rPr>
          <w:rFonts w:cs="Tahoma" w:ascii="Tahoma" w:hAnsi="Tahoma"/>
          <w:i/>
          <w:iCs/>
          <w:sz w:val="20"/>
          <w:szCs w:val="20"/>
        </w:rPr>
        <w:t xml:space="preserve"> el informe N° 1995-PLA-PE-2019, y se acordó: “</w:t>
      </w:r>
      <w:r>
        <w:rPr>
          <w:rFonts w:cs="Tahoma" w:ascii="Tahoma" w:hAnsi="Tahoma"/>
          <w:b/>
          <w:bCs/>
          <w:i/>
          <w:iCs/>
          <w:sz w:val="20"/>
          <w:szCs w:val="20"/>
        </w:rPr>
        <w:t>1.)</w:t>
      </w:r>
      <w:r>
        <w:rPr>
          <w:rFonts w:cs="Tahoma" w:ascii="Tahoma" w:hAnsi="Tahoma"/>
          <w:i/>
          <w:iCs/>
          <w:sz w:val="20"/>
          <w:szCs w:val="20"/>
        </w:rPr>
        <w:t xml:space="preserve"> Aprobar el “Modelo de Gestión (formulación, implementación, seguimiento y evaluación) de Políticas Institucionales” en los términos señalados en el apartado III del citado informe y con las observaciones señaladas por la licenciada Nacira Valverde Bermúdez, Directora de ese despacho. </w:t>
      </w:r>
      <w:r>
        <w:rPr>
          <w:rFonts w:cs="Tahoma" w:ascii="Tahoma" w:hAnsi="Tahoma"/>
          <w:b/>
          <w:bCs/>
          <w:i/>
          <w:iCs/>
          <w:sz w:val="20"/>
          <w:szCs w:val="20"/>
        </w:rPr>
        <w:t xml:space="preserve">2.) </w:t>
      </w:r>
      <w:r>
        <w:rPr>
          <w:rFonts w:cs="Tahoma" w:ascii="Tahoma" w:hAnsi="Tahoma"/>
          <w:i/>
          <w:iCs/>
          <w:sz w:val="20"/>
          <w:szCs w:val="20"/>
        </w:rPr>
        <w:t xml:space="preserve">Solicitar al Departamento de Artes Gráficas del Poder Judicial se sirva realizar el diseño e impresión de al menos 50 ejemplares del documento “Modelo de Gestión (formulación, implementación, seguimiento y evaluación) de Políticas Institucionales” y lo remita a la Dirección de Planificación a fin de que los distribuya a las diferentes instancias que gestionan políticas institucionales. </w:t>
      </w:r>
      <w:r>
        <w:rPr>
          <w:rFonts w:cs="Tahoma" w:ascii="Tahoma" w:hAnsi="Tahoma"/>
          <w:b/>
          <w:bCs/>
          <w:i/>
          <w:iCs/>
          <w:sz w:val="20"/>
          <w:szCs w:val="20"/>
        </w:rPr>
        <w:t xml:space="preserve">3.) </w:t>
      </w:r>
      <w:r>
        <w:rPr>
          <w:rFonts w:cs="Tahoma" w:ascii="Tahoma" w:hAnsi="Tahoma"/>
          <w:i/>
          <w:iCs/>
          <w:sz w:val="20"/>
          <w:szCs w:val="20"/>
        </w:rPr>
        <w:t xml:space="preserve">Aprobar el “Proceso de Gestión Estratégica de Políticas Institucionales (Alineación Estratégica)”, contenido en el apartado IV de este informe, que incluye la elaboración de un informe semestral de seguimiento y evaluación de los resultados obtenidos de la gestión de las políticas institucionales, a cargo del Subproceso de Evaluación de la Dirección de Planificación, con el fin de que sea conocido por esta Corte para la toma de decisiones correspondiente.” </w:t>
      </w:r>
      <w:r>
        <w:rPr>
          <w:rFonts w:cs="Tahoma" w:ascii="Tahoma" w:hAnsi="Tahoma"/>
          <w:b/>
          <w:bCs/>
          <w:i/>
          <w:iCs/>
          <w:sz w:val="20"/>
          <w:szCs w:val="20"/>
        </w:rPr>
        <w:t xml:space="preserve">4.) </w:t>
      </w:r>
      <w:r>
        <w:rPr>
          <w:rFonts w:cs="Tahoma" w:ascii="Tahoma" w:hAnsi="Tahoma"/>
          <w:i/>
          <w:iCs/>
          <w:sz w:val="20"/>
          <w:szCs w:val="20"/>
        </w:rPr>
        <w:t xml:space="preserve">La Secretaría General de la Corte tomará nota para la publicación de la siguiente circular:…”. </w:t>
      </w:r>
    </w:p>
    <w:p>
      <w:pPr>
        <w:pStyle w:val="Normal"/>
        <w:jc w:val="both"/>
        <w:rPr>
          <w:rFonts w:ascii="Tahoma" w:hAnsi="Tahoma" w:cs="Tahoma"/>
          <w:sz w:val="20"/>
          <w:szCs w:val="20"/>
        </w:rPr>
      </w:pPr>
      <w:r>
        <w:rPr>
          <w:rFonts w:cs="Tahoma" w:ascii="Tahoma" w:hAnsi="Tahoma"/>
          <w:b/>
          <w:bCs/>
          <w:sz w:val="20"/>
          <w:szCs w:val="20"/>
        </w:rPr>
        <w:t xml:space="preserve">2° </w:t>
      </w:r>
      <w:r>
        <w:rPr>
          <w:rFonts w:cs="Tahoma" w:ascii="Tahoma" w:hAnsi="Tahoma"/>
          <w:sz w:val="20"/>
          <w:szCs w:val="20"/>
        </w:rPr>
        <w:t>Trasladar a las y los integrantes de la Subcomisión el acuerdo en referencia a efecto de que conozca integralmente Modelo de Gestión de Políticas Institucionales para implementarlo en la construcción de la Política Indígena del Poder Judicial.</w:t>
      </w:r>
    </w:p>
    <w:p>
      <w:pPr>
        <w:pStyle w:val="Normal"/>
        <w:jc w:val="both"/>
        <w:rPr>
          <w:rFonts w:ascii="Tahoma" w:hAnsi="Tahoma" w:cs="Tahoma"/>
          <w:sz w:val="20"/>
          <w:szCs w:val="20"/>
        </w:rPr>
      </w:pPr>
      <w:r>
        <w:rPr>
          <w:rFonts w:cs="Tahoma" w:ascii="Tahoma" w:hAnsi="Tahoma"/>
          <w:b/>
          <w:bCs/>
          <w:sz w:val="20"/>
          <w:szCs w:val="20"/>
        </w:rPr>
        <w:t xml:space="preserve">3° </w:t>
      </w:r>
      <w:r>
        <w:rPr>
          <w:rFonts w:cs="Tahoma" w:ascii="Tahoma" w:hAnsi="Tahoma"/>
          <w:sz w:val="20"/>
          <w:szCs w:val="20"/>
        </w:rPr>
        <w:t>Comunicar este acuerdo a las personas designadas por MIDEPLAN como asesoras al Poder Judicial para la construcción de la Política Indígena a fin de que, en coordinación con la Dirección de Planificación, den el acompañamiento respectivo a la Subcomisión y a la Comisión de Acceso a la Justicia para la construcción de la Política, bajo un modelo de participación activa de la población indígena desde un primer momento de su construcción.</w:t>
      </w:r>
    </w:p>
    <w:p>
      <w:pPr>
        <w:pStyle w:val="Normal"/>
        <w:jc w:val="both"/>
        <w:rPr>
          <w:rFonts w:ascii="Tahoma" w:hAnsi="Tahoma" w:cs="Tahoma"/>
          <w:sz w:val="20"/>
          <w:szCs w:val="20"/>
        </w:rPr>
      </w:pPr>
      <w:r>
        <w:rPr>
          <w:rFonts w:cs="Tahoma" w:ascii="Tahoma" w:hAnsi="Tahoma"/>
          <w:sz w:val="20"/>
          <w:szCs w:val="20"/>
        </w:rPr>
        <w:t>4° Consultar a MIDEPLAN las fechas programadas para la capacitación en construcción de políticas públicas a las personas integrantes de la Subcomisión, a efecto de gestionar los permisos respectivos con la colaboración de la Unidad de Acceso a la Justicia.</w:t>
      </w:r>
    </w:p>
    <w:p>
      <w:pPr>
        <w:pStyle w:val="Normal"/>
        <w:jc w:val="both"/>
        <w:rPr>
          <w:rFonts w:ascii="Tahoma" w:hAnsi="Tahoma" w:cs="Tahoma"/>
          <w:sz w:val="20"/>
          <w:szCs w:val="20"/>
        </w:rPr>
      </w:pPr>
      <w:r>
        <w:rPr>
          <w:rFonts w:cs="Tahoma" w:ascii="Tahoma" w:hAnsi="Tahoma"/>
          <w:sz w:val="20"/>
          <w:szCs w:val="20"/>
        </w:rPr>
        <w:t xml:space="preserve">5° Se declaran firmes estos acuerdos por unanimidad. Comuníquese a la Dirección de Planificación, personas responsables de MIDEPLAN e integrantes de la Subcomisión, para lo de su cargo, por medio de la Unidad de Acceso a la Justicia. </w:t>
      </w:r>
    </w:p>
    <w:p>
      <w:pPr>
        <w:pStyle w:val="Normal"/>
        <w:spacing w:lineRule="auto" w:line="360"/>
        <w:jc w:val="center"/>
        <w:rPr>
          <w:rFonts w:ascii="Tahoma" w:hAnsi="Tahoma" w:cs="Tahoma"/>
          <w:b/>
          <w:b/>
          <w:sz w:val="20"/>
          <w:szCs w:val="20"/>
          <w:highlight w:val="yellow"/>
          <w:u w:val="single"/>
        </w:rPr>
      </w:pPr>
      <w:r>
        <w:rPr>
          <w:rFonts w:cs="Tahoma" w:ascii="Tahoma" w:hAnsi="Tahoma"/>
          <w:b/>
          <w:sz w:val="20"/>
          <w:szCs w:val="20"/>
          <w:highlight w:val="yellow"/>
          <w:u w:val="single"/>
        </w:rPr>
      </w:r>
    </w:p>
    <w:p>
      <w:pPr>
        <w:pStyle w:val="Normal"/>
        <w:spacing w:lineRule="auto" w:line="360"/>
        <w:jc w:val="center"/>
        <w:rPr>
          <w:rFonts w:ascii="Tahoma" w:hAnsi="Tahoma" w:cs="Tahoma"/>
          <w:b/>
          <w:b/>
          <w:sz w:val="20"/>
          <w:szCs w:val="20"/>
          <w:highlight w:val="yellow"/>
          <w:u w:val="single"/>
        </w:rPr>
      </w:pPr>
      <w:r>
        <w:rPr>
          <w:rFonts w:cs="Tahoma" w:ascii="Tahoma" w:hAnsi="Tahoma"/>
          <w:b/>
          <w:sz w:val="20"/>
          <w:szCs w:val="20"/>
          <w:highlight w:val="yellow"/>
          <w:u w:val="single"/>
        </w:rPr>
        <w:t>ARTÍCULO VII:</w:t>
      </w:r>
    </w:p>
    <w:p>
      <w:pPr>
        <w:pStyle w:val="Normal"/>
        <w:spacing w:lineRule="auto" w:line="360"/>
        <w:jc w:val="both"/>
        <w:rPr>
          <w:rFonts w:ascii="Tahoma" w:hAnsi="Tahoma" w:cs="Tahoma"/>
          <w:b/>
          <w:b/>
          <w:sz w:val="20"/>
          <w:szCs w:val="20"/>
        </w:rPr>
      </w:pPr>
      <w:r>
        <w:rPr>
          <w:rFonts w:cs="Tahoma" w:ascii="Tahoma" w:hAnsi="Tahoma"/>
          <w:b/>
          <w:sz w:val="20"/>
          <w:szCs w:val="20"/>
        </w:rPr>
        <w:t xml:space="preserve">TEMA: DESIGNACIÓN DEL SEÑOR JORGE DAVID MORALES RAMIREZ COMO INTEGRANTE DE LA SUBCOMISIÓN DE ACCESO A LA JUSTICIA DE PUEBLOS INDÍGENAS EN REPRESENTACION DEL DESPACHO DE LA PRESIDENCIA </w:t>
      </w:r>
    </w:p>
    <w:p>
      <w:pPr>
        <w:pStyle w:val="Normal"/>
        <w:jc w:val="both"/>
        <w:rPr>
          <w:rFonts w:ascii="Tahoma" w:hAnsi="Tahoma" w:cs="Tahoma"/>
          <w:sz w:val="20"/>
          <w:szCs w:val="20"/>
          <w:lang w:val="es-ES"/>
        </w:rPr>
      </w:pPr>
      <w:r>
        <w:rPr>
          <w:rFonts w:cs="Tahoma" w:ascii="Tahoma" w:hAnsi="Tahoma"/>
          <w:sz w:val="20"/>
          <w:szCs w:val="20"/>
          <w:lang w:val="es-ES"/>
        </w:rPr>
        <w:t>La Unidad de Acceso a la Justicia comunicó mediante el</w:t>
      </w:r>
      <w:r>
        <w:rPr>
          <w:rFonts w:cs="Tahoma" w:ascii="Tahoma" w:hAnsi="Tahoma"/>
          <w:b/>
          <w:sz w:val="20"/>
          <w:szCs w:val="20"/>
          <w:lang w:val="es-ES"/>
        </w:rPr>
        <w:t xml:space="preserve"> Oficio CACC-34-2020</w:t>
      </w:r>
      <w:r>
        <w:rPr>
          <w:rFonts w:cs="Tahoma" w:ascii="Tahoma" w:hAnsi="Tahoma"/>
          <w:sz w:val="20"/>
          <w:szCs w:val="20"/>
          <w:lang w:val="es-ES"/>
        </w:rPr>
        <w:t xml:space="preserve"> al Despacho de la Presidencia, el acuerdo estipulado en el Artículo II del Acta 01-2020 el cual se transcribe literalmente: </w:t>
      </w:r>
    </w:p>
    <w:p>
      <w:pPr>
        <w:pStyle w:val="Gmailm4214538879123250192default"/>
        <w:spacing w:before="280" w:after="280"/>
        <w:jc w:val="both"/>
        <w:rPr>
          <w:rFonts w:ascii="Tahoma" w:hAnsi="Tahoma" w:cs="Tahoma"/>
          <w:i/>
          <w:i/>
          <w:sz w:val="20"/>
          <w:szCs w:val="20"/>
        </w:rPr>
      </w:pPr>
      <w:r>
        <w:rPr>
          <w:rFonts w:cs="Tahoma" w:ascii="Tahoma" w:hAnsi="Tahoma"/>
          <w:i/>
          <w:sz w:val="20"/>
          <w:szCs w:val="20"/>
        </w:rPr>
        <w:t xml:space="preserve">3°. Informar a la Presidencia de la Corte, Despacho de la Presidencia y Comisión de Acceso a la Justicia los avances realizados en la construcción de la propuesta de la Política Indígena del Poder Judicial y la importancia de poder contar con su colaboración en el proceso pues es un proceso que requiere la coordinación interinstitucional y además, la participación activa de la población indígena en cumplimiento de los derechos de dicha población regulados en la normativa nacional e internacional que les rige, y el mandato de construcción de dicha Política establecidos en la Ley de Acceso a la Justicia de Pueblos Indígenas y la Circular 188-2019 de Corte Plena. </w:t>
      </w:r>
    </w:p>
    <w:p>
      <w:pPr>
        <w:pStyle w:val="Normal"/>
        <w:spacing w:lineRule="auto" w:line="360"/>
        <w:jc w:val="both"/>
        <w:rPr>
          <w:rFonts w:ascii="Tahoma" w:hAnsi="Tahoma" w:cs="Tahoma"/>
          <w:sz w:val="20"/>
          <w:szCs w:val="20"/>
        </w:rPr>
      </w:pPr>
      <w:r>
        <w:rPr>
          <w:rFonts w:cs="Tahoma" w:ascii="Tahoma" w:hAnsi="Tahoma"/>
          <w:sz w:val="20"/>
          <w:szCs w:val="20"/>
        </w:rPr>
      </w:r>
    </w:p>
    <w:p>
      <w:pPr>
        <w:pStyle w:val="Normal"/>
        <w:spacing w:lineRule="auto" w:line="360"/>
        <w:jc w:val="both"/>
        <w:rPr>
          <w:rFonts w:ascii="Tahoma" w:hAnsi="Tahoma" w:cs="Tahoma"/>
          <w:i/>
          <w:i/>
          <w:iCs/>
          <w:sz w:val="20"/>
          <w:szCs w:val="20"/>
        </w:rPr>
      </w:pPr>
      <w:r>
        <w:rPr>
          <w:rFonts w:cs="Tahoma" w:ascii="Tahoma" w:hAnsi="Tahoma"/>
          <w:i/>
          <w:iCs/>
          <w:sz w:val="20"/>
          <w:szCs w:val="20"/>
        </w:rPr>
        <w:t>El Despacho de la Presidencia comunicó vía correo electrónico, lo siguiente:</w:t>
      </w:r>
    </w:p>
    <w:p>
      <w:pPr>
        <w:pStyle w:val="Normal"/>
        <w:numPr>
          <w:ilvl w:val="0"/>
          <w:numId w:val="0"/>
        </w:numPr>
        <w:jc w:val="both"/>
        <w:outlineLvl w:val="0"/>
        <w:rPr>
          <w:rFonts w:ascii="Tahoma" w:hAnsi="Tahoma" w:cs="Tahoma"/>
          <w:i/>
          <w:i/>
          <w:iCs/>
          <w:sz w:val="20"/>
          <w:szCs w:val="20"/>
          <w:lang w:val="es-ES"/>
        </w:rPr>
      </w:pPr>
      <w:r>
        <w:rPr>
          <w:rFonts w:cs="Tahoma" w:ascii="Tahoma" w:hAnsi="Tahoma"/>
          <w:b/>
          <w:bCs/>
          <w:i/>
          <w:iCs/>
          <w:sz w:val="20"/>
          <w:szCs w:val="20"/>
          <w:lang w:val="es-ES"/>
        </w:rPr>
        <w:t>De:</w:t>
      </w:r>
      <w:r>
        <w:rPr>
          <w:rFonts w:cs="Tahoma" w:ascii="Tahoma" w:hAnsi="Tahoma"/>
          <w:i/>
          <w:iCs/>
          <w:sz w:val="20"/>
          <w:szCs w:val="20"/>
          <w:lang w:val="es-ES"/>
        </w:rPr>
        <w:t xml:space="preserve"> Despacho de la Presidencia de la Corte </w:t>
        <w:br/>
      </w:r>
      <w:r>
        <w:rPr>
          <w:rFonts w:cs="Tahoma" w:ascii="Tahoma" w:hAnsi="Tahoma"/>
          <w:b/>
          <w:bCs/>
          <w:i/>
          <w:iCs/>
          <w:sz w:val="20"/>
          <w:szCs w:val="20"/>
          <w:lang w:val="es-ES"/>
        </w:rPr>
        <w:t>Enviado el:</w:t>
      </w:r>
      <w:r>
        <w:rPr>
          <w:rFonts w:cs="Tahoma" w:ascii="Tahoma" w:hAnsi="Tahoma"/>
          <w:i/>
          <w:iCs/>
          <w:sz w:val="20"/>
          <w:szCs w:val="20"/>
          <w:lang w:val="es-ES"/>
        </w:rPr>
        <w:t xml:space="preserve"> viernes, 24 de enero de 2020 11:54 a.m.</w:t>
        <w:br/>
      </w:r>
      <w:r>
        <w:rPr>
          <w:rFonts w:cs="Tahoma" w:ascii="Tahoma" w:hAnsi="Tahoma"/>
          <w:b/>
          <w:bCs/>
          <w:i/>
          <w:iCs/>
          <w:sz w:val="20"/>
          <w:szCs w:val="20"/>
          <w:lang w:val="es-ES"/>
        </w:rPr>
        <w:t>Para:</w:t>
      </w:r>
      <w:r>
        <w:rPr>
          <w:rFonts w:cs="Tahoma" w:ascii="Tahoma" w:hAnsi="Tahoma"/>
          <w:i/>
          <w:iCs/>
          <w:sz w:val="20"/>
          <w:szCs w:val="20"/>
          <w:lang w:val="es-ES"/>
        </w:rPr>
        <w:t xml:space="preserve"> Melissa Benavides Víquez</w:t>
        <w:br/>
      </w:r>
      <w:r>
        <w:rPr>
          <w:rFonts w:cs="Tahoma" w:ascii="Tahoma" w:hAnsi="Tahoma"/>
          <w:b/>
          <w:bCs/>
          <w:i/>
          <w:iCs/>
          <w:sz w:val="20"/>
          <w:szCs w:val="20"/>
          <w:lang w:val="es-ES"/>
        </w:rPr>
        <w:t>CC:</w:t>
      </w:r>
      <w:r>
        <w:rPr>
          <w:rFonts w:cs="Tahoma" w:ascii="Tahoma" w:hAnsi="Tahoma"/>
          <w:i/>
          <w:iCs/>
          <w:sz w:val="20"/>
          <w:szCs w:val="20"/>
          <w:lang w:val="es-ES"/>
        </w:rPr>
        <w:t xml:space="preserve"> Roger Mata Brenes; Damaris Vargas Vásquez; Presidencia de la Corte; Katherine Salazar Duarte; Jorge David Morales Ramírez</w:t>
        <w:br/>
      </w:r>
      <w:r>
        <w:rPr>
          <w:rFonts w:cs="Tahoma" w:ascii="Tahoma" w:hAnsi="Tahoma"/>
          <w:b/>
          <w:bCs/>
          <w:i/>
          <w:iCs/>
          <w:sz w:val="20"/>
          <w:szCs w:val="20"/>
          <w:lang w:val="es-ES"/>
        </w:rPr>
        <w:t>Asunto:</w:t>
      </w:r>
      <w:r>
        <w:rPr>
          <w:rFonts w:cs="Tahoma" w:ascii="Tahoma" w:hAnsi="Tahoma"/>
          <w:i/>
          <w:iCs/>
          <w:sz w:val="20"/>
          <w:szCs w:val="20"/>
          <w:lang w:val="es-ES"/>
        </w:rPr>
        <w:t xml:space="preserve"> RE: Oficio CACC-34-2020 Mag. Fernando Cruz Castro y Sr. Roger Mata Brenes Acuerdo Subcomisión de Acceso a la Justicia de Pueblos Indígenas 07 de enero</w:t>
      </w:r>
    </w:p>
    <w:p>
      <w:pPr>
        <w:pStyle w:val="Normal"/>
        <w:numPr>
          <w:ilvl w:val="0"/>
          <w:numId w:val="0"/>
        </w:numPr>
        <w:jc w:val="both"/>
        <w:outlineLvl w:val="0"/>
        <w:rPr>
          <w:rFonts w:ascii="Tahoma" w:hAnsi="Tahoma" w:cs="Tahoma"/>
          <w:i/>
          <w:i/>
          <w:iCs/>
          <w:sz w:val="20"/>
          <w:szCs w:val="20"/>
          <w:lang w:val="es-ES"/>
        </w:rPr>
      </w:pPr>
      <w:r>
        <w:rPr>
          <w:rFonts w:cs="Tahoma" w:ascii="Tahoma" w:hAnsi="Tahoma"/>
          <w:i/>
          <w:iCs/>
          <w:sz w:val="20"/>
          <w:szCs w:val="20"/>
          <w:lang w:val="es-ES"/>
        </w:rPr>
      </w:r>
    </w:p>
    <w:p>
      <w:pPr>
        <w:pStyle w:val="Normal"/>
        <w:jc w:val="both"/>
        <w:rPr>
          <w:rFonts w:ascii="Tahoma" w:hAnsi="Tahoma" w:cs="Tahoma"/>
          <w:i/>
          <w:i/>
          <w:iCs/>
          <w:sz w:val="20"/>
          <w:szCs w:val="20"/>
        </w:rPr>
      </w:pPr>
      <w:r>
        <w:rPr>
          <w:rFonts w:cs="Tahoma" w:ascii="Tahoma" w:hAnsi="Tahoma"/>
          <w:i/>
          <w:iCs/>
          <w:sz w:val="20"/>
          <w:szCs w:val="20"/>
        </w:rPr>
        <w:t>Máster Melissa Benavides Víquez</w:t>
      </w:r>
    </w:p>
    <w:p>
      <w:pPr>
        <w:pStyle w:val="Normal"/>
        <w:jc w:val="both"/>
        <w:rPr>
          <w:rFonts w:ascii="Tahoma" w:hAnsi="Tahoma" w:cs="Tahoma"/>
          <w:i/>
          <w:i/>
          <w:iCs/>
          <w:sz w:val="20"/>
          <w:szCs w:val="20"/>
        </w:rPr>
      </w:pPr>
      <w:r>
        <w:rPr>
          <w:rFonts w:cs="Tahoma" w:ascii="Tahoma" w:hAnsi="Tahoma"/>
          <w:i/>
          <w:iCs/>
          <w:sz w:val="20"/>
          <w:szCs w:val="20"/>
        </w:rPr>
        <w:t>Coordinadora</w:t>
      </w:r>
    </w:p>
    <w:p>
      <w:pPr>
        <w:pStyle w:val="Normal"/>
        <w:jc w:val="both"/>
        <w:rPr>
          <w:rFonts w:ascii="Tahoma" w:hAnsi="Tahoma" w:cs="Tahoma"/>
          <w:i/>
          <w:i/>
          <w:iCs/>
          <w:sz w:val="20"/>
          <w:szCs w:val="20"/>
        </w:rPr>
      </w:pPr>
      <w:r>
        <w:rPr>
          <w:rFonts w:cs="Tahoma" w:ascii="Tahoma" w:hAnsi="Tahoma"/>
          <w:i/>
          <w:iCs/>
          <w:sz w:val="20"/>
          <w:szCs w:val="20"/>
        </w:rPr>
        <w:t>Unidad de Acceso a la Justicia</w:t>
      </w:r>
    </w:p>
    <w:p>
      <w:pPr>
        <w:pStyle w:val="Normal"/>
        <w:jc w:val="both"/>
        <w:rPr>
          <w:rFonts w:ascii="Tahoma" w:hAnsi="Tahoma" w:cs="Tahoma"/>
          <w:i/>
          <w:i/>
          <w:iCs/>
          <w:sz w:val="20"/>
          <w:szCs w:val="20"/>
        </w:rPr>
      </w:pPr>
      <w:r>
        <w:rPr>
          <w:rFonts w:cs="Tahoma" w:ascii="Tahoma" w:hAnsi="Tahoma"/>
          <w:i/>
          <w:iCs/>
          <w:sz w:val="20"/>
          <w:szCs w:val="20"/>
        </w:rPr>
      </w:r>
    </w:p>
    <w:p>
      <w:pPr>
        <w:pStyle w:val="Normal"/>
        <w:jc w:val="both"/>
        <w:rPr>
          <w:rFonts w:ascii="Tahoma" w:hAnsi="Tahoma" w:cs="Tahoma"/>
          <w:i/>
          <w:i/>
          <w:iCs/>
          <w:sz w:val="20"/>
          <w:szCs w:val="20"/>
        </w:rPr>
      </w:pPr>
      <w:r>
        <w:rPr>
          <w:rFonts w:cs="Tahoma" w:ascii="Tahoma" w:hAnsi="Tahoma"/>
          <w:i/>
          <w:iCs/>
          <w:sz w:val="20"/>
          <w:szCs w:val="20"/>
        </w:rPr>
        <w:t xml:space="preserve">Estimada señora: </w:t>
      </w:r>
    </w:p>
    <w:p>
      <w:pPr>
        <w:pStyle w:val="Normal"/>
        <w:jc w:val="both"/>
        <w:rPr>
          <w:rFonts w:ascii="Tahoma" w:hAnsi="Tahoma" w:cs="Tahoma"/>
          <w:i/>
          <w:i/>
          <w:iCs/>
          <w:sz w:val="20"/>
          <w:szCs w:val="20"/>
        </w:rPr>
      </w:pPr>
      <w:r>
        <w:rPr>
          <w:rFonts w:cs="Tahoma" w:ascii="Tahoma" w:hAnsi="Tahoma"/>
          <w:i/>
          <w:iCs/>
          <w:sz w:val="20"/>
          <w:szCs w:val="20"/>
        </w:rPr>
        <w:t>Es un gusto saludarla. En atención al Oficio CACC-34-2020 y con instrucciones del Director Róger Mata Brenes, respetuosamente, me permito informar que se designa al señor Jorge Morales Ramírez, como enlace entre el Despacho de la Presidencia y la Comisión de Acceso a la Justicia, a fin de definir la colaboración que requerirán de la Presidencia de la Corte.</w:t>
      </w:r>
    </w:p>
    <w:p>
      <w:pPr>
        <w:pStyle w:val="Normal"/>
        <w:jc w:val="both"/>
        <w:rPr>
          <w:rFonts w:ascii="Tahoma" w:hAnsi="Tahoma" w:cs="Tahoma"/>
          <w:i/>
          <w:i/>
          <w:iCs/>
          <w:sz w:val="20"/>
          <w:szCs w:val="20"/>
        </w:rPr>
      </w:pPr>
      <w:r>
        <w:rPr>
          <w:rFonts w:cs="Tahoma" w:ascii="Tahoma" w:hAnsi="Tahoma"/>
          <w:i/>
          <w:iCs/>
          <w:sz w:val="20"/>
          <w:szCs w:val="20"/>
        </w:rPr>
        <w:t xml:space="preserve">Cordialmente, </w:t>
      </w:r>
    </w:p>
    <w:p>
      <w:pPr>
        <w:pStyle w:val="Normal"/>
        <w:rPr>
          <w:rFonts w:ascii="Tahoma" w:hAnsi="Tahoma" w:cs="Tahoma"/>
          <w:sz w:val="20"/>
          <w:szCs w:val="20"/>
        </w:rPr>
      </w:pPr>
      <w:r>
        <w:rPr>
          <w:rFonts w:cs="Tahoma" w:ascii="Tahoma" w:hAnsi="Tahoma"/>
          <w:sz w:val="20"/>
          <w:szCs w:val="20"/>
        </w:rPr>
      </w:r>
    </w:p>
    <w:p>
      <w:pPr>
        <w:pStyle w:val="Normal"/>
        <w:spacing w:lineRule="auto" w:line="360"/>
        <w:jc w:val="both"/>
        <w:rPr>
          <w:rFonts w:ascii="Tahoma" w:hAnsi="Tahoma" w:cs="Tahoma"/>
          <w:sz w:val="20"/>
          <w:szCs w:val="20"/>
          <w:lang w:val="es-ES"/>
        </w:rPr>
      </w:pPr>
      <w:r>
        <w:rPr/>
        <w:drawing>
          <wp:inline distT="0" distB="0" distL="0" distR="0">
            <wp:extent cx="4020185" cy="1066800"/>
            <wp:effectExtent l="0" t="0" r="0" b="0"/>
            <wp:docPr id="18" name="Imagen11" descr="Yuliana Mairena Presid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11" descr="Yuliana Mairena Presidencia"/>
                    <pic:cNvPicPr>
                      <a:picLocks noChangeAspect="1" noChangeArrowheads="1"/>
                    </pic:cNvPicPr>
                  </pic:nvPicPr>
                  <pic:blipFill>
                    <a:blip r:embed="rId21"/>
                    <a:stretch>
                      <a:fillRect/>
                    </a:stretch>
                  </pic:blipFill>
                  <pic:spPr bwMode="auto">
                    <a:xfrm>
                      <a:off x="0" y="0"/>
                      <a:ext cx="4020185" cy="1066800"/>
                    </a:xfrm>
                    <a:prstGeom prst="rect">
                      <a:avLst/>
                    </a:prstGeom>
                  </pic:spPr>
                </pic:pic>
              </a:graphicData>
            </a:graphic>
          </wp:inline>
        </w:drawing>
      </w:r>
    </w:p>
    <w:p>
      <w:pPr>
        <w:pStyle w:val="Normal"/>
        <w:spacing w:lineRule="auto" w:line="360"/>
        <w:jc w:val="both"/>
        <w:rPr>
          <w:rFonts w:ascii="Tahoma" w:hAnsi="Tahoma" w:cs="Tahoma"/>
          <w:bCs/>
          <w:sz w:val="20"/>
          <w:szCs w:val="20"/>
        </w:rPr>
      </w:pPr>
      <w:r>
        <w:rPr>
          <w:rFonts w:cs="Tahoma" w:ascii="Tahoma" w:hAnsi="Tahoma"/>
          <w:b/>
          <w:sz w:val="20"/>
          <w:szCs w:val="20"/>
          <w:u w:val="single"/>
        </w:rPr>
        <w:t xml:space="preserve">SE ACUERDA: </w:t>
      </w:r>
      <w:r>
        <w:rPr>
          <w:rFonts w:cs="Tahoma" w:ascii="Tahoma" w:hAnsi="Tahoma"/>
          <w:bCs/>
          <w:sz w:val="20"/>
          <w:szCs w:val="20"/>
        </w:rPr>
        <w:t>Se toma nota de la designación del señor Jorge Morales Ramírez como integrante de la Subcomisión en representación del Despacho de la Presidencia de la Corte Suprema de Justicia. Comuníquese al citado Despacho y al señor Morales por medio de la Unidad de Acceso a la Justicia con indicación a este último de las fechas programadas para las sesiones ordinarias de la Subcomisión de Acceso a la Justicia de Pueblos Indígenas.</w:t>
      </w:r>
    </w:p>
    <w:p>
      <w:pPr>
        <w:pStyle w:val="Normal"/>
        <w:spacing w:lineRule="auto" w:line="360"/>
        <w:jc w:val="center"/>
        <w:rPr>
          <w:rFonts w:ascii="Tahoma" w:hAnsi="Tahoma" w:cs="Tahoma"/>
          <w:b/>
          <w:b/>
          <w:sz w:val="20"/>
          <w:szCs w:val="20"/>
          <w:highlight w:val="yellow"/>
          <w:u w:val="single"/>
        </w:rPr>
      </w:pPr>
      <w:r>
        <w:rPr>
          <w:rFonts w:cs="Tahoma" w:ascii="Tahoma" w:hAnsi="Tahoma"/>
          <w:b/>
          <w:sz w:val="20"/>
          <w:szCs w:val="20"/>
          <w:highlight w:val="yellow"/>
          <w:u w:val="single"/>
        </w:rPr>
        <w:t>ARTÍCULO VIII:</w:t>
      </w:r>
    </w:p>
    <w:p>
      <w:pPr>
        <w:pStyle w:val="Normal"/>
        <w:spacing w:lineRule="auto" w:line="360"/>
        <w:jc w:val="both"/>
        <w:rPr>
          <w:rFonts w:ascii="Tahoma" w:hAnsi="Tahoma" w:cs="Tahoma"/>
          <w:b/>
          <w:b/>
          <w:sz w:val="20"/>
          <w:szCs w:val="20"/>
        </w:rPr>
      </w:pPr>
      <w:r>
        <w:rPr>
          <w:rFonts w:cs="Tahoma" w:ascii="Tahoma" w:hAnsi="Tahoma"/>
          <w:b/>
          <w:sz w:val="20"/>
          <w:szCs w:val="20"/>
        </w:rPr>
        <w:t>TEMA: SOLICITUD DE PUEBLO MALECU A LA PRESIDENCIA DE LA CORTE SUPREMA DE JUSTICIA A EFECTO DE QUE LES CAPACITEN EN TEMÁTICA INDÍGENA Y TRASLADO A UNIDADES DE CAPACITACION Y ESCUELA JUDICIAL</w:t>
      </w:r>
    </w:p>
    <w:p>
      <w:pPr>
        <w:pStyle w:val="Normal"/>
        <w:jc w:val="both"/>
        <w:rPr>
          <w:rFonts w:ascii="Tahoma" w:hAnsi="Tahoma" w:cs="Tahoma"/>
          <w:sz w:val="20"/>
          <w:szCs w:val="20"/>
          <w:lang w:val="es-ES"/>
        </w:rPr>
      </w:pPr>
      <w:r>
        <w:rPr>
          <w:rFonts w:cs="Tahoma" w:ascii="Tahoma" w:hAnsi="Tahoma"/>
          <w:sz w:val="20"/>
          <w:szCs w:val="20"/>
          <w:lang w:val="es-ES"/>
        </w:rPr>
        <w:t>La Unidad de Acceso a la Justicia comunicó mediante el</w:t>
      </w:r>
      <w:r>
        <w:rPr>
          <w:rFonts w:cs="Tahoma" w:ascii="Tahoma" w:hAnsi="Tahoma"/>
          <w:b/>
          <w:sz w:val="20"/>
          <w:szCs w:val="20"/>
          <w:lang w:val="es-ES"/>
        </w:rPr>
        <w:t xml:space="preserve"> Oficio CACC-36-2020</w:t>
      </w:r>
      <w:r>
        <w:rPr>
          <w:rFonts w:cs="Tahoma" w:ascii="Tahoma" w:hAnsi="Tahoma"/>
          <w:sz w:val="20"/>
          <w:szCs w:val="20"/>
          <w:lang w:val="es-ES"/>
        </w:rPr>
        <w:t xml:space="preserve"> a las diferentes Unidades de Capacitación, el acuerdo estipulado en el Artículo II del Acta 01-2020 el cual se transcribe literalmente: </w:t>
      </w:r>
    </w:p>
    <w:p>
      <w:pPr>
        <w:pStyle w:val="Normal"/>
        <w:jc w:val="both"/>
        <w:rPr>
          <w:rFonts w:ascii="Tahoma" w:hAnsi="Tahoma" w:cs="Tahoma"/>
          <w:b/>
          <w:b/>
          <w:sz w:val="20"/>
          <w:szCs w:val="20"/>
          <w:u w:val="single"/>
        </w:rPr>
      </w:pPr>
      <w:r>
        <w:rPr>
          <w:rFonts w:cs="Tahoma" w:ascii="Tahoma" w:hAnsi="Tahoma"/>
          <w:b/>
          <w:sz w:val="20"/>
          <w:szCs w:val="20"/>
          <w:u w:val="single"/>
        </w:rPr>
        <w:t xml:space="preserve">5°. Trasladar a la Escuela Judicial, Dirección de Gestión Humana y demás Unidades de Capacitación de la Defensa Pública, Ministerio Público y OIJ, la solicitud de “capacitación y asesoramiento” planteada por el señor Emigdio Cruz, presidente de la Asociación de Desarrollo Integral de la Reserva Indígena Guatuso (Territorio Malecu), para su atención. En lo referente a la solicitud de asesoramiento que plantea el Pueblo Malecu, trasladar la petición a la Dirección de la Defensa Pública. </w:t>
      </w:r>
    </w:p>
    <w:p>
      <w:pPr>
        <w:pStyle w:val="Normal"/>
        <w:jc w:val="both"/>
        <w:rPr>
          <w:rFonts w:ascii="Tahoma" w:hAnsi="Tahoma" w:cs="Tahoma"/>
          <w:sz w:val="20"/>
          <w:szCs w:val="20"/>
        </w:rPr>
      </w:pPr>
      <w:r>
        <w:rPr>
          <w:rFonts w:cs="Tahoma" w:ascii="Tahoma" w:hAnsi="Tahoma"/>
          <w:sz w:val="20"/>
          <w:szCs w:val="20"/>
        </w:rPr>
        <w:t xml:space="preserve">La Unidad de Capacitación del Organismo de Investigación Judicial comunicó mediante el Oficio </w:t>
      </w:r>
      <w:r>
        <w:rPr>
          <w:rFonts w:cs="Tahoma" w:ascii="Tahoma" w:hAnsi="Tahoma"/>
          <w:b/>
          <w:sz w:val="20"/>
          <w:szCs w:val="20"/>
        </w:rPr>
        <w:t xml:space="preserve">EJ-CAP-OIJ-063-2020 RESPUESTA OFICIO CACC-36-2020 </w:t>
      </w:r>
      <w:r>
        <w:rPr>
          <w:rFonts w:cs="Tahoma" w:ascii="Tahoma" w:hAnsi="Tahoma"/>
          <w:sz w:val="20"/>
          <w:szCs w:val="20"/>
        </w:rPr>
        <w:t>remitido el miércoles 12 de febrero, lo siguiente:</w:t>
      </w:r>
    </w:p>
    <w:p>
      <w:pPr>
        <w:pStyle w:val="Normal"/>
        <w:rPr>
          <w:rFonts w:ascii="Tahoma" w:hAnsi="Tahoma" w:cs="Tahoma"/>
          <w:sz w:val="20"/>
          <w:szCs w:val="20"/>
          <w:lang w:val="es-ES"/>
        </w:rPr>
      </w:pPr>
      <w:r>
        <w:rPr>
          <w:rFonts w:cs="Tahoma" w:ascii="Tahoma" w:hAnsi="Tahoma"/>
          <w:sz w:val="20"/>
          <w:szCs w:val="20"/>
          <w:lang w:val="es-ES"/>
        </w:rPr>
      </w:r>
    </w:p>
    <w:p>
      <w:pPr>
        <w:pStyle w:val="Normal"/>
        <w:rPr>
          <w:rFonts w:ascii="Tahoma" w:hAnsi="Tahoma" w:cs="Tahoma"/>
          <w:sz w:val="20"/>
          <w:szCs w:val="20"/>
          <w:lang w:val="es-ES"/>
        </w:rPr>
      </w:pPr>
      <w:r>
        <w:rPr/>
        <w:drawing>
          <wp:inline distT="0" distB="0" distL="0" distR="0">
            <wp:extent cx="5257800" cy="6848475"/>
            <wp:effectExtent l="0" t="0" r="0" b="0"/>
            <wp:docPr id="19" name="Imagen 28" descr="C:\Users\KSALAZARD\Desktop\Unidad de Acceso Justicia  2020\Imágenes\indigen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28" descr="C:\Users\KSALAZARD\Desktop\Unidad de Acceso Justicia  2020\Imágenes\indigenas 1.JPG"/>
                    <pic:cNvPicPr>
                      <a:picLocks noChangeAspect="1" noChangeArrowheads="1"/>
                    </pic:cNvPicPr>
                  </pic:nvPicPr>
                  <pic:blipFill>
                    <a:blip r:embed="rId22"/>
                    <a:stretch>
                      <a:fillRect/>
                    </a:stretch>
                  </pic:blipFill>
                  <pic:spPr bwMode="auto">
                    <a:xfrm>
                      <a:off x="0" y="0"/>
                      <a:ext cx="5257800" cy="6848475"/>
                    </a:xfrm>
                    <a:prstGeom prst="rect">
                      <a:avLst/>
                    </a:prstGeom>
                  </pic:spPr>
                </pic:pic>
              </a:graphicData>
            </a:graphic>
          </wp:inline>
        </w:drawing>
      </w:r>
    </w:p>
    <w:p>
      <w:pPr>
        <w:pStyle w:val="Normal"/>
        <w:rPr>
          <w:rFonts w:ascii="Tahoma" w:hAnsi="Tahoma" w:cs="Tahoma"/>
          <w:sz w:val="20"/>
          <w:szCs w:val="20"/>
        </w:rPr>
      </w:pPr>
      <w:r>
        <w:rPr>
          <w:rFonts w:cs="Tahoma" w:ascii="Tahoma" w:hAnsi="Tahoma"/>
          <w:sz w:val="20"/>
          <w:szCs w:val="20"/>
        </w:rPr>
      </w:r>
    </w:p>
    <w:p>
      <w:pPr>
        <w:pStyle w:val="Normal"/>
        <w:jc w:val="center"/>
        <w:rPr>
          <w:rFonts w:ascii="Tahoma" w:hAnsi="Tahoma" w:cs="Tahoma"/>
          <w:sz w:val="20"/>
          <w:szCs w:val="20"/>
        </w:rPr>
      </w:pPr>
      <w:r>
        <w:rPr>
          <w:rFonts w:cs="Tahoma" w:ascii="Tahoma" w:hAnsi="Tahoma"/>
          <w:sz w:val="20"/>
          <w:szCs w:val="20"/>
        </w:rPr>
      </w:r>
    </w:p>
    <w:p>
      <w:pPr>
        <w:pStyle w:val="Normal"/>
        <w:jc w:val="center"/>
        <w:rPr>
          <w:rFonts w:ascii="Tahoma" w:hAnsi="Tahoma" w:cs="Tahoma"/>
          <w:sz w:val="20"/>
          <w:szCs w:val="20"/>
        </w:rPr>
      </w:pPr>
      <w:r>
        <w:rPr/>
        <w:drawing>
          <wp:inline distT="0" distB="0" distL="0" distR="0">
            <wp:extent cx="4829175" cy="6381750"/>
            <wp:effectExtent l="0" t="0" r="0" b="0"/>
            <wp:docPr id="20" name="Imagen 29" descr="C:\Users\KSALAZARD\Desktop\Unidad de Acceso Justicia  2020\Imágenes\Indígen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9" descr="C:\Users\KSALAZARD\Desktop\Unidad de Acceso Justicia  2020\Imágenes\Indígenas 2.JPG"/>
                    <pic:cNvPicPr>
                      <a:picLocks noChangeAspect="1" noChangeArrowheads="1"/>
                    </pic:cNvPicPr>
                  </pic:nvPicPr>
                  <pic:blipFill>
                    <a:blip r:embed="rId23"/>
                    <a:stretch>
                      <a:fillRect/>
                    </a:stretch>
                  </pic:blipFill>
                  <pic:spPr bwMode="auto">
                    <a:xfrm>
                      <a:off x="0" y="0"/>
                      <a:ext cx="4829175" cy="6381750"/>
                    </a:xfrm>
                    <a:prstGeom prst="rect">
                      <a:avLst/>
                    </a:prstGeom>
                  </pic:spPr>
                </pic:pic>
              </a:graphicData>
            </a:graphic>
          </wp:inline>
        </w:drawing>
      </w:r>
    </w:p>
    <w:p>
      <w:pPr>
        <w:pStyle w:val="Normal"/>
        <w:jc w:val="both"/>
        <w:rPr>
          <w:rFonts w:ascii="Tahoma" w:hAnsi="Tahoma" w:cs="Tahoma"/>
          <w:sz w:val="20"/>
          <w:szCs w:val="20"/>
        </w:rPr>
      </w:pPr>
      <w:r>
        <w:rPr>
          <w:rFonts w:cs="Tahoma" w:ascii="Tahoma" w:hAnsi="Tahoma"/>
          <w:sz w:val="20"/>
          <w:szCs w:val="20"/>
        </w:rPr>
        <w:t xml:space="preserve">La Dirección de la Defensa Pública comunicó mediante el Oficio </w:t>
      </w:r>
      <w:r>
        <w:rPr>
          <w:rFonts w:cs="Tahoma" w:ascii="Tahoma" w:hAnsi="Tahoma"/>
          <w:b/>
          <w:sz w:val="20"/>
          <w:szCs w:val="20"/>
        </w:rPr>
        <w:t xml:space="preserve">JEFDP-145-2020 </w:t>
      </w:r>
      <w:r>
        <w:rPr>
          <w:rFonts w:cs="Tahoma" w:ascii="Tahoma" w:hAnsi="Tahoma"/>
          <w:sz w:val="20"/>
          <w:szCs w:val="20"/>
        </w:rPr>
        <w:t>remitido el jueves 20 de febrero, lo siguiente:</w:t>
      </w:r>
    </w:p>
    <w:p>
      <w:pPr>
        <w:pStyle w:val="Standard"/>
        <w:suppressAutoHyphens w:val="false"/>
        <w:jc w:val="right"/>
        <w:rPr>
          <w:rFonts w:ascii="Tahoma" w:hAnsi="Tahoma" w:eastAsia="Calibri" w:cs="Tahoma"/>
          <w:b/>
          <w:b/>
          <w:bCs/>
          <w:color w:val="000000"/>
          <w:sz w:val="20"/>
          <w:szCs w:val="20"/>
          <w:lang w:eastAsia="en-US"/>
        </w:rPr>
      </w:pPr>
      <w:r>
        <w:rPr>
          <w:rFonts w:eastAsia="Calibri" w:cs="Tahoma" w:ascii="Tahoma" w:hAnsi="Tahoma"/>
          <w:b/>
          <w:bCs/>
          <w:color w:val="000000"/>
          <w:sz w:val="20"/>
          <w:szCs w:val="20"/>
          <w:lang w:eastAsia="en-US"/>
        </w:rPr>
      </w:r>
    </w:p>
    <w:p>
      <w:pPr>
        <w:pStyle w:val="Standard"/>
        <w:suppressAutoHyphens w:val="false"/>
        <w:jc w:val="right"/>
        <w:rPr>
          <w:rFonts w:ascii="Tahoma" w:hAnsi="Tahoma" w:eastAsia="Calibri" w:cs="Tahoma"/>
          <w:b/>
          <w:b/>
          <w:bCs/>
          <w:color w:val="000000"/>
          <w:sz w:val="20"/>
          <w:szCs w:val="20"/>
          <w:lang w:eastAsia="en-US"/>
        </w:rPr>
      </w:pPr>
      <w:r>
        <w:rPr>
          <w:rFonts w:eastAsia="Calibri" w:cs="Tahoma" w:ascii="Tahoma" w:hAnsi="Tahoma"/>
          <w:b/>
          <w:bCs/>
          <w:color w:val="000000"/>
          <w:sz w:val="20"/>
          <w:szCs w:val="20"/>
          <w:lang w:eastAsia="en-US"/>
        </w:rPr>
      </w:r>
    </w:p>
    <w:p>
      <w:pPr>
        <w:pStyle w:val="Standard"/>
        <w:suppressAutoHyphens w:val="false"/>
        <w:jc w:val="right"/>
        <w:rPr>
          <w:rFonts w:ascii="Tahoma" w:hAnsi="Tahoma" w:eastAsia="Calibri" w:cs="Tahoma"/>
          <w:b/>
          <w:b/>
          <w:bCs/>
          <w:color w:val="000000"/>
          <w:sz w:val="20"/>
          <w:szCs w:val="20"/>
          <w:lang w:eastAsia="en-US"/>
        </w:rPr>
      </w:pPr>
      <w:r>
        <w:rPr>
          <w:rFonts w:eastAsia="Calibri" w:cs="Tahoma" w:ascii="Tahoma" w:hAnsi="Tahoma"/>
          <w:b/>
          <w:bCs/>
          <w:color w:val="000000"/>
          <w:sz w:val="20"/>
          <w:szCs w:val="20"/>
          <w:lang w:eastAsia="en-US"/>
        </w:rPr>
      </w:r>
    </w:p>
    <w:p>
      <w:pPr>
        <w:pStyle w:val="Standard"/>
        <w:suppressAutoHyphens w:val="false"/>
        <w:jc w:val="right"/>
        <w:rPr>
          <w:rFonts w:ascii="Tahoma" w:hAnsi="Tahoma" w:eastAsia="Calibri" w:cs="Tahoma"/>
          <w:b/>
          <w:b/>
          <w:bCs/>
          <w:color w:val="000000"/>
          <w:sz w:val="20"/>
          <w:szCs w:val="20"/>
          <w:lang w:eastAsia="en-US"/>
        </w:rPr>
      </w:pPr>
      <w:r>
        <w:rPr>
          <w:rFonts w:eastAsia="Calibri" w:cs="Tahoma" w:ascii="Tahoma" w:hAnsi="Tahoma"/>
          <w:b/>
          <w:bCs/>
          <w:color w:val="000000"/>
          <w:sz w:val="20"/>
          <w:szCs w:val="20"/>
          <w:lang w:eastAsia="en-US"/>
        </w:rPr>
      </w:r>
    </w:p>
    <w:p>
      <w:pPr>
        <w:pStyle w:val="Standard"/>
        <w:suppressAutoHyphens w:val="false"/>
        <w:jc w:val="right"/>
        <w:rPr>
          <w:rFonts w:ascii="Tahoma" w:hAnsi="Tahoma" w:eastAsia="Calibri" w:cs="Tahoma"/>
          <w:b/>
          <w:b/>
          <w:bCs/>
          <w:color w:val="000000"/>
          <w:sz w:val="20"/>
          <w:szCs w:val="20"/>
          <w:lang w:eastAsia="en-US"/>
        </w:rPr>
      </w:pPr>
      <w:r>
        <w:rPr>
          <w:rFonts w:eastAsia="Calibri" w:cs="Tahoma" w:ascii="Tahoma" w:hAnsi="Tahoma"/>
          <w:b/>
          <w:bCs/>
          <w:color w:val="000000"/>
          <w:sz w:val="20"/>
          <w:szCs w:val="20"/>
          <w:lang w:eastAsia="en-US"/>
        </w:rPr>
      </w:r>
    </w:p>
    <w:p>
      <w:pPr>
        <w:pStyle w:val="Standard"/>
        <w:suppressAutoHyphens w:val="false"/>
        <w:jc w:val="right"/>
        <w:rPr>
          <w:rFonts w:ascii="Tahoma" w:hAnsi="Tahoma" w:eastAsia="Calibri" w:cs="Tahoma"/>
          <w:b/>
          <w:b/>
          <w:bCs/>
          <w:color w:val="000000"/>
          <w:sz w:val="20"/>
          <w:szCs w:val="20"/>
          <w:lang w:eastAsia="en-US"/>
        </w:rPr>
      </w:pPr>
      <w:r>
        <w:rPr>
          <w:rFonts w:eastAsia="Calibri" w:cs="Tahoma" w:ascii="Tahoma" w:hAnsi="Tahoma"/>
          <w:b/>
          <w:bCs/>
          <w:color w:val="000000"/>
          <w:sz w:val="20"/>
          <w:szCs w:val="20"/>
          <w:lang w:eastAsia="en-US"/>
        </w:rPr>
      </w:r>
    </w:p>
    <w:p>
      <w:pPr>
        <w:pStyle w:val="Standard"/>
        <w:suppressAutoHyphens w:val="false"/>
        <w:jc w:val="right"/>
        <w:rPr>
          <w:rFonts w:ascii="Tahoma" w:hAnsi="Tahoma" w:eastAsia="Calibri" w:cs="Tahoma"/>
          <w:b/>
          <w:b/>
          <w:bCs/>
          <w:color w:val="000000"/>
          <w:sz w:val="20"/>
          <w:szCs w:val="20"/>
          <w:lang w:eastAsia="en-US"/>
        </w:rPr>
      </w:pPr>
      <w:r>
        <w:rPr>
          <w:rFonts w:eastAsia="Calibri" w:cs="Tahoma" w:ascii="Tahoma" w:hAnsi="Tahoma"/>
          <w:b/>
          <w:bCs/>
          <w:color w:val="000000"/>
          <w:sz w:val="20"/>
          <w:szCs w:val="20"/>
          <w:lang w:eastAsia="en-US"/>
        </w:rPr>
      </w:r>
    </w:p>
    <w:p>
      <w:pPr>
        <w:pStyle w:val="Standard"/>
        <w:suppressAutoHyphens w:val="false"/>
        <w:jc w:val="right"/>
        <w:rPr>
          <w:rFonts w:ascii="Tahoma" w:hAnsi="Tahoma" w:eastAsia="Calibri" w:cs="Tahoma"/>
          <w:b/>
          <w:b/>
          <w:bCs/>
          <w:color w:val="000000"/>
          <w:sz w:val="20"/>
          <w:szCs w:val="20"/>
          <w:lang w:eastAsia="en-US"/>
        </w:rPr>
      </w:pPr>
      <w:r>
        <w:rPr>
          <w:rFonts w:eastAsia="Calibri" w:cs="Tahoma" w:ascii="Tahoma" w:hAnsi="Tahoma"/>
          <w:b/>
          <w:bCs/>
          <w:color w:val="000000"/>
          <w:sz w:val="20"/>
          <w:szCs w:val="20"/>
          <w:lang w:eastAsia="en-US"/>
        </w:rPr>
      </w:r>
    </w:p>
    <w:p>
      <w:pPr>
        <w:pStyle w:val="Standard"/>
        <w:suppressAutoHyphens w:val="false"/>
        <w:jc w:val="right"/>
        <w:rPr>
          <w:rFonts w:ascii="Tahoma" w:hAnsi="Tahoma" w:eastAsia="Calibri" w:cs="Tahoma"/>
          <w:b/>
          <w:b/>
          <w:bCs/>
          <w:color w:val="000000"/>
          <w:sz w:val="20"/>
          <w:szCs w:val="20"/>
          <w:lang w:eastAsia="en-US"/>
        </w:rPr>
      </w:pPr>
      <w:r>
        <w:rPr>
          <w:rFonts w:eastAsia="Calibri" w:cs="Tahoma" w:ascii="Tahoma" w:hAnsi="Tahoma"/>
          <w:b/>
          <w:bCs/>
          <w:color w:val="000000"/>
          <w:sz w:val="20"/>
          <w:szCs w:val="20"/>
          <w:lang w:eastAsia="en-US"/>
        </w:rPr>
      </w:r>
    </w:p>
    <w:p>
      <w:pPr>
        <w:pStyle w:val="Standard"/>
        <w:suppressAutoHyphens w:val="false"/>
        <w:jc w:val="right"/>
        <w:rPr>
          <w:rFonts w:ascii="Tahoma" w:hAnsi="Tahoma" w:eastAsia="Calibri" w:cs="Tahoma"/>
          <w:b/>
          <w:b/>
          <w:bCs/>
          <w:color w:val="000000"/>
          <w:sz w:val="20"/>
          <w:szCs w:val="20"/>
          <w:lang w:eastAsia="en-US"/>
        </w:rPr>
      </w:pPr>
      <w:r>
        <w:rPr>
          <w:rFonts w:eastAsia="Calibri" w:cs="Tahoma" w:ascii="Tahoma" w:hAnsi="Tahoma"/>
          <w:b/>
          <w:bCs/>
          <w:color w:val="000000"/>
          <w:sz w:val="20"/>
          <w:szCs w:val="20"/>
          <w:lang w:eastAsia="en-US"/>
        </w:rPr>
      </w:r>
    </w:p>
    <w:p>
      <w:pPr>
        <w:pStyle w:val="Standard"/>
        <w:suppressAutoHyphens w:val="false"/>
        <w:jc w:val="right"/>
        <w:rPr>
          <w:rFonts w:ascii="Tahoma" w:hAnsi="Tahoma" w:eastAsia="Calibri" w:cs="Tahoma"/>
          <w:b/>
          <w:b/>
          <w:bCs/>
          <w:color w:val="000000"/>
          <w:sz w:val="20"/>
          <w:szCs w:val="20"/>
          <w:lang w:eastAsia="en-US"/>
        </w:rPr>
      </w:pPr>
      <w:r>
        <w:rPr>
          <w:rFonts w:eastAsia="Calibri" w:cs="Tahoma" w:ascii="Tahoma" w:hAnsi="Tahoma"/>
          <w:b/>
          <w:bCs/>
          <w:color w:val="000000"/>
          <w:sz w:val="20"/>
          <w:szCs w:val="20"/>
          <w:lang w:eastAsia="en-US"/>
        </w:rPr>
      </w:r>
    </w:p>
    <w:p>
      <w:pPr>
        <w:pStyle w:val="Standard"/>
        <w:suppressAutoHyphens w:val="false"/>
        <w:jc w:val="right"/>
        <w:rPr>
          <w:rFonts w:ascii="Tahoma" w:hAnsi="Tahoma" w:eastAsia="Calibri" w:cs="Tahoma"/>
          <w:b/>
          <w:b/>
          <w:bCs/>
          <w:color w:val="000000"/>
          <w:sz w:val="20"/>
          <w:szCs w:val="20"/>
          <w:lang w:eastAsia="en-US"/>
        </w:rPr>
      </w:pPr>
      <w:r>
        <w:rPr>
          <w:rFonts w:eastAsia="Calibri" w:cs="Tahoma" w:ascii="Tahoma" w:hAnsi="Tahoma"/>
          <w:b/>
          <w:bCs/>
          <w:color w:val="000000"/>
          <w:sz w:val="20"/>
          <w:szCs w:val="20"/>
          <w:lang w:eastAsia="en-US"/>
        </w:rPr>
      </w:r>
    </w:p>
    <w:p>
      <w:pPr>
        <w:pStyle w:val="Standard"/>
        <w:suppressAutoHyphens w:val="false"/>
        <w:jc w:val="right"/>
        <w:rPr>
          <w:rFonts w:ascii="Tahoma" w:hAnsi="Tahoma" w:eastAsia="Calibri" w:cs="Tahoma"/>
          <w:b/>
          <w:b/>
          <w:bCs/>
          <w:color w:val="000000"/>
          <w:sz w:val="20"/>
          <w:szCs w:val="20"/>
          <w:lang w:eastAsia="en-US"/>
        </w:rPr>
      </w:pPr>
      <w:r>
        <w:rPr>
          <w:rFonts w:eastAsia="Calibri" w:cs="Tahoma" w:ascii="Tahoma" w:hAnsi="Tahoma"/>
          <w:b/>
          <w:bCs/>
          <w:color w:val="000000"/>
          <w:sz w:val="20"/>
          <w:szCs w:val="20"/>
          <w:lang w:eastAsia="en-US"/>
        </w:rPr>
      </w:r>
    </w:p>
    <w:p>
      <w:pPr>
        <w:pStyle w:val="Standard"/>
        <w:suppressAutoHyphens w:val="false"/>
        <w:jc w:val="right"/>
        <w:rPr>
          <w:rFonts w:ascii="Tahoma" w:hAnsi="Tahoma" w:eastAsia="Calibri" w:cs="Tahoma"/>
          <w:b/>
          <w:b/>
          <w:bCs/>
          <w:color w:val="000000"/>
          <w:sz w:val="20"/>
          <w:szCs w:val="20"/>
          <w:lang w:eastAsia="en-US"/>
        </w:rPr>
      </w:pPr>
      <w:r>
        <w:rPr>
          <w:rFonts w:eastAsia="Calibri" w:cs="Tahoma" w:ascii="Tahoma" w:hAnsi="Tahoma"/>
          <w:b/>
          <w:bCs/>
          <w:color w:val="000000"/>
          <w:sz w:val="20"/>
          <w:szCs w:val="20"/>
          <w:lang w:eastAsia="en-US"/>
        </w:rPr>
      </w:r>
    </w:p>
    <w:p>
      <w:pPr>
        <w:pStyle w:val="Standard"/>
        <w:suppressAutoHyphens w:val="false"/>
        <w:jc w:val="right"/>
        <w:rPr>
          <w:rFonts w:ascii="Tahoma" w:hAnsi="Tahoma" w:eastAsia="Calibri" w:cs="Tahoma"/>
          <w:b/>
          <w:b/>
          <w:bCs/>
          <w:color w:val="000000"/>
          <w:sz w:val="20"/>
          <w:szCs w:val="20"/>
          <w:lang w:eastAsia="en-US"/>
        </w:rPr>
      </w:pPr>
      <w:r>
        <w:rPr>
          <w:rFonts w:eastAsia="Calibri" w:cs="Tahoma" w:ascii="Tahoma" w:hAnsi="Tahoma"/>
          <w:b/>
          <w:bCs/>
          <w:color w:val="000000"/>
          <w:sz w:val="20"/>
          <w:szCs w:val="20"/>
          <w:lang w:eastAsia="en-US"/>
        </w:rPr>
      </w:r>
    </w:p>
    <w:p>
      <w:pPr>
        <w:pStyle w:val="Standard"/>
        <w:suppressAutoHyphens w:val="false"/>
        <w:jc w:val="right"/>
        <w:rPr>
          <w:rFonts w:ascii="Tahoma" w:hAnsi="Tahoma" w:eastAsia="Calibri" w:cs="Tahoma"/>
          <w:b/>
          <w:b/>
          <w:bCs/>
          <w:color w:val="000000"/>
          <w:sz w:val="20"/>
          <w:szCs w:val="20"/>
          <w:lang w:eastAsia="en-US"/>
        </w:rPr>
      </w:pPr>
      <w:r>
        <w:rPr>
          <w:rFonts w:eastAsia="Calibri" w:cs="Tahoma" w:ascii="Tahoma" w:hAnsi="Tahoma"/>
          <w:b/>
          <w:bCs/>
          <w:color w:val="000000"/>
          <w:sz w:val="20"/>
          <w:szCs w:val="20"/>
          <w:lang w:eastAsia="en-US"/>
        </w:rPr>
      </w:r>
    </w:p>
    <w:p>
      <w:pPr>
        <w:pStyle w:val="Standard"/>
        <w:suppressAutoHyphens w:val="false"/>
        <w:jc w:val="right"/>
        <w:rPr>
          <w:rFonts w:ascii="Tahoma" w:hAnsi="Tahoma" w:eastAsia="Calibri" w:cs="Tahoma"/>
          <w:b/>
          <w:b/>
          <w:bCs/>
          <w:color w:val="000000"/>
          <w:sz w:val="20"/>
          <w:szCs w:val="20"/>
          <w:lang w:eastAsia="en-US"/>
        </w:rPr>
      </w:pPr>
      <w:r>
        <w:rPr>
          <w:rFonts w:eastAsia="Calibri" w:cs="Tahoma" w:ascii="Tahoma" w:hAnsi="Tahoma"/>
          <w:b/>
          <w:bCs/>
          <w:color w:val="000000"/>
          <w:sz w:val="20"/>
          <w:szCs w:val="20"/>
          <w:lang w:eastAsia="en-US"/>
        </w:rPr>
      </w:r>
    </w:p>
    <w:p>
      <w:pPr>
        <w:pStyle w:val="Standard"/>
        <w:suppressAutoHyphens w:val="false"/>
        <w:jc w:val="right"/>
        <w:rPr>
          <w:rFonts w:ascii="Tahoma" w:hAnsi="Tahoma" w:eastAsia="Calibri" w:cs="Tahoma"/>
          <w:b/>
          <w:b/>
          <w:bCs/>
          <w:color w:val="000000"/>
          <w:sz w:val="20"/>
          <w:szCs w:val="20"/>
          <w:lang w:eastAsia="en-US"/>
        </w:rPr>
      </w:pPr>
      <w:r>
        <w:rPr>
          <w:rFonts w:eastAsia="Calibri" w:cs="Tahoma" w:ascii="Tahoma" w:hAnsi="Tahoma"/>
          <w:b/>
          <w:bCs/>
          <w:color w:val="000000"/>
          <w:sz w:val="20"/>
          <w:szCs w:val="20"/>
          <w:lang w:eastAsia="en-US"/>
        </w:rPr>
        <w:t>JEFDP-145-2020</w:t>
      </w:r>
      <w:r>
        <w:rPr>
          <w:rFonts w:eastAsia="Arial" w:cs="Tahoma" w:ascii="Tahoma" w:hAnsi="Tahoma"/>
          <w:b/>
          <w:color w:val="000000"/>
          <w:sz w:val="20"/>
          <w:szCs w:val="20"/>
        </w:rPr>
        <w:t xml:space="preserve">                                    </w:t>
      </w:r>
    </w:p>
    <w:p>
      <w:pPr>
        <w:pStyle w:val="Standard"/>
        <w:suppressAutoHyphens w:val="false"/>
        <w:jc w:val="right"/>
        <w:rPr>
          <w:rFonts w:ascii="Tahoma" w:hAnsi="Tahoma" w:eastAsia="Calibri" w:cs="Tahoma"/>
          <w:bCs/>
          <w:color w:val="000000"/>
          <w:sz w:val="20"/>
          <w:szCs w:val="20"/>
          <w:lang w:eastAsia="en-US"/>
        </w:rPr>
      </w:pPr>
      <w:r>
        <w:rPr>
          <w:rFonts w:eastAsia="Arial" w:cs="Tahoma" w:ascii="Tahoma" w:hAnsi="Tahoma"/>
          <w:color w:val="000000"/>
          <w:sz w:val="20"/>
          <w:szCs w:val="20"/>
        </w:rPr>
        <w:t xml:space="preserve">  </w:t>
      </w:r>
      <w:r>
        <w:rPr>
          <w:rFonts w:eastAsia="Calibri" w:cs="Tahoma" w:ascii="Tahoma" w:hAnsi="Tahoma"/>
          <w:bCs/>
          <w:color w:val="000000"/>
          <w:sz w:val="20"/>
          <w:szCs w:val="20"/>
          <w:lang w:eastAsia="en-US"/>
        </w:rPr>
        <w:t>San José, 20 de febrero del 2020</w:t>
      </w:r>
    </w:p>
    <w:p>
      <w:pPr>
        <w:pStyle w:val="NormalWeb"/>
        <w:spacing w:before="280" w:after="280"/>
        <w:jc w:val="both"/>
        <w:rPr>
          <w:rFonts w:ascii="Tahoma" w:hAnsi="Tahoma" w:cs="Tahoma"/>
          <w:bCs/>
          <w:color w:val="000000"/>
          <w:kern w:val="2"/>
          <w:sz w:val="20"/>
          <w:szCs w:val="20"/>
          <w:lang w:eastAsia="en-US" w:bidi="hi-IN"/>
        </w:rPr>
      </w:pPr>
      <w:r>
        <w:rPr>
          <w:rFonts w:cs="Tahoma" w:ascii="Tahoma" w:hAnsi="Tahoma"/>
          <w:bCs/>
          <w:color w:val="000000"/>
          <w:kern w:val="2"/>
          <w:sz w:val="20"/>
          <w:szCs w:val="20"/>
          <w:lang w:eastAsia="en-US" w:bidi="hi-IN"/>
        </w:rPr>
      </w:r>
    </w:p>
    <w:p>
      <w:pPr>
        <w:pStyle w:val="NormalWeb"/>
        <w:spacing w:before="280" w:after="280"/>
        <w:jc w:val="both"/>
        <w:rPr>
          <w:rFonts w:ascii="Tahoma" w:hAnsi="Tahoma" w:cs="Tahoma"/>
          <w:bCs/>
          <w:color w:val="000000"/>
          <w:kern w:val="2"/>
          <w:sz w:val="20"/>
          <w:szCs w:val="20"/>
          <w:lang w:eastAsia="en-US" w:bidi="hi-IN"/>
        </w:rPr>
      </w:pPr>
      <w:r>
        <w:rPr>
          <w:rFonts w:cs="Tahoma" w:ascii="Tahoma" w:hAnsi="Tahoma"/>
          <w:bCs/>
          <w:color w:val="000000"/>
          <w:kern w:val="2"/>
          <w:sz w:val="20"/>
          <w:szCs w:val="20"/>
          <w:lang w:eastAsia="en-US" w:bidi="hi-IN"/>
        </w:rPr>
      </w:r>
    </w:p>
    <w:p>
      <w:pPr>
        <w:pStyle w:val="NormalWeb"/>
        <w:spacing w:before="280" w:after="280"/>
        <w:jc w:val="both"/>
        <w:rPr>
          <w:rFonts w:ascii="Tahoma" w:hAnsi="Tahoma" w:cs="Tahoma"/>
          <w:b/>
          <w:b/>
          <w:bCs/>
          <w:color w:val="000000"/>
          <w:kern w:val="2"/>
          <w:sz w:val="20"/>
          <w:szCs w:val="20"/>
          <w:lang w:eastAsia="en-US" w:bidi="hi-IN"/>
        </w:rPr>
      </w:pPr>
      <w:r>
        <w:rPr>
          <w:rFonts w:cs="Tahoma" w:ascii="Tahoma" w:hAnsi="Tahoma"/>
          <w:b/>
          <w:bCs/>
          <w:color w:val="000000"/>
          <w:kern w:val="2"/>
          <w:sz w:val="20"/>
          <w:szCs w:val="20"/>
          <w:lang w:eastAsia="en-US" w:bidi="hi-IN"/>
        </w:rPr>
      </w:r>
    </w:p>
    <w:p>
      <w:pPr>
        <w:pStyle w:val="NormalWeb"/>
        <w:spacing w:before="280" w:after="280"/>
        <w:jc w:val="both"/>
        <w:rPr>
          <w:rFonts w:ascii="Tahoma" w:hAnsi="Tahoma" w:cs="Tahoma"/>
          <w:b/>
          <w:b/>
          <w:bCs/>
          <w:color w:val="000000"/>
          <w:kern w:val="2"/>
          <w:sz w:val="20"/>
          <w:szCs w:val="20"/>
          <w:lang w:eastAsia="en-US" w:bidi="hi-IN"/>
        </w:rPr>
      </w:pPr>
      <w:r>
        <w:rPr>
          <w:rFonts w:cs="Tahoma" w:ascii="Tahoma" w:hAnsi="Tahoma"/>
          <w:b/>
          <w:bCs/>
          <w:color w:val="000000"/>
          <w:kern w:val="2"/>
          <w:sz w:val="20"/>
          <w:szCs w:val="20"/>
          <w:lang w:eastAsia="en-US" w:bidi="hi-IN"/>
        </w:rPr>
        <w:t>Señora</w:t>
      </w:r>
    </w:p>
    <w:p>
      <w:pPr>
        <w:pStyle w:val="NormalWeb"/>
        <w:spacing w:before="280" w:after="280"/>
        <w:jc w:val="both"/>
        <w:rPr>
          <w:rFonts w:ascii="Tahoma" w:hAnsi="Tahoma" w:cs="Tahoma"/>
          <w:b/>
          <w:b/>
          <w:bCs/>
          <w:color w:val="000000"/>
          <w:kern w:val="2"/>
          <w:sz w:val="20"/>
          <w:szCs w:val="20"/>
          <w:lang w:eastAsia="en-US" w:bidi="hi-IN"/>
        </w:rPr>
      </w:pPr>
      <w:r>
        <w:rPr>
          <w:rFonts w:cs="Tahoma" w:ascii="Tahoma" w:hAnsi="Tahoma"/>
          <w:b/>
          <w:bCs/>
          <w:color w:val="000000"/>
          <w:kern w:val="2"/>
          <w:sz w:val="20"/>
          <w:szCs w:val="20"/>
          <w:lang w:eastAsia="en-US" w:bidi="hi-IN"/>
        </w:rPr>
        <w:t>M.Sc. Melissa Benavides Víquez</w:t>
      </w:r>
    </w:p>
    <w:p>
      <w:pPr>
        <w:pStyle w:val="NormalWeb"/>
        <w:spacing w:before="280" w:after="280"/>
        <w:jc w:val="both"/>
        <w:rPr>
          <w:rFonts w:ascii="Tahoma" w:hAnsi="Tahoma" w:cs="Tahoma"/>
          <w:b/>
          <w:b/>
          <w:bCs/>
          <w:color w:val="000000"/>
          <w:kern w:val="2"/>
          <w:sz w:val="20"/>
          <w:szCs w:val="20"/>
          <w:lang w:eastAsia="en-US" w:bidi="hi-IN"/>
        </w:rPr>
      </w:pPr>
      <w:r>
        <w:rPr>
          <w:rFonts w:cs="Tahoma" w:ascii="Tahoma" w:hAnsi="Tahoma"/>
          <w:b/>
          <w:bCs/>
          <w:color w:val="000000"/>
          <w:kern w:val="2"/>
          <w:sz w:val="20"/>
          <w:szCs w:val="20"/>
          <w:lang w:eastAsia="en-US" w:bidi="hi-IN"/>
        </w:rPr>
        <w:t>Coordinadora a.i.</w:t>
      </w:r>
    </w:p>
    <w:p>
      <w:pPr>
        <w:pStyle w:val="NormalWeb"/>
        <w:spacing w:before="280" w:after="280"/>
        <w:jc w:val="both"/>
        <w:rPr>
          <w:rFonts w:ascii="Tahoma" w:hAnsi="Tahoma" w:cs="Tahoma"/>
          <w:b/>
          <w:b/>
          <w:bCs/>
          <w:color w:val="000000"/>
          <w:kern w:val="2"/>
          <w:sz w:val="20"/>
          <w:szCs w:val="20"/>
          <w:lang w:eastAsia="en-US" w:bidi="hi-IN"/>
        </w:rPr>
      </w:pPr>
      <w:r>
        <w:rPr>
          <w:rFonts w:cs="Tahoma" w:ascii="Tahoma" w:hAnsi="Tahoma"/>
          <w:b/>
          <w:bCs/>
          <w:color w:val="000000"/>
          <w:kern w:val="2"/>
          <w:sz w:val="20"/>
          <w:szCs w:val="20"/>
          <w:lang w:eastAsia="en-US" w:bidi="hi-IN"/>
        </w:rPr>
        <w:t>Unidad de Acceso a la Justicia</w:t>
      </w:r>
    </w:p>
    <w:p>
      <w:pPr>
        <w:pStyle w:val="NormalWeb"/>
        <w:spacing w:before="280" w:after="280"/>
        <w:jc w:val="both"/>
        <w:rPr>
          <w:rFonts w:ascii="Tahoma" w:hAnsi="Tahoma" w:cs="Tahoma"/>
          <w:b/>
          <w:b/>
          <w:bCs/>
          <w:color w:val="000000"/>
          <w:kern w:val="2"/>
          <w:sz w:val="20"/>
          <w:szCs w:val="20"/>
          <w:lang w:eastAsia="en-US" w:bidi="hi-IN"/>
        </w:rPr>
      </w:pPr>
      <w:r>
        <w:rPr>
          <w:rFonts w:cs="Tahoma" w:ascii="Tahoma" w:hAnsi="Tahoma"/>
          <w:b/>
          <w:bCs/>
          <w:color w:val="000000"/>
          <w:kern w:val="2"/>
          <w:sz w:val="20"/>
          <w:szCs w:val="20"/>
          <w:lang w:eastAsia="en-US" w:bidi="hi-IN"/>
        </w:rPr>
        <w:t>Poder Judicial</w:t>
      </w:r>
    </w:p>
    <w:p>
      <w:pPr>
        <w:pStyle w:val="NormalWeb"/>
        <w:spacing w:before="280" w:after="280"/>
        <w:ind w:firstLine="708"/>
        <w:jc w:val="both"/>
        <w:rPr>
          <w:rFonts w:ascii="Tahoma" w:hAnsi="Tahoma" w:cs="Tahoma"/>
          <w:bCs/>
          <w:color w:val="000000"/>
          <w:kern w:val="2"/>
          <w:sz w:val="20"/>
          <w:szCs w:val="20"/>
          <w:lang w:eastAsia="en-US" w:bidi="hi-IN"/>
        </w:rPr>
      </w:pPr>
      <w:r>
        <w:rPr>
          <w:rFonts w:cs="Tahoma" w:ascii="Tahoma" w:hAnsi="Tahoma"/>
          <w:bCs/>
          <w:color w:val="000000"/>
          <w:kern w:val="2"/>
          <w:sz w:val="20"/>
          <w:szCs w:val="20"/>
          <w:lang w:eastAsia="en-US" w:bidi="hi-IN"/>
        </w:rPr>
      </w:r>
    </w:p>
    <w:p>
      <w:pPr>
        <w:pStyle w:val="NormalWeb"/>
        <w:spacing w:before="280" w:after="280"/>
        <w:ind w:firstLine="708"/>
        <w:jc w:val="both"/>
        <w:rPr>
          <w:rFonts w:ascii="Tahoma" w:hAnsi="Tahoma" w:cs="Tahoma"/>
          <w:bCs/>
          <w:color w:val="000000"/>
          <w:kern w:val="2"/>
          <w:sz w:val="20"/>
          <w:szCs w:val="20"/>
          <w:lang w:eastAsia="en-US" w:bidi="hi-IN"/>
        </w:rPr>
      </w:pPr>
      <w:r>
        <w:rPr>
          <w:rFonts w:cs="Tahoma" w:ascii="Tahoma" w:hAnsi="Tahoma"/>
          <w:bCs/>
          <w:color w:val="000000"/>
          <w:kern w:val="2"/>
          <w:sz w:val="20"/>
          <w:szCs w:val="20"/>
          <w:lang w:eastAsia="en-US" w:bidi="hi-IN"/>
        </w:rPr>
        <w:t>Estimada señora:</w:t>
      </w:r>
    </w:p>
    <w:p>
      <w:pPr>
        <w:pStyle w:val="NormalWeb"/>
        <w:spacing w:before="280" w:after="280"/>
        <w:ind w:firstLine="708"/>
        <w:jc w:val="both"/>
        <w:rPr>
          <w:rFonts w:ascii="Tahoma" w:hAnsi="Tahoma" w:cs="Tahoma"/>
          <w:bCs/>
          <w:color w:val="000000"/>
          <w:kern w:val="2"/>
          <w:sz w:val="20"/>
          <w:szCs w:val="20"/>
          <w:lang w:eastAsia="en-US" w:bidi="hi-IN"/>
        </w:rPr>
      </w:pPr>
      <w:r>
        <w:rPr>
          <w:rFonts w:cs="Tahoma" w:ascii="Tahoma" w:hAnsi="Tahoma"/>
          <w:bCs/>
          <w:color w:val="000000"/>
          <w:kern w:val="2"/>
          <w:sz w:val="20"/>
          <w:szCs w:val="20"/>
          <w:lang w:eastAsia="en-US" w:bidi="hi-IN"/>
        </w:rPr>
      </w:r>
    </w:p>
    <w:p>
      <w:pPr>
        <w:pStyle w:val="Normal"/>
        <w:spacing w:lineRule="auto" w:line="360"/>
        <w:ind w:firstLine="708"/>
        <w:jc w:val="both"/>
        <w:rPr>
          <w:rFonts w:ascii="Tahoma" w:hAnsi="Tahoma" w:cs="Tahoma"/>
          <w:sz w:val="20"/>
          <w:szCs w:val="20"/>
        </w:rPr>
      </w:pPr>
      <w:r>
        <w:rPr>
          <w:rFonts w:cs="Tahoma" w:ascii="Tahoma" w:hAnsi="Tahoma"/>
          <w:bCs/>
          <w:color w:val="000000"/>
          <w:kern w:val="2"/>
          <w:sz w:val="20"/>
          <w:szCs w:val="20"/>
          <w:lang w:bidi="hi-IN"/>
        </w:rPr>
        <w:t xml:space="preserve">Reciba un atento saludo. </w:t>
      </w:r>
      <w:r>
        <w:rPr>
          <w:rFonts w:cs="Tahoma" w:ascii="Tahoma" w:hAnsi="Tahoma"/>
          <w:sz w:val="20"/>
          <w:szCs w:val="20"/>
        </w:rPr>
        <w:t>En atención al Oficio CACC-39-2020, remitido en fecha del 06 de febrero de 2020, en el cual se indica:</w:t>
      </w:r>
    </w:p>
    <w:p>
      <w:pPr>
        <w:pStyle w:val="Normal"/>
        <w:spacing w:lineRule="auto" w:line="360"/>
        <w:ind w:firstLine="708"/>
        <w:jc w:val="both"/>
        <w:rPr>
          <w:rFonts w:ascii="Tahoma" w:hAnsi="Tahoma" w:cs="Tahoma"/>
          <w:sz w:val="20"/>
          <w:szCs w:val="20"/>
        </w:rPr>
      </w:pPr>
      <w:r>
        <w:rPr>
          <w:rFonts w:cs="Tahoma" w:ascii="Tahoma" w:hAnsi="Tahoma"/>
          <w:sz w:val="20"/>
          <w:szCs w:val="20"/>
        </w:rPr>
      </w:r>
    </w:p>
    <w:p>
      <w:pPr>
        <w:pStyle w:val="Normal"/>
        <w:spacing w:lineRule="auto" w:line="360"/>
        <w:ind w:left="709" w:right="616" w:firstLine="567"/>
        <w:jc w:val="both"/>
        <w:rPr>
          <w:rFonts w:ascii="Tahoma" w:hAnsi="Tahoma" w:cs="Tahoma"/>
          <w:b/>
          <w:b/>
          <w:i/>
          <w:i/>
          <w:sz w:val="20"/>
          <w:szCs w:val="20"/>
          <w:u w:val="single"/>
        </w:rPr>
      </w:pPr>
      <w:r>
        <w:rPr>
          <w:rFonts w:cs="Tahoma" w:ascii="Tahoma" w:hAnsi="Tahoma"/>
          <w:sz w:val="20"/>
          <w:szCs w:val="20"/>
        </w:rPr>
        <w:t xml:space="preserve"> “</w:t>
      </w:r>
      <w:r>
        <w:rPr>
          <w:rFonts w:cs="Tahoma" w:ascii="Tahoma" w:hAnsi="Tahoma"/>
          <w:b/>
          <w:i/>
          <w:sz w:val="20"/>
          <w:szCs w:val="20"/>
          <w:u w:val="single"/>
        </w:rPr>
        <w:t>5°. Trasladar a la Escuela Judicial, Dirección de Gestión Humana y demás Unidades de Capacitación de la Defensa Pública, Ministerio Público y OIJ, la solicitud de “capacitación y asesoramiento” planteada por el señor Emigdio Cruz, presidente de la Asociación de Desarrollo Integral de la Reserva Indígena Guatuso (Territorio Malecu), para su atención. En lo referente a la solicitud de asesoramiento que plantea el Pueblo Malecu, trasladar la petición a la Dirección de la Defensa Pública. “</w:t>
      </w:r>
    </w:p>
    <w:p>
      <w:pPr>
        <w:pStyle w:val="Normal"/>
        <w:spacing w:lineRule="auto" w:line="360"/>
        <w:ind w:firstLine="708"/>
        <w:jc w:val="both"/>
        <w:rPr>
          <w:rFonts w:ascii="Tahoma" w:hAnsi="Tahoma" w:cs="Tahoma"/>
          <w:sz w:val="20"/>
          <w:szCs w:val="20"/>
        </w:rPr>
      </w:pPr>
      <w:r>
        <w:rPr>
          <w:rFonts w:cs="Tahoma" w:ascii="Tahoma" w:hAnsi="Tahoma"/>
          <w:sz w:val="20"/>
          <w:szCs w:val="20"/>
        </w:rPr>
      </w:r>
    </w:p>
    <w:p>
      <w:pPr>
        <w:pStyle w:val="Normal"/>
        <w:spacing w:lineRule="auto" w:line="360"/>
        <w:ind w:firstLine="708"/>
        <w:jc w:val="both"/>
        <w:rPr>
          <w:rFonts w:ascii="Tahoma" w:hAnsi="Tahoma" w:cs="Tahoma"/>
          <w:sz w:val="20"/>
          <w:szCs w:val="20"/>
        </w:rPr>
      </w:pPr>
      <w:r>
        <w:rPr>
          <w:rFonts w:cs="Tahoma" w:ascii="Tahoma" w:hAnsi="Tahoma"/>
          <w:sz w:val="20"/>
          <w:szCs w:val="20"/>
        </w:rPr>
        <w:t>De manera respetuosa proceso a manifestar que en fecha 15 de noviembre de 2019 se realizó un taller sobre acceso a la justicia de pueblos indígenas en el Rancho Croku-y-u en el palenque Margarita con personas malekus. En el cual tuvieron participación 15 personas de los tres palenques: Margarita, Tonjibe y del Sol, así como funcionarios de la Defensa Pública de Guatuso, Upala y la Fortuna, con el fin de brindar abordaje en penal, penalización, agrario, contenciosos administrativo, pensiones, familia y constitucional. Resulta importante señalar que se inició a las 9:15 a.m. y se extendió hasta las 12:30 p.m., pues a pesar de llegar pocas personas hubo una gran participación. Los temas fueron: La ley de Aceeso a la Justicia de Pueblos Indígenas, la Ley de Relaciones Impropias, delitos relacionados con temas culturales, procesos agrarios en la zona de Guatuso; explicación de procesos contenciosos; pensiones y familia como novedad de la ley. Participaron  por parte de la Defensa Pública  la Supervisora Ligia Jiménez Zamora y  los licenciados Dennis Paniagua Navarro; Javier Gamboa Jiménez, Raquel Núñez Mejías, Craig Jiménez Porras  quienes evacuaron las consultas planteadas sobre estos temas. Además, se contó con la presencia de  la compañera Bernardita Quirós Barrantes de la Administración de San Carlos.</w:t>
      </w:r>
    </w:p>
    <w:p>
      <w:pPr>
        <w:pStyle w:val="Normal"/>
        <w:spacing w:lineRule="auto" w:line="360"/>
        <w:ind w:firstLine="708"/>
        <w:jc w:val="both"/>
        <w:rPr>
          <w:rFonts w:ascii="Tahoma" w:hAnsi="Tahoma" w:cs="Tahoma"/>
          <w:sz w:val="20"/>
          <w:szCs w:val="20"/>
        </w:rPr>
      </w:pPr>
      <w:r>
        <w:rPr>
          <w:rFonts w:cs="Tahoma" w:ascii="Tahoma" w:hAnsi="Tahoma"/>
          <w:sz w:val="20"/>
          <w:szCs w:val="20"/>
        </w:rPr>
        <w:br/>
        <w:tab/>
        <w:t>Por otra parte,  se ha programado un  nuevo taller intercultural, en el cual tendrán participación personas indígenas de los tres palenques, para el día 28 de marzo de 2020.  Nuevamente se contará con la participación de personas defensoras públicas en materia de pensiones, familia, agrario, contencioso administrativo, penal y laboral para que puedan informar a la población indígena de sus derechos en estos temas así como la forma de coordinar las gestiones y acciones necesarias para su respeto y vigencia.</w:t>
      </w:r>
    </w:p>
    <w:p>
      <w:pPr>
        <w:pStyle w:val="Normal"/>
        <w:spacing w:lineRule="auto" w:line="360"/>
        <w:ind w:firstLine="708"/>
        <w:jc w:val="both"/>
        <w:rPr>
          <w:rFonts w:ascii="Tahoma" w:hAnsi="Tahoma" w:cs="Tahoma"/>
          <w:sz w:val="20"/>
          <w:szCs w:val="20"/>
        </w:rPr>
      </w:pPr>
      <w:r>
        <w:rPr>
          <w:rFonts w:cs="Tahoma" w:ascii="Tahoma" w:hAnsi="Tahoma"/>
          <w:sz w:val="20"/>
          <w:szCs w:val="20"/>
        </w:rPr>
      </w:r>
    </w:p>
    <w:p>
      <w:pPr>
        <w:pStyle w:val="Normal"/>
        <w:spacing w:lineRule="auto" w:line="360"/>
        <w:ind w:firstLine="708"/>
        <w:jc w:val="both"/>
        <w:rPr>
          <w:rFonts w:ascii="Tahoma" w:hAnsi="Tahoma" w:cs="Tahoma"/>
          <w:sz w:val="20"/>
          <w:szCs w:val="20"/>
        </w:rPr>
      </w:pPr>
      <w:r>
        <w:rPr>
          <w:rFonts w:cs="Tahoma" w:ascii="Tahoma" w:hAnsi="Tahoma"/>
          <w:sz w:val="20"/>
          <w:szCs w:val="20"/>
        </w:rPr>
        <w:t>Dejo así informado sobre las acciones tomadas por parte de la Defensa Pública de conformidad con la petición planteada por los líderes indígenas y en cumplimiento de la garantía de acceso a la justicia para esta población.</w:t>
      </w:r>
    </w:p>
    <w:p>
      <w:pPr>
        <w:pStyle w:val="NormalWeb"/>
        <w:spacing w:before="280" w:after="280"/>
        <w:ind w:firstLine="708"/>
        <w:jc w:val="both"/>
        <w:rPr>
          <w:rFonts w:ascii="Tahoma" w:hAnsi="Tahoma" w:cs="Tahoma"/>
          <w:bCs/>
          <w:color w:val="000000"/>
          <w:kern w:val="2"/>
          <w:sz w:val="20"/>
          <w:szCs w:val="20"/>
          <w:lang w:eastAsia="en-US" w:bidi="hi-IN"/>
        </w:rPr>
      </w:pPr>
      <w:r>
        <w:rPr>
          <w:rFonts w:cs="Tahoma" w:ascii="Tahoma" w:hAnsi="Tahoma"/>
          <w:bCs/>
          <w:color w:val="000000"/>
          <w:kern w:val="2"/>
          <w:sz w:val="20"/>
          <w:szCs w:val="20"/>
          <w:lang w:eastAsia="en-US" w:bidi="hi-IN"/>
        </w:rPr>
      </w:r>
    </w:p>
    <w:p>
      <w:pPr>
        <w:pStyle w:val="NormalWeb"/>
        <w:spacing w:lineRule="auto" w:line="360" w:before="280" w:after="280"/>
        <w:jc w:val="both"/>
        <w:rPr>
          <w:rFonts w:ascii="Tahoma" w:hAnsi="Tahoma" w:cs="Tahoma"/>
          <w:bCs/>
          <w:color w:val="000000"/>
          <w:kern w:val="2"/>
          <w:sz w:val="20"/>
          <w:szCs w:val="20"/>
          <w:lang w:eastAsia="en-US" w:bidi="hi-IN"/>
        </w:rPr>
      </w:pPr>
      <w:r>
        <w:rPr>
          <w:rFonts w:cs="Tahoma" w:ascii="Tahoma" w:hAnsi="Tahoma"/>
          <w:bCs/>
          <w:color w:val="000000"/>
          <w:kern w:val="2"/>
          <w:sz w:val="20"/>
          <w:szCs w:val="20"/>
          <w:lang w:eastAsia="en-US" w:bidi="hi-IN"/>
        </w:rPr>
        <w:t xml:space="preserve">           </w:t>
      </w:r>
      <w:r>
        <w:rPr>
          <w:rFonts w:cs="Tahoma" w:ascii="Tahoma" w:hAnsi="Tahoma"/>
          <w:bCs/>
          <w:color w:val="000000"/>
          <w:kern w:val="2"/>
          <w:sz w:val="20"/>
          <w:szCs w:val="20"/>
          <w:lang w:eastAsia="en-US" w:bidi="hi-IN"/>
        </w:rPr>
        <w:t>Con muestras de mi mayor consideración y estima,</w:t>
      </w:r>
    </w:p>
    <w:p>
      <w:pPr>
        <w:pStyle w:val="NormalWeb"/>
        <w:spacing w:before="280" w:after="280"/>
        <w:jc w:val="both"/>
        <w:rPr>
          <w:rFonts w:ascii="Tahoma" w:hAnsi="Tahoma" w:cs="Tahoma"/>
          <w:b/>
          <w:b/>
          <w:bCs/>
          <w:i/>
          <w:i/>
          <w:color w:val="000000"/>
          <w:kern w:val="2"/>
          <w:sz w:val="20"/>
          <w:szCs w:val="20"/>
          <w:lang w:eastAsia="en-US" w:bidi="hi-IN"/>
        </w:rPr>
      </w:pPr>
      <w:r>
        <w:rPr>
          <w:rFonts w:cs="Tahoma" w:ascii="Tahoma" w:hAnsi="Tahoma"/>
          <w:b/>
          <w:bCs/>
          <w:i/>
          <w:color w:val="000000"/>
          <w:kern w:val="2"/>
          <w:sz w:val="20"/>
          <w:szCs w:val="20"/>
          <w:lang w:eastAsia="en-US" w:bidi="hi-IN"/>
        </w:rPr>
      </w:r>
    </w:p>
    <w:p>
      <w:pPr>
        <w:pStyle w:val="Normal"/>
        <w:rPr>
          <w:rFonts w:ascii="Tahoma" w:hAnsi="Tahoma" w:cs="Tahoma"/>
          <w:b/>
          <w:b/>
          <w:i/>
          <w:i/>
          <w:sz w:val="20"/>
          <w:szCs w:val="20"/>
          <w:lang w:val="es-ES"/>
        </w:rPr>
      </w:pPr>
      <w:r>
        <w:rPr>
          <w:rFonts w:cs="Tahoma" w:ascii="Tahoma" w:hAnsi="Tahoma"/>
          <w:sz w:val="20"/>
          <w:szCs w:val="20"/>
          <w:lang w:bidi="hi-IN"/>
        </w:rPr>
        <w:tab/>
      </w:r>
      <w:r>
        <w:rPr>
          <w:rFonts w:cs="Tahoma" w:ascii="Tahoma" w:hAnsi="Tahoma"/>
          <w:b/>
          <w:i/>
          <w:sz w:val="20"/>
          <w:szCs w:val="20"/>
          <w:lang w:val="es-ES"/>
        </w:rPr>
        <w:t xml:space="preserve">M. Sc. Diana Montero Montero                        </w:t>
      </w:r>
    </w:p>
    <w:p>
      <w:pPr>
        <w:pStyle w:val="Normal"/>
        <w:rPr>
          <w:rFonts w:ascii="Tahoma" w:hAnsi="Tahoma" w:cs="Tahoma"/>
          <w:b/>
          <w:b/>
          <w:i/>
          <w:i/>
          <w:sz w:val="20"/>
          <w:szCs w:val="20"/>
          <w:lang w:val="es-ES"/>
        </w:rPr>
      </w:pPr>
      <w:r>
        <w:rPr>
          <w:rFonts w:cs="Tahoma" w:ascii="Tahoma" w:hAnsi="Tahoma"/>
          <w:b/>
          <w:i/>
          <w:sz w:val="20"/>
          <w:szCs w:val="20"/>
          <w:lang w:val="es-ES"/>
        </w:rPr>
        <w:t xml:space="preserve">Jefa a.i                                                                   </w:t>
      </w:r>
    </w:p>
    <w:p>
      <w:pPr>
        <w:pStyle w:val="Normal"/>
        <w:rPr>
          <w:rFonts w:ascii="Tahoma" w:hAnsi="Tahoma" w:cs="Tahoma"/>
          <w:b/>
          <w:b/>
          <w:i/>
          <w:i/>
          <w:sz w:val="20"/>
          <w:szCs w:val="20"/>
          <w:lang w:val="es-ES"/>
        </w:rPr>
      </w:pPr>
      <w:r>
        <w:rPr>
          <w:rFonts w:cs="Tahoma" w:ascii="Tahoma" w:hAnsi="Tahoma"/>
          <w:b/>
          <w:i/>
          <w:sz w:val="20"/>
          <w:szCs w:val="20"/>
          <w:lang w:val="es-ES"/>
        </w:rPr>
        <w:t xml:space="preserve">Defensa Pública     </w:t>
      </w:r>
    </w:p>
    <w:p>
      <w:pPr>
        <w:pStyle w:val="Normal"/>
        <w:rPr>
          <w:rFonts w:ascii="Tahoma" w:hAnsi="Tahoma" w:cs="Tahoma"/>
          <w:b/>
          <w:b/>
          <w:sz w:val="20"/>
          <w:szCs w:val="20"/>
          <w:lang w:val="es-ES"/>
        </w:rPr>
      </w:pPr>
      <w:r>
        <w:rPr>
          <w:rFonts w:cs="Tahoma" w:ascii="Tahoma" w:hAnsi="Tahoma"/>
          <w:b/>
          <w:sz w:val="20"/>
          <w:szCs w:val="20"/>
          <w:lang w:val="es-ES"/>
        </w:rPr>
      </w:r>
    </w:p>
    <w:p>
      <w:pPr>
        <w:pStyle w:val="Normal"/>
        <w:rPr>
          <w:rFonts w:ascii="Tahoma" w:hAnsi="Tahoma" w:eastAsia="Calibri" w:cs="Tahoma"/>
          <w:bCs/>
          <w:color w:val="000000"/>
          <w:sz w:val="20"/>
          <w:szCs w:val="20"/>
        </w:rPr>
      </w:pPr>
      <w:r>
        <w:rPr>
          <w:rFonts w:cs="Tahoma" w:ascii="Tahoma" w:hAnsi="Tahoma"/>
          <w:b/>
          <w:sz w:val="20"/>
          <w:szCs w:val="20"/>
          <w:lang w:val="es-ES"/>
        </w:rPr>
        <w:t xml:space="preserve">SE ACUERDA: 1° </w:t>
      </w:r>
      <w:r>
        <w:rPr>
          <w:rFonts w:cs="Tahoma" w:ascii="Tahoma" w:hAnsi="Tahoma"/>
          <w:sz w:val="20"/>
          <w:szCs w:val="20"/>
        </w:rPr>
        <w:t xml:space="preserve">Se toma nota del Oficio </w:t>
      </w:r>
      <w:r>
        <w:rPr>
          <w:rFonts w:eastAsia="Calibri" w:cs="Tahoma" w:ascii="Tahoma" w:hAnsi="Tahoma"/>
          <w:b/>
          <w:bCs/>
          <w:color w:val="000000"/>
          <w:sz w:val="20"/>
          <w:szCs w:val="20"/>
        </w:rPr>
        <w:t xml:space="preserve">JEFDP-145-2020 de </w:t>
      </w:r>
      <w:r>
        <w:rPr>
          <w:rFonts w:eastAsia="Calibri" w:cs="Tahoma" w:ascii="Tahoma" w:hAnsi="Tahoma"/>
          <w:bCs/>
          <w:color w:val="000000"/>
          <w:sz w:val="20"/>
          <w:szCs w:val="20"/>
        </w:rPr>
        <w:t>20 de febrero del 2020 remitido por la Defensa Pública y se dispone comunicarlo al señor Emigdio Cruz en la condición citada, y al Despacho de la Presidencia, por medio de la Unidad de Acceso a la Justicia. 2° Solicitar remisión de los demás informes pendientes.</w:t>
      </w:r>
    </w:p>
    <w:p>
      <w:pPr>
        <w:pStyle w:val="NormalWeb"/>
        <w:spacing w:before="280" w:after="280"/>
        <w:jc w:val="both"/>
        <w:rPr>
          <w:rFonts w:ascii="Tahoma" w:hAnsi="Tahoma" w:cs="Tahoma"/>
          <w:bCs/>
          <w:color w:val="000000"/>
          <w:kern w:val="2"/>
          <w:sz w:val="20"/>
          <w:szCs w:val="20"/>
          <w:lang w:eastAsia="en-US" w:bidi="hi-IN"/>
        </w:rPr>
      </w:pPr>
      <w:r>
        <w:rPr>
          <w:rFonts w:cs="Tahoma" w:ascii="Tahoma" w:hAnsi="Tahoma"/>
          <w:bCs/>
          <w:color w:val="000000"/>
          <w:kern w:val="2"/>
          <w:sz w:val="20"/>
          <w:szCs w:val="20"/>
          <w:lang w:eastAsia="en-US" w:bidi="hi-IN"/>
        </w:rPr>
      </w:r>
    </w:p>
    <w:p>
      <w:pPr>
        <w:pStyle w:val="Normal"/>
        <w:spacing w:lineRule="auto" w:line="360"/>
        <w:jc w:val="center"/>
        <w:rPr>
          <w:rFonts w:ascii="Tahoma" w:hAnsi="Tahoma" w:cs="Tahoma"/>
          <w:b/>
          <w:b/>
          <w:sz w:val="20"/>
          <w:szCs w:val="20"/>
          <w:u w:val="single"/>
        </w:rPr>
      </w:pPr>
      <w:r>
        <w:rPr>
          <w:rFonts w:cs="Tahoma" w:ascii="Tahoma" w:hAnsi="Tahoma"/>
          <w:b/>
          <w:sz w:val="20"/>
          <w:szCs w:val="20"/>
          <w:u w:val="single"/>
        </w:rPr>
      </w:r>
    </w:p>
    <w:p>
      <w:pPr>
        <w:pStyle w:val="Normal"/>
        <w:spacing w:lineRule="auto" w:line="360"/>
        <w:jc w:val="center"/>
        <w:rPr>
          <w:rFonts w:ascii="Tahoma" w:hAnsi="Tahoma" w:cs="Tahoma"/>
          <w:b/>
          <w:b/>
          <w:sz w:val="20"/>
          <w:szCs w:val="20"/>
          <w:highlight w:val="yellow"/>
          <w:u w:val="single"/>
        </w:rPr>
      </w:pPr>
      <w:r>
        <w:rPr>
          <w:rFonts w:cs="Tahoma" w:ascii="Tahoma" w:hAnsi="Tahoma"/>
          <w:b/>
          <w:sz w:val="20"/>
          <w:szCs w:val="20"/>
          <w:highlight w:val="yellow"/>
          <w:u w:val="single"/>
        </w:rPr>
        <w:t>ARTÍCULO IX</w:t>
      </w:r>
    </w:p>
    <w:p>
      <w:pPr>
        <w:pStyle w:val="Normal"/>
        <w:spacing w:lineRule="auto" w:line="360"/>
        <w:jc w:val="both"/>
        <w:rPr>
          <w:rFonts w:ascii="Tahoma" w:hAnsi="Tahoma" w:cs="Tahoma"/>
          <w:b/>
          <w:b/>
          <w:sz w:val="20"/>
          <w:szCs w:val="20"/>
        </w:rPr>
      </w:pPr>
      <w:r>
        <w:rPr>
          <w:rFonts w:cs="Tahoma" w:ascii="Tahoma" w:hAnsi="Tahoma"/>
          <w:b/>
          <w:sz w:val="20"/>
          <w:szCs w:val="20"/>
        </w:rPr>
        <w:t xml:space="preserve">TEMA: CASO QUEJA DE ATRASO EN EL PAGO A INTÉRPRETE INDIGENA FLORENCIA SOSIMO GARCÍA </w:t>
      </w:r>
    </w:p>
    <w:p>
      <w:pPr>
        <w:pStyle w:val="Normal"/>
        <w:jc w:val="both"/>
        <w:rPr>
          <w:rFonts w:ascii="Tahoma" w:hAnsi="Tahoma" w:cs="Tahoma"/>
          <w:sz w:val="20"/>
          <w:szCs w:val="20"/>
          <w:lang w:val="es-ES"/>
        </w:rPr>
      </w:pPr>
      <w:r>
        <w:rPr>
          <w:rFonts w:cs="Tahoma" w:ascii="Tahoma" w:hAnsi="Tahoma"/>
          <w:sz w:val="20"/>
          <w:szCs w:val="20"/>
          <w:lang w:val="es-ES"/>
        </w:rPr>
        <w:t>La Unidad de Acceso a la Justicia comunicó mediante el</w:t>
      </w:r>
      <w:r>
        <w:rPr>
          <w:rFonts w:cs="Tahoma" w:ascii="Tahoma" w:hAnsi="Tahoma"/>
          <w:b/>
          <w:sz w:val="20"/>
          <w:szCs w:val="20"/>
          <w:lang w:val="es-ES"/>
        </w:rPr>
        <w:t xml:space="preserve"> Oficio CACC-387-2019, remitido el 09 de diciembre de 2019</w:t>
      </w:r>
      <w:r>
        <w:rPr>
          <w:rFonts w:cs="Tahoma" w:ascii="Tahoma" w:hAnsi="Tahoma"/>
          <w:sz w:val="20"/>
          <w:szCs w:val="20"/>
          <w:lang w:val="es-ES"/>
        </w:rPr>
        <w:t xml:space="preserve"> a la Contraloría de Servicios y Dirección Ejecutiva el acuerdo estipulado en el Artículo II del Acta 09-19 el cual se transcribe literalmente: </w:t>
      </w:r>
    </w:p>
    <w:p>
      <w:pPr>
        <w:pStyle w:val="Normal"/>
        <w:jc w:val="both"/>
        <w:rPr>
          <w:rFonts w:ascii="Tahoma" w:hAnsi="Tahoma" w:cs="Tahoma"/>
          <w:b/>
          <w:b/>
          <w:bCs/>
          <w:sz w:val="20"/>
          <w:szCs w:val="20"/>
          <w:u w:val="single"/>
        </w:rPr>
      </w:pPr>
      <w:r>
        <w:rPr>
          <w:rFonts w:cs="Tahoma" w:ascii="Tahoma" w:hAnsi="Tahoma"/>
          <w:b/>
          <w:bCs/>
          <w:sz w:val="20"/>
          <w:szCs w:val="20"/>
          <w:u w:val="single"/>
        </w:rPr>
        <w:t xml:space="preserve">2°. Solicitar a la Contraloría de Servicios informe de los avances. </w:t>
      </w:r>
    </w:p>
    <w:p>
      <w:pPr>
        <w:pStyle w:val="Normal"/>
        <w:jc w:val="both"/>
        <w:rPr>
          <w:rFonts w:ascii="Tahoma" w:hAnsi="Tahoma" w:cs="Tahoma"/>
          <w:b/>
          <w:b/>
          <w:bCs/>
          <w:sz w:val="20"/>
          <w:szCs w:val="20"/>
          <w:u w:val="single"/>
        </w:rPr>
      </w:pPr>
      <w:r>
        <w:rPr>
          <w:rFonts w:cs="Tahoma" w:ascii="Tahoma" w:hAnsi="Tahoma"/>
          <w:b/>
          <w:bCs/>
          <w:sz w:val="20"/>
          <w:szCs w:val="20"/>
          <w:u w:val="single"/>
        </w:rPr>
        <w:t xml:space="preserve">3°. Comunicar a la Dirección Ejecutiva con el objetivo de analicen lo expuesto por la persona usuaria para valorar oportunidades de mejora en el servicio en coordinación con la Contraloría de Servicios y la Subcomisión de Acceso a la Justicia de Pueblos indígenas. </w:t>
      </w:r>
    </w:p>
    <w:p>
      <w:pPr>
        <w:pStyle w:val="Normal"/>
        <w:jc w:val="both"/>
        <w:rPr>
          <w:rFonts w:ascii="Tahoma" w:hAnsi="Tahoma" w:cs="Tahoma"/>
          <w:b/>
          <w:b/>
          <w:bCs/>
          <w:sz w:val="20"/>
          <w:szCs w:val="20"/>
          <w:u w:val="single"/>
        </w:rPr>
      </w:pPr>
      <w:r>
        <w:rPr>
          <w:rFonts w:cs="Tahoma" w:ascii="Tahoma" w:hAnsi="Tahoma"/>
          <w:b/>
          <w:bCs/>
          <w:sz w:val="20"/>
          <w:szCs w:val="20"/>
          <w:u w:val="single"/>
        </w:rPr>
      </w:r>
    </w:p>
    <w:p>
      <w:pPr>
        <w:pStyle w:val="Normal"/>
        <w:jc w:val="both"/>
        <w:rPr>
          <w:rFonts w:ascii="Tahoma" w:hAnsi="Tahoma" w:cs="Tahoma"/>
          <w:sz w:val="20"/>
          <w:szCs w:val="20"/>
        </w:rPr>
      </w:pPr>
      <w:r>
        <w:rPr>
          <w:rFonts w:cs="Tahoma" w:ascii="Tahoma" w:hAnsi="Tahoma"/>
          <w:sz w:val="20"/>
          <w:szCs w:val="20"/>
        </w:rPr>
        <w:t xml:space="preserve">La Contraloría de Servicios comunico mediante </w:t>
      </w:r>
      <w:r>
        <w:rPr>
          <w:rFonts w:cs="Tahoma" w:ascii="Tahoma" w:hAnsi="Tahoma"/>
          <w:b/>
          <w:sz w:val="20"/>
          <w:szCs w:val="20"/>
        </w:rPr>
        <w:t>el Oficio CSJ-163-2020</w:t>
      </w:r>
      <w:r>
        <w:rPr>
          <w:rFonts w:cs="Tahoma" w:ascii="Tahoma" w:hAnsi="Tahoma"/>
          <w:sz w:val="20"/>
          <w:szCs w:val="20"/>
        </w:rPr>
        <w:t>, lo siguiente:</w:t>
      </w:r>
    </w:p>
    <w:p>
      <w:pPr>
        <w:pStyle w:val="Normal"/>
        <w:jc w:val="both"/>
        <w:rPr>
          <w:rFonts w:ascii="Tahoma" w:hAnsi="Tahoma" w:cs="Tahoma"/>
          <w:b/>
          <w:b/>
          <w:bCs/>
          <w:sz w:val="20"/>
          <w:szCs w:val="20"/>
          <w:u w:val="single"/>
        </w:rPr>
      </w:pPr>
      <w:r>
        <w:rPr>
          <w:rFonts w:cs="Tahoma" w:ascii="Tahoma" w:hAnsi="Tahoma"/>
          <w:b/>
          <w:bCs/>
          <w:sz w:val="20"/>
          <w:szCs w:val="20"/>
          <w:u w:val="single"/>
        </w:rPr>
      </w:r>
    </w:p>
    <w:p>
      <w:pPr>
        <w:pStyle w:val="Normal"/>
        <w:jc w:val="right"/>
        <w:rPr>
          <w:rFonts w:ascii="Tahoma" w:hAnsi="Tahoma" w:cs="Tahoma"/>
          <w:b/>
          <w:b/>
          <w:bCs/>
          <w:sz w:val="20"/>
          <w:szCs w:val="20"/>
          <w:lang w:eastAsia="es-CR"/>
        </w:rPr>
      </w:pPr>
      <w:r>
        <w:rPr>
          <w:rFonts w:cs="Tahoma" w:ascii="Tahoma" w:hAnsi="Tahoma"/>
          <w:b/>
          <w:bCs/>
          <w:sz w:val="20"/>
          <w:szCs w:val="20"/>
          <w:lang w:eastAsia="es-CR"/>
        </w:rPr>
        <w:t>31 de enero de 2020</w:t>
      </w:r>
    </w:p>
    <w:p>
      <w:pPr>
        <w:pStyle w:val="Normal"/>
        <w:jc w:val="right"/>
        <w:rPr>
          <w:rFonts w:ascii="Tahoma" w:hAnsi="Tahoma" w:cs="Tahoma"/>
          <w:b/>
          <w:b/>
          <w:bCs/>
          <w:sz w:val="20"/>
          <w:szCs w:val="20"/>
          <w:lang w:eastAsia="es-CR"/>
        </w:rPr>
      </w:pPr>
      <w:r>
        <w:rPr>
          <w:rFonts w:cs="Tahoma" w:ascii="Tahoma" w:hAnsi="Tahoma"/>
          <w:b/>
          <w:bCs/>
          <w:sz w:val="20"/>
          <w:szCs w:val="20"/>
          <w:lang w:eastAsia="es-CR"/>
        </w:rPr>
        <w:t>CSJ-163-2020</w:t>
      </w:r>
    </w:p>
    <w:p>
      <w:pPr>
        <w:pStyle w:val="Normal"/>
        <w:jc w:val="both"/>
        <w:rPr>
          <w:rFonts w:ascii="Tahoma" w:hAnsi="Tahoma" w:cs="Tahoma"/>
          <w:b/>
          <w:b/>
          <w:bCs/>
          <w:sz w:val="20"/>
          <w:szCs w:val="20"/>
        </w:rPr>
      </w:pPr>
      <w:r>
        <w:rPr>
          <w:rFonts w:cs="Tahoma" w:ascii="Tahoma" w:hAnsi="Tahoma"/>
          <w:b/>
          <w:bCs/>
          <w:sz w:val="20"/>
          <w:szCs w:val="20"/>
        </w:rPr>
      </w:r>
    </w:p>
    <w:p>
      <w:pPr>
        <w:pStyle w:val="Normal"/>
        <w:tabs>
          <w:tab w:val="clear" w:pos="708"/>
          <w:tab w:val="left" w:pos="720" w:leader="none"/>
        </w:tabs>
        <w:spacing w:before="0" w:after="200"/>
        <w:contextualSpacing/>
        <w:jc w:val="both"/>
        <w:rPr>
          <w:rFonts w:ascii="Tahoma" w:hAnsi="Tahoma" w:cs="Tahoma"/>
          <w:b/>
          <w:b/>
          <w:sz w:val="20"/>
          <w:szCs w:val="20"/>
        </w:rPr>
      </w:pPr>
      <w:r>
        <w:rPr>
          <w:rFonts w:cs="Tahoma" w:ascii="Tahoma" w:hAnsi="Tahoma"/>
          <w:b/>
          <w:sz w:val="20"/>
          <w:szCs w:val="20"/>
        </w:rPr>
        <w:t xml:space="preserve">Máster </w:t>
      </w:r>
    </w:p>
    <w:p>
      <w:pPr>
        <w:pStyle w:val="Normal"/>
        <w:tabs>
          <w:tab w:val="clear" w:pos="708"/>
          <w:tab w:val="left" w:pos="720" w:leader="none"/>
        </w:tabs>
        <w:spacing w:before="0" w:after="200"/>
        <w:contextualSpacing/>
        <w:jc w:val="both"/>
        <w:rPr>
          <w:rFonts w:ascii="Tahoma" w:hAnsi="Tahoma" w:cs="Tahoma"/>
          <w:b/>
          <w:b/>
          <w:sz w:val="20"/>
          <w:szCs w:val="20"/>
        </w:rPr>
      </w:pPr>
      <w:r>
        <w:rPr>
          <w:rFonts w:cs="Tahoma" w:ascii="Tahoma" w:hAnsi="Tahoma"/>
          <w:b/>
          <w:sz w:val="20"/>
          <w:szCs w:val="20"/>
        </w:rPr>
        <w:t>Melissa Benavides Víquez, Coordinadora</w:t>
      </w:r>
    </w:p>
    <w:p>
      <w:pPr>
        <w:pStyle w:val="Normal"/>
        <w:tabs>
          <w:tab w:val="clear" w:pos="708"/>
          <w:tab w:val="left" w:pos="720" w:leader="none"/>
        </w:tabs>
        <w:spacing w:before="0" w:after="200"/>
        <w:contextualSpacing/>
        <w:jc w:val="both"/>
        <w:rPr>
          <w:rFonts w:ascii="Tahoma" w:hAnsi="Tahoma" w:cs="Tahoma"/>
          <w:b/>
          <w:b/>
          <w:sz w:val="20"/>
          <w:szCs w:val="20"/>
        </w:rPr>
      </w:pPr>
      <w:r>
        <w:rPr>
          <w:rFonts w:cs="Tahoma" w:ascii="Tahoma" w:hAnsi="Tahoma"/>
          <w:b/>
          <w:sz w:val="20"/>
          <w:szCs w:val="20"/>
        </w:rPr>
        <w:t>Unidad de Acceso a la Justicia</w:t>
      </w:r>
    </w:p>
    <w:p>
      <w:pPr>
        <w:pStyle w:val="Normal"/>
        <w:ind w:left="3686" w:hanging="0"/>
        <w:jc w:val="both"/>
        <w:rPr>
          <w:rFonts w:ascii="Tahoma" w:hAnsi="Tahoma" w:cs="Tahoma"/>
          <w:b/>
          <w:b/>
          <w:sz w:val="20"/>
          <w:szCs w:val="20"/>
          <w:lang w:val="es-MX"/>
        </w:rPr>
      </w:pPr>
      <w:r>
        <w:rPr>
          <w:rFonts w:cs="Tahoma" w:ascii="Tahoma" w:hAnsi="Tahoma"/>
          <w:b/>
          <w:sz w:val="20"/>
          <w:szCs w:val="20"/>
          <w:lang w:val="es-MX"/>
        </w:rPr>
        <w:t xml:space="preserve">         </w:t>
      </w:r>
    </w:p>
    <w:p>
      <w:pPr>
        <w:pStyle w:val="Normal"/>
        <w:spacing w:before="0" w:after="200"/>
        <w:contextualSpacing/>
        <w:jc w:val="right"/>
        <w:rPr>
          <w:rFonts w:ascii="Tahoma" w:hAnsi="Tahoma" w:cs="Tahoma"/>
          <w:b/>
          <w:b/>
          <w:sz w:val="20"/>
          <w:szCs w:val="20"/>
        </w:rPr>
      </w:pPr>
      <w:r>
        <w:rPr>
          <w:rFonts w:cs="Tahoma" w:ascii="Tahoma" w:hAnsi="Tahoma"/>
          <w:b/>
          <w:sz w:val="20"/>
          <w:szCs w:val="20"/>
        </w:rPr>
      </w:r>
    </w:p>
    <w:p>
      <w:pPr>
        <w:pStyle w:val="Normal"/>
        <w:spacing w:before="0" w:after="200"/>
        <w:contextualSpacing/>
        <w:jc w:val="right"/>
        <w:rPr>
          <w:rFonts w:ascii="Tahoma" w:hAnsi="Tahoma" w:cs="Tahoma"/>
          <w:sz w:val="20"/>
          <w:szCs w:val="20"/>
        </w:rPr>
      </w:pPr>
      <w:r>
        <w:rPr>
          <w:rFonts w:cs="Tahoma" w:ascii="Tahoma" w:hAnsi="Tahoma"/>
          <w:b/>
          <w:sz w:val="20"/>
          <w:szCs w:val="20"/>
        </w:rPr>
        <w:t>Asunto:</w:t>
      </w:r>
      <w:r>
        <w:rPr>
          <w:rFonts w:cs="Tahoma" w:ascii="Tahoma" w:hAnsi="Tahoma"/>
          <w:sz w:val="20"/>
          <w:szCs w:val="20"/>
        </w:rPr>
        <w:t xml:space="preserve"> Atención de oficio CACC-387-2019</w:t>
      </w:r>
    </w:p>
    <w:p>
      <w:pPr>
        <w:pStyle w:val="Normal"/>
        <w:jc w:val="both"/>
        <w:rPr>
          <w:rFonts w:ascii="Tahoma" w:hAnsi="Tahoma" w:cs="Tahoma"/>
          <w:sz w:val="20"/>
          <w:szCs w:val="20"/>
        </w:rPr>
      </w:pPr>
      <w:r>
        <w:rPr>
          <w:rFonts w:cs="Tahoma" w:ascii="Tahoma" w:hAnsi="Tahoma"/>
          <w:sz w:val="20"/>
          <w:szCs w:val="20"/>
        </w:rPr>
      </w:r>
    </w:p>
    <w:p>
      <w:pPr>
        <w:pStyle w:val="Normal"/>
        <w:jc w:val="both"/>
        <w:rPr>
          <w:rFonts w:ascii="Tahoma" w:hAnsi="Tahoma" w:cs="Tahoma"/>
          <w:sz w:val="20"/>
          <w:szCs w:val="20"/>
        </w:rPr>
      </w:pPr>
      <w:r>
        <w:rPr>
          <w:rFonts w:cs="Tahoma" w:ascii="Tahoma" w:hAnsi="Tahoma"/>
          <w:sz w:val="20"/>
          <w:szCs w:val="20"/>
        </w:rPr>
        <w:t xml:space="preserve">Estimada señora: </w:t>
      </w:r>
    </w:p>
    <w:p>
      <w:pPr>
        <w:pStyle w:val="Normal"/>
        <w:jc w:val="both"/>
        <w:rPr>
          <w:rFonts w:ascii="Tahoma" w:hAnsi="Tahoma" w:cs="Tahoma"/>
          <w:sz w:val="20"/>
          <w:szCs w:val="20"/>
        </w:rPr>
      </w:pPr>
      <w:r>
        <w:rPr>
          <w:rFonts w:cs="Tahoma" w:ascii="Tahoma" w:hAnsi="Tahoma"/>
          <w:sz w:val="20"/>
          <w:szCs w:val="20"/>
        </w:rPr>
      </w:r>
    </w:p>
    <w:p>
      <w:pPr>
        <w:pStyle w:val="Normal"/>
        <w:jc w:val="both"/>
        <w:rPr>
          <w:rFonts w:ascii="Tahoma" w:hAnsi="Tahoma" w:cs="Tahoma"/>
          <w:sz w:val="20"/>
          <w:szCs w:val="20"/>
        </w:rPr>
      </w:pPr>
      <w:r>
        <w:rPr>
          <w:rFonts w:cs="Tahoma" w:ascii="Tahoma" w:hAnsi="Tahoma"/>
          <w:sz w:val="20"/>
          <w:szCs w:val="20"/>
        </w:rPr>
        <w:t xml:space="preserve">Doy respuesta al oficio CACC-387-2019 atinente a los acuerdos tomados por la </w:t>
      </w:r>
      <w:r>
        <w:rPr>
          <w:rStyle w:val="Strong"/>
          <w:rFonts w:eastAsia="Batang" w:cs="Tahoma" w:ascii="Tahoma" w:hAnsi="Tahoma"/>
          <w:sz w:val="20"/>
          <w:szCs w:val="20"/>
        </w:rPr>
        <w:t xml:space="preserve">Subcomisión de Acceso a la Justicia de Pueblos Indígenas en relación con un supuesto atraso en el pago a la señorita </w:t>
      </w:r>
      <w:r>
        <w:rPr>
          <w:rFonts w:cs="Tahoma" w:ascii="Tahoma" w:hAnsi="Tahoma"/>
          <w:sz w:val="20"/>
          <w:szCs w:val="20"/>
        </w:rPr>
        <w:t xml:space="preserve">Florencia Sosimo García, quien fue nombrada por la Fiscalía de Desamparados, el 6 de junio de 2019, para realizar una interpretación simultánea en el idioma Cabecar, en la sumaria N°17-000586-0276- PE. </w:t>
      </w:r>
    </w:p>
    <w:p>
      <w:pPr>
        <w:pStyle w:val="Normal"/>
        <w:jc w:val="both"/>
        <w:rPr>
          <w:rFonts w:ascii="Tahoma" w:hAnsi="Tahoma" w:cs="Tahoma"/>
          <w:sz w:val="20"/>
          <w:szCs w:val="20"/>
        </w:rPr>
      </w:pPr>
      <w:r>
        <w:rPr>
          <w:rFonts w:cs="Tahoma" w:ascii="Tahoma" w:hAnsi="Tahoma"/>
          <w:sz w:val="20"/>
          <w:szCs w:val="20"/>
        </w:rPr>
      </w:r>
    </w:p>
    <w:p>
      <w:pPr>
        <w:pStyle w:val="Normal"/>
        <w:jc w:val="both"/>
        <w:rPr>
          <w:rFonts w:ascii="Tahoma" w:hAnsi="Tahoma" w:cs="Tahoma"/>
          <w:sz w:val="20"/>
          <w:szCs w:val="20"/>
        </w:rPr>
      </w:pPr>
      <w:r>
        <w:rPr>
          <w:rFonts w:cs="Tahoma" w:ascii="Tahoma" w:hAnsi="Tahoma"/>
          <w:sz w:val="20"/>
          <w:szCs w:val="20"/>
        </w:rPr>
        <w:t xml:space="preserve">Al respecto, deseamos informar que por parte de esta Contraloría se realizaron las consultas tanto a la Fiscalía de Desamparados, como a la Unidad Administrativa del Ministerio Público (encargados de la aprobación de gastos) lo cual nos permitió evidenciar que, pese a que la traducción se llevó a cabo en la fecha de cita, el pago fue realizado hasta el 20 de diciembre de 2019, esto precisamente como consecuencia del trámite de la inconformidad presentada ante esa Subcomisión. </w:t>
      </w:r>
    </w:p>
    <w:p>
      <w:pPr>
        <w:pStyle w:val="Normal"/>
        <w:jc w:val="both"/>
        <w:rPr>
          <w:rFonts w:ascii="Tahoma" w:hAnsi="Tahoma" w:cs="Tahoma"/>
          <w:sz w:val="20"/>
          <w:szCs w:val="20"/>
        </w:rPr>
      </w:pPr>
      <w:r>
        <w:rPr>
          <w:rFonts w:cs="Tahoma" w:ascii="Tahoma" w:hAnsi="Tahoma"/>
          <w:sz w:val="20"/>
          <w:szCs w:val="20"/>
        </w:rPr>
      </w:r>
    </w:p>
    <w:p>
      <w:pPr>
        <w:pStyle w:val="Xmsonormal"/>
        <w:shd w:val="clear" w:color="auto" w:fill="FFFFFF"/>
        <w:jc w:val="both"/>
        <w:textAlignment w:val="baseline"/>
        <w:rPr>
          <w:rFonts w:ascii="Tahoma" w:hAnsi="Tahoma" w:cs="Tahoma"/>
          <w:sz w:val="20"/>
          <w:szCs w:val="20"/>
        </w:rPr>
      </w:pPr>
      <w:r>
        <w:rPr>
          <w:rFonts w:cs="Tahoma" w:ascii="Tahoma" w:hAnsi="Tahoma"/>
          <w:sz w:val="20"/>
          <w:szCs w:val="20"/>
        </w:rPr>
        <w:t xml:space="preserve">Como justificación, ambas las dependencias involucradas alegaron que hubo diferencias entre el cobro presentado y los rubros que se podrían aprobar, así como la coordinación para que la interesada hiciera las respectivas correcciones, además de que no contaba con factura electrónica. </w:t>
      </w:r>
    </w:p>
    <w:p>
      <w:pPr>
        <w:pStyle w:val="Xmsonormal"/>
        <w:shd w:val="clear" w:color="auto" w:fill="FFFFFF"/>
        <w:jc w:val="both"/>
        <w:textAlignment w:val="baseline"/>
        <w:rPr>
          <w:rFonts w:ascii="Tahoma" w:hAnsi="Tahoma" w:cs="Tahoma"/>
          <w:sz w:val="20"/>
          <w:szCs w:val="20"/>
        </w:rPr>
      </w:pPr>
      <w:r>
        <w:rPr>
          <w:rFonts w:cs="Tahoma" w:ascii="Tahoma" w:hAnsi="Tahoma"/>
          <w:sz w:val="20"/>
          <w:szCs w:val="20"/>
        </w:rPr>
      </w:r>
    </w:p>
    <w:p>
      <w:pPr>
        <w:pStyle w:val="Xmsonormal"/>
        <w:shd w:val="clear" w:color="auto" w:fill="FFFFFF"/>
        <w:jc w:val="both"/>
        <w:textAlignment w:val="baseline"/>
        <w:rPr>
          <w:rFonts w:ascii="Tahoma" w:hAnsi="Tahoma" w:cs="Tahoma"/>
          <w:color w:val="201F1E"/>
          <w:sz w:val="20"/>
          <w:szCs w:val="20"/>
        </w:rPr>
      </w:pPr>
      <w:r>
        <w:rPr>
          <w:rFonts w:cs="Tahoma" w:ascii="Tahoma" w:hAnsi="Tahoma"/>
          <w:sz w:val="20"/>
          <w:szCs w:val="20"/>
        </w:rPr>
        <w:t xml:space="preserve">Uno de los aspectos relevantes y que generó molestia en la </w:t>
      </w:r>
      <w:r>
        <w:rPr>
          <w:rStyle w:val="Strong"/>
          <w:rFonts w:eastAsia="Batang" w:cs="Tahoma" w:ascii="Tahoma" w:hAnsi="Tahoma"/>
          <w:sz w:val="20"/>
          <w:szCs w:val="20"/>
        </w:rPr>
        <w:t xml:space="preserve">señorita </w:t>
      </w:r>
      <w:r>
        <w:rPr>
          <w:rFonts w:cs="Tahoma" w:ascii="Tahoma" w:hAnsi="Tahoma"/>
          <w:sz w:val="20"/>
          <w:szCs w:val="20"/>
        </w:rPr>
        <w:t>Sosimo García, es que ella realizó un cobro de transporte privado por 12 mil colones debido a que el personal de la Fiscalía le indicó que la requerían con urgencia y no tomó autobús para llegar oportunamente, sin embargo, el gasto le fue aprobado únicamente por el costo del pasaje del servicio público que cubría la ruta (1550 colones). “</w:t>
      </w:r>
      <w:r>
        <w:rPr>
          <w:rFonts w:cs="Tahoma" w:ascii="Tahoma" w:hAnsi="Tahoma"/>
          <w:i/>
          <w:color w:val="201F1E"/>
          <w:sz w:val="20"/>
          <w:szCs w:val="20"/>
        </w:rPr>
        <w:t>Me queda una gran lección</w:t>
      </w:r>
      <w:r>
        <w:rPr>
          <w:rFonts w:cs="Tahoma" w:ascii="Tahoma" w:hAnsi="Tahoma"/>
          <w:color w:val="201F1E"/>
          <w:sz w:val="20"/>
          <w:szCs w:val="20"/>
        </w:rPr>
        <w:t xml:space="preserve">” refirió. </w:t>
      </w:r>
    </w:p>
    <w:p>
      <w:pPr>
        <w:pStyle w:val="Xmsonormal"/>
        <w:shd w:val="clear" w:color="auto" w:fill="FFFFFF"/>
        <w:jc w:val="both"/>
        <w:textAlignment w:val="baseline"/>
        <w:rPr>
          <w:rFonts w:ascii="Tahoma" w:hAnsi="Tahoma" w:cs="Tahoma"/>
          <w:color w:val="201F1E"/>
          <w:sz w:val="20"/>
          <w:szCs w:val="20"/>
        </w:rPr>
      </w:pPr>
      <w:r>
        <w:rPr>
          <w:rFonts w:cs="Tahoma" w:ascii="Tahoma" w:hAnsi="Tahoma"/>
          <w:color w:val="201F1E"/>
          <w:sz w:val="20"/>
          <w:szCs w:val="20"/>
        </w:rPr>
      </w:r>
    </w:p>
    <w:p>
      <w:pPr>
        <w:pStyle w:val="Xmsonormal"/>
        <w:shd w:val="clear" w:color="auto" w:fill="FFFFFF"/>
        <w:jc w:val="both"/>
        <w:textAlignment w:val="baseline"/>
        <w:rPr>
          <w:rFonts w:ascii="Tahoma" w:hAnsi="Tahoma" w:cs="Tahoma"/>
          <w:color w:val="201F1E"/>
          <w:sz w:val="20"/>
          <w:szCs w:val="20"/>
        </w:rPr>
      </w:pPr>
      <w:r>
        <w:rPr>
          <w:rFonts w:cs="Tahoma" w:ascii="Tahoma" w:hAnsi="Tahoma"/>
          <w:color w:val="201F1E"/>
          <w:sz w:val="20"/>
          <w:szCs w:val="20"/>
        </w:rPr>
      </w:r>
    </w:p>
    <w:p>
      <w:pPr>
        <w:pStyle w:val="Xmsonormal"/>
        <w:shd w:val="clear" w:color="auto" w:fill="FFFFFF"/>
        <w:jc w:val="both"/>
        <w:textAlignment w:val="baseline"/>
        <w:rPr>
          <w:rFonts w:ascii="Tahoma" w:hAnsi="Tahoma" w:cs="Tahoma"/>
          <w:color w:val="201F1E"/>
          <w:sz w:val="20"/>
          <w:szCs w:val="20"/>
        </w:rPr>
      </w:pPr>
      <w:r>
        <w:rPr>
          <w:rFonts w:cs="Tahoma" w:ascii="Tahoma" w:hAnsi="Tahoma"/>
          <w:sz w:val="20"/>
          <w:szCs w:val="20"/>
        </w:rPr>
        <w:t xml:space="preserve">Resulta importante tomar en consideración que la señorita Sosimo García fue nombrada por inopia, lo que justifica su desconocimiento sobre la manera correcta de presentar la documentación necesaria para pago oportuno, teniendo que enfrentarse a un trámite que, en su caso, no fue sencillo.  </w:t>
      </w:r>
    </w:p>
    <w:p>
      <w:pPr>
        <w:pStyle w:val="Normal"/>
        <w:jc w:val="both"/>
        <w:rPr>
          <w:rFonts w:ascii="Tahoma" w:hAnsi="Tahoma" w:cs="Tahoma"/>
          <w:sz w:val="20"/>
          <w:szCs w:val="20"/>
        </w:rPr>
      </w:pPr>
      <w:r>
        <w:rPr>
          <w:rFonts w:cs="Tahoma" w:ascii="Tahoma" w:hAnsi="Tahoma"/>
          <w:sz w:val="20"/>
          <w:szCs w:val="20"/>
        </w:rPr>
      </w:r>
    </w:p>
    <w:p>
      <w:pPr>
        <w:pStyle w:val="Normal"/>
        <w:jc w:val="both"/>
        <w:rPr>
          <w:rFonts w:ascii="Tahoma" w:hAnsi="Tahoma" w:cs="Tahoma"/>
          <w:sz w:val="20"/>
          <w:szCs w:val="20"/>
        </w:rPr>
      </w:pPr>
      <w:r>
        <w:rPr>
          <w:rFonts w:cs="Tahoma" w:ascii="Tahoma" w:hAnsi="Tahoma"/>
          <w:sz w:val="20"/>
          <w:szCs w:val="20"/>
        </w:rPr>
        <w:t xml:space="preserve">Siendo que evidenciamos una debilidad en el trámite y carencia de información hacia quienes brindan el servicio de traducción por inopia, esta Contraloría recomienda hacer una valoración del procedimiento que actualmente se utiliza en estos casos, y si merece ser adecuado a las expectativas de las personas que ofrecieron su colaboración, delegando mayor responsabilidad a las dependencias involucradas. Por ejemplo, que sea la dependencia que requiere el servicio quien se encargue de, una vez finalizada la diligencia, realizar  inmediatamente el trámite que asegure la retribución oportuna del servicio requerido, evitando que esto se postergue en plazos que resulten excesivos. </w:t>
      </w:r>
    </w:p>
    <w:p>
      <w:pPr>
        <w:pStyle w:val="Normal"/>
        <w:jc w:val="both"/>
        <w:rPr>
          <w:rFonts w:ascii="Tahoma" w:hAnsi="Tahoma" w:cs="Tahoma"/>
          <w:sz w:val="20"/>
          <w:szCs w:val="20"/>
        </w:rPr>
      </w:pPr>
      <w:r>
        <w:rPr>
          <w:rFonts w:cs="Tahoma" w:ascii="Tahoma" w:hAnsi="Tahoma"/>
          <w:sz w:val="20"/>
          <w:szCs w:val="20"/>
        </w:rPr>
      </w:r>
    </w:p>
    <w:p>
      <w:pPr>
        <w:pStyle w:val="Normal"/>
        <w:jc w:val="both"/>
        <w:rPr>
          <w:rFonts w:ascii="Tahoma" w:hAnsi="Tahoma" w:cs="Tahoma"/>
          <w:sz w:val="20"/>
          <w:szCs w:val="20"/>
        </w:rPr>
      </w:pPr>
      <w:r>
        <w:rPr>
          <w:rFonts w:cs="Tahoma" w:ascii="Tahoma" w:hAnsi="Tahoma"/>
          <w:sz w:val="20"/>
          <w:szCs w:val="20"/>
        </w:rPr>
        <w:t xml:space="preserve">Vale la pena cuestionarse cuál puede ser la percepción de una persona que atendió un llamado inesperado para colaborar con la justicia, que no recuperó la inversión realizada y que además su labor haya sido retribuida más me seis meses después. </w:t>
      </w:r>
    </w:p>
    <w:p>
      <w:pPr>
        <w:pStyle w:val="Normal"/>
        <w:jc w:val="both"/>
        <w:rPr>
          <w:rFonts w:ascii="Tahoma" w:hAnsi="Tahoma" w:cs="Tahoma"/>
          <w:sz w:val="20"/>
          <w:szCs w:val="20"/>
        </w:rPr>
      </w:pPr>
      <w:r>
        <w:rPr>
          <w:rFonts w:cs="Tahoma" w:ascii="Tahoma" w:hAnsi="Tahoma"/>
          <w:sz w:val="20"/>
          <w:szCs w:val="20"/>
        </w:rPr>
      </w:r>
    </w:p>
    <w:p>
      <w:pPr>
        <w:pStyle w:val="Normal"/>
        <w:jc w:val="both"/>
        <w:rPr>
          <w:rFonts w:ascii="Tahoma" w:hAnsi="Tahoma" w:cs="Tahoma"/>
          <w:bCs/>
          <w:sz w:val="20"/>
          <w:szCs w:val="20"/>
        </w:rPr>
      </w:pPr>
      <w:r>
        <w:rPr>
          <w:rFonts w:cs="Tahoma" w:ascii="Tahoma" w:hAnsi="Tahoma"/>
          <w:sz w:val="20"/>
          <w:szCs w:val="20"/>
        </w:rPr>
        <w:t xml:space="preserve">Siendo que se acordó comunicar a la </w:t>
      </w:r>
      <w:r>
        <w:rPr>
          <w:rFonts w:cs="Tahoma" w:ascii="Tahoma" w:hAnsi="Tahoma"/>
          <w:bCs/>
          <w:sz w:val="20"/>
          <w:szCs w:val="20"/>
        </w:rPr>
        <w:t xml:space="preserve">Dirección Ejecutiva lo expuesto por la persona usuaria a fin de valorar oportunidades de mejora en el servicio, en coordinación con la Contraloría de Servicios y la Subcomisión de Acceso a la Justicia de Pueblos indígenas, nos ponemos a su disposición para lo que estimen necesario. </w:t>
      </w:r>
    </w:p>
    <w:p>
      <w:pPr>
        <w:pStyle w:val="Normal"/>
        <w:jc w:val="both"/>
        <w:rPr>
          <w:rFonts w:ascii="Tahoma" w:hAnsi="Tahoma" w:cs="Tahoma"/>
          <w:sz w:val="20"/>
          <w:szCs w:val="20"/>
        </w:rPr>
      </w:pPr>
      <w:r>
        <w:rPr>
          <w:rFonts w:cs="Tahoma" w:ascii="Tahoma" w:hAnsi="Tahoma"/>
          <w:sz w:val="20"/>
          <w:szCs w:val="20"/>
        </w:rPr>
      </w:r>
    </w:p>
    <w:p>
      <w:pPr>
        <w:pStyle w:val="Normal"/>
        <w:jc w:val="both"/>
        <w:rPr>
          <w:rFonts w:ascii="Tahoma" w:hAnsi="Tahoma" w:cs="Tahoma"/>
          <w:sz w:val="20"/>
          <w:szCs w:val="20"/>
        </w:rPr>
      </w:pPr>
      <w:r>
        <w:rPr>
          <w:rFonts w:cs="Tahoma" w:ascii="Tahoma" w:hAnsi="Tahoma"/>
          <w:sz w:val="20"/>
          <w:szCs w:val="20"/>
        </w:rPr>
        <w:t xml:space="preserve">Atentamente, </w:t>
      </w:r>
    </w:p>
    <w:p>
      <w:pPr>
        <w:pStyle w:val="Normal"/>
        <w:jc w:val="both"/>
        <w:rPr>
          <w:rFonts w:ascii="Tahoma" w:hAnsi="Tahoma" w:cs="Tahoma"/>
          <w:sz w:val="20"/>
          <w:szCs w:val="20"/>
        </w:rPr>
      </w:pPr>
      <w:r>
        <w:rPr>
          <w:rFonts w:cs="Tahoma" w:ascii="Tahoma" w:hAnsi="Tahoma"/>
          <w:sz w:val="20"/>
          <w:szCs w:val="20"/>
        </w:rPr>
      </w:r>
    </w:p>
    <w:p>
      <w:pPr>
        <w:pStyle w:val="Normal"/>
        <w:jc w:val="both"/>
        <w:rPr>
          <w:rFonts w:ascii="Tahoma" w:hAnsi="Tahoma" w:cs="Tahoma"/>
          <w:b/>
          <w:b/>
          <w:sz w:val="20"/>
          <w:szCs w:val="20"/>
        </w:rPr>
      </w:pPr>
      <w:r>
        <w:rPr>
          <w:rFonts w:cs="Tahoma" w:ascii="Tahoma" w:hAnsi="Tahoma"/>
          <w:b/>
          <w:sz w:val="20"/>
          <w:szCs w:val="20"/>
        </w:rPr>
        <w:t>Erick Alfaro Romero</w:t>
      </w:r>
    </w:p>
    <w:p>
      <w:pPr>
        <w:pStyle w:val="Normal"/>
        <w:jc w:val="both"/>
        <w:rPr>
          <w:rFonts w:ascii="Tahoma" w:hAnsi="Tahoma" w:cs="Tahoma"/>
          <w:b/>
          <w:b/>
          <w:sz w:val="20"/>
          <w:szCs w:val="20"/>
        </w:rPr>
      </w:pPr>
      <w:r>
        <w:rPr>
          <w:rFonts w:cs="Tahoma" w:ascii="Tahoma" w:hAnsi="Tahoma"/>
          <w:b/>
          <w:sz w:val="20"/>
          <w:szCs w:val="20"/>
        </w:rPr>
        <w:t>Contralor de Servicios a.i</w:t>
      </w:r>
    </w:p>
    <w:p>
      <w:pPr>
        <w:pStyle w:val="Normal"/>
        <w:rPr>
          <w:rFonts w:ascii="Tahoma" w:hAnsi="Tahoma" w:cs="Tahoma"/>
          <w:b/>
          <w:b/>
          <w:sz w:val="20"/>
          <w:szCs w:val="20"/>
        </w:rPr>
      </w:pPr>
      <w:r>
        <w:rPr>
          <w:rFonts w:cs="Tahoma" w:ascii="Tahoma" w:hAnsi="Tahoma"/>
          <w:b/>
          <w:sz w:val="20"/>
          <w:szCs w:val="20"/>
        </w:rPr>
      </w:r>
    </w:p>
    <w:p>
      <w:pPr>
        <w:pStyle w:val="Cuerpodetexto"/>
        <w:ind w:right="115" w:hanging="0"/>
        <w:rPr>
          <w:rFonts w:ascii="Tahoma" w:hAnsi="Tahoma" w:cs="Tahoma"/>
          <w:sz w:val="20"/>
          <w:szCs w:val="20"/>
        </w:rPr>
      </w:pPr>
      <w:r>
        <w:rPr>
          <w:rFonts w:cs="Tahoma" w:ascii="Tahoma" w:hAnsi="Tahoma"/>
          <w:sz w:val="20"/>
          <w:szCs w:val="20"/>
        </w:rPr>
        <w:t xml:space="preserve">La Dirección Ejecutiva comunico mediante </w:t>
      </w:r>
      <w:r>
        <w:rPr>
          <w:rFonts w:cs="Tahoma" w:ascii="Tahoma" w:hAnsi="Tahoma"/>
          <w:b/>
          <w:sz w:val="20"/>
          <w:szCs w:val="20"/>
        </w:rPr>
        <w:t xml:space="preserve">el Oficio </w:t>
      </w:r>
      <w:r>
        <w:rPr>
          <w:rFonts w:cs="Tahoma" w:ascii="Tahoma" w:hAnsi="Tahoma"/>
          <w:b/>
          <w:spacing w:val="-1"/>
          <w:sz w:val="20"/>
          <w:szCs w:val="20"/>
        </w:rPr>
        <w:t>N°539-DE-2020</w:t>
      </w:r>
      <w:r>
        <w:rPr>
          <w:rFonts w:cs="Tahoma" w:ascii="Tahoma" w:hAnsi="Tahoma"/>
          <w:spacing w:val="-1"/>
          <w:sz w:val="20"/>
          <w:szCs w:val="20"/>
        </w:rPr>
        <w:t xml:space="preserve">, </w:t>
      </w:r>
      <w:r>
        <w:rPr>
          <w:rFonts w:cs="Tahoma" w:ascii="Tahoma" w:hAnsi="Tahoma"/>
          <w:sz w:val="20"/>
          <w:szCs w:val="20"/>
        </w:rPr>
        <w:t xml:space="preserve"> lo siguiente:</w:t>
      </w:r>
    </w:p>
    <w:p>
      <w:pPr>
        <w:pStyle w:val="Normal"/>
        <w:rPr>
          <w:rFonts w:ascii="Tahoma" w:hAnsi="Tahoma" w:cs="Tahoma"/>
          <w:b/>
          <w:b/>
          <w:sz w:val="20"/>
          <w:szCs w:val="20"/>
        </w:rPr>
      </w:pPr>
      <w:r>
        <w:rPr>
          <w:rFonts w:cs="Tahoma" w:ascii="Tahoma" w:hAnsi="Tahoma"/>
          <w:b/>
          <w:sz w:val="20"/>
          <w:szCs w:val="20"/>
        </w:rPr>
      </w:r>
    </w:p>
    <w:p>
      <w:pPr>
        <w:pStyle w:val="Normal"/>
        <w:rPr>
          <w:rFonts w:ascii="Tahoma" w:hAnsi="Tahoma" w:cs="Tahoma"/>
          <w:b/>
          <w:b/>
          <w:sz w:val="20"/>
          <w:szCs w:val="20"/>
        </w:rPr>
      </w:pPr>
      <w:r>
        <w:rPr>
          <w:rFonts w:cs="Tahoma" w:ascii="Tahoma" w:hAnsi="Tahoma"/>
          <w:b/>
          <w:sz w:val="20"/>
          <w:szCs w:val="20"/>
        </w:rPr>
      </w:r>
    </w:p>
    <w:p>
      <w:pPr>
        <w:pStyle w:val="Cuerpodetexto"/>
        <w:ind w:right="115" w:hanging="0"/>
        <w:jc w:val="right"/>
        <w:rPr>
          <w:rFonts w:ascii="Tahoma" w:hAnsi="Tahoma" w:cs="Tahoma"/>
          <w:sz w:val="20"/>
          <w:szCs w:val="20"/>
        </w:rPr>
      </w:pPr>
      <w:r>
        <w:rPr>
          <w:rFonts w:cs="Tahoma" w:ascii="Tahoma" w:hAnsi="Tahoma"/>
          <w:spacing w:val="-1"/>
          <w:sz w:val="20"/>
          <w:szCs w:val="20"/>
        </w:rPr>
        <w:t>N°539-DE-2020</w:t>
      </w:r>
    </w:p>
    <w:p>
      <w:pPr>
        <w:pStyle w:val="Cuerpodetexto"/>
        <w:ind w:right="117" w:hanging="0"/>
        <w:jc w:val="right"/>
        <w:rPr>
          <w:rFonts w:ascii="Tahoma" w:hAnsi="Tahoma" w:cs="Tahoma"/>
          <w:sz w:val="20"/>
          <w:szCs w:val="20"/>
        </w:rPr>
      </w:pPr>
      <w:r>
        <w:rPr>
          <w:rFonts w:cs="Tahoma" w:ascii="Tahoma" w:hAnsi="Tahoma"/>
          <w:sz w:val="20"/>
          <w:szCs w:val="20"/>
        </w:rPr>
        <w:t>10 de febrero de</w:t>
      </w:r>
      <w:r>
        <w:rPr>
          <w:rFonts w:cs="Tahoma" w:ascii="Tahoma" w:hAnsi="Tahoma"/>
          <w:spacing w:val="-10"/>
          <w:sz w:val="20"/>
          <w:szCs w:val="20"/>
        </w:rPr>
        <w:t xml:space="preserve"> </w:t>
      </w:r>
      <w:r>
        <w:rPr>
          <w:rFonts w:cs="Tahoma" w:ascii="Tahoma" w:hAnsi="Tahoma"/>
          <w:sz w:val="20"/>
          <w:szCs w:val="20"/>
        </w:rPr>
        <w:t>2020</w:t>
      </w:r>
    </w:p>
    <w:p>
      <w:pPr>
        <w:pStyle w:val="Cuerpodetexto"/>
        <w:rPr>
          <w:rFonts w:ascii="Tahoma" w:hAnsi="Tahoma" w:cs="Tahoma"/>
          <w:sz w:val="20"/>
          <w:szCs w:val="20"/>
        </w:rPr>
      </w:pPr>
      <w:r>
        <w:rPr>
          <w:rFonts w:cs="Tahoma" w:ascii="Tahoma" w:hAnsi="Tahoma"/>
          <w:sz w:val="20"/>
          <w:szCs w:val="20"/>
        </w:rPr>
      </w:r>
    </w:p>
    <w:p>
      <w:pPr>
        <w:pStyle w:val="Cuerpodetexto"/>
        <w:rPr>
          <w:rFonts w:ascii="Tahoma" w:hAnsi="Tahoma" w:cs="Tahoma"/>
          <w:sz w:val="20"/>
          <w:szCs w:val="20"/>
        </w:rPr>
      </w:pPr>
      <w:r>
        <w:rPr>
          <w:rFonts w:cs="Tahoma" w:ascii="Tahoma" w:hAnsi="Tahoma"/>
          <w:sz w:val="20"/>
          <w:szCs w:val="20"/>
        </w:rPr>
      </w:r>
    </w:p>
    <w:p>
      <w:pPr>
        <w:pStyle w:val="Cuerpodetexto"/>
        <w:rPr>
          <w:rFonts w:ascii="Tahoma" w:hAnsi="Tahoma" w:cs="Tahoma"/>
          <w:sz w:val="20"/>
          <w:szCs w:val="20"/>
        </w:rPr>
      </w:pPr>
      <w:r>
        <w:rPr>
          <w:rFonts w:cs="Tahoma" w:ascii="Tahoma" w:hAnsi="Tahoma"/>
          <w:sz w:val="20"/>
          <w:szCs w:val="20"/>
        </w:rPr>
      </w:r>
    </w:p>
    <w:p>
      <w:pPr>
        <w:pStyle w:val="Cuerpodetexto"/>
        <w:spacing w:before="11" w:after="0"/>
        <w:rPr>
          <w:rFonts w:ascii="Tahoma" w:hAnsi="Tahoma" w:cs="Tahoma"/>
          <w:sz w:val="20"/>
          <w:szCs w:val="20"/>
        </w:rPr>
      </w:pPr>
      <w:r>
        <w:rPr>
          <w:rFonts w:cs="Tahoma" w:ascii="Tahoma" w:hAnsi="Tahoma"/>
          <w:sz w:val="20"/>
          <w:szCs w:val="20"/>
        </w:rPr>
      </w:r>
    </w:p>
    <w:p>
      <w:pPr>
        <w:pStyle w:val="Cuerpodetexto"/>
        <w:spacing w:before="92" w:after="0"/>
        <w:ind w:left="102" w:hanging="0"/>
        <w:rPr>
          <w:rFonts w:ascii="Tahoma" w:hAnsi="Tahoma" w:cs="Tahoma"/>
          <w:sz w:val="20"/>
          <w:szCs w:val="20"/>
        </w:rPr>
      </w:pPr>
      <w:r>
        <w:rPr>
          <w:rFonts w:cs="Tahoma" w:ascii="Tahoma" w:hAnsi="Tahoma"/>
          <w:sz w:val="20"/>
          <w:szCs w:val="20"/>
        </w:rPr>
        <w:t>Máster</w:t>
      </w:r>
    </w:p>
    <w:p>
      <w:pPr>
        <w:pStyle w:val="Cuerpodetexto"/>
        <w:ind w:left="102" w:right="4535" w:hanging="0"/>
        <w:rPr>
          <w:rFonts w:ascii="Tahoma" w:hAnsi="Tahoma" w:cs="Tahoma"/>
          <w:sz w:val="20"/>
          <w:szCs w:val="20"/>
        </w:rPr>
      </w:pPr>
      <w:r>
        <w:rPr>
          <w:rFonts w:cs="Tahoma" w:ascii="Tahoma" w:hAnsi="Tahoma"/>
          <w:sz w:val="20"/>
          <w:szCs w:val="20"/>
        </w:rPr>
        <w:t>Melissa Benavides Víquez, Coordinadora Unidad de Acceso a la Justicia</w:t>
      </w:r>
    </w:p>
    <w:p>
      <w:pPr>
        <w:pStyle w:val="Cuerpodetexto"/>
        <w:ind w:left="102" w:hanging="0"/>
        <w:rPr>
          <w:rFonts w:ascii="Tahoma" w:hAnsi="Tahoma" w:cs="Tahoma"/>
          <w:sz w:val="20"/>
          <w:szCs w:val="20"/>
        </w:rPr>
      </w:pPr>
      <w:r>
        <w:rPr>
          <w:rFonts w:cs="Tahoma" w:ascii="Tahoma" w:hAnsi="Tahoma"/>
          <w:sz w:val="20"/>
          <w:szCs w:val="20"/>
        </w:rPr>
        <w:t>Poder Judicial</w:t>
      </w:r>
    </w:p>
    <w:p>
      <w:pPr>
        <w:pStyle w:val="Cuerpodetexto"/>
        <w:spacing w:lineRule="auto" w:line="480" w:before="1" w:after="0"/>
        <w:ind w:left="102" w:right="7086" w:hanging="0"/>
        <w:jc w:val="both"/>
        <w:rPr>
          <w:rFonts w:ascii="Tahoma" w:hAnsi="Tahoma" w:cs="Tahoma"/>
          <w:sz w:val="20"/>
          <w:szCs w:val="20"/>
        </w:rPr>
      </w:pPr>
      <w:r>
        <w:rPr>
          <w:rFonts w:cs="Tahoma" w:ascii="Tahoma" w:hAnsi="Tahoma"/>
          <w:sz w:val="20"/>
          <w:szCs w:val="20"/>
        </w:rPr>
        <w:t>S.     O. Estimada</w:t>
      </w:r>
      <w:r>
        <w:rPr>
          <w:rFonts w:cs="Tahoma" w:ascii="Tahoma" w:hAnsi="Tahoma"/>
          <w:spacing w:val="4"/>
          <w:sz w:val="20"/>
          <w:szCs w:val="20"/>
        </w:rPr>
        <w:t xml:space="preserve"> </w:t>
      </w:r>
      <w:r>
        <w:rPr>
          <w:rFonts w:cs="Tahoma" w:ascii="Tahoma" w:hAnsi="Tahoma"/>
          <w:spacing w:val="-3"/>
          <w:sz w:val="20"/>
          <w:szCs w:val="20"/>
        </w:rPr>
        <w:t>señora:</w:t>
      </w:r>
    </w:p>
    <w:p>
      <w:pPr>
        <w:pStyle w:val="Cuerpodetexto"/>
        <w:ind w:left="102" w:right="112" w:firstLine="359"/>
        <w:jc w:val="both"/>
        <w:rPr>
          <w:rFonts w:ascii="Tahoma" w:hAnsi="Tahoma" w:cs="Tahoma"/>
          <w:sz w:val="20"/>
          <w:szCs w:val="20"/>
        </w:rPr>
      </w:pPr>
      <w:r>
        <w:rPr>
          <w:rFonts w:cs="Tahoma" w:ascii="Tahoma" w:hAnsi="Tahoma"/>
          <w:sz w:val="20"/>
          <w:szCs w:val="20"/>
        </w:rPr>
        <w:t>En relación con el acuerdo tomado por la Subcomisión de Acceso a la Justicia de Pueblos Indígenas, celebrada el 5 de noviembre de 2019, artículo XXIV y a instancias de esta Dirección Ejecutiva, el 6 de enero del año en curso se recibió respuesta, por correo electrónico, por parte de la Licenciada Johan Vallecillo Canales, Coordinadora de la Sección Presupuestaria de la Unidad Administrativa del Ministerio Público, mediante el cual comunicó que los honorarios por el monto de Ȼ25.283,00, que se adeudaban a la señorita Florencia Sosimo García por los servicios prestados como intérprete en idioma Cabécar, en la causa N°17-000583- 0276-PE, así solicitado por la Fiscalía de Desamparados, fueron cancelados el 20 de diciembre de 2019.</w:t>
      </w:r>
    </w:p>
    <w:p>
      <w:pPr>
        <w:pStyle w:val="Cuerpodetexto"/>
        <w:spacing w:before="1" w:after="0"/>
        <w:rPr>
          <w:rFonts w:ascii="Tahoma" w:hAnsi="Tahoma" w:cs="Tahoma"/>
          <w:sz w:val="20"/>
          <w:szCs w:val="20"/>
        </w:rPr>
      </w:pPr>
      <w:r>
        <w:rPr>
          <w:rFonts w:cs="Tahoma" w:ascii="Tahoma" w:hAnsi="Tahoma"/>
          <w:sz w:val="20"/>
          <w:szCs w:val="20"/>
        </w:rPr>
      </w:r>
    </w:p>
    <w:p>
      <w:pPr>
        <w:pStyle w:val="Cuerpodetexto"/>
        <w:ind w:left="102" w:right="112" w:firstLine="359"/>
        <w:jc w:val="both"/>
        <w:rPr>
          <w:rFonts w:ascii="Tahoma" w:hAnsi="Tahoma" w:cs="Tahoma"/>
          <w:sz w:val="20"/>
          <w:szCs w:val="20"/>
        </w:rPr>
      </w:pPr>
      <w:r>
        <w:rPr>
          <w:rFonts w:cs="Tahoma" w:ascii="Tahoma" w:hAnsi="Tahoma"/>
          <w:sz w:val="20"/>
          <w:szCs w:val="20"/>
        </w:rPr>
        <w:t>Por otra parte, quienes suscribimos, en oficio N°530-DE-2020 de fecha 10 febrero del año en curso, dirigido al Licenciado David Brown Sharpe,</w:t>
      </w:r>
      <w:r>
        <w:rPr>
          <w:rFonts w:cs="Tahoma" w:ascii="Tahoma" w:hAnsi="Tahoma"/>
          <w:spacing w:val="-47"/>
          <w:sz w:val="20"/>
          <w:szCs w:val="20"/>
        </w:rPr>
        <w:t xml:space="preserve"> </w:t>
      </w:r>
      <w:r>
        <w:rPr>
          <w:rFonts w:cs="Tahoma" w:ascii="Tahoma" w:hAnsi="Tahoma"/>
          <w:sz w:val="20"/>
          <w:szCs w:val="20"/>
        </w:rPr>
        <w:t>Administrador de la Unidad Administrativa del Ministerio Público, le exhortamos a aplicar la normativa vigente para que este tipo de situaciones no se vuelvan a presentar y a su vez, se le reiteró lo comunicado por la institución referente a este tema, específicamente: Circular N°002-2015, del 19 de febrero de 2015 de la Secretaría de la Corte, Modificación del “Reglamento para regular la función de las y los intérpretes, traductores, peritos y ejecutores en el Poder Judicial”; Circular N°23- 2017 del 17 de febrero de 2017, “Manual de Autorizaciones del Sistema de Mantenimiento de Autorización de Gastos de la Dirección Ejecutiva”; Circular</w:t>
      </w:r>
      <w:r>
        <w:rPr>
          <w:rFonts w:cs="Tahoma" w:ascii="Tahoma" w:hAnsi="Tahoma"/>
          <w:spacing w:val="-48"/>
          <w:sz w:val="20"/>
          <w:szCs w:val="20"/>
        </w:rPr>
        <w:t xml:space="preserve"> </w:t>
      </w:r>
      <w:r>
        <w:rPr>
          <w:rFonts w:cs="Tahoma" w:ascii="Tahoma" w:hAnsi="Tahoma"/>
          <w:sz w:val="20"/>
          <w:szCs w:val="20"/>
        </w:rPr>
        <w:t>N°30- 2017 del 28 de marzo de 2017, “Adición a la circular Nº23-2017, acerca del</w:t>
      </w:r>
      <w:r>
        <w:rPr>
          <w:rFonts w:cs="Tahoma" w:ascii="Tahoma" w:hAnsi="Tahoma"/>
          <w:spacing w:val="-44"/>
          <w:sz w:val="20"/>
          <w:szCs w:val="20"/>
        </w:rPr>
        <w:t xml:space="preserve"> </w:t>
      </w:r>
      <w:r>
        <w:rPr>
          <w:rFonts w:cs="Tahoma" w:ascii="Tahoma" w:hAnsi="Tahoma"/>
          <w:sz w:val="20"/>
          <w:szCs w:val="20"/>
        </w:rPr>
        <w:t>Manual del Sistema de Autorización de Gastos (SAG), para el pago de peritajes en el caso de que el Estado asuma los gasto (Principio de Gratuidad)”; Circular N°171-2017 del 11 de diciembre de 2017, “Verificación del contenido presupuestario previo a realizar una Solicitud de Autorización de Gasto (AG)”; y por último, comunicado de esta oficina con fecha 19 de marzo de 2019, “Sobre uso de la factura electrónica por parte de personas traductoras en lenguas indígenas en localidades donde no se</w:t>
      </w:r>
      <w:r>
        <w:rPr>
          <w:rFonts w:cs="Tahoma" w:ascii="Tahoma" w:hAnsi="Tahoma"/>
          <w:spacing w:val="13"/>
          <w:sz w:val="20"/>
          <w:szCs w:val="20"/>
        </w:rPr>
        <w:t xml:space="preserve"> </w:t>
      </w:r>
      <w:r>
        <w:rPr>
          <w:rFonts w:cs="Tahoma" w:ascii="Tahoma" w:hAnsi="Tahoma"/>
          <w:sz w:val="20"/>
          <w:szCs w:val="20"/>
        </w:rPr>
        <w:t>cuenta</w:t>
      </w:r>
      <w:r>
        <w:rPr>
          <w:rFonts w:cs="Tahoma" w:ascii="Tahoma" w:hAnsi="Tahoma"/>
          <w:spacing w:val="14"/>
          <w:sz w:val="20"/>
          <w:szCs w:val="20"/>
        </w:rPr>
        <w:t xml:space="preserve"> </w:t>
      </w:r>
      <w:r>
        <w:rPr>
          <w:rFonts w:cs="Tahoma" w:ascii="Tahoma" w:hAnsi="Tahoma"/>
          <w:sz w:val="20"/>
          <w:szCs w:val="20"/>
        </w:rPr>
        <w:t>con</w:t>
      </w:r>
      <w:r>
        <w:rPr>
          <w:rFonts w:cs="Tahoma" w:ascii="Tahoma" w:hAnsi="Tahoma"/>
          <w:spacing w:val="14"/>
          <w:sz w:val="20"/>
          <w:szCs w:val="20"/>
        </w:rPr>
        <w:t xml:space="preserve"> </w:t>
      </w:r>
      <w:r>
        <w:rPr>
          <w:rFonts w:cs="Tahoma" w:ascii="Tahoma" w:hAnsi="Tahoma"/>
          <w:sz w:val="20"/>
          <w:szCs w:val="20"/>
        </w:rPr>
        <w:t>servicio</w:t>
      </w:r>
      <w:r>
        <w:rPr>
          <w:rFonts w:cs="Tahoma" w:ascii="Tahoma" w:hAnsi="Tahoma"/>
          <w:spacing w:val="13"/>
          <w:sz w:val="20"/>
          <w:szCs w:val="20"/>
        </w:rPr>
        <w:t xml:space="preserve"> </w:t>
      </w:r>
      <w:r>
        <w:rPr>
          <w:rFonts w:cs="Tahoma" w:ascii="Tahoma" w:hAnsi="Tahoma"/>
          <w:sz w:val="20"/>
          <w:szCs w:val="20"/>
        </w:rPr>
        <w:t>de</w:t>
      </w:r>
      <w:r>
        <w:rPr>
          <w:rFonts w:cs="Tahoma" w:ascii="Tahoma" w:hAnsi="Tahoma"/>
          <w:spacing w:val="14"/>
          <w:sz w:val="20"/>
          <w:szCs w:val="20"/>
        </w:rPr>
        <w:t xml:space="preserve"> </w:t>
      </w:r>
      <w:r>
        <w:rPr>
          <w:rFonts w:cs="Tahoma" w:ascii="Tahoma" w:hAnsi="Tahoma"/>
          <w:sz w:val="20"/>
          <w:szCs w:val="20"/>
        </w:rPr>
        <w:t>internet”;</w:t>
      </w:r>
      <w:r>
        <w:rPr>
          <w:rFonts w:cs="Tahoma" w:ascii="Tahoma" w:hAnsi="Tahoma"/>
          <w:spacing w:val="14"/>
          <w:sz w:val="20"/>
          <w:szCs w:val="20"/>
        </w:rPr>
        <w:t xml:space="preserve"> </w:t>
      </w:r>
      <w:r>
        <w:rPr>
          <w:rFonts w:cs="Tahoma" w:ascii="Tahoma" w:hAnsi="Tahoma"/>
          <w:sz w:val="20"/>
          <w:szCs w:val="20"/>
        </w:rPr>
        <w:t>de</w:t>
      </w:r>
      <w:r>
        <w:rPr>
          <w:rFonts w:cs="Tahoma" w:ascii="Tahoma" w:hAnsi="Tahoma"/>
          <w:spacing w:val="13"/>
          <w:sz w:val="20"/>
          <w:szCs w:val="20"/>
        </w:rPr>
        <w:t xml:space="preserve"> </w:t>
      </w:r>
      <w:r>
        <w:rPr>
          <w:rFonts w:cs="Tahoma" w:ascii="Tahoma" w:hAnsi="Tahoma"/>
          <w:sz w:val="20"/>
          <w:szCs w:val="20"/>
        </w:rPr>
        <w:t>las</w:t>
      </w:r>
      <w:r>
        <w:rPr>
          <w:rFonts w:cs="Tahoma" w:ascii="Tahoma" w:hAnsi="Tahoma"/>
          <w:spacing w:val="14"/>
          <w:sz w:val="20"/>
          <w:szCs w:val="20"/>
        </w:rPr>
        <w:t xml:space="preserve"> </w:t>
      </w:r>
      <w:r>
        <w:rPr>
          <w:rFonts w:cs="Tahoma" w:ascii="Tahoma" w:hAnsi="Tahoma"/>
          <w:sz w:val="20"/>
          <w:szCs w:val="20"/>
        </w:rPr>
        <w:t>cuales</w:t>
      </w:r>
      <w:r>
        <w:rPr>
          <w:rFonts w:cs="Tahoma" w:ascii="Tahoma" w:hAnsi="Tahoma"/>
          <w:spacing w:val="14"/>
          <w:sz w:val="20"/>
          <w:szCs w:val="20"/>
        </w:rPr>
        <w:t xml:space="preserve"> </w:t>
      </w:r>
      <w:r>
        <w:rPr>
          <w:rFonts w:cs="Tahoma" w:ascii="Tahoma" w:hAnsi="Tahoma"/>
          <w:sz w:val="20"/>
          <w:szCs w:val="20"/>
        </w:rPr>
        <w:t>se</w:t>
      </w:r>
      <w:r>
        <w:rPr>
          <w:rFonts w:cs="Tahoma" w:ascii="Tahoma" w:hAnsi="Tahoma"/>
          <w:spacing w:val="13"/>
          <w:sz w:val="20"/>
          <w:szCs w:val="20"/>
        </w:rPr>
        <w:t xml:space="preserve"> </w:t>
      </w:r>
      <w:r>
        <w:rPr>
          <w:rFonts w:cs="Tahoma" w:ascii="Tahoma" w:hAnsi="Tahoma"/>
          <w:sz w:val="20"/>
          <w:szCs w:val="20"/>
        </w:rPr>
        <w:t>adjuntaron</w:t>
      </w:r>
      <w:r>
        <w:rPr>
          <w:rFonts w:cs="Tahoma" w:ascii="Tahoma" w:hAnsi="Tahoma"/>
          <w:spacing w:val="14"/>
          <w:sz w:val="20"/>
          <w:szCs w:val="20"/>
        </w:rPr>
        <w:t xml:space="preserve"> </w:t>
      </w:r>
      <w:r>
        <w:rPr>
          <w:rFonts w:cs="Tahoma" w:ascii="Tahoma" w:hAnsi="Tahoma"/>
          <w:sz w:val="20"/>
          <w:szCs w:val="20"/>
        </w:rPr>
        <w:t>las</w:t>
      </w:r>
      <w:r>
        <w:rPr>
          <w:rFonts w:cs="Tahoma" w:ascii="Tahoma" w:hAnsi="Tahoma"/>
          <w:spacing w:val="14"/>
          <w:sz w:val="20"/>
          <w:szCs w:val="20"/>
        </w:rPr>
        <w:t xml:space="preserve"> </w:t>
      </w:r>
      <w:r>
        <w:rPr>
          <w:rFonts w:cs="Tahoma" w:ascii="Tahoma" w:hAnsi="Tahoma"/>
          <w:sz w:val="20"/>
          <w:szCs w:val="20"/>
        </w:rPr>
        <w:t>copias</w:t>
      </w:r>
    </w:p>
    <w:p>
      <w:pPr>
        <w:pStyle w:val="Normal"/>
        <w:rPr>
          <w:rFonts w:ascii="Tahoma" w:hAnsi="Tahoma" w:cs="Tahoma"/>
          <w:b/>
          <w:b/>
          <w:sz w:val="20"/>
          <w:szCs w:val="20"/>
          <w:lang w:val="es-ES"/>
        </w:rPr>
      </w:pPr>
      <w:r>
        <w:rPr>
          <w:rFonts w:cs="Tahoma" w:ascii="Tahoma" w:hAnsi="Tahoma"/>
          <w:b/>
          <w:sz w:val="20"/>
          <w:szCs w:val="20"/>
          <w:lang w:val="es-ES"/>
        </w:rPr>
      </w:r>
    </w:p>
    <w:p>
      <w:pPr>
        <w:pStyle w:val="Cuerpodetexto"/>
        <w:ind w:left="461" w:hanging="0"/>
        <w:rPr>
          <w:rFonts w:ascii="Tahoma" w:hAnsi="Tahoma" w:cs="Tahoma"/>
          <w:sz w:val="20"/>
          <w:szCs w:val="20"/>
        </w:rPr>
      </w:pPr>
      <w:r>
        <w:rPr>
          <w:rFonts w:cs="Tahoma" w:ascii="Tahoma" w:hAnsi="Tahoma"/>
          <w:sz w:val="20"/>
          <w:szCs w:val="20"/>
        </w:rPr>
        <w:t>Atentamente,</w:t>
      </w:r>
    </w:p>
    <w:p>
      <w:pPr>
        <w:pStyle w:val="Cuerpodetexto"/>
        <w:rPr>
          <w:rFonts w:ascii="Tahoma" w:hAnsi="Tahoma" w:cs="Tahoma"/>
          <w:sz w:val="20"/>
          <w:szCs w:val="20"/>
        </w:rPr>
      </w:pPr>
      <w:r>
        <w:rPr>
          <w:rFonts w:cs="Tahoma" w:ascii="Tahoma" w:hAnsi="Tahoma"/>
          <w:sz w:val="20"/>
          <w:szCs w:val="20"/>
        </w:rPr>
      </w:r>
    </w:p>
    <w:p>
      <w:pPr>
        <w:pStyle w:val="Normal"/>
        <w:rPr>
          <w:rFonts w:ascii="Tahoma" w:hAnsi="Tahoma" w:cs="Tahoma"/>
          <w:b/>
          <w:b/>
          <w:sz w:val="20"/>
          <w:szCs w:val="20"/>
        </w:rPr>
      </w:pPr>
      <w:r>
        <w:rPr>
          <w:rFonts w:cs="Tahoma" w:ascii="Tahoma" w:hAnsi="Tahoma"/>
          <w:b/>
          <w:sz w:val="20"/>
          <w:szCs w:val="20"/>
        </w:rPr>
      </w:r>
    </w:p>
    <w:p>
      <w:pPr>
        <w:pStyle w:val="Cuerpodetexto"/>
        <w:tabs>
          <w:tab w:val="clear" w:pos="708"/>
          <w:tab w:val="left" w:pos="5327" w:leader="none"/>
          <w:tab w:val="left" w:pos="5834" w:leader="none"/>
        </w:tabs>
        <w:spacing w:before="135" w:after="0"/>
        <w:ind w:left="836" w:right="557" w:firstLine="2"/>
        <w:rPr>
          <w:rFonts w:ascii="Tahoma" w:hAnsi="Tahoma" w:cs="Tahoma"/>
          <w:sz w:val="20"/>
          <w:szCs w:val="20"/>
        </w:rPr>
      </w:pPr>
      <w:r>
        <w:rPr>
          <w:rFonts w:cs="Tahoma" w:ascii="Tahoma" w:hAnsi="Tahoma"/>
          <w:sz w:val="20"/>
          <w:szCs w:val="20"/>
        </w:rPr>
        <w:t>Dinorah</w:t>
      </w:r>
      <w:r>
        <w:rPr>
          <w:rFonts w:cs="Tahoma" w:ascii="Tahoma" w:hAnsi="Tahoma"/>
          <w:spacing w:val="-2"/>
          <w:sz w:val="20"/>
          <w:szCs w:val="20"/>
        </w:rPr>
        <w:t xml:space="preserve"> </w:t>
      </w:r>
      <w:r>
        <w:rPr>
          <w:rFonts w:cs="Tahoma" w:ascii="Tahoma" w:hAnsi="Tahoma"/>
          <w:sz w:val="20"/>
          <w:szCs w:val="20"/>
        </w:rPr>
        <w:t>Álvarez</w:t>
      </w:r>
      <w:r>
        <w:rPr>
          <w:rFonts w:cs="Tahoma" w:ascii="Tahoma" w:hAnsi="Tahoma"/>
          <w:spacing w:val="-4"/>
          <w:sz w:val="20"/>
          <w:szCs w:val="20"/>
        </w:rPr>
        <w:t xml:space="preserve"> </w:t>
      </w:r>
      <w:r>
        <w:rPr>
          <w:rFonts w:cs="Tahoma" w:ascii="Tahoma" w:hAnsi="Tahoma"/>
          <w:sz w:val="20"/>
          <w:szCs w:val="20"/>
        </w:rPr>
        <w:t>Acosta</w:t>
        <w:tab/>
        <w:t>Ana Eugenia Romero</w:t>
      </w:r>
      <w:r>
        <w:rPr>
          <w:rFonts w:cs="Tahoma" w:ascii="Tahoma" w:hAnsi="Tahoma"/>
          <w:spacing w:val="-11"/>
          <w:sz w:val="20"/>
          <w:szCs w:val="20"/>
        </w:rPr>
        <w:t xml:space="preserve"> </w:t>
      </w:r>
      <w:r>
        <w:rPr>
          <w:rFonts w:cs="Tahoma" w:ascii="Tahoma" w:hAnsi="Tahoma"/>
          <w:sz w:val="20"/>
          <w:szCs w:val="20"/>
        </w:rPr>
        <w:t>Jenkins Subdirectora</w:t>
      </w:r>
      <w:r>
        <w:rPr>
          <w:rFonts w:cs="Tahoma" w:ascii="Tahoma" w:hAnsi="Tahoma"/>
          <w:spacing w:val="-6"/>
          <w:sz w:val="20"/>
          <w:szCs w:val="20"/>
        </w:rPr>
        <w:t xml:space="preserve"> </w:t>
      </w:r>
      <w:r>
        <w:rPr>
          <w:rFonts w:cs="Tahoma" w:ascii="Tahoma" w:hAnsi="Tahoma"/>
          <w:sz w:val="20"/>
          <w:szCs w:val="20"/>
        </w:rPr>
        <w:t>Ejecutiva</w:t>
        <w:tab/>
        <w:tab/>
        <w:t>Directora Ejecutiva</w:t>
      </w:r>
    </w:p>
    <w:p>
      <w:pPr>
        <w:pStyle w:val="Normal"/>
        <w:spacing w:lineRule="auto" w:line="360"/>
        <w:rPr>
          <w:rFonts w:ascii="Tahoma" w:hAnsi="Tahoma" w:cs="Tahoma"/>
          <w:b/>
          <w:b/>
          <w:sz w:val="20"/>
          <w:szCs w:val="20"/>
          <w:u w:val="single"/>
          <w:lang w:val="es-ES"/>
        </w:rPr>
      </w:pPr>
      <w:r>
        <w:rPr>
          <w:rFonts w:cs="Tahoma" w:ascii="Tahoma" w:hAnsi="Tahoma"/>
          <w:b/>
          <w:sz w:val="20"/>
          <w:szCs w:val="20"/>
          <w:u w:val="single"/>
          <w:lang w:val="es-ES"/>
        </w:rPr>
      </w:r>
    </w:p>
    <w:p>
      <w:pPr>
        <w:pStyle w:val="Normal"/>
        <w:rPr>
          <w:rFonts w:ascii="Tahoma" w:hAnsi="Tahoma" w:cs="Tahoma"/>
          <w:b/>
          <w:b/>
          <w:sz w:val="20"/>
          <w:szCs w:val="20"/>
          <w:lang w:val="es-ES" w:bidi="hi-IN"/>
        </w:rPr>
      </w:pPr>
      <w:r>
        <w:rPr>
          <w:rFonts w:cs="Tahoma" w:ascii="Tahoma" w:hAnsi="Tahoma"/>
          <w:b/>
          <w:sz w:val="20"/>
          <w:szCs w:val="20"/>
          <w:lang w:val="es-ES" w:bidi="hi-IN"/>
        </w:rPr>
      </w:r>
    </w:p>
    <w:p>
      <w:pPr>
        <w:pStyle w:val="Normal"/>
        <w:rPr>
          <w:rFonts w:ascii="Tahoma" w:hAnsi="Tahoma" w:cs="Tahoma"/>
          <w:bCs/>
          <w:sz w:val="20"/>
          <w:szCs w:val="20"/>
          <w:lang w:val="es-ES" w:bidi="hi-IN"/>
        </w:rPr>
      </w:pPr>
      <w:r>
        <w:rPr>
          <w:rFonts w:cs="Tahoma" w:ascii="Tahoma" w:hAnsi="Tahoma"/>
          <w:b/>
          <w:sz w:val="20"/>
          <w:szCs w:val="20"/>
          <w:lang w:val="es-ES" w:bidi="hi-IN"/>
        </w:rPr>
        <w:t>SE ACUERDA:</w:t>
      </w:r>
      <w:r>
        <w:rPr>
          <w:rFonts w:cs="Tahoma" w:ascii="Tahoma" w:hAnsi="Tahoma"/>
          <w:bCs/>
          <w:sz w:val="20"/>
          <w:szCs w:val="20"/>
          <w:lang w:val="es-ES" w:bidi="hi-IN"/>
        </w:rPr>
        <w:t xml:space="preserve"> Se toma nota de los Oficios CSJ-163-2020 y 539-DE-2020 y se dispone hacerlos de conocimiento de la persona usuaria gestionante por medio de la Unidad de Acceso a la Justicia.</w:t>
      </w:r>
    </w:p>
    <w:p>
      <w:pPr>
        <w:pStyle w:val="Normal"/>
        <w:rPr>
          <w:rFonts w:ascii="Tahoma" w:hAnsi="Tahoma" w:cs="Tahoma"/>
          <w:b/>
          <w:b/>
          <w:sz w:val="20"/>
          <w:szCs w:val="20"/>
          <w:lang w:val="es-ES" w:bidi="hi-IN"/>
        </w:rPr>
      </w:pPr>
      <w:r>
        <w:rPr>
          <w:rFonts w:cs="Tahoma" w:ascii="Tahoma" w:hAnsi="Tahoma"/>
          <w:b/>
          <w:sz w:val="20"/>
          <w:szCs w:val="20"/>
          <w:lang w:val="es-ES" w:bidi="hi-IN"/>
        </w:rPr>
      </w:r>
    </w:p>
    <w:p>
      <w:pPr>
        <w:pStyle w:val="Normal"/>
        <w:spacing w:lineRule="auto" w:line="360"/>
        <w:jc w:val="center"/>
        <w:rPr>
          <w:rFonts w:ascii="Tahoma" w:hAnsi="Tahoma" w:cs="Tahoma"/>
          <w:b/>
          <w:b/>
          <w:sz w:val="20"/>
          <w:szCs w:val="20"/>
          <w:highlight w:val="yellow"/>
          <w:u w:val="single"/>
        </w:rPr>
      </w:pPr>
      <w:r>
        <w:rPr>
          <w:rFonts w:cs="Tahoma" w:ascii="Tahoma" w:hAnsi="Tahoma"/>
          <w:b/>
          <w:sz w:val="20"/>
          <w:szCs w:val="20"/>
          <w:highlight w:val="yellow"/>
          <w:u w:val="single"/>
        </w:rPr>
        <w:t>ARTÍCULO X</w:t>
      </w:r>
    </w:p>
    <w:p>
      <w:pPr>
        <w:pStyle w:val="Normal"/>
        <w:spacing w:lineRule="auto" w:line="360"/>
        <w:rPr>
          <w:rFonts w:ascii="Tahoma" w:hAnsi="Tahoma" w:cs="Tahoma"/>
          <w:b/>
          <w:b/>
          <w:sz w:val="20"/>
          <w:szCs w:val="20"/>
        </w:rPr>
      </w:pPr>
      <w:r>
        <w:rPr>
          <w:rFonts w:cs="Tahoma" w:ascii="Tahoma" w:hAnsi="Tahoma"/>
          <w:b/>
          <w:sz w:val="20"/>
          <w:szCs w:val="20"/>
        </w:rPr>
        <w:t xml:space="preserve">TEMA: INFORME DE AVANCE DEL CUMPLIMIENTO DE LA CIRCULAR 188-19, DENOMINADA </w:t>
      </w:r>
      <w:r>
        <w:rPr>
          <w:rFonts w:cs="Tahoma" w:ascii="Tahoma" w:hAnsi="Tahoma"/>
          <w:b/>
          <w:i/>
          <w:sz w:val="20"/>
          <w:szCs w:val="20"/>
        </w:rPr>
        <w:t>“20 EJES DE ACCIÓN.</w:t>
      </w:r>
    </w:p>
    <w:p>
      <w:pPr>
        <w:pStyle w:val="Normal"/>
        <w:ind w:right="118" w:hanging="0"/>
        <w:jc w:val="both"/>
        <w:rPr>
          <w:rFonts w:ascii="Tahoma" w:hAnsi="Tahoma" w:cs="Tahoma"/>
          <w:sz w:val="20"/>
          <w:szCs w:val="20"/>
        </w:rPr>
      </w:pPr>
      <w:r>
        <w:rPr>
          <w:rFonts w:cs="Tahoma" w:ascii="Tahoma" w:hAnsi="Tahoma"/>
          <w:sz w:val="20"/>
          <w:szCs w:val="20"/>
        </w:rPr>
        <w:t>La señora Damaris Vargas Vásquez, Coordinadora de la Subcomisión de Acceso a la Justicia de Pueblos Indígenas, comunico mediante el Oficio N°</w:t>
      </w:r>
      <w:r>
        <w:rPr>
          <w:rFonts w:cs="Tahoma" w:ascii="Tahoma" w:hAnsi="Tahoma"/>
          <w:spacing w:val="-7"/>
          <w:sz w:val="20"/>
          <w:szCs w:val="20"/>
        </w:rPr>
        <w:t xml:space="preserve"> </w:t>
      </w:r>
      <w:r>
        <w:rPr>
          <w:rFonts w:cs="Tahoma" w:ascii="Tahoma" w:hAnsi="Tahoma"/>
          <w:sz w:val="20"/>
          <w:szCs w:val="20"/>
        </w:rPr>
        <w:t>DVV-S1-019-2020 a la Dirección de la Escuela Judicial y al Consejo Directivo, lo siguiente:</w:t>
      </w:r>
    </w:p>
    <w:p>
      <w:pPr>
        <w:pStyle w:val="Normal"/>
        <w:spacing w:lineRule="auto" w:line="360"/>
        <w:rPr>
          <w:rFonts w:ascii="Tahoma" w:hAnsi="Tahoma" w:cs="Tahoma"/>
          <w:sz w:val="20"/>
          <w:szCs w:val="20"/>
        </w:rPr>
      </w:pPr>
      <w:r>
        <w:rPr>
          <w:rFonts w:cs="Tahoma" w:ascii="Tahoma" w:hAnsi="Tahoma"/>
          <w:sz w:val="20"/>
          <w:szCs w:val="20"/>
        </w:rPr>
      </w:r>
    </w:p>
    <w:p>
      <w:pPr>
        <w:pStyle w:val="Ttulo11"/>
        <w:spacing w:before="92" w:after="0"/>
        <w:ind w:left="0" w:right="118" w:hanging="0"/>
        <w:jc w:val="right"/>
        <w:rPr>
          <w:rFonts w:ascii="Tahoma" w:hAnsi="Tahoma" w:cs="Tahoma"/>
          <w:sz w:val="20"/>
          <w:szCs w:val="20"/>
        </w:rPr>
      </w:pPr>
      <w:r>
        <w:rPr>
          <w:rFonts w:cs="Tahoma" w:ascii="Tahoma" w:hAnsi="Tahoma"/>
          <w:sz w:val="20"/>
          <w:szCs w:val="20"/>
        </w:rPr>
        <w:t>San José, 26 de febrero de</w:t>
      </w:r>
      <w:r>
        <w:rPr>
          <w:rFonts w:cs="Tahoma" w:ascii="Tahoma" w:hAnsi="Tahoma"/>
          <w:spacing w:val="-8"/>
          <w:sz w:val="20"/>
          <w:szCs w:val="20"/>
        </w:rPr>
        <w:t xml:space="preserve"> </w:t>
      </w:r>
      <w:r>
        <w:rPr>
          <w:rFonts w:cs="Tahoma" w:ascii="Tahoma" w:hAnsi="Tahoma"/>
          <w:sz w:val="20"/>
          <w:szCs w:val="20"/>
        </w:rPr>
        <w:t>2020</w:t>
      </w:r>
    </w:p>
    <w:p>
      <w:pPr>
        <w:pStyle w:val="Normal"/>
        <w:ind w:right="118" w:hanging="0"/>
        <w:jc w:val="right"/>
        <w:rPr>
          <w:rFonts w:ascii="Tahoma" w:hAnsi="Tahoma" w:cs="Tahoma"/>
          <w:b/>
          <w:b/>
          <w:sz w:val="20"/>
          <w:szCs w:val="20"/>
          <w:lang w:val="en-US"/>
        </w:rPr>
      </w:pPr>
      <w:r>
        <w:rPr>
          <w:rFonts w:cs="Tahoma" w:ascii="Tahoma" w:hAnsi="Tahoma"/>
          <w:b/>
          <w:sz w:val="20"/>
          <w:szCs w:val="20"/>
          <w:lang w:val="en-US"/>
        </w:rPr>
        <w:t>N°</w:t>
      </w:r>
      <w:r>
        <w:rPr>
          <w:rFonts w:cs="Tahoma" w:ascii="Tahoma" w:hAnsi="Tahoma"/>
          <w:b/>
          <w:spacing w:val="-7"/>
          <w:sz w:val="20"/>
          <w:szCs w:val="20"/>
          <w:lang w:val="en-US"/>
        </w:rPr>
        <w:t xml:space="preserve"> </w:t>
      </w:r>
      <w:r>
        <w:rPr>
          <w:rFonts w:cs="Tahoma" w:ascii="Tahoma" w:hAnsi="Tahoma"/>
          <w:b/>
          <w:sz w:val="20"/>
          <w:szCs w:val="20"/>
          <w:lang w:val="en-US"/>
        </w:rPr>
        <w:t>DVV-S1-019-2020</w:t>
      </w:r>
    </w:p>
    <w:p>
      <w:pPr>
        <w:pStyle w:val="Cuerpodetexto"/>
        <w:rPr>
          <w:rFonts w:ascii="Tahoma" w:hAnsi="Tahoma" w:cs="Tahoma"/>
          <w:b/>
          <w:b/>
          <w:i/>
          <w:i/>
          <w:sz w:val="20"/>
          <w:szCs w:val="20"/>
          <w:lang w:val="en-US"/>
        </w:rPr>
      </w:pPr>
      <w:r>
        <w:rPr>
          <w:rFonts w:cs="Tahoma" w:ascii="Tahoma" w:hAnsi="Tahoma"/>
          <w:b/>
          <w:i/>
          <w:sz w:val="20"/>
          <w:szCs w:val="20"/>
          <w:lang w:val="en-US"/>
        </w:rPr>
      </w:r>
    </w:p>
    <w:p>
      <w:pPr>
        <w:pStyle w:val="Cuerpodetexto"/>
        <w:rPr>
          <w:rFonts w:ascii="Tahoma" w:hAnsi="Tahoma" w:cs="Tahoma"/>
          <w:b/>
          <w:b/>
          <w:i/>
          <w:i/>
          <w:sz w:val="20"/>
          <w:szCs w:val="20"/>
          <w:lang w:val="en-US"/>
        </w:rPr>
      </w:pPr>
      <w:r>
        <w:rPr>
          <w:rFonts w:cs="Tahoma" w:ascii="Tahoma" w:hAnsi="Tahoma"/>
          <w:b/>
          <w:i/>
          <w:sz w:val="20"/>
          <w:szCs w:val="20"/>
          <w:lang w:val="en-US"/>
        </w:rPr>
      </w:r>
    </w:p>
    <w:p>
      <w:pPr>
        <w:pStyle w:val="Normal"/>
        <w:spacing w:before="92" w:after="200"/>
        <w:ind w:left="117" w:hanging="0"/>
        <w:rPr>
          <w:rFonts w:ascii="Tahoma" w:hAnsi="Tahoma" w:cs="Tahoma"/>
          <w:b/>
          <w:b/>
          <w:sz w:val="20"/>
          <w:szCs w:val="20"/>
          <w:lang w:val="en-US"/>
        </w:rPr>
      </w:pPr>
      <w:r>
        <w:rPr>
          <w:rFonts w:cs="Tahoma" w:ascii="Tahoma" w:hAnsi="Tahoma"/>
          <w:b/>
          <w:sz w:val="20"/>
          <w:szCs w:val="20"/>
          <w:lang w:val="en-US"/>
        </w:rPr>
        <w:t>Señor</w:t>
      </w:r>
    </w:p>
    <w:p>
      <w:pPr>
        <w:pStyle w:val="Normal"/>
        <w:ind w:left="117" w:right="6162" w:hanging="0"/>
        <w:rPr>
          <w:rFonts w:ascii="Tahoma" w:hAnsi="Tahoma" w:cs="Tahoma"/>
          <w:b/>
          <w:b/>
          <w:sz w:val="20"/>
          <w:szCs w:val="20"/>
          <w:lang w:val="en-US"/>
        </w:rPr>
      </w:pPr>
      <w:r>
        <w:rPr>
          <w:rFonts w:cs="Tahoma" w:ascii="Tahoma" w:hAnsi="Tahoma"/>
          <w:b/>
          <w:sz w:val="20"/>
          <w:szCs w:val="20"/>
          <w:lang w:val="en-US"/>
        </w:rPr>
        <w:t>Dr. William Molinari Vílchez Presidente</w:t>
      </w:r>
    </w:p>
    <w:p>
      <w:pPr>
        <w:pStyle w:val="Normal"/>
        <w:ind w:left="117" w:hanging="0"/>
        <w:rPr>
          <w:rFonts w:ascii="Tahoma" w:hAnsi="Tahoma" w:cs="Tahoma"/>
          <w:b/>
          <w:b/>
          <w:sz w:val="20"/>
          <w:szCs w:val="20"/>
        </w:rPr>
      </w:pPr>
      <w:r>
        <w:rPr>
          <w:rFonts w:cs="Tahoma" w:ascii="Tahoma" w:hAnsi="Tahoma"/>
          <w:b/>
          <w:sz w:val="20"/>
          <w:szCs w:val="20"/>
        </w:rPr>
        <w:t>Consejo Directivo de la Escuela Judicial</w:t>
      </w:r>
    </w:p>
    <w:p>
      <w:pPr>
        <w:pStyle w:val="Cuerpodetexto"/>
        <w:spacing w:before="1" w:after="0"/>
        <w:rPr>
          <w:rFonts w:ascii="Tahoma" w:hAnsi="Tahoma" w:cs="Tahoma"/>
          <w:b/>
          <w:b/>
          <w:i/>
          <w:i/>
          <w:sz w:val="20"/>
          <w:szCs w:val="20"/>
        </w:rPr>
      </w:pPr>
      <w:r>
        <w:rPr>
          <w:rFonts w:cs="Tahoma" w:ascii="Tahoma" w:hAnsi="Tahoma"/>
          <w:b/>
          <w:i/>
          <w:sz w:val="20"/>
          <w:szCs w:val="20"/>
        </w:rPr>
      </w:r>
    </w:p>
    <w:p>
      <w:pPr>
        <w:pStyle w:val="Normal"/>
        <w:ind w:left="117" w:hanging="0"/>
        <w:rPr>
          <w:rFonts w:ascii="Tahoma" w:hAnsi="Tahoma" w:cs="Tahoma"/>
          <w:b/>
          <w:b/>
          <w:sz w:val="20"/>
          <w:szCs w:val="20"/>
        </w:rPr>
      </w:pPr>
      <w:r>
        <w:rPr>
          <w:rFonts w:cs="Tahoma" w:ascii="Tahoma" w:hAnsi="Tahoma"/>
          <w:b/>
          <w:sz w:val="20"/>
          <w:szCs w:val="20"/>
        </w:rPr>
        <w:t>Señora</w:t>
      </w:r>
    </w:p>
    <w:p>
      <w:pPr>
        <w:pStyle w:val="Normal"/>
        <w:ind w:left="117" w:right="5641" w:hanging="0"/>
        <w:rPr>
          <w:rFonts w:ascii="Tahoma" w:hAnsi="Tahoma" w:cs="Tahoma"/>
          <w:b/>
          <w:b/>
          <w:sz w:val="20"/>
          <w:szCs w:val="20"/>
        </w:rPr>
      </w:pPr>
      <w:r>
        <w:rPr>
          <w:rFonts w:cs="Tahoma" w:ascii="Tahoma" w:hAnsi="Tahoma"/>
          <w:b/>
          <w:sz w:val="20"/>
          <w:szCs w:val="20"/>
        </w:rPr>
        <w:t>Máster Rebeca Guardia Morales Directora</w:t>
      </w:r>
    </w:p>
    <w:p>
      <w:pPr>
        <w:pStyle w:val="Normal"/>
        <w:spacing w:lineRule="auto" w:line="480"/>
        <w:ind w:left="117" w:right="6177" w:hanging="0"/>
        <w:rPr>
          <w:rFonts w:ascii="Tahoma" w:hAnsi="Tahoma" w:cs="Tahoma"/>
          <w:b/>
          <w:b/>
          <w:sz w:val="20"/>
          <w:szCs w:val="20"/>
        </w:rPr>
      </w:pPr>
      <w:r>
        <w:rPr>
          <w:rFonts w:cs="Tahoma" w:ascii="Tahoma" w:hAnsi="Tahoma"/>
          <w:b/>
          <w:sz w:val="20"/>
          <w:szCs w:val="20"/>
        </w:rPr>
        <w:t>Escuela Judicial Estimados Señor y</w:t>
      </w:r>
      <w:r>
        <w:rPr>
          <w:rFonts w:cs="Tahoma" w:ascii="Tahoma" w:hAnsi="Tahoma"/>
          <w:b/>
          <w:spacing w:val="-5"/>
          <w:sz w:val="20"/>
          <w:szCs w:val="20"/>
        </w:rPr>
        <w:t xml:space="preserve"> </w:t>
      </w:r>
      <w:r>
        <w:rPr>
          <w:rFonts w:cs="Tahoma" w:ascii="Tahoma" w:hAnsi="Tahoma"/>
          <w:b/>
          <w:sz w:val="20"/>
          <w:szCs w:val="20"/>
        </w:rPr>
        <w:t>Señora:</w:t>
      </w:r>
    </w:p>
    <w:p>
      <w:pPr>
        <w:pStyle w:val="Normal"/>
        <w:ind w:left="117" w:right="116" w:hanging="0"/>
        <w:jc w:val="both"/>
        <w:rPr>
          <w:rFonts w:ascii="Tahoma" w:hAnsi="Tahoma" w:cs="Tahoma"/>
          <w:sz w:val="20"/>
          <w:szCs w:val="20"/>
        </w:rPr>
      </w:pPr>
      <w:r>
        <w:rPr>
          <w:rFonts w:cs="Tahoma" w:ascii="Tahoma" w:hAnsi="Tahoma"/>
          <w:sz w:val="20"/>
          <w:szCs w:val="20"/>
        </w:rPr>
        <w:t xml:space="preserve">Reciban un atento saludo. Tengo el honor de dirigirme a ustedes en mi condición de Coordinadora de la Subcomisión de Acceso a la Justicia de Pueblos Indígenas, con el objetivo de solicitarles respetuosamente un informe de avance del cumplimiento de la Circular 188-19, denominada </w:t>
      </w:r>
      <w:r>
        <w:rPr>
          <w:rFonts w:cs="Tahoma" w:ascii="Tahoma" w:hAnsi="Tahoma"/>
          <w:i/>
          <w:sz w:val="20"/>
          <w:szCs w:val="20"/>
        </w:rPr>
        <w:t xml:space="preserve">“20 ejes de acción, recomendados por la Comisión de Acceso a la Justicia, con ocasión del cumplimiento de las Medidas Cautelares N° 321- 12 del 30 de abril de 2015, establecidas por la Comisión Interamericana de Derechos Humanos (CIDH) contra Costa Rica”, </w:t>
      </w:r>
      <w:r>
        <w:rPr>
          <w:rFonts w:cs="Tahoma" w:ascii="Tahoma" w:hAnsi="Tahoma"/>
          <w:sz w:val="20"/>
          <w:szCs w:val="20"/>
        </w:rPr>
        <w:t>concretamente los ejes 9 a 13</w:t>
      </w:r>
      <w:r>
        <w:rPr>
          <w:rFonts w:cs="Tahoma" w:ascii="Tahoma" w:hAnsi="Tahoma"/>
          <w:i/>
          <w:sz w:val="20"/>
          <w:szCs w:val="20"/>
        </w:rPr>
        <w:t xml:space="preserve">. </w:t>
      </w:r>
      <w:r>
        <w:rPr>
          <w:rFonts w:cs="Tahoma" w:ascii="Tahoma" w:hAnsi="Tahoma"/>
          <w:sz w:val="20"/>
          <w:szCs w:val="20"/>
        </w:rPr>
        <w:t>En esa Circular, se señala literalmente:</w:t>
      </w:r>
    </w:p>
    <w:p>
      <w:pPr>
        <w:pStyle w:val="Normal"/>
        <w:ind w:left="117" w:right="116" w:hanging="0"/>
        <w:jc w:val="both"/>
        <w:rPr>
          <w:rFonts w:ascii="Tahoma" w:hAnsi="Tahoma" w:cs="Tahoma"/>
          <w:sz w:val="20"/>
          <w:szCs w:val="20"/>
        </w:rPr>
      </w:pPr>
      <w:r>
        <w:rPr>
          <w:rFonts w:cs="Tahoma" w:ascii="Tahoma" w:hAnsi="Tahoma"/>
          <w:sz w:val="20"/>
          <w:szCs w:val="20"/>
        </w:rPr>
      </w:r>
    </w:p>
    <w:p>
      <w:pPr>
        <w:pStyle w:val="Normal"/>
        <w:ind w:left="117" w:right="116" w:hanging="0"/>
        <w:jc w:val="both"/>
        <w:rPr>
          <w:rFonts w:ascii="Tahoma" w:hAnsi="Tahoma" w:cs="Tahoma"/>
          <w:sz w:val="20"/>
          <w:szCs w:val="20"/>
        </w:rPr>
      </w:pPr>
      <w:r>
        <w:rPr>
          <w:rFonts w:cs="Tahoma" w:ascii="Tahoma" w:hAnsi="Tahoma"/>
          <w:sz w:val="20"/>
          <w:szCs w:val="20"/>
        </w:rPr>
      </w:r>
    </w:p>
    <w:p>
      <w:pPr>
        <w:pStyle w:val="Cuerpodetexto"/>
        <w:spacing w:before="8" w:after="0"/>
        <w:rPr>
          <w:rFonts w:ascii="Tahoma" w:hAnsi="Tahoma" w:cs="Tahoma"/>
          <w:i/>
          <w:i/>
          <w:sz w:val="20"/>
          <w:szCs w:val="20"/>
        </w:rPr>
      </w:pPr>
      <w:r>
        <w:rPr>
          <w:rFonts w:cs="Tahoma" w:ascii="Tahoma" w:hAnsi="Tahoma"/>
          <w:i/>
          <w:sz w:val="20"/>
          <w:szCs w:val="20"/>
        </w:rPr>
      </w:r>
    </w:p>
    <w:p>
      <w:pPr>
        <w:pStyle w:val="Ttulo21"/>
        <w:rPr>
          <w:rFonts w:ascii="Tahoma" w:hAnsi="Tahoma" w:cs="Tahoma"/>
          <w:sz w:val="20"/>
          <w:szCs w:val="20"/>
        </w:rPr>
      </w:pPr>
      <w:r>
        <w:rPr>
          <w:rFonts w:cs="Tahoma" w:ascii="Tahoma" w:hAnsi="Tahoma"/>
          <w:b w:val="false"/>
          <w:i w:val="false"/>
          <w:spacing w:val="-60"/>
          <w:sz w:val="20"/>
          <w:szCs w:val="20"/>
          <w:u w:val="thick"/>
        </w:rPr>
        <w:t xml:space="preserve"> </w:t>
      </w:r>
      <w:r>
        <w:rPr>
          <w:rFonts w:cs="Tahoma" w:ascii="Tahoma" w:hAnsi="Tahoma"/>
          <w:sz w:val="20"/>
          <w:szCs w:val="20"/>
          <w:u w:val="thick"/>
        </w:rPr>
        <w:t>“</w:t>
      </w:r>
      <w:r>
        <w:rPr>
          <w:rFonts w:cs="Tahoma" w:ascii="Tahoma" w:hAnsi="Tahoma"/>
          <w:sz w:val="20"/>
          <w:szCs w:val="20"/>
          <w:u w:val="thick"/>
        </w:rPr>
        <w:t>CIRCULAR No. 188-2019</w:t>
      </w:r>
    </w:p>
    <w:p>
      <w:pPr>
        <w:pStyle w:val="Cuerpodetexto"/>
        <w:spacing w:before="2" w:after="0"/>
        <w:rPr>
          <w:rFonts w:ascii="Tahoma" w:hAnsi="Tahoma" w:cs="Tahoma"/>
          <w:b/>
          <w:b/>
          <w:sz w:val="20"/>
          <w:szCs w:val="20"/>
        </w:rPr>
      </w:pPr>
      <w:r>
        <w:rPr>
          <w:rFonts w:cs="Tahoma" w:ascii="Tahoma" w:hAnsi="Tahoma"/>
          <w:b/>
          <w:sz w:val="20"/>
          <w:szCs w:val="20"/>
        </w:rPr>
      </w:r>
    </w:p>
    <w:p>
      <w:pPr>
        <w:pStyle w:val="Cuerpodetexto"/>
        <w:spacing w:before="90" w:after="0"/>
        <w:ind w:left="117" w:right="120" w:firstLine="707"/>
        <w:jc w:val="both"/>
        <w:rPr>
          <w:rFonts w:ascii="Tahoma" w:hAnsi="Tahoma" w:cs="Tahoma"/>
          <w:sz w:val="20"/>
          <w:szCs w:val="20"/>
        </w:rPr>
      </w:pPr>
      <w:r>
        <w:rPr>
          <w:rFonts w:cs="Tahoma" w:ascii="Tahoma" w:hAnsi="Tahoma"/>
          <w:spacing w:val="-60"/>
          <w:sz w:val="20"/>
          <w:szCs w:val="20"/>
          <w:u w:val="thick"/>
        </w:rPr>
        <w:t xml:space="preserve"> </w:t>
      </w:r>
      <w:r>
        <w:rPr>
          <w:rFonts w:cs="Tahoma" w:ascii="Tahoma" w:hAnsi="Tahoma"/>
          <w:b/>
          <w:i/>
          <w:sz w:val="20"/>
          <w:szCs w:val="20"/>
          <w:u w:val="thick"/>
        </w:rPr>
        <w:t>Asunto</w:t>
      </w:r>
      <w:r>
        <w:rPr>
          <w:rFonts w:cs="Tahoma" w:ascii="Tahoma" w:hAnsi="Tahoma"/>
          <w:i/>
          <w:sz w:val="20"/>
          <w:szCs w:val="20"/>
        </w:rPr>
        <w:t xml:space="preserve">: Modificación a la Circular N° 123-2019 Sobre los 20 ejes de acción, </w:t>
      </w:r>
      <w:r>
        <w:rPr>
          <w:rFonts w:cs="Tahoma" w:ascii="Tahoma" w:hAnsi="Tahoma"/>
          <w:sz w:val="20"/>
          <w:szCs w:val="20"/>
        </w:rPr>
        <w:t>recomendados por la Comisión de Acceso a la Justicia, con ocasión del cumplimiento de las Medidas Cautelares N° 321-12 del 30 de abril de 2015, establecidas por la Comisión Interamericana de Derechos Humanos (CIDH) contra Costa Rica.</w:t>
      </w:r>
    </w:p>
    <w:p>
      <w:pPr>
        <w:pStyle w:val="Cuerpodetexto"/>
        <w:rPr>
          <w:rFonts w:ascii="Tahoma" w:hAnsi="Tahoma" w:cs="Tahoma"/>
          <w:sz w:val="20"/>
          <w:szCs w:val="20"/>
        </w:rPr>
      </w:pPr>
      <w:r>
        <w:rPr>
          <w:rFonts w:cs="Tahoma" w:ascii="Tahoma" w:hAnsi="Tahoma"/>
          <w:sz w:val="20"/>
          <w:szCs w:val="20"/>
        </w:rPr>
      </w:r>
    </w:p>
    <w:p>
      <w:pPr>
        <w:pStyle w:val="Ttulo21"/>
        <w:ind w:left="2726" w:right="0" w:hanging="0"/>
        <w:rPr>
          <w:rFonts w:ascii="Tahoma" w:hAnsi="Tahoma" w:cs="Tahoma"/>
          <w:sz w:val="20"/>
          <w:szCs w:val="20"/>
        </w:rPr>
      </w:pPr>
      <w:r>
        <w:rPr>
          <w:rFonts w:cs="Tahoma" w:ascii="Tahoma" w:hAnsi="Tahoma"/>
          <w:b w:val="false"/>
          <w:i w:val="false"/>
          <w:spacing w:val="-60"/>
          <w:sz w:val="20"/>
          <w:szCs w:val="20"/>
          <w:u w:val="thick"/>
        </w:rPr>
        <w:t xml:space="preserve"> </w:t>
      </w:r>
      <w:r>
        <w:rPr>
          <w:rFonts w:cs="Tahoma" w:ascii="Tahoma" w:hAnsi="Tahoma"/>
          <w:sz w:val="20"/>
          <w:szCs w:val="20"/>
          <w:u w:val="thick"/>
        </w:rPr>
        <w:t>AL MINISTERIO PÚBLICO, DEFENSA PÚBLICA, DIRECCIONES GENERAL DEL</w:t>
      </w:r>
    </w:p>
    <w:p>
      <w:pPr>
        <w:pStyle w:val="Normal"/>
        <w:spacing w:before="1" w:after="200"/>
        <w:ind w:right="4" w:hanging="0"/>
        <w:jc w:val="center"/>
        <w:rPr>
          <w:rFonts w:ascii="Tahoma" w:hAnsi="Tahoma" w:cs="Tahoma"/>
          <w:b/>
          <w:b/>
          <w:i/>
          <w:i/>
          <w:sz w:val="20"/>
          <w:szCs w:val="20"/>
        </w:rPr>
      </w:pPr>
      <w:r>
        <w:rPr>
          <w:rFonts w:cs="Tahoma" w:ascii="Tahoma" w:hAnsi="Tahoma"/>
          <w:spacing w:val="-60"/>
          <w:sz w:val="20"/>
          <w:szCs w:val="20"/>
          <w:u w:val="thick"/>
        </w:rPr>
        <w:t xml:space="preserve"> </w:t>
      </w:r>
      <w:r>
        <w:rPr>
          <w:rFonts w:cs="Tahoma" w:ascii="Tahoma" w:hAnsi="Tahoma"/>
          <w:b/>
          <w:i/>
          <w:sz w:val="20"/>
          <w:szCs w:val="20"/>
          <w:u w:val="thick"/>
        </w:rPr>
        <w:t>ORGANISMO DE INVESTIGACIÓN JUDICIAL, GESTIÓN HUMANA,</w:t>
      </w:r>
    </w:p>
    <w:p>
      <w:pPr>
        <w:pStyle w:val="Normal"/>
        <w:ind w:right="4" w:hanging="0"/>
        <w:jc w:val="center"/>
        <w:rPr>
          <w:rFonts w:ascii="Tahoma" w:hAnsi="Tahoma" w:cs="Tahoma"/>
          <w:b/>
          <w:b/>
          <w:i/>
          <w:i/>
          <w:sz w:val="20"/>
          <w:szCs w:val="20"/>
        </w:rPr>
      </w:pPr>
      <w:r>
        <w:rPr>
          <w:rFonts w:cs="Tahoma" w:ascii="Tahoma" w:hAnsi="Tahoma"/>
          <w:spacing w:val="-60"/>
          <w:sz w:val="20"/>
          <w:szCs w:val="20"/>
          <w:u w:val="thick"/>
        </w:rPr>
        <w:t xml:space="preserve"> </w:t>
      </w:r>
      <w:r>
        <w:rPr>
          <w:rFonts w:cs="Tahoma" w:ascii="Tahoma" w:hAnsi="Tahoma"/>
          <w:b/>
          <w:i/>
          <w:sz w:val="20"/>
          <w:szCs w:val="20"/>
          <w:u w:val="thick"/>
        </w:rPr>
        <w:t>PLANIFICACIÓN,</w:t>
      </w:r>
      <w:r>
        <w:rPr>
          <w:rFonts w:cs="Tahoma" w:ascii="Tahoma" w:hAnsi="Tahoma"/>
          <w:b/>
          <w:i/>
          <w:spacing w:val="-4"/>
          <w:sz w:val="20"/>
          <w:szCs w:val="20"/>
          <w:u w:val="thick"/>
        </w:rPr>
        <w:t xml:space="preserve"> </w:t>
      </w:r>
      <w:r>
        <w:rPr>
          <w:rFonts w:cs="Tahoma" w:ascii="Tahoma" w:hAnsi="Tahoma"/>
          <w:b/>
          <w:i/>
          <w:sz w:val="20"/>
          <w:szCs w:val="20"/>
          <w:u w:val="thick"/>
        </w:rPr>
        <w:t>DE</w:t>
      </w:r>
      <w:r>
        <w:rPr>
          <w:rFonts w:cs="Tahoma" w:ascii="Tahoma" w:hAnsi="Tahoma"/>
          <w:b/>
          <w:i/>
          <w:spacing w:val="-6"/>
          <w:sz w:val="20"/>
          <w:szCs w:val="20"/>
          <w:u w:val="thick"/>
        </w:rPr>
        <w:t xml:space="preserve"> </w:t>
      </w:r>
      <w:r>
        <w:rPr>
          <w:rFonts w:cs="Tahoma" w:ascii="Tahoma" w:hAnsi="Tahoma"/>
          <w:b/>
          <w:i/>
          <w:sz w:val="20"/>
          <w:szCs w:val="20"/>
          <w:u w:val="thick"/>
        </w:rPr>
        <w:t>TECNOLOGÍA</w:t>
      </w:r>
      <w:r>
        <w:rPr>
          <w:rFonts w:cs="Tahoma" w:ascii="Tahoma" w:hAnsi="Tahoma"/>
          <w:b/>
          <w:i/>
          <w:spacing w:val="-17"/>
          <w:sz w:val="20"/>
          <w:szCs w:val="20"/>
          <w:u w:val="thick"/>
        </w:rPr>
        <w:t xml:space="preserve"> </w:t>
      </w:r>
      <w:r>
        <w:rPr>
          <w:rFonts w:cs="Tahoma" w:ascii="Tahoma" w:hAnsi="Tahoma"/>
          <w:b/>
          <w:i/>
          <w:sz w:val="20"/>
          <w:szCs w:val="20"/>
          <w:u w:val="thick"/>
        </w:rPr>
        <w:t>DE</w:t>
      </w:r>
      <w:r>
        <w:rPr>
          <w:rFonts w:cs="Tahoma" w:ascii="Tahoma" w:hAnsi="Tahoma"/>
          <w:b/>
          <w:i/>
          <w:spacing w:val="-4"/>
          <w:sz w:val="20"/>
          <w:szCs w:val="20"/>
          <w:u w:val="thick"/>
        </w:rPr>
        <w:t xml:space="preserve"> </w:t>
      </w:r>
      <w:r>
        <w:rPr>
          <w:rFonts w:cs="Tahoma" w:ascii="Tahoma" w:hAnsi="Tahoma"/>
          <w:b/>
          <w:i/>
          <w:sz w:val="20"/>
          <w:szCs w:val="20"/>
          <w:u w:val="thick"/>
        </w:rPr>
        <w:t>LA</w:t>
      </w:r>
      <w:r>
        <w:rPr>
          <w:rFonts w:cs="Tahoma" w:ascii="Tahoma" w:hAnsi="Tahoma"/>
          <w:b/>
          <w:i/>
          <w:spacing w:val="-17"/>
          <w:sz w:val="20"/>
          <w:szCs w:val="20"/>
          <w:u w:val="thick"/>
        </w:rPr>
        <w:t xml:space="preserve"> </w:t>
      </w:r>
      <w:r>
        <w:rPr>
          <w:rFonts w:cs="Tahoma" w:ascii="Tahoma" w:hAnsi="Tahoma"/>
          <w:b/>
          <w:i/>
          <w:sz w:val="20"/>
          <w:szCs w:val="20"/>
          <w:u w:val="thick"/>
        </w:rPr>
        <w:t>INFORMACIÓN,</w:t>
      </w:r>
      <w:r>
        <w:rPr>
          <w:rFonts w:cs="Tahoma" w:ascii="Tahoma" w:hAnsi="Tahoma"/>
          <w:b/>
          <w:i/>
          <w:spacing w:val="-3"/>
          <w:sz w:val="20"/>
          <w:szCs w:val="20"/>
          <w:u w:val="thick"/>
        </w:rPr>
        <w:t xml:space="preserve"> </w:t>
      </w:r>
      <w:r>
        <w:rPr>
          <w:rFonts w:cs="Tahoma" w:ascii="Tahoma" w:hAnsi="Tahoma"/>
          <w:b/>
          <w:i/>
          <w:sz w:val="20"/>
          <w:szCs w:val="20"/>
          <w:u w:val="thick"/>
        </w:rPr>
        <w:t>DIRECCIÓN</w:t>
      </w:r>
    </w:p>
    <w:p>
      <w:pPr>
        <w:pStyle w:val="Normal"/>
        <w:ind w:right="2" w:hanging="0"/>
        <w:jc w:val="center"/>
        <w:rPr>
          <w:rFonts w:ascii="Tahoma" w:hAnsi="Tahoma" w:cs="Tahoma"/>
          <w:b/>
          <w:b/>
          <w:i/>
          <w:i/>
          <w:spacing w:val="-4"/>
          <w:sz w:val="20"/>
          <w:szCs w:val="20"/>
          <w:u w:val="thick"/>
        </w:rPr>
      </w:pPr>
      <w:r>
        <w:rPr>
          <w:rFonts w:cs="Tahoma" w:ascii="Tahoma" w:hAnsi="Tahoma"/>
          <w:spacing w:val="-60"/>
          <w:sz w:val="20"/>
          <w:szCs w:val="20"/>
          <w:u w:val="thick"/>
        </w:rPr>
        <w:t xml:space="preserve"> </w:t>
      </w:r>
      <w:r>
        <w:rPr>
          <w:rFonts w:cs="Tahoma" w:ascii="Tahoma" w:hAnsi="Tahoma"/>
          <w:b/>
          <w:i/>
          <w:spacing w:val="-3"/>
          <w:sz w:val="20"/>
          <w:szCs w:val="20"/>
          <w:u w:val="thick"/>
        </w:rPr>
        <w:t xml:space="preserve">EJECUTIVA, </w:t>
      </w:r>
      <w:r>
        <w:rPr>
          <w:rFonts w:cs="Tahoma" w:ascii="Tahoma" w:hAnsi="Tahoma"/>
          <w:b/>
          <w:i/>
          <w:sz w:val="20"/>
          <w:szCs w:val="20"/>
          <w:u w:val="thick"/>
        </w:rPr>
        <w:t xml:space="preserve">ESCUELA JUDICIAL Y </w:t>
      </w:r>
      <w:r>
        <w:rPr>
          <w:rFonts w:cs="Tahoma" w:ascii="Tahoma" w:hAnsi="Tahoma"/>
          <w:b/>
          <w:i/>
          <w:spacing w:val="-3"/>
          <w:sz w:val="20"/>
          <w:szCs w:val="20"/>
          <w:u w:val="thick"/>
        </w:rPr>
        <w:t xml:space="preserve">DESPACHOS </w:t>
      </w:r>
      <w:r>
        <w:rPr>
          <w:rFonts w:cs="Tahoma" w:ascii="Tahoma" w:hAnsi="Tahoma"/>
          <w:b/>
          <w:i/>
          <w:sz w:val="20"/>
          <w:szCs w:val="20"/>
          <w:u w:val="thick"/>
        </w:rPr>
        <w:t>JUDICIALES DEL</w:t>
      </w:r>
      <w:r>
        <w:rPr>
          <w:rFonts w:cs="Tahoma" w:ascii="Tahoma" w:hAnsi="Tahoma"/>
          <w:b/>
          <w:i/>
          <w:spacing w:val="-42"/>
          <w:sz w:val="20"/>
          <w:szCs w:val="20"/>
          <w:u w:val="thick"/>
        </w:rPr>
        <w:t xml:space="preserve"> </w:t>
      </w:r>
      <w:r>
        <w:rPr>
          <w:rFonts w:cs="Tahoma" w:ascii="Tahoma" w:hAnsi="Tahoma"/>
          <w:b/>
          <w:i/>
          <w:spacing w:val="-4"/>
          <w:sz w:val="20"/>
          <w:szCs w:val="20"/>
          <w:u w:val="thick"/>
        </w:rPr>
        <w:t>PAÍS</w:t>
      </w:r>
    </w:p>
    <w:p>
      <w:pPr>
        <w:pStyle w:val="Normal"/>
        <w:ind w:right="2" w:hanging="0"/>
        <w:jc w:val="center"/>
        <w:rPr>
          <w:rFonts w:ascii="Tahoma" w:hAnsi="Tahoma" w:cs="Tahoma"/>
          <w:b/>
          <w:b/>
          <w:i/>
          <w:i/>
          <w:spacing w:val="-4"/>
          <w:sz w:val="20"/>
          <w:szCs w:val="20"/>
          <w:u w:val="thick"/>
        </w:rPr>
      </w:pPr>
      <w:r>
        <w:rPr>
          <w:rFonts w:cs="Tahoma" w:ascii="Tahoma" w:hAnsi="Tahoma"/>
          <w:b/>
          <w:i/>
          <w:spacing w:val="-4"/>
          <w:sz w:val="20"/>
          <w:szCs w:val="20"/>
          <w:u w:val="thick"/>
        </w:rPr>
      </w:r>
    </w:p>
    <w:p>
      <w:pPr>
        <w:pStyle w:val="Normal"/>
        <w:spacing w:before="90" w:after="200"/>
        <w:ind w:right="3" w:hanging="0"/>
        <w:jc w:val="center"/>
        <w:rPr>
          <w:rFonts w:ascii="Tahoma" w:hAnsi="Tahoma" w:cs="Tahoma"/>
          <w:b/>
          <w:b/>
          <w:i/>
          <w:i/>
          <w:sz w:val="20"/>
          <w:szCs w:val="20"/>
        </w:rPr>
      </w:pPr>
      <w:r>
        <w:rPr>
          <w:rFonts w:cs="Tahoma" w:ascii="Tahoma" w:hAnsi="Tahoma"/>
          <w:b/>
          <w:i/>
          <w:sz w:val="20"/>
          <w:szCs w:val="20"/>
          <w:u w:val="thick"/>
        </w:rPr>
        <w:t>SE LES HACE SABER QUE</w:t>
      </w:r>
      <w:r>
        <w:rPr>
          <w:rFonts w:cs="Tahoma" w:ascii="Tahoma" w:hAnsi="Tahoma"/>
          <w:b/>
          <w:i/>
          <w:sz w:val="20"/>
          <w:szCs w:val="20"/>
        </w:rPr>
        <w:t>:</w:t>
      </w:r>
    </w:p>
    <w:p>
      <w:pPr>
        <w:pStyle w:val="Cuerpodetexto"/>
        <w:spacing w:before="2" w:after="0"/>
        <w:rPr>
          <w:rFonts w:ascii="Tahoma" w:hAnsi="Tahoma" w:cs="Tahoma"/>
          <w:b/>
          <w:b/>
          <w:sz w:val="20"/>
          <w:szCs w:val="20"/>
        </w:rPr>
      </w:pPr>
      <w:r>
        <w:rPr>
          <w:rFonts w:cs="Tahoma" w:ascii="Tahoma" w:hAnsi="Tahoma"/>
          <w:b/>
          <w:sz w:val="20"/>
          <w:szCs w:val="20"/>
        </w:rPr>
      </w:r>
    </w:p>
    <w:p>
      <w:pPr>
        <w:pStyle w:val="Cuerpodetexto"/>
        <w:spacing w:before="90" w:after="0"/>
        <w:ind w:left="117" w:firstLine="707"/>
        <w:jc w:val="both"/>
        <w:rPr>
          <w:rFonts w:ascii="Tahoma" w:hAnsi="Tahoma" w:cs="Tahoma"/>
          <w:sz w:val="20"/>
          <w:szCs w:val="20"/>
        </w:rPr>
      </w:pPr>
      <w:r>
        <w:rPr>
          <w:rFonts w:cs="Tahoma" w:ascii="Tahoma" w:hAnsi="Tahoma"/>
          <w:i/>
          <w:sz w:val="20"/>
          <w:szCs w:val="20"/>
        </w:rPr>
        <w:t xml:space="preserve">La Corte Plena, en sesión Nº 20-19 celebrada el 27 de mayo de 2019, artículo XIX, </w:t>
      </w:r>
      <w:r>
        <w:rPr>
          <w:rFonts w:cs="Tahoma" w:ascii="Tahoma" w:hAnsi="Tahoma"/>
          <w:sz w:val="20"/>
          <w:szCs w:val="20"/>
        </w:rPr>
        <w:t>dispuso aprobar los 21 ejes de acción, recomendados por la Comisión de Acceso a la</w:t>
      </w:r>
      <w:r>
        <w:rPr>
          <w:rFonts w:cs="Tahoma" w:ascii="Tahoma" w:hAnsi="Tahoma"/>
          <w:spacing w:val="58"/>
          <w:sz w:val="20"/>
          <w:szCs w:val="20"/>
        </w:rPr>
        <w:t xml:space="preserve"> </w:t>
      </w:r>
      <w:r>
        <w:rPr>
          <w:rFonts w:cs="Tahoma" w:ascii="Tahoma" w:hAnsi="Tahoma"/>
          <w:sz w:val="20"/>
          <w:szCs w:val="20"/>
        </w:rPr>
        <w:t>Justicia,</w:t>
      </w:r>
      <w:r>
        <w:rPr>
          <w:rFonts w:cs="Tahoma" w:ascii="Tahoma" w:hAnsi="Tahoma"/>
          <w:i/>
          <w:sz w:val="20"/>
          <w:szCs w:val="20"/>
        </w:rPr>
        <w:t>que</w:t>
      </w:r>
      <w:r>
        <w:rPr>
          <w:rFonts w:cs="Tahoma" w:ascii="Tahoma" w:hAnsi="Tahoma"/>
          <w:i/>
          <w:spacing w:val="23"/>
          <w:sz w:val="20"/>
          <w:szCs w:val="20"/>
        </w:rPr>
        <w:t xml:space="preserve"> </w:t>
      </w:r>
      <w:r>
        <w:rPr>
          <w:rFonts w:cs="Tahoma" w:ascii="Tahoma" w:hAnsi="Tahoma"/>
          <w:i/>
          <w:sz w:val="20"/>
          <w:szCs w:val="20"/>
        </w:rPr>
        <w:t>deberán</w:t>
      </w:r>
      <w:r>
        <w:rPr>
          <w:rFonts w:cs="Tahoma" w:ascii="Tahoma" w:hAnsi="Tahoma"/>
          <w:i/>
          <w:spacing w:val="24"/>
          <w:sz w:val="20"/>
          <w:szCs w:val="20"/>
        </w:rPr>
        <w:t xml:space="preserve"> </w:t>
      </w:r>
      <w:r>
        <w:rPr>
          <w:rFonts w:cs="Tahoma" w:ascii="Tahoma" w:hAnsi="Tahoma"/>
          <w:i/>
          <w:sz w:val="20"/>
          <w:szCs w:val="20"/>
        </w:rPr>
        <w:t>ser</w:t>
      </w:r>
      <w:r>
        <w:rPr>
          <w:rFonts w:cs="Tahoma" w:ascii="Tahoma" w:hAnsi="Tahoma"/>
          <w:i/>
          <w:spacing w:val="24"/>
          <w:sz w:val="20"/>
          <w:szCs w:val="20"/>
        </w:rPr>
        <w:t xml:space="preserve"> </w:t>
      </w:r>
      <w:r>
        <w:rPr>
          <w:rFonts w:cs="Tahoma" w:ascii="Tahoma" w:hAnsi="Tahoma"/>
          <w:i/>
          <w:sz w:val="20"/>
          <w:szCs w:val="20"/>
        </w:rPr>
        <w:t>desarrollados</w:t>
      </w:r>
      <w:r>
        <w:rPr>
          <w:rFonts w:cs="Tahoma" w:ascii="Tahoma" w:hAnsi="Tahoma"/>
          <w:i/>
          <w:spacing w:val="24"/>
          <w:sz w:val="20"/>
          <w:szCs w:val="20"/>
        </w:rPr>
        <w:t xml:space="preserve"> </w:t>
      </w:r>
      <w:r>
        <w:rPr>
          <w:rFonts w:cs="Tahoma" w:ascii="Tahoma" w:hAnsi="Tahoma"/>
          <w:i/>
          <w:sz w:val="20"/>
          <w:szCs w:val="20"/>
        </w:rPr>
        <w:t>por</w:t>
      </w:r>
      <w:r>
        <w:rPr>
          <w:rFonts w:cs="Tahoma" w:ascii="Tahoma" w:hAnsi="Tahoma"/>
          <w:i/>
          <w:spacing w:val="24"/>
          <w:sz w:val="20"/>
          <w:szCs w:val="20"/>
        </w:rPr>
        <w:t xml:space="preserve"> </w:t>
      </w:r>
      <w:r>
        <w:rPr>
          <w:rFonts w:cs="Tahoma" w:ascii="Tahoma" w:hAnsi="Tahoma"/>
          <w:i/>
          <w:sz w:val="20"/>
          <w:szCs w:val="20"/>
        </w:rPr>
        <w:t>las</w:t>
      </w:r>
      <w:r>
        <w:rPr>
          <w:rFonts w:cs="Tahoma" w:ascii="Tahoma" w:hAnsi="Tahoma"/>
          <w:i/>
          <w:spacing w:val="25"/>
          <w:sz w:val="20"/>
          <w:szCs w:val="20"/>
        </w:rPr>
        <w:t xml:space="preserve"> </w:t>
      </w:r>
      <w:r>
        <w:rPr>
          <w:rFonts w:cs="Tahoma" w:ascii="Tahoma" w:hAnsi="Tahoma"/>
          <w:i/>
          <w:sz w:val="20"/>
          <w:szCs w:val="20"/>
        </w:rPr>
        <w:t>Direcciones</w:t>
      </w:r>
      <w:r>
        <w:rPr>
          <w:rFonts w:cs="Tahoma" w:ascii="Tahoma" w:hAnsi="Tahoma"/>
          <w:i/>
          <w:spacing w:val="24"/>
          <w:sz w:val="20"/>
          <w:szCs w:val="20"/>
        </w:rPr>
        <w:t xml:space="preserve"> </w:t>
      </w:r>
      <w:r>
        <w:rPr>
          <w:rFonts w:cs="Tahoma" w:ascii="Tahoma" w:hAnsi="Tahoma"/>
          <w:i/>
          <w:sz w:val="20"/>
          <w:szCs w:val="20"/>
        </w:rPr>
        <w:t>del</w:t>
      </w:r>
      <w:r>
        <w:rPr>
          <w:rFonts w:cs="Tahoma" w:ascii="Tahoma" w:hAnsi="Tahoma"/>
          <w:i/>
          <w:spacing w:val="24"/>
          <w:sz w:val="20"/>
          <w:szCs w:val="20"/>
        </w:rPr>
        <w:t xml:space="preserve"> </w:t>
      </w:r>
      <w:r>
        <w:rPr>
          <w:rFonts w:cs="Tahoma" w:ascii="Tahoma" w:hAnsi="Tahoma"/>
          <w:i/>
          <w:sz w:val="20"/>
          <w:szCs w:val="20"/>
        </w:rPr>
        <w:t>Ministerio</w:t>
      </w:r>
      <w:r>
        <w:rPr>
          <w:rFonts w:cs="Tahoma" w:ascii="Tahoma" w:hAnsi="Tahoma"/>
          <w:i/>
          <w:spacing w:val="25"/>
          <w:sz w:val="20"/>
          <w:szCs w:val="20"/>
        </w:rPr>
        <w:t xml:space="preserve"> </w:t>
      </w:r>
      <w:r>
        <w:rPr>
          <w:rFonts w:cs="Tahoma" w:ascii="Tahoma" w:hAnsi="Tahoma"/>
          <w:i/>
          <w:sz w:val="20"/>
          <w:szCs w:val="20"/>
        </w:rPr>
        <w:t>Público,</w:t>
      </w:r>
      <w:r>
        <w:rPr>
          <w:rFonts w:cs="Tahoma" w:ascii="Tahoma" w:hAnsi="Tahoma"/>
          <w:i/>
          <w:spacing w:val="24"/>
          <w:sz w:val="20"/>
          <w:szCs w:val="20"/>
        </w:rPr>
        <w:t xml:space="preserve"> </w:t>
      </w:r>
      <w:r>
        <w:rPr>
          <w:rFonts w:cs="Tahoma" w:ascii="Tahoma" w:hAnsi="Tahoma"/>
          <w:i/>
          <w:sz w:val="20"/>
          <w:szCs w:val="20"/>
        </w:rPr>
        <w:t>Defensa</w:t>
      </w:r>
      <w:r>
        <w:rPr>
          <w:rFonts w:cs="Tahoma" w:ascii="Tahoma" w:hAnsi="Tahoma"/>
          <w:i/>
          <w:spacing w:val="24"/>
          <w:sz w:val="20"/>
          <w:szCs w:val="20"/>
        </w:rPr>
        <w:t xml:space="preserve"> </w:t>
      </w:r>
      <w:r>
        <w:rPr>
          <w:rFonts w:cs="Tahoma" w:ascii="Tahoma" w:hAnsi="Tahoma"/>
          <w:i/>
          <w:sz w:val="20"/>
          <w:szCs w:val="20"/>
        </w:rPr>
        <w:t>Pública,</w:t>
      </w:r>
      <w:r>
        <w:rPr>
          <w:rFonts w:cs="Tahoma" w:ascii="Tahoma" w:hAnsi="Tahoma"/>
          <w:sz w:val="20"/>
          <w:szCs w:val="20"/>
        </w:rPr>
        <w:t xml:space="preserve"> Organismo</w:t>
      </w:r>
      <w:r>
        <w:rPr>
          <w:rFonts w:cs="Tahoma" w:ascii="Tahoma" w:hAnsi="Tahoma"/>
          <w:spacing w:val="39"/>
          <w:sz w:val="20"/>
          <w:szCs w:val="20"/>
        </w:rPr>
        <w:t xml:space="preserve"> </w:t>
      </w:r>
      <w:r>
        <w:rPr>
          <w:rFonts w:cs="Tahoma" w:ascii="Tahoma" w:hAnsi="Tahoma"/>
          <w:sz w:val="20"/>
          <w:szCs w:val="20"/>
        </w:rPr>
        <w:t>de</w:t>
      </w:r>
      <w:r>
        <w:rPr>
          <w:rFonts w:cs="Tahoma" w:ascii="Tahoma" w:hAnsi="Tahoma"/>
          <w:spacing w:val="41"/>
          <w:sz w:val="20"/>
          <w:szCs w:val="20"/>
        </w:rPr>
        <w:t xml:space="preserve"> </w:t>
      </w:r>
      <w:r>
        <w:rPr>
          <w:rFonts w:cs="Tahoma" w:ascii="Tahoma" w:hAnsi="Tahoma"/>
          <w:sz w:val="20"/>
          <w:szCs w:val="20"/>
        </w:rPr>
        <w:t>Investigación</w:t>
      </w:r>
      <w:r>
        <w:rPr>
          <w:rFonts w:cs="Tahoma" w:ascii="Tahoma" w:hAnsi="Tahoma"/>
          <w:spacing w:val="40"/>
          <w:sz w:val="20"/>
          <w:szCs w:val="20"/>
        </w:rPr>
        <w:t xml:space="preserve"> </w:t>
      </w:r>
      <w:r>
        <w:rPr>
          <w:rFonts w:cs="Tahoma" w:ascii="Tahoma" w:hAnsi="Tahoma"/>
          <w:sz w:val="20"/>
          <w:szCs w:val="20"/>
        </w:rPr>
        <w:t>Judicial,</w:t>
      </w:r>
      <w:r>
        <w:rPr>
          <w:rFonts w:cs="Tahoma" w:ascii="Tahoma" w:hAnsi="Tahoma"/>
          <w:spacing w:val="41"/>
          <w:sz w:val="20"/>
          <w:szCs w:val="20"/>
        </w:rPr>
        <w:t xml:space="preserve"> </w:t>
      </w:r>
      <w:r>
        <w:rPr>
          <w:rFonts w:cs="Tahoma" w:ascii="Tahoma" w:hAnsi="Tahoma"/>
          <w:sz w:val="20"/>
          <w:szCs w:val="20"/>
        </w:rPr>
        <w:t>Gestión</w:t>
      </w:r>
      <w:r>
        <w:rPr>
          <w:rFonts w:cs="Tahoma" w:ascii="Tahoma" w:hAnsi="Tahoma"/>
          <w:spacing w:val="42"/>
          <w:sz w:val="20"/>
          <w:szCs w:val="20"/>
        </w:rPr>
        <w:t xml:space="preserve"> </w:t>
      </w:r>
      <w:r>
        <w:rPr>
          <w:rFonts w:cs="Tahoma" w:ascii="Tahoma" w:hAnsi="Tahoma"/>
          <w:sz w:val="20"/>
          <w:szCs w:val="20"/>
        </w:rPr>
        <w:t>Humana,</w:t>
      </w:r>
      <w:r>
        <w:rPr>
          <w:rFonts w:cs="Tahoma" w:ascii="Tahoma" w:hAnsi="Tahoma"/>
          <w:spacing w:val="40"/>
          <w:sz w:val="20"/>
          <w:szCs w:val="20"/>
        </w:rPr>
        <w:t xml:space="preserve"> </w:t>
      </w:r>
      <w:r>
        <w:rPr>
          <w:rFonts w:cs="Tahoma" w:ascii="Tahoma" w:hAnsi="Tahoma"/>
          <w:sz w:val="20"/>
          <w:szCs w:val="20"/>
        </w:rPr>
        <w:t>Planificación,</w:t>
      </w:r>
      <w:r>
        <w:rPr>
          <w:rFonts w:cs="Tahoma" w:ascii="Tahoma" w:hAnsi="Tahoma"/>
          <w:spacing w:val="43"/>
          <w:sz w:val="20"/>
          <w:szCs w:val="20"/>
        </w:rPr>
        <w:t xml:space="preserve"> </w:t>
      </w:r>
      <w:r>
        <w:rPr>
          <w:rFonts w:cs="Tahoma" w:ascii="Tahoma" w:hAnsi="Tahoma"/>
          <w:sz w:val="20"/>
          <w:szCs w:val="20"/>
        </w:rPr>
        <w:t>Dirección</w:t>
      </w:r>
      <w:r>
        <w:rPr>
          <w:rFonts w:cs="Tahoma" w:ascii="Tahoma" w:hAnsi="Tahoma"/>
          <w:spacing w:val="44"/>
          <w:sz w:val="20"/>
          <w:szCs w:val="20"/>
        </w:rPr>
        <w:t xml:space="preserve"> </w:t>
      </w:r>
      <w:r>
        <w:rPr>
          <w:rFonts w:cs="Tahoma" w:ascii="Tahoma" w:hAnsi="Tahoma"/>
          <w:sz w:val="20"/>
          <w:szCs w:val="20"/>
        </w:rPr>
        <w:t xml:space="preserve">Ejecutiva, </w:t>
      </w:r>
      <w:r>
        <w:rPr>
          <w:rFonts w:cs="Tahoma" w:ascii="Tahoma" w:hAnsi="Tahoma"/>
          <w:spacing w:val="-3"/>
          <w:sz w:val="20"/>
          <w:szCs w:val="20"/>
        </w:rPr>
        <w:t>Tecnología</w:t>
      </w:r>
      <w:r>
        <w:rPr>
          <w:rFonts w:cs="Tahoma" w:ascii="Tahoma" w:hAnsi="Tahoma"/>
          <w:spacing w:val="39"/>
          <w:sz w:val="20"/>
          <w:szCs w:val="20"/>
        </w:rPr>
        <w:t xml:space="preserve"> </w:t>
      </w:r>
      <w:r>
        <w:rPr>
          <w:rFonts w:cs="Tahoma" w:ascii="Tahoma" w:hAnsi="Tahoma"/>
          <w:sz w:val="20"/>
          <w:szCs w:val="20"/>
        </w:rPr>
        <w:t>de</w:t>
      </w:r>
      <w:r>
        <w:rPr>
          <w:rFonts w:cs="Tahoma" w:ascii="Tahoma" w:hAnsi="Tahoma"/>
          <w:spacing w:val="41"/>
          <w:sz w:val="20"/>
          <w:szCs w:val="20"/>
        </w:rPr>
        <w:t xml:space="preserve"> </w:t>
      </w:r>
      <w:r>
        <w:rPr>
          <w:rFonts w:cs="Tahoma" w:ascii="Tahoma" w:hAnsi="Tahoma"/>
          <w:sz w:val="20"/>
          <w:szCs w:val="20"/>
        </w:rPr>
        <w:t>la</w:t>
      </w:r>
      <w:r>
        <w:rPr>
          <w:rFonts w:cs="Tahoma" w:ascii="Tahoma" w:hAnsi="Tahoma"/>
          <w:spacing w:val="41"/>
          <w:sz w:val="20"/>
          <w:szCs w:val="20"/>
        </w:rPr>
        <w:t xml:space="preserve"> </w:t>
      </w:r>
      <w:r>
        <w:rPr>
          <w:rFonts w:cs="Tahoma" w:ascii="Tahoma" w:hAnsi="Tahoma"/>
          <w:sz w:val="20"/>
          <w:szCs w:val="20"/>
        </w:rPr>
        <w:t>Información,</w:t>
      </w:r>
      <w:r>
        <w:rPr>
          <w:rFonts w:cs="Tahoma" w:ascii="Tahoma" w:hAnsi="Tahoma"/>
          <w:spacing w:val="40"/>
          <w:sz w:val="20"/>
          <w:szCs w:val="20"/>
        </w:rPr>
        <w:t xml:space="preserve"> </w:t>
      </w:r>
      <w:r>
        <w:rPr>
          <w:rFonts w:cs="Tahoma" w:ascii="Tahoma" w:hAnsi="Tahoma"/>
          <w:sz w:val="20"/>
          <w:szCs w:val="20"/>
        </w:rPr>
        <w:t>Escuela</w:t>
      </w:r>
      <w:r>
        <w:rPr>
          <w:rFonts w:cs="Tahoma" w:ascii="Tahoma" w:hAnsi="Tahoma"/>
          <w:spacing w:val="43"/>
          <w:sz w:val="20"/>
          <w:szCs w:val="20"/>
        </w:rPr>
        <w:t xml:space="preserve"> </w:t>
      </w:r>
      <w:r>
        <w:rPr>
          <w:rFonts w:cs="Tahoma" w:ascii="Tahoma" w:hAnsi="Tahoma"/>
          <w:sz w:val="20"/>
          <w:szCs w:val="20"/>
        </w:rPr>
        <w:t>Judicial</w:t>
      </w:r>
      <w:r>
        <w:rPr>
          <w:rFonts w:cs="Tahoma" w:ascii="Tahoma" w:hAnsi="Tahoma"/>
          <w:spacing w:val="43"/>
          <w:sz w:val="20"/>
          <w:szCs w:val="20"/>
        </w:rPr>
        <w:t xml:space="preserve"> </w:t>
      </w:r>
      <w:r>
        <w:rPr>
          <w:rFonts w:cs="Tahoma" w:ascii="Tahoma" w:hAnsi="Tahoma"/>
          <w:sz w:val="20"/>
          <w:szCs w:val="20"/>
        </w:rPr>
        <w:t>y</w:t>
      </w:r>
      <w:r>
        <w:rPr>
          <w:rFonts w:cs="Tahoma" w:ascii="Tahoma" w:hAnsi="Tahoma"/>
          <w:spacing w:val="38"/>
          <w:sz w:val="20"/>
          <w:szCs w:val="20"/>
        </w:rPr>
        <w:t xml:space="preserve"> </w:t>
      </w:r>
      <w:r>
        <w:rPr>
          <w:rFonts w:cs="Tahoma" w:ascii="Tahoma" w:hAnsi="Tahoma"/>
          <w:sz w:val="20"/>
          <w:szCs w:val="20"/>
        </w:rPr>
        <w:t>el</w:t>
      </w:r>
      <w:r>
        <w:rPr>
          <w:rFonts w:cs="Tahoma" w:ascii="Tahoma" w:hAnsi="Tahoma"/>
          <w:spacing w:val="41"/>
          <w:sz w:val="20"/>
          <w:szCs w:val="20"/>
        </w:rPr>
        <w:t xml:space="preserve"> </w:t>
      </w:r>
      <w:r>
        <w:rPr>
          <w:rFonts w:cs="Tahoma" w:ascii="Tahoma" w:hAnsi="Tahoma"/>
          <w:sz w:val="20"/>
          <w:szCs w:val="20"/>
        </w:rPr>
        <w:t>Sector</w:t>
      </w:r>
      <w:r>
        <w:rPr>
          <w:rFonts w:cs="Tahoma" w:ascii="Tahoma" w:hAnsi="Tahoma"/>
          <w:spacing w:val="41"/>
          <w:sz w:val="20"/>
          <w:szCs w:val="20"/>
        </w:rPr>
        <w:t xml:space="preserve"> </w:t>
      </w:r>
      <w:r>
        <w:rPr>
          <w:rFonts w:cs="Tahoma" w:ascii="Tahoma" w:hAnsi="Tahoma"/>
          <w:sz w:val="20"/>
          <w:szCs w:val="20"/>
        </w:rPr>
        <w:t>Jurisdiccional,</w:t>
      </w:r>
      <w:r>
        <w:rPr>
          <w:rFonts w:cs="Tahoma" w:ascii="Tahoma" w:hAnsi="Tahoma"/>
          <w:spacing w:val="40"/>
          <w:sz w:val="20"/>
          <w:szCs w:val="20"/>
        </w:rPr>
        <w:t xml:space="preserve"> </w:t>
      </w:r>
      <w:r>
        <w:rPr>
          <w:rFonts w:cs="Tahoma" w:ascii="Tahoma" w:hAnsi="Tahoma"/>
          <w:sz w:val="20"/>
          <w:szCs w:val="20"/>
        </w:rPr>
        <w:t>con</w:t>
      </w:r>
      <w:r>
        <w:rPr>
          <w:rFonts w:cs="Tahoma" w:ascii="Tahoma" w:hAnsi="Tahoma"/>
          <w:spacing w:val="40"/>
          <w:sz w:val="20"/>
          <w:szCs w:val="20"/>
        </w:rPr>
        <w:t xml:space="preserve"> </w:t>
      </w:r>
      <w:r>
        <w:rPr>
          <w:rFonts w:cs="Tahoma" w:ascii="Tahoma" w:hAnsi="Tahoma"/>
          <w:sz w:val="20"/>
          <w:szCs w:val="20"/>
        </w:rPr>
        <w:t>ocasión</w:t>
      </w:r>
      <w:r>
        <w:rPr>
          <w:rFonts w:cs="Tahoma" w:ascii="Tahoma" w:hAnsi="Tahoma"/>
          <w:spacing w:val="41"/>
          <w:sz w:val="20"/>
          <w:szCs w:val="20"/>
        </w:rPr>
        <w:t xml:space="preserve"> </w:t>
      </w:r>
      <w:r>
        <w:rPr>
          <w:rFonts w:cs="Tahoma" w:ascii="Tahoma" w:hAnsi="Tahoma"/>
          <w:sz w:val="20"/>
          <w:szCs w:val="20"/>
        </w:rPr>
        <w:t>del encuentro</w:t>
      </w:r>
      <w:r>
        <w:rPr>
          <w:rFonts w:cs="Tahoma" w:ascii="Tahoma" w:hAnsi="Tahoma"/>
          <w:spacing w:val="16"/>
          <w:sz w:val="20"/>
          <w:szCs w:val="20"/>
        </w:rPr>
        <w:t xml:space="preserve"> </w:t>
      </w:r>
      <w:r>
        <w:rPr>
          <w:rFonts w:cs="Tahoma" w:ascii="Tahoma" w:hAnsi="Tahoma"/>
          <w:sz w:val="20"/>
          <w:szCs w:val="20"/>
        </w:rPr>
        <w:t>realizado</w:t>
      </w:r>
      <w:r>
        <w:rPr>
          <w:rFonts w:cs="Tahoma" w:ascii="Tahoma" w:hAnsi="Tahoma"/>
          <w:spacing w:val="16"/>
          <w:sz w:val="20"/>
          <w:szCs w:val="20"/>
        </w:rPr>
        <w:t xml:space="preserve"> </w:t>
      </w:r>
      <w:r>
        <w:rPr>
          <w:rFonts w:cs="Tahoma" w:ascii="Tahoma" w:hAnsi="Tahoma"/>
          <w:sz w:val="20"/>
          <w:szCs w:val="20"/>
        </w:rPr>
        <w:t>entre</w:t>
      </w:r>
      <w:r>
        <w:rPr>
          <w:rFonts w:cs="Tahoma" w:ascii="Tahoma" w:hAnsi="Tahoma"/>
          <w:spacing w:val="16"/>
          <w:sz w:val="20"/>
          <w:szCs w:val="20"/>
        </w:rPr>
        <w:t xml:space="preserve"> </w:t>
      </w:r>
      <w:r>
        <w:rPr>
          <w:rFonts w:cs="Tahoma" w:ascii="Tahoma" w:hAnsi="Tahoma"/>
          <w:sz w:val="20"/>
          <w:szCs w:val="20"/>
        </w:rPr>
        <w:t>representantes</w:t>
      </w:r>
      <w:r>
        <w:rPr>
          <w:rFonts w:cs="Tahoma" w:ascii="Tahoma" w:hAnsi="Tahoma"/>
          <w:spacing w:val="17"/>
          <w:sz w:val="20"/>
          <w:szCs w:val="20"/>
        </w:rPr>
        <w:t xml:space="preserve"> </w:t>
      </w:r>
      <w:r>
        <w:rPr>
          <w:rFonts w:cs="Tahoma" w:ascii="Tahoma" w:hAnsi="Tahoma"/>
          <w:sz w:val="20"/>
          <w:szCs w:val="20"/>
        </w:rPr>
        <w:t>del</w:t>
      </w:r>
      <w:r>
        <w:rPr>
          <w:rFonts w:cs="Tahoma" w:ascii="Tahoma" w:hAnsi="Tahoma"/>
          <w:spacing w:val="17"/>
          <w:sz w:val="20"/>
          <w:szCs w:val="20"/>
        </w:rPr>
        <w:t xml:space="preserve"> </w:t>
      </w:r>
      <w:r>
        <w:rPr>
          <w:rFonts w:cs="Tahoma" w:ascii="Tahoma" w:hAnsi="Tahoma"/>
          <w:sz w:val="20"/>
          <w:szCs w:val="20"/>
        </w:rPr>
        <w:t>Estado</w:t>
      </w:r>
      <w:r>
        <w:rPr>
          <w:rFonts w:cs="Tahoma" w:ascii="Tahoma" w:hAnsi="Tahoma"/>
          <w:spacing w:val="17"/>
          <w:sz w:val="20"/>
          <w:szCs w:val="20"/>
        </w:rPr>
        <w:t xml:space="preserve"> </w:t>
      </w:r>
      <w:r>
        <w:rPr>
          <w:rFonts w:cs="Tahoma" w:ascii="Tahoma" w:hAnsi="Tahoma"/>
          <w:sz w:val="20"/>
          <w:szCs w:val="20"/>
        </w:rPr>
        <w:t>y</w:t>
      </w:r>
      <w:r>
        <w:rPr>
          <w:rFonts w:cs="Tahoma" w:ascii="Tahoma" w:hAnsi="Tahoma"/>
          <w:spacing w:val="16"/>
          <w:sz w:val="20"/>
          <w:szCs w:val="20"/>
        </w:rPr>
        <w:t xml:space="preserve"> </w:t>
      </w:r>
      <w:r>
        <w:rPr>
          <w:rFonts w:cs="Tahoma" w:ascii="Tahoma" w:hAnsi="Tahoma"/>
          <w:sz w:val="20"/>
          <w:szCs w:val="20"/>
        </w:rPr>
        <w:t>Personas</w:t>
      </w:r>
      <w:r>
        <w:rPr>
          <w:rFonts w:cs="Tahoma" w:ascii="Tahoma" w:hAnsi="Tahoma"/>
          <w:spacing w:val="17"/>
          <w:sz w:val="20"/>
          <w:szCs w:val="20"/>
        </w:rPr>
        <w:t xml:space="preserve"> </w:t>
      </w:r>
      <w:r>
        <w:rPr>
          <w:rFonts w:cs="Tahoma" w:ascii="Tahoma" w:hAnsi="Tahoma"/>
          <w:sz w:val="20"/>
          <w:szCs w:val="20"/>
        </w:rPr>
        <w:t>Indígenas</w:t>
      </w:r>
      <w:r>
        <w:rPr>
          <w:rFonts w:cs="Tahoma" w:ascii="Tahoma" w:hAnsi="Tahoma"/>
          <w:spacing w:val="18"/>
          <w:sz w:val="20"/>
          <w:szCs w:val="20"/>
        </w:rPr>
        <w:t xml:space="preserve"> </w:t>
      </w:r>
      <w:r>
        <w:rPr>
          <w:rFonts w:cs="Tahoma" w:ascii="Tahoma" w:hAnsi="Tahoma"/>
          <w:sz w:val="20"/>
          <w:szCs w:val="20"/>
        </w:rPr>
        <w:t>Bribri</w:t>
      </w:r>
      <w:r>
        <w:rPr>
          <w:rFonts w:cs="Tahoma" w:ascii="Tahoma" w:hAnsi="Tahoma"/>
          <w:spacing w:val="14"/>
          <w:sz w:val="20"/>
          <w:szCs w:val="20"/>
        </w:rPr>
        <w:t xml:space="preserve"> </w:t>
      </w:r>
      <w:r>
        <w:rPr>
          <w:rFonts w:cs="Tahoma" w:ascii="Tahoma" w:hAnsi="Tahoma"/>
          <w:sz w:val="20"/>
          <w:szCs w:val="20"/>
        </w:rPr>
        <w:t>de</w:t>
      </w:r>
      <w:r>
        <w:rPr>
          <w:rFonts w:cs="Tahoma" w:ascii="Tahoma" w:hAnsi="Tahoma"/>
          <w:spacing w:val="16"/>
          <w:sz w:val="20"/>
          <w:szCs w:val="20"/>
        </w:rPr>
        <w:t xml:space="preserve"> </w:t>
      </w:r>
      <w:r>
        <w:rPr>
          <w:rFonts w:cs="Tahoma" w:ascii="Tahoma" w:hAnsi="Tahoma"/>
          <w:sz w:val="20"/>
          <w:szCs w:val="20"/>
        </w:rPr>
        <w:t>Salitre</w:t>
      </w:r>
      <w:r>
        <w:rPr>
          <w:rFonts w:cs="Tahoma" w:ascii="Tahoma" w:hAnsi="Tahoma"/>
          <w:spacing w:val="16"/>
          <w:sz w:val="20"/>
          <w:szCs w:val="20"/>
        </w:rPr>
        <w:t xml:space="preserve"> </w:t>
      </w:r>
      <w:r>
        <w:rPr>
          <w:rFonts w:cs="Tahoma" w:ascii="Tahoma" w:hAnsi="Tahoma"/>
          <w:sz w:val="20"/>
          <w:szCs w:val="20"/>
        </w:rPr>
        <w:t>y Térraba,</w:t>
      </w:r>
      <w:r>
        <w:rPr>
          <w:rFonts w:cs="Tahoma" w:ascii="Tahoma" w:hAnsi="Tahoma"/>
          <w:spacing w:val="44"/>
          <w:sz w:val="20"/>
          <w:szCs w:val="20"/>
        </w:rPr>
        <w:t xml:space="preserve"> </w:t>
      </w:r>
      <w:r>
        <w:rPr>
          <w:rFonts w:cs="Tahoma" w:ascii="Tahoma" w:hAnsi="Tahoma"/>
          <w:sz w:val="20"/>
          <w:szCs w:val="20"/>
        </w:rPr>
        <w:t>en</w:t>
      </w:r>
      <w:r>
        <w:rPr>
          <w:rFonts w:cs="Tahoma" w:ascii="Tahoma" w:hAnsi="Tahoma"/>
          <w:spacing w:val="46"/>
          <w:sz w:val="20"/>
          <w:szCs w:val="20"/>
        </w:rPr>
        <w:t xml:space="preserve"> </w:t>
      </w:r>
      <w:r>
        <w:rPr>
          <w:rFonts w:cs="Tahoma" w:ascii="Tahoma" w:hAnsi="Tahoma"/>
          <w:sz w:val="20"/>
          <w:szCs w:val="20"/>
        </w:rPr>
        <w:t>cumplimiento</w:t>
      </w:r>
      <w:r>
        <w:rPr>
          <w:rFonts w:cs="Tahoma" w:ascii="Tahoma" w:hAnsi="Tahoma"/>
          <w:spacing w:val="45"/>
          <w:sz w:val="20"/>
          <w:szCs w:val="20"/>
        </w:rPr>
        <w:t xml:space="preserve"> </w:t>
      </w:r>
      <w:r>
        <w:rPr>
          <w:rFonts w:cs="Tahoma" w:ascii="Tahoma" w:hAnsi="Tahoma"/>
          <w:sz w:val="20"/>
          <w:szCs w:val="20"/>
        </w:rPr>
        <w:t>de</w:t>
      </w:r>
      <w:r>
        <w:rPr>
          <w:rFonts w:cs="Tahoma" w:ascii="Tahoma" w:hAnsi="Tahoma"/>
          <w:spacing w:val="43"/>
          <w:sz w:val="20"/>
          <w:szCs w:val="20"/>
        </w:rPr>
        <w:t xml:space="preserve"> </w:t>
      </w:r>
      <w:r>
        <w:rPr>
          <w:rFonts w:cs="Tahoma" w:ascii="Tahoma" w:hAnsi="Tahoma"/>
          <w:sz w:val="20"/>
          <w:szCs w:val="20"/>
        </w:rPr>
        <w:t>las</w:t>
      </w:r>
      <w:r>
        <w:rPr>
          <w:rFonts w:cs="Tahoma" w:ascii="Tahoma" w:hAnsi="Tahoma"/>
          <w:spacing w:val="46"/>
          <w:sz w:val="20"/>
          <w:szCs w:val="20"/>
        </w:rPr>
        <w:t xml:space="preserve"> </w:t>
      </w:r>
      <w:r>
        <w:rPr>
          <w:rFonts w:cs="Tahoma" w:ascii="Tahoma" w:hAnsi="Tahoma"/>
          <w:sz w:val="20"/>
          <w:szCs w:val="20"/>
        </w:rPr>
        <w:t>Medidas</w:t>
      </w:r>
      <w:r>
        <w:rPr>
          <w:rFonts w:cs="Tahoma" w:ascii="Tahoma" w:hAnsi="Tahoma"/>
          <w:spacing w:val="44"/>
          <w:sz w:val="20"/>
          <w:szCs w:val="20"/>
        </w:rPr>
        <w:t xml:space="preserve"> </w:t>
      </w:r>
      <w:r>
        <w:rPr>
          <w:rFonts w:cs="Tahoma" w:ascii="Tahoma" w:hAnsi="Tahoma"/>
          <w:sz w:val="20"/>
          <w:szCs w:val="20"/>
        </w:rPr>
        <w:t>Cautelares</w:t>
      </w:r>
      <w:r>
        <w:rPr>
          <w:rFonts w:cs="Tahoma" w:ascii="Tahoma" w:hAnsi="Tahoma"/>
          <w:spacing w:val="45"/>
          <w:sz w:val="20"/>
          <w:szCs w:val="20"/>
        </w:rPr>
        <w:t xml:space="preserve"> </w:t>
      </w:r>
      <w:r>
        <w:rPr>
          <w:rFonts w:cs="Tahoma" w:ascii="Tahoma" w:hAnsi="Tahoma"/>
          <w:sz w:val="20"/>
          <w:szCs w:val="20"/>
        </w:rPr>
        <w:t>N°</w:t>
      </w:r>
      <w:r>
        <w:rPr>
          <w:rFonts w:cs="Tahoma" w:ascii="Tahoma" w:hAnsi="Tahoma"/>
          <w:spacing w:val="44"/>
          <w:sz w:val="20"/>
          <w:szCs w:val="20"/>
        </w:rPr>
        <w:t xml:space="preserve"> </w:t>
      </w:r>
      <w:r>
        <w:rPr>
          <w:rFonts w:cs="Tahoma" w:ascii="Tahoma" w:hAnsi="Tahoma"/>
          <w:sz w:val="20"/>
          <w:szCs w:val="20"/>
        </w:rPr>
        <w:t>321-12</w:t>
      </w:r>
      <w:r>
        <w:rPr>
          <w:rFonts w:cs="Tahoma" w:ascii="Tahoma" w:hAnsi="Tahoma"/>
          <w:spacing w:val="44"/>
          <w:sz w:val="20"/>
          <w:szCs w:val="20"/>
        </w:rPr>
        <w:t xml:space="preserve"> </w:t>
      </w:r>
      <w:r>
        <w:rPr>
          <w:rFonts w:cs="Tahoma" w:ascii="Tahoma" w:hAnsi="Tahoma"/>
          <w:sz w:val="20"/>
          <w:szCs w:val="20"/>
        </w:rPr>
        <w:t>del</w:t>
      </w:r>
      <w:r>
        <w:rPr>
          <w:rFonts w:cs="Tahoma" w:ascii="Tahoma" w:hAnsi="Tahoma"/>
          <w:spacing w:val="48"/>
          <w:sz w:val="20"/>
          <w:szCs w:val="20"/>
        </w:rPr>
        <w:t xml:space="preserve"> </w:t>
      </w:r>
      <w:r>
        <w:rPr>
          <w:rFonts w:cs="Tahoma" w:ascii="Tahoma" w:hAnsi="Tahoma"/>
          <w:sz w:val="20"/>
          <w:szCs w:val="20"/>
        </w:rPr>
        <w:t>30</w:t>
      </w:r>
      <w:r>
        <w:rPr>
          <w:rFonts w:cs="Tahoma" w:ascii="Tahoma" w:hAnsi="Tahoma"/>
          <w:spacing w:val="44"/>
          <w:sz w:val="20"/>
          <w:szCs w:val="20"/>
        </w:rPr>
        <w:t xml:space="preserve"> </w:t>
      </w:r>
      <w:r>
        <w:rPr>
          <w:rFonts w:cs="Tahoma" w:ascii="Tahoma" w:hAnsi="Tahoma"/>
          <w:sz w:val="20"/>
          <w:szCs w:val="20"/>
        </w:rPr>
        <w:t>de</w:t>
      </w:r>
      <w:r>
        <w:rPr>
          <w:rFonts w:cs="Tahoma" w:ascii="Tahoma" w:hAnsi="Tahoma"/>
          <w:spacing w:val="44"/>
          <w:sz w:val="20"/>
          <w:szCs w:val="20"/>
        </w:rPr>
        <w:t xml:space="preserve"> </w:t>
      </w:r>
      <w:r>
        <w:rPr>
          <w:rFonts w:cs="Tahoma" w:ascii="Tahoma" w:hAnsi="Tahoma"/>
          <w:sz w:val="20"/>
          <w:szCs w:val="20"/>
        </w:rPr>
        <w:t>abril</w:t>
      </w:r>
      <w:r>
        <w:rPr>
          <w:rFonts w:cs="Tahoma" w:ascii="Tahoma" w:hAnsi="Tahoma"/>
          <w:spacing w:val="44"/>
          <w:sz w:val="20"/>
          <w:szCs w:val="20"/>
        </w:rPr>
        <w:t xml:space="preserve"> </w:t>
      </w:r>
      <w:r>
        <w:rPr>
          <w:rFonts w:cs="Tahoma" w:ascii="Tahoma" w:hAnsi="Tahoma"/>
          <w:sz w:val="20"/>
          <w:szCs w:val="20"/>
        </w:rPr>
        <w:t>de</w:t>
      </w:r>
      <w:r>
        <w:rPr>
          <w:rFonts w:cs="Tahoma" w:ascii="Tahoma" w:hAnsi="Tahoma"/>
          <w:spacing w:val="44"/>
          <w:sz w:val="20"/>
          <w:szCs w:val="20"/>
        </w:rPr>
        <w:t xml:space="preserve"> </w:t>
      </w:r>
      <w:r>
        <w:rPr>
          <w:rFonts w:cs="Tahoma" w:ascii="Tahoma" w:hAnsi="Tahoma"/>
          <w:sz w:val="20"/>
          <w:szCs w:val="20"/>
        </w:rPr>
        <w:t>2015, establecidas</w:t>
      </w:r>
      <w:r>
        <w:rPr>
          <w:rFonts w:cs="Tahoma" w:ascii="Tahoma" w:hAnsi="Tahoma"/>
          <w:spacing w:val="-12"/>
          <w:sz w:val="20"/>
          <w:szCs w:val="20"/>
        </w:rPr>
        <w:t xml:space="preserve"> </w:t>
      </w:r>
      <w:r>
        <w:rPr>
          <w:rFonts w:cs="Tahoma" w:ascii="Tahoma" w:hAnsi="Tahoma"/>
          <w:sz w:val="20"/>
          <w:szCs w:val="20"/>
        </w:rPr>
        <w:t>por</w:t>
      </w:r>
      <w:r>
        <w:rPr>
          <w:rFonts w:cs="Tahoma" w:ascii="Tahoma" w:hAnsi="Tahoma"/>
          <w:spacing w:val="-11"/>
          <w:sz w:val="20"/>
          <w:szCs w:val="20"/>
        </w:rPr>
        <w:t xml:space="preserve"> </w:t>
      </w:r>
      <w:r>
        <w:rPr>
          <w:rFonts w:cs="Tahoma" w:ascii="Tahoma" w:hAnsi="Tahoma"/>
          <w:sz w:val="20"/>
          <w:szCs w:val="20"/>
        </w:rPr>
        <w:t>la</w:t>
      </w:r>
      <w:r>
        <w:rPr>
          <w:rFonts w:cs="Tahoma" w:ascii="Tahoma" w:hAnsi="Tahoma"/>
          <w:spacing w:val="-13"/>
          <w:sz w:val="20"/>
          <w:szCs w:val="20"/>
        </w:rPr>
        <w:t xml:space="preserve"> </w:t>
      </w:r>
      <w:r>
        <w:rPr>
          <w:rFonts w:cs="Tahoma" w:ascii="Tahoma" w:hAnsi="Tahoma"/>
          <w:sz w:val="20"/>
          <w:szCs w:val="20"/>
        </w:rPr>
        <w:t>Comisión</w:t>
      </w:r>
      <w:r>
        <w:rPr>
          <w:rFonts w:cs="Tahoma" w:ascii="Tahoma" w:hAnsi="Tahoma"/>
          <w:spacing w:val="-12"/>
          <w:sz w:val="20"/>
          <w:szCs w:val="20"/>
        </w:rPr>
        <w:t xml:space="preserve"> </w:t>
      </w:r>
      <w:r>
        <w:rPr>
          <w:rFonts w:cs="Tahoma" w:ascii="Tahoma" w:hAnsi="Tahoma"/>
          <w:sz w:val="20"/>
          <w:szCs w:val="20"/>
        </w:rPr>
        <w:t>Interamericana</w:t>
      </w:r>
      <w:r>
        <w:rPr>
          <w:rFonts w:cs="Tahoma" w:ascii="Tahoma" w:hAnsi="Tahoma"/>
          <w:spacing w:val="-11"/>
          <w:sz w:val="20"/>
          <w:szCs w:val="20"/>
        </w:rPr>
        <w:t xml:space="preserve"> </w:t>
      </w:r>
      <w:r>
        <w:rPr>
          <w:rFonts w:cs="Tahoma" w:ascii="Tahoma" w:hAnsi="Tahoma"/>
          <w:sz w:val="20"/>
          <w:szCs w:val="20"/>
        </w:rPr>
        <w:t>de</w:t>
      </w:r>
      <w:r>
        <w:rPr>
          <w:rFonts w:cs="Tahoma" w:ascii="Tahoma" w:hAnsi="Tahoma"/>
          <w:spacing w:val="-13"/>
          <w:sz w:val="20"/>
          <w:szCs w:val="20"/>
        </w:rPr>
        <w:t xml:space="preserve"> </w:t>
      </w:r>
      <w:r>
        <w:rPr>
          <w:rFonts w:cs="Tahoma" w:ascii="Tahoma" w:hAnsi="Tahoma"/>
          <w:sz w:val="20"/>
          <w:szCs w:val="20"/>
        </w:rPr>
        <w:t>Derechos</w:t>
      </w:r>
      <w:r>
        <w:rPr>
          <w:rFonts w:cs="Tahoma" w:ascii="Tahoma" w:hAnsi="Tahoma"/>
          <w:spacing w:val="-11"/>
          <w:sz w:val="20"/>
          <w:szCs w:val="20"/>
        </w:rPr>
        <w:t xml:space="preserve"> </w:t>
      </w:r>
      <w:r>
        <w:rPr>
          <w:rFonts w:cs="Tahoma" w:ascii="Tahoma" w:hAnsi="Tahoma"/>
          <w:sz w:val="20"/>
          <w:szCs w:val="20"/>
        </w:rPr>
        <w:t>Humanos</w:t>
      </w:r>
      <w:r>
        <w:rPr>
          <w:rFonts w:cs="Tahoma" w:ascii="Tahoma" w:hAnsi="Tahoma"/>
          <w:spacing w:val="-12"/>
          <w:sz w:val="20"/>
          <w:szCs w:val="20"/>
        </w:rPr>
        <w:t xml:space="preserve"> </w:t>
      </w:r>
      <w:r>
        <w:rPr>
          <w:rFonts w:cs="Tahoma" w:ascii="Tahoma" w:hAnsi="Tahoma"/>
          <w:sz w:val="20"/>
          <w:szCs w:val="20"/>
        </w:rPr>
        <w:t>(CIDH)</w:t>
      </w:r>
      <w:r>
        <w:rPr>
          <w:rFonts w:cs="Tahoma" w:ascii="Tahoma" w:hAnsi="Tahoma"/>
          <w:spacing w:val="-12"/>
          <w:sz w:val="20"/>
          <w:szCs w:val="20"/>
        </w:rPr>
        <w:t xml:space="preserve"> </w:t>
      </w:r>
      <w:r>
        <w:rPr>
          <w:rFonts w:cs="Tahoma" w:ascii="Tahoma" w:hAnsi="Tahoma"/>
          <w:sz w:val="20"/>
          <w:szCs w:val="20"/>
        </w:rPr>
        <w:t>contra</w:t>
      </w:r>
      <w:r>
        <w:rPr>
          <w:rFonts w:cs="Tahoma" w:ascii="Tahoma" w:hAnsi="Tahoma"/>
          <w:spacing w:val="-11"/>
          <w:sz w:val="20"/>
          <w:szCs w:val="20"/>
        </w:rPr>
        <w:t xml:space="preserve"> </w:t>
      </w:r>
      <w:r>
        <w:rPr>
          <w:rFonts w:cs="Tahoma" w:ascii="Tahoma" w:hAnsi="Tahoma"/>
          <w:sz w:val="20"/>
          <w:szCs w:val="20"/>
        </w:rPr>
        <w:t>Costa</w:t>
      </w:r>
      <w:r>
        <w:rPr>
          <w:rFonts w:cs="Tahoma" w:ascii="Tahoma" w:hAnsi="Tahoma"/>
          <w:spacing w:val="-12"/>
          <w:sz w:val="20"/>
          <w:szCs w:val="20"/>
        </w:rPr>
        <w:t xml:space="preserve"> </w:t>
      </w:r>
      <w:r>
        <w:rPr>
          <w:rFonts w:cs="Tahoma" w:ascii="Tahoma" w:hAnsi="Tahoma"/>
          <w:sz w:val="20"/>
          <w:szCs w:val="20"/>
        </w:rPr>
        <w:t>Rica.</w:t>
      </w:r>
    </w:p>
    <w:p>
      <w:pPr>
        <w:pStyle w:val="Cuerpodetexto"/>
        <w:ind w:left="117" w:right="121" w:firstLine="707"/>
        <w:jc w:val="both"/>
        <w:rPr>
          <w:rFonts w:ascii="Tahoma" w:hAnsi="Tahoma" w:cs="Tahoma"/>
          <w:sz w:val="20"/>
          <w:szCs w:val="20"/>
        </w:rPr>
      </w:pPr>
      <w:r>
        <w:rPr>
          <w:rFonts w:cs="Tahoma" w:ascii="Tahoma" w:hAnsi="Tahoma"/>
          <w:i/>
          <w:sz w:val="20"/>
          <w:szCs w:val="20"/>
        </w:rPr>
        <w:t xml:space="preserve">En sesión N° 42-19 celebrada el 7 de octubre en curso, artículo VII, se dispuso realizar </w:t>
      </w:r>
      <w:r>
        <w:rPr>
          <w:rFonts w:cs="Tahoma" w:ascii="Tahoma" w:hAnsi="Tahoma"/>
          <w:sz w:val="20"/>
          <w:szCs w:val="20"/>
        </w:rPr>
        <w:t>la publicación nuevamente de la Circular 123-2019 correspondiente a los ejes de acción recomendados por la Comisión de Acceso a la Justicia, eliminando el eje número 20 por encontrarse repetido.</w:t>
      </w:r>
    </w:p>
    <w:p>
      <w:pPr>
        <w:pStyle w:val="Cuerpodetexto"/>
        <w:rPr>
          <w:rFonts w:ascii="Tahoma" w:hAnsi="Tahoma" w:cs="Tahoma"/>
          <w:i/>
          <w:i/>
          <w:sz w:val="20"/>
          <w:szCs w:val="20"/>
        </w:rPr>
      </w:pPr>
      <w:r>
        <w:rPr>
          <w:rFonts w:cs="Tahoma" w:ascii="Tahoma" w:hAnsi="Tahoma"/>
          <w:i/>
          <w:sz w:val="20"/>
          <w:szCs w:val="20"/>
        </w:rPr>
      </w:r>
    </w:p>
    <w:p>
      <w:pPr>
        <w:pStyle w:val="Cuerpodetexto"/>
        <w:ind w:left="825" w:hanging="0"/>
        <w:rPr>
          <w:rFonts w:ascii="Tahoma" w:hAnsi="Tahoma" w:cs="Tahoma"/>
          <w:i/>
          <w:i/>
          <w:sz w:val="20"/>
          <w:szCs w:val="20"/>
        </w:rPr>
      </w:pPr>
      <w:r>
        <w:rPr>
          <w:rFonts w:cs="Tahoma" w:ascii="Tahoma" w:hAnsi="Tahoma"/>
          <w:i/>
          <w:sz w:val="20"/>
          <w:szCs w:val="20"/>
        </w:rPr>
      </w:r>
    </w:p>
    <w:p>
      <w:pPr>
        <w:pStyle w:val="Cuerpodetexto"/>
        <w:ind w:left="825" w:hanging="0"/>
        <w:rPr>
          <w:rFonts w:ascii="Tahoma" w:hAnsi="Tahoma" w:cs="Tahoma"/>
          <w:sz w:val="20"/>
          <w:szCs w:val="20"/>
        </w:rPr>
      </w:pPr>
      <w:r>
        <w:rPr>
          <w:rFonts w:cs="Tahoma" w:ascii="Tahoma" w:hAnsi="Tahoma"/>
          <w:i/>
          <w:sz w:val="20"/>
          <w:szCs w:val="20"/>
        </w:rPr>
        <w:t>Los citados ejes son los siguientes:</w:t>
      </w:r>
    </w:p>
    <w:p>
      <w:pPr>
        <w:pStyle w:val="Cuerpodetexto"/>
        <w:rPr>
          <w:rFonts w:ascii="Tahoma" w:hAnsi="Tahoma" w:cs="Tahoma"/>
          <w:sz w:val="20"/>
          <w:szCs w:val="20"/>
        </w:rPr>
      </w:pPr>
      <w:r>
        <w:rPr>
          <w:rFonts w:cs="Tahoma" w:ascii="Tahoma" w:hAnsi="Tahoma"/>
          <w:sz w:val="20"/>
          <w:szCs w:val="20"/>
        </w:rPr>
      </w:r>
    </w:p>
    <w:p>
      <w:pPr>
        <w:pStyle w:val="ListParagraph"/>
        <w:widowControl w:val="false"/>
        <w:numPr>
          <w:ilvl w:val="0"/>
          <w:numId w:val="23"/>
        </w:numPr>
        <w:tabs>
          <w:tab w:val="clear" w:pos="708"/>
          <w:tab w:val="left" w:pos="1922" w:leader="none"/>
        </w:tabs>
        <w:spacing w:before="1" w:after="0"/>
        <w:ind w:left="969" w:right="970" w:firstLine="708"/>
        <w:jc w:val="both"/>
        <w:rPr>
          <w:rFonts w:ascii="Tahoma" w:hAnsi="Tahoma" w:cs="Tahoma"/>
          <w:i/>
          <w:i/>
          <w:sz w:val="20"/>
        </w:rPr>
      </w:pPr>
      <w:r>
        <w:rPr>
          <w:rFonts w:cs="Tahoma" w:ascii="Tahoma" w:hAnsi="Tahoma"/>
          <w:i/>
          <w:sz w:val="20"/>
        </w:rPr>
        <w:t xml:space="preserve">Concertar con las personas indígenas beneficiarias de las Medidas Cautelares N° 321-12 emitidas por la CIDH contra Costa Rica, las acciones a seguir para garantizar la vida y seguridad personal de los miembros del pueblo indígena </w:t>
      </w:r>
      <w:r>
        <w:rPr>
          <w:rFonts w:cs="Tahoma" w:ascii="Tahoma" w:hAnsi="Tahoma"/>
          <w:i/>
          <w:spacing w:val="-5"/>
          <w:sz w:val="20"/>
        </w:rPr>
        <w:t xml:space="preserve">Teribe </w:t>
      </w:r>
      <w:r>
        <w:rPr>
          <w:rFonts w:cs="Tahoma" w:ascii="Tahoma" w:hAnsi="Tahoma"/>
          <w:i/>
          <w:sz w:val="20"/>
        </w:rPr>
        <w:t xml:space="preserve">y Bribri de Salitre; e informarles las que ya se han adoptado para investigar los presuntos hechos que dieron lugar a tales medidas para evitar su repetición. Lo </w:t>
      </w:r>
      <w:r>
        <w:rPr>
          <w:rFonts w:cs="Tahoma" w:ascii="Tahoma" w:hAnsi="Tahoma"/>
          <w:i/>
          <w:spacing w:val="-3"/>
          <w:sz w:val="20"/>
        </w:rPr>
        <w:t xml:space="preserve">anterior, </w:t>
      </w:r>
      <w:r>
        <w:rPr>
          <w:rFonts w:cs="Tahoma" w:ascii="Tahoma" w:hAnsi="Tahoma"/>
          <w:i/>
          <w:sz w:val="20"/>
        </w:rPr>
        <w:t xml:space="preserve">con el objetivo de dar cumplimiento a los mandatos de la CIDH y construir confianza y diálogo intercultural. En la medida de lo posible, realizar las sesiones de trabajo en los territorios indígenas involucrados, con la colaboración de personas traductoras que faciliten la comunicación efectiva y transparente. Se sugiere valorar sean las principales jefaturas institucionales quienes ejecuten esta </w:t>
      </w:r>
      <w:r>
        <w:rPr>
          <w:rFonts w:cs="Tahoma" w:ascii="Tahoma" w:hAnsi="Tahoma"/>
          <w:i/>
          <w:spacing w:val="-5"/>
          <w:sz w:val="20"/>
        </w:rPr>
        <w:t>labor.</w:t>
      </w:r>
    </w:p>
    <w:p>
      <w:pPr>
        <w:pStyle w:val="Cuerpodetexto"/>
        <w:spacing w:before="9" w:after="0"/>
        <w:rPr>
          <w:rFonts w:ascii="Tahoma" w:hAnsi="Tahoma" w:cs="Tahoma"/>
          <w:sz w:val="20"/>
          <w:szCs w:val="20"/>
        </w:rPr>
      </w:pPr>
      <w:r>
        <w:rPr>
          <w:rFonts w:cs="Tahoma" w:ascii="Tahoma" w:hAnsi="Tahoma"/>
          <w:sz w:val="20"/>
          <w:szCs w:val="20"/>
        </w:rPr>
      </w:r>
    </w:p>
    <w:p>
      <w:pPr>
        <w:pStyle w:val="ListParagraph"/>
        <w:widowControl w:val="false"/>
        <w:numPr>
          <w:ilvl w:val="0"/>
          <w:numId w:val="23"/>
        </w:numPr>
        <w:tabs>
          <w:tab w:val="clear" w:pos="708"/>
          <w:tab w:val="left" w:pos="1908" w:leader="none"/>
        </w:tabs>
        <w:spacing w:before="0" w:after="0"/>
        <w:ind w:left="969" w:right="969" w:firstLine="708"/>
        <w:jc w:val="both"/>
        <w:rPr>
          <w:rFonts w:ascii="Tahoma" w:hAnsi="Tahoma" w:cs="Tahoma"/>
          <w:i/>
          <w:i/>
          <w:sz w:val="20"/>
        </w:rPr>
      </w:pPr>
      <w:r>
        <w:rPr>
          <w:rFonts w:cs="Tahoma" w:ascii="Tahoma" w:hAnsi="Tahoma"/>
          <w:i/>
          <w:sz w:val="20"/>
        </w:rPr>
        <w:t>Identificar</w:t>
      </w:r>
      <w:r>
        <w:rPr>
          <w:rFonts w:cs="Tahoma" w:ascii="Tahoma" w:hAnsi="Tahoma"/>
          <w:i/>
          <w:spacing w:val="-14"/>
          <w:sz w:val="20"/>
        </w:rPr>
        <w:t xml:space="preserve"> </w:t>
      </w:r>
      <w:r>
        <w:rPr>
          <w:rFonts w:cs="Tahoma" w:ascii="Tahoma" w:hAnsi="Tahoma"/>
          <w:i/>
          <w:sz w:val="20"/>
        </w:rPr>
        <w:t>y</w:t>
      </w:r>
      <w:r>
        <w:rPr>
          <w:rFonts w:cs="Tahoma" w:ascii="Tahoma" w:hAnsi="Tahoma"/>
          <w:i/>
          <w:spacing w:val="-14"/>
          <w:sz w:val="20"/>
        </w:rPr>
        <w:t xml:space="preserve"> </w:t>
      </w:r>
      <w:r>
        <w:rPr>
          <w:rFonts w:cs="Tahoma" w:ascii="Tahoma" w:hAnsi="Tahoma"/>
          <w:i/>
          <w:sz w:val="20"/>
        </w:rPr>
        <w:t>analizar</w:t>
      </w:r>
      <w:r>
        <w:rPr>
          <w:rFonts w:cs="Tahoma" w:ascii="Tahoma" w:hAnsi="Tahoma"/>
          <w:i/>
          <w:spacing w:val="-13"/>
          <w:sz w:val="20"/>
        </w:rPr>
        <w:t xml:space="preserve"> </w:t>
      </w:r>
      <w:r>
        <w:rPr>
          <w:rFonts w:cs="Tahoma" w:ascii="Tahoma" w:hAnsi="Tahoma"/>
          <w:i/>
          <w:sz w:val="20"/>
        </w:rPr>
        <w:t>los</w:t>
      </w:r>
      <w:r>
        <w:rPr>
          <w:rFonts w:cs="Tahoma" w:ascii="Tahoma" w:hAnsi="Tahoma"/>
          <w:i/>
          <w:spacing w:val="-12"/>
          <w:sz w:val="20"/>
        </w:rPr>
        <w:t xml:space="preserve"> </w:t>
      </w:r>
      <w:r>
        <w:rPr>
          <w:rFonts w:cs="Tahoma" w:ascii="Tahoma" w:hAnsi="Tahoma"/>
          <w:i/>
          <w:sz w:val="20"/>
        </w:rPr>
        <w:t>riesgos</w:t>
      </w:r>
      <w:r>
        <w:rPr>
          <w:rFonts w:cs="Tahoma" w:ascii="Tahoma" w:hAnsi="Tahoma"/>
          <w:i/>
          <w:spacing w:val="-13"/>
          <w:sz w:val="20"/>
        </w:rPr>
        <w:t xml:space="preserve"> </w:t>
      </w:r>
      <w:r>
        <w:rPr>
          <w:rFonts w:cs="Tahoma" w:ascii="Tahoma" w:hAnsi="Tahoma"/>
          <w:i/>
          <w:sz w:val="20"/>
        </w:rPr>
        <w:t>relevantes</w:t>
      </w:r>
      <w:r>
        <w:rPr>
          <w:rFonts w:cs="Tahoma" w:ascii="Tahoma" w:hAnsi="Tahoma"/>
          <w:i/>
          <w:spacing w:val="-13"/>
          <w:sz w:val="20"/>
        </w:rPr>
        <w:t xml:space="preserve"> </w:t>
      </w:r>
      <w:r>
        <w:rPr>
          <w:rFonts w:cs="Tahoma" w:ascii="Tahoma" w:hAnsi="Tahoma"/>
          <w:i/>
          <w:sz w:val="20"/>
        </w:rPr>
        <w:t>asociados</w:t>
      </w:r>
      <w:r>
        <w:rPr>
          <w:rFonts w:cs="Tahoma" w:ascii="Tahoma" w:hAnsi="Tahoma"/>
          <w:i/>
          <w:spacing w:val="-13"/>
          <w:sz w:val="20"/>
        </w:rPr>
        <w:t xml:space="preserve"> </w:t>
      </w:r>
      <w:r>
        <w:rPr>
          <w:rFonts w:cs="Tahoma" w:ascii="Tahoma" w:hAnsi="Tahoma"/>
          <w:i/>
          <w:sz w:val="20"/>
        </w:rPr>
        <w:t>al</w:t>
      </w:r>
      <w:r>
        <w:rPr>
          <w:rFonts w:cs="Tahoma" w:ascii="Tahoma" w:hAnsi="Tahoma"/>
          <w:i/>
          <w:spacing w:val="-13"/>
          <w:sz w:val="20"/>
        </w:rPr>
        <w:t xml:space="preserve"> </w:t>
      </w:r>
      <w:r>
        <w:rPr>
          <w:rFonts w:cs="Tahoma" w:ascii="Tahoma" w:hAnsi="Tahoma"/>
          <w:i/>
          <w:sz w:val="20"/>
        </w:rPr>
        <w:t>logro</w:t>
      </w:r>
      <w:r>
        <w:rPr>
          <w:rFonts w:cs="Tahoma" w:ascii="Tahoma" w:hAnsi="Tahoma"/>
          <w:i/>
          <w:spacing w:val="-13"/>
          <w:sz w:val="20"/>
        </w:rPr>
        <w:t xml:space="preserve"> </w:t>
      </w:r>
      <w:r>
        <w:rPr>
          <w:rFonts w:cs="Tahoma" w:ascii="Tahoma" w:hAnsi="Tahoma"/>
          <w:i/>
          <w:sz w:val="20"/>
        </w:rPr>
        <w:t>de</w:t>
      </w:r>
      <w:r>
        <w:rPr>
          <w:rFonts w:cs="Tahoma" w:ascii="Tahoma" w:hAnsi="Tahoma"/>
          <w:i/>
          <w:spacing w:val="-14"/>
          <w:sz w:val="20"/>
        </w:rPr>
        <w:t xml:space="preserve"> </w:t>
      </w:r>
      <w:r>
        <w:rPr>
          <w:rFonts w:cs="Tahoma" w:ascii="Tahoma" w:hAnsi="Tahoma"/>
          <w:i/>
          <w:sz w:val="20"/>
        </w:rPr>
        <w:t>los objetivos y las metas institucionales vinculadas con la población indígena, establecidas en el Plan Estratégico Institucional 2019/2024 (ejes transversales acceso a la justicia y justicia abierta, entre otros); el efecto posible de tales riesgos, su importancia y la probabilidad de que ocurran, y decidir las acciones que se tomarán para administrarlos a fin de continuar con la adopción de las medidas necesarias para ubicarse por lo menos en un nivel de riesgo organizacional aceptable. Además, establecer los mecanismos operativos que minimicen el riesgo en las acciones por ejecutar en relación con</w:t>
      </w:r>
      <w:r>
        <w:rPr>
          <w:rFonts w:cs="Tahoma" w:ascii="Tahoma" w:hAnsi="Tahoma"/>
          <w:i/>
          <w:spacing w:val="-15"/>
          <w:sz w:val="20"/>
        </w:rPr>
        <w:t xml:space="preserve"> </w:t>
      </w:r>
      <w:r>
        <w:rPr>
          <w:rFonts w:cs="Tahoma" w:ascii="Tahoma" w:hAnsi="Tahoma"/>
          <w:i/>
          <w:sz w:val="20"/>
        </w:rPr>
        <w:t>la</w:t>
      </w:r>
      <w:r>
        <w:rPr>
          <w:rFonts w:cs="Tahoma" w:ascii="Tahoma" w:hAnsi="Tahoma"/>
          <w:i/>
          <w:spacing w:val="-14"/>
          <w:sz w:val="20"/>
        </w:rPr>
        <w:t xml:space="preserve"> </w:t>
      </w:r>
      <w:r>
        <w:rPr>
          <w:rFonts w:cs="Tahoma" w:ascii="Tahoma" w:hAnsi="Tahoma"/>
          <w:i/>
          <w:sz w:val="20"/>
        </w:rPr>
        <w:t>tramitación</w:t>
      </w:r>
      <w:r>
        <w:rPr>
          <w:rFonts w:cs="Tahoma" w:ascii="Tahoma" w:hAnsi="Tahoma"/>
          <w:i/>
          <w:spacing w:val="-14"/>
          <w:sz w:val="20"/>
        </w:rPr>
        <w:t xml:space="preserve"> </w:t>
      </w:r>
      <w:r>
        <w:rPr>
          <w:rFonts w:cs="Tahoma" w:ascii="Tahoma" w:hAnsi="Tahoma"/>
          <w:i/>
          <w:sz w:val="20"/>
        </w:rPr>
        <w:t>y</w:t>
      </w:r>
      <w:r>
        <w:rPr>
          <w:rFonts w:cs="Tahoma" w:ascii="Tahoma" w:hAnsi="Tahoma"/>
          <w:i/>
          <w:spacing w:val="-15"/>
          <w:sz w:val="20"/>
        </w:rPr>
        <w:t xml:space="preserve"> </w:t>
      </w:r>
      <w:r>
        <w:rPr>
          <w:rFonts w:cs="Tahoma" w:ascii="Tahoma" w:hAnsi="Tahoma"/>
          <w:i/>
          <w:sz w:val="20"/>
        </w:rPr>
        <w:t>resolución</w:t>
      </w:r>
      <w:r>
        <w:rPr>
          <w:rFonts w:cs="Tahoma" w:ascii="Tahoma" w:hAnsi="Tahoma"/>
          <w:i/>
          <w:spacing w:val="-14"/>
          <w:sz w:val="20"/>
        </w:rPr>
        <w:t xml:space="preserve"> </w:t>
      </w:r>
      <w:r>
        <w:rPr>
          <w:rFonts w:cs="Tahoma" w:ascii="Tahoma" w:hAnsi="Tahoma"/>
          <w:i/>
          <w:sz w:val="20"/>
        </w:rPr>
        <w:t>de</w:t>
      </w:r>
      <w:r>
        <w:rPr>
          <w:rFonts w:cs="Tahoma" w:ascii="Tahoma" w:hAnsi="Tahoma"/>
          <w:i/>
          <w:spacing w:val="-14"/>
          <w:sz w:val="20"/>
        </w:rPr>
        <w:t xml:space="preserve"> </w:t>
      </w:r>
      <w:r>
        <w:rPr>
          <w:rFonts w:cs="Tahoma" w:ascii="Tahoma" w:hAnsi="Tahoma"/>
          <w:i/>
          <w:sz w:val="20"/>
        </w:rPr>
        <w:t>los</w:t>
      </w:r>
      <w:r>
        <w:rPr>
          <w:rFonts w:cs="Tahoma" w:ascii="Tahoma" w:hAnsi="Tahoma"/>
          <w:i/>
          <w:spacing w:val="-15"/>
          <w:sz w:val="20"/>
        </w:rPr>
        <w:t xml:space="preserve"> </w:t>
      </w:r>
      <w:r>
        <w:rPr>
          <w:rFonts w:cs="Tahoma" w:ascii="Tahoma" w:hAnsi="Tahoma"/>
          <w:i/>
          <w:sz w:val="20"/>
        </w:rPr>
        <w:t>procesos</w:t>
      </w:r>
      <w:r>
        <w:rPr>
          <w:rFonts w:cs="Tahoma" w:ascii="Tahoma" w:hAnsi="Tahoma"/>
          <w:i/>
          <w:spacing w:val="-14"/>
          <w:sz w:val="20"/>
        </w:rPr>
        <w:t xml:space="preserve"> </w:t>
      </w:r>
      <w:r>
        <w:rPr>
          <w:rFonts w:cs="Tahoma" w:ascii="Tahoma" w:hAnsi="Tahoma"/>
          <w:i/>
          <w:sz w:val="20"/>
        </w:rPr>
        <w:t>judiciales</w:t>
      </w:r>
      <w:r>
        <w:rPr>
          <w:rFonts w:cs="Tahoma" w:ascii="Tahoma" w:hAnsi="Tahoma"/>
          <w:i/>
          <w:spacing w:val="-14"/>
          <w:sz w:val="20"/>
        </w:rPr>
        <w:t xml:space="preserve"> </w:t>
      </w:r>
      <w:r>
        <w:rPr>
          <w:rFonts w:cs="Tahoma" w:ascii="Tahoma" w:hAnsi="Tahoma"/>
          <w:i/>
          <w:sz w:val="20"/>
        </w:rPr>
        <w:t>en</w:t>
      </w:r>
      <w:r>
        <w:rPr>
          <w:rFonts w:cs="Tahoma" w:ascii="Tahoma" w:hAnsi="Tahoma"/>
          <w:i/>
          <w:spacing w:val="-14"/>
          <w:sz w:val="20"/>
        </w:rPr>
        <w:t xml:space="preserve"> </w:t>
      </w:r>
      <w:r>
        <w:rPr>
          <w:rFonts w:cs="Tahoma" w:ascii="Tahoma" w:hAnsi="Tahoma"/>
          <w:i/>
          <w:sz w:val="20"/>
        </w:rPr>
        <w:t>los</w:t>
      </w:r>
      <w:r>
        <w:rPr>
          <w:rFonts w:cs="Tahoma" w:ascii="Tahoma" w:hAnsi="Tahoma"/>
          <w:i/>
          <w:spacing w:val="-14"/>
          <w:sz w:val="20"/>
        </w:rPr>
        <w:t xml:space="preserve"> </w:t>
      </w:r>
      <w:r>
        <w:rPr>
          <w:rFonts w:cs="Tahoma" w:ascii="Tahoma" w:hAnsi="Tahoma"/>
          <w:i/>
          <w:sz w:val="20"/>
        </w:rPr>
        <w:t>que</w:t>
      </w:r>
      <w:r>
        <w:rPr>
          <w:rFonts w:cs="Tahoma" w:ascii="Tahoma" w:hAnsi="Tahoma"/>
          <w:i/>
          <w:spacing w:val="-15"/>
          <w:sz w:val="20"/>
        </w:rPr>
        <w:t xml:space="preserve"> </w:t>
      </w:r>
      <w:r>
        <w:rPr>
          <w:rFonts w:cs="Tahoma" w:ascii="Tahoma" w:hAnsi="Tahoma"/>
          <w:i/>
          <w:sz w:val="20"/>
        </w:rPr>
        <w:t>sean</w:t>
      </w:r>
      <w:r>
        <w:rPr>
          <w:rFonts w:cs="Tahoma" w:ascii="Tahoma" w:hAnsi="Tahoma"/>
          <w:i/>
          <w:spacing w:val="-14"/>
          <w:sz w:val="20"/>
        </w:rPr>
        <w:t xml:space="preserve"> </w:t>
      </w:r>
      <w:r>
        <w:rPr>
          <w:rFonts w:cs="Tahoma" w:ascii="Tahoma" w:hAnsi="Tahoma"/>
          <w:i/>
          <w:sz w:val="20"/>
        </w:rPr>
        <w:t xml:space="preserve">parte pueblos indígenas, priorizando aquellos en los que sean parte miembros del pueblo indígena </w:t>
      </w:r>
      <w:r>
        <w:rPr>
          <w:rFonts w:cs="Tahoma" w:ascii="Tahoma" w:hAnsi="Tahoma"/>
          <w:i/>
          <w:spacing w:val="-5"/>
          <w:sz w:val="20"/>
        </w:rPr>
        <w:t xml:space="preserve">Teribe </w:t>
      </w:r>
      <w:r>
        <w:rPr>
          <w:rFonts w:cs="Tahoma" w:ascii="Tahoma" w:hAnsi="Tahoma"/>
          <w:i/>
          <w:sz w:val="20"/>
        </w:rPr>
        <w:t>y Bribri de</w:t>
      </w:r>
      <w:r>
        <w:rPr>
          <w:rFonts w:cs="Tahoma" w:ascii="Tahoma" w:hAnsi="Tahoma"/>
          <w:i/>
          <w:spacing w:val="4"/>
          <w:sz w:val="20"/>
        </w:rPr>
        <w:t xml:space="preserve"> </w:t>
      </w:r>
      <w:r>
        <w:rPr>
          <w:rFonts w:cs="Tahoma" w:ascii="Tahoma" w:hAnsi="Tahoma"/>
          <w:i/>
          <w:sz w:val="20"/>
        </w:rPr>
        <w:t>Salitre.</w:t>
      </w:r>
    </w:p>
    <w:p>
      <w:pPr>
        <w:pStyle w:val="ListParagraph"/>
        <w:widowControl w:val="false"/>
        <w:numPr>
          <w:ilvl w:val="0"/>
          <w:numId w:val="23"/>
        </w:numPr>
        <w:tabs>
          <w:tab w:val="clear" w:pos="708"/>
          <w:tab w:val="left" w:pos="1958" w:leader="none"/>
        </w:tabs>
        <w:spacing w:before="0" w:after="0"/>
        <w:ind w:left="969" w:right="970" w:firstLine="708"/>
        <w:jc w:val="both"/>
        <w:rPr>
          <w:rFonts w:ascii="Tahoma" w:hAnsi="Tahoma" w:cs="Tahoma"/>
          <w:i/>
          <w:i/>
          <w:sz w:val="20"/>
        </w:rPr>
      </w:pPr>
      <w:r>
        <w:rPr>
          <w:rFonts w:cs="Tahoma" w:ascii="Tahoma" w:hAnsi="Tahoma"/>
          <w:i/>
          <w:spacing w:val="-3"/>
          <w:sz w:val="20"/>
        </w:rPr>
        <w:t xml:space="preserve">Documentar, </w:t>
      </w:r>
      <w:r>
        <w:rPr>
          <w:rFonts w:cs="Tahoma" w:ascii="Tahoma" w:hAnsi="Tahoma"/>
          <w:i/>
          <w:sz w:val="20"/>
        </w:rPr>
        <w:t>mantener actualizados y divulgar internamente, las políticas,</w:t>
      </w:r>
      <w:r>
        <w:rPr>
          <w:rFonts w:cs="Tahoma" w:ascii="Tahoma" w:hAnsi="Tahoma"/>
          <w:i/>
          <w:spacing w:val="-6"/>
          <w:sz w:val="20"/>
        </w:rPr>
        <w:t xml:space="preserve"> </w:t>
      </w:r>
      <w:r>
        <w:rPr>
          <w:rFonts w:cs="Tahoma" w:ascii="Tahoma" w:hAnsi="Tahoma"/>
          <w:i/>
          <w:sz w:val="20"/>
        </w:rPr>
        <w:t>normas</w:t>
      </w:r>
      <w:r>
        <w:rPr>
          <w:rFonts w:cs="Tahoma" w:ascii="Tahoma" w:hAnsi="Tahoma"/>
          <w:i/>
          <w:spacing w:val="-5"/>
          <w:sz w:val="20"/>
        </w:rPr>
        <w:t xml:space="preserve"> </w:t>
      </w:r>
      <w:r>
        <w:rPr>
          <w:rFonts w:cs="Tahoma" w:ascii="Tahoma" w:hAnsi="Tahoma"/>
          <w:i/>
          <w:sz w:val="20"/>
        </w:rPr>
        <w:t>y</w:t>
      </w:r>
      <w:r>
        <w:rPr>
          <w:rFonts w:cs="Tahoma" w:ascii="Tahoma" w:hAnsi="Tahoma"/>
          <w:i/>
          <w:spacing w:val="-7"/>
          <w:sz w:val="20"/>
        </w:rPr>
        <w:t xml:space="preserve"> </w:t>
      </w:r>
      <w:r>
        <w:rPr>
          <w:rFonts w:cs="Tahoma" w:ascii="Tahoma" w:hAnsi="Tahoma"/>
          <w:i/>
          <w:sz w:val="20"/>
        </w:rPr>
        <w:t>procedimientos</w:t>
      </w:r>
      <w:r>
        <w:rPr>
          <w:rFonts w:cs="Tahoma" w:ascii="Tahoma" w:hAnsi="Tahoma"/>
          <w:i/>
          <w:spacing w:val="-5"/>
          <w:sz w:val="20"/>
        </w:rPr>
        <w:t xml:space="preserve"> </w:t>
      </w:r>
      <w:r>
        <w:rPr>
          <w:rFonts w:cs="Tahoma" w:ascii="Tahoma" w:hAnsi="Tahoma"/>
          <w:i/>
          <w:sz w:val="20"/>
        </w:rPr>
        <w:t>de</w:t>
      </w:r>
      <w:r>
        <w:rPr>
          <w:rFonts w:cs="Tahoma" w:ascii="Tahoma" w:hAnsi="Tahoma"/>
          <w:i/>
          <w:spacing w:val="-7"/>
          <w:sz w:val="20"/>
        </w:rPr>
        <w:t xml:space="preserve"> </w:t>
      </w:r>
      <w:r>
        <w:rPr>
          <w:rFonts w:cs="Tahoma" w:ascii="Tahoma" w:hAnsi="Tahoma"/>
          <w:i/>
          <w:sz w:val="20"/>
        </w:rPr>
        <w:t>control</w:t>
      </w:r>
      <w:r>
        <w:rPr>
          <w:rFonts w:cs="Tahoma" w:ascii="Tahoma" w:hAnsi="Tahoma"/>
          <w:i/>
          <w:spacing w:val="-4"/>
          <w:sz w:val="20"/>
        </w:rPr>
        <w:t xml:space="preserve"> </w:t>
      </w:r>
      <w:r>
        <w:rPr>
          <w:rFonts w:cs="Tahoma" w:ascii="Tahoma" w:hAnsi="Tahoma"/>
          <w:i/>
          <w:sz w:val="20"/>
        </w:rPr>
        <w:t>que</w:t>
      </w:r>
      <w:r>
        <w:rPr>
          <w:rFonts w:cs="Tahoma" w:ascii="Tahoma" w:hAnsi="Tahoma"/>
          <w:i/>
          <w:spacing w:val="-7"/>
          <w:sz w:val="20"/>
        </w:rPr>
        <w:t xml:space="preserve"> </w:t>
      </w:r>
      <w:r>
        <w:rPr>
          <w:rFonts w:cs="Tahoma" w:ascii="Tahoma" w:hAnsi="Tahoma"/>
          <w:i/>
          <w:sz w:val="20"/>
        </w:rPr>
        <w:t>garanticen</w:t>
      </w:r>
      <w:r>
        <w:rPr>
          <w:rFonts w:cs="Tahoma" w:ascii="Tahoma" w:hAnsi="Tahoma"/>
          <w:i/>
          <w:spacing w:val="-5"/>
          <w:sz w:val="20"/>
        </w:rPr>
        <w:t xml:space="preserve"> </w:t>
      </w:r>
      <w:r>
        <w:rPr>
          <w:rFonts w:cs="Tahoma" w:ascii="Tahoma" w:hAnsi="Tahoma"/>
          <w:i/>
          <w:sz w:val="20"/>
        </w:rPr>
        <w:t>el</w:t>
      </w:r>
      <w:r>
        <w:rPr>
          <w:rFonts w:cs="Tahoma" w:ascii="Tahoma" w:hAnsi="Tahoma"/>
          <w:i/>
          <w:spacing w:val="-5"/>
          <w:sz w:val="20"/>
        </w:rPr>
        <w:t xml:space="preserve"> </w:t>
      </w:r>
      <w:r>
        <w:rPr>
          <w:rFonts w:cs="Tahoma" w:ascii="Tahoma" w:hAnsi="Tahoma"/>
          <w:i/>
          <w:sz w:val="20"/>
        </w:rPr>
        <w:t xml:space="preserve">cumplimientodel sistema de control interno institucional y la prevención de todo aspecto </w:t>
      </w:r>
      <w:r>
        <w:rPr>
          <w:rFonts w:cs="Tahoma" w:ascii="Tahoma" w:hAnsi="Tahoma"/>
          <w:sz w:val="20"/>
        </w:rPr>
        <w:t xml:space="preserve">que conlleve a desviar los objetivos y las metas trazados por la institución en el desempeño de sus funciones vinculadas con los procesos judiciales en los que intervengan personas indígenas, priorizando aquellos en los que sean parte miembros del pueblo indígena </w:t>
      </w:r>
      <w:r>
        <w:rPr>
          <w:rFonts w:cs="Tahoma" w:ascii="Tahoma" w:hAnsi="Tahoma"/>
          <w:spacing w:val="-5"/>
          <w:sz w:val="20"/>
        </w:rPr>
        <w:t xml:space="preserve">Teribe </w:t>
      </w:r>
      <w:r>
        <w:rPr>
          <w:rFonts w:cs="Tahoma" w:ascii="Tahoma" w:hAnsi="Tahoma"/>
          <w:sz w:val="20"/>
        </w:rPr>
        <w:t>y Bribri de</w:t>
      </w:r>
      <w:r>
        <w:rPr>
          <w:rFonts w:cs="Tahoma" w:ascii="Tahoma" w:hAnsi="Tahoma"/>
          <w:spacing w:val="-3"/>
          <w:sz w:val="20"/>
        </w:rPr>
        <w:t xml:space="preserve"> </w:t>
      </w:r>
      <w:r>
        <w:rPr>
          <w:rFonts w:cs="Tahoma" w:ascii="Tahoma" w:hAnsi="Tahoma"/>
          <w:sz w:val="20"/>
        </w:rPr>
        <w:t>Salitre.</w:t>
      </w:r>
    </w:p>
    <w:p>
      <w:pPr>
        <w:pStyle w:val="Cuerpodetexto"/>
        <w:rPr>
          <w:rFonts w:ascii="Tahoma" w:hAnsi="Tahoma" w:cs="Tahoma"/>
          <w:sz w:val="20"/>
          <w:szCs w:val="20"/>
        </w:rPr>
      </w:pPr>
      <w:r>
        <w:rPr>
          <w:rFonts w:cs="Tahoma" w:ascii="Tahoma" w:hAnsi="Tahoma"/>
          <w:sz w:val="20"/>
          <w:szCs w:val="20"/>
        </w:rPr>
      </w:r>
    </w:p>
    <w:p>
      <w:pPr>
        <w:pStyle w:val="ListParagraph"/>
        <w:widowControl w:val="false"/>
        <w:numPr>
          <w:ilvl w:val="0"/>
          <w:numId w:val="23"/>
        </w:numPr>
        <w:tabs>
          <w:tab w:val="clear" w:pos="708"/>
          <w:tab w:val="left" w:pos="1913" w:leader="none"/>
        </w:tabs>
        <w:spacing w:before="0" w:after="0"/>
        <w:ind w:left="969" w:right="972" w:firstLine="708"/>
        <w:jc w:val="both"/>
        <w:rPr>
          <w:rFonts w:ascii="Tahoma" w:hAnsi="Tahoma" w:cs="Tahoma"/>
          <w:i/>
          <w:i/>
          <w:sz w:val="20"/>
        </w:rPr>
      </w:pPr>
      <w:r>
        <w:rPr>
          <w:rFonts w:cs="Tahoma" w:ascii="Tahoma" w:hAnsi="Tahoma"/>
          <w:i/>
          <w:sz w:val="20"/>
        </w:rPr>
        <w:t>Establecer</w:t>
      </w:r>
      <w:r>
        <w:rPr>
          <w:rFonts w:cs="Tahoma" w:ascii="Tahoma" w:hAnsi="Tahoma"/>
          <w:i/>
          <w:spacing w:val="-4"/>
          <w:sz w:val="20"/>
        </w:rPr>
        <w:t xml:space="preserve"> </w:t>
      </w:r>
      <w:r>
        <w:rPr>
          <w:rFonts w:cs="Tahoma" w:ascii="Tahoma" w:hAnsi="Tahoma"/>
          <w:i/>
          <w:sz w:val="20"/>
        </w:rPr>
        <w:t>un</w:t>
      </w:r>
      <w:r>
        <w:rPr>
          <w:rFonts w:cs="Tahoma" w:ascii="Tahoma" w:hAnsi="Tahoma"/>
          <w:i/>
          <w:spacing w:val="-6"/>
          <w:sz w:val="20"/>
        </w:rPr>
        <w:t xml:space="preserve"> </w:t>
      </w:r>
      <w:r>
        <w:rPr>
          <w:rFonts w:cs="Tahoma" w:ascii="Tahoma" w:hAnsi="Tahoma"/>
          <w:i/>
          <w:sz w:val="20"/>
        </w:rPr>
        <w:t>sistema</w:t>
      </w:r>
      <w:r>
        <w:rPr>
          <w:rFonts w:cs="Tahoma" w:ascii="Tahoma" w:hAnsi="Tahoma"/>
          <w:i/>
          <w:spacing w:val="-4"/>
          <w:sz w:val="20"/>
        </w:rPr>
        <w:t xml:space="preserve"> </w:t>
      </w:r>
      <w:r>
        <w:rPr>
          <w:rFonts w:cs="Tahoma" w:ascii="Tahoma" w:hAnsi="Tahoma"/>
          <w:i/>
          <w:sz w:val="20"/>
        </w:rPr>
        <w:t>de</w:t>
      </w:r>
      <w:r>
        <w:rPr>
          <w:rFonts w:cs="Tahoma" w:ascii="Tahoma" w:hAnsi="Tahoma"/>
          <w:i/>
          <w:spacing w:val="-7"/>
          <w:sz w:val="20"/>
        </w:rPr>
        <w:t xml:space="preserve"> </w:t>
      </w:r>
      <w:r>
        <w:rPr>
          <w:rFonts w:cs="Tahoma" w:ascii="Tahoma" w:hAnsi="Tahoma"/>
          <w:i/>
          <w:sz w:val="20"/>
        </w:rPr>
        <w:t>información</w:t>
      </w:r>
      <w:r>
        <w:rPr>
          <w:rFonts w:cs="Tahoma" w:ascii="Tahoma" w:hAnsi="Tahoma"/>
          <w:i/>
          <w:spacing w:val="-5"/>
          <w:sz w:val="20"/>
        </w:rPr>
        <w:t xml:space="preserve"> </w:t>
      </w:r>
      <w:r>
        <w:rPr>
          <w:rFonts w:cs="Tahoma" w:ascii="Tahoma" w:hAnsi="Tahoma"/>
          <w:i/>
          <w:sz w:val="20"/>
        </w:rPr>
        <w:t>que</w:t>
      </w:r>
      <w:r>
        <w:rPr>
          <w:rFonts w:cs="Tahoma" w:ascii="Tahoma" w:hAnsi="Tahoma"/>
          <w:i/>
          <w:spacing w:val="-7"/>
          <w:sz w:val="20"/>
        </w:rPr>
        <w:t xml:space="preserve"> </w:t>
      </w:r>
      <w:r>
        <w:rPr>
          <w:rFonts w:cs="Tahoma" w:ascii="Tahoma" w:hAnsi="Tahoma"/>
          <w:i/>
          <w:sz w:val="20"/>
        </w:rPr>
        <w:t>permita</w:t>
      </w:r>
      <w:r>
        <w:rPr>
          <w:rFonts w:cs="Tahoma" w:ascii="Tahoma" w:hAnsi="Tahoma"/>
          <w:i/>
          <w:spacing w:val="-6"/>
          <w:sz w:val="20"/>
        </w:rPr>
        <w:t xml:space="preserve"> </w:t>
      </w:r>
      <w:r>
        <w:rPr>
          <w:rFonts w:cs="Tahoma" w:ascii="Tahoma" w:hAnsi="Tahoma"/>
          <w:i/>
          <w:sz w:val="20"/>
        </w:rPr>
        <w:t>tener</w:t>
      </w:r>
      <w:r>
        <w:rPr>
          <w:rFonts w:cs="Tahoma" w:ascii="Tahoma" w:hAnsi="Tahoma"/>
          <w:i/>
          <w:spacing w:val="-5"/>
          <w:sz w:val="20"/>
        </w:rPr>
        <w:t xml:space="preserve"> </w:t>
      </w:r>
      <w:r>
        <w:rPr>
          <w:rFonts w:cs="Tahoma" w:ascii="Tahoma" w:hAnsi="Tahoma"/>
          <w:i/>
          <w:sz w:val="20"/>
        </w:rPr>
        <w:t>una</w:t>
      </w:r>
      <w:r>
        <w:rPr>
          <w:rFonts w:cs="Tahoma" w:ascii="Tahoma" w:hAnsi="Tahoma"/>
          <w:i/>
          <w:spacing w:val="-6"/>
          <w:sz w:val="20"/>
        </w:rPr>
        <w:t xml:space="preserve"> </w:t>
      </w:r>
      <w:r>
        <w:rPr>
          <w:rFonts w:cs="Tahoma" w:ascii="Tahoma" w:hAnsi="Tahoma"/>
          <w:i/>
          <w:sz w:val="20"/>
        </w:rPr>
        <w:t>gestión documental institucional en el desarrollo de las actividades, con el fin de prevenir cualquier desvío en los objetivos trazados en relación con la tramitación</w:t>
      </w:r>
      <w:r>
        <w:rPr>
          <w:rFonts w:cs="Tahoma" w:ascii="Tahoma" w:hAnsi="Tahoma"/>
          <w:i/>
          <w:spacing w:val="-6"/>
          <w:sz w:val="20"/>
        </w:rPr>
        <w:t xml:space="preserve"> </w:t>
      </w:r>
      <w:r>
        <w:rPr>
          <w:rFonts w:cs="Tahoma" w:ascii="Tahoma" w:hAnsi="Tahoma"/>
          <w:i/>
          <w:sz w:val="20"/>
        </w:rPr>
        <w:t>y</w:t>
      </w:r>
      <w:r>
        <w:rPr>
          <w:rFonts w:cs="Tahoma" w:ascii="Tahoma" w:hAnsi="Tahoma"/>
          <w:i/>
          <w:spacing w:val="-7"/>
          <w:sz w:val="20"/>
        </w:rPr>
        <w:t xml:space="preserve"> </w:t>
      </w:r>
      <w:r>
        <w:rPr>
          <w:rFonts w:cs="Tahoma" w:ascii="Tahoma" w:hAnsi="Tahoma"/>
          <w:i/>
          <w:sz w:val="20"/>
        </w:rPr>
        <w:t>resolución</w:t>
      </w:r>
      <w:r>
        <w:rPr>
          <w:rFonts w:cs="Tahoma" w:ascii="Tahoma" w:hAnsi="Tahoma"/>
          <w:i/>
          <w:spacing w:val="-6"/>
          <w:sz w:val="20"/>
        </w:rPr>
        <w:t xml:space="preserve"> </w:t>
      </w:r>
      <w:r>
        <w:rPr>
          <w:rFonts w:cs="Tahoma" w:ascii="Tahoma" w:hAnsi="Tahoma"/>
          <w:i/>
          <w:sz w:val="20"/>
        </w:rPr>
        <w:t>de</w:t>
      </w:r>
      <w:r>
        <w:rPr>
          <w:rFonts w:cs="Tahoma" w:ascii="Tahoma" w:hAnsi="Tahoma"/>
          <w:i/>
          <w:spacing w:val="-8"/>
          <w:sz w:val="20"/>
        </w:rPr>
        <w:t xml:space="preserve"> </w:t>
      </w:r>
      <w:r>
        <w:rPr>
          <w:rFonts w:cs="Tahoma" w:ascii="Tahoma" w:hAnsi="Tahoma"/>
          <w:i/>
          <w:sz w:val="20"/>
        </w:rPr>
        <w:t>los</w:t>
      </w:r>
      <w:r>
        <w:rPr>
          <w:rFonts w:cs="Tahoma" w:ascii="Tahoma" w:hAnsi="Tahoma"/>
          <w:i/>
          <w:spacing w:val="-5"/>
          <w:sz w:val="20"/>
        </w:rPr>
        <w:t xml:space="preserve"> </w:t>
      </w:r>
      <w:r>
        <w:rPr>
          <w:rFonts w:cs="Tahoma" w:ascii="Tahoma" w:hAnsi="Tahoma"/>
          <w:i/>
          <w:sz w:val="20"/>
        </w:rPr>
        <w:t>procesos</w:t>
      </w:r>
      <w:r>
        <w:rPr>
          <w:rFonts w:cs="Tahoma" w:ascii="Tahoma" w:hAnsi="Tahoma"/>
          <w:i/>
          <w:spacing w:val="-5"/>
          <w:sz w:val="20"/>
        </w:rPr>
        <w:t xml:space="preserve"> </w:t>
      </w:r>
      <w:r>
        <w:rPr>
          <w:rFonts w:cs="Tahoma" w:ascii="Tahoma" w:hAnsi="Tahoma"/>
          <w:i/>
          <w:sz w:val="20"/>
        </w:rPr>
        <w:t>judiciales</w:t>
      </w:r>
      <w:r>
        <w:rPr>
          <w:rFonts w:cs="Tahoma" w:ascii="Tahoma" w:hAnsi="Tahoma"/>
          <w:i/>
          <w:spacing w:val="-7"/>
          <w:sz w:val="20"/>
        </w:rPr>
        <w:t xml:space="preserve"> </w:t>
      </w:r>
      <w:r>
        <w:rPr>
          <w:rFonts w:cs="Tahoma" w:ascii="Tahoma" w:hAnsi="Tahoma"/>
          <w:i/>
          <w:sz w:val="20"/>
        </w:rPr>
        <w:t>vinculados</w:t>
      </w:r>
      <w:r>
        <w:rPr>
          <w:rFonts w:cs="Tahoma" w:ascii="Tahoma" w:hAnsi="Tahoma"/>
          <w:i/>
          <w:spacing w:val="-6"/>
          <w:sz w:val="20"/>
        </w:rPr>
        <w:t xml:space="preserve"> </w:t>
      </w:r>
      <w:r>
        <w:rPr>
          <w:rFonts w:cs="Tahoma" w:ascii="Tahoma" w:hAnsi="Tahoma"/>
          <w:i/>
          <w:sz w:val="20"/>
        </w:rPr>
        <w:t>en</w:t>
      </w:r>
      <w:r>
        <w:rPr>
          <w:rFonts w:cs="Tahoma" w:ascii="Tahoma" w:hAnsi="Tahoma"/>
          <w:i/>
          <w:spacing w:val="-6"/>
          <w:sz w:val="20"/>
        </w:rPr>
        <w:t xml:space="preserve"> </w:t>
      </w:r>
      <w:r>
        <w:rPr>
          <w:rFonts w:cs="Tahoma" w:ascii="Tahoma" w:hAnsi="Tahoma"/>
          <w:i/>
          <w:sz w:val="20"/>
        </w:rPr>
        <w:t>los</w:t>
      </w:r>
      <w:r>
        <w:rPr>
          <w:rFonts w:cs="Tahoma" w:ascii="Tahoma" w:hAnsi="Tahoma"/>
          <w:i/>
          <w:spacing w:val="-6"/>
          <w:sz w:val="20"/>
        </w:rPr>
        <w:t xml:space="preserve"> </w:t>
      </w:r>
      <w:r>
        <w:rPr>
          <w:rFonts w:cs="Tahoma" w:ascii="Tahoma" w:hAnsi="Tahoma"/>
          <w:i/>
          <w:sz w:val="20"/>
        </w:rPr>
        <w:t>que</w:t>
      </w:r>
      <w:r>
        <w:rPr>
          <w:rFonts w:cs="Tahoma" w:ascii="Tahoma" w:hAnsi="Tahoma"/>
          <w:i/>
          <w:spacing w:val="-7"/>
          <w:sz w:val="20"/>
        </w:rPr>
        <w:t xml:space="preserve"> </w:t>
      </w:r>
      <w:r>
        <w:rPr>
          <w:rFonts w:cs="Tahoma" w:ascii="Tahoma" w:hAnsi="Tahoma"/>
          <w:i/>
          <w:sz w:val="20"/>
        </w:rPr>
        <w:t xml:space="preserve">sean parte miembros del pueblo indígena </w:t>
      </w:r>
      <w:r>
        <w:rPr>
          <w:rFonts w:cs="Tahoma" w:ascii="Tahoma" w:hAnsi="Tahoma"/>
          <w:i/>
          <w:spacing w:val="-5"/>
          <w:sz w:val="20"/>
        </w:rPr>
        <w:t xml:space="preserve">Teribe </w:t>
      </w:r>
      <w:r>
        <w:rPr>
          <w:rFonts w:cs="Tahoma" w:ascii="Tahoma" w:hAnsi="Tahoma"/>
          <w:i/>
          <w:sz w:val="20"/>
        </w:rPr>
        <w:t>y Bribri de</w:t>
      </w:r>
      <w:r>
        <w:rPr>
          <w:rFonts w:cs="Tahoma" w:ascii="Tahoma" w:hAnsi="Tahoma"/>
          <w:i/>
          <w:spacing w:val="-3"/>
          <w:sz w:val="20"/>
        </w:rPr>
        <w:t xml:space="preserve"> </w:t>
      </w:r>
      <w:r>
        <w:rPr>
          <w:rFonts w:cs="Tahoma" w:ascii="Tahoma" w:hAnsi="Tahoma"/>
          <w:i/>
          <w:sz w:val="20"/>
        </w:rPr>
        <w:t>Salitre.</w:t>
      </w:r>
    </w:p>
    <w:p>
      <w:pPr>
        <w:pStyle w:val="Cuerpodetexto"/>
        <w:rPr>
          <w:rFonts w:ascii="Tahoma" w:hAnsi="Tahoma" w:cs="Tahoma"/>
          <w:sz w:val="20"/>
          <w:szCs w:val="20"/>
        </w:rPr>
      </w:pPr>
      <w:r>
        <w:rPr>
          <w:rFonts w:cs="Tahoma" w:ascii="Tahoma" w:hAnsi="Tahoma"/>
          <w:sz w:val="20"/>
          <w:szCs w:val="20"/>
        </w:rPr>
      </w:r>
    </w:p>
    <w:p>
      <w:pPr>
        <w:pStyle w:val="ListParagraph"/>
        <w:widowControl w:val="false"/>
        <w:numPr>
          <w:ilvl w:val="0"/>
          <w:numId w:val="23"/>
        </w:numPr>
        <w:tabs>
          <w:tab w:val="clear" w:pos="708"/>
          <w:tab w:val="left" w:pos="1913" w:leader="none"/>
        </w:tabs>
        <w:spacing w:before="1" w:after="0"/>
        <w:ind w:left="969" w:right="971" w:firstLine="708"/>
        <w:jc w:val="both"/>
        <w:rPr>
          <w:rFonts w:ascii="Tahoma" w:hAnsi="Tahoma" w:cs="Tahoma"/>
          <w:i/>
          <w:i/>
          <w:sz w:val="20"/>
        </w:rPr>
      </w:pPr>
      <w:r>
        <w:rPr>
          <w:rFonts w:cs="Tahoma" w:ascii="Tahoma" w:hAnsi="Tahoma"/>
          <w:i/>
          <w:sz w:val="20"/>
        </w:rPr>
        <w:t>Incluir</w:t>
      </w:r>
      <w:r>
        <w:rPr>
          <w:rFonts w:cs="Tahoma" w:ascii="Tahoma" w:hAnsi="Tahoma"/>
          <w:i/>
          <w:spacing w:val="-7"/>
          <w:sz w:val="20"/>
        </w:rPr>
        <w:t xml:space="preserve"> </w:t>
      </w:r>
      <w:r>
        <w:rPr>
          <w:rFonts w:cs="Tahoma" w:ascii="Tahoma" w:hAnsi="Tahoma"/>
          <w:i/>
          <w:sz w:val="20"/>
        </w:rPr>
        <w:t>en</w:t>
      </w:r>
      <w:r>
        <w:rPr>
          <w:rFonts w:cs="Tahoma" w:ascii="Tahoma" w:hAnsi="Tahoma"/>
          <w:i/>
          <w:spacing w:val="-8"/>
          <w:sz w:val="20"/>
        </w:rPr>
        <w:t xml:space="preserve"> </w:t>
      </w:r>
      <w:r>
        <w:rPr>
          <w:rFonts w:cs="Tahoma" w:ascii="Tahoma" w:hAnsi="Tahoma"/>
          <w:i/>
          <w:sz w:val="20"/>
        </w:rPr>
        <w:t>las</w:t>
      </w:r>
      <w:r>
        <w:rPr>
          <w:rFonts w:cs="Tahoma" w:ascii="Tahoma" w:hAnsi="Tahoma"/>
          <w:i/>
          <w:spacing w:val="-5"/>
          <w:sz w:val="20"/>
        </w:rPr>
        <w:t xml:space="preserve"> </w:t>
      </w:r>
      <w:r>
        <w:rPr>
          <w:rFonts w:cs="Tahoma" w:ascii="Tahoma" w:hAnsi="Tahoma"/>
          <w:i/>
          <w:sz w:val="20"/>
        </w:rPr>
        <w:t>estadísticas</w:t>
      </w:r>
      <w:r>
        <w:rPr>
          <w:rFonts w:cs="Tahoma" w:ascii="Tahoma" w:hAnsi="Tahoma"/>
          <w:i/>
          <w:spacing w:val="-8"/>
          <w:sz w:val="20"/>
        </w:rPr>
        <w:t xml:space="preserve"> </w:t>
      </w:r>
      <w:r>
        <w:rPr>
          <w:rFonts w:cs="Tahoma" w:ascii="Tahoma" w:hAnsi="Tahoma"/>
          <w:i/>
          <w:sz w:val="20"/>
        </w:rPr>
        <w:t>institucionales</w:t>
      </w:r>
      <w:r>
        <w:rPr>
          <w:rFonts w:cs="Tahoma" w:ascii="Tahoma" w:hAnsi="Tahoma"/>
          <w:i/>
          <w:spacing w:val="-9"/>
          <w:sz w:val="20"/>
        </w:rPr>
        <w:t xml:space="preserve"> </w:t>
      </w:r>
      <w:r>
        <w:rPr>
          <w:rFonts w:cs="Tahoma" w:ascii="Tahoma" w:hAnsi="Tahoma"/>
          <w:i/>
          <w:sz w:val="20"/>
        </w:rPr>
        <w:t>indicadores</w:t>
      </w:r>
      <w:r>
        <w:rPr>
          <w:rFonts w:cs="Tahoma" w:ascii="Tahoma" w:hAnsi="Tahoma"/>
          <w:i/>
          <w:spacing w:val="-8"/>
          <w:sz w:val="20"/>
        </w:rPr>
        <w:t xml:space="preserve"> </w:t>
      </w:r>
      <w:r>
        <w:rPr>
          <w:rFonts w:cs="Tahoma" w:ascii="Tahoma" w:hAnsi="Tahoma"/>
          <w:i/>
          <w:sz w:val="20"/>
        </w:rPr>
        <w:t>que</w:t>
      </w:r>
      <w:r>
        <w:rPr>
          <w:rFonts w:cs="Tahoma" w:ascii="Tahoma" w:hAnsi="Tahoma"/>
          <w:i/>
          <w:spacing w:val="-7"/>
          <w:sz w:val="20"/>
        </w:rPr>
        <w:t xml:space="preserve"> </w:t>
      </w:r>
      <w:r>
        <w:rPr>
          <w:rFonts w:cs="Tahoma" w:ascii="Tahoma" w:hAnsi="Tahoma"/>
          <w:i/>
          <w:sz w:val="20"/>
        </w:rPr>
        <w:t>visibilicen los procesos judiciales que estén vinculados con personas indígenas, incorporando además información relativa a los pueblos relacionados, los territorios, entre otros datos de interés para la toma de</w:t>
      </w:r>
      <w:r>
        <w:rPr>
          <w:rFonts w:cs="Tahoma" w:ascii="Tahoma" w:hAnsi="Tahoma"/>
          <w:i/>
          <w:spacing w:val="-12"/>
          <w:sz w:val="20"/>
        </w:rPr>
        <w:t xml:space="preserve"> </w:t>
      </w:r>
      <w:r>
        <w:rPr>
          <w:rFonts w:cs="Tahoma" w:ascii="Tahoma" w:hAnsi="Tahoma"/>
          <w:i/>
          <w:sz w:val="20"/>
        </w:rPr>
        <w:t>decisiones.</w:t>
      </w:r>
    </w:p>
    <w:p>
      <w:pPr>
        <w:pStyle w:val="Cuerpodetexto"/>
        <w:spacing w:before="9" w:after="0"/>
        <w:rPr>
          <w:rFonts w:ascii="Tahoma" w:hAnsi="Tahoma" w:cs="Tahoma"/>
          <w:sz w:val="20"/>
          <w:szCs w:val="20"/>
        </w:rPr>
      </w:pPr>
      <w:r>
        <w:rPr>
          <w:rFonts w:cs="Tahoma" w:ascii="Tahoma" w:hAnsi="Tahoma"/>
          <w:sz w:val="20"/>
          <w:szCs w:val="20"/>
        </w:rPr>
      </w:r>
    </w:p>
    <w:p>
      <w:pPr>
        <w:pStyle w:val="ListParagraph"/>
        <w:widowControl w:val="false"/>
        <w:numPr>
          <w:ilvl w:val="0"/>
          <w:numId w:val="23"/>
        </w:numPr>
        <w:tabs>
          <w:tab w:val="clear" w:pos="708"/>
          <w:tab w:val="left" w:pos="1925" w:leader="none"/>
        </w:tabs>
        <w:spacing w:before="90" w:after="0"/>
        <w:ind w:left="969" w:right="972" w:firstLine="708"/>
        <w:jc w:val="both"/>
        <w:rPr>
          <w:rFonts w:ascii="Tahoma" w:hAnsi="Tahoma" w:cs="Tahoma"/>
          <w:sz w:val="20"/>
        </w:rPr>
      </w:pPr>
      <w:r>
        <w:rPr>
          <w:rFonts w:cs="Tahoma" w:ascii="Tahoma" w:hAnsi="Tahoma"/>
          <w:i/>
          <w:sz w:val="20"/>
        </w:rPr>
        <w:t xml:space="preserve">Con absoluto respeto al principio de independencia judicial, emitir </w:t>
      </w:r>
      <w:r>
        <w:rPr>
          <w:rFonts w:cs="Tahoma" w:ascii="Tahoma" w:hAnsi="Tahoma"/>
          <w:i/>
          <w:spacing w:val="-3"/>
          <w:sz w:val="20"/>
        </w:rPr>
        <w:t xml:space="preserve">circulares </w:t>
      </w:r>
      <w:r>
        <w:rPr>
          <w:rFonts w:cs="Tahoma" w:ascii="Tahoma" w:hAnsi="Tahoma"/>
          <w:i/>
          <w:sz w:val="20"/>
        </w:rPr>
        <w:t xml:space="preserve">dirigidas a todas las personas servidoras judiciales en las que se les </w:t>
      </w:r>
      <w:r>
        <w:rPr>
          <w:rFonts w:cs="Tahoma" w:ascii="Tahoma" w:hAnsi="Tahoma"/>
          <w:i/>
          <w:spacing w:val="-3"/>
          <w:sz w:val="20"/>
        </w:rPr>
        <w:t xml:space="preserve">reitere </w:t>
      </w:r>
      <w:r>
        <w:rPr>
          <w:rFonts w:cs="Tahoma" w:ascii="Tahoma" w:hAnsi="Tahoma"/>
          <w:i/>
          <w:sz w:val="20"/>
        </w:rPr>
        <w:t>su deber de ser garantes del acceso efectivo a la justicia de los pueblos</w:t>
      </w:r>
      <w:r>
        <w:rPr>
          <w:rFonts w:cs="Tahoma" w:ascii="Tahoma" w:hAnsi="Tahoma"/>
          <w:i/>
          <w:spacing w:val="-5"/>
          <w:sz w:val="20"/>
        </w:rPr>
        <w:t xml:space="preserve"> </w:t>
      </w:r>
      <w:r>
        <w:rPr>
          <w:rFonts w:cs="Tahoma" w:ascii="Tahoma" w:hAnsi="Tahoma"/>
          <w:i/>
          <w:sz w:val="20"/>
        </w:rPr>
        <w:t>indígenas,</w:t>
      </w:r>
      <w:r>
        <w:rPr>
          <w:rFonts w:cs="Tahoma" w:ascii="Tahoma" w:hAnsi="Tahoma"/>
          <w:i/>
          <w:spacing w:val="-5"/>
          <w:sz w:val="20"/>
        </w:rPr>
        <w:t xml:space="preserve"> </w:t>
      </w:r>
      <w:r>
        <w:rPr>
          <w:rFonts w:cs="Tahoma" w:ascii="Tahoma" w:hAnsi="Tahoma"/>
          <w:i/>
          <w:sz w:val="20"/>
        </w:rPr>
        <w:t>la</w:t>
      </w:r>
      <w:r>
        <w:rPr>
          <w:rFonts w:cs="Tahoma" w:ascii="Tahoma" w:hAnsi="Tahoma"/>
          <w:i/>
          <w:spacing w:val="-4"/>
          <w:sz w:val="20"/>
        </w:rPr>
        <w:t xml:space="preserve"> </w:t>
      </w:r>
      <w:r>
        <w:rPr>
          <w:rFonts w:cs="Tahoma" w:ascii="Tahoma" w:hAnsi="Tahoma"/>
          <w:i/>
          <w:sz w:val="20"/>
        </w:rPr>
        <w:t>no</w:t>
      </w:r>
      <w:r>
        <w:rPr>
          <w:rFonts w:cs="Tahoma" w:ascii="Tahoma" w:hAnsi="Tahoma"/>
          <w:i/>
          <w:spacing w:val="-5"/>
          <w:sz w:val="20"/>
        </w:rPr>
        <w:t xml:space="preserve"> </w:t>
      </w:r>
      <w:r>
        <w:rPr>
          <w:rFonts w:cs="Tahoma" w:ascii="Tahoma" w:hAnsi="Tahoma"/>
          <w:i/>
          <w:sz w:val="20"/>
        </w:rPr>
        <w:t>discriminación</w:t>
      </w:r>
      <w:r>
        <w:rPr>
          <w:rFonts w:cs="Tahoma" w:ascii="Tahoma" w:hAnsi="Tahoma"/>
          <w:i/>
          <w:spacing w:val="-5"/>
          <w:sz w:val="20"/>
        </w:rPr>
        <w:t xml:space="preserve"> </w:t>
      </w:r>
      <w:r>
        <w:rPr>
          <w:rFonts w:cs="Tahoma" w:ascii="Tahoma" w:hAnsi="Tahoma"/>
          <w:i/>
          <w:sz w:val="20"/>
        </w:rPr>
        <w:t>y</w:t>
      </w:r>
      <w:r>
        <w:rPr>
          <w:rFonts w:cs="Tahoma" w:ascii="Tahoma" w:hAnsi="Tahoma"/>
          <w:i/>
          <w:spacing w:val="-6"/>
          <w:sz w:val="20"/>
        </w:rPr>
        <w:t xml:space="preserve"> </w:t>
      </w:r>
      <w:r>
        <w:rPr>
          <w:rFonts w:cs="Tahoma" w:ascii="Tahoma" w:hAnsi="Tahoma"/>
          <w:i/>
          <w:sz w:val="20"/>
        </w:rPr>
        <w:t>eliminación</w:t>
      </w:r>
      <w:r>
        <w:rPr>
          <w:rFonts w:cs="Tahoma" w:ascii="Tahoma" w:hAnsi="Tahoma"/>
          <w:i/>
          <w:spacing w:val="-4"/>
          <w:sz w:val="20"/>
        </w:rPr>
        <w:t xml:space="preserve"> </w:t>
      </w:r>
      <w:r>
        <w:rPr>
          <w:rFonts w:cs="Tahoma" w:ascii="Tahoma" w:hAnsi="Tahoma"/>
          <w:i/>
          <w:sz w:val="20"/>
        </w:rPr>
        <w:t>de</w:t>
      </w:r>
      <w:r>
        <w:rPr>
          <w:rFonts w:cs="Tahoma" w:ascii="Tahoma" w:hAnsi="Tahoma"/>
          <w:i/>
          <w:spacing w:val="-6"/>
          <w:sz w:val="20"/>
        </w:rPr>
        <w:t xml:space="preserve"> </w:t>
      </w:r>
      <w:r>
        <w:rPr>
          <w:rFonts w:cs="Tahoma" w:ascii="Tahoma" w:hAnsi="Tahoma"/>
          <w:i/>
          <w:sz w:val="20"/>
        </w:rPr>
        <w:t>barreras,</w:t>
      </w:r>
      <w:r>
        <w:rPr>
          <w:rFonts w:cs="Tahoma" w:ascii="Tahoma" w:hAnsi="Tahoma"/>
          <w:i/>
          <w:spacing w:val="-4"/>
          <w:sz w:val="20"/>
        </w:rPr>
        <w:t xml:space="preserve"> </w:t>
      </w:r>
      <w:r>
        <w:rPr>
          <w:rFonts w:cs="Tahoma" w:ascii="Tahoma" w:hAnsi="Tahoma"/>
          <w:i/>
          <w:sz w:val="20"/>
        </w:rPr>
        <w:t>a</w:t>
      </w:r>
      <w:r>
        <w:rPr>
          <w:rFonts w:cs="Tahoma" w:ascii="Tahoma" w:hAnsi="Tahoma"/>
          <w:i/>
          <w:spacing w:val="-5"/>
          <w:sz w:val="20"/>
        </w:rPr>
        <w:t xml:space="preserve"> </w:t>
      </w:r>
      <w:r>
        <w:rPr>
          <w:rFonts w:cs="Tahoma" w:ascii="Tahoma" w:hAnsi="Tahoma"/>
          <w:i/>
          <w:sz w:val="20"/>
        </w:rPr>
        <w:t>saber:</w:t>
      </w:r>
      <w:r>
        <w:rPr>
          <w:rFonts w:cs="Tahoma" w:ascii="Tahoma" w:hAnsi="Tahoma"/>
          <w:i/>
          <w:spacing w:val="-4"/>
          <w:sz w:val="20"/>
        </w:rPr>
        <w:t xml:space="preserve"> </w:t>
      </w:r>
      <w:r>
        <w:rPr>
          <w:rFonts w:cs="Tahoma" w:ascii="Tahoma" w:hAnsi="Tahoma"/>
          <w:b/>
          <w:i/>
          <w:sz w:val="20"/>
        </w:rPr>
        <w:t xml:space="preserve">i) </w:t>
      </w:r>
      <w:r>
        <w:rPr>
          <w:rFonts w:cs="Tahoma" w:ascii="Tahoma" w:hAnsi="Tahoma"/>
          <w:i/>
          <w:sz w:val="20"/>
        </w:rPr>
        <w:t>asegurar que los miembros de la comunidad puedan comprender y hacerse comprender</w:t>
      </w:r>
      <w:r>
        <w:rPr>
          <w:rFonts w:cs="Tahoma" w:ascii="Tahoma" w:hAnsi="Tahoma"/>
          <w:i/>
          <w:spacing w:val="-10"/>
          <w:sz w:val="20"/>
        </w:rPr>
        <w:t xml:space="preserve"> </w:t>
      </w:r>
      <w:r>
        <w:rPr>
          <w:rFonts w:cs="Tahoma" w:ascii="Tahoma" w:hAnsi="Tahoma"/>
          <w:i/>
          <w:sz w:val="20"/>
        </w:rPr>
        <w:t>en</w:t>
      </w:r>
      <w:r>
        <w:rPr>
          <w:rFonts w:cs="Tahoma" w:ascii="Tahoma" w:hAnsi="Tahoma"/>
          <w:i/>
          <w:spacing w:val="-8"/>
          <w:sz w:val="20"/>
        </w:rPr>
        <w:t xml:space="preserve"> </w:t>
      </w:r>
      <w:r>
        <w:rPr>
          <w:rFonts w:cs="Tahoma" w:ascii="Tahoma" w:hAnsi="Tahoma"/>
          <w:i/>
          <w:sz w:val="20"/>
        </w:rPr>
        <w:t>los</w:t>
      </w:r>
      <w:r>
        <w:rPr>
          <w:rFonts w:cs="Tahoma" w:ascii="Tahoma" w:hAnsi="Tahoma"/>
          <w:i/>
          <w:spacing w:val="-9"/>
          <w:sz w:val="20"/>
        </w:rPr>
        <w:t xml:space="preserve"> </w:t>
      </w:r>
      <w:r>
        <w:rPr>
          <w:rFonts w:cs="Tahoma" w:ascii="Tahoma" w:hAnsi="Tahoma"/>
          <w:i/>
          <w:sz w:val="20"/>
        </w:rPr>
        <w:t>procedimientos</w:t>
      </w:r>
      <w:r>
        <w:rPr>
          <w:rFonts w:cs="Tahoma" w:ascii="Tahoma" w:hAnsi="Tahoma"/>
          <w:i/>
          <w:spacing w:val="-10"/>
          <w:sz w:val="20"/>
        </w:rPr>
        <w:t xml:space="preserve"> </w:t>
      </w:r>
      <w:r>
        <w:rPr>
          <w:rFonts w:cs="Tahoma" w:ascii="Tahoma" w:hAnsi="Tahoma"/>
          <w:i/>
          <w:sz w:val="20"/>
        </w:rPr>
        <w:t>legales</w:t>
      </w:r>
      <w:r>
        <w:rPr>
          <w:rFonts w:cs="Tahoma" w:ascii="Tahoma" w:hAnsi="Tahoma"/>
          <w:i/>
          <w:spacing w:val="-10"/>
          <w:sz w:val="20"/>
        </w:rPr>
        <w:t xml:space="preserve"> </w:t>
      </w:r>
      <w:r>
        <w:rPr>
          <w:rFonts w:cs="Tahoma" w:ascii="Tahoma" w:hAnsi="Tahoma"/>
          <w:i/>
          <w:sz w:val="20"/>
        </w:rPr>
        <w:t>iniciados,</w:t>
      </w:r>
      <w:r>
        <w:rPr>
          <w:rFonts w:cs="Tahoma" w:ascii="Tahoma" w:hAnsi="Tahoma"/>
          <w:i/>
          <w:spacing w:val="-9"/>
          <w:sz w:val="20"/>
        </w:rPr>
        <w:t xml:space="preserve"> </w:t>
      </w:r>
      <w:r>
        <w:rPr>
          <w:rFonts w:cs="Tahoma" w:ascii="Tahoma" w:hAnsi="Tahoma"/>
          <w:i/>
          <w:sz w:val="20"/>
        </w:rPr>
        <w:t>facilitándoles</w:t>
      </w:r>
      <w:r>
        <w:rPr>
          <w:rFonts w:cs="Tahoma" w:ascii="Tahoma" w:hAnsi="Tahoma"/>
          <w:i/>
          <w:spacing w:val="-10"/>
          <w:sz w:val="20"/>
        </w:rPr>
        <w:t xml:space="preserve"> </w:t>
      </w:r>
      <w:r>
        <w:rPr>
          <w:rFonts w:cs="Tahoma" w:ascii="Tahoma" w:hAnsi="Tahoma"/>
          <w:i/>
          <w:sz w:val="20"/>
        </w:rPr>
        <w:t xml:space="preserve">intérpretes u otros medios eficaces para tal fin; </w:t>
      </w:r>
      <w:r>
        <w:rPr>
          <w:rFonts w:cs="Tahoma" w:ascii="Tahoma" w:hAnsi="Tahoma"/>
          <w:b/>
          <w:i/>
          <w:sz w:val="20"/>
        </w:rPr>
        <w:t xml:space="preserve">ii) </w:t>
      </w:r>
      <w:r>
        <w:rPr>
          <w:rFonts w:cs="Tahoma" w:ascii="Tahoma" w:hAnsi="Tahoma"/>
          <w:i/>
          <w:sz w:val="20"/>
        </w:rPr>
        <w:t xml:space="preserve">proporcionar el acceso a los pueblos indígenas y tribales a asistencia técnica y legal en relación con su derecho a la propiedad colectiva, en el supuesto de que estos se encontrasen en una situación de vulnerabilidad que les impediría conseguirla, y </w:t>
      </w:r>
      <w:r>
        <w:rPr>
          <w:rFonts w:cs="Tahoma" w:ascii="Tahoma" w:hAnsi="Tahoma"/>
          <w:b/>
          <w:i/>
          <w:sz w:val="20"/>
        </w:rPr>
        <w:t xml:space="preserve">iii) </w:t>
      </w:r>
      <w:r>
        <w:rPr>
          <w:rFonts w:cs="Tahoma" w:ascii="Tahoma" w:hAnsi="Tahoma"/>
          <w:i/>
          <w:sz w:val="20"/>
        </w:rPr>
        <w:t>facilitar el acceso físico a las instituciones administrativas y judiciales, o a los organismos encargados de garantizar el derecho a la propiedad colectiva de los pueblos indígenas y tribales, así como facilitar la participación de los pueblos en el desarrollo de los procesos judiciales, administrativos o de cualquier otra índole, sin que ello les implique hacer esfuerzos desmedidos o exagerados, ya sea debido a las distancias o a las vías de acceso a dichas instituciones, o a los altos costos en virtud de los procedimientos. Además, el otorgamiento de una protección efectiva que tome en cuenta las particularidades propias que los diferencian de la población en general y</w:t>
      </w:r>
      <w:r>
        <w:rPr>
          <w:rFonts w:cs="Tahoma" w:ascii="Tahoma" w:hAnsi="Tahoma"/>
          <w:i/>
          <w:spacing w:val="-33"/>
          <w:sz w:val="20"/>
        </w:rPr>
        <w:t xml:space="preserve"> </w:t>
      </w:r>
      <w:r>
        <w:rPr>
          <w:rFonts w:cs="Tahoma" w:ascii="Tahoma" w:hAnsi="Tahoma"/>
          <w:i/>
          <w:sz w:val="20"/>
        </w:rPr>
        <w:t>que conforman</w:t>
      </w:r>
      <w:r>
        <w:rPr>
          <w:rFonts w:cs="Tahoma" w:ascii="Tahoma" w:hAnsi="Tahoma"/>
          <w:i/>
          <w:spacing w:val="-10"/>
          <w:sz w:val="20"/>
        </w:rPr>
        <w:t xml:space="preserve"> </w:t>
      </w:r>
      <w:r>
        <w:rPr>
          <w:rFonts w:cs="Tahoma" w:ascii="Tahoma" w:hAnsi="Tahoma"/>
          <w:i/>
          <w:sz w:val="20"/>
        </w:rPr>
        <w:t>su</w:t>
      </w:r>
      <w:r>
        <w:rPr>
          <w:rFonts w:cs="Tahoma" w:ascii="Tahoma" w:hAnsi="Tahoma"/>
          <w:i/>
          <w:spacing w:val="-10"/>
          <w:sz w:val="20"/>
        </w:rPr>
        <w:t xml:space="preserve"> </w:t>
      </w:r>
      <w:r>
        <w:rPr>
          <w:rFonts w:cs="Tahoma" w:ascii="Tahoma" w:hAnsi="Tahoma"/>
          <w:i/>
          <w:sz w:val="20"/>
        </w:rPr>
        <w:t>identidad</w:t>
      </w:r>
      <w:r>
        <w:rPr>
          <w:rFonts w:cs="Tahoma" w:ascii="Tahoma" w:hAnsi="Tahoma"/>
          <w:i/>
          <w:spacing w:val="-8"/>
          <w:sz w:val="20"/>
        </w:rPr>
        <w:t xml:space="preserve"> </w:t>
      </w:r>
      <w:r>
        <w:rPr>
          <w:rFonts w:cs="Tahoma" w:ascii="Tahoma" w:hAnsi="Tahoma"/>
          <w:i/>
          <w:sz w:val="20"/>
        </w:rPr>
        <w:t>cultural,</w:t>
      </w:r>
      <w:r>
        <w:rPr>
          <w:rFonts w:cs="Tahoma" w:ascii="Tahoma" w:hAnsi="Tahoma"/>
          <w:i/>
          <w:spacing w:val="-10"/>
          <w:sz w:val="20"/>
        </w:rPr>
        <w:t xml:space="preserve"> </w:t>
      </w:r>
      <w:r>
        <w:rPr>
          <w:rFonts w:cs="Tahoma" w:ascii="Tahoma" w:hAnsi="Tahoma"/>
          <w:i/>
          <w:sz w:val="20"/>
        </w:rPr>
        <w:t>sus</w:t>
      </w:r>
      <w:r>
        <w:rPr>
          <w:rFonts w:cs="Tahoma" w:ascii="Tahoma" w:hAnsi="Tahoma"/>
          <w:i/>
          <w:spacing w:val="-8"/>
          <w:sz w:val="20"/>
        </w:rPr>
        <w:t xml:space="preserve"> </w:t>
      </w:r>
      <w:r>
        <w:rPr>
          <w:rFonts w:cs="Tahoma" w:ascii="Tahoma" w:hAnsi="Tahoma"/>
          <w:i/>
          <w:sz w:val="20"/>
        </w:rPr>
        <w:t>características</w:t>
      </w:r>
      <w:r>
        <w:rPr>
          <w:rFonts w:cs="Tahoma" w:ascii="Tahoma" w:hAnsi="Tahoma"/>
          <w:i/>
          <w:spacing w:val="-10"/>
          <w:sz w:val="20"/>
        </w:rPr>
        <w:t xml:space="preserve"> </w:t>
      </w:r>
      <w:r>
        <w:rPr>
          <w:rFonts w:cs="Tahoma" w:ascii="Tahoma" w:hAnsi="Tahoma"/>
          <w:i/>
          <w:sz w:val="20"/>
        </w:rPr>
        <w:t>económicas</w:t>
      </w:r>
      <w:r>
        <w:rPr>
          <w:rFonts w:cs="Tahoma" w:ascii="Tahoma" w:hAnsi="Tahoma"/>
          <w:i/>
          <w:spacing w:val="-7"/>
          <w:sz w:val="20"/>
        </w:rPr>
        <w:t xml:space="preserve"> </w:t>
      </w:r>
      <w:r>
        <w:rPr>
          <w:rFonts w:cs="Tahoma" w:ascii="Tahoma" w:hAnsi="Tahoma"/>
          <w:i/>
          <w:sz w:val="20"/>
        </w:rPr>
        <w:t>y</w:t>
      </w:r>
      <w:r>
        <w:rPr>
          <w:rFonts w:cs="Tahoma" w:ascii="Tahoma" w:hAnsi="Tahoma"/>
          <w:i/>
          <w:spacing w:val="-10"/>
          <w:sz w:val="20"/>
        </w:rPr>
        <w:t xml:space="preserve"> </w:t>
      </w:r>
      <w:r>
        <w:rPr>
          <w:rFonts w:cs="Tahoma" w:ascii="Tahoma" w:hAnsi="Tahoma"/>
          <w:i/>
          <w:sz w:val="20"/>
        </w:rPr>
        <w:t>sociales,</w:t>
      </w:r>
      <w:r>
        <w:rPr>
          <w:rFonts w:cs="Tahoma" w:ascii="Tahoma" w:hAnsi="Tahoma"/>
          <w:i/>
          <w:spacing w:val="-7"/>
          <w:sz w:val="20"/>
        </w:rPr>
        <w:t xml:space="preserve"> </w:t>
      </w:r>
      <w:r>
        <w:rPr>
          <w:rFonts w:cs="Tahoma" w:ascii="Tahoma" w:hAnsi="Tahoma"/>
          <w:i/>
          <w:sz w:val="20"/>
        </w:rPr>
        <w:t>su posible</w:t>
      </w:r>
      <w:r>
        <w:rPr>
          <w:rFonts w:cs="Tahoma" w:ascii="Tahoma" w:hAnsi="Tahoma"/>
          <w:i/>
          <w:spacing w:val="-12"/>
          <w:sz w:val="20"/>
        </w:rPr>
        <w:t xml:space="preserve"> </w:t>
      </w:r>
      <w:r>
        <w:rPr>
          <w:rFonts w:cs="Tahoma" w:ascii="Tahoma" w:hAnsi="Tahoma"/>
          <w:i/>
          <w:sz w:val="20"/>
        </w:rPr>
        <w:t>situación</w:t>
      </w:r>
      <w:r>
        <w:rPr>
          <w:rFonts w:cs="Tahoma" w:ascii="Tahoma" w:hAnsi="Tahoma"/>
          <w:i/>
          <w:spacing w:val="-11"/>
          <w:sz w:val="20"/>
        </w:rPr>
        <w:t xml:space="preserve"> </w:t>
      </w:r>
      <w:r>
        <w:rPr>
          <w:rFonts w:cs="Tahoma" w:ascii="Tahoma" w:hAnsi="Tahoma"/>
          <w:i/>
          <w:sz w:val="20"/>
        </w:rPr>
        <w:t>de</w:t>
      </w:r>
      <w:r>
        <w:rPr>
          <w:rFonts w:cs="Tahoma" w:ascii="Tahoma" w:hAnsi="Tahoma"/>
          <w:i/>
          <w:spacing w:val="-12"/>
          <w:sz w:val="20"/>
        </w:rPr>
        <w:t xml:space="preserve"> </w:t>
      </w:r>
      <w:r>
        <w:rPr>
          <w:rFonts w:cs="Tahoma" w:ascii="Tahoma" w:hAnsi="Tahoma"/>
          <w:i/>
          <w:sz w:val="20"/>
        </w:rPr>
        <w:t>vulnerabilidad,</w:t>
      </w:r>
      <w:r>
        <w:rPr>
          <w:rFonts w:cs="Tahoma" w:ascii="Tahoma" w:hAnsi="Tahoma"/>
          <w:i/>
          <w:spacing w:val="-11"/>
          <w:sz w:val="20"/>
        </w:rPr>
        <w:t xml:space="preserve"> </w:t>
      </w:r>
      <w:r>
        <w:rPr>
          <w:rFonts w:cs="Tahoma" w:ascii="Tahoma" w:hAnsi="Tahoma"/>
          <w:i/>
          <w:sz w:val="20"/>
        </w:rPr>
        <w:t>su</w:t>
      </w:r>
      <w:r>
        <w:rPr>
          <w:rFonts w:cs="Tahoma" w:ascii="Tahoma" w:hAnsi="Tahoma"/>
          <w:i/>
          <w:spacing w:val="-11"/>
          <w:sz w:val="20"/>
        </w:rPr>
        <w:t xml:space="preserve"> </w:t>
      </w:r>
      <w:r>
        <w:rPr>
          <w:rFonts w:cs="Tahoma" w:ascii="Tahoma" w:hAnsi="Tahoma"/>
          <w:i/>
          <w:sz w:val="20"/>
        </w:rPr>
        <w:t>derecho</w:t>
      </w:r>
      <w:r>
        <w:rPr>
          <w:rFonts w:cs="Tahoma" w:ascii="Tahoma" w:hAnsi="Tahoma"/>
          <w:i/>
          <w:spacing w:val="-12"/>
          <w:sz w:val="20"/>
        </w:rPr>
        <w:t xml:space="preserve"> </w:t>
      </w:r>
      <w:r>
        <w:rPr>
          <w:rFonts w:cs="Tahoma" w:ascii="Tahoma" w:hAnsi="Tahoma"/>
          <w:i/>
          <w:sz w:val="20"/>
        </w:rPr>
        <w:t>consuetudinario,</w:t>
      </w:r>
      <w:r>
        <w:rPr>
          <w:rFonts w:cs="Tahoma" w:ascii="Tahoma" w:hAnsi="Tahoma"/>
          <w:i/>
          <w:spacing w:val="-11"/>
          <w:sz w:val="20"/>
        </w:rPr>
        <w:t xml:space="preserve"> </w:t>
      </w:r>
      <w:r>
        <w:rPr>
          <w:rFonts w:cs="Tahoma" w:ascii="Tahoma" w:hAnsi="Tahoma"/>
          <w:i/>
          <w:sz w:val="20"/>
        </w:rPr>
        <w:t>valores,</w:t>
      </w:r>
      <w:r>
        <w:rPr>
          <w:rFonts w:cs="Tahoma" w:ascii="Tahoma" w:hAnsi="Tahoma"/>
          <w:i/>
          <w:spacing w:val="-12"/>
          <w:sz w:val="20"/>
        </w:rPr>
        <w:t xml:space="preserve"> </w:t>
      </w:r>
      <w:r>
        <w:rPr>
          <w:rFonts w:cs="Tahoma" w:ascii="Tahoma" w:hAnsi="Tahoma"/>
          <w:i/>
          <w:sz w:val="20"/>
        </w:rPr>
        <w:t>usos y costumbres, así como su especial relación con la tierra, y respeto de los mecanismos internos de decisión de controversias en materia indígena, los cuales</w:t>
      </w:r>
      <w:r>
        <w:rPr>
          <w:rFonts w:cs="Tahoma" w:ascii="Tahoma" w:hAnsi="Tahoma"/>
          <w:i/>
          <w:spacing w:val="8"/>
          <w:sz w:val="20"/>
        </w:rPr>
        <w:t xml:space="preserve"> </w:t>
      </w:r>
      <w:r>
        <w:rPr>
          <w:rFonts w:cs="Tahoma" w:ascii="Tahoma" w:hAnsi="Tahoma"/>
          <w:i/>
          <w:sz w:val="20"/>
        </w:rPr>
        <w:t>se</w:t>
      </w:r>
      <w:r>
        <w:rPr>
          <w:rFonts w:cs="Tahoma" w:ascii="Tahoma" w:hAnsi="Tahoma"/>
          <w:i/>
          <w:spacing w:val="8"/>
          <w:sz w:val="20"/>
        </w:rPr>
        <w:t xml:space="preserve"> </w:t>
      </w:r>
      <w:r>
        <w:rPr>
          <w:rFonts w:cs="Tahoma" w:ascii="Tahoma" w:hAnsi="Tahoma"/>
          <w:i/>
          <w:sz w:val="20"/>
        </w:rPr>
        <w:t>encuentren</w:t>
      </w:r>
      <w:r>
        <w:rPr>
          <w:rFonts w:cs="Tahoma" w:ascii="Tahoma" w:hAnsi="Tahoma"/>
          <w:i/>
          <w:spacing w:val="9"/>
          <w:sz w:val="20"/>
        </w:rPr>
        <w:t xml:space="preserve"> </w:t>
      </w:r>
      <w:r>
        <w:rPr>
          <w:rFonts w:cs="Tahoma" w:ascii="Tahoma" w:hAnsi="Tahoma"/>
          <w:i/>
          <w:sz w:val="20"/>
        </w:rPr>
        <w:t>en</w:t>
      </w:r>
      <w:r>
        <w:rPr>
          <w:rFonts w:cs="Tahoma" w:ascii="Tahoma" w:hAnsi="Tahoma"/>
          <w:i/>
          <w:spacing w:val="8"/>
          <w:sz w:val="20"/>
        </w:rPr>
        <w:t xml:space="preserve"> </w:t>
      </w:r>
      <w:r>
        <w:rPr>
          <w:rFonts w:cs="Tahoma" w:ascii="Tahoma" w:hAnsi="Tahoma"/>
          <w:i/>
          <w:sz w:val="20"/>
        </w:rPr>
        <w:t>armonía</w:t>
      </w:r>
      <w:r>
        <w:rPr>
          <w:rFonts w:cs="Tahoma" w:ascii="Tahoma" w:hAnsi="Tahoma"/>
          <w:i/>
          <w:spacing w:val="9"/>
          <w:sz w:val="20"/>
        </w:rPr>
        <w:t xml:space="preserve"> </w:t>
      </w:r>
      <w:r>
        <w:rPr>
          <w:rFonts w:cs="Tahoma" w:ascii="Tahoma" w:hAnsi="Tahoma"/>
          <w:i/>
          <w:sz w:val="20"/>
        </w:rPr>
        <w:t>con</w:t>
      </w:r>
      <w:r>
        <w:rPr>
          <w:rFonts w:cs="Tahoma" w:ascii="Tahoma" w:hAnsi="Tahoma"/>
          <w:i/>
          <w:spacing w:val="9"/>
          <w:sz w:val="20"/>
        </w:rPr>
        <w:t xml:space="preserve"> </w:t>
      </w:r>
      <w:r>
        <w:rPr>
          <w:rFonts w:cs="Tahoma" w:ascii="Tahoma" w:hAnsi="Tahoma"/>
          <w:i/>
          <w:sz w:val="20"/>
        </w:rPr>
        <w:t>los</w:t>
      </w:r>
      <w:r>
        <w:rPr>
          <w:rFonts w:cs="Tahoma" w:ascii="Tahoma" w:hAnsi="Tahoma"/>
          <w:i/>
          <w:spacing w:val="9"/>
          <w:sz w:val="20"/>
        </w:rPr>
        <w:t xml:space="preserve"> </w:t>
      </w:r>
      <w:r>
        <w:rPr>
          <w:rFonts w:cs="Tahoma" w:ascii="Tahoma" w:hAnsi="Tahoma"/>
          <w:i/>
          <w:sz w:val="20"/>
        </w:rPr>
        <w:t>derechos</w:t>
      </w:r>
      <w:r>
        <w:rPr>
          <w:rFonts w:cs="Tahoma" w:ascii="Tahoma" w:hAnsi="Tahoma"/>
          <w:i/>
          <w:spacing w:val="9"/>
          <w:sz w:val="20"/>
        </w:rPr>
        <w:t xml:space="preserve"> </w:t>
      </w:r>
      <w:r>
        <w:rPr>
          <w:rFonts w:cs="Tahoma" w:ascii="Tahoma" w:hAnsi="Tahoma"/>
          <w:i/>
          <w:sz w:val="20"/>
        </w:rPr>
        <w:t>humanos,</w:t>
      </w:r>
      <w:r>
        <w:rPr>
          <w:rFonts w:cs="Tahoma" w:ascii="Tahoma" w:hAnsi="Tahoma"/>
          <w:i/>
          <w:spacing w:val="9"/>
          <w:sz w:val="20"/>
        </w:rPr>
        <w:t xml:space="preserve"> </w:t>
      </w:r>
      <w:r>
        <w:rPr>
          <w:rFonts w:cs="Tahoma" w:ascii="Tahoma" w:hAnsi="Tahoma"/>
          <w:i/>
          <w:sz w:val="20"/>
        </w:rPr>
        <w:t>según</w:t>
      </w:r>
      <w:r>
        <w:rPr>
          <w:rFonts w:cs="Tahoma" w:ascii="Tahoma" w:hAnsi="Tahoma"/>
          <w:i/>
          <w:spacing w:val="11"/>
          <w:sz w:val="20"/>
        </w:rPr>
        <w:t xml:space="preserve"> </w:t>
      </w:r>
      <w:r>
        <w:rPr>
          <w:rFonts w:cs="Tahoma" w:ascii="Tahoma" w:hAnsi="Tahoma"/>
          <w:i/>
          <w:sz w:val="20"/>
        </w:rPr>
        <w:t xml:space="preserve">los estándares internacionales establecidos por la Corte Interamericana de </w:t>
      </w:r>
      <w:r>
        <w:rPr>
          <w:rFonts w:cs="Tahoma" w:ascii="Tahoma" w:hAnsi="Tahoma"/>
          <w:sz w:val="20"/>
        </w:rPr>
        <w:t>Derechos Humanos en el caso Pueblos Kaliña y Lokono versus Surinam, sentencia de 25 de noviembre de 2015 y las disposiciones de la Ley de</w:t>
      </w:r>
      <w:r>
        <w:rPr>
          <w:rFonts w:cs="Tahoma" w:ascii="Tahoma" w:hAnsi="Tahoma"/>
          <w:spacing w:val="-44"/>
          <w:sz w:val="20"/>
        </w:rPr>
        <w:t xml:space="preserve"> </w:t>
      </w:r>
      <w:r>
        <w:rPr>
          <w:rFonts w:cs="Tahoma" w:ascii="Tahoma" w:hAnsi="Tahoma"/>
          <w:sz w:val="20"/>
        </w:rPr>
        <w:t>Acceso a la Justicia de los Pueblos Indígenas de Costa</w:t>
      </w:r>
      <w:r>
        <w:rPr>
          <w:rFonts w:cs="Tahoma" w:ascii="Tahoma" w:hAnsi="Tahoma"/>
          <w:spacing w:val="-3"/>
          <w:sz w:val="20"/>
        </w:rPr>
        <w:t xml:space="preserve"> </w:t>
      </w:r>
      <w:r>
        <w:rPr>
          <w:rFonts w:cs="Tahoma" w:ascii="Tahoma" w:hAnsi="Tahoma"/>
          <w:sz w:val="20"/>
        </w:rPr>
        <w:t>Rica.</w:t>
      </w:r>
    </w:p>
    <w:p>
      <w:pPr>
        <w:pStyle w:val="Cuerpodetexto"/>
        <w:rPr>
          <w:rFonts w:ascii="Tahoma" w:hAnsi="Tahoma" w:cs="Tahoma"/>
          <w:sz w:val="20"/>
          <w:szCs w:val="20"/>
        </w:rPr>
      </w:pPr>
      <w:r>
        <w:rPr>
          <w:rFonts w:cs="Tahoma" w:ascii="Tahoma" w:hAnsi="Tahoma"/>
          <w:sz w:val="20"/>
          <w:szCs w:val="20"/>
        </w:rPr>
      </w:r>
    </w:p>
    <w:p>
      <w:pPr>
        <w:pStyle w:val="ListParagraph"/>
        <w:widowControl w:val="false"/>
        <w:numPr>
          <w:ilvl w:val="0"/>
          <w:numId w:val="30"/>
        </w:numPr>
        <w:tabs>
          <w:tab w:val="clear" w:pos="708"/>
          <w:tab w:val="left" w:pos="1942" w:leader="none"/>
        </w:tabs>
        <w:spacing w:before="0" w:after="0"/>
        <w:ind w:left="387" w:right="970" w:hanging="245"/>
        <w:jc w:val="both"/>
        <w:rPr>
          <w:rFonts w:ascii="Tahoma" w:hAnsi="Tahoma" w:cs="Tahoma"/>
          <w:i/>
          <w:i/>
          <w:sz w:val="20"/>
        </w:rPr>
      </w:pPr>
      <w:r>
        <w:rPr>
          <w:rFonts w:cs="Tahoma" w:ascii="Tahoma" w:hAnsi="Tahoma"/>
          <w:i/>
          <w:sz w:val="20"/>
        </w:rPr>
        <w:t xml:space="preserve">Con absoluto respeto al principio de independencia judicial y los principios de Bangalore </w:t>
      </w:r>
      <w:r>
        <w:rPr>
          <w:rFonts w:cs="Tahoma" w:ascii="Tahoma" w:hAnsi="Tahoma"/>
          <w:i/>
          <w:spacing w:val="-3"/>
          <w:sz w:val="20"/>
        </w:rPr>
        <w:t xml:space="preserve">sobre </w:t>
      </w:r>
      <w:r>
        <w:rPr>
          <w:rFonts w:cs="Tahoma" w:ascii="Tahoma" w:hAnsi="Tahoma"/>
          <w:i/>
          <w:sz w:val="20"/>
        </w:rPr>
        <w:t>la conducta judicial, entre otros, establecer políticas y prácticas de gestión de recursos humanos apropiadas, principalmente en cuanto a contratación, vinculación, entrenamiento, evaluación, promoción y acciones disciplinarias; todo de conformidad con el ordenamiento</w:t>
      </w:r>
      <w:r>
        <w:rPr>
          <w:rFonts w:cs="Tahoma" w:ascii="Tahoma" w:hAnsi="Tahoma"/>
          <w:i/>
          <w:spacing w:val="-10"/>
          <w:sz w:val="20"/>
        </w:rPr>
        <w:t xml:space="preserve"> </w:t>
      </w:r>
      <w:r>
        <w:rPr>
          <w:rFonts w:cs="Tahoma" w:ascii="Tahoma" w:hAnsi="Tahoma"/>
          <w:i/>
          <w:sz w:val="20"/>
        </w:rPr>
        <w:t>jurídico</w:t>
      </w:r>
      <w:r>
        <w:rPr>
          <w:rFonts w:cs="Tahoma" w:ascii="Tahoma" w:hAnsi="Tahoma"/>
          <w:i/>
          <w:spacing w:val="-10"/>
          <w:sz w:val="20"/>
        </w:rPr>
        <w:t xml:space="preserve"> </w:t>
      </w:r>
      <w:r>
        <w:rPr>
          <w:rFonts w:cs="Tahoma" w:ascii="Tahoma" w:hAnsi="Tahoma"/>
          <w:i/>
          <w:sz w:val="20"/>
        </w:rPr>
        <w:t>y</w:t>
      </w:r>
      <w:r>
        <w:rPr>
          <w:rFonts w:cs="Tahoma" w:ascii="Tahoma" w:hAnsi="Tahoma"/>
          <w:i/>
          <w:spacing w:val="-11"/>
          <w:sz w:val="20"/>
        </w:rPr>
        <w:t xml:space="preserve"> </w:t>
      </w:r>
      <w:r>
        <w:rPr>
          <w:rFonts w:cs="Tahoma" w:ascii="Tahoma" w:hAnsi="Tahoma"/>
          <w:i/>
          <w:sz w:val="20"/>
        </w:rPr>
        <w:t>técnico</w:t>
      </w:r>
      <w:r>
        <w:rPr>
          <w:rFonts w:cs="Tahoma" w:ascii="Tahoma" w:hAnsi="Tahoma"/>
          <w:i/>
          <w:spacing w:val="-10"/>
          <w:sz w:val="20"/>
        </w:rPr>
        <w:t xml:space="preserve"> </w:t>
      </w:r>
      <w:r>
        <w:rPr>
          <w:rFonts w:cs="Tahoma" w:ascii="Tahoma" w:hAnsi="Tahoma"/>
          <w:i/>
          <w:sz w:val="20"/>
        </w:rPr>
        <w:t>aplicable,</w:t>
      </w:r>
      <w:r>
        <w:rPr>
          <w:rFonts w:cs="Tahoma" w:ascii="Tahoma" w:hAnsi="Tahoma"/>
          <w:i/>
          <w:spacing w:val="-9"/>
          <w:sz w:val="20"/>
        </w:rPr>
        <w:t xml:space="preserve"> </w:t>
      </w:r>
      <w:r>
        <w:rPr>
          <w:rFonts w:cs="Tahoma" w:ascii="Tahoma" w:hAnsi="Tahoma"/>
          <w:i/>
          <w:sz w:val="20"/>
        </w:rPr>
        <w:t>en</w:t>
      </w:r>
      <w:r>
        <w:rPr>
          <w:rFonts w:cs="Tahoma" w:ascii="Tahoma" w:hAnsi="Tahoma"/>
          <w:i/>
          <w:spacing w:val="-10"/>
          <w:sz w:val="20"/>
        </w:rPr>
        <w:t xml:space="preserve"> </w:t>
      </w:r>
      <w:r>
        <w:rPr>
          <w:rFonts w:cs="Tahoma" w:ascii="Tahoma" w:hAnsi="Tahoma"/>
          <w:i/>
          <w:sz w:val="20"/>
        </w:rPr>
        <w:t>lo</w:t>
      </w:r>
      <w:r>
        <w:rPr>
          <w:rFonts w:cs="Tahoma" w:ascii="Tahoma" w:hAnsi="Tahoma"/>
          <w:i/>
          <w:spacing w:val="-9"/>
          <w:sz w:val="20"/>
        </w:rPr>
        <w:t xml:space="preserve"> </w:t>
      </w:r>
      <w:r>
        <w:rPr>
          <w:rFonts w:cs="Tahoma" w:ascii="Tahoma" w:hAnsi="Tahoma"/>
          <w:i/>
          <w:sz w:val="20"/>
        </w:rPr>
        <w:t>relacionado</w:t>
      </w:r>
      <w:r>
        <w:rPr>
          <w:rFonts w:cs="Tahoma" w:ascii="Tahoma" w:hAnsi="Tahoma"/>
          <w:i/>
          <w:spacing w:val="-10"/>
          <w:sz w:val="20"/>
        </w:rPr>
        <w:t xml:space="preserve"> </w:t>
      </w:r>
      <w:r>
        <w:rPr>
          <w:rFonts w:cs="Tahoma" w:ascii="Tahoma" w:hAnsi="Tahoma"/>
          <w:i/>
          <w:sz w:val="20"/>
        </w:rPr>
        <w:t>con</w:t>
      </w:r>
      <w:r>
        <w:rPr>
          <w:rFonts w:cs="Tahoma" w:ascii="Tahoma" w:hAnsi="Tahoma"/>
          <w:i/>
          <w:spacing w:val="-11"/>
          <w:sz w:val="20"/>
        </w:rPr>
        <w:t xml:space="preserve"> </w:t>
      </w:r>
      <w:r>
        <w:rPr>
          <w:rFonts w:cs="Tahoma" w:ascii="Tahoma" w:hAnsi="Tahoma"/>
          <w:i/>
          <w:sz w:val="20"/>
        </w:rPr>
        <w:t>la</w:t>
      </w:r>
      <w:r>
        <w:rPr>
          <w:rFonts w:cs="Tahoma" w:ascii="Tahoma" w:hAnsi="Tahoma"/>
          <w:i/>
          <w:spacing w:val="-9"/>
          <w:sz w:val="20"/>
        </w:rPr>
        <w:t xml:space="preserve"> </w:t>
      </w:r>
      <w:r>
        <w:rPr>
          <w:rFonts w:cs="Tahoma" w:ascii="Tahoma" w:hAnsi="Tahoma"/>
          <w:i/>
          <w:sz w:val="20"/>
        </w:rPr>
        <w:t xml:space="preserve">aplicación del Derecho Indígena, con el objetivo de ofrecer a las personas usuarias indígenas una justicia pronta, cumplida, sin denegación y accesible; priorizando lo vinculado con los procesos judiciales en los que sean parte miembros del pueblo indígena </w:t>
      </w:r>
      <w:r>
        <w:rPr>
          <w:rFonts w:cs="Tahoma" w:ascii="Tahoma" w:hAnsi="Tahoma"/>
          <w:i/>
          <w:spacing w:val="-5"/>
          <w:sz w:val="20"/>
        </w:rPr>
        <w:t xml:space="preserve">Teribe </w:t>
      </w:r>
      <w:r>
        <w:rPr>
          <w:rFonts w:cs="Tahoma" w:ascii="Tahoma" w:hAnsi="Tahoma"/>
          <w:i/>
          <w:sz w:val="20"/>
        </w:rPr>
        <w:t>y Bribri de</w:t>
      </w:r>
      <w:r>
        <w:rPr>
          <w:rFonts w:cs="Tahoma" w:ascii="Tahoma" w:hAnsi="Tahoma"/>
          <w:i/>
          <w:spacing w:val="1"/>
          <w:sz w:val="20"/>
        </w:rPr>
        <w:t xml:space="preserve"> </w:t>
      </w:r>
      <w:r>
        <w:rPr>
          <w:rFonts w:cs="Tahoma" w:ascii="Tahoma" w:hAnsi="Tahoma"/>
          <w:i/>
          <w:sz w:val="20"/>
        </w:rPr>
        <w:t>Salitre.</w:t>
      </w:r>
    </w:p>
    <w:p>
      <w:pPr>
        <w:pStyle w:val="Cuerpodetexto"/>
        <w:rPr>
          <w:rFonts w:ascii="Tahoma" w:hAnsi="Tahoma" w:cs="Tahoma"/>
          <w:sz w:val="20"/>
          <w:szCs w:val="20"/>
        </w:rPr>
      </w:pPr>
      <w:r>
        <w:rPr>
          <w:rFonts w:cs="Tahoma" w:ascii="Tahoma" w:hAnsi="Tahoma"/>
          <w:sz w:val="20"/>
          <w:szCs w:val="20"/>
        </w:rPr>
      </w:r>
    </w:p>
    <w:p>
      <w:pPr>
        <w:pStyle w:val="ListParagraph"/>
        <w:widowControl w:val="false"/>
        <w:numPr>
          <w:ilvl w:val="0"/>
          <w:numId w:val="30"/>
        </w:numPr>
        <w:tabs>
          <w:tab w:val="clear" w:pos="708"/>
          <w:tab w:val="left" w:pos="1963" w:leader="none"/>
        </w:tabs>
        <w:spacing w:before="1" w:after="0"/>
        <w:ind w:left="387" w:right="971" w:firstLine="708"/>
        <w:jc w:val="both"/>
        <w:rPr>
          <w:rFonts w:ascii="Tahoma" w:hAnsi="Tahoma" w:cs="Tahoma"/>
          <w:i/>
          <w:i/>
          <w:sz w:val="20"/>
        </w:rPr>
      </w:pPr>
      <w:r>
        <w:rPr>
          <w:rFonts w:cs="Tahoma" w:ascii="Tahoma" w:hAnsi="Tahoma"/>
          <w:i/>
          <w:sz w:val="20"/>
        </w:rPr>
        <w:t xml:space="preserve">Realizar encuentros entre el pueblo indígena </w:t>
      </w:r>
      <w:r>
        <w:rPr>
          <w:rFonts w:cs="Tahoma" w:ascii="Tahoma" w:hAnsi="Tahoma"/>
          <w:i/>
          <w:spacing w:val="-5"/>
          <w:sz w:val="20"/>
        </w:rPr>
        <w:t xml:space="preserve">Teribe </w:t>
      </w:r>
      <w:r>
        <w:rPr>
          <w:rFonts w:cs="Tahoma" w:ascii="Tahoma" w:hAnsi="Tahoma"/>
          <w:i/>
          <w:sz w:val="20"/>
        </w:rPr>
        <w:t>y Bribri de Salitre con personas funcionarias judiciales de la Contraloría de Servicios, Comisión de Acceso a la Justicia y la Subcomisión de Acceso a la Justicia de los Pueblos Indígenas, a efecto de que estas últimas les expongan el funcionamiento del Poder Judicial en sus diferentes ámbitos. En forma</w:t>
      </w:r>
      <w:r>
        <w:rPr>
          <w:rFonts w:cs="Tahoma" w:ascii="Tahoma" w:hAnsi="Tahoma"/>
          <w:i/>
          <w:spacing w:val="-20"/>
          <w:sz w:val="20"/>
        </w:rPr>
        <w:t xml:space="preserve"> </w:t>
      </w:r>
      <w:r>
        <w:rPr>
          <w:rFonts w:cs="Tahoma" w:ascii="Tahoma" w:hAnsi="Tahoma"/>
          <w:i/>
          <w:spacing w:val="-2"/>
          <w:sz w:val="20"/>
        </w:rPr>
        <w:t xml:space="preserve">previa </w:t>
      </w:r>
      <w:r>
        <w:rPr>
          <w:rFonts w:cs="Tahoma" w:ascii="Tahoma" w:hAnsi="Tahoma"/>
          <w:i/>
          <w:sz w:val="20"/>
        </w:rPr>
        <w:t>a su ejecución se concertará con las personas indígenas la identificación de los</w:t>
      </w:r>
      <w:r>
        <w:rPr>
          <w:rFonts w:cs="Tahoma" w:ascii="Tahoma" w:hAnsi="Tahoma"/>
          <w:i/>
          <w:spacing w:val="-13"/>
          <w:sz w:val="20"/>
        </w:rPr>
        <w:t xml:space="preserve"> </w:t>
      </w:r>
      <w:r>
        <w:rPr>
          <w:rFonts w:cs="Tahoma" w:ascii="Tahoma" w:hAnsi="Tahoma"/>
          <w:i/>
          <w:sz w:val="20"/>
        </w:rPr>
        <w:t>contenidos</w:t>
      </w:r>
      <w:r>
        <w:rPr>
          <w:rFonts w:cs="Tahoma" w:ascii="Tahoma" w:hAnsi="Tahoma"/>
          <w:i/>
          <w:spacing w:val="-12"/>
          <w:sz w:val="20"/>
        </w:rPr>
        <w:t xml:space="preserve"> </w:t>
      </w:r>
      <w:r>
        <w:rPr>
          <w:rFonts w:cs="Tahoma" w:ascii="Tahoma" w:hAnsi="Tahoma"/>
          <w:i/>
          <w:sz w:val="20"/>
        </w:rPr>
        <w:t>mínimos</w:t>
      </w:r>
      <w:r>
        <w:rPr>
          <w:rFonts w:cs="Tahoma" w:ascii="Tahoma" w:hAnsi="Tahoma"/>
          <w:i/>
          <w:spacing w:val="-13"/>
          <w:sz w:val="20"/>
        </w:rPr>
        <w:t xml:space="preserve"> </w:t>
      </w:r>
      <w:r>
        <w:rPr>
          <w:rFonts w:cs="Tahoma" w:ascii="Tahoma" w:hAnsi="Tahoma"/>
          <w:i/>
          <w:sz w:val="20"/>
        </w:rPr>
        <w:t>de</w:t>
      </w:r>
      <w:r>
        <w:rPr>
          <w:rFonts w:cs="Tahoma" w:ascii="Tahoma" w:hAnsi="Tahoma"/>
          <w:i/>
          <w:spacing w:val="-13"/>
          <w:sz w:val="20"/>
        </w:rPr>
        <w:t xml:space="preserve"> </w:t>
      </w:r>
      <w:r>
        <w:rPr>
          <w:rFonts w:cs="Tahoma" w:ascii="Tahoma" w:hAnsi="Tahoma"/>
          <w:i/>
          <w:sz w:val="20"/>
        </w:rPr>
        <w:t>los</w:t>
      </w:r>
      <w:r>
        <w:rPr>
          <w:rFonts w:cs="Tahoma" w:ascii="Tahoma" w:hAnsi="Tahoma"/>
          <w:i/>
          <w:spacing w:val="-12"/>
          <w:sz w:val="20"/>
        </w:rPr>
        <w:t xml:space="preserve"> </w:t>
      </w:r>
      <w:r>
        <w:rPr>
          <w:rFonts w:cs="Tahoma" w:ascii="Tahoma" w:hAnsi="Tahoma"/>
          <w:i/>
          <w:sz w:val="20"/>
        </w:rPr>
        <w:t>aspectos</w:t>
      </w:r>
      <w:r>
        <w:rPr>
          <w:rFonts w:cs="Tahoma" w:ascii="Tahoma" w:hAnsi="Tahoma"/>
          <w:i/>
          <w:spacing w:val="-13"/>
          <w:sz w:val="20"/>
        </w:rPr>
        <w:t xml:space="preserve"> </w:t>
      </w:r>
      <w:r>
        <w:rPr>
          <w:rFonts w:cs="Tahoma" w:ascii="Tahoma" w:hAnsi="Tahoma"/>
          <w:i/>
          <w:spacing w:val="-3"/>
          <w:sz w:val="20"/>
        </w:rPr>
        <w:t>sobre</w:t>
      </w:r>
      <w:r>
        <w:rPr>
          <w:rFonts w:cs="Tahoma" w:ascii="Tahoma" w:hAnsi="Tahoma"/>
          <w:i/>
          <w:spacing w:val="-11"/>
          <w:sz w:val="20"/>
        </w:rPr>
        <w:t xml:space="preserve"> </w:t>
      </w:r>
      <w:r>
        <w:rPr>
          <w:rFonts w:cs="Tahoma" w:ascii="Tahoma" w:hAnsi="Tahoma"/>
          <w:i/>
          <w:sz w:val="20"/>
        </w:rPr>
        <w:t>los</w:t>
      </w:r>
      <w:r>
        <w:rPr>
          <w:rFonts w:cs="Tahoma" w:ascii="Tahoma" w:hAnsi="Tahoma"/>
          <w:i/>
          <w:spacing w:val="-12"/>
          <w:sz w:val="20"/>
        </w:rPr>
        <w:t xml:space="preserve"> </w:t>
      </w:r>
      <w:r>
        <w:rPr>
          <w:rFonts w:cs="Tahoma" w:ascii="Tahoma" w:hAnsi="Tahoma"/>
          <w:i/>
          <w:sz w:val="20"/>
        </w:rPr>
        <w:t>cuales</w:t>
      </w:r>
      <w:r>
        <w:rPr>
          <w:rFonts w:cs="Tahoma" w:ascii="Tahoma" w:hAnsi="Tahoma"/>
          <w:i/>
          <w:spacing w:val="-14"/>
          <w:sz w:val="20"/>
        </w:rPr>
        <w:t xml:space="preserve"> </w:t>
      </w:r>
      <w:r>
        <w:rPr>
          <w:rFonts w:cs="Tahoma" w:ascii="Tahoma" w:hAnsi="Tahoma"/>
          <w:i/>
          <w:sz w:val="20"/>
        </w:rPr>
        <w:t>desean</w:t>
      </w:r>
      <w:r>
        <w:rPr>
          <w:rFonts w:cs="Tahoma" w:ascii="Tahoma" w:hAnsi="Tahoma"/>
          <w:i/>
          <w:spacing w:val="-10"/>
          <w:sz w:val="20"/>
        </w:rPr>
        <w:t xml:space="preserve"> </w:t>
      </w:r>
      <w:r>
        <w:rPr>
          <w:rFonts w:cs="Tahoma" w:ascii="Tahoma" w:hAnsi="Tahoma"/>
          <w:i/>
          <w:sz w:val="20"/>
        </w:rPr>
        <w:t>ser</w:t>
      </w:r>
      <w:r>
        <w:rPr>
          <w:rFonts w:cs="Tahoma" w:ascii="Tahoma" w:hAnsi="Tahoma"/>
          <w:i/>
          <w:spacing w:val="-12"/>
          <w:sz w:val="20"/>
        </w:rPr>
        <w:t xml:space="preserve"> </w:t>
      </w:r>
      <w:r>
        <w:rPr>
          <w:rFonts w:cs="Tahoma" w:ascii="Tahoma" w:hAnsi="Tahoma"/>
          <w:i/>
          <w:sz w:val="20"/>
        </w:rPr>
        <w:t>informados y los mecanismos que ofrece el Poder Judicial para el acceso a la</w:t>
      </w:r>
      <w:r>
        <w:rPr>
          <w:rFonts w:cs="Tahoma" w:ascii="Tahoma" w:hAnsi="Tahoma"/>
          <w:i/>
          <w:spacing w:val="-14"/>
          <w:sz w:val="20"/>
        </w:rPr>
        <w:t xml:space="preserve"> </w:t>
      </w:r>
      <w:r>
        <w:rPr>
          <w:rFonts w:cs="Tahoma" w:ascii="Tahoma" w:hAnsi="Tahoma"/>
          <w:i/>
          <w:sz w:val="20"/>
        </w:rPr>
        <w:t>justicia.</w:t>
      </w:r>
    </w:p>
    <w:p>
      <w:pPr>
        <w:pStyle w:val="Cuerpodetexto"/>
        <w:spacing w:before="9" w:after="0"/>
        <w:rPr>
          <w:rFonts w:ascii="Tahoma" w:hAnsi="Tahoma" w:cs="Tahoma"/>
          <w:sz w:val="20"/>
          <w:szCs w:val="20"/>
        </w:rPr>
      </w:pPr>
      <w:r>
        <w:rPr>
          <w:rFonts w:cs="Tahoma" w:ascii="Tahoma" w:hAnsi="Tahoma"/>
          <w:sz w:val="20"/>
          <w:szCs w:val="20"/>
        </w:rPr>
      </w:r>
    </w:p>
    <w:p>
      <w:pPr>
        <w:pStyle w:val="ListParagraph"/>
        <w:widowControl w:val="false"/>
        <w:numPr>
          <w:ilvl w:val="0"/>
          <w:numId w:val="30"/>
        </w:numPr>
        <w:tabs>
          <w:tab w:val="clear" w:pos="708"/>
          <w:tab w:val="left" w:pos="1915" w:leader="none"/>
        </w:tabs>
        <w:spacing w:before="0" w:after="0"/>
        <w:ind w:left="387" w:right="969" w:firstLine="708"/>
        <w:jc w:val="both"/>
        <w:rPr>
          <w:rFonts w:ascii="Tahoma" w:hAnsi="Tahoma" w:cs="Tahoma"/>
          <w:i/>
          <w:i/>
          <w:sz w:val="20"/>
        </w:rPr>
      </w:pPr>
      <w:r>
        <w:rPr>
          <w:rFonts w:cs="Tahoma" w:ascii="Tahoma" w:hAnsi="Tahoma"/>
          <w:i/>
          <w:sz w:val="20"/>
        </w:rPr>
        <w:t>Realizar</w:t>
      </w:r>
      <w:r>
        <w:rPr>
          <w:rFonts w:cs="Tahoma" w:ascii="Tahoma" w:hAnsi="Tahoma"/>
          <w:i/>
          <w:spacing w:val="-9"/>
          <w:sz w:val="20"/>
        </w:rPr>
        <w:t xml:space="preserve"> </w:t>
      </w:r>
      <w:r>
        <w:rPr>
          <w:rFonts w:cs="Tahoma" w:ascii="Tahoma" w:hAnsi="Tahoma"/>
          <w:i/>
          <w:sz w:val="20"/>
        </w:rPr>
        <w:t>encuentros</w:t>
      </w:r>
      <w:r>
        <w:rPr>
          <w:rFonts w:cs="Tahoma" w:ascii="Tahoma" w:hAnsi="Tahoma"/>
          <w:i/>
          <w:spacing w:val="-9"/>
          <w:sz w:val="20"/>
        </w:rPr>
        <w:t xml:space="preserve"> </w:t>
      </w:r>
      <w:r>
        <w:rPr>
          <w:rFonts w:cs="Tahoma" w:ascii="Tahoma" w:hAnsi="Tahoma"/>
          <w:i/>
          <w:sz w:val="20"/>
        </w:rPr>
        <w:t>entre</w:t>
      </w:r>
      <w:r>
        <w:rPr>
          <w:rFonts w:cs="Tahoma" w:ascii="Tahoma" w:hAnsi="Tahoma"/>
          <w:i/>
          <w:spacing w:val="-10"/>
          <w:sz w:val="20"/>
        </w:rPr>
        <w:t xml:space="preserve"> </w:t>
      </w:r>
      <w:r>
        <w:rPr>
          <w:rFonts w:cs="Tahoma" w:ascii="Tahoma" w:hAnsi="Tahoma"/>
          <w:i/>
          <w:sz w:val="20"/>
        </w:rPr>
        <w:t>representantes</w:t>
      </w:r>
      <w:r>
        <w:rPr>
          <w:rFonts w:cs="Tahoma" w:ascii="Tahoma" w:hAnsi="Tahoma"/>
          <w:i/>
          <w:spacing w:val="-9"/>
          <w:sz w:val="20"/>
        </w:rPr>
        <w:t xml:space="preserve"> </w:t>
      </w:r>
      <w:r>
        <w:rPr>
          <w:rFonts w:cs="Tahoma" w:ascii="Tahoma" w:hAnsi="Tahoma"/>
          <w:i/>
          <w:sz w:val="20"/>
        </w:rPr>
        <w:t>del</w:t>
      </w:r>
      <w:r>
        <w:rPr>
          <w:rFonts w:cs="Tahoma" w:ascii="Tahoma" w:hAnsi="Tahoma"/>
          <w:i/>
          <w:spacing w:val="-8"/>
          <w:sz w:val="20"/>
        </w:rPr>
        <w:t xml:space="preserve"> </w:t>
      </w:r>
      <w:r>
        <w:rPr>
          <w:rFonts w:cs="Tahoma" w:ascii="Tahoma" w:hAnsi="Tahoma"/>
          <w:i/>
          <w:sz w:val="20"/>
        </w:rPr>
        <w:t>pueblo</w:t>
      </w:r>
      <w:r>
        <w:rPr>
          <w:rFonts w:cs="Tahoma" w:ascii="Tahoma" w:hAnsi="Tahoma"/>
          <w:i/>
          <w:spacing w:val="-8"/>
          <w:sz w:val="20"/>
        </w:rPr>
        <w:t xml:space="preserve"> </w:t>
      </w:r>
      <w:r>
        <w:rPr>
          <w:rFonts w:cs="Tahoma" w:ascii="Tahoma" w:hAnsi="Tahoma"/>
          <w:i/>
          <w:sz w:val="20"/>
        </w:rPr>
        <w:t>indígena</w:t>
      </w:r>
      <w:r>
        <w:rPr>
          <w:rFonts w:cs="Tahoma" w:ascii="Tahoma" w:hAnsi="Tahoma"/>
          <w:i/>
          <w:spacing w:val="-10"/>
          <w:sz w:val="20"/>
        </w:rPr>
        <w:t xml:space="preserve"> </w:t>
      </w:r>
      <w:r>
        <w:rPr>
          <w:rFonts w:cs="Tahoma" w:ascii="Tahoma" w:hAnsi="Tahoma"/>
          <w:i/>
          <w:spacing w:val="-5"/>
          <w:sz w:val="20"/>
        </w:rPr>
        <w:t xml:space="preserve">Teribe </w:t>
      </w:r>
      <w:r>
        <w:rPr>
          <w:rFonts w:cs="Tahoma" w:ascii="Tahoma" w:hAnsi="Tahoma"/>
          <w:i/>
          <w:sz w:val="20"/>
        </w:rPr>
        <w:t>y Bribri de Salitre y personas funcionarias judiciales con competencia para conocer procesos judiciales vinculados con esa población, a efecto de que</w:t>
      </w:r>
      <w:r>
        <w:rPr>
          <w:rFonts w:cs="Tahoma" w:ascii="Tahoma" w:hAnsi="Tahoma"/>
          <w:i/>
          <w:spacing w:val="-28"/>
          <w:sz w:val="20"/>
        </w:rPr>
        <w:t xml:space="preserve"> </w:t>
      </w:r>
      <w:r>
        <w:rPr>
          <w:rFonts w:cs="Tahoma" w:ascii="Tahoma" w:hAnsi="Tahoma"/>
          <w:i/>
          <w:sz w:val="20"/>
        </w:rPr>
        <w:t>las personas</w:t>
      </w:r>
      <w:r>
        <w:rPr>
          <w:rFonts w:cs="Tahoma" w:ascii="Tahoma" w:hAnsi="Tahoma"/>
          <w:i/>
          <w:spacing w:val="-15"/>
          <w:sz w:val="20"/>
        </w:rPr>
        <w:t xml:space="preserve"> </w:t>
      </w:r>
      <w:r>
        <w:rPr>
          <w:rFonts w:cs="Tahoma" w:ascii="Tahoma" w:hAnsi="Tahoma"/>
          <w:i/>
          <w:sz w:val="20"/>
        </w:rPr>
        <w:t>indígenas</w:t>
      </w:r>
      <w:r>
        <w:rPr>
          <w:rFonts w:cs="Tahoma" w:ascii="Tahoma" w:hAnsi="Tahoma"/>
          <w:i/>
          <w:spacing w:val="-15"/>
          <w:sz w:val="20"/>
        </w:rPr>
        <w:t xml:space="preserve"> </w:t>
      </w:r>
      <w:r>
        <w:rPr>
          <w:rFonts w:cs="Tahoma" w:ascii="Tahoma" w:hAnsi="Tahoma"/>
          <w:i/>
          <w:sz w:val="20"/>
        </w:rPr>
        <w:t>capaciten</w:t>
      </w:r>
      <w:r>
        <w:rPr>
          <w:rFonts w:cs="Tahoma" w:ascii="Tahoma" w:hAnsi="Tahoma"/>
          <w:i/>
          <w:spacing w:val="-15"/>
          <w:sz w:val="20"/>
        </w:rPr>
        <w:t xml:space="preserve"> </w:t>
      </w:r>
      <w:r>
        <w:rPr>
          <w:rFonts w:cs="Tahoma" w:ascii="Tahoma" w:hAnsi="Tahoma"/>
          <w:i/>
          <w:sz w:val="20"/>
        </w:rPr>
        <w:t>a</w:t>
      </w:r>
      <w:r>
        <w:rPr>
          <w:rFonts w:cs="Tahoma" w:ascii="Tahoma" w:hAnsi="Tahoma"/>
          <w:i/>
          <w:spacing w:val="-14"/>
          <w:sz w:val="20"/>
        </w:rPr>
        <w:t xml:space="preserve"> </w:t>
      </w:r>
      <w:r>
        <w:rPr>
          <w:rFonts w:cs="Tahoma" w:ascii="Tahoma" w:hAnsi="Tahoma"/>
          <w:i/>
          <w:sz w:val="20"/>
        </w:rPr>
        <w:t>las</w:t>
      </w:r>
      <w:r>
        <w:rPr>
          <w:rFonts w:cs="Tahoma" w:ascii="Tahoma" w:hAnsi="Tahoma"/>
          <w:i/>
          <w:spacing w:val="-15"/>
          <w:sz w:val="20"/>
        </w:rPr>
        <w:t xml:space="preserve"> </w:t>
      </w:r>
      <w:r>
        <w:rPr>
          <w:rFonts w:cs="Tahoma" w:ascii="Tahoma" w:hAnsi="Tahoma"/>
          <w:i/>
          <w:sz w:val="20"/>
        </w:rPr>
        <w:t>y</w:t>
      </w:r>
      <w:r>
        <w:rPr>
          <w:rFonts w:cs="Tahoma" w:ascii="Tahoma" w:hAnsi="Tahoma"/>
          <w:i/>
          <w:spacing w:val="-19"/>
          <w:sz w:val="20"/>
        </w:rPr>
        <w:t xml:space="preserve"> </w:t>
      </w:r>
      <w:r>
        <w:rPr>
          <w:rFonts w:cs="Tahoma" w:ascii="Tahoma" w:hAnsi="Tahoma"/>
          <w:i/>
          <w:sz w:val="20"/>
        </w:rPr>
        <w:t>los</w:t>
      </w:r>
      <w:r>
        <w:rPr>
          <w:rFonts w:cs="Tahoma" w:ascii="Tahoma" w:hAnsi="Tahoma"/>
          <w:i/>
          <w:spacing w:val="-14"/>
          <w:sz w:val="20"/>
        </w:rPr>
        <w:t xml:space="preserve"> </w:t>
      </w:r>
      <w:r>
        <w:rPr>
          <w:rFonts w:cs="Tahoma" w:ascii="Tahoma" w:hAnsi="Tahoma"/>
          <w:i/>
          <w:sz w:val="20"/>
        </w:rPr>
        <w:t>servidores</w:t>
      </w:r>
      <w:r>
        <w:rPr>
          <w:rFonts w:cs="Tahoma" w:ascii="Tahoma" w:hAnsi="Tahoma"/>
          <w:i/>
          <w:spacing w:val="-15"/>
          <w:sz w:val="20"/>
        </w:rPr>
        <w:t xml:space="preserve"> </w:t>
      </w:r>
      <w:r>
        <w:rPr>
          <w:rFonts w:cs="Tahoma" w:ascii="Tahoma" w:hAnsi="Tahoma"/>
          <w:i/>
          <w:sz w:val="20"/>
        </w:rPr>
        <w:t>judiciales</w:t>
      </w:r>
      <w:r>
        <w:rPr>
          <w:rFonts w:cs="Tahoma" w:ascii="Tahoma" w:hAnsi="Tahoma"/>
          <w:i/>
          <w:spacing w:val="-15"/>
          <w:sz w:val="20"/>
        </w:rPr>
        <w:t xml:space="preserve"> </w:t>
      </w:r>
      <w:r>
        <w:rPr>
          <w:rFonts w:cs="Tahoma" w:ascii="Tahoma" w:hAnsi="Tahoma"/>
          <w:i/>
          <w:spacing w:val="-3"/>
          <w:sz w:val="20"/>
        </w:rPr>
        <w:t>sobre</w:t>
      </w:r>
      <w:r>
        <w:rPr>
          <w:rFonts w:cs="Tahoma" w:ascii="Tahoma" w:hAnsi="Tahoma"/>
          <w:i/>
          <w:spacing w:val="-15"/>
          <w:sz w:val="20"/>
        </w:rPr>
        <w:t xml:space="preserve"> </w:t>
      </w:r>
      <w:r>
        <w:rPr>
          <w:rFonts w:cs="Tahoma" w:ascii="Tahoma" w:hAnsi="Tahoma"/>
          <w:i/>
          <w:sz w:val="20"/>
        </w:rPr>
        <w:t>la</w:t>
      </w:r>
      <w:r>
        <w:rPr>
          <w:rFonts w:cs="Tahoma" w:ascii="Tahoma" w:hAnsi="Tahoma"/>
          <w:i/>
          <w:spacing w:val="-17"/>
          <w:sz w:val="20"/>
        </w:rPr>
        <w:t xml:space="preserve"> </w:t>
      </w:r>
      <w:r>
        <w:rPr>
          <w:rFonts w:cs="Tahoma" w:ascii="Tahoma" w:hAnsi="Tahoma"/>
          <w:i/>
          <w:sz w:val="20"/>
        </w:rPr>
        <w:t xml:space="preserve">historia, cosmovisión, costumbres, formas de tenencia y de transmisión de la tierra, entre otros datos de interés, que incidan en la solución de los conflictos indígenas; priorizándose a quienes laboren en las oficinas judiciales con competencia material y territorial para conocer de procesos vinculados con personas indígenas de Buenos </w:t>
      </w:r>
      <w:r>
        <w:rPr>
          <w:rFonts w:cs="Tahoma" w:ascii="Tahoma" w:hAnsi="Tahoma"/>
          <w:i/>
          <w:spacing w:val="-3"/>
          <w:sz w:val="20"/>
        </w:rPr>
        <w:t xml:space="preserve">Aires </w:t>
      </w:r>
      <w:r>
        <w:rPr>
          <w:rFonts w:cs="Tahoma" w:ascii="Tahoma" w:hAnsi="Tahoma"/>
          <w:i/>
          <w:sz w:val="20"/>
        </w:rPr>
        <w:t>de Puntarenas, incluyendo a personas juzgadoras,</w:t>
      </w:r>
      <w:r>
        <w:rPr>
          <w:rFonts w:cs="Tahoma" w:ascii="Tahoma" w:hAnsi="Tahoma"/>
          <w:i/>
          <w:spacing w:val="-13"/>
          <w:sz w:val="20"/>
        </w:rPr>
        <w:t xml:space="preserve"> </w:t>
      </w:r>
      <w:r>
        <w:rPr>
          <w:rFonts w:cs="Tahoma" w:ascii="Tahoma" w:hAnsi="Tahoma"/>
          <w:i/>
          <w:sz w:val="20"/>
        </w:rPr>
        <w:t>técnicas</w:t>
      </w:r>
      <w:r>
        <w:rPr>
          <w:rFonts w:cs="Tahoma" w:ascii="Tahoma" w:hAnsi="Tahoma"/>
          <w:i/>
          <w:spacing w:val="-12"/>
          <w:sz w:val="20"/>
        </w:rPr>
        <w:t xml:space="preserve"> </w:t>
      </w:r>
      <w:r>
        <w:rPr>
          <w:rFonts w:cs="Tahoma" w:ascii="Tahoma" w:hAnsi="Tahoma"/>
          <w:i/>
          <w:sz w:val="20"/>
        </w:rPr>
        <w:t>y</w:t>
      </w:r>
      <w:r>
        <w:rPr>
          <w:rFonts w:cs="Tahoma" w:ascii="Tahoma" w:hAnsi="Tahoma"/>
          <w:i/>
          <w:spacing w:val="-14"/>
          <w:sz w:val="20"/>
        </w:rPr>
        <w:t xml:space="preserve"> </w:t>
      </w:r>
      <w:r>
        <w:rPr>
          <w:rFonts w:cs="Tahoma" w:ascii="Tahoma" w:hAnsi="Tahoma"/>
          <w:i/>
          <w:sz w:val="20"/>
        </w:rPr>
        <w:t>coordinadoras</w:t>
      </w:r>
      <w:r>
        <w:rPr>
          <w:rFonts w:cs="Tahoma" w:ascii="Tahoma" w:hAnsi="Tahoma"/>
          <w:i/>
          <w:spacing w:val="-12"/>
          <w:sz w:val="20"/>
        </w:rPr>
        <w:t xml:space="preserve"> </w:t>
      </w:r>
      <w:r>
        <w:rPr>
          <w:rFonts w:cs="Tahoma" w:ascii="Tahoma" w:hAnsi="Tahoma"/>
          <w:i/>
          <w:sz w:val="20"/>
        </w:rPr>
        <w:t>judiciales,</w:t>
      </w:r>
      <w:r>
        <w:rPr>
          <w:rFonts w:cs="Tahoma" w:ascii="Tahoma" w:hAnsi="Tahoma"/>
          <w:i/>
          <w:spacing w:val="-13"/>
          <w:sz w:val="20"/>
        </w:rPr>
        <w:t xml:space="preserve"> </w:t>
      </w:r>
      <w:r>
        <w:rPr>
          <w:rFonts w:cs="Tahoma" w:ascii="Tahoma" w:hAnsi="Tahoma"/>
          <w:i/>
          <w:sz w:val="20"/>
        </w:rPr>
        <w:t>defensoras</w:t>
      </w:r>
      <w:r>
        <w:rPr>
          <w:rFonts w:cs="Tahoma" w:ascii="Tahoma" w:hAnsi="Tahoma"/>
          <w:i/>
          <w:spacing w:val="-12"/>
          <w:sz w:val="20"/>
        </w:rPr>
        <w:t xml:space="preserve"> </w:t>
      </w:r>
      <w:r>
        <w:rPr>
          <w:rFonts w:cs="Tahoma" w:ascii="Tahoma" w:hAnsi="Tahoma"/>
          <w:i/>
          <w:sz w:val="20"/>
        </w:rPr>
        <w:t>públicas,</w:t>
      </w:r>
      <w:r>
        <w:rPr>
          <w:rFonts w:cs="Tahoma" w:ascii="Tahoma" w:hAnsi="Tahoma"/>
          <w:i/>
          <w:spacing w:val="-13"/>
          <w:sz w:val="20"/>
        </w:rPr>
        <w:t xml:space="preserve"> </w:t>
      </w:r>
      <w:r>
        <w:rPr>
          <w:rFonts w:cs="Tahoma" w:ascii="Tahoma" w:hAnsi="Tahoma"/>
          <w:i/>
          <w:sz w:val="20"/>
        </w:rPr>
        <w:t>fiscalas, personal</w:t>
      </w:r>
      <w:r>
        <w:rPr>
          <w:rFonts w:cs="Tahoma" w:ascii="Tahoma" w:hAnsi="Tahoma"/>
          <w:i/>
          <w:spacing w:val="-12"/>
          <w:sz w:val="20"/>
        </w:rPr>
        <w:t xml:space="preserve"> </w:t>
      </w:r>
      <w:r>
        <w:rPr>
          <w:rFonts w:cs="Tahoma" w:ascii="Tahoma" w:hAnsi="Tahoma"/>
          <w:i/>
          <w:sz w:val="20"/>
        </w:rPr>
        <w:t>administrativo,</w:t>
      </w:r>
      <w:r>
        <w:rPr>
          <w:rFonts w:cs="Tahoma" w:ascii="Tahoma" w:hAnsi="Tahoma"/>
          <w:i/>
          <w:spacing w:val="-12"/>
          <w:sz w:val="20"/>
        </w:rPr>
        <w:t xml:space="preserve"> </w:t>
      </w:r>
      <w:r>
        <w:rPr>
          <w:rFonts w:cs="Tahoma" w:ascii="Tahoma" w:hAnsi="Tahoma"/>
          <w:i/>
          <w:sz w:val="20"/>
        </w:rPr>
        <w:t>del</w:t>
      </w:r>
      <w:r>
        <w:rPr>
          <w:rFonts w:cs="Tahoma" w:ascii="Tahoma" w:hAnsi="Tahoma"/>
          <w:i/>
          <w:spacing w:val="-12"/>
          <w:sz w:val="20"/>
        </w:rPr>
        <w:t xml:space="preserve"> </w:t>
      </w:r>
      <w:r>
        <w:rPr>
          <w:rFonts w:cs="Tahoma" w:ascii="Tahoma" w:hAnsi="Tahoma"/>
          <w:i/>
          <w:sz w:val="20"/>
        </w:rPr>
        <w:t>Organismo</w:t>
      </w:r>
      <w:r>
        <w:rPr>
          <w:rFonts w:cs="Tahoma" w:ascii="Tahoma" w:hAnsi="Tahoma"/>
          <w:i/>
          <w:spacing w:val="-12"/>
          <w:sz w:val="20"/>
        </w:rPr>
        <w:t xml:space="preserve"> </w:t>
      </w:r>
      <w:r>
        <w:rPr>
          <w:rFonts w:cs="Tahoma" w:ascii="Tahoma" w:hAnsi="Tahoma"/>
          <w:i/>
          <w:sz w:val="20"/>
        </w:rPr>
        <w:t>de</w:t>
      </w:r>
      <w:r>
        <w:rPr>
          <w:rFonts w:cs="Tahoma" w:ascii="Tahoma" w:hAnsi="Tahoma"/>
          <w:i/>
          <w:spacing w:val="-10"/>
          <w:sz w:val="20"/>
        </w:rPr>
        <w:t xml:space="preserve"> </w:t>
      </w:r>
      <w:r>
        <w:rPr>
          <w:rFonts w:cs="Tahoma" w:ascii="Tahoma" w:hAnsi="Tahoma"/>
          <w:i/>
          <w:sz w:val="20"/>
        </w:rPr>
        <w:t>Investigación</w:t>
      </w:r>
      <w:r>
        <w:rPr>
          <w:rFonts w:cs="Tahoma" w:ascii="Tahoma" w:hAnsi="Tahoma"/>
          <w:i/>
          <w:spacing w:val="-12"/>
          <w:sz w:val="20"/>
        </w:rPr>
        <w:t xml:space="preserve"> </w:t>
      </w:r>
      <w:r>
        <w:rPr>
          <w:rFonts w:cs="Tahoma" w:ascii="Tahoma" w:hAnsi="Tahoma"/>
          <w:i/>
          <w:sz w:val="20"/>
        </w:rPr>
        <w:t>Judicial,</w:t>
      </w:r>
      <w:r>
        <w:rPr>
          <w:rFonts w:cs="Tahoma" w:ascii="Tahoma" w:hAnsi="Tahoma"/>
          <w:i/>
          <w:spacing w:val="-9"/>
          <w:sz w:val="20"/>
        </w:rPr>
        <w:t xml:space="preserve"> </w:t>
      </w:r>
      <w:r>
        <w:rPr>
          <w:rFonts w:cs="Tahoma" w:ascii="Tahoma" w:hAnsi="Tahoma"/>
          <w:i/>
          <w:sz w:val="20"/>
        </w:rPr>
        <w:t>entre</w:t>
      </w:r>
      <w:r>
        <w:rPr>
          <w:rFonts w:cs="Tahoma" w:ascii="Tahoma" w:hAnsi="Tahoma"/>
          <w:i/>
          <w:spacing w:val="-14"/>
          <w:sz w:val="20"/>
        </w:rPr>
        <w:t xml:space="preserve"> </w:t>
      </w:r>
      <w:r>
        <w:rPr>
          <w:rFonts w:cs="Tahoma" w:ascii="Tahoma" w:hAnsi="Tahoma"/>
          <w:i/>
          <w:sz w:val="20"/>
        </w:rPr>
        <w:t>otros. Iniciar el proceso de capacitación con personas servidoras judiciales de las Jurisdicciones Penal, Agrario y Contencioso Administrativo, de todas las instancias; y luego se continuará con las</w:t>
      </w:r>
      <w:r>
        <w:rPr>
          <w:rFonts w:cs="Tahoma" w:ascii="Tahoma" w:hAnsi="Tahoma"/>
          <w:i/>
          <w:spacing w:val="-4"/>
          <w:sz w:val="20"/>
        </w:rPr>
        <w:t xml:space="preserve"> </w:t>
      </w:r>
      <w:r>
        <w:rPr>
          <w:rFonts w:cs="Tahoma" w:ascii="Tahoma" w:hAnsi="Tahoma"/>
          <w:i/>
          <w:sz w:val="20"/>
        </w:rPr>
        <w:t>demás.</w:t>
      </w:r>
    </w:p>
    <w:p>
      <w:pPr>
        <w:sectPr>
          <w:headerReference w:type="default" r:id="rId24"/>
          <w:footnotePr>
            <w:numFmt w:val="decimal"/>
          </w:footnotePr>
          <w:type w:val="nextPage"/>
          <w:pgSz w:w="12240" w:h="15840"/>
          <w:pgMar w:left="1640" w:right="1180" w:header="574" w:top="1560" w:footer="0" w:bottom="280" w:gutter="0"/>
          <w:pgNumType w:fmt="decimal"/>
          <w:formProt w:val="false"/>
          <w:textDirection w:val="lrTb"/>
          <w:docGrid w:type="default" w:linePitch="100" w:charSpace="4096"/>
        </w:sectPr>
        <w:pStyle w:val="ListParagraph"/>
        <w:rPr>
          <w:rFonts w:ascii="Tahoma" w:hAnsi="Tahoma" w:cs="Tahoma"/>
          <w:i/>
          <w:i/>
          <w:sz w:val="20"/>
        </w:rPr>
      </w:pPr>
      <w:r>
        <w:rPr>
          <w:rFonts w:cs="Tahoma" w:ascii="Tahoma" w:hAnsi="Tahoma"/>
          <w:i/>
          <w:sz w:val="20"/>
        </w:rPr>
      </w:r>
    </w:p>
    <w:p>
      <w:pPr>
        <w:pStyle w:val="ListParagraph"/>
        <w:widowControl w:val="false"/>
        <w:numPr>
          <w:ilvl w:val="0"/>
          <w:numId w:val="30"/>
        </w:numPr>
        <w:tabs>
          <w:tab w:val="clear" w:pos="708"/>
          <w:tab w:val="left" w:pos="2023" w:leader="none"/>
        </w:tabs>
        <w:spacing w:before="0" w:after="0"/>
        <w:ind w:left="2022" w:hanging="346"/>
        <w:rPr>
          <w:rFonts w:ascii="Tahoma" w:hAnsi="Tahoma" w:cs="Tahoma"/>
          <w:i/>
          <w:i/>
          <w:sz w:val="20"/>
        </w:rPr>
      </w:pPr>
      <w:r>
        <w:rPr>
          <w:rFonts w:cs="Tahoma" w:ascii="Tahoma" w:hAnsi="Tahoma"/>
          <w:i/>
          <w:spacing w:val="-4"/>
          <w:sz w:val="20"/>
        </w:rPr>
        <w:t>Verificar</w:t>
      </w:r>
      <w:r>
        <w:rPr>
          <w:rFonts w:cs="Tahoma" w:ascii="Tahoma" w:hAnsi="Tahoma"/>
          <w:i/>
          <w:spacing w:val="-14"/>
          <w:sz w:val="20"/>
        </w:rPr>
        <w:t xml:space="preserve"> </w:t>
      </w:r>
      <w:r>
        <w:rPr>
          <w:rFonts w:cs="Tahoma" w:ascii="Tahoma" w:hAnsi="Tahoma"/>
          <w:i/>
          <w:sz w:val="20"/>
        </w:rPr>
        <w:t>que,</w:t>
      </w:r>
      <w:r>
        <w:rPr>
          <w:rFonts w:cs="Tahoma" w:ascii="Tahoma" w:hAnsi="Tahoma"/>
          <w:i/>
          <w:spacing w:val="-15"/>
          <w:sz w:val="20"/>
        </w:rPr>
        <w:t xml:space="preserve"> </w:t>
      </w:r>
      <w:r>
        <w:rPr>
          <w:rFonts w:cs="Tahoma" w:ascii="Tahoma" w:hAnsi="Tahoma"/>
          <w:i/>
          <w:sz w:val="20"/>
        </w:rPr>
        <w:t>en</w:t>
      </w:r>
      <w:r>
        <w:rPr>
          <w:rFonts w:cs="Tahoma" w:ascii="Tahoma" w:hAnsi="Tahoma"/>
          <w:i/>
          <w:spacing w:val="-15"/>
          <w:sz w:val="20"/>
        </w:rPr>
        <w:t xml:space="preserve"> </w:t>
      </w:r>
      <w:r>
        <w:rPr>
          <w:rFonts w:cs="Tahoma" w:ascii="Tahoma" w:hAnsi="Tahoma"/>
          <w:i/>
          <w:sz w:val="20"/>
        </w:rPr>
        <w:t>los</w:t>
      </w:r>
      <w:r>
        <w:rPr>
          <w:rFonts w:cs="Tahoma" w:ascii="Tahoma" w:hAnsi="Tahoma"/>
          <w:i/>
          <w:spacing w:val="-14"/>
          <w:sz w:val="20"/>
        </w:rPr>
        <w:t xml:space="preserve"> </w:t>
      </w:r>
      <w:r>
        <w:rPr>
          <w:rFonts w:cs="Tahoma" w:ascii="Tahoma" w:hAnsi="Tahoma"/>
          <w:i/>
          <w:sz w:val="20"/>
        </w:rPr>
        <w:t>contenidos</w:t>
      </w:r>
      <w:r>
        <w:rPr>
          <w:rFonts w:cs="Tahoma" w:ascii="Tahoma" w:hAnsi="Tahoma"/>
          <w:i/>
          <w:spacing w:val="-15"/>
          <w:sz w:val="20"/>
        </w:rPr>
        <w:t xml:space="preserve"> </w:t>
      </w:r>
      <w:r>
        <w:rPr>
          <w:rFonts w:cs="Tahoma" w:ascii="Tahoma" w:hAnsi="Tahoma"/>
          <w:i/>
          <w:sz w:val="20"/>
        </w:rPr>
        <w:t>de</w:t>
      </w:r>
      <w:r>
        <w:rPr>
          <w:rFonts w:cs="Tahoma" w:ascii="Tahoma" w:hAnsi="Tahoma"/>
          <w:i/>
          <w:spacing w:val="-16"/>
          <w:sz w:val="20"/>
        </w:rPr>
        <w:t xml:space="preserve"> </w:t>
      </w:r>
      <w:r>
        <w:rPr>
          <w:rFonts w:cs="Tahoma" w:ascii="Tahoma" w:hAnsi="Tahoma"/>
          <w:i/>
          <w:sz w:val="20"/>
        </w:rPr>
        <w:t>los</w:t>
      </w:r>
      <w:r>
        <w:rPr>
          <w:rFonts w:cs="Tahoma" w:ascii="Tahoma" w:hAnsi="Tahoma"/>
          <w:i/>
          <w:spacing w:val="-14"/>
          <w:sz w:val="20"/>
        </w:rPr>
        <w:t xml:space="preserve"> </w:t>
      </w:r>
      <w:r>
        <w:rPr>
          <w:rFonts w:cs="Tahoma" w:ascii="Tahoma" w:hAnsi="Tahoma"/>
          <w:i/>
          <w:sz w:val="20"/>
        </w:rPr>
        <w:t>diseños</w:t>
      </w:r>
      <w:r>
        <w:rPr>
          <w:rFonts w:cs="Tahoma" w:ascii="Tahoma" w:hAnsi="Tahoma"/>
          <w:i/>
          <w:spacing w:val="-15"/>
          <w:sz w:val="20"/>
        </w:rPr>
        <w:t xml:space="preserve"> </w:t>
      </w:r>
      <w:r>
        <w:rPr>
          <w:rFonts w:cs="Tahoma" w:ascii="Tahoma" w:hAnsi="Tahoma"/>
          <w:i/>
          <w:sz w:val="20"/>
        </w:rPr>
        <w:t>de</w:t>
      </w:r>
      <w:r>
        <w:rPr>
          <w:rFonts w:cs="Tahoma" w:ascii="Tahoma" w:hAnsi="Tahoma"/>
          <w:i/>
          <w:spacing w:val="-16"/>
          <w:sz w:val="20"/>
        </w:rPr>
        <w:t xml:space="preserve"> </w:t>
      </w:r>
      <w:r>
        <w:rPr>
          <w:rFonts w:cs="Tahoma" w:ascii="Tahoma" w:hAnsi="Tahoma"/>
          <w:i/>
          <w:sz w:val="20"/>
        </w:rPr>
        <w:t>las</w:t>
      </w:r>
      <w:r>
        <w:rPr>
          <w:rFonts w:cs="Tahoma" w:ascii="Tahoma" w:hAnsi="Tahoma"/>
          <w:i/>
          <w:spacing w:val="-14"/>
          <w:sz w:val="20"/>
        </w:rPr>
        <w:t xml:space="preserve"> </w:t>
      </w:r>
      <w:r>
        <w:rPr>
          <w:rFonts w:cs="Tahoma" w:ascii="Tahoma" w:hAnsi="Tahoma"/>
          <w:i/>
          <w:sz w:val="20"/>
        </w:rPr>
        <w:t>capacitaciones</w:t>
      </w:r>
    </w:p>
    <w:p>
      <w:pPr>
        <w:pStyle w:val="Cuerpodetexto"/>
        <w:spacing w:before="90" w:after="0"/>
        <w:ind w:left="969" w:hanging="0"/>
        <w:jc w:val="both"/>
        <w:rPr>
          <w:rFonts w:ascii="Tahoma" w:hAnsi="Tahoma" w:cs="Tahoma"/>
          <w:sz w:val="20"/>
          <w:szCs w:val="20"/>
        </w:rPr>
      </w:pPr>
      <w:r>
        <w:rPr>
          <w:rFonts w:cs="Tahoma" w:ascii="Tahoma" w:hAnsi="Tahoma"/>
          <w:i/>
          <w:sz w:val="20"/>
          <w:szCs w:val="20"/>
        </w:rPr>
        <w:t>en Derecho Indígena, se incluya al menos:</w:t>
      </w:r>
    </w:p>
    <w:p>
      <w:pPr>
        <w:pStyle w:val="ListParagraph"/>
        <w:widowControl w:val="false"/>
        <w:numPr>
          <w:ilvl w:val="0"/>
          <w:numId w:val="22"/>
        </w:numPr>
        <w:tabs>
          <w:tab w:val="clear" w:pos="708"/>
          <w:tab w:val="left" w:pos="2242" w:leader="none"/>
        </w:tabs>
        <w:spacing w:before="0" w:after="0"/>
        <w:ind w:left="969" w:right="972" w:firstLine="708"/>
        <w:jc w:val="both"/>
        <w:rPr>
          <w:rFonts w:ascii="Tahoma" w:hAnsi="Tahoma" w:cs="Tahoma"/>
          <w:i/>
          <w:i/>
          <w:sz w:val="20"/>
        </w:rPr>
      </w:pPr>
      <w:r>
        <w:rPr>
          <w:rFonts w:cs="Tahoma" w:ascii="Tahoma" w:hAnsi="Tahoma"/>
          <w:i/>
          <w:sz w:val="20"/>
        </w:rPr>
        <w:t>Normativa internacional referida a los derechos de las</w:t>
      </w:r>
      <w:r>
        <w:rPr>
          <w:rFonts w:cs="Tahoma" w:ascii="Tahoma" w:hAnsi="Tahoma"/>
          <w:i/>
          <w:spacing w:val="-26"/>
          <w:sz w:val="20"/>
        </w:rPr>
        <w:t xml:space="preserve"> </w:t>
      </w:r>
      <w:r>
        <w:rPr>
          <w:rFonts w:cs="Tahoma" w:ascii="Tahoma" w:hAnsi="Tahoma"/>
          <w:i/>
          <w:sz w:val="20"/>
        </w:rPr>
        <w:t>personas indígenas,</w:t>
      </w:r>
      <w:r>
        <w:rPr>
          <w:rFonts w:cs="Tahoma" w:ascii="Tahoma" w:hAnsi="Tahoma"/>
          <w:i/>
          <w:spacing w:val="-13"/>
          <w:sz w:val="20"/>
        </w:rPr>
        <w:t xml:space="preserve"> </w:t>
      </w:r>
      <w:r>
        <w:rPr>
          <w:rFonts w:cs="Tahoma" w:ascii="Tahoma" w:hAnsi="Tahoma"/>
          <w:i/>
          <w:sz w:val="20"/>
        </w:rPr>
        <w:t>entre</w:t>
      </w:r>
      <w:r>
        <w:rPr>
          <w:rFonts w:cs="Tahoma" w:ascii="Tahoma" w:hAnsi="Tahoma"/>
          <w:i/>
          <w:spacing w:val="-12"/>
          <w:sz w:val="20"/>
        </w:rPr>
        <w:t xml:space="preserve"> </w:t>
      </w:r>
      <w:r>
        <w:rPr>
          <w:rFonts w:cs="Tahoma" w:ascii="Tahoma" w:hAnsi="Tahoma"/>
          <w:i/>
          <w:sz w:val="20"/>
        </w:rPr>
        <w:t>ellos,</w:t>
      </w:r>
      <w:r>
        <w:rPr>
          <w:rFonts w:cs="Tahoma" w:ascii="Tahoma" w:hAnsi="Tahoma"/>
          <w:i/>
          <w:spacing w:val="-13"/>
          <w:sz w:val="20"/>
        </w:rPr>
        <w:t xml:space="preserve"> </w:t>
      </w:r>
      <w:r>
        <w:rPr>
          <w:rFonts w:cs="Tahoma" w:ascii="Tahoma" w:hAnsi="Tahoma"/>
          <w:i/>
          <w:sz w:val="20"/>
        </w:rPr>
        <w:t>el</w:t>
      </w:r>
      <w:r>
        <w:rPr>
          <w:rFonts w:cs="Tahoma" w:ascii="Tahoma" w:hAnsi="Tahoma"/>
          <w:i/>
          <w:spacing w:val="-10"/>
          <w:sz w:val="20"/>
        </w:rPr>
        <w:t xml:space="preserve"> </w:t>
      </w:r>
      <w:r>
        <w:rPr>
          <w:rFonts w:cs="Tahoma" w:ascii="Tahoma" w:hAnsi="Tahoma"/>
          <w:i/>
          <w:sz w:val="20"/>
        </w:rPr>
        <w:t>Convenio</w:t>
      </w:r>
      <w:r>
        <w:rPr>
          <w:rFonts w:cs="Tahoma" w:ascii="Tahoma" w:hAnsi="Tahoma"/>
          <w:i/>
          <w:spacing w:val="-13"/>
          <w:sz w:val="20"/>
        </w:rPr>
        <w:t xml:space="preserve"> </w:t>
      </w:r>
      <w:r>
        <w:rPr>
          <w:rFonts w:cs="Tahoma" w:ascii="Tahoma" w:hAnsi="Tahoma"/>
          <w:i/>
          <w:sz w:val="20"/>
        </w:rPr>
        <w:t>relativo</w:t>
      </w:r>
      <w:r>
        <w:rPr>
          <w:rFonts w:cs="Tahoma" w:ascii="Tahoma" w:hAnsi="Tahoma"/>
          <w:i/>
          <w:spacing w:val="-13"/>
          <w:sz w:val="20"/>
        </w:rPr>
        <w:t xml:space="preserve"> </w:t>
      </w:r>
      <w:r>
        <w:rPr>
          <w:rFonts w:cs="Tahoma" w:ascii="Tahoma" w:hAnsi="Tahoma"/>
          <w:i/>
          <w:sz w:val="20"/>
        </w:rPr>
        <w:t>a</w:t>
      </w:r>
      <w:r>
        <w:rPr>
          <w:rFonts w:cs="Tahoma" w:ascii="Tahoma" w:hAnsi="Tahoma"/>
          <w:i/>
          <w:spacing w:val="-13"/>
          <w:sz w:val="20"/>
        </w:rPr>
        <w:t xml:space="preserve"> </w:t>
      </w:r>
      <w:r>
        <w:rPr>
          <w:rFonts w:cs="Tahoma" w:ascii="Tahoma" w:hAnsi="Tahoma"/>
          <w:i/>
          <w:sz w:val="20"/>
        </w:rPr>
        <w:t>la</w:t>
      </w:r>
      <w:r>
        <w:rPr>
          <w:rFonts w:cs="Tahoma" w:ascii="Tahoma" w:hAnsi="Tahoma"/>
          <w:i/>
          <w:spacing w:val="-13"/>
          <w:sz w:val="20"/>
        </w:rPr>
        <w:t xml:space="preserve"> </w:t>
      </w:r>
      <w:r>
        <w:rPr>
          <w:rFonts w:cs="Tahoma" w:ascii="Tahoma" w:hAnsi="Tahoma"/>
          <w:i/>
          <w:sz w:val="20"/>
        </w:rPr>
        <w:t>protección</w:t>
      </w:r>
      <w:r>
        <w:rPr>
          <w:rFonts w:cs="Tahoma" w:ascii="Tahoma" w:hAnsi="Tahoma"/>
          <w:i/>
          <w:spacing w:val="-13"/>
          <w:sz w:val="20"/>
        </w:rPr>
        <w:t xml:space="preserve"> </w:t>
      </w:r>
      <w:r>
        <w:rPr>
          <w:rFonts w:cs="Tahoma" w:ascii="Tahoma" w:hAnsi="Tahoma"/>
          <w:i/>
          <w:sz w:val="20"/>
        </w:rPr>
        <w:t>e</w:t>
      </w:r>
      <w:r>
        <w:rPr>
          <w:rFonts w:cs="Tahoma" w:ascii="Tahoma" w:hAnsi="Tahoma"/>
          <w:i/>
          <w:spacing w:val="-12"/>
          <w:sz w:val="20"/>
        </w:rPr>
        <w:t xml:space="preserve"> </w:t>
      </w:r>
      <w:r>
        <w:rPr>
          <w:rFonts w:cs="Tahoma" w:ascii="Tahoma" w:hAnsi="Tahoma"/>
          <w:i/>
          <w:sz w:val="20"/>
        </w:rPr>
        <w:t>integración</w:t>
      </w:r>
      <w:r>
        <w:rPr>
          <w:rFonts w:cs="Tahoma" w:ascii="Tahoma" w:hAnsi="Tahoma"/>
          <w:i/>
          <w:spacing w:val="-13"/>
          <w:sz w:val="20"/>
        </w:rPr>
        <w:t xml:space="preserve"> </w:t>
      </w:r>
      <w:r>
        <w:rPr>
          <w:rFonts w:cs="Tahoma" w:ascii="Tahoma" w:hAnsi="Tahoma"/>
          <w:i/>
          <w:sz w:val="20"/>
        </w:rPr>
        <w:t>de</w:t>
      </w:r>
      <w:r>
        <w:rPr>
          <w:rFonts w:cs="Tahoma" w:ascii="Tahoma" w:hAnsi="Tahoma"/>
          <w:i/>
          <w:spacing w:val="-11"/>
          <w:sz w:val="20"/>
        </w:rPr>
        <w:t xml:space="preserve"> </w:t>
      </w:r>
      <w:r>
        <w:rPr>
          <w:rFonts w:cs="Tahoma" w:ascii="Tahoma" w:hAnsi="Tahoma"/>
          <w:i/>
          <w:sz w:val="20"/>
        </w:rPr>
        <w:t>las poblaciones indígenas y de otras poblaciones tribales y semitribales en los países</w:t>
      </w:r>
      <w:r>
        <w:rPr>
          <w:rFonts w:cs="Tahoma" w:ascii="Tahoma" w:hAnsi="Tahoma"/>
          <w:i/>
          <w:spacing w:val="-16"/>
          <w:sz w:val="20"/>
        </w:rPr>
        <w:t xml:space="preserve"> </w:t>
      </w:r>
      <w:r>
        <w:rPr>
          <w:rFonts w:cs="Tahoma" w:ascii="Tahoma" w:hAnsi="Tahoma"/>
          <w:i/>
          <w:sz w:val="20"/>
        </w:rPr>
        <w:t>1957</w:t>
      </w:r>
      <w:r>
        <w:rPr>
          <w:rFonts w:cs="Tahoma" w:ascii="Tahoma" w:hAnsi="Tahoma"/>
          <w:i/>
          <w:spacing w:val="-15"/>
          <w:sz w:val="20"/>
        </w:rPr>
        <w:t xml:space="preserve"> </w:t>
      </w:r>
      <w:r>
        <w:rPr>
          <w:rFonts w:cs="Tahoma" w:ascii="Tahoma" w:hAnsi="Tahoma"/>
          <w:i/>
          <w:sz w:val="20"/>
        </w:rPr>
        <w:t>(Convenio</w:t>
      </w:r>
      <w:r>
        <w:rPr>
          <w:rFonts w:cs="Tahoma" w:ascii="Tahoma" w:hAnsi="Tahoma"/>
          <w:i/>
          <w:spacing w:val="-14"/>
          <w:sz w:val="20"/>
        </w:rPr>
        <w:t xml:space="preserve"> </w:t>
      </w:r>
      <w:r>
        <w:rPr>
          <w:rFonts w:cs="Tahoma" w:ascii="Tahoma" w:hAnsi="Tahoma"/>
          <w:i/>
          <w:sz w:val="20"/>
        </w:rPr>
        <w:t>107</w:t>
      </w:r>
      <w:r>
        <w:rPr>
          <w:rFonts w:cs="Tahoma" w:ascii="Tahoma" w:hAnsi="Tahoma"/>
          <w:i/>
          <w:spacing w:val="-15"/>
          <w:sz w:val="20"/>
        </w:rPr>
        <w:t xml:space="preserve"> </w:t>
      </w:r>
      <w:r>
        <w:rPr>
          <w:rFonts w:cs="Tahoma" w:ascii="Tahoma" w:hAnsi="Tahoma"/>
          <w:i/>
          <w:sz w:val="20"/>
        </w:rPr>
        <w:t>OIT),</w:t>
      </w:r>
      <w:r>
        <w:rPr>
          <w:rFonts w:cs="Tahoma" w:ascii="Tahoma" w:hAnsi="Tahoma"/>
          <w:i/>
          <w:spacing w:val="-16"/>
          <w:sz w:val="20"/>
        </w:rPr>
        <w:t xml:space="preserve"> </w:t>
      </w:r>
      <w:r>
        <w:rPr>
          <w:rFonts w:cs="Tahoma" w:ascii="Tahoma" w:hAnsi="Tahoma"/>
          <w:i/>
          <w:sz w:val="20"/>
        </w:rPr>
        <w:t>Convenio</w:t>
      </w:r>
      <w:r>
        <w:rPr>
          <w:rFonts w:cs="Tahoma" w:ascii="Tahoma" w:hAnsi="Tahoma"/>
          <w:i/>
          <w:spacing w:val="-15"/>
          <w:sz w:val="20"/>
        </w:rPr>
        <w:t xml:space="preserve"> </w:t>
      </w:r>
      <w:r>
        <w:rPr>
          <w:rFonts w:cs="Tahoma" w:ascii="Tahoma" w:hAnsi="Tahoma"/>
          <w:i/>
          <w:spacing w:val="-3"/>
          <w:sz w:val="20"/>
        </w:rPr>
        <w:t>sobre</w:t>
      </w:r>
      <w:r>
        <w:rPr>
          <w:rFonts w:cs="Tahoma" w:ascii="Tahoma" w:hAnsi="Tahoma"/>
          <w:i/>
          <w:spacing w:val="-16"/>
          <w:sz w:val="20"/>
        </w:rPr>
        <w:t xml:space="preserve"> </w:t>
      </w:r>
      <w:r>
        <w:rPr>
          <w:rFonts w:cs="Tahoma" w:ascii="Tahoma" w:hAnsi="Tahoma"/>
          <w:i/>
          <w:sz w:val="20"/>
        </w:rPr>
        <w:t>Pueblos</w:t>
      </w:r>
      <w:r>
        <w:rPr>
          <w:rFonts w:cs="Tahoma" w:ascii="Tahoma" w:hAnsi="Tahoma"/>
          <w:i/>
          <w:spacing w:val="-14"/>
          <w:sz w:val="20"/>
        </w:rPr>
        <w:t xml:space="preserve"> </w:t>
      </w:r>
      <w:r>
        <w:rPr>
          <w:rFonts w:cs="Tahoma" w:ascii="Tahoma" w:hAnsi="Tahoma"/>
          <w:i/>
          <w:sz w:val="20"/>
        </w:rPr>
        <w:t>Indígenas</w:t>
      </w:r>
      <w:r>
        <w:rPr>
          <w:rFonts w:cs="Tahoma" w:ascii="Tahoma" w:hAnsi="Tahoma"/>
          <w:i/>
          <w:spacing w:val="-13"/>
          <w:sz w:val="20"/>
        </w:rPr>
        <w:t xml:space="preserve"> </w:t>
      </w:r>
      <w:r>
        <w:rPr>
          <w:rFonts w:cs="Tahoma" w:ascii="Tahoma" w:hAnsi="Tahoma"/>
          <w:i/>
          <w:sz w:val="20"/>
        </w:rPr>
        <w:t>y</w:t>
      </w:r>
      <w:r>
        <w:rPr>
          <w:rFonts w:cs="Tahoma" w:ascii="Tahoma" w:hAnsi="Tahoma"/>
          <w:i/>
          <w:spacing w:val="-16"/>
          <w:sz w:val="20"/>
        </w:rPr>
        <w:t xml:space="preserve"> </w:t>
      </w:r>
      <w:r>
        <w:rPr>
          <w:rFonts w:cs="Tahoma" w:ascii="Tahoma" w:hAnsi="Tahoma"/>
          <w:i/>
          <w:spacing w:val="-3"/>
          <w:sz w:val="20"/>
        </w:rPr>
        <w:t xml:space="preserve">Tribales </w:t>
      </w:r>
      <w:r>
        <w:rPr>
          <w:rFonts w:cs="Tahoma" w:ascii="Tahoma" w:hAnsi="Tahoma"/>
          <w:i/>
          <w:sz w:val="20"/>
        </w:rPr>
        <w:t xml:space="preserve">1989 (Convenio 169 OIT), Declaración de las Naciones Unidas </w:t>
      </w:r>
      <w:r>
        <w:rPr>
          <w:rFonts w:cs="Tahoma" w:ascii="Tahoma" w:hAnsi="Tahoma"/>
          <w:i/>
          <w:spacing w:val="-3"/>
          <w:sz w:val="20"/>
        </w:rPr>
        <w:t xml:space="preserve">sobre </w:t>
      </w:r>
      <w:r>
        <w:rPr>
          <w:rFonts w:cs="Tahoma" w:ascii="Tahoma" w:hAnsi="Tahoma"/>
          <w:i/>
          <w:sz w:val="20"/>
        </w:rPr>
        <w:t>los derechos de los Pueblos Indígenas 2007, Declaración Americana sobre Derechos de los Pueblos Indígenas OEA</w:t>
      </w:r>
      <w:r>
        <w:rPr>
          <w:rFonts w:cs="Tahoma" w:ascii="Tahoma" w:hAnsi="Tahoma"/>
          <w:i/>
          <w:spacing w:val="-7"/>
          <w:sz w:val="20"/>
        </w:rPr>
        <w:t xml:space="preserve"> </w:t>
      </w:r>
      <w:r>
        <w:rPr>
          <w:rFonts w:cs="Tahoma" w:ascii="Tahoma" w:hAnsi="Tahoma"/>
          <w:i/>
          <w:sz w:val="20"/>
        </w:rPr>
        <w:t>2016;</w:t>
      </w:r>
    </w:p>
    <w:p>
      <w:pPr>
        <w:pStyle w:val="ListParagraph"/>
        <w:widowControl w:val="false"/>
        <w:numPr>
          <w:ilvl w:val="0"/>
          <w:numId w:val="22"/>
        </w:numPr>
        <w:tabs>
          <w:tab w:val="clear" w:pos="708"/>
          <w:tab w:val="left" w:pos="2242" w:leader="none"/>
        </w:tabs>
        <w:spacing w:before="0" w:after="0"/>
        <w:ind w:left="969" w:right="975" w:firstLine="708"/>
        <w:jc w:val="both"/>
        <w:rPr>
          <w:rFonts w:ascii="Tahoma" w:hAnsi="Tahoma" w:cs="Tahoma"/>
          <w:i/>
          <w:i/>
          <w:sz w:val="20"/>
        </w:rPr>
      </w:pPr>
      <w:r>
        <w:rPr>
          <w:rFonts w:cs="Tahoma" w:ascii="Tahoma" w:hAnsi="Tahoma"/>
          <w:i/>
          <w:sz w:val="20"/>
        </w:rPr>
        <w:t>Jurisprudencia de la Corte Interamericana de Derechos Humanos vinculada con pueblos Indígenas incluyendo la Opinión Consultiva 23-2017,</w:t>
      </w:r>
    </w:p>
    <w:p>
      <w:pPr>
        <w:pStyle w:val="ListParagraph"/>
        <w:widowControl w:val="false"/>
        <w:numPr>
          <w:ilvl w:val="0"/>
          <w:numId w:val="22"/>
        </w:numPr>
        <w:tabs>
          <w:tab w:val="clear" w:pos="708"/>
          <w:tab w:val="left" w:pos="2242" w:leader="none"/>
        </w:tabs>
        <w:spacing w:before="0" w:after="0"/>
        <w:ind w:left="969" w:right="974" w:firstLine="708"/>
        <w:jc w:val="both"/>
        <w:rPr>
          <w:rFonts w:ascii="Tahoma" w:hAnsi="Tahoma" w:cs="Tahoma"/>
          <w:i/>
          <w:i/>
          <w:sz w:val="20"/>
        </w:rPr>
      </w:pPr>
      <w:r>
        <w:rPr>
          <w:rFonts w:cs="Tahoma" w:ascii="Tahoma" w:hAnsi="Tahoma"/>
          <w:i/>
          <w:sz w:val="20"/>
        </w:rPr>
        <w:t>Constitución Política, Ley Indígena, Ley de Acceso a la Justicia de los Pueblos Indígenas, entre</w:t>
      </w:r>
      <w:r>
        <w:rPr>
          <w:rFonts w:cs="Tahoma" w:ascii="Tahoma" w:hAnsi="Tahoma"/>
          <w:i/>
          <w:spacing w:val="-3"/>
          <w:sz w:val="20"/>
        </w:rPr>
        <w:t xml:space="preserve"> </w:t>
      </w:r>
      <w:r>
        <w:rPr>
          <w:rFonts w:cs="Tahoma" w:ascii="Tahoma" w:hAnsi="Tahoma"/>
          <w:i/>
          <w:sz w:val="20"/>
        </w:rPr>
        <w:t>otras</w:t>
      </w:r>
    </w:p>
    <w:p>
      <w:pPr>
        <w:pStyle w:val="ListParagraph"/>
        <w:widowControl w:val="false"/>
        <w:numPr>
          <w:ilvl w:val="0"/>
          <w:numId w:val="22"/>
        </w:numPr>
        <w:tabs>
          <w:tab w:val="clear" w:pos="708"/>
          <w:tab w:val="left" w:pos="2242" w:leader="none"/>
        </w:tabs>
        <w:spacing w:before="1" w:after="0"/>
        <w:ind w:left="969" w:right="978" w:firstLine="708"/>
        <w:jc w:val="both"/>
        <w:rPr>
          <w:rFonts w:ascii="Tahoma" w:hAnsi="Tahoma" w:cs="Tahoma"/>
          <w:i/>
          <w:i/>
          <w:sz w:val="20"/>
        </w:rPr>
      </w:pPr>
      <w:r>
        <w:rPr>
          <w:rFonts w:cs="Tahoma" w:ascii="Tahoma" w:hAnsi="Tahoma"/>
          <w:i/>
          <w:sz w:val="20"/>
        </w:rPr>
        <w:t xml:space="preserve">Jurisprudencia de las Salas de Casación y de la </w:t>
      </w:r>
      <w:r>
        <w:rPr>
          <w:rFonts w:cs="Tahoma" w:ascii="Tahoma" w:hAnsi="Tahoma"/>
          <w:i/>
          <w:spacing w:val="-3"/>
          <w:sz w:val="20"/>
        </w:rPr>
        <w:t xml:space="preserve">Sala </w:t>
      </w:r>
      <w:r>
        <w:rPr>
          <w:rFonts w:cs="Tahoma" w:ascii="Tahoma" w:hAnsi="Tahoma"/>
          <w:i/>
          <w:sz w:val="20"/>
        </w:rPr>
        <w:t>Constitucional de la Corte Suprema de</w:t>
      </w:r>
      <w:r>
        <w:rPr>
          <w:rFonts w:cs="Tahoma" w:ascii="Tahoma" w:hAnsi="Tahoma"/>
          <w:i/>
          <w:spacing w:val="-5"/>
          <w:sz w:val="20"/>
        </w:rPr>
        <w:t xml:space="preserve"> </w:t>
      </w:r>
      <w:r>
        <w:rPr>
          <w:rFonts w:cs="Tahoma" w:ascii="Tahoma" w:hAnsi="Tahoma"/>
          <w:i/>
          <w:sz w:val="20"/>
        </w:rPr>
        <w:t>Justicia.</w:t>
      </w:r>
    </w:p>
    <w:p>
      <w:pPr>
        <w:pStyle w:val="ListParagraph"/>
        <w:widowControl w:val="false"/>
        <w:numPr>
          <w:ilvl w:val="0"/>
          <w:numId w:val="22"/>
        </w:numPr>
        <w:tabs>
          <w:tab w:val="clear" w:pos="708"/>
          <w:tab w:val="left" w:pos="2242" w:leader="none"/>
        </w:tabs>
        <w:spacing w:before="0" w:after="0"/>
        <w:ind w:left="969" w:right="971" w:firstLine="708"/>
        <w:jc w:val="both"/>
        <w:rPr>
          <w:rFonts w:ascii="Tahoma" w:hAnsi="Tahoma" w:cs="Tahoma"/>
          <w:i/>
          <w:i/>
          <w:sz w:val="20"/>
        </w:rPr>
      </w:pPr>
      <w:r>
        <w:rPr>
          <w:rFonts w:cs="Tahoma" w:ascii="Tahoma" w:hAnsi="Tahoma"/>
          <w:i/>
          <w:sz w:val="20"/>
        </w:rPr>
        <w:t>Lineamientos</w:t>
      </w:r>
      <w:r>
        <w:rPr>
          <w:rFonts w:cs="Tahoma" w:ascii="Tahoma" w:hAnsi="Tahoma"/>
          <w:i/>
          <w:spacing w:val="-9"/>
          <w:sz w:val="20"/>
        </w:rPr>
        <w:t xml:space="preserve"> </w:t>
      </w:r>
      <w:r>
        <w:rPr>
          <w:rFonts w:cs="Tahoma" w:ascii="Tahoma" w:hAnsi="Tahoma"/>
          <w:i/>
          <w:sz w:val="20"/>
        </w:rPr>
        <w:t>y</w:t>
      </w:r>
      <w:r>
        <w:rPr>
          <w:rFonts w:cs="Tahoma" w:ascii="Tahoma" w:hAnsi="Tahoma"/>
          <w:i/>
          <w:spacing w:val="-9"/>
          <w:sz w:val="20"/>
        </w:rPr>
        <w:t xml:space="preserve"> </w:t>
      </w:r>
      <w:r>
        <w:rPr>
          <w:rFonts w:cs="Tahoma" w:ascii="Tahoma" w:hAnsi="Tahoma"/>
          <w:i/>
          <w:sz w:val="20"/>
        </w:rPr>
        <w:t>circulares</w:t>
      </w:r>
      <w:r>
        <w:rPr>
          <w:rFonts w:cs="Tahoma" w:ascii="Tahoma" w:hAnsi="Tahoma"/>
          <w:i/>
          <w:spacing w:val="-9"/>
          <w:sz w:val="20"/>
        </w:rPr>
        <w:t xml:space="preserve"> </w:t>
      </w:r>
      <w:r>
        <w:rPr>
          <w:rFonts w:cs="Tahoma" w:ascii="Tahoma" w:hAnsi="Tahoma"/>
          <w:i/>
          <w:sz w:val="20"/>
        </w:rPr>
        <w:t>de</w:t>
      </w:r>
      <w:r>
        <w:rPr>
          <w:rFonts w:cs="Tahoma" w:ascii="Tahoma" w:hAnsi="Tahoma"/>
          <w:i/>
          <w:spacing w:val="-9"/>
          <w:sz w:val="20"/>
        </w:rPr>
        <w:t xml:space="preserve"> </w:t>
      </w:r>
      <w:r>
        <w:rPr>
          <w:rFonts w:cs="Tahoma" w:ascii="Tahoma" w:hAnsi="Tahoma"/>
          <w:i/>
          <w:sz w:val="20"/>
        </w:rPr>
        <w:t>Corte</w:t>
      </w:r>
      <w:r>
        <w:rPr>
          <w:rFonts w:cs="Tahoma" w:ascii="Tahoma" w:hAnsi="Tahoma"/>
          <w:i/>
          <w:spacing w:val="-9"/>
          <w:sz w:val="20"/>
        </w:rPr>
        <w:t xml:space="preserve"> </w:t>
      </w:r>
      <w:r>
        <w:rPr>
          <w:rFonts w:cs="Tahoma" w:ascii="Tahoma" w:hAnsi="Tahoma"/>
          <w:i/>
          <w:sz w:val="20"/>
        </w:rPr>
        <w:t>Plena</w:t>
      </w:r>
      <w:r>
        <w:rPr>
          <w:rFonts w:cs="Tahoma" w:ascii="Tahoma" w:hAnsi="Tahoma"/>
          <w:i/>
          <w:spacing w:val="-8"/>
          <w:sz w:val="20"/>
        </w:rPr>
        <w:t xml:space="preserve"> </w:t>
      </w:r>
      <w:r>
        <w:rPr>
          <w:rFonts w:cs="Tahoma" w:ascii="Tahoma" w:hAnsi="Tahoma"/>
          <w:i/>
          <w:sz w:val="20"/>
        </w:rPr>
        <w:t>y</w:t>
      </w:r>
      <w:r>
        <w:rPr>
          <w:rFonts w:cs="Tahoma" w:ascii="Tahoma" w:hAnsi="Tahoma"/>
          <w:i/>
          <w:spacing w:val="-10"/>
          <w:sz w:val="20"/>
        </w:rPr>
        <w:t xml:space="preserve"> </w:t>
      </w:r>
      <w:r>
        <w:rPr>
          <w:rFonts w:cs="Tahoma" w:ascii="Tahoma" w:hAnsi="Tahoma"/>
          <w:i/>
          <w:sz w:val="20"/>
        </w:rPr>
        <w:t>del</w:t>
      </w:r>
      <w:r>
        <w:rPr>
          <w:rFonts w:cs="Tahoma" w:ascii="Tahoma" w:hAnsi="Tahoma"/>
          <w:i/>
          <w:spacing w:val="-8"/>
          <w:sz w:val="20"/>
        </w:rPr>
        <w:t xml:space="preserve"> </w:t>
      </w:r>
      <w:r>
        <w:rPr>
          <w:rFonts w:cs="Tahoma" w:ascii="Tahoma" w:hAnsi="Tahoma"/>
          <w:i/>
          <w:sz w:val="20"/>
        </w:rPr>
        <w:t>Consejo</w:t>
      </w:r>
      <w:r>
        <w:rPr>
          <w:rFonts w:cs="Tahoma" w:ascii="Tahoma" w:hAnsi="Tahoma"/>
          <w:i/>
          <w:spacing w:val="-9"/>
          <w:sz w:val="20"/>
        </w:rPr>
        <w:t xml:space="preserve"> </w:t>
      </w:r>
      <w:r>
        <w:rPr>
          <w:rFonts w:cs="Tahoma" w:ascii="Tahoma" w:hAnsi="Tahoma"/>
          <w:i/>
          <w:sz w:val="20"/>
        </w:rPr>
        <w:t>Superior vinculados con las reglas para los procesos en los que estén involucradas personas</w:t>
      </w:r>
      <w:r>
        <w:rPr>
          <w:rFonts w:cs="Tahoma" w:ascii="Tahoma" w:hAnsi="Tahoma"/>
          <w:i/>
          <w:spacing w:val="-14"/>
          <w:sz w:val="20"/>
        </w:rPr>
        <w:t xml:space="preserve"> </w:t>
      </w:r>
      <w:r>
        <w:rPr>
          <w:rFonts w:cs="Tahoma" w:ascii="Tahoma" w:hAnsi="Tahoma"/>
          <w:i/>
          <w:sz w:val="20"/>
        </w:rPr>
        <w:t>indígenas;</w:t>
      </w:r>
      <w:r>
        <w:rPr>
          <w:rFonts w:cs="Tahoma" w:ascii="Tahoma" w:hAnsi="Tahoma"/>
          <w:i/>
          <w:spacing w:val="-15"/>
          <w:sz w:val="20"/>
        </w:rPr>
        <w:t xml:space="preserve"> </w:t>
      </w:r>
      <w:r>
        <w:rPr>
          <w:rFonts w:cs="Tahoma" w:ascii="Tahoma" w:hAnsi="Tahoma"/>
          <w:i/>
          <w:sz w:val="20"/>
        </w:rPr>
        <w:t>además,</w:t>
      </w:r>
      <w:r>
        <w:rPr>
          <w:rFonts w:cs="Tahoma" w:ascii="Tahoma" w:hAnsi="Tahoma"/>
          <w:i/>
          <w:spacing w:val="-13"/>
          <w:sz w:val="20"/>
        </w:rPr>
        <w:t xml:space="preserve"> </w:t>
      </w:r>
      <w:r>
        <w:rPr>
          <w:rFonts w:cs="Tahoma" w:ascii="Tahoma" w:hAnsi="Tahoma"/>
          <w:i/>
          <w:sz w:val="20"/>
        </w:rPr>
        <w:t>los</w:t>
      </w:r>
      <w:r>
        <w:rPr>
          <w:rFonts w:cs="Tahoma" w:ascii="Tahoma" w:hAnsi="Tahoma"/>
          <w:i/>
          <w:spacing w:val="-13"/>
          <w:sz w:val="20"/>
        </w:rPr>
        <w:t xml:space="preserve"> </w:t>
      </w:r>
      <w:r>
        <w:rPr>
          <w:rFonts w:cs="Tahoma" w:ascii="Tahoma" w:hAnsi="Tahoma"/>
          <w:i/>
          <w:sz w:val="20"/>
        </w:rPr>
        <w:t>alcances</w:t>
      </w:r>
      <w:r>
        <w:rPr>
          <w:rFonts w:cs="Tahoma" w:ascii="Tahoma" w:hAnsi="Tahoma"/>
          <w:i/>
          <w:spacing w:val="-14"/>
          <w:sz w:val="20"/>
        </w:rPr>
        <w:t xml:space="preserve"> </w:t>
      </w:r>
      <w:r>
        <w:rPr>
          <w:rFonts w:cs="Tahoma" w:ascii="Tahoma" w:hAnsi="Tahoma"/>
          <w:i/>
          <w:sz w:val="20"/>
        </w:rPr>
        <w:t>y</w:t>
      </w:r>
      <w:r>
        <w:rPr>
          <w:rFonts w:cs="Tahoma" w:ascii="Tahoma" w:hAnsi="Tahoma"/>
          <w:i/>
          <w:spacing w:val="-14"/>
          <w:sz w:val="20"/>
        </w:rPr>
        <w:t xml:space="preserve"> </w:t>
      </w:r>
      <w:r>
        <w:rPr>
          <w:rFonts w:cs="Tahoma" w:ascii="Tahoma" w:hAnsi="Tahoma"/>
          <w:i/>
          <w:sz w:val="20"/>
        </w:rPr>
        <w:t>distinción</w:t>
      </w:r>
      <w:r>
        <w:rPr>
          <w:rFonts w:cs="Tahoma" w:ascii="Tahoma" w:hAnsi="Tahoma"/>
          <w:i/>
          <w:spacing w:val="-14"/>
          <w:sz w:val="20"/>
        </w:rPr>
        <w:t xml:space="preserve"> </w:t>
      </w:r>
      <w:r>
        <w:rPr>
          <w:rFonts w:cs="Tahoma" w:ascii="Tahoma" w:hAnsi="Tahoma"/>
          <w:i/>
          <w:sz w:val="20"/>
        </w:rPr>
        <w:t>entre</w:t>
      </w:r>
      <w:r>
        <w:rPr>
          <w:rFonts w:cs="Tahoma" w:ascii="Tahoma" w:hAnsi="Tahoma"/>
          <w:i/>
          <w:spacing w:val="-14"/>
          <w:sz w:val="20"/>
        </w:rPr>
        <w:t xml:space="preserve"> </w:t>
      </w:r>
      <w:r>
        <w:rPr>
          <w:rFonts w:cs="Tahoma" w:ascii="Tahoma" w:hAnsi="Tahoma"/>
          <w:i/>
          <w:sz w:val="20"/>
        </w:rPr>
        <w:t>el</w:t>
      </w:r>
      <w:r>
        <w:rPr>
          <w:rFonts w:cs="Tahoma" w:ascii="Tahoma" w:hAnsi="Tahoma"/>
          <w:i/>
          <w:spacing w:val="-14"/>
          <w:sz w:val="20"/>
        </w:rPr>
        <w:t xml:space="preserve"> </w:t>
      </w:r>
      <w:r>
        <w:rPr>
          <w:rFonts w:cs="Tahoma" w:ascii="Tahoma" w:hAnsi="Tahoma"/>
          <w:i/>
          <w:sz w:val="20"/>
        </w:rPr>
        <w:t>sistema</w:t>
      </w:r>
      <w:r>
        <w:rPr>
          <w:rFonts w:cs="Tahoma" w:ascii="Tahoma" w:hAnsi="Tahoma"/>
          <w:i/>
          <w:spacing w:val="-13"/>
          <w:sz w:val="20"/>
        </w:rPr>
        <w:t xml:space="preserve"> </w:t>
      </w:r>
      <w:r>
        <w:rPr>
          <w:rFonts w:cs="Tahoma" w:ascii="Tahoma" w:hAnsi="Tahoma"/>
          <w:i/>
          <w:sz w:val="20"/>
        </w:rPr>
        <w:t>monista y el pluralismo</w:t>
      </w:r>
      <w:r>
        <w:rPr>
          <w:rFonts w:cs="Tahoma" w:ascii="Tahoma" w:hAnsi="Tahoma"/>
          <w:i/>
          <w:spacing w:val="-2"/>
          <w:sz w:val="20"/>
        </w:rPr>
        <w:t xml:space="preserve"> </w:t>
      </w:r>
      <w:r>
        <w:rPr>
          <w:rFonts w:cs="Tahoma" w:ascii="Tahoma" w:hAnsi="Tahoma"/>
          <w:i/>
          <w:sz w:val="20"/>
        </w:rPr>
        <w:t>jurídico.</w:t>
      </w:r>
    </w:p>
    <w:p>
      <w:pPr>
        <w:pStyle w:val="Cuerpodetexto"/>
        <w:spacing w:before="9" w:after="0"/>
        <w:rPr>
          <w:rFonts w:ascii="Tahoma" w:hAnsi="Tahoma" w:cs="Tahoma"/>
          <w:sz w:val="20"/>
          <w:szCs w:val="20"/>
        </w:rPr>
      </w:pPr>
      <w:r>
        <w:rPr>
          <w:rFonts w:cs="Tahoma" w:ascii="Tahoma" w:hAnsi="Tahoma"/>
          <w:sz w:val="20"/>
          <w:szCs w:val="20"/>
        </w:rPr>
      </w:r>
    </w:p>
    <w:p>
      <w:pPr>
        <w:pStyle w:val="ListParagraph"/>
        <w:widowControl w:val="false"/>
        <w:numPr>
          <w:ilvl w:val="0"/>
          <w:numId w:val="30"/>
        </w:numPr>
        <w:tabs>
          <w:tab w:val="clear" w:pos="708"/>
          <w:tab w:val="left" w:pos="2047" w:leader="none"/>
        </w:tabs>
        <w:spacing w:before="0" w:after="0"/>
        <w:ind w:left="387" w:right="973" w:firstLine="708"/>
        <w:jc w:val="both"/>
        <w:rPr>
          <w:rFonts w:ascii="Tahoma" w:hAnsi="Tahoma" w:cs="Tahoma"/>
          <w:i/>
          <w:i/>
          <w:sz w:val="20"/>
        </w:rPr>
      </w:pPr>
      <w:r>
        <w:rPr>
          <w:rFonts w:cs="Tahoma" w:ascii="Tahoma" w:hAnsi="Tahoma"/>
          <w:i/>
          <w:sz w:val="20"/>
        </w:rPr>
        <w:t>Establecer un modelo de control y seguimiento a fin de medir el impacto de esas capacitaciones en el fortalecimiento de las competencias de las personas servidoras judiciales que asistan y su concreción en las resoluciones –incluyendo las sentencias- que emitan en los procesos propios de</w:t>
      </w:r>
      <w:r>
        <w:rPr>
          <w:rFonts w:cs="Tahoma" w:ascii="Tahoma" w:hAnsi="Tahoma"/>
          <w:i/>
          <w:spacing w:val="-18"/>
          <w:sz w:val="20"/>
        </w:rPr>
        <w:t xml:space="preserve"> </w:t>
      </w:r>
      <w:r>
        <w:rPr>
          <w:rFonts w:cs="Tahoma" w:ascii="Tahoma" w:hAnsi="Tahoma"/>
          <w:i/>
          <w:sz w:val="20"/>
        </w:rPr>
        <w:t>su</w:t>
      </w:r>
      <w:r>
        <w:rPr>
          <w:rFonts w:cs="Tahoma" w:ascii="Tahoma" w:hAnsi="Tahoma"/>
          <w:i/>
          <w:spacing w:val="-13"/>
          <w:sz w:val="20"/>
        </w:rPr>
        <w:t xml:space="preserve"> </w:t>
      </w:r>
      <w:r>
        <w:rPr>
          <w:rFonts w:cs="Tahoma" w:ascii="Tahoma" w:hAnsi="Tahoma"/>
          <w:i/>
          <w:sz w:val="20"/>
        </w:rPr>
        <w:t>competencia,</w:t>
      </w:r>
      <w:r>
        <w:rPr>
          <w:rFonts w:cs="Tahoma" w:ascii="Tahoma" w:hAnsi="Tahoma"/>
          <w:i/>
          <w:spacing w:val="-14"/>
          <w:sz w:val="20"/>
        </w:rPr>
        <w:t xml:space="preserve"> </w:t>
      </w:r>
      <w:r>
        <w:rPr>
          <w:rFonts w:cs="Tahoma" w:ascii="Tahoma" w:hAnsi="Tahoma"/>
          <w:i/>
          <w:sz w:val="20"/>
        </w:rPr>
        <w:t>con</w:t>
      </w:r>
      <w:r>
        <w:rPr>
          <w:rFonts w:cs="Tahoma" w:ascii="Tahoma" w:hAnsi="Tahoma"/>
          <w:i/>
          <w:spacing w:val="-16"/>
          <w:sz w:val="20"/>
        </w:rPr>
        <w:t xml:space="preserve"> </w:t>
      </w:r>
      <w:r>
        <w:rPr>
          <w:rFonts w:cs="Tahoma" w:ascii="Tahoma" w:hAnsi="Tahoma"/>
          <w:i/>
          <w:sz w:val="20"/>
        </w:rPr>
        <w:t>absoluto</w:t>
      </w:r>
      <w:r>
        <w:rPr>
          <w:rFonts w:cs="Tahoma" w:ascii="Tahoma" w:hAnsi="Tahoma"/>
          <w:i/>
          <w:spacing w:val="-16"/>
          <w:sz w:val="20"/>
        </w:rPr>
        <w:t xml:space="preserve"> </w:t>
      </w:r>
      <w:r>
        <w:rPr>
          <w:rFonts w:cs="Tahoma" w:ascii="Tahoma" w:hAnsi="Tahoma"/>
          <w:i/>
          <w:sz w:val="20"/>
        </w:rPr>
        <w:t>respeto</w:t>
      </w:r>
      <w:r>
        <w:rPr>
          <w:rFonts w:cs="Tahoma" w:ascii="Tahoma" w:hAnsi="Tahoma"/>
          <w:i/>
          <w:spacing w:val="-15"/>
          <w:sz w:val="20"/>
        </w:rPr>
        <w:t xml:space="preserve"> </w:t>
      </w:r>
      <w:r>
        <w:rPr>
          <w:rFonts w:cs="Tahoma" w:ascii="Tahoma" w:hAnsi="Tahoma"/>
          <w:i/>
          <w:sz w:val="20"/>
        </w:rPr>
        <w:t>al</w:t>
      </w:r>
      <w:r>
        <w:rPr>
          <w:rFonts w:cs="Tahoma" w:ascii="Tahoma" w:hAnsi="Tahoma"/>
          <w:i/>
          <w:spacing w:val="-16"/>
          <w:sz w:val="20"/>
        </w:rPr>
        <w:t xml:space="preserve"> </w:t>
      </w:r>
      <w:r>
        <w:rPr>
          <w:rFonts w:cs="Tahoma" w:ascii="Tahoma" w:hAnsi="Tahoma"/>
          <w:i/>
          <w:sz w:val="20"/>
        </w:rPr>
        <w:t>principio</w:t>
      </w:r>
      <w:r>
        <w:rPr>
          <w:rFonts w:cs="Tahoma" w:ascii="Tahoma" w:hAnsi="Tahoma"/>
          <w:i/>
          <w:spacing w:val="-16"/>
          <w:sz w:val="20"/>
        </w:rPr>
        <w:t xml:space="preserve"> </w:t>
      </w:r>
      <w:r>
        <w:rPr>
          <w:rFonts w:cs="Tahoma" w:ascii="Tahoma" w:hAnsi="Tahoma"/>
          <w:i/>
          <w:sz w:val="20"/>
        </w:rPr>
        <w:t>de</w:t>
      </w:r>
      <w:r>
        <w:rPr>
          <w:rFonts w:cs="Tahoma" w:ascii="Tahoma" w:hAnsi="Tahoma"/>
          <w:i/>
          <w:spacing w:val="-18"/>
          <w:sz w:val="20"/>
        </w:rPr>
        <w:t xml:space="preserve"> </w:t>
      </w:r>
      <w:r>
        <w:rPr>
          <w:rFonts w:cs="Tahoma" w:ascii="Tahoma" w:hAnsi="Tahoma"/>
          <w:i/>
          <w:sz w:val="20"/>
        </w:rPr>
        <w:t>independencia</w:t>
      </w:r>
      <w:r>
        <w:rPr>
          <w:rFonts w:cs="Tahoma" w:ascii="Tahoma" w:hAnsi="Tahoma"/>
          <w:i/>
          <w:spacing w:val="-15"/>
          <w:sz w:val="20"/>
        </w:rPr>
        <w:t xml:space="preserve"> </w:t>
      </w:r>
      <w:r>
        <w:rPr>
          <w:rFonts w:cs="Tahoma" w:ascii="Tahoma" w:hAnsi="Tahoma"/>
          <w:i/>
          <w:sz w:val="20"/>
        </w:rPr>
        <w:t xml:space="preserve">judicial y los principios de Bangalore </w:t>
      </w:r>
      <w:r>
        <w:rPr>
          <w:rFonts w:cs="Tahoma" w:ascii="Tahoma" w:hAnsi="Tahoma"/>
          <w:i/>
          <w:spacing w:val="-3"/>
          <w:sz w:val="20"/>
        </w:rPr>
        <w:t xml:space="preserve">sobre </w:t>
      </w:r>
      <w:r>
        <w:rPr>
          <w:rFonts w:cs="Tahoma" w:ascii="Tahoma" w:hAnsi="Tahoma"/>
          <w:i/>
          <w:sz w:val="20"/>
        </w:rPr>
        <w:t>la conducta judicial, entre otros. Al respecto, la Institución tiene experiencia pues para tal seguimiento del impacto</w:t>
      </w:r>
      <w:r>
        <w:rPr>
          <w:rFonts w:cs="Tahoma" w:ascii="Tahoma" w:hAnsi="Tahoma"/>
          <w:i/>
          <w:spacing w:val="-12"/>
          <w:sz w:val="20"/>
        </w:rPr>
        <w:t xml:space="preserve"> </w:t>
      </w:r>
      <w:r>
        <w:rPr>
          <w:rFonts w:cs="Tahoma" w:ascii="Tahoma" w:hAnsi="Tahoma"/>
          <w:i/>
          <w:sz w:val="20"/>
        </w:rPr>
        <w:t>de</w:t>
      </w:r>
      <w:r>
        <w:rPr>
          <w:rFonts w:cs="Tahoma" w:ascii="Tahoma" w:hAnsi="Tahoma"/>
          <w:i/>
          <w:spacing w:val="-10"/>
          <w:sz w:val="20"/>
        </w:rPr>
        <w:t xml:space="preserve"> </w:t>
      </w:r>
      <w:r>
        <w:rPr>
          <w:rFonts w:cs="Tahoma" w:ascii="Tahoma" w:hAnsi="Tahoma"/>
          <w:i/>
          <w:sz w:val="20"/>
        </w:rPr>
        <w:t>la</w:t>
      </w:r>
      <w:r>
        <w:rPr>
          <w:rFonts w:cs="Tahoma" w:ascii="Tahoma" w:hAnsi="Tahoma"/>
          <w:i/>
          <w:spacing w:val="-11"/>
          <w:sz w:val="20"/>
        </w:rPr>
        <w:t xml:space="preserve"> </w:t>
      </w:r>
      <w:r>
        <w:rPr>
          <w:rFonts w:cs="Tahoma" w:ascii="Tahoma" w:hAnsi="Tahoma"/>
          <w:i/>
          <w:sz w:val="20"/>
        </w:rPr>
        <w:t>capacitación</w:t>
      </w:r>
      <w:r>
        <w:rPr>
          <w:rFonts w:cs="Tahoma" w:ascii="Tahoma" w:hAnsi="Tahoma"/>
          <w:i/>
          <w:spacing w:val="-12"/>
          <w:sz w:val="20"/>
        </w:rPr>
        <w:t xml:space="preserve"> </w:t>
      </w:r>
      <w:r>
        <w:rPr>
          <w:rFonts w:cs="Tahoma" w:ascii="Tahoma" w:hAnsi="Tahoma"/>
          <w:i/>
          <w:sz w:val="20"/>
        </w:rPr>
        <w:t>se</w:t>
      </w:r>
      <w:r>
        <w:rPr>
          <w:rFonts w:cs="Tahoma" w:ascii="Tahoma" w:hAnsi="Tahoma"/>
          <w:i/>
          <w:spacing w:val="-12"/>
          <w:sz w:val="20"/>
        </w:rPr>
        <w:t xml:space="preserve"> </w:t>
      </w:r>
      <w:r>
        <w:rPr>
          <w:rFonts w:cs="Tahoma" w:ascii="Tahoma" w:hAnsi="Tahoma"/>
          <w:i/>
          <w:sz w:val="20"/>
        </w:rPr>
        <w:t>diseñó</w:t>
      </w:r>
      <w:r>
        <w:rPr>
          <w:rFonts w:cs="Tahoma" w:ascii="Tahoma" w:hAnsi="Tahoma"/>
          <w:i/>
          <w:spacing w:val="-9"/>
          <w:sz w:val="20"/>
        </w:rPr>
        <w:t xml:space="preserve"> </w:t>
      </w:r>
      <w:r>
        <w:rPr>
          <w:rFonts w:cs="Tahoma" w:ascii="Tahoma" w:hAnsi="Tahoma"/>
          <w:i/>
          <w:sz w:val="20"/>
        </w:rPr>
        <w:t>el</w:t>
      </w:r>
      <w:r>
        <w:rPr>
          <w:rFonts w:cs="Tahoma" w:ascii="Tahoma" w:hAnsi="Tahoma"/>
          <w:i/>
          <w:spacing w:val="-9"/>
          <w:sz w:val="20"/>
        </w:rPr>
        <w:t xml:space="preserve"> </w:t>
      </w:r>
      <w:r>
        <w:rPr>
          <w:rFonts w:cs="Tahoma" w:ascii="Tahoma" w:hAnsi="Tahoma"/>
          <w:i/>
          <w:sz w:val="20"/>
        </w:rPr>
        <w:t>Manual</w:t>
      </w:r>
      <w:r>
        <w:rPr>
          <w:rFonts w:cs="Tahoma" w:ascii="Tahoma" w:hAnsi="Tahoma"/>
          <w:i/>
          <w:spacing w:val="-11"/>
          <w:sz w:val="20"/>
        </w:rPr>
        <w:t xml:space="preserve"> </w:t>
      </w:r>
      <w:r>
        <w:rPr>
          <w:rFonts w:cs="Tahoma" w:ascii="Tahoma" w:hAnsi="Tahoma"/>
          <w:i/>
          <w:sz w:val="20"/>
        </w:rPr>
        <w:t>para</w:t>
      </w:r>
      <w:r>
        <w:rPr>
          <w:rFonts w:cs="Tahoma" w:ascii="Tahoma" w:hAnsi="Tahoma"/>
          <w:i/>
          <w:spacing w:val="-11"/>
          <w:sz w:val="20"/>
        </w:rPr>
        <w:t xml:space="preserve"> </w:t>
      </w:r>
      <w:r>
        <w:rPr>
          <w:rFonts w:cs="Tahoma" w:ascii="Tahoma" w:hAnsi="Tahoma"/>
          <w:i/>
          <w:sz w:val="20"/>
        </w:rPr>
        <w:t>realizar</w:t>
      </w:r>
      <w:r>
        <w:rPr>
          <w:rFonts w:cs="Tahoma" w:ascii="Tahoma" w:hAnsi="Tahoma"/>
          <w:i/>
          <w:spacing w:val="-12"/>
          <w:sz w:val="20"/>
        </w:rPr>
        <w:t xml:space="preserve"> </w:t>
      </w:r>
      <w:r>
        <w:rPr>
          <w:rFonts w:cs="Tahoma" w:ascii="Tahoma" w:hAnsi="Tahoma"/>
          <w:i/>
          <w:sz w:val="20"/>
        </w:rPr>
        <w:t>las</w:t>
      </w:r>
      <w:r>
        <w:rPr>
          <w:rFonts w:cs="Tahoma" w:ascii="Tahoma" w:hAnsi="Tahoma"/>
          <w:i/>
          <w:spacing w:val="-10"/>
          <w:sz w:val="20"/>
        </w:rPr>
        <w:t xml:space="preserve"> </w:t>
      </w:r>
      <w:r>
        <w:rPr>
          <w:rFonts w:cs="Tahoma" w:ascii="Tahoma" w:hAnsi="Tahoma"/>
          <w:i/>
          <w:sz w:val="20"/>
        </w:rPr>
        <w:t>evaluaciones de</w:t>
      </w:r>
      <w:r>
        <w:rPr>
          <w:rFonts w:cs="Tahoma" w:ascii="Tahoma" w:hAnsi="Tahoma"/>
          <w:i/>
          <w:spacing w:val="-11"/>
          <w:sz w:val="20"/>
        </w:rPr>
        <w:t xml:space="preserve"> </w:t>
      </w:r>
      <w:r>
        <w:rPr>
          <w:rFonts w:cs="Tahoma" w:ascii="Tahoma" w:hAnsi="Tahoma"/>
          <w:i/>
          <w:sz w:val="20"/>
        </w:rPr>
        <w:t>resultados</w:t>
      </w:r>
      <w:r>
        <w:rPr>
          <w:rFonts w:cs="Tahoma" w:ascii="Tahoma" w:hAnsi="Tahoma"/>
          <w:i/>
          <w:spacing w:val="-9"/>
          <w:sz w:val="20"/>
        </w:rPr>
        <w:t xml:space="preserve"> </w:t>
      </w:r>
      <w:r>
        <w:rPr>
          <w:rFonts w:cs="Tahoma" w:ascii="Tahoma" w:hAnsi="Tahoma"/>
          <w:i/>
          <w:sz w:val="20"/>
        </w:rPr>
        <w:t>de</w:t>
      </w:r>
      <w:r>
        <w:rPr>
          <w:rFonts w:cs="Tahoma" w:ascii="Tahoma" w:hAnsi="Tahoma"/>
          <w:i/>
          <w:spacing w:val="-11"/>
          <w:sz w:val="20"/>
        </w:rPr>
        <w:t xml:space="preserve"> </w:t>
      </w:r>
      <w:r>
        <w:rPr>
          <w:rFonts w:cs="Tahoma" w:ascii="Tahoma" w:hAnsi="Tahoma"/>
          <w:i/>
          <w:sz w:val="20"/>
        </w:rPr>
        <w:t>la</w:t>
      </w:r>
      <w:r>
        <w:rPr>
          <w:rFonts w:cs="Tahoma" w:ascii="Tahoma" w:hAnsi="Tahoma"/>
          <w:i/>
          <w:spacing w:val="-9"/>
          <w:sz w:val="20"/>
        </w:rPr>
        <w:t xml:space="preserve"> </w:t>
      </w:r>
      <w:r>
        <w:rPr>
          <w:rFonts w:cs="Tahoma" w:ascii="Tahoma" w:hAnsi="Tahoma"/>
          <w:i/>
          <w:sz w:val="20"/>
        </w:rPr>
        <w:t>capacitación</w:t>
      </w:r>
      <w:r>
        <w:rPr>
          <w:rFonts w:cs="Tahoma" w:ascii="Tahoma" w:hAnsi="Tahoma"/>
          <w:i/>
          <w:spacing w:val="-9"/>
          <w:sz w:val="20"/>
        </w:rPr>
        <w:t xml:space="preserve"> </w:t>
      </w:r>
      <w:r>
        <w:rPr>
          <w:rFonts w:cs="Tahoma" w:ascii="Tahoma" w:hAnsi="Tahoma"/>
          <w:i/>
          <w:sz w:val="20"/>
        </w:rPr>
        <w:t>judicial</w:t>
      </w:r>
      <w:r>
        <w:rPr>
          <w:rFonts w:cs="Tahoma" w:ascii="Tahoma" w:hAnsi="Tahoma"/>
          <w:i/>
          <w:spacing w:val="-9"/>
          <w:sz w:val="20"/>
        </w:rPr>
        <w:t xml:space="preserve"> </w:t>
      </w:r>
      <w:r>
        <w:rPr>
          <w:rFonts w:cs="Tahoma" w:ascii="Tahoma" w:hAnsi="Tahoma"/>
          <w:i/>
          <w:sz w:val="20"/>
        </w:rPr>
        <w:t>en</w:t>
      </w:r>
      <w:r>
        <w:rPr>
          <w:rFonts w:cs="Tahoma" w:ascii="Tahoma" w:hAnsi="Tahoma"/>
          <w:i/>
          <w:spacing w:val="-9"/>
          <w:sz w:val="20"/>
        </w:rPr>
        <w:t xml:space="preserve"> </w:t>
      </w:r>
      <w:r>
        <w:rPr>
          <w:rFonts w:cs="Tahoma" w:ascii="Tahoma" w:hAnsi="Tahoma"/>
          <w:i/>
          <w:sz w:val="20"/>
        </w:rPr>
        <w:t>el</w:t>
      </w:r>
      <w:r>
        <w:rPr>
          <w:rFonts w:cs="Tahoma" w:ascii="Tahoma" w:hAnsi="Tahoma"/>
          <w:i/>
          <w:spacing w:val="-9"/>
          <w:sz w:val="20"/>
        </w:rPr>
        <w:t xml:space="preserve"> </w:t>
      </w:r>
      <w:r>
        <w:rPr>
          <w:rFonts w:cs="Tahoma" w:ascii="Tahoma" w:hAnsi="Tahoma"/>
          <w:i/>
          <w:sz w:val="20"/>
        </w:rPr>
        <w:t>desempeño</w:t>
      </w:r>
      <w:r>
        <w:rPr>
          <w:rFonts w:cs="Tahoma" w:ascii="Tahoma" w:hAnsi="Tahoma"/>
          <w:i/>
          <w:spacing w:val="-10"/>
          <w:sz w:val="20"/>
        </w:rPr>
        <w:t xml:space="preserve"> </w:t>
      </w:r>
      <w:r>
        <w:rPr>
          <w:rFonts w:cs="Tahoma" w:ascii="Tahoma" w:hAnsi="Tahoma"/>
          <w:i/>
          <w:sz w:val="20"/>
        </w:rPr>
        <w:t>laboral</w:t>
      </w:r>
      <w:r>
        <w:rPr>
          <w:rFonts w:cs="Tahoma" w:ascii="Tahoma" w:hAnsi="Tahoma"/>
          <w:i/>
          <w:spacing w:val="-9"/>
          <w:sz w:val="20"/>
        </w:rPr>
        <w:t xml:space="preserve"> </w:t>
      </w:r>
      <w:r>
        <w:rPr>
          <w:rFonts w:cs="Tahoma" w:ascii="Tahoma" w:hAnsi="Tahoma"/>
          <w:i/>
          <w:sz w:val="20"/>
        </w:rPr>
        <w:t>por</w:t>
      </w:r>
      <w:r>
        <w:rPr>
          <w:rFonts w:cs="Tahoma" w:ascii="Tahoma" w:hAnsi="Tahoma"/>
          <w:i/>
          <w:spacing w:val="-9"/>
          <w:sz w:val="20"/>
        </w:rPr>
        <w:t xml:space="preserve"> </w:t>
      </w:r>
      <w:r>
        <w:rPr>
          <w:rFonts w:cs="Tahoma" w:ascii="Tahoma" w:hAnsi="Tahoma"/>
          <w:i/>
          <w:sz w:val="20"/>
        </w:rPr>
        <w:t>parte</w:t>
      </w:r>
      <w:r>
        <w:rPr>
          <w:rFonts w:cs="Tahoma" w:ascii="Tahoma" w:hAnsi="Tahoma"/>
          <w:i/>
          <w:spacing w:val="-11"/>
          <w:sz w:val="20"/>
        </w:rPr>
        <w:t xml:space="preserve"> </w:t>
      </w:r>
      <w:r>
        <w:rPr>
          <w:rFonts w:cs="Tahoma" w:ascii="Tahoma" w:hAnsi="Tahoma"/>
          <w:i/>
          <w:sz w:val="20"/>
        </w:rPr>
        <w:t>de la Escuela</w:t>
      </w:r>
      <w:r>
        <w:rPr>
          <w:rFonts w:cs="Tahoma" w:ascii="Tahoma" w:hAnsi="Tahoma"/>
          <w:i/>
          <w:spacing w:val="-1"/>
          <w:sz w:val="20"/>
        </w:rPr>
        <w:t xml:space="preserve"> </w:t>
      </w:r>
      <w:r>
        <w:rPr>
          <w:rFonts w:cs="Tahoma" w:ascii="Tahoma" w:hAnsi="Tahoma"/>
          <w:i/>
          <w:sz w:val="20"/>
        </w:rPr>
        <w:t>Judicial.</w:t>
      </w:r>
    </w:p>
    <w:p>
      <w:pPr>
        <w:pStyle w:val="Cuerpodetexto"/>
        <w:rPr>
          <w:rFonts w:ascii="Tahoma" w:hAnsi="Tahoma" w:cs="Tahoma"/>
          <w:sz w:val="20"/>
          <w:szCs w:val="20"/>
        </w:rPr>
      </w:pPr>
      <w:r>
        <w:rPr>
          <w:rFonts w:cs="Tahoma" w:ascii="Tahoma" w:hAnsi="Tahoma"/>
          <w:sz w:val="20"/>
          <w:szCs w:val="20"/>
        </w:rPr>
      </w:r>
    </w:p>
    <w:p>
      <w:pPr>
        <w:pStyle w:val="ListParagraph"/>
        <w:widowControl w:val="false"/>
        <w:numPr>
          <w:ilvl w:val="0"/>
          <w:numId w:val="30"/>
        </w:numPr>
        <w:tabs>
          <w:tab w:val="clear" w:pos="708"/>
          <w:tab w:val="left" w:pos="2069" w:leader="none"/>
        </w:tabs>
        <w:spacing w:before="0" w:after="0"/>
        <w:ind w:left="387" w:right="970" w:firstLine="708"/>
        <w:jc w:val="both"/>
        <w:rPr>
          <w:rFonts w:ascii="Tahoma" w:hAnsi="Tahoma" w:cs="Tahoma"/>
          <w:i/>
          <w:i/>
          <w:sz w:val="20"/>
        </w:rPr>
      </w:pPr>
      <w:r>
        <w:rPr>
          <w:rFonts w:cs="Tahoma" w:ascii="Tahoma" w:hAnsi="Tahoma"/>
          <w:i/>
          <w:sz w:val="20"/>
        </w:rPr>
        <w:t>Gestionar ante el Consejo Directivo de la Escuela Judicial y el Consejo Superior para declarar obligatoria la participación de las personas servidoras judiciales en las capacitaciones sobre Derecho Indígena, en cumplimiento de la Ley de Acceso a la Justicia de Pueblos Indígenas, especialmente</w:t>
      </w:r>
      <w:r>
        <w:rPr>
          <w:rFonts w:cs="Tahoma" w:ascii="Tahoma" w:hAnsi="Tahoma"/>
          <w:i/>
          <w:spacing w:val="-10"/>
          <w:sz w:val="20"/>
        </w:rPr>
        <w:t xml:space="preserve"> </w:t>
      </w:r>
      <w:r>
        <w:rPr>
          <w:rFonts w:cs="Tahoma" w:ascii="Tahoma" w:hAnsi="Tahoma"/>
          <w:i/>
          <w:sz w:val="20"/>
        </w:rPr>
        <w:t>quienes</w:t>
      </w:r>
      <w:r>
        <w:rPr>
          <w:rFonts w:cs="Tahoma" w:ascii="Tahoma" w:hAnsi="Tahoma"/>
          <w:i/>
          <w:spacing w:val="-10"/>
          <w:sz w:val="20"/>
        </w:rPr>
        <w:t xml:space="preserve"> </w:t>
      </w:r>
      <w:r>
        <w:rPr>
          <w:rFonts w:cs="Tahoma" w:ascii="Tahoma" w:hAnsi="Tahoma"/>
          <w:i/>
          <w:sz w:val="20"/>
        </w:rPr>
        <w:t>tengan</w:t>
      </w:r>
      <w:r>
        <w:rPr>
          <w:rFonts w:cs="Tahoma" w:ascii="Tahoma" w:hAnsi="Tahoma"/>
          <w:i/>
          <w:spacing w:val="-12"/>
          <w:sz w:val="20"/>
        </w:rPr>
        <w:t xml:space="preserve"> </w:t>
      </w:r>
      <w:r>
        <w:rPr>
          <w:rFonts w:cs="Tahoma" w:ascii="Tahoma" w:hAnsi="Tahoma"/>
          <w:i/>
          <w:sz w:val="20"/>
        </w:rPr>
        <w:t>competencia</w:t>
      </w:r>
      <w:r>
        <w:rPr>
          <w:rFonts w:cs="Tahoma" w:ascii="Tahoma" w:hAnsi="Tahoma"/>
          <w:i/>
          <w:spacing w:val="-9"/>
          <w:sz w:val="20"/>
        </w:rPr>
        <w:t xml:space="preserve"> </w:t>
      </w:r>
      <w:r>
        <w:rPr>
          <w:rFonts w:cs="Tahoma" w:ascii="Tahoma" w:hAnsi="Tahoma"/>
          <w:i/>
          <w:sz w:val="20"/>
        </w:rPr>
        <w:t>material</w:t>
      </w:r>
      <w:r>
        <w:rPr>
          <w:rFonts w:cs="Tahoma" w:ascii="Tahoma" w:hAnsi="Tahoma"/>
          <w:i/>
          <w:spacing w:val="-12"/>
          <w:sz w:val="20"/>
        </w:rPr>
        <w:t xml:space="preserve"> </w:t>
      </w:r>
      <w:r>
        <w:rPr>
          <w:rFonts w:cs="Tahoma" w:ascii="Tahoma" w:hAnsi="Tahoma"/>
          <w:i/>
          <w:sz w:val="20"/>
        </w:rPr>
        <w:t>y</w:t>
      </w:r>
      <w:r>
        <w:rPr>
          <w:rFonts w:cs="Tahoma" w:ascii="Tahoma" w:hAnsi="Tahoma"/>
          <w:i/>
          <w:spacing w:val="-13"/>
          <w:sz w:val="20"/>
        </w:rPr>
        <w:t xml:space="preserve"> </w:t>
      </w:r>
      <w:r>
        <w:rPr>
          <w:rFonts w:cs="Tahoma" w:ascii="Tahoma" w:hAnsi="Tahoma"/>
          <w:i/>
          <w:sz w:val="20"/>
        </w:rPr>
        <w:t>territorial</w:t>
      </w:r>
      <w:r>
        <w:rPr>
          <w:rFonts w:cs="Tahoma" w:ascii="Tahoma" w:hAnsi="Tahoma"/>
          <w:i/>
          <w:spacing w:val="-11"/>
          <w:sz w:val="20"/>
        </w:rPr>
        <w:t xml:space="preserve"> </w:t>
      </w:r>
      <w:r>
        <w:rPr>
          <w:rFonts w:cs="Tahoma" w:ascii="Tahoma" w:hAnsi="Tahoma"/>
          <w:i/>
          <w:sz w:val="20"/>
        </w:rPr>
        <w:t>para</w:t>
      </w:r>
      <w:r>
        <w:rPr>
          <w:rFonts w:cs="Tahoma" w:ascii="Tahoma" w:hAnsi="Tahoma"/>
          <w:i/>
          <w:spacing w:val="-12"/>
          <w:sz w:val="20"/>
        </w:rPr>
        <w:t xml:space="preserve"> </w:t>
      </w:r>
      <w:r>
        <w:rPr>
          <w:rFonts w:cs="Tahoma" w:ascii="Tahoma" w:hAnsi="Tahoma"/>
          <w:i/>
          <w:sz w:val="20"/>
        </w:rPr>
        <w:t xml:space="preserve">conocer de procesos judiciales vinculados con el pueblo indígena </w:t>
      </w:r>
      <w:r>
        <w:rPr>
          <w:rFonts w:cs="Tahoma" w:ascii="Tahoma" w:hAnsi="Tahoma"/>
          <w:i/>
          <w:spacing w:val="-5"/>
          <w:sz w:val="20"/>
        </w:rPr>
        <w:t xml:space="preserve">Teribe </w:t>
      </w:r>
      <w:r>
        <w:rPr>
          <w:rFonts w:cs="Tahoma" w:ascii="Tahoma" w:hAnsi="Tahoma"/>
          <w:i/>
          <w:sz w:val="20"/>
        </w:rPr>
        <w:t>y Bribri de Salitre.</w:t>
      </w:r>
    </w:p>
    <w:p>
      <w:pPr>
        <w:pStyle w:val="Cuerpodetexto"/>
        <w:rPr>
          <w:rFonts w:ascii="Tahoma" w:hAnsi="Tahoma" w:cs="Tahoma"/>
          <w:sz w:val="20"/>
          <w:szCs w:val="20"/>
        </w:rPr>
      </w:pPr>
      <w:r>
        <w:rPr>
          <w:rFonts w:cs="Tahoma" w:ascii="Tahoma" w:hAnsi="Tahoma"/>
          <w:sz w:val="20"/>
          <w:szCs w:val="20"/>
        </w:rPr>
      </w:r>
    </w:p>
    <w:p>
      <w:pPr>
        <w:pStyle w:val="ListParagraph"/>
        <w:widowControl w:val="false"/>
        <w:numPr>
          <w:ilvl w:val="0"/>
          <w:numId w:val="30"/>
        </w:numPr>
        <w:tabs>
          <w:tab w:val="clear" w:pos="708"/>
          <w:tab w:val="left" w:pos="2035" w:leader="none"/>
        </w:tabs>
        <w:spacing w:before="0" w:after="0"/>
        <w:ind w:left="387" w:right="969" w:firstLine="708"/>
        <w:jc w:val="both"/>
        <w:rPr>
          <w:rFonts w:ascii="Tahoma" w:hAnsi="Tahoma" w:cs="Tahoma"/>
          <w:i/>
          <w:i/>
          <w:sz w:val="20"/>
        </w:rPr>
      </w:pPr>
      <w:r>
        <w:rPr>
          <w:rFonts w:cs="Tahoma" w:ascii="Tahoma" w:hAnsi="Tahoma"/>
          <w:i/>
          <w:sz w:val="20"/>
        </w:rPr>
        <w:t>Llevar un control de las personas que hayan sido capacitadas y</w:t>
      </w:r>
      <w:r>
        <w:rPr>
          <w:rFonts w:cs="Tahoma" w:ascii="Tahoma" w:hAnsi="Tahoma"/>
          <w:i/>
          <w:spacing w:val="-43"/>
          <w:sz w:val="20"/>
        </w:rPr>
        <w:t xml:space="preserve"> </w:t>
      </w:r>
      <w:r>
        <w:rPr>
          <w:rFonts w:cs="Tahoma" w:ascii="Tahoma" w:hAnsi="Tahoma"/>
          <w:i/>
          <w:sz w:val="20"/>
        </w:rPr>
        <w:t>un seguimiento</w:t>
      </w:r>
      <w:r>
        <w:rPr>
          <w:rFonts w:cs="Tahoma" w:ascii="Tahoma" w:hAnsi="Tahoma"/>
          <w:i/>
          <w:spacing w:val="-5"/>
          <w:sz w:val="20"/>
        </w:rPr>
        <w:t xml:space="preserve"> </w:t>
      </w:r>
      <w:r>
        <w:rPr>
          <w:rFonts w:cs="Tahoma" w:ascii="Tahoma" w:hAnsi="Tahoma"/>
          <w:i/>
          <w:sz w:val="20"/>
        </w:rPr>
        <w:t>para</w:t>
      </w:r>
      <w:r>
        <w:rPr>
          <w:rFonts w:cs="Tahoma" w:ascii="Tahoma" w:hAnsi="Tahoma"/>
          <w:i/>
          <w:spacing w:val="-4"/>
          <w:sz w:val="20"/>
        </w:rPr>
        <w:t xml:space="preserve"> </w:t>
      </w:r>
      <w:r>
        <w:rPr>
          <w:rFonts w:cs="Tahoma" w:ascii="Tahoma" w:hAnsi="Tahoma"/>
          <w:i/>
          <w:sz w:val="20"/>
        </w:rPr>
        <w:t>medir</w:t>
      </w:r>
      <w:r>
        <w:rPr>
          <w:rFonts w:cs="Tahoma" w:ascii="Tahoma" w:hAnsi="Tahoma"/>
          <w:i/>
          <w:spacing w:val="-3"/>
          <w:sz w:val="20"/>
        </w:rPr>
        <w:t xml:space="preserve"> </w:t>
      </w:r>
      <w:r>
        <w:rPr>
          <w:rFonts w:cs="Tahoma" w:ascii="Tahoma" w:hAnsi="Tahoma"/>
          <w:i/>
          <w:sz w:val="20"/>
        </w:rPr>
        <w:t>el</w:t>
      </w:r>
      <w:r>
        <w:rPr>
          <w:rFonts w:cs="Tahoma" w:ascii="Tahoma" w:hAnsi="Tahoma"/>
          <w:i/>
          <w:spacing w:val="-4"/>
          <w:sz w:val="20"/>
        </w:rPr>
        <w:t xml:space="preserve"> </w:t>
      </w:r>
      <w:r>
        <w:rPr>
          <w:rFonts w:cs="Tahoma" w:ascii="Tahoma" w:hAnsi="Tahoma"/>
          <w:i/>
          <w:sz w:val="20"/>
        </w:rPr>
        <w:t>impacto</w:t>
      </w:r>
      <w:r>
        <w:rPr>
          <w:rFonts w:cs="Tahoma" w:ascii="Tahoma" w:hAnsi="Tahoma"/>
          <w:i/>
          <w:spacing w:val="-3"/>
          <w:sz w:val="20"/>
        </w:rPr>
        <w:t xml:space="preserve"> </w:t>
      </w:r>
      <w:r>
        <w:rPr>
          <w:rFonts w:cs="Tahoma" w:ascii="Tahoma" w:hAnsi="Tahoma"/>
          <w:i/>
          <w:sz w:val="20"/>
        </w:rPr>
        <w:t>en</w:t>
      </w:r>
      <w:r>
        <w:rPr>
          <w:rFonts w:cs="Tahoma" w:ascii="Tahoma" w:hAnsi="Tahoma"/>
          <w:i/>
          <w:spacing w:val="-4"/>
          <w:sz w:val="20"/>
        </w:rPr>
        <w:t xml:space="preserve"> </w:t>
      </w:r>
      <w:r>
        <w:rPr>
          <w:rFonts w:cs="Tahoma" w:ascii="Tahoma" w:hAnsi="Tahoma"/>
          <w:i/>
          <w:sz w:val="20"/>
        </w:rPr>
        <w:t>su</w:t>
      </w:r>
      <w:r>
        <w:rPr>
          <w:rFonts w:cs="Tahoma" w:ascii="Tahoma" w:hAnsi="Tahoma"/>
          <w:i/>
          <w:spacing w:val="-4"/>
          <w:sz w:val="20"/>
        </w:rPr>
        <w:t xml:space="preserve"> </w:t>
      </w:r>
      <w:r>
        <w:rPr>
          <w:rFonts w:cs="Tahoma" w:ascii="Tahoma" w:hAnsi="Tahoma"/>
          <w:i/>
          <w:sz w:val="20"/>
        </w:rPr>
        <w:t>gestión,</w:t>
      </w:r>
      <w:r>
        <w:rPr>
          <w:rFonts w:cs="Tahoma" w:ascii="Tahoma" w:hAnsi="Tahoma"/>
          <w:i/>
          <w:spacing w:val="-7"/>
          <w:sz w:val="20"/>
        </w:rPr>
        <w:t xml:space="preserve"> </w:t>
      </w:r>
      <w:r>
        <w:rPr>
          <w:rFonts w:cs="Tahoma" w:ascii="Tahoma" w:hAnsi="Tahoma"/>
          <w:i/>
          <w:sz w:val="20"/>
        </w:rPr>
        <w:t>y</w:t>
      </w:r>
      <w:r>
        <w:rPr>
          <w:rFonts w:cs="Tahoma" w:ascii="Tahoma" w:hAnsi="Tahoma"/>
          <w:i/>
          <w:spacing w:val="-5"/>
          <w:sz w:val="20"/>
        </w:rPr>
        <w:t xml:space="preserve"> </w:t>
      </w:r>
      <w:r>
        <w:rPr>
          <w:rFonts w:cs="Tahoma" w:ascii="Tahoma" w:hAnsi="Tahoma"/>
          <w:i/>
          <w:sz w:val="20"/>
        </w:rPr>
        <w:t>valorar</w:t>
      </w:r>
      <w:r>
        <w:rPr>
          <w:rFonts w:cs="Tahoma" w:ascii="Tahoma" w:hAnsi="Tahoma"/>
          <w:i/>
          <w:spacing w:val="-4"/>
          <w:sz w:val="20"/>
        </w:rPr>
        <w:t xml:space="preserve"> </w:t>
      </w:r>
      <w:r>
        <w:rPr>
          <w:rFonts w:cs="Tahoma" w:ascii="Tahoma" w:hAnsi="Tahoma"/>
          <w:i/>
          <w:sz w:val="20"/>
        </w:rPr>
        <w:t>su</w:t>
      </w:r>
      <w:r>
        <w:rPr>
          <w:rFonts w:cs="Tahoma" w:ascii="Tahoma" w:hAnsi="Tahoma"/>
          <w:i/>
          <w:spacing w:val="-5"/>
          <w:sz w:val="20"/>
        </w:rPr>
        <w:t xml:space="preserve"> </w:t>
      </w:r>
      <w:r>
        <w:rPr>
          <w:rFonts w:cs="Tahoma" w:ascii="Tahoma" w:hAnsi="Tahoma"/>
          <w:i/>
          <w:sz w:val="20"/>
        </w:rPr>
        <w:t>inclusión</w:t>
      </w:r>
      <w:r>
        <w:rPr>
          <w:rFonts w:cs="Tahoma" w:ascii="Tahoma" w:hAnsi="Tahoma"/>
          <w:i/>
          <w:spacing w:val="-4"/>
          <w:sz w:val="20"/>
        </w:rPr>
        <w:t xml:space="preserve"> </w:t>
      </w:r>
      <w:r>
        <w:rPr>
          <w:rFonts w:cs="Tahoma" w:ascii="Tahoma" w:hAnsi="Tahoma"/>
          <w:i/>
          <w:sz w:val="20"/>
        </w:rPr>
        <w:t>en</w:t>
      </w:r>
      <w:r>
        <w:rPr>
          <w:rFonts w:cs="Tahoma" w:ascii="Tahoma" w:hAnsi="Tahoma"/>
          <w:i/>
          <w:spacing w:val="-4"/>
          <w:sz w:val="20"/>
        </w:rPr>
        <w:t xml:space="preserve"> </w:t>
      </w:r>
      <w:r>
        <w:rPr>
          <w:rFonts w:cs="Tahoma" w:ascii="Tahoma" w:hAnsi="Tahoma"/>
          <w:i/>
          <w:sz w:val="20"/>
        </w:rPr>
        <w:t xml:space="preserve">losindicadores de evaluación de desempeño y los procesos de reclutamiento, ya </w:t>
      </w:r>
      <w:r>
        <w:rPr>
          <w:rFonts w:cs="Tahoma" w:ascii="Tahoma" w:hAnsi="Tahoma"/>
          <w:sz w:val="20"/>
        </w:rPr>
        <w:t>sea para nombramientos o ascensos en puestos vinculados con el conocimiento de procesos asociados a personas indígenas.</w:t>
      </w:r>
    </w:p>
    <w:p>
      <w:pPr>
        <w:pStyle w:val="Cuerpodetexto"/>
        <w:rPr>
          <w:rFonts w:ascii="Tahoma" w:hAnsi="Tahoma" w:cs="Tahoma"/>
          <w:sz w:val="20"/>
          <w:szCs w:val="20"/>
        </w:rPr>
      </w:pPr>
      <w:r>
        <w:rPr>
          <w:rFonts w:cs="Tahoma" w:ascii="Tahoma" w:hAnsi="Tahoma"/>
          <w:sz w:val="20"/>
          <w:szCs w:val="20"/>
        </w:rPr>
      </w:r>
    </w:p>
    <w:p>
      <w:pPr>
        <w:pStyle w:val="ListParagraph"/>
        <w:widowControl w:val="false"/>
        <w:numPr>
          <w:ilvl w:val="0"/>
          <w:numId w:val="30"/>
        </w:numPr>
        <w:tabs>
          <w:tab w:val="clear" w:pos="708"/>
          <w:tab w:val="left" w:pos="2054" w:leader="none"/>
        </w:tabs>
        <w:spacing w:before="0" w:after="0"/>
        <w:ind w:left="387" w:right="970" w:firstLine="708"/>
        <w:jc w:val="both"/>
        <w:rPr>
          <w:rFonts w:ascii="Tahoma" w:hAnsi="Tahoma" w:cs="Tahoma"/>
          <w:i/>
          <w:i/>
          <w:sz w:val="20"/>
        </w:rPr>
      </w:pPr>
      <w:r>
        <w:rPr>
          <w:rFonts w:cs="Tahoma" w:ascii="Tahoma" w:hAnsi="Tahoma"/>
          <w:i/>
          <w:spacing w:val="-4"/>
          <w:sz w:val="20"/>
        </w:rPr>
        <w:t xml:space="preserve">Valorar </w:t>
      </w:r>
      <w:r>
        <w:rPr>
          <w:rFonts w:cs="Tahoma" w:ascii="Tahoma" w:hAnsi="Tahoma"/>
          <w:i/>
          <w:sz w:val="20"/>
        </w:rPr>
        <w:t>la posibilidad de establecer acuerdos interinstitucionales entre el Poder Judicial, el Poder Ejecutivo (y sus instituciones) y el Poder Legislativo, así como las Universidades estatales, a fin de que las acciones que se ejecuten vinculadas con personas indígenas, especialmente las relacionadas con las medidas cautelares de la CIDH, estén previamente coordinadas y sean consultadas a las personas</w:t>
      </w:r>
      <w:r>
        <w:rPr>
          <w:rFonts w:cs="Tahoma" w:ascii="Tahoma" w:hAnsi="Tahoma"/>
          <w:i/>
          <w:spacing w:val="-5"/>
          <w:sz w:val="20"/>
        </w:rPr>
        <w:t xml:space="preserve"> </w:t>
      </w:r>
      <w:r>
        <w:rPr>
          <w:rFonts w:cs="Tahoma" w:ascii="Tahoma" w:hAnsi="Tahoma"/>
          <w:i/>
          <w:sz w:val="20"/>
        </w:rPr>
        <w:t>indígenas.</w:t>
      </w:r>
    </w:p>
    <w:p>
      <w:pPr>
        <w:pStyle w:val="Cuerpodetexto"/>
        <w:rPr>
          <w:rFonts w:ascii="Tahoma" w:hAnsi="Tahoma" w:cs="Tahoma"/>
          <w:sz w:val="20"/>
          <w:szCs w:val="20"/>
        </w:rPr>
      </w:pPr>
      <w:r>
        <w:rPr>
          <w:rFonts w:cs="Tahoma" w:ascii="Tahoma" w:hAnsi="Tahoma"/>
          <w:sz w:val="20"/>
          <w:szCs w:val="20"/>
        </w:rPr>
      </w:r>
    </w:p>
    <w:p>
      <w:pPr>
        <w:pStyle w:val="ListParagraph"/>
        <w:widowControl w:val="false"/>
        <w:numPr>
          <w:ilvl w:val="0"/>
          <w:numId w:val="30"/>
        </w:numPr>
        <w:tabs>
          <w:tab w:val="clear" w:pos="708"/>
          <w:tab w:val="left" w:pos="2038" w:leader="none"/>
        </w:tabs>
        <w:spacing w:before="0" w:after="0"/>
        <w:ind w:left="387" w:right="967" w:firstLine="708"/>
        <w:jc w:val="both"/>
        <w:rPr>
          <w:rFonts w:ascii="Tahoma" w:hAnsi="Tahoma" w:cs="Tahoma"/>
          <w:i/>
          <w:i/>
          <w:sz w:val="20"/>
        </w:rPr>
      </w:pPr>
      <w:r>
        <w:rPr>
          <w:rFonts w:cs="Tahoma" w:ascii="Tahoma" w:hAnsi="Tahoma"/>
          <w:i/>
          <w:sz w:val="20"/>
        </w:rPr>
        <w:t>Instar al Instituto de Desarrollo Rural y al Ministerio de Justicia</w:t>
      </w:r>
      <w:r>
        <w:rPr>
          <w:rFonts w:cs="Tahoma" w:ascii="Tahoma" w:hAnsi="Tahoma"/>
          <w:i/>
          <w:spacing w:val="-25"/>
          <w:sz w:val="20"/>
        </w:rPr>
        <w:t xml:space="preserve"> </w:t>
      </w:r>
      <w:r>
        <w:rPr>
          <w:rFonts w:cs="Tahoma" w:ascii="Tahoma" w:hAnsi="Tahoma"/>
          <w:i/>
          <w:sz w:val="20"/>
        </w:rPr>
        <w:t xml:space="preserve">y Paz para que valoren la posibilidad de capacitar a las personas juzgadoras, defensoras públicas y fiscalas con competencia para conocer procesos en los que intervengan personas indígenas del pueblo indígena </w:t>
      </w:r>
      <w:r>
        <w:rPr>
          <w:rFonts w:cs="Tahoma" w:ascii="Tahoma" w:hAnsi="Tahoma"/>
          <w:i/>
          <w:spacing w:val="-5"/>
          <w:sz w:val="20"/>
        </w:rPr>
        <w:t xml:space="preserve">Teribe </w:t>
      </w:r>
      <w:r>
        <w:rPr>
          <w:rFonts w:cs="Tahoma" w:ascii="Tahoma" w:hAnsi="Tahoma"/>
          <w:i/>
          <w:sz w:val="20"/>
        </w:rPr>
        <w:t>y Bribri de Salitre,</w:t>
      </w:r>
      <w:r>
        <w:rPr>
          <w:rFonts w:cs="Tahoma" w:ascii="Tahoma" w:hAnsi="Tahoma"/>
          <w:i/>
          <w:spacing w:val="-12"/>
          <w:sz w:val="20"/>
        </w:rPr>
        <w:t xml:space="preserve"> </w:t>
      </w:r>
      <w:r>
        <w:rPr>
          <w:rFonts w:cs="Tahoma" w:ascii="Tahoma" w:hAnsi="Tahoma"/>
          <w:i/>
          <w:spacing w:val="-3"/>
          <w:sz w:val="20"/>
        </w:rPr>
        <w:t>sobre</w:t>
      </w:r>
      <w:r>
        <w:rPr>
          <w:rFonts w:cs="Tahoma" w:ascii="Tahoma" w:hAnsi="Tahoma"/>
          <w:i/>
          <w:spacing w:val="-13"/>
          <w:sz w:val="20"/>
        </w:rPr>
        <w:t xml:space="preserve"> </w:t>
      </w:r>
      <w:r>
        <w:rPr>
          <w:rFonts w:cs="Tahoma" w:ascii="Tahoma" w:hAnsi="Tahoma"/>
          <w:i/>
          <w:sz w:val="20"/>
        </w:rPr>
        <w:t>las</w:t>
      </w:r>
      <w:r>
        <w:rPr>
          <w:rFonts w:cs="Tahoma" w:ascii="Tahoma" w:hAnsi="Tahoma"/>
          <w:i/>
          <w:spacing w:val="-10"/>
          <w:sz w:val="20"/>
        </w:rPr>
        <w:t xml:space="preserve"> </w:t>
      </w:r>
      <w:r>
        <w:rPr>
          <w:rFonts w:cs="Tahoma" w:ascii="Tahoma" w:hAnsi="Tahoma"/>
          <w:i/>
          <w:sz w:val="20"/>
        </w:rPr>
        <w:t>acciones</w:t>
      </w:r>
      <w:r>
        <w:rPr>
          <w:rFonts w:cs="Tahoma" w:ascii="Tahoma" w:hAnsi="Tahoma"/>
          <w:i/>
          <w:spacing w:val="-12"/>
          <w:sz w:val="20"/>
        </w:rPr>
        <w:t xml:space="preserve"> </w:t>
      </w:r>
      <w:r>
        <w:rPr>
          <w:rFonts w:cs="Tahoma" w:ascii="Tahoma" w:hAnsi="Tahoma"/>
          <w:i/>
          <w:sz w:val="20"/>
        </w:rPr>
        <w:t>emprendidas</w:t>
      </w:r>
      <w:r>
        <w:rPr>
          <w:rFonts w:cs="Tahoma" w:ascii="Tahoma" w:hAnsi="Tahoma"/>
          <w:i/>
          <w:spacing w:val="-11"/>
          <w:sz w:val="20"/>
        </w:rPr>
        <w:t xml:space="preserve"> </w:t>
      </w:r>
      <w:r>
        <w:rPr>
          <w:rFonts w:cs="Tahoma" w:ascii="Tahoma" w:hAnsi="Tahoma"/>
          <w:i/>
          <w:sz w:val="20"/>
        </w:rPr>
        <w:t>en</w:t>
      </w:r>
      <w:r>
        <w:rPr>
          <w:rFonts w:cs="Tahoma" w:ascii="Tahoma" w:hAnsi="Tahoma"/>
          <w:i/>
          <w:spacing w:val="-11"/>
          <w:sz w:val="20"/>
        </w:rPr>
        <w:t xml:space="preserve"> </w:t>
      </w:r>
      <w:r>
        <w:rPr>
          <w:rFonts w:cs="Tahoma" w:ascii="Tahoma" w:hAnsi="Tahoma"/>
          <w:i/>
          <w:sz w:val="20"/>
        </w:rPr>
        <w:t>el</w:t>
      </w:r>
      <w:r>
        <w:rPr>
          <w:rFonts w:cs="Tahoma" w:ascii="Tahoma" w:hAnsi="Tahoma"/>
          <w:i/>
          <w:spacing w:val="-11"/>
          <w:sz w:val="20"/>
        </w:rPr>
        <w:t xml:space="preserve"> </w:t>
      </w:r>
      <w:r>
        <w:rPr>
          <w:rFonts w:cs="Tahoma" w:ascii="Tahoma" w:hAnsi="Tahoma"/>
          <w:i/>
          <w:sz w:val="20"/>
        </w:rPr>
        <w:t>Plan</w:t>
      </w:r>
      <w:r>
        <w:rPr>
          <w:rFonts w:cs="Tahoma" w:ascii="Tahoma" w:hAnsi="Tahoma"/>
          <w:i/>
          <w:spacing w:val="-9"/>
          <w:sz w:val="20"/>
        </w:rPr>
        <w:t xml:space="preserve"> </w:t>
      </w:r>
      <w:r>
        <w:rPr>
          <w:rFonts w:cs="Tahoma" w:ascii="Tahoma" w:hAnsi="Tahoma"/>
          <w:i/>
          <w:sz w:val="20"/>
        </w:rPr>
        <w:t>de</w:t>
      </w:r>
      <w:r>
        <w:rPr>
          <w:rFonts w:cs="Tahoma" w:ascii="Tahoma" w:hAnsi="Tahoma"/>
          <w:i/>
          <w:spacing w:val="-12"/>
          <w:sz w:val="20"/>
        </w:rPr>
        <w:t xml:space="preserve"> </w:t>
      </w:r>
      <w:r>
        <w:rPr>
          <w:rFonts w:cs="Tahoma" w:ascii="Tahoma" w:hAnsi="Tahoma"/>
          <w:i/>
          <w:sz w:val="20"/>
        </w:rPr>
        <w:t>Recuperación</w:t>
      </w:r>
      <w:r>
        <w:rPr>
          <w:rFonts w:cs="Tahoma" w:ascii="Tahoma" w:hAnsi="Tahoma"/>
          <w:i/>
          <w:spacing w:val="-11"/>
          <w:sz w:val="20"/>
        </w:rPr>
        <w:t xml:space="preserve"> </w:t>
      </w:r>
      <w:r>
        <w:rPr>
          <w:rFonts w:cs="Tahoma" w:ascii="Tahoma" w:hAnsi="Tahoma"/>
          <w:i/>
          <w:sz w:val="20"/>
        </w:rPr>
        <w:t>de</w:t>
      </w:r>
      <w:r>
        <w:rPr>
          <w:rFonts w:cs="Tahoma" w:ascii="Tahoma" w:hAnsi="Tahoma"/>
          <w:i/>
          <w:spacing w:val="-13"/>
          <w:sz w:val="20"/>
        </w:rPr>
        <w:t xml:space="preserve"> </w:t>
      </w:r>
      <w:r>
        <w:rPr>
          <w:rFonts w:cs="Tahoma" w:ascii="Tahoma" w:hAnsi="Tahoma"/>
          <w:i/>
          <w:sz w:val="20"/>
        </w:rPr>
        <w:t>Tierras Indígenas y sistemas catastrales y registrales</w:t>
      </w:r>
      <w:r>
        <w:rPr>
          <w:rFonts w:cs="Tahoma" w:ascii="Tahoma" w:hAnsi="Tahoma"/>
          <w:i/>
          <w:spacing w:val="-7"/>
          <w:sz w:val="20"/>
        </w:rPr>
        <w:t xml:space="preserve"> </w:t>
      </w:r>
      <w:r>
        <w:rPr>
          <w:rFonts w:cs="Tahoma" w:ascii="Tahoma" w:hAnsi="Tahoma"/>
          <w:i/>
          <w:sz w:val="20"/>
        </w:rPr>
        <w:t>vinculados.</w:t>
      </w:r>
    </w:p>
    <w:p>
      <w:pPr>
        <w:pStyle w:val="Cuerpodetexto"/>
        <w:spacing w:before="10" w:after="0"/>
        <w:rPr>
          <w:rFonts w:ascii="Tahoma" w:hAnsi="Tahoma" w:cs="Tahoma"/>
          <w:sz w:val="20"/>
          <w:szCs w:val="20"/>
        </w:rPr>
      </w:pPr>
      <w:r>
        <w:rPr>
          <w:rFonts w:cs="Tahoma" w:ascii="Tahoma" w:hAnsi="Tahoma"/>
          <w:sz w:val="20"/>
          <w:szCs w:val="20"/>
        </w:rPr>
      </w:r>
    </w:p>
    <w:p>
      <w:pPr>
        <w:pStyle w:val="ListParagraph"/>
        <w:widowControl w:val="false"/>
        <w:numPr>
          <w:ilvl w:val="0"/>
          <w:numId w:val="30"/>
        </w:numPr>
        <w:tabs>
          <w:tab w:val="clear" w:pos="708"/>
          <w:tab w:val="left" w:pos="2095" w:leader="none"/>
        </w:tabs>
        <w:spacing w:before="0" w:after="0"/>
        <w:ind w:left="387" w:right="975" w:firstLine="708"/>
        <w:jc w:val="both"/>
        <w:rPr>
          <w:rFonts w:ascii="Tahoma" w:hAnsi="Tahoma" w:cs="Tahoma"/>
          <w:i/>
          <w:i/>
          <w:sz w:val="20"/>
        </w:rPr>
      </w:pPr>
      <w:r>
        <w:rPr>
          <w:rFonts w:cs="Tahoma" w:ascii="Tahoma" w:hAnsi="Tahoma"/>
          <w:i/>
          <w:sz w:val="20"/>
        </w:rPr>
        <w:t>Analizar opciones para brindar protección y seguridad a las personas indígenas beneficiarias de las medidas cautelares, dentro de sus territorios y acordes a sus</w:t>
      </w:r>
      <w:r>
        <w:rPr>
          <w:rFonts w:cs="Tahoma" w:ascii="Tahoma" w:hAnsi="Tahoma"/>
          <w:i/>
          <w:spacing w:val="-5"/>
          <w:sz w:val="20"/>
        </w:rPr>
        <w:t xml:space="preserve"> </w:t>
      </w:r>
      <w:r>
        <w:rPr>
          <w:rFonts w:cs="Tahoma" w:ascii="Tahoma" w:hAnsi="Tahoma"/>
          <w:i/>
          <w:sz w:val="20"/>
        </w:rPr>
        <w:t>costumbres.</w:t>
      </w:r>
    </w:p>
    <w:p>
      <w:pPr>
        <w:pStyle w:val="Cuerpodetexto"/>
        <w:rPr>
          <w:rFonts w:ascii="Tahoma" w:hAnsi="Tahoma" w:cs="Tahoma"/>
          <w:sz w:val="20"/>
          <w:szCs w:val="20"/>
        </w:rPr>
      </w:pPr>
      <w:r>
        <w:rPr>
          <w:rFonts w:cs="Tahoma" w:ascii="Tahoma" w:hAnsi="Tahoma"/>
          <w:sz w:val="20"/>
          <w:szCs w:val="20"/>
        </w:rPr>
      </w:r>
    </w:p>
    <w:p>
      <w:pPr>
        <w:pStyle w:val="ListParagraph"/>
        <w:widowControl w:val="false"/>
        <w:numPr>
          <w:ilvl w:val="0"/>
          <w:numId w:val="30"/>
        </w:numPr>
        <w:tabs>
          <w:tab w:val="clear" w:pos="708"/>
          <w:tab w:val="left" w:pos="2040" w:leader="none"/>
        </w:tabs>
        <w:spacing w:before="0" w:after="0"/>
        <w:ind w:left="387" w:right="972" w:firstLine="708"/>
        <w:jc w:val="both"/>
        <w:rPr>
          <w:rFonts w:ascii="Tahoma" w:hAnsi="Tahoma" w:cs="Tahoma"/>
          <w:i/>
          <w:i/>
          <w:sz w:val="20"/>
        </w:rPr>
      </w:pPr>
      <w:r>
        <w:rPr>
          <w:rFonts w:cs="Tahoma" w:ascii="Tahoma" w:hAnsi="Tahoma"/>
          <w:i/>
          <w:sz w:val="20"/>
        </w:rPr>
        <w:t xml:space="preserve">Realizar sesiones periódicas en las que se informe a miembros del pueblo indígena </w:t>
      </w:r>
      <w:r>
        <w:rPr>
          <w:rFonts w:cs="Tahoma" w:ascii="Tahoma" w:hAnsi="Tahoma"/>
          <w:i/>
          <w:spacing w:val="-5"/>
          <w:sz w:val="20"/>
        </w:rPr>
        <w:t xml:space="preserve">Teribe </w:t>
      </w:r>
      <w:r>
        <w:rPr>
          <w:rFonts w:cs="Tahoma" w:ascii="Tahoma" w:hAnsi="Tahoma"/>
          <w:i/>
          <w:sz w:val="20"/>
        </w:rPr>
        <w:t xml:space="preserve">y Bribri de Salitre beneficiarias de las medidas cautelares de la CIDH </w:t>
      </w:r>
      <w:r>
        <w:rPr>
          <w:rFonts w:cs="Tahoma" w:ascii="Tahoma" w:hAnsi="Tahoma"/>
          <w:i/>
          <w:spacing w:val="-3"/>
          <w:sz w:val="20"/>
        </w:rPr>
        <w:t xml:space="preserve">sobre </w:t>
      </w:r>
      <w:r>
        <w:rPr>
          <w:rFonts w:cs="Tahoma" w:ascii="Tahoma" w:hAnsi="Tahoma"/>
          <w:i/>
          <w:sz w:val="20"/>
        </w:rPr>
        <w:t>los avances</w:t>
      </w:r>
      <w:r>
        <w:rPr>
          <w:rFonts w:cs="Tahoma" w:ascii="Tahoma" w:hAnsi="Tahoma"/>
          <w:i/>
          <w:spacing w:val="-4"/>
          <w:sz w:val="20"/>
        </w:rPr>
        <w:t xml:space="preserve"> </w:t>
      </w:r>
      <w:r>
        <w:rPr>
          <w:rFonts w:cs="Tahoma" w:ascii="Tahoma" w:hAnsi="Tahoma"/>
          <w:i/>
          <w:sz w:val="20"/>
        </w:rPr>
        <w:t>alcanzados.</w:t>
      </w:r>
    </w:p>
    <w:p>
      <w:pPr>
        <w:pStyle w:val="Cuerpodetexto"/>
        <w:rPr>
          <w:rFonts w:ascii="Tahoma" w:hAnsi="Tahoma" w:cs="Tahoma"/>
          <w:sz w:val="20"/>
          <w:szCs w:val="20"/>
        </w:rPr>
      </w:pPr>
      <w:r>
        <w:rPr>
          <w:rFonts w:cs="Tahoma" w:ascii="Tahoma" w:hAnsi="Tahoma"/>
          <w:sz w:val="20"/>
          <w:szCs w:val="20"/>
        </w:rPr>
      </w:r>
    </w:p>
    <w:p>
      <w:pPr>
        <w:pStyle w:val="ListParagraph"/>
        <w:widowControl w:val="false"/>
        <w:numPr>
          <w:ilvl w:val="0"/>
          <w:numId w:val="30"/>
        </w:numPr>
        <w:tabs>
          <w:tab w:val="clear" w:pos="708"/>
          <w:tab w:val="left" w:pos="2045" w:leader="none"/>
        </w:tabs>
        <w:spacing w:before="0" w:after="0"/>
        <w:ind w:left="387" w:right="969" w:firstLine="708"/>
        <w:jc w:val="both"/>
        <w:rPr>
          <w:rFonts w:ascii="Tahoma" w:hAnsi="Tahoma" w:cs="Tahoma"/>
          <w:i/>
          <w:i/>
          <w:sz w:val="20"/>
        </w:rPr>
      </w:pPr>
      <w:r>
        <w:rPr>
          <w:rFonts w:cs="Tahoma" w:ascii="Tahoma" w:hAnsi="Tahoma"/>
          <w:i/>
          <w:sz w:val="20"/>
        </w:rPr>
        <w:t>Actualizar el convenio interinstitucional entre el Poder Judicial y la Universidad de Costa Rica con el objetivo de que incluya la Facultad de Derecho</w:t>
      </w:r>
      <w:r>
        <w:rPr>
          <w:rFonts w:cs="Tahoma" w:ascii="Tahoma" w:hAnsi="Tahoma"/>
          <w:i/>
          <w:spacing w:val="-16"/>
          <w:sz w:val="20"/>
        </w:rPr>
        <w:t xml:space="preserve"> </w:t>
      </w:r>
      <w:r>
        <w:rPr>
          <w:rFonts w:cs="Tahoma" w:ascii="Tahoma" w:hAnsi="Tahoma"/>
          <w:i/>
          <w:sz w:val="20"/>
        </w:rPr>
        <w:t>y</w:t>
      </w:r>
      <w:r>
        <w:rPr>
          <w:rFonts w:cs="Tahoma" w:ascii="Tahoma" w:hAnsi="Tahoma"/>
          <w:i/>
          <w:spacing w:val="-17"/>
          <w:sz w:val="20"/>
        </w:rPr>
        <w:t xml:space="preserve"> </w:t>
      </w:r>
      <w:r>
        <w:rPr>
          <w:rFonts w:cs="Tahoma" w:ascii="Tahoma" w:hAnsi="Tahoma"/>
          <w:i/>
          <w:sz w:val="20"/>
        </w:rPr>
        <w:t>la</w:t>
      </w:r>
      <w:r>
        <w:rPr>
          <w:rFonts w:cs="Tahoma" w:ascii="Tahoma" w:hAnsi="Tahoma"/>
          <w:i/>
          <w:spacing w:val="-16"/>
          <w:sz w:val="20"/>
        </w:rPr>
        <w:t xml:space="preserve"> </w:t>
      </w:r>
      <w:r>
        <w:rPr>
          <w:rFonts w:cs="Tahoma" w:ascii="Tahoma" w:hAnsi="Tahoma"/>
          <w:i/>
          <w:sz w:val="20"/>
        </w:rPr>
        <w:t>Escuela</w:t>
      </w:r>
      <w:r>
        <w:rPr>
          <w:rFonts w:cs="Tahoma" w:ascii="Tahoma" w:hAnsi="Tahoma"/>
          <w:i/>
          <w:spacing w:val="-16"/>
          <w:sz w:val="20"/>
        </w:rPr>
        <w:t xml:space="preserve"> </w:t>
      </w:r>
      <w:r>
        <w:rPr>
          <w:rFonts w:cs="Tahoma" w:ascii="Tahoma" w:hAnsi="Tahoma"/>
          <w:i/>
          <w:sz w:val="20"/>
        </w:rPr>
        <w:t>de</w:t>
      </w:r>
      <w:r>
        <w:rPr>
          <w:rFonts w:cs="Tahoma" w:ascii="Tahoma" w:hAnsi="Tahoma"/>
          <w:i/>
          <w:spacing w:val="-19"/>
          <w:sz w:val="20"/>
        </w:rPr>
        <w:t xml:space="preserve"> </w:t>
      </w:r>
      <w:r>
        <w:rPr>
          <w:rFonts w:cs="Tahoma" w:ascii="Tahoma" w:hAnsi="Tahoma"/>
          <w:i/>
          <w:sz w:val="20"/>
        </w:rPr>
        <w:t>Antropología</w:t>
      </w:r>
      <w:r>
        <w:rPr>
          <w:rFonts w:cs="Tahoma" w:ascii="Tahoma" w:hAnsi="Tahoma"/>
          <w:i/>
          <w:spacing w:val="-16"/>
          <w:sz w:val="20"/>
        </w:rPr>
        <w:t xml:space="preserve"> </w:t>
      </w:r>
      <w:r>
        <w:rPr>
          <w:rFonts w:cs="Tahoma" w:ascii="Tahoma" w:hAnsi="Tahoma"/>
          <w:i/>
          <w:sz w:val="20"/>
        </w:rPr>
        <w:t>para</w:t>
      </w:r>
      <w:r>
        <w:rPr>
          <w:rFonts w:cs="Tahoma" w:ascii="Tahoma" w:hAnsi="Tahoma"/>
          <w:i/>
          <w:spacing w:val="-16"/>
          <w:sz w:val="20"/>
        </w:rPr>
        <w:t xml:space="preserve"> </w:t>
      </w:r>
      <w:r>
        <w:rPr>
          <w:rFonts w:cs="Tahoma" w:ascii="Tahoma" w:hAnsi="Tahoma"/>
          <w:i/>
          <w:sz w:val="20"/>
        </w:rPr>
        <w:t>fortalecer</w:t>
      </w:r>
      <w:r>
        <w:rPr>
          <w:rFonts w:cs="Tahoma" w:ascii="Tahoma" w:hAnsi="Tahoma"/>
          <w:i/>
          <w:spacing w:val="-16"/>
          <w:sz w:val="20"/>
        </w:rPr>
        <w:t xml:space="preserve"> </w:t>
      </w:r>
      <w:r>
        <w:rPr>
          <w:rFonts w:cs="Tahoma" w:ascii="Tahoma" w:hAnsi="Tahoma"/>
          <w:i/>
          <w:sz w:val="20"/>
        </w:rPr>
        <w:t>el</w:t>
      </w:r>
      <w:r>
        <w:rPr>
          <w:rFonts w:cs="Tahoma" w:ascii="Tahoma" w:hAnsi="Tahoma"/>
          <w:i/>
          <w:spacing w:val="-16"/>
          <w:sz w:val="20"/>
        </w:rPr>
        <w:t xml:space="preserve"> </w:t>
      </w:r>
      <w:r>
        <w:rPr>
          <w:rFonts w:cs="Tahoma" w:ascii="Tahoma" w:hAnsi="Tahoma"/>
          <w:i/>
          <w:sz w:val="20"/>
        </w:rPr>
        <w:t>programa</w:t>
      </w:r>
      <w:r>
        <w:rPr>
          <w:rFonts w:cs="Tahoma" w:ascii="Tahoma" w:hAnsi="Tahoma"/>
          <w:i/>
          <w:spacing w:val="-16"/>
          <w:sz w:val="20"/>
        </w:rPr>
        <w:t xml:space="preserve"> </w:t>
      </w:r>
      <w:r>
        <w:rPr>
          <w:rFonts w:cs="Tahoma" w:ascii="Tahoma" w:hAnsi="Tahoma"/>
          <w:i/>
          <w:sz w:val="20"/>
        </w:rPr>
        <w:t>de</w:t>
      </w:r>
      <w:r>
        <w:rPr>
          <w:rFonts w:cs="Tahoma" w:ascii="Tahoma" w:hAnsi="Tahoma"/>
          <w:i/>
          <w:spacing w:val="-17"/>
          <w:sz w:val="20"/>
        </w:rPr>
        <w:t xml:space="preserve"> </w:t>
      </w:r>
      <w:r>
        <w:rPr>
          <w:rFonts w:cs="Tahoma" w:ascii="Tahoma" w:hAnsi="Tahoma"/>
          <w:i/>
          <w:sz w:val="20"/>
        </w:rPr>
        <w:t>peritajes culturales y de capacitaciones a las personas servidoras judiciales, con posibilidades de establecer acciones conjuntas con otras Escuelas de la UCR que podrían ofrecer insumos importantes en los peritajes</w:t>
      </w:r>
      <w:r>
        <w:rPr>
          <w:rFonts w:cs="Tahoma" w:ascii="Tahoma" w:hAnsi="Tahoma"/>
          <w:i/>
          <w:spacing w:val="-12"/>
          <w:sz w:val="20"/>
        </w:rPr>
        <w:t xml:space="preserve"> </w:t>
      </w:r>
      <w:r>
        <w:rPr>
          <w:rFonts w:cs="Tahoma" w:ascii="Tahoma" w:hAnsi="Tahoma"/>
          <w:i/>
          <w:sz w:val="20"/>
        </w:rPr>
        <w:t>culturales.</w:t>
      </w:r>
    </w:p>
    <w:p>
      <w:pPr>
        <w:pStyle w:val="Cuerpodetexto"/>
        <w:spacing w:before="1" w:after="0"/>
        <w:rPr>
          <w:rFonts w:ascii="Tahoma" w:hAnsi="Tahoma" w:cs="Tahoma"/>
          <w:sz w:val="20"/>
          <w:szCs w:val="20"/>
        </w:rPr>
      </w:pPr>
      <w:r>
        <w:rPr>
          <w:rFonts w:cs="Tahoma" w:ascii="Tahoma" w:hAnsi="Tahoma"/>
          <w:sz w:val="20"/>
          <w:szCs w:val="20"/>
        </w:rPr>
      </w:r>
    </w:p>
    <w:p>
      <w:pPr>
        <w:pStyle w:val="ListParagraph"/>
        <w:widowControl w:val="false"/>
        <w:numPr>
          <w:ilvl w:val="0"/>
          <w:numId w:val="30"/>
        </w:numPr>
        <w:tabs>
          <w:tab w:val="clear" w:pos="708"/>
          <w:tab w:val="left" w:pos="2040" w:leader="none"/>
        </w:tabs>
        <w:spacing w:before="0" w:after="0"/>
        <w:ind w:left="387" w:right="973" w:firstLine="708"/>
        <w:jc w:val="both"/>
        <w:rPr>
          <w:rFonts w:ascii="Tahoma" w:hAnsi="Tahoma" w:cs="Tahoma"/>
          <w:i/>
          <w:i/>
          <w:sz w:val="20"/>
        </w:rPr>
      </w:pPr>
      <w:r>
        <w:rPr>
          <w:rFonts w:cs="Tahoma" w:ascii="Tahoma" w:hAnsi="Tahoma"/>
          <w:i/>
          <w:sz w:val="20"/>
        </w:rPr>
        <w:t>Diseñar una Política de Acceso a la Justicia de Pueblos Indígenas del Poder Judicial conforme a los lineamientos de MIDEPLAN que sea construida y consultada con las personas indígenas, así como un Plan de Acción de acuerdo a la metodología de la Dirección de Planificación, que contribuya con su ejecución, en seguimiento de la Ley de Acceso a la Justicia de Pueblos Indígenas de Costa</w:t>
      </w:r>
      <w:r>
        <w:rPr>
          <w:rFonts w:cs="Tahoma" w:ascii="Tahoma" w:hAnsi="Tahoma"/>
          <w:i/>
          <w:spacing w:val="-2"/>
          <w:sz w:val="20"/>
        </w:rPr>
        <w:t xml:space="preserve"> </w:t>
      </w:r>
      <w:r>
        <w:rPr>
          <w:rFonts w:cs="Tahoma" w:ascii="Tahoma" w:hAnsi="Tahoma"/>
          <w:i/>
          <w:sz w:val="20"/>
        </w:rPr>
        <w:t>Rica.</w:t>
      </w:r>
    </w:p>
    <w:p>
      <w:pPr>
        <w:pStyle w:val="Cuerpodetexto"/>
        <w:rPr>
          <w:rFonts w:ascii="Tahoma" w:hAnsi="Tahoma" w:cs="Tahoma"/>
          <w:sz w:val="20"/>
          <w:szCs w:val="20"/>
        </w:rPr>
      </w:pPr>
      <w:r>
        <w:rPr>
          <w:rFonts w:cs="Tahoma" w:ascii="Tahoma" w:hAnsi="Tahoma"/>
          <w:sz w:val="20"/>
          <w:szCs w:val="20"/>
        </w:rPr>
      </w:r>
    </w:p>
    <w:p>
      <w:pPr>
        <w:pStyle w:val="Cuerpodetexto"/>
        <w:rPr>
          <w:rFonts w:ascii="Tahoma" w:hAnsi="Tahoma" w:cs="Tahoma"/>
          <w:sz w:val="20"/>
          <w:szCs w:val="20"/>
        </w:rPr>
      </w:pPr>
      <w:r>
        <w:rPr>
          <w:rFonts w:cs="Tahoma" w:ascii="Tahoma" w:hAnsi="Tahoma"/>
          <w:sz w:val="20"/>
          <w:szCs w:val="20"/>
        </w:rPr>
      </w:r>
    </w:p>
    <w:p>
      <w:pPr>
        <w:sectPr>
          <w:headerReference w:type="default" r:id="rId25"/>
          <w:footnotePr>
            <w:numFmt w:val="decimal"/>
          </w:footnotePr>
          <w:type w:val="nextPage"/>
          <w:pgSz w:w="12240" w:h="15840"/>
          <w:pgMar w:left="1640" w:right="1180" w:header="574" w:top="1560" w:footer="0" w:bottom="280" w:gutter="0"/>
          <w:pgNumType w:fmt="decimal"/>
          <w:formProt w:val="false"/>
          <w:textDirection w:val="lrTb"/>
          <w:docGrid w:type="default" w:linePitch="100" w:charSpace="4096"/>
        </w:sectPr>
        <w:pStyle w:val="Cuerpodetexto"/>
        <w:spacing w:before="11" w:after="0"/>
        <w:rPr>
          <w:rFonts w:ascii="Tahoma" w:hAnsi="Tahoma" w:cs="Tahoma"/>
          <w:sz w:val="20"/>
          <w:szCs w:val="20"/>
        </w:rPr>
      </w:pPr>
      <w:r>
        <w:rPr>
          <w:rFonts w:cs="Tahoma" w:ascii="Tahoma" w:hAnsi="Tahoma"/>
          <w:sz w:val="20"/>
          <w:szCs w:val="20"/>
        </w:rPr>
      </w:r>
    </w:p>
    <w:p>
      <w:pPr>
        <w:pStyle w:val="ListParagraph"/>
        <w:widowControl w:val="false"/>
        <w:numPr>
          <w:ilvl w:val="0"/>
          <w:numId w:val="31"/>
        </w:numPr>
        <w:tabs>
          <w:tab w:val="clear" w:pos="708"/>
          <w:tab w:val="left" w:pos="2088" w:leader="none"/>
        </w:tabs>
        <w:spacing w:before="0" w:after="0"/>
        <w:rPr>
          <w:rFonts w:ascii="Tahoma" w:hAnsi="Tahoma" w:cs="Tahoma"/>
          <w:i/>
          <w:i/>
          <w:sz w:val="20"/>
        </w:rPr>
      </w:pPr>
      <w:r>
        <w:rPr>
          <w:rFonts w:cs="Tahoma" w:ascii="Tahoma" w:hAnsi="Tahoma"/>
          <w:i/>
          <w:sz w:val="20"/>
        </w:rPr>
        <w:t>Participar</w:t>
      </w:r>
      <w:r>
        <w:rPr>
          <w:rFonts w:cs="Tahoma" w:ascii="Tahoma" w:hAnsi="Tahoma"/>
          <w:i/>
          <w:spacing w:val="-11"/>
          <w:sz w:val="20"/>
        </w:rPr>
        <w:t xml:space="preserve"> </w:t>
      </w:r>
      <w:r>
        <w:rPr>
          <w:rFonts w:cs="Tahoma" w:ascii="Tahoma" w:hAnsi="Tahoma"/>
          <w:i/>
          <w:sz w:val="20"/>
        </w:rPr>
        <w:t>como</w:t>
      </w:r>
      <w:r>
        <w:rPr>
          <w:rFonts w:cs="Tahoma" w:ascii="Tahoma" w:hAnsi="Tahoma"/>
          <w:i/>
          <w:spacing w:val="-12"/>
          <w:sz w:val="20"/>
        </w:rPr>
        <w:t xml:space="preserve"> </w:t>
      </w:r>
      <w:r>
        <w:rPr>
          <w:rFonts w:cs="Tahoma" w:ascii="Tahoma" w:hAnsi="Tahoma"/>
          <w:i/>
          <w:sz w:val="20"/>
        </w:rPr>
        <w:t>parte</w:t>
      </w:r>
      <w:r>
        <w:rPr>
          <w:rFonts w:cs="Tahoma" w:ascii="Tahoma" w:hAnsi="Tahoma"/>
          <w:i/>
          <w:spacing w:val="-12"/>
          <w:sz w:val="20"/>
        </w:rPr>
        <w:t xml:space="preserve"> </w:t>
      </w:r>
      <w:r>
        <w:rPr>
          <w:rFonts w:cs="Tahoma" w:ascii="Tahoma" w:hAnsi="Tahoma"/>
          <w:i/>
          <w:sz w:val="20"/>
        </w:rPr>
        <w:t>del</w:t>
      </w:r>
      <w:r>
        <w:rPr>
          <w:rFonts w:cs="Tahoma" w:ascii="Tahoma" w:hAnsi="Tahoma"/>
          <w:i/>
          <w:spacing w:val="-11"/>
          <w:sz w:val="20"/>
        </w:rPr>
        <w:t xml:space="preserve"> </w:t>
      </w:r>
      <w:r>
        <w:rPr>
          <w:rFonts w:cs="Tahoma" w:ascii="Tahoma" w:hAnsi="Tahoma"/>
          <w:i/>
          <w:sz w:val="20"/>
        </w:rPr>
        <w:t>Estado</w:t>
      </w:r>
      <w:r>
        <w:rPr>
          <w:rFonts w:cs="Tahoma" w:ascii="Tahoma" w:hAnsi="Tahoma"/>
          <w:i/>
          <w:spacing w:val="-11"/>
          <w:sz w:val="20"/>
        </w:rPr>
        <w:t xml:space="preserve"> </w:t>
      </w:r>
      <w:r>
        <w:rPr>
          <w:rFonts w:cs="Tahoma" w:ascii="Tahoma" w:hAnsi="Tahoma"/>
          <w:i/>
          <w:sz w:val="20"/>
        </w:rPr>
        <w:t>en</w:t>
      </w:r>
      <w:r>
        <w:rPr>
          <w:rFonts w:cs="Tahoma" w:ascii="Tahoma" w:hAnsi="Tahoma"/>
          <w:i/>
          <w:spacing w:val="-11"/>
          <w:sz w:val="20"/>
        </w:rPr>
        <w:t xml:space="preserve"> </w:t>
      </w:r>
      <w:r>
        <w:rPr>
          <w:rFonts w:cs="Tahoma" w:ascii="Tahoma" w:hAnsi="Tahoma"/>
          <w:i/>
          <w:sz w:val="20"/>
        </w:rPr>
        <w:t>los</w:t>
      </w:r>
      <w:r>
        <w:rPr>
          <w:rFonts w:cs="Tahoma" w:ascii="Tahoma" w:hAnsi="Tahoma"/>
          <w:i/>
          <w:spacing w:val="-10"/>
          <w:sz w:val="20"/>
        </w:rPr>
        <w:t xml:space="preserve"> </w:t>
      </w:r>
      <w:r>
        <w:rPr>
          <w:rFonts w:cs="Tahoma" w:ascii="Tahoma" w:hAnsi="Tahoma"/>
          <w:i/>
          <w:sz w:val="20"/>
        </w:rPr>
        <w:t>encuentros</w:t>
      </w:r>
      <w:r>
        <w:rPr>
          <w:rFonts w:cs="Tahoma" w:ascii="Tahoma" w:hAnsi="Tahoma"/>
          <w:i/>
          <w:spacing w:val="-11"/>
          <w:sz w:val="20"/>
        </w:rPr>
        <w:t xml:space="preserve"> </w:t>
      </w:r>
      <w:r>
        <w:rPr>
          <w:rFonts w:cs="Tahoma" w:ascii="Tahoma" w:hAnsi="Tahoma"/>
          <w:i/>
          <w:sz w:val="20"/>
        </w:rPr>
        <w:t>que</w:t>
      </w:r>
      <w:r>
        <w:rPr>
          <w:rFonts w:cs="Tahoma" w:ascii="Tahoma" w:hAnsi="Tahoma"/>
          <w:i/>
          <w:spacing w:val="-12"/>
          <w:sz w:val="20"/>
        </w:rPr>
        <w:t xml:space="preserve"> </w:t>
      </w:r>
      <w:r>
        <w:rPr>
          <w:rFonts w:cs="Tahoma" w:ascii="Tahoma" w:hAnsi="Tahoma"/>
          <w:i/>
          <w:sz w:val="20"/>
        </w:rPr>
        <w:t>se</w:t>
      </w:r>
      <w:r>
        <w:rPr>
          <w:rFonts w:cs="Tahoma" w:ascii="Tahoma" w:hAnsi="Tahoma"/>
          <w:i/>
          <w:spacing w:val="-12"/>
          <w:sz w:val="20"/>
        </w:rPr>
        <w:t xml:space="preserve"> </w:t>
      </w:r>
      <w:r>
        <w:rPr>
          <w:rFonts w:cs="Tahoma" w:ascii="Tahoma" w:hAnsi="Tahoma"/>
          <w:i/>
          <w:sz w:val="20"/>
        </w:rPr>
        <w:t>realicen</w:t>
      </w:r>
    </w:p>
    <w:p>
      <w:pPr>
        <w:pStyle w:val="Cuerpodetexto"/>
        <w:spacing w:before="90" w:after="0"/>
        <w:ind w:left="969" w:right="884" w:hanging="0"/>
        <w:rPr>
          <w:rFonts w:ascii="Tahoma" w:hAnsi="Tahoma" w:cs="Tahoma"/>
          <w:sz w:val="20"/>
          <w:szCs w:val="20"/>
        </w:rPr>
      </w:pPr>
      <w:r>
        <w:rPr>
          <w:rFonts w:cs="Tahoma" w:ascii="Tahoma" w:hAnsi="Tahoma"/>
          <w:i/>
          <w:sz w:val="20"/>
          <w:szCs w:val="20"/>
        </w:rPr>
        <w:t xml:space="preserve">entre las personas indígenas beneficiarias de las medidas y otras instituciones </w:t>
      </w:r>
      <w:r>
        <w:rPr>
          <w:rFonts w:cs="Tahoma" w:ascii="Tahoma" w:hAnsi="Tahoma"/>
          <w:sz w:val="20"/>
          <w:szCs w:val="20"/>
        </w:rPr>
        <w:t>del Estado.”</w:t>
      </w:r>
    </w:p>
    <w:p>
      <w:pPr>
        <w:pStyle w:val="Cuerpodetexto"/>
        <w:rPr>
          <w:rFonts w:ascii="Tahoma" w:hAnsi="Tahoma" w:cs="Tahoma"/>
          <w:sz w:val="20"/>
          <w:szCs w:val="20"/>
        </w:rPr>
      </w:pPr>
      <w:r>
        <w:rPr>
          <w:rFonts w:cs="Tahoma" w:ascii="Tahoma" w:hAnsi="Tahoma"/>
          <w:sz w:val="20"/>
          <w:szCs w:val="20"/>
        </w:rPr>
      </w:r>
    </w:p>
    <w:p>
      <w:pPr>
        <w:pStyle w:val="Cuerpodetexto"/>
        <w:rPr>
          <w:rFonts w:ascii="Tahoma" w:hAnsi="Tahoma" w:cs="Tahoma"/>
          <w:sz w:val="20"/>
          <w:szCs w:val="20"/>
        </w:rPr>
      </w:pPr>
      <w:r>
        <w:rPr>
          <w:rFonts w:cs="Tahoma" w:ascii="Tahoma" w:hAnsi="Tahoma"/>
          <w:sz w:val="20"/>
          <w:szCs w:val="20"/>
        </w:rPr>
      </w:r>
    </w:p>
    <w:p>
      <w:pPr>
        <w:pStyle w:val="Ttulo21"/>
        <w:ind w:left="969" w:right="0" w:hanging="0"/>
        <w:jc w:val="left"/>
        <w:rPr>
          <w:rFonts w:ascii="Tahoma" w:hAnsi="Tahoma" w:cs="Tahoma"/>
          <w:sz w:val="20"/>
          <w:szCs w:val="20"/>
        </w:rPr>
      </w:pPr>
      <w:r>
        <w:rPr>
          <w:rFonts w:cs="Tahoma" w:ascii="Tahoma" w:hAnsi="Tahoma"/>
          <w:sz w:val="20"/>
          <w:szCs w:val="20"/>
        </w:rPr>
        <w:t>San José, 17 de octubre de 2019</w:t>
      </w:r>
    </w:p>
    <w:p>
      <w:pPr>
        <w:pStyle w:val="Cuerpodetexto"/>
        <w:rPr>
          <w:rFonts w:ascii="Tahoma" w:hAnsi="Tahoma" w:cs="Tahoma"/>
          <w:b/>
          <w:b/>
          <w:sz w:val="20"/>
          <w:szCs w:val="20"/>
        </w:rPr>
      </w:pPr>
      <w:r>
        <w:rPr>
          <w:rFonts w:cs="Tahoma" w:ascii="Tahoma" w:hAnsi="Tahoma"/>
          <w:b/>
          <w:sz w:val="20"/>
          <w:szCs w:val="20"/>
        </w:rPr>
      </w:r>
    </w:p>
    <w:p>
      <w:pPr>
        <w:pStyle w:val="Cuerpodetexto"/>
        <w:rPr>
          <w:rFonts w:ascii="Tahoma" w:hAnsi="Tahoma" w:cs="Tahoma"/>
          <w:b/>
          <w:b/>
          <w:sz w:val="20"/>
          <w:szCs w:val="20"/>
        </w:rPr>
      </w:pPr>
      <w:r>
        <w:rPr>
          <w:rFonts w:cs="Tahoma" w:ascii="Tahoma" w:hAnsi="Tahoma"/>
          <w:b/>
          <w:sz w:val="20"/>
          <w:szCs w:val="20"/>
        </w:rPr>
      </w:r>
    </w:p>
    <w:p>
      <w:pPr>
        <w:pStyle w:val="Normal"/>
        <w:spacing w:before="230" w:after="200"/>
        <w:ind w:left="3544" w:right="2697" w:hanging="0"/>
        <w:jc w:val="center"/>
        <w:rPr>
          <w:rFonts w:ascii="Tahoma" w:hAnsi="Tahoma" w:cs="Tahoma"/>
          <w:b/>
          <w:b/>
          <w:i/>
          <w:i/>
          <w:sz w:val="20"/>
          <w:szCs w:val="20"/>
        </w:rPr>
      </w:pPr>
      <w:r>
        <w:rPr>
          <w:rFonts w:cs="Tahoma" w:ascii="Tahoma" w:hAnsi="Tahoma"/>
          <w:b/>
          <w:i/>
          <w:sz w:val="20"/>
          <w:szCs w:val="20"/>
        </w:rPr>
        <w:t>Licda. Silvia Navarro Romanini Secretaria General</w:t>
      </w:r>
    </w:p>
    <w:p>
      <w:pPr>
        <w:pStyle w:val="Normal"/>
        <w:ind w:left="852" w:right="4" w:hanging="0"/>
        <w:jc w:val="center"/>
        <w:rPr>
          <w:rFonts w:ascii="Tahoma" w:hAnsi="Tahoma" w:cs="Tahoma"/>
          <w:b/>
          <w:b/>
          <w:i/>
          <w:i/>
          <w:sz w:val="20"/>
          <w:szCs w:val="20"/>
        </w:rPr>
      </w:pPr>
      <w:r>
        <w:rPr>
          <w:rFonts w:cs="Tahoma" w:ascii="Tahoma" w:hAnsi="Tahoma"/>
          <w:b/>
          <w:i/>
          <w:sz w:val="20"/>
          <w:szCs w:val="20"/>
        </w:rPr>
        <w:t>Corte Suprema de Justicia”</w:t>
      </w:r>
    </w:p>
    <w:p>
      <w:pPr>
        <w:pStyle w:val="Cuerpodetexto"/>
        <w:rPr>
          <w:rFonts w:ascii="Tahoma" w:hAnsi="Tahoma" w:cs="Tahoma"/>
          <w:sz w:val="20"/>
          <w:szCs w:val="20"/>
        </w:rPr>
      </w:pPr>
      <w:r>
        <w:rPr>
          <w:rFonts w:cs="Tahoma" w:ascii="Tahoma" w:hAnsi="Tahoma"/>
          <w:sz w:val="20"/>
          <w:szCs w:val="20"/>
        </w:rPr>
      </w:r>
    </w:p>
    <w:p>
      <w:pPr>
        <w:pStyle w:val="Cuerpodetexto"/>
        <w:spacing w:before="11" w:after="0"/>
        <w:rPr>
          <w:rFonts w:ascii="Tahoma" w:hAnsi="Tahoma" w:cs="Tahoma"/>
          <w:sz w:val="20"/>
          <w:szCs w:val="20"/>
        </w:rPr>
      </w:pPr>
      <w:r>
        <w:rPr>
          <w:rFonts w:cs="Tahoma" w:ascii="Tahoma" w:hAnsi="Tahoma"/>
          <w:sz w:val="20"/>
          <w:szCs w:val="20"/>
        </w:rPr>
      </w:r>
    </w:p>
    <w:p>
      <w:pPr>
        <w:pStyle w:val="Normal"/>
        <w:spacing w:before="232" w:after="200"/>
        <w:ind w:left="117" w:right="118" w:hanging="0"/>
        <w:jc w:val="both"/>
        <w:rPr>
          <w:rFonts w:ascii="Tahoma" w:hAnsi="Tahoma" w:cs="Tahoma"/>
          <w:sz w:val="20"/>
          <w:szCs w:val="20"/>
        </w:rPr>
      </w:pPr>
      <w:r>
        <w:rPr>
          <w:rFonts w:cs="Tahoma" w:ascii="Tahoma" w:hAnsi="Tahoma"/>
          <w:sz w:val="20"/>
          <w:szCs w:val="20"/>
        </w:rPr>
        <w:t>De los acuerdos de Corte Plena que dieron origen a la Circular se desprende que la mayoría de los ejes de acción están vinculados con la necesidad de fortalecer las actividades de capacitación en forma concertada con la población indígena. Desde su emisión</w:t>
      </w:r>
      <w:r>
        <w:rPr>
          <w:rFonts w:cs="Tahoma" w:ascii="Tahoma" w:hAnsi="Tahoma"/>
          <w:spacing w:val="-18"/>
          <w:sz w:val="20"/>
          <w:szCs w:val="20"/>
        </w:rPr>
        <w:t xml:space="preserve"> </w:t>
      </w:r>
      <w:r>
        <w:rPr>
          <w:rFonts w:cs="Tahoma" w:ascii="Tahoma" w:hAnsi="Tahoma"/>
          <w:sz w:val="20"/>
          <w:szCs w:val="20"/>
        </w:rPr>
        <w:t>y</w:t>
      </w:r>
      <w:r>
        <w:rPr>
          <w:rFonts w:cs="Tahoma" w:ascii="Tahoma" w:hAnsi="Tahoma"/>
          <w:spacing w:val="-19"/>
          <w:sz w:val="20"/>
          <w:szCs w:val="20"/>
        </w:rPr>
        <w:t xml:space="preserve"> </w:t>
      </w:r>
      <w:r>
        <w:rPr>
          <w:rFonts w:cs="Tahoma" w:ascii="Tahoma" w:hAnsi="Tahoma"/>
          <w:sz w:val="20"/>
          <w:szCs w:val="20"/>
        </w:rPr>
        <w:t>aún</w:t>
      </w:r>
      <w:r>
        <w:rPr>
          <w:rFonts w:cs="Tahoma" w:ascii="Tahoma" w:hAnsi="Tahoma"/>
          <w:spacing w:val="-18"/>
          <w:sz w:val="20"/>
          <w:szCs w:val="20"/>
        </w:rPr>
        <w:t xml:space="preserve"> </w:t>
      </w:r>
      <w:r>
        <w:rPr>
          <w:rFonts w:cs="Tahoma" w:ascii="Tahoma" w:hAnsi="Tahoma"/>
          <w:sz w:val="20"/>
          <w:szCs w:val="20"/>
        </w:rPr>
        <w:t>antes</w:t>
      </w:r>
      <w:r>
        <w:rPr>
          <w:rFonts w:cs="Tahoma" w:ascii="Tahoma" w:hAnsi="Tahoma"/>
          <w:spacing w:val="-19"/>
          <w:sz w:val="20"/>
          <w:szCs w:val="20"/>
        </w:rPr>
        <w:t xml:space="preserve"> </w:t>
      </w:r>
      <w:r>
        <w:rPr>
          <w:rFonts w:cs="Tahoma" w:ascii="Tahoma" w:hAnsi="Tahoma"/>
          <w:sz w:val="20"/>
          <w:szCs w:val="20"/>
        </w:rPr>
        <w:t>de</w:t>
      </w:r>
      <w:r>
        <w:rPr>
          <w:rFonts w:cs="Tahoma" w:ascii="Tahoma" w:hAnsi="Tahoma"/>
          <w:spacing w:val="-18"/>
          <w:sz w:val="20"/>
          <w:szCs w:val="20"/>
        </w:rPr>
        <w:t xml:space="preserve"> </w:t>
      </w:r>
      <w:r>
        <w:rPr>
          <w:rFonts w:cs="Tahoma" w:ascii="Tahoma" w:hAnsi="Tahoma"/>
          <w:sz w:val="20"/>
          <w:szCs w:val="20"/>
        </w:rPr>
        <w:t>ésta,</w:t>
      </w:r>
      <w:r>
        <w:rPr>
          <w:rFonts w:cs="Tahoma" w:ascii="Tahoma" w:hAnsi="Tahoma"/>
          <w:spacing w:val="-18"/>
          <w:sz w:val="20"/>
          <w:szCs w:val="20"/>
        </w:rPr>
        <w:t xml:space="preserve"> </w:t>
      </w:r>
      <w:r>
        <w:rPr>
          <w:rFonts w:cs="Tahoma" w:ascii="Tahoma" w:hAnsi="Tahoma"/>
          <w:sz w:val="20"/>
          <w:szCs w:val="20"/>
        </w:rPr>
        <w:t>estamos</w:t>
      </w:r>
      <w:r>
        <w:rPr>
          <w:rFonts w:cs="Tahoma" w:ascii="Tahoma" w:hAnsi="Tahoma"/>
          <w:spacing w:val="-18"/>
          <w:sz w:val="20"/>
          <w:szCs w:val="20"/>
        </w:rPr>
        <w:t xml:space="preserve"> </w:t>
      </w:r>
      <w:r>
        <w:rPr>
          <w:rFonts w:cs="Tahoma" w:ascii="Tahoma" w:hAnsi="Tahoma"/>
          <w:sz w:val="20"/>
          <w:szCs w:val="20"/>
        </w:rPr>
        <w:t>trabajando</w:t>
      </w:r>
      <w:r>
        <w:rPr>
          <w:rFonts w:cs="Tahoma" w:ascii="Tahoma" w:hAnsi="Tahoma"/>
          <w:spacing w:val="-18"/>
          <w:sz w:val="20"/>
          <w:szCs w:val="20"/>
        </w:rPr>
        <w:t xml:space="preserve"> </w:t>
      </w:r>
      <w:r>
        <w:rPr>
          <w:rFonts w:cs="Tahoma" w:ascii="Tahoma" w:hAnsi="Tahoma"/>
          <w:sz w:val="20"/>
          <w:szCs w:val="20"/>
        </w:rPr>
        <w:t>en</w:t>
      </w:r>
      <w:r>
        <w:rPr>
          <w:rFonts w:cs="Tahoma" w:ascii="Tahoma" w:hAnsi="Tahoma"/>
          <w:spacing w:val="-18"/>
          <w:sz w:val="20"/>
          <w:szCs w:val="20"/>
        </w:rPr>
        <w:t xml:space="preserve"> </w:t>
      </w:r>
      <w:r>
        <w:rPr>
          <w:rFonts w:cs="Tahoma" w:ascii="Tahoma" w:hAnsi="Tahoma"/>
          <w:sz w:val="20"/>
          <w:szCs w:val="20"/>
        </w:rPr>
        <w:t>esa</w:t>
      </w:r>
      <w:r>
        <w:rPr>
          <w:rFonts w:cs="Tahoma" w:ascii="Tahoma" w:hAnsi="Tahoma"/>
          <w:spacing w:val="-16"/>
          <w:sz w:val="20"/>
          <w:szCs w:val="20"/>
        </w:rPr>
        <w:t xml:space="preserve"> </w:t>
      </w:r>
      <w:r>
        <w:rPr>
          <w:rFonts w:cs="Tahoma" w:ascii="Tahoma" w:hAnsi="Tahoma"/>
          <w:sz w:val="20"/>
          <w:szCs w:val="20"/>
        </w:rPr>
        <w:t>línea</w:t>
      </w:r>
      <w:r>
        <w:rPr>
          <w:rFonts w:cs="Tahoma" w:ascii="Tahoma" w:hAnsi="Tahoma"/>
          <w:spacing w:val="-18"/>
          <w:sz w:val="20"/>
          <w:szCs w:val="20"/>
        </w:rPr>
        <w:t xml:space="preserve"> </w:t>
      </w:r>
      <w:r>
        <w:rPr>
          <w:rFonts w:cs="Tahoma" w:ascii="Tahoma" w:hAnsi="Tahoma"/>
          <w:sz w:val="20"/>
          <w:szCs w:val="20"/>
        </w:rPr>
        <w:t>de</w:t>
      </w:r>
      <w:r>
        <w:rPr>
          <w:rFonts w:cs="Tahoma" w:ascii="Tahoma" w:hAnsi="Tahoma"/>
          <w:spacing w:val="-18"/>
          <w:sz w:val="20"/>
          <w:szCs w:val="20"/>
        </w:rPr>
        <w:t xml:space="preserve"> </w:t>
      </w:r>
      <w:r>
        <w:rPr>
          <w:rFonts w:cs="Tahoma" w:ascii="Tahoma" w:hAnsi="Tahoma"/>
          <w:sz w:val="20"/>
          <w:szCs w:val="20"/>
        </w:rPr>
        <w:t>acción,</w:t>
      </w:r>
      <w:r>
        <w:rPr>
          <w:rFonts w:cs="Tahoma" w:ascii="Tahoma" w:hAnsi="Tahoma"/>
          <w:spacing w:val="-11"/>
          <w:sz w:val="20"/>
          <w:szCs w:val="20"/>
        </w:rPr>
        <w:t xml:space="preserve"> </w:t>
      </w:r>
      <w:r>
        <w:rPr>
          <w:rFonts w:cs="Tahoma" w:ascii="Tahoma" w:hAnsi="Tahoma"/>
          <w:sz w:val="20"/>
          <w:szCs w:val="20"/>
        </w:rPr>
        <w:t>especialmente en cumplimiento de los lineamientos de la Ley de Acceso a la Justicia de Pueblos Indígenas de Costa Rica que establecen la obligatoriedad de tener un Plan Anual de Capacitación en la temática indígena por parte de la Escuela Judicial, por lo que oportunamente se les remitió una propuesta de capacitación integral que incluía actividades de diversa índole y un listado de personas facilitadoras que incluía a personas indígenas, especialistas de las Universidades estatales y del Poder</w:t>
      </w:r>
      <w:r>
        <w:rPr>
          <w:rFonts w:cs="Tahoma" w:ascii="Tahoma" w:hAnsi="Tahoma"/>
          <w:spacing w:val="-29"/>
          <w:sz w:val="20"/>
          <w:szCs w:val="20"/>
        </w:rPr>
        <w:t xml:space="preserve"> </w:t>
      </w:r>
      <w:r>
        <w:rPr>
          <w:rFonts w:cs="Tahoma" w:ascii="Tahoma" w:hAnsi="Tahoma"/>
          <w:sz w:val="20"/>
          <w:szCs w:val="20"/>
        </w:rPr>
        <w:t>Judicial.</w:t>
      </w:r>
    </w:p>
    <w:p>
      <w:pPr>
        <w:pStyle w:val="Cuerpodetexto"/>
        <w:spacing w:before="9" w:after="0"/>
        <w:rPr>
          <w:rFonts w:ascii="Tahoma" w:hAnsi="Tahoma" w:cs="Tahoma"/>
          <w:i/>
          <w:i/>
          <w:sz w:val="20"/>
          <w:szCs w:val="20"/>
        </w:rPr>
      </w:pPr>
      <w:r>
        <w:rPr>
          <w:rFonts w:cs="Tahoma" w:ascii="Tahoma" w:hAnsi="Tahoma"/>
          <w:i/>
          <w:sz w:val="20"/>
          <w:szCs w:val="20"/>
        </w:rPr>
      </w:r>
    </w:p>
    <w:p>
      <w:pPr>
        <w:pStyle w:val="Normal"/>
        <w:spacing w:before="1" w:after="200"/>
        <w:ind w:left="117" w:right="117" w:hanging="0"/>
        <w:jc w:val="both"/>
        <w:rPr>
          <w:rFonts w:ascii="Tahoma" w:hAnsi="Tahoma" w:cs="Tahoma"/>
          <w:sz w:val="20"/>
          <w:szCs w:val="20"/>
        </w:rPr>
      </w:pPr>
      <w:r>
        <w:rPr>
          <w:rFonts w:cs="Tahoma" w:ascii="Tahoma" w:hAnsi="Tahoma"/>
          <w:sz w:val="20"/>
          <w:szCs w:val="20"/>
        </w:rPr>
        <w:t>Con ocasión de lo anterior, consulto también sobre los avances de dicha gestión al estar directamente vinculada con la necesidad de fortalecer competencias de las personas servidoras judiciales que atienden los procesos vinculados con las personas indígenas</w:t>
      </w:r>
      <w:r>
        <w:rPr>
          <w:rFonts w:cs="Tahoma" w:ascii="Tahoma" w:hAnsi="Tahoma"/>
          <w:spacing w:val="-13"/>
          <w:sz w:val="20"/>
          <w:szCs w:val="20"/>
        </w:rPr>
        <w:t xml:space="preserve"> </w:t>
      </w:r>
      <w:r>
        <w:rPr>
          <w:rFonts w:cs="Tahoma" w:ascii="Tahoma" w:hAnsi="Tahoma"/>
          <w:sz w:val="20"/>
          <w:szCs w:val="20"/>
        </w:rPr>
        <w:t>beneficiarias</w:t>
      </w:r>
      <w:r>
        <w:rPr>
          <w:rFonts w:cs="Tahoma" w:ascii="Tahoma" w:hAnsi="Tahoma"/>
          <w:spacing w:val="-13"/>
          <w:sz w:val="20"/>
          <w:szCs w:val="20"/>
        </w:rPr>
        <w:t xml:space="preserve"> </w:t>
      </w:r>
      <w:r>
        <w:rPr>
          <w:rFonts w:cs="Tahoma" w:ascii="Tahoma" w:hAnsi="Tahoma"/>
          <w:sz w:val="20"/>
          <w:szCs w:val="20"/>
        </w:rPr>
        <w:t>de</w:t>
      </w:r>
      <w:r>
        <w:rPr>
          <w:rFonts w:cs="Tahoma" w:ascii="Tahoma" w:hAnsi="Tahoma"/>
          <w:spacing w:val="-10"/>
          <w:sz w:val="20"/>
          <w:szCs w:val="20"/>
        </w:rPr>
        <w:t xml:space="preserve"> </w:t>
      </w:r>
      <w:r>
        <w:rPr>
          <w:rFonts w:cs="Tahoma" w:ascii="Tahoma" w:hAnsi="Tahoma"/>
          <w:sz w:val="20"/>
          <w:szCs w:val="20"/>
        </w:rPr>
        <w:t>las</w:t>
      </w:r>
      <w:r>
        <w:rPr>
          <w:rFonts w:cs="Tahoma" w:ascii="Tahoma" w:hAnsi="Tahoma"/>
          <w:spacing w:val="-10"/>
          <w:sz w:val="20"/>
          <w:szCs w:val="20"/>
        </w:rPr>
        <w:t xml:space="preserve"> </w:t>
      </w:r>
      <w:r>
        <w:rPr>
          <w:rFonts w:cs="Tahoma" w:ascii="Tahoma" w:hAnsi="Tahoma"/>
          <w:sz w:val="20"/>
          <w:szCs w:val="20"/>
        </w:rPr>
        <w:t>Medidas</w:t>
      </w:r>
      <w:r>
        <w:rPr>
          <w:rFonts w:cs="Tahoma" w:ascii="Tahoma" w:hAnsi="Tahoma"/>
          <w:spacing w:val="-10"/>
          <w:sz w:val="20"/>
          <w:szCs w:val="20"/>
        </w:rPr>
        <w:t xml:space="preserve"> </w:t>
      </w:r>
      <w:r>
        <w:rPr>
          <w:rFonts w:cs="Tahoma" w:ascii="Tahoma" w:hAnsi="Tahoma"/>
          <w:sz w:val="20"/>
          <w:szCs w:val="20"/>
        </w:rPr>
        <w:t>Cautelares</w:t>
      </w:r>
      <w:r>
        <w:rPr>
          <w:rFonts w:cs="Tahoma" w:ascii="Tahoma" w:hAnsi="Tahoma"/>
          <w:spacing w:val="-11"/>
          <w:sz w:val="20"/>
          <w:szCs w:val="20"/>
        </w:rPr>
        <w:t xml:space="preserve"> </w:t>
      </w:r>
      <w:r>
        <w:rPr>
          <w:rFonts w:cs="Tahoma" w:ascii="Tahoma" w:hAnsi="Tahoma"/>
          <w:sz w:val="20"/>
          <w:szCs w:val="20"/>
        </w:rPr>
        <w:t>321-12</w:t>
      </w:r>
      <w:r>
        <w:rPr>
          <w:rFonts w:cs="Tahoma" w:ascii="Tahoma" w:hAnsi="Tahoma"/>
          <w:spacing w:val="-10"/>
          <w:sz w:val="20"/>
          <w:szCs w:val="20"/>
        </w:rPr>
        <w:t xml:space="preserve"> </w:t>
      </w:r>
      <w:r>
        <w:rPr>
          <w:rFonts w:cs="Tahoma" w:ascii="Tahoma" w:hAnsi="Tahoma"/>
          <w:sz w:val="20"/>
          <w:szCs w:val="20"/>
        </w:rPr>
        <w:t>de</w:t>
      </w:r>
      <w:r>
        <w:rPr>
          <w:rFonts w:cs="Tahoma" w:ascii="Tahoma" w:hAnsi="Tahoma"/>
          <w:spacing w:val="-10"/>
          <w:sz w:val="20"/>
          <w:szCs w:val="20"/>
        </w:rPr>
        <w:t xml:space="preserve"> </w:t>
      </w:r>
      <w:r>
        <w:rPr>
          <w:rFonts w:cs="Tahoma" w:ascii="Tahoma" w:hAnsi="Tahoma"/>
          <w:sz w:val="20"/>
          <w:szCs w:val="20"/>
        </w:rPr>
        <w:t>la</w:t>
      </w:r>
      <w:r>
        <w:rPr>
          <w:rFonts w:cs="Tahoma" w:ascii="Tahoma" w:hAnsi="Tahoma"/>
          <w:spacing w:val="-9"/>
          <w:sz w:val="20"/>
          <w:szCs w:val="20"/>
        </w:rPr>
        <w:t xml:space="preserve"> </w:t>
      </w:r>
      <w:r>
        <w:rPr>
          <w:rFonts w:cs="Tahoma" w:ascii="Tahoma" w:hAnsi="Tahoma"/>
          <w:sz w:val="20"/>
          <w:szCs w:val="20"/>
        </w:rPr>
        <w:t>CIDH</w:t>
      </w:r>
      <w:r>
        <w:rPr>
          <w:rFonts w:cs="Tahoma" w:ascii="Tahoma" w:hAnsi="Tahoma"/>
          <w:spacing w:val="-12"/>
          <w:sz w:val="20"/>
          <w:szCs w:val="20"/>
        </w:rPr>
        <w:t xml:space="preserve"> </w:t>
      </w:r>
      <w:r>
        <w:rPr>
          <w:rFonts w:cs="Tahoma" w:ascii="Tahoma" w:hAnsi="Tahoma"/>
          <w:sz w:val="20"/>
          <w:szCs w:val="20"/>
        </w:rPr>
        <w:t>contra</w:t>
      </w:r>
      <w:r>
        <w:rPr>
          <w:rFonts w:cs="Tahoma" w:ascii="Tahoma" w:hAnsi="Tahoma"/>
          <w:spacing w:val="-10"/>
          <w:sz w:val="20"/>
          <w:szCs w:val="20"/>
        </w:rPr>
        <w:t xml:space="preserve"> </w:t>
      </w:r>
      <w:r>
        <w:rPr>
          <w:rFonts w:cs="Tahoma" w:ascii="Tahoma" w:hAnsi="Tahoma"/>
          <w:sz w:val="20"/>
          <w:szCs w:val="20"/>
        </w:rPr>
        <w:t>el</w:t>
      </w:r>
      <w:r>
        <w:rPr>
          <w:rFonts w:cs="Tahoma" w:ascii="Tahoma" w:hAnsi="Tahoma"/>
          <w:spacing w:val="-11"/>
          <w:sz w:val="20"/>
          <w:szCs w:val="20"/>
        </w:rPr>
        <w:t xml:space="preserve"> </w:t>
      </w:r>
      <w:r>
        <w:rPr>
          <w:rFonts w:cs="Tahoma" w:ascii="Tahoma" w:hAnsi="Tahoma"/>
          <w:sz w:val="20"/>
          <w:szCs w:val="20"/>
        </w:rPr>
        <w:t>Estado, con el objetivo de que esa atención sea</w:t>
      </w:r>
      <w:r>
        <w:rPr>
          <w:rFonts w:cs="Tahoma" w:ascii="Tahoma" w:hAnsi="Tahoma"/>
          <w:spacing w:val="-7"/>
          <w:sz w:val="20"/>
          <w:szCs w:val="20"/>
        </w:rPr>
        <w:t xml:space="preserve"> </w:t>
      </w:r>
      <w:r>
        <w:rPr>
          <w:rFonts w:cs="Tahoma" w:ascii="Tahoma" w:hAnsi="Tahoma"/>
          <w:sz w:val="20"/>
          <w:szCs w:val="20"/>
        </w:rPr>
        <w:t>idónea.</w:t>
      </w:r>
    </w:p>
    <w:p>
      <w:pPr>
        <w:pStyle w:val="Normal"/>
        <w:ind w:left="117" w:right="118" w:hanging="0"/>
        <w:jc w:val="both"/>
        <w:rPr>
          <w:rFonts w:ascii="Tahoma" w:hAnsi="Tahoma" w:cs="Tahoma"/>
          <w:sz w:val="20"/>
          <w:szCs w:val="20"/>
        </w:rPr>
      </w:pPr>
      <w:r>
        <w:rPr>
          <w:rFonts w:cs="Tahoma" w:ascii="Tahoma" w:hAnsi="Tahoma"/>
          <w:sz w:val="20"/>
          <w:szCs w:val="20"/>
        </w:rPr>
        <w:t>Finalmente, aprovecho para consultar los avances sobre las gestiones planteadas por el</w:t>
      </w:r>
      <w:r>
        <w:rPr>
          <w:rFonts w:cs="Tahoma" w:ascii="Tahoma" w:hAnsi="Tahoma"/>
          <w:spacing w:val="-11"/>
          <w:sz w:val="20"/>
          <w:szCs w:val="20"/>
        </w:rPr>
        <w:t xml:space="preserve"> </w:t>
      </w:r>
      <w:r>
        <w:rPr>
          <w:rFonts w:cs="Tahoma" w:ascii="Tahoma" w:hAnsi="Tahoma"/>
          <w:sz w:val="20"/>
          <w:szCs w:val="20"/>
        </w:rPr>
        <w:t>pueblo</w:t>
      </w:r>
      <w:r>
        <w:rPr>
          <w:rFonts w:cs="Tahoma" w:ascii="Tahoma" w:hAnsi="Tahoma"/>
          <w:spacing w:val="-9"/>
          <w:sz w:val="20"/>
          <w:szCs w:val="20"/>
        </w:rPr>
        <w:t xml:space="preserve"> </w:t>
      </w:r>
      <w:r>
        <w:rPr>
          <w:rFonts w:cs="Tahoma" w:ascii="Tahoma" w:hAnsi="Tahoma"/>
          <w:sz w:val="20"/>
          <w:szCs w:val="20"/>
        </w:rPr>
        <w:t>indígena</w:t>
      </w:r>
      <w:r>
        <w:rPr>
          <w:rFonts w:cs="Tahoma" w:ascii="Tahoma" w:hAnsi="Tahoma"/>
          <w:spacing w:val="-8"/>
          <w:sz w:val="20"/>
          <w:szCs w:val="20"/>
        </w:rPr>
        <w:t xml:space="preserve"> </w:t>
      </w:r>
      <w:r>
        <w:rPr>
          <w:rFonts w:cs="Tahoma" w:ascii="Tahoma" w:hAnsi="Tahoma"/>
          <w:sz w:val="20"/>
          <w:szCs w:val="20"/>
        </w:rPr>
        <w:t>Malecu</w:t>
      </w:r>
      <w:r>
        <w:rPr>
          <w:rFonts w:cs="Tahoma" w:ascii="Tahoma" w:hAnsi="Tahoma"/>
          <w:spacing w:val="-6"/>
          <w:sz w:val="20"/>
          <w:szCs w:val="20"/>
        </w:rPr>
        <w:t xml:space="preserve"> </w:t>
      </w:r>
      <w:r>
        <w:rPr>
          <w:rFonts w:cs="Tahoma" w:ascii="Tahoma" w:hAnsi="Tahoma"/>
          <w:sz w:val="20"/>
          <w:szCs w:val="20"/>
        </w:rPr>
        <w:t>durante</w:t>
      </w:r>
      <w:r>
        <w:rPr>
          <w:rFonts w:cs="Tahoma" w:ascii="Tahoma" w:hAnsi="Tahoma"/>
          <w:spacing w:val="-8"/>
          <w:sz w:val="20"/>
          <w:szCs w:val="20"/>
        </w:rPr>
        <w:t xml:space="preserve"> </w:t>
      </w:r>
      <w:r>
        <w:rPr>
          <w:rFonts w:cs="Tahoma" w:ascii="Tahoma" w:hAnsi="Tahoma"/>
          <w:sz w:val="20"/>
          <w:szCs w:val="20"/>
        </w:rPr>
        <w:t>la</w:t>
      </w:r>
      <w:r>
        <w:rPr>
          <w:rFonts w:cs="Tahoma" w:ascii="Tahoma" w:hAnsi="Tahoma"/>
          <w:spacing w:val="-9"/>
          <w:sz w:val="20"/>
          <w:szCs w:val="20"/>
        </w:rPr>
        <w:t xml:space="preserve"> </w:t>
      </w:r>
      <w:r>
        <w:rPr>
          <w:rFonts w:cs="Tahoma" w:ascii="Tahoma" w:hAnsi="Tahoma"/>
          <w:sz w:val="20"/>
          <w:szCs w:val="20"/>
        </w:rPr>
        <w:t>audiencia</w:t>
      </w:r>
      <w:r>
        <w:rPr>
          <w:rFonts w:cs="Tahoma" w:ascii="Tahoma" w:hAnsi="Tahoma"/>
          <w:spacing w:val="-9"/>
          <w:sz w:val="20"/>
          <w:szCs w:val="20"/>
        </w:rPr>
        <w:t xml:space="preserve"> </w:t>
      </w:r>
      <w:r>
        <w:rPr>
          <w:rFonts w:cs="Tahoma" w:ascii="Tahoma" w:hAnsi="Tahoma"/>
          <w:sz w:val="20"/>
          <w:szCs w:val="20"/>
        </w:rPr>
        <w:t>que</w:t>
      </w:r>
      <w:r>
        <w:rPr>
          <w:rFonts w:cs="Tahoma" w:ascii="Tahoma" w:hAnsi="Tahoma"/>
          <w:spacing w:val="-9"/>
          <w:sz w:val="20"/>
          <w:szCs w:val="20"/>
        </w:rPr>
        <w:t xml:space="preserve"> </w:t>
      </w:r>
      <w:r>
        <w:rPr>
          <w:rFonts w:cs="Tahoma" w:ascii="Tahoma" w:hAnsi="Tahoma"/>
          <w:sz w:val="20"/>
          <w:szCs w:val="20"/>
        </w:rPr>
        <w:t>se</w:t>
      </w:r>
      <w:r>
        <w:rPr>
          <w:rFonts w:cs="Tahoma" w:ascii="Tahoma" w:hAnsi="Tahoma"/>
          <w:spacing w:val="-8"/>
          <w:sz w:val="20"/>
          <w:szCs w:val="20"/>
        </w:rPr>
        <w:t xml:space="preserve"> </w:t>
      </w:r>
      <w:r>
        <w:rPr>
          <w:rFonts w:cs="Tahoma" w:ascii="Tahoma" w:hAnsi="Tahoma"/>
          <w:sz w:val="20"/>
          <w:szCs w:val="20"/>
        </w:rPr>
        <w:t>les</w:t>
      </w:r>
      <w:r>
        <w:rPr>
          <w:rFonts w:cs="Tahoma" w:ascii="Tahoma" w:hAnsi="Tahoma"/>
          <w:spacing w:val="-9"/>
          <w:sz w:val="20"/>
          <w:szCs w:val="20"/>
        </w:rPr>
        <w:t xml:space="preserve"> </w:t>
      </w:r>
      <w:r>
        <w:rPr>
          <w:rFonts w:cs="Tahoma" w:ascii="Tahoma" w:hAnsi="Tahoma"/>
          <w:sz w:val="20"/>
          <w:szCs w:val="20"/>
        </w:rPr>
        <w:t>confirió</w:t>
      </w:r>
      <w:r>
        <w:rPr>
          <w:rFonts w:cs="Tahoma" w:ascii="Tahoma" w:hAnsi="Tahoma"/>
          <w:spacing w:val="-8"/>
          <w:sz w:val="20"/>
          <w:szCs w:val="20"/>
        </w:rPr>
        <w:t xml:space="preserve"> </w:t>
      </w:r>
      <w:r>
        <w:rPr>
          <w:rFonts w:cs="Tahoma" w:ascii="Tahoma" w:hAnsi="Tahoma"/>
          <w:sz w:val="20"/>
          <w:szCs w:val="20"/>
        </w:rPr>
        <w:t>en</w:t>
      </w:r>
      <w:r>
        <w:rPr>
          <w:rFonts w:cs="Tahoma" w:ascii="Tahoma" w:hAnsi="Tahoma"/>
          <w:spacing w:val="-8"/>
          <w:sz w:val="20"/>
          <w:szCs w:val="20"/>
        </w:rPr>
        <w:t xml:space="preserve"> </w:t>
      </w:r>
      <w:r>
        <w:rPr>
          <w:rFonts w:cs="Tahoma" w:ascii="Tahoma" w:hAnsi="Tahoma"/>
          <w:sz w:val="20"/>
          <w:szCs w:val="20"/>
        </w:rPr>
        <w:t>la</w:t>
      </w:r>
      <w:r>
        <w:rPr>
          <w:rFonts w:cs="Tahoma" w:ascii="Tahoma" w:hAnsi="Tahoma"/>
          <w:spacing w:val="-5"/>
          <w:sz w:val="20"/>
          <w:szCs w:val="20"/>
        </w:rPr>
        <w:t xml:space="preserve"> </w:t>
      </w:r>
      <w:r>
        <w:rPr>
          <w:rFonts w:cs="Tahoma" w:ascii="Tahoma" w:hAnsi="Tahoma"/>
          <w:sz w:val="20"/>
          <w:szCs w:val="20"/>
        </w:rPr>
        <w:t>visita</w:t>
      </w:r>
      <w:r>
        <w:rPr>
          <w:rFonts w:cs="Tahoma" w:ascii="Tahoma" w:hAnsi="Tahoma"/>
          <w:spacing w:val="-9"/>
          <w:sz w:val="20"/>
          <w:szCs w:val="20"/>
        </w:rPr>
        <w:t xml:space="preserve"> </w:t>
      </w:r>
      <w:r>
        <w:rPr>
          <w:rFonts w:cs="Tahoma" w:ascii="Tahoma" w:hAnsi="Tahoma"/>
          <w:sz w:val="20"/>
          <w:szCs w:val="20"/>
        </w:rPr>
        <w:t>realizada por la Presidencia de la Corte Suprema de Justicia e integrantes de Corte Plena, Consejo Superior y jerarcas de algunas oficinas administrativas a la actividad de Inauguración del Edificio de Los Chiles, la cual les fuera remitida oportunamente. La idea</w:t>
      </w:r>
      <w:r>
        <w:rPr>
          <w:rFonts w:cs="Tahoma" w:ascii="Tahoma" w:hAnsi="Tahoma"/>
          <w:spacing w:val="-6"/>
          <w:sz w:val="20"/>
          <w:szCs w:val="20"/>
        </w:rPr>
        <w:t xml:space="preserve"> </w:t>
      </w:r>
      <w:r>
        <w:rPr>
          <w:rFonts w:cs="Tahoma" w:ascii="Tahoma" w:hAnsi="Tahoma"/>
          <w:sz w:val="20"/>
          <w:szCs w:val="20"/>
        </w:rPr>
        <w:t>es</w:t>
      </w:r>
      <w:r>
        <w:rPr>
          <w:rFonts w:cs="Tahoma" w:ascii="Tahoma" w:hAnsi="Tahoma"/>
          <w:spacing w:val="-3"/>
          <w:sz w:val="20"/>
          <w:szCs w:val="20"/>
        </w:rPr>
        <w:t xml:space="preserve"> </w:t>
      </w:r>
      <w:r>
        <w:rPr>
          <w:rFonts w:cs="Tahoma" w:ascii="Tahoma" w:hAnsi="Tahoma"/>
          <w:sz w:val="20"/>
          <w:szCs w:val="20"/>
        </w:rPr>
        <w:t>poder</w:t>
      </w:r>
      <w:r>
        <w:rPr>
          <w:rFonts w:cs="Tahoma" w:ascii="Tahoma" w:hAnsi="Tahoma"/>
          <w:spacing w:val="-7"/>
          <w:sz w:val="20"/>
          <w:szCs w:val="20"/>
        </w:rPr>
        <w:t xml:space="preserve"> </w:t>
      </w:r>
      <w:r>
        <w:rPr>
          <w:rFonts w:cs="Tahoma" w:ascii="Tahoma" w:hAnsi="Tahoma"/>
          <w:sz w:val="20"/>
          <w:szCs w:val="20"/>
        </w:rPr>
        <w:t>dar</w:t>
      </w:r>
      <w:r>
        <w:rPr>
          <w:rFonts w:cs="Tahoma" w:ascii="Tahoma" w:hAnsi="Tahoma"/>
          <w:spacing w:val="-6"/>
          <w:sz w:val="20"/>
          <w:szCs w:val="20"/>
        </w:rPr>
        <w:t xml:space="preserve"> </w:t>
      </w:r>
      <w:r>
        <w:rPr>
          <w:rFonts w:cs="Tahoma" w:ascii="Tahoma" w:hAnsi="Tahoma"/>
          <w:sz w:val="20"/>
          <w:szCs w:val="20"/>
        </w:rPr>
        <w:t>una</w:t>
      </w:r>
      <w:r>
        <w:rPr>
          <w:rFonts w:cs="Tahoma" w:ascii="Tahoma" w:hAnsi="Tahoma"/>
          <w:spacing w:val="-7"/>
          <w:sz w:val="20"/>
          <w:szCs w:val="20"/>
        </w:rPr>
        <w:t xml:space="preserve"> </w:t>
      </w:r>
      <w:r>
        <w:rPr>
          <w:rFonts w:cs="Tahoma" w:ascii="Tahoma" w:hAnsi="Tahoma"/>
          <w:sz w:val="20"/>
          <w:szCs w:val="20"/>
        </w:rPr>
        <w:t>respuesta</w:t>
      </w:r>
      <w:r>
        <w:rPr>
          <w:rFonts w:cs="Tahoma" w:ascii="Tahoma" w:hAnsi="Tahoma"/>
          <w:spacing w:val="-6"/>
          <w:sz w:val="20"/>
          <w:szCs w:val="20"/>
        </w:rPr>
        <w:t xml:space="preserve"> </w:t>
      </w:r>
      <w:r>
        <w:rPr>
          <w:rFonts w:cs="Tahoma" w:ascii="Tahoma" w:hAnsi="Tahoma"/>
          <w:sz w:val="20"/>
          <w:szCs w:val="20"/>
        </w:rPr>
        <w:t>a</w:t>
      </w:r>
      <w:r>
        <w:rPr>
          <w:rFonts w:cs="Tahoma" w:ascii="Tahoma" w:hAnsi="Tahoma"/>
          <w:spacing w:val="-3"/>
          <w:sz w:val="20"/>
          <w:szCs w:val="20"/>
        </w:rPr>
        <w:t xml:space="preserve"> </w:t>
      </w:r>
      <w:r>
        <w:rPr>
          <w:rFonts w:cs="Tahoma" w:ascii="Tahoma" w:hAnsi="Tahoma"/>
          <w:sz w:val="20"/>
          <w:szCs w:val="20"/>
        </w:rPr>
        <w:t>las</w:t>
      </w:r>
      <w:r>
        <w:rPr>
          <w:rFonts w:cs="Tahoma" w:ascii="Tahoma" w:hAnsi="Tahoma"/>
          <w:spacing w:val="-5"/>
          <w:sz w:val="20"/>
          <w:szCs w:val="20"/>
        </w:rPr>
        <w:t xml:space="preserve"> </w:t>
      </w:r>
      <w:r>
        <w:rPr>
          <w:rFonts w:cs="Tahoma" w:ascii="Tahoma" w:hAnsi="Tahoma"/>
          <w:sz w:val="20"/>
          <w:szCs w:val="20"/>
        </w:rPr>
        <w:t>personas</w:t>
      </w:r>
      <w:r>
        <w:rPr>
          <w:rFonts w:cs="Tahoma" w:ascii="Tahoma" w:hAnsi="Tahoma"/>
          <w:spacing w:val="-4"/>
          <w:sz w:val="20"/>
          <w:szCs w:val="20"/>
        </w:rPr>
        <w:t xml:space="preserve"> </w:t>
      </w:r>
      <w:r>
        <w:rPr>
          <w:rFonts w:cs="Tahoma" w:ascii="Tahoma" w:hAnsi="Tahoma"/>
          <w:sz w:val="20"/>
          <w:szCs w:val="20"/>
        </w:rPr>
        <w:t>indígenas</w:t>
      </w:r>
      <w:r>
        <w:rPr>
          <w:rFonts w:cs="Tahoma" w:ascii="Tahoma" w:hAnsi="Tahoma"/>
          <w:spacing w:val="-3"/>
          <w:sz w:val="20"/>
          <w:szCs w:val="20"/>
        </w:rPr>
        <w:t xml:space="preserve"> </w:t>
      </w:r>
      <w:r>
        <w:rPr>
          <w:rFonts w:cs="Tahoma" w:ascii="Tahoma" w:hAnsi="Tahoma"/>
          <w:sz w:val="20"/>
          <w:szCs w:val="20"/>
        </w:rPr>
        <w:t>Malecu</w:t>
      </w:r>
      <w:r>
        <w:rPr>
          <w:rFonts w:cs="Tahoma" w:ascii="Tahoma" w:hAnsi="Tahoma"/>
          <w:spacing w:val="-6"/>
          <w:sz w:val="20"/>
          <w:szCs w:val="20"/>
        </w:rPr>
        <w:t xml:space="preserve"> </w:t>
      </w:r>
      <w:r>
        <w:rPr>
          <w:rFonts w:cs="Tahoma" w:ascii="Tahoma" w:hAnsi="Tahoma"/>
          <w:sz w:val="20"/>
          <w:szCs w:val="20"/>
        </w:rPr>
        <w:t>en</w:t>
      </w:r>
      <w:r>
        <w:rPr>
          <w:rFonts w:cs="Tahoma" w:ascii="Tahoma" w:hAnsi="Tahoma"/>
          <w:spacing w:val="-3"/>
          <w:sz w:val="20"/>
          <w:szCs w:val="20"/>
        </w:rPr>
        <w:t xml:space="preserve"> </w:t>
      </w:r>
      <w:r>
        <w:rPr>
          <w:rFonts w:cs="Tahoma" w:ascii="Tahoma" w:hAnsi="Tahoma"/>
          <w:sz w:val="20"/>
          <w:szCs w:val="20"/>
        </w:rPr>
        <w:t>la</w:t>
      </w:r>
      <w:r>
        <w:rPr>
          <w:rFonts w:cs="Tahoma" w:ascii="Tahoma" w:hAnsi="Tahoma"/>
          <w:spacing w:val="-4"/>
          <w:sz w:val="20"/>
          <w:szCs w:val="20"/>
        </w:rPr>
        <w:t xml:space="preserve"> </w:t>
      </w:r>
      <w:r>
        <w:rPr>
          <w:rFonts w:cs="Tahoma" w:ascii="Tahoma" w:hAnsi="Tahoma"/>
          <w:sz w:val="20"/>
          <w:szCs w:val="20"/>
        </w:rPr>
        <w:t>visita</w:t>
      </w:r>
      <w:r>
        <w:rPr>
          <w:rFonts w:cs="Tahoma" w:ascii="Tahoma" w:hAnsi="Tahoma"/>
          <w:spacing w:val="-4"/>
          <w:sz w:val="20"/>
          <w:szCs w:val="20"/>
        </w:rPr>
        <w:t xml:space="preserve"> </w:t>
      </w:r>
      <w:r>
        <w:rPr>
          <w:rFonts w:cs="Tahoma" w:ascii="Tahoma" w:hAnsi="Tahoma"/>
          <w:sz w:val="20"/>
          <w:szCs w:val="20"/>
        </w:rPr>
        <w:t>que</w:t>
      </w:r>
      <w:r>
        <w:rPr>
          <w:rFonts w:cs="Tahoma" w:ascii="Tahoma" w:hAnsi="Tahoma"/>
          <w:spacing w:val="-5"/>
          <w:sz w:val="20"/>
          <w:szCs w:val="20"/>
        </w:rPr>
        <w:t xml:space="preserve"> </w:t>
      </w:r>
      <w:r>
        <w:rPr>
          <w:rFonts w:cs="Tahoma" w:ascii="Tahoma" w:hAnsi="Tahoma"/>
          <w:sz w:val="20"/>
          <w:szCs w:val="20"/>
        </w:rPr>
        <w:t>está programando la Comisión de Acceso a la Justicia y la</w:t>
      </w:r>
      <w:r>
        <w:rPr>
          <w:rFonts w:cs="Tahoma" w:ascii="Tahoma" w:hAnsi="Tahoma"/>
          <w:spacing w:val="-7"/>
          <w:sz w:val="20"/>
          <w:szCs w:val="20"/>
        </w:rPr>
        <w:t xml:space="preserve"> </w:t>
      </w:r>
      <w:r>
        <w:rPr>
          <w:rFonts w:cs="Tahoma" w:ascii="Tahoma" w:hAnsi="Tahoma"/>
          <w:sz w:val="20"/>
          <w:szCs w:val="20"/>
        </w:rPr>
        <w:t>Subcomisión.</w:t>
      </w:r>
    </w:p>
    <w:p>
      <w:pPr>
        <w:pStyle w:val="Normal"/>
        <w:jc w:val="both"/>
        <w:rPr>
          <w:rFonts w:ascii="Tahoma" w:hAnsi="Tahoma" w:cs="Tahoma"/>
          <w:sz w:val="20"/>
          <w:szCs w:val="20"/>
        </w:rPr>
      </w:pPr>
      <w:r>
        <w:rPr>
          <w:rFonts w:cs="Tahoma" w:ascii="Tahoma" w:hAnsi="Tahoma"/>
          <w:sz w:val="20"/>
          <w:szCs w:val="20"/>
        </w:rPr>
      </w:r>
    </w:p>
    <w:p>
      <w:pPr>
        <w:pStyle w:val="Normal"/>
        <w:spacing w:before="92" w:after="200"/>
        <w:ind w:left="117" w:right="118" w:hanging="0"/>
        <w:jc w:val="both"/>
        <w:rPr>
          <w:rFonts w:ascii="Tahoma" w:hAnsi="Tahoma" w:cs="Tahoma"/>
          <w:sz w:val="20"/>
          <w:szCs w:val="20"/>
        </w:rPr>
      </w:pPr>
      <w:r>
        <w:rPr>
          <w:rFonts w:cs="Tahoma" w:ascii="Tahoma" w:hAnsi="Tahoma"/>
          <w:sz w:val="20"/>
          <w:szCs w:val="20"/>
        </w:rPr>
        <w:t>Sin más por el momento, me pongo a su disposición en lo que este a mi alcance para la articulación y coordinación de acciones, enmarcadas en las funciones asignadas a la Subcomisión de Acceso a la Justicia de Pueblos Indígenas y agradezco la colaboración brindada.</w:t>
      </w:r>
    </w:p>
    <w:p>
      <w:pPr>
        <w:pStyle w:val="Normal"/>
        <w:spacing w:lineRule="auto" w:line="415" w:before="199" w:after="200"/>
        <w:ind w:left="117" w:right="5461" w:hanging="0"/>
        <w:jc w:val="both"/>
        <w:rPr>
          <w:rFonts w:ascii="Tahoma" w:hAnsi="Tahoma" w:cs="Tahoma"/>
          <w:sz w:val="20"/>
          <w:szCs w:val="20"/>
        </w:rPr>
      </w:pPr>
      <w:r>
        <w:rPr>
          <w:rFonts w:cs="Tahoma" w:ascii="Tahoma" w:hAnsi="Tahoma"/>
          <w:sz w:val="20"/>
          <w:szCs w:val="20"/>
        </w:rPr>
        <w:t>Se adjuntan documentos de</w:t>
      </w:r>
      <w:r>
        <w:rPr>
          <w:rFonts w:cs="Tahoma" w:ascii="Tahoma" w:hAnsi="Tahoma"/>
          <w:spacing w:val="-14"/>
          <w:sz w:val="20"/>
          <w:szCs w:val="20"/>
        </w:rPr>
        <w:t xml:space="preserve"> </w:t>
      </w:r>
      <w:r>
        <w:rPr>
          <w:rFonts w:cs="Tahoma" w:ascii="Tahoma" w:hAnsi="Tahoma"/>
          <w:sz w:val="20"/>
          <w:szCs w:val="20"/>
        </w:rPr>
        <w:t>interés. Atentamente,</w:t>
      </w:r>
    </w:p>
    <w:p>
      <w:pPr>
        <w:pStyle w:val="Cuerpodetexto"/>
        <w:rPr>
          <w:rFonts w:ascii="Tahoma" w:hAnsi="Tahoma" w:cs="Tahoma"/>
          <w:i/>
          <w:i/>
          <w:sz w:val="20"/>
          <w:szCs w:val="20"/>
        </w:rPr>
      </w:pPr>
      <w:r>
        <w:rPr>
          <w:rFonts w:cs="Tahoma" w:ascii="Tahoma" w:hAnsi="Tahoma"/>
          <w:i/>
          <w:sz w:val="20"/>
          <w:szCs w:val="20"/>
        </w:rPr>
      </w:r>
    </w:p>
    <w:p>
      <w:pPr>
        <w:pStyle w:val="Normal"/>
        <w:spacing w:before="175" w:after="200"/>
        <w:ind w:right="6" w:hanging="0"/>
        <w:jc w:val="center"/>
        <w:rPr>
          <w:rFonts w:ascii="Tahoma" w:hAnsi="Tahoma" w:cs="Tahoma"/>
          <w:b/>
          <w:b/>
          <w:i/>
          <w:i/>
          <w:sz w:val="20"/>
          <w:szCs w:val="20"/>
        </w:rPr>
      </w:pPr>
      <w:r>
        <w:rPr>
          <w:rFonts w:cs="Tahoma" w:ascii="Tahoma" w:hAnsi="Tahoma"/>
          <w:b/>
          <w:i/>
          <w:sz w:val="20"/>
          <w:szCs w:val="20"/>
        </w:rPr>
        <w:t>Damaris Vargas Vásquez</w:t>
      </w:r>
    </w:p>
    <w:p>
      <w:pPr>
        <w:pStyle w:val="Normal"/>
        <w:spacing w:lineRule="auto" w:line="410" w:before="202" w:after="200"/>
        <w:ind w:left="690" w:right="699" w:hanging="0"/>
        <w:jc w:val="center"/>
        <w:rPr>
          <w:rFonts w:ascii="Tahoma" w:hAnsi="Tahoma" w:cs="Tahoma"/>
          <w:b/>
          <w:b/>
          <w:i/>
          <w:i/>
          <w:sz w:val="20"/>
          <w:szCs w:val="20"/>
        </w:rPr>
      </w:pPr>
      <w:r>
        <w:rPr>
          <w:rFonts w:cs="Tahoma" w:ascii="Tahoma" w:hAnsi="Tahoma"/>
          <w:b/>
          <w:i/>
          <w:sz w:val="20"/>
          <w:szCs w:val="20"/>
        </w:rPr>
        <w:t>Coordinadora Subcomisión Acceso a la Justicia de Pueblos Indígenas Magistrada Sala Primera de la Corte Suprema de Justicia</w:t>
      </w:r>
    </w:p>
    <w:p>
      <w:pPr>
        <w:pStyle w:val="Normal"/>
        <w:spacing w:before="1" w:after="200"/>
        <w:ind w:right="4" w:hanging="0"/>
        <w:jc w:val="center"/>
        <w:rPr>
          <w:rFonts w:ascii="Tahoma" w:hAnsi="Tahoma" w:cs="Tahoma"/>
          <w:b/>
          <w:b/>
          <w:i/>
          <w:i/>
          <w:sz w:val="20"/>
          <w:szCs w:val="20"/>
        </w:rPr>
      </w:pPr>
      <w:r>
        <w:rPr>
          <w:rFonts w:cs="Tahoma" w:ascii="Tahoma" w:hAnsi="Tahoma"/>
          <w:b/>
          <w:i/>
          <w:sz w:val="20"/>
          <w:szCs w:val="20"/>
        </w:rPr>
        <w:t>Poder Judicial</w:t>
      </w:r>
    </w:p>
    <w:p>
      <w:pPr>
        <w:pStyle w:val="Cuerpodetexto"/>
        <w:rPr>
          <w:rFonts w:ascii="Tahoma" w:hAnsi="Tahoma" w:cs="Tahoma"/>
          <w:b/>
          <w:b/>
          <w:sz w:val="20"/>
          <w:szCs w:val="20"/>
        </w:rPr>
      </w:pPr>
      <w:r>
        <w:rPr>
          <w:rFonts w:cs="Tahoma" w:ascii="Tahoma" w:hAnsi="Tahoma"/>
          <w:b/>
          <w:sz w:val="20"/>
          <w:szCs w:val="20"/>
        </w:rPr>
      </w:r>
    </w:p>
    <w:p>
      <w:pPr>
        <w:pStyle w:val="Cuerpodetexto"/>
        <w:spacing w:before="11" w:after="0"/>
        <w:rPr>
          <w:rFonts w:ascii="Tahoma" w:hAnsi="Tahoma" w:cs="Tahoma"/>
          <w:b/>
          <w:b/>
          <w:sz w:val="20"/>
          <w:szCs w:val="20"/>
        </w:rPr>
      </w:pPr>
      <w:r>
        <w:rPr>
          <w:rFonts w:cs="Tahoma" w:ascii="Tahoma" w:hAnsi="Tahoma"/>
          <w:b/>
          <w:sz w:val="20"/>
          <w:szCs w:val="20"/>
        </w:rPr>
      </w:r>
    </w:p>
    <w:p>
      <w:pPr>
        <w:pStyle w:val="Normal"/>
        <w:ind w:left="117" w:hanging="0"/>
        <w:rPr>
          <w:rFonts w:ascii="Tahoma" w:hAnsi="Tahoma" w:cs="Tahoma"/>
          <w:i/>
          <w:i/>
          <w:sz w:val="20"/>
          <w:szCs w:val="20"/>
        </w:rPr>
      </w:pPr>
      <w:r>
        <w:rPr>
          <w:rFonts w:cs="Tahoma" w:ascii="Tahoma" w:hAnsi="Tahoma"/>
          <w:i/>
          <w:sz w:val="20"/>
          <w:szCs w:val="20"/>
        </w:rPr>
        <w:t>Copias:</w:t>
      </w:r>
    </w:p>
    <w:p>
      <w:pPr>
        <w:pStyle w:val="Cuerpodetexto"/>
        <w:spacing w:before="4" w:after="0"/>
        <w:rPr>
          <w:rFonts w:ascii="Tahoma" w:hAnsi="Tahoma" w:cs="Tahoma"/>
          <w:sz w:val="20"/>
          <w:szCs w:val="20"/>
        </w:rPr>
      </w:pPr>
      <w:r>
        <w:rPr>
          <w:rFonts w:cs="Tahoma" w:ascii="Tahoma" w:hAnsi="Tahoma"/>
          <w:sz w:val="20"/>
          <w:szCs w:val="20"/>
        </w:rPr>
      </w:r>
    </w:p>
    <w:p>
      <w:pPr>
        <w:pStyle w:val="Normal"/>
        <w:spacing w:lineRule="auto" w:line="499" w:before="1" w:after="200"/>
        <w:ind w:left="117" w:right="6517" w:hanging="0"/>
        <w:rPr>
          <w:rFonts w:ascii="Tahoma" w:hAnsi="Tahoma" w:cs="Tahoma"/>
          <w:i/>
          <w:i/>
          <w:sz w:val="20"/>
          <w:szCs w:val="20"/>
        </w:rPr>
      </w:pPr>
      <w:r>
        <w:rPr>
          <w:rFonts w:cs="Tahoma" w:ascii="Tahoma" w:hAnsi="Tahoma"/>
          <w:i/>
          <w:sz w:val="20"/>
          <w:szCs w:val="20"/>
        </w:rPr>
        <w:t>Presidencia Corte Suprema de Justicia Despacho de la Presidencia</w:t>
      </w:r>
    </w:p>
    <w:p>
      <w:pPr>
        <w:sectPr>
          <w:headerReference w:type="default" r:id="rId26"/>
          <w:footnotePr>
            <w:numFmt w:val="decimal"/>
          </w:footnotePr>
          <w:type w:val="nextPage"/>
          <w:pgSz w:w="12240" w:h="15840"/>
          <w:pgMar w:left="1640" w:right="1180" w:header="574" w:top="1560" w:footer="0" w:bottom="280" w:gutter="0"/>
          <w:pgNumType w:fmt="decimal"/>
          <w:formProt w:val="false"/>
          <w:textDirection w:val="lrTb"/>
          <w:docGrid w:type="default" w:linePitch="100" w:charSpace="4096"/>
        </w:sectPr>
        <w:pStyle w:val="Normal"/>
        <w:spacing w:lineRule="exact" w:line="183"/>
        <w:ind w:left="117" w:hanging="0"/>
        <w:rPr>
          <w:rFonts w:ascii="Tahoma" w:hAnsi="Tahoma" w:cs="Tahoma"/>
          <w:i/>
          <w:i/>
          <w:sz w:val="20"/>
          <w:szCs w:val="20"/>
        </w:rPr>
      </w:pPr>
      <w:r>
        <w:rPr>
          <w:rFonts w:cs="Tahoma" w:ascii="Tahoma" w:hAnsi="Tahoma"/>
          <w:i/>
          <w:sz w:val="20"/>
          <w:szCs w:val="20"/>
        </w:rPr>
        <w:t>Comisión de Acceso a la Justicia</w:t>
      </w:r>
    </w:p>
    <w:p>
      <w:pPr>
        <w:pStyle w:val="Cuerpodetexto"/>
        <w:rPr>
          <w:rFonts w:ascii="Tahoma" w:hAnsi="Tahoma" w:cs="Tahoma"/>
          <w:i/>
          <w:i/>
          <w:sz w:val="20"/>
          <w:szCs w:val="20"/>
        </w:rPr>
      </w:pPr>
      <w:r>
        <w:rPr>
          <w:rFonts w:cs="Tahoma" w:ascii="Tahoma" w:hAnsi="Tahoma"/>
          <w:i/>
          <w:sz w:val="20"/>
          <w:szCs w:val="20"/>
        </w:rPr>
      </w:r>
    </w:p>
    <w:p>
      <w:pPr>
        <w:pStyle w:val="Cuerpodetexto"/>
        <w:rPr>
          <w:rFonts w:ascii="Tahoma" w:hAnsi="Tahoma" w:cs="Tahoma"/>
          <w:i/>
          <w:i/>
          <w:sz w:val="20"/>
          <w:szCs w:val="20"/>
        </w:rPr>
      </w:pPr>
      <w:r>
        <w:rPr>
          <w:rFonts w:cs="Tahoma" w:ascii="Tahoma" w:hAnsi="Tahoma"/>
          <w:i/>
          <w:sz w:val="20"/>
          <w:szCs w:val="20"/>
        </w:rPr>
      </w:r>
    </w:p>
    <w:p>
      <w:pPr>
        <w:pStyle w:val="Cuerpodetexto"/>
        <w:jc w:val="center"/>
        <w:rPr>
          <w:rFonts w:ascii="Tahoma" w:hAnsi="Tahoma" w:cs="Tahoma"/>
          <w:sz w:val="20"/>
          <w:szCs w:val="20"/>
        </w:rPr>
      </w:pPr>
      <w:r>
        <w:rPr>
          <w:rFonts w:cs="Tahoma" w:ascii="Tahoma" w:hAnsi="Tahoma"/>
          <w:sz w:val="20"/>
          <w:szCs w:val="20"/>
        </w:rPr>
        <w:t>-0-</w:t>
      </w:r>
    </w:p>
    <w:p>
      <w:pPr>
        <w:pStyle w:val="Cuerpodetexto"/>
        <w:rPr>
          <w:rFonts w:ascii="Tahoma" w:hAnsi="Tahoma" w:cs="Tahoma"/>
          <w:sz w:val="20"/>
          <w:szCs w:val="20"/>
        </w:rPr>
      </w:pPr>
      <w:r>
        <w:rPr>
          <w:rFonts w:cs="Tahoma" w:ascii="Tahoma" w:hAnsi="Tahoma"/>
          <w:sz w:val="20"/>
          <w:szCs w:val="20"/>
        </w:rPr>
      </w:r>
    </w:p>
    <w:p>
      <w:pPr>
        <w:pStyle w:val="Normal"/>
        <w:rPr>
          <w:rFonts w:ascii="Tahoma" w:hAnsi="Tahoma" w:cs="Tahoma"/>
          <w:b/>
          <w:b/>
          <w:i/>
          <w:i/>
          <w:sz w:val="20"/>
          <w:szCs w:val="20"/>
          <w:lang w:val="es-ES"/>
        </w:rPr>
      </w:pPr>
      <w:r>
        <w:rPr>
          <w:rFonts w:cs="Tahoma" w:ascii="Tahoma" w:hAnsi="Tahoma"/>
          <w:b/>
          <w:i/>
          <w:sz w:val="20"/>
          <w:szCs w:val="20"/>
          <w:lang w:val="es-ES"/>
        </w:rPr>
      </w:r>
    </w:p>
    <w:p>
      <w:pPr>
        <w:pStyle w:val="Normal"/>
        <w:shd w:val="clear" w:color="auto" w:fill="FFFF00"/>
        <w:jc w:val="center"/>
        <w:rPr>
          <w:rFonts w:ascii="Tahoma" w:hAnsi="Tahoma" w:cs="Tahoma"/>
          <w:b/>
          <w:b/>
          <w:i/>
          <w:i/>
          <w:sz w:val="20"/>
          <w:szCs w:val="20"/>
          <w:lang w:val="es-ES"/>
        </w:rPr>
      </w:pPr>
      <w:r>
        <w:rPr>
          <w:rFonts w:cs="Tahoma" w:ascii="Tahoma" w:hAnsi="Tahoma"/>
          <w:b/>
          <w:i/>
          <w:sz w:val="20"/>
          <w:szCs w:val="20"/>
          <w:highlight w:val="yellow"/>
          <w:lang w:val="es-ES"/>
        </w:rPr>
        <w:t>Informes de la Escuela Judicial</w:t>
      </w:r>
    </w:p>
    <w:p>
      <w:pPr>
        <w:pStyle w:val="Normal"/>
        <w:spacing w:lineRule="auto" w:line="240" w:before="0" w:after="0"/>
        <w:ind w:right="-518" w:hanging="0"/>
        <w:rPr>
          <w:rFonts w:ascii="Tahoma" w:hAnsi="Tahoma" w:cs="Tahoma"/>
          <w:sz w:val="20"/>
          <w:szCs w:val="20"/>
        </w:rPr>
      </w:pPr>
      <w:r>
        <w:rPr>
          <w:rFonts w:cs="Tahoma" w:ascii="Tahoma" w:hAnsi="Tahoma"/>
          <w:b/>
          <w:sz w:val="20"/>
          <w:szCs w:val="20"/>
        </w:rPr>
        <w:t>EJ-DIR-026-2020</w:t>
      </w:r>
    </w:p>
    <w:p>
      <w:pPr>
        <w:pStyle w:val="Sinespaciado2"/>
        <w:ind w:right="27" w:hanging="0"/>
        <w:rPr>
          <w:rFonts w:ascii="Tahoma" w:hAnsi="Tahoma" w:cs="Tahoma"/>
          <w:bCs/>
          <w:sz w:val="20"/>
          <w:szCs w:val="20"/>
        </w:rPr>
      </w:pPr>
      <w:r>
        <w:rPr>
          <w:rFonts w:cs="Tahoma" w:ascii="Tahoma" w:hAnsi="Tahoma"/>
          <w:bCs/>
          <w:sz w:val="20"/>
          <w:szCs w:val="20"/>
        </w:rPr>
        <w:t>27 de febrero de 2020</w:t>
      </w:r>
    </w:p>
    <w:p>
      <w:pPr>
        <w:pStyle w:val="Sinespaciado2"/>
        <w:ind w:left="7200" w:right="27" w:firstLine="720"/>
        <w:rPr>
          <w:rFonts w:ascii="Tahoma" w:hAnsi="Tahoma" w:cs="Tahoma"/>
          <w:bCs/>
          <w:sz w:val="20"/>
          <w:szCs w:val="20"/>
        </w:rPr>
      </w:pPr>
      <w:r>
        <w:rPr>
          <w:rFonts w:cs="Tahoma" w:ascii="Tahoma" w:hAnsi="Tahoma"/>
          <w:bCs/>
          <w:sz w:val="20"/>
          <w:szCs w:val="20"/>
        </w:rPr>
      </w:r>
    </w:p>
    <w:p>
      <w:pPr>
        <w:pStyle w:val="Sinespaciado2"/>
        <w:ind w:left="7200" w:right="27" w:firstLine="720"/>
        <w:rPr>
          <w:rFonts w:ascii="Tahoma" w:hAnsi="Tahoma" w:cs="Tahoma"/>
          <w:bCs/>
          <w:sz w:val="20"/>
          <w:szCs w:val="20"/>
        </w:rPr>
      </w:pPr>
      <w:r>
        <w:rPr>
          <w:rFonts w:cs="Tahoma" w:ascii="Tahoma" w:hAnsi="Tahoma"/>
          <w:bCs/>
          <w:sz w:val="20"/>
          <w:szCs w:val="20"/>
        </w:rPr>
      </w:r>
    </w:p>
    <w:p>
      <w:pPr>
        <w:pStyle w:val="Cuerpodetexto"/>
        <w:rPr>
          <w:rFonts w:ascii="Tahoma" w:hAnsi="Tahoma" w:cs="Tahoma"/>
          <w:sz w:val="20"/>
          <w:szCs w:val="20"/>
        </w:rPr>
      </w:pPr>
      <w:r>
        <w:rPr>
          <w:rStyle w:val="EnlacedeInternet"/>
          <w:rFonts w:cs="Tahoma" w:ascii="Tahoma" w:hAnsi="Tahoma"/>
          <w:sz w:val="20"/>
          <w:szCs w:val="20"/>
        </w:rPr>
        <w:t>Señora</w:t>
      </w:r>
    </w:p>
    <w:p>
      <w:pPr>
        <w:pStyle w:val="Cuerpodetexto"/>
        <w:rPr>
          <w:rFonts w:ascii="Tahoma" w:hAnsi="Tahoma" w:cs="Tahoma"/>
          <w:sz w:val="20"/>
          <w:szCs w:val="20"/>
        </w:rPr>
      </w:pPr>
      <w:r>
        <w:rPr>
          <w:rStyle w:val="EnlacedeInternet"/>
          <w:rFonts w:cs="Tahoma" w:ascii="Tahoma" w:hAnsi="Tahoma"/>
          <w:sz w:val="20"/>
          <w:szCs w:val="20"/>
        </w:rPr>
        <w:t>Damaris Vargas V</w:t>
      </w:r>
      <w:r>
        <w:rPr>
          <w:rFonts w:cs="Tahoma" w:ascii="Tahoma" w:hAnsi="Tahoma"/>
          <w:sz w:val="20"/>
          <w:szCs w:val="20"/>
        </w:rPr>
        <w:t xml:space="preserve">ásquez </w:t>
      </w:r>
    </w:p>
    <w:p>
      <w:pPr>
        <w:pStyle w:val="Cuerpodetexto"/>
        <w:rPr>
          <w:rFonts w:ascii="Tahoma" w:hAnsi="Tahoma" w:cs="Tahoma"/>
          <w:sz w:val="20"/>
          <w:szCs w:val="20"/>
        </w:rPr>
      </w:pPr>
      <w:r>
        <w:rPr>
          <w:rFonts w:cs="Tahoma" w:ascii="Tahoma" w:hAnsi="Tahoma"/>
          <w:sz w:val="20"/>
          <w:szCs w:val="20"/>
        </w:rPr>
        <w:t xml:space="preserve">Coordinadora Subcomisión Acceso a la Justicia de Pueblos Indígenas </w:t>
      </w:r>
    </w:p>
    <w:p>
      <w:pPr>
        <w:pStyle w:val="Cuerpodetexto"/>
        <w:rPr>
          <w:rFonts w:ascii="Tahoma" w:hAnsi="Tahoma" w:cs="Tahoma"/>
          <w:sz w:val="20"/>
          <w:szCs w:val="20"/>
        </w:rPr>
      </w:pPr>
      <w:r>
        <w:rPr>
          <w:rFonts w:cs="Tahoma" w:ascii="Tahoma" w:hAnsi="Tahoma"/>
          <w:sz w:val="20"/>
          <w:szCs w:val="20"/>
        </w:rPr>
        <w:t xml:space="preserve">Magistrada Sala Primera de la Corte Suprema de Justicia </w:t>
      </w:r>
    </w:p>
    <w:p>
      <w:pPr>
        <w:pStyle w:val="Cuerpodetexto"/>
        <w:rPr>
          <w:rFonts w:ascii="Tahoma" w:hAnsi="Tahoma" w:cs="Tahoma"/>
          <w:sz w:val="20"/>
          <w:szCs w:val="20"/>
        </w:rPr>
      </w:pPr>
      <w:r>
        <w:rPr>
          <w:rFonts w:cs="Tahoma" w:ascii="Tahoma" w:hAnsi="Tahoma"/>
          <w:sz w:val="20"/>
          <w:szCs w:val="20"/>
        </w:rPr>
        <w:t xml:space="preserve">Poder Judicial </w:t>
      </w:r>
    </w:p>
    <w:p>
      <w:pPr>
        <w:pStyle w:val="Normal"/>
        <w:spacing w:lineRule="auto" w:line="240" w:before="0" w:after="0"/>
        <w:ind w:right="-518" w:hanging="0"/>
        <w:jc w:val="both"/>
        <w:rPr>
          <w:rFonts w:ascii="Tahoma" w:hAnsi="Tahoma" w:cs="Tahoma"/>
          <w:sz w:val="20"/>
          <w:szCs w:val="20"/>
        </w:rPr>
      </w:pPr>
      <w:r>
        <w:rPr>
          <w:rFonts w:cs="Tahoma" w:ascii="Tahoma" w:hAnsi="Tahoma"/>
          <w:sz w:val="20"/>
          <w:szCs w:val="20"/>
        </w:rPr>
      </w:r>
    </w:p>
    <w:p>
      <w:pPr>
        <w:pStyle w:val="Normal"/>
        <w:spacing w:lineRule="auto" w:line="240" w:before="0" w:after="0"/>
        <w:ind w:right="27" w:hanging="0"/>
        <w:jc w:val="right"/>
        <w:rPr>
          <w:rFonts w:ascii="Tahoma" w:hAnsi="Tahoma" w:cs="Tahoma"/>
          <w:b/>
          <w:b/>
          <w:sz w:val="20"/>
          <w:szCs w:val="20"/>
          <w:lang w:val="es-ES"/>
        </w:rPr>
      </w:pPr>
      <w:r>
        <w:rPr>
          <w:rFonts w:cs="Tahoma" w:ascii="Tahoma" w:hAnsi="Tahoma"/>
          <w:b/>
          <w:sz w:val="20"/>
          <w:szCs w:val="20"/>
        </w:rPr>
        <w:t>Asunto:</w:t>
      </w:r>
      <w:r>
        <w:rPr>
          <w:rFonts w:cs="Tahoma" w:ascii="Tahoma" w:hAnsi="Tahoma"/>
          <w:sz w:val="20"/>
          <w:szCs w:val="20"/>
        </w:rPr>
        <w:t xml:space="preserve"> </w:t>
      </w:r>
      <w:r>
        <w:rPr>
          <w:rFonts w:cs="Tahoma" w:ascii="Tahoma" w:hAnsi="Tahoma"/>
          <w:b/>
          <w:bCs/>
          <w:sz w:val="20"/>
          <w:szCs w:val="20"/>
        </w:rPr>
        <w:t xml:space="preserve">Respuesta a oficio DVV-S1-018-2020 y otros, </w:t>
      </w:r>
      <w:r>
        <w:rPr>
          <w:rFonts w:cs="Tahoma" w:ascii="Tahoma" w:hAnsi="Tahoma"/>
          <w:b/>
          <w:sz w:val="20"/>
          <w:szCs w:val="20"/>
          <w:lang w:val="es-ES"/>
        </w:rPr>
        <w:t>sobre capacitaciones</w:t>
      </w:r>
    </w:p>
    <w:p>
      <w:pPr>
        <w:pStyle w:val="Normal"/>
        <w:spacing w:lineRule="auto" w:line="240" w:before="0" w:after="0"/>
        <w:ind w:right="27" w:hanging="0"/>
        <w:jc w:val="right"/>
        <w:rPr>
          <w:rFonts w:ascii="Tahoma" w:hAnsi="Tahoma" w:cs="Tahoma"/>
          <w:sz w:val="20"/>
          <w:szCs w:val="20"/>
        </w:rPr>
      </w:pPr>
      <w:r>
        <w:rPr>
          <w:rFonts w:cs="Tahoma" w:ascii="Tahoma" w:hAnsi="Tahoma"/>
          <w:b/>
          <w:sz w:val="20"/>
          <w:szCs w:val="20"/>
          <w:lang w:val="es-ES"/>
        </w:rPr>
        <w:t xml:space="preserve"> </w:t>
      </w:r>
      <w:r>
        <w:rPr>
          <w:rFonts w:cs="Tahoma" w:ascii="Tahoma" w:hAnsi="Tahoma"/>
          <w:b/>
          <w:sz w:val="20"/>
          <w:szCs w:val="20"/>
          <w:lang w:val="es-ES"/>
        </w:rPr>
        <w:t>en materia de Acceso a la Justicia para pueblos indígenas</w:t>
      </w:r>
      <w:r>
        <w:rPr>
          <w:rFonts w:cs="Tahoma" w:ascii="Tahoma" w:hAnsi="Tahoma"/>
          <w:sz w:val="20"/>
          <w:szCs w:val="20"/>
        </w:rPr>
        <w:t>.</w:t>
      </w:r>
    </w:p>
    <w:p>
      <w:pPr>
        <w:pStyle w:val="Normal"/>
        <w:spacing w:lineRule="auto" w:line="240" w:before="0" w:after="0"/>
        <w:ind w:right="27" w:hanging="0"/>
        <w:jc w:val="right"/>
        <w:rPr>
          <w:rFonts w:ascii="Tahoma" w:hAnsi="Tahoma" w:cs="Tahoma"/>
          <w:sz w:val="20"/>
          <w:szCs w:val="20"/>
        </w:rPr>
      </w:pPr>
      <w:r>
        <w:rPr>
          <w:rFonts w:cs="Tahoma" w:ascii="Tahoma" w:hAnsi="Tahoma"/>
          <w:sz w:val="20"/>
          <w:szCs w:val="20"/>
        </w:rPr>
      </w:r>
    </w:p>
    <w:p>
      <w:pPr>
        <w:pStyle w:val="Sinespaciado2"/>
        <w:ind w:right="-510" w:hanging="0"/>
        <w:rPr>
          <w:rFonts w:ascii="Tahoma" w:hAnsi="Tahoma" w:cs="Tahoma"/>
          <w:bCs/>
          <w:sz w:val="20"/>
          <w:szCs w:val="20"/>
        </w:rPr>
      </w:pPr>
      <w:r>
        <w:rPr>
          <w:rFonts w:cs="Tahoma" w:ascii="Tahoma" w:hAnsi="Tahoma"/>
          <w:bCs/>
          <w:sz w:val="20"/>
          <w:szCs w:val="20"/>
          <w:lang w:val="es-ES"/>
        </w:rPr>
        <w:t>Estimada señora:</w:t>
        <w:tab/>
      </w:r>
    </w:p>
    <w:p>
      <w:pPr>
        <w:pStyle w:val="Sinespaciado2"/>
        <w:jc w:val="both"/>
        <w:rPr>
          <w:rFonts w:ascii="Tahoma" w:hAnsi="Tahoma" w:cs="Tahoma"/>
          <w:sz w:val="20"/>
          <w:szCs w:val="20"/>
        </w:rPr>
      </w:pPr>
      <w:r>
        <w:rPr>
          <w:rFonts w:cs="Tahoma" w:ascii="Tahoma" w:hAnsi="Tahoma"/>
          <w:sz w:val="20"/>
          <w:szCs w:val="20"/>
        </w:rPr>
      </w:r>
    </w:p>
    <w:p>
      <w:pPr>
        <w:pStyle w:val="Sinespaciado2"/>
        <w:jc w:val="both"/>
        <w:rPr>
          <w:rFonts w:ascii="Tahoma" w:hAnsi="Tahoma" w:cs="Tahoma"/>
          <w:sz w:val="20"/>
          <w:szCs w:val="20"/>
        </w:rPr>
      </w:pPr>
      <w:r>
        <w:rPr>
          <w:rFonts w:cs="Tahoma" w:ascii="Tahoma" w:hAnsi="Tahoma"/>
          <w:sz w:val="20"/>
          <w:szCs w:val="20"/>
          <w:lang w:val="es-ES"/>
        </w:rPr>
        <w:t xml:space="preserve">Reciba un cordial saludo. </w:t>
      </w:r>
    </w:p>
    <w:p>
      <w:pPr>
        <w:pStyle w:val="Normal"/>
        <w:spacing w:lineRule="auto" w:line="240" w:beforeAutospacing="1" w:after="0"/>
        <w:jc w:val="both"/>
        <w:rPr>
          <w:rFonts w:ascii="Tahoma" w:hAnsi="Tahoma" w:cs="Tahoma"/>
          <w:i/>
          <w:i/>
          <w:sz w:val="20"/>
          <w:szCs w:val="20"/>
          <w:lang w:val="es-ES"/>
        </w:rPr>
      </w:pPr>
      <w:r>
        <w:rPr>
          <w:rFonts w:cs="Tahoma" w:ascii="Tahoma" w:hAnsi="Tahoma"/>
          <w:sz w:val="20"/>
          <w:szCs w:val="20"/>
          <w:lang w:val="es-ES"/>
        </w:rPr>
        <w:t xml:space="preserve">En respuesta a su oficio número </w:t>
      </w:r>
      <w:r>
        <w:rPr>
          <w:rFonts w:cs="Tahoma" w:ascii="Tahoma" w:hAnsi="Tahoma"/>
          <w:b/>
          <w:bCs/>
          <w:sz w:val="20"/>
          <w:szCs w:val="20"/>
          <w:lang w:val="es-ES"/>
        </w:rPr>
        <w:t>DVV-S1-018-2020</w:t>
      </w:r>
      <w:r>
        <w:rPr>
          <w:rFonts w:cs="Tahoma" w:ascii="Tahoma" w:hAnsi="Tahoma"/>
          <w:sz w:val="20"/>
          <w:szCs w:val="20"/>
          <w:lang w:val="es-ES"/>
        </w:rPr>
        <w:t xml:space="preserve">, de fecha 26 de febrero del presente año, en el que se solicita que la Escuela Judicial brinde un informe de avance del cumplimiento de la Circular 188-19, denominada </w:t>
      </w:r>
      <w:r>
        <w:rPr>
          <w:rFonts w:cs="Tahoma" w:ascii="Tahoma" w:hAnsi="Tahoma"/>
          <w:i/>
          <w:sz w:val="20"/>
          <w:szCs w:val="20"/>
          <w:lang w:val="es-ES"/>
        </w:rPr>
        <w:t xml:space="preserve">“20 ejes de acción, recomendados por la Comisión de Acceso a la Justicia, con ocasión del cumplimiento de las Medidas Cautelares N° 321-12 del 30 de abril de 2015, establecidas por la Comisión Interamericana de Derechos Humanos (CIDH) contra Costa Rica”. </w:t>
      </w:r>
    </w:p>
    <w:p>
      <w:pPr>
        <w:pStyle w:val="Normal"/>
        <w:spacing w:lineRule="auto" w:line="240" w:beforeAutospacing="1" w:after="0"/>
        <w:jc w:val="both"/>
        <w:rPr>
          <w:rFonts w:ascii="Tahoma" w:hAnsi="Tahoma" w:cs="Tahoma"/>
          <w:sz w:val="20"/>
          <w:szCs w:val="20"/>
        </w:rPr>
      </w:pPr>
      <w:r>
        <w:rPr>
          <w:rFonts w:cs="Tahoma" w:ascii="Tahoma" w:hAnsi="Tahoma"/>
          <w:iCs/>
          <w:sz w:val="20"/>
          <w:szCs w:val="20"/>
          <w:lang w:val="es-ES"/>
        </w:rPr>
        <w:t>Además, de los oficios</w:t>
      </w:r>
      <w:r>
        <w:rPr>
          <w:rFonts w:cs="Tahoma" w:ascii="Tahoma" w:hAnsi="Tahoma"/>
          <w:i/>
          <w:sz w:val="20"/>
          <w:szCs w:val="20"/>
          <w:lang w:val="es-ES"/>
        </w:rPr>
        <w:t xml:space="preserve"> </w:t>
      </w:r>
      <w:r>
        <w:rPr>
          <w:rFonts w:cs="Tahoma" w:ascii="Tahoma" w:hAnsi="Tahoma"/>
          <w:b/>
          <w:bCs/>
          <w:sz w:val="20"/>
          <w:szCs w:val="20"/>
        </w:rPr>
        <w:t>n°. CACC-290-2019</w:t>
      </w:r>
      <w:r>
        <w:rPr>
          <w:rFonts w:cs="Tahoma" w:ascii="Tahoma" w:hAnsi="Tahoma"/>
          <w:sz w:val="20"/>
          <w:szCs w:val="20"/>
        </w:rPr>
        <w:t xml:space="preserve">, del 19 de septiembre de 2019; n°. </w:t>
      </w:r>
      <w:r>
        <w:rPr>
          <w:rFonts w:cs="Tahoma" w:ascii="Tahoma" w:hAnsi="Tahoma"/>
          <w:b/>
          <w:bCs/>
          <w:sz w:val="20"/>
          <w:szCs w:val="20"/>
        </w:rPr>
        <w:t>CACC-358-2019</w:t>
      </w:r>
      <w:r>
        <w:rPr>
          <w:rFonts w:cs="Tahoma" w:ascii="Tahoma" w:hAnsi="Tahoma"/>
          <w:sz w:val="20"/>
          <w:szCs w:val="20"/>
        </w:rPr>
        <w:t xml:space="preserve">, del 21 de octubre de 2019;  n°. </w:t>
      </w:r>
      <w:r>
        <w:rPr>
          <w:rFonts w:cs="Tahoma" w:ascii="Tahoma" w:hAnsi="Tahoma"/>
          <w:b/>
          <w:bCs/>
          <w:sz w:val="20"/>
          <w:szCs w:val="20"/>
        </w:rPr>
        <w:t>CACC-359-2019</w:t>
      </w:r>
      <w:r>
        <w:rPr>
          <w:rFonts w:cs="Tahoma" w:ascii="Tahoma" w:hAnsi="Tahoma"/>
          <w:sz w:val="20"/>
          <w:szCs w:val="20"/>
        </w:rPr>
        <w:t xml:space="preserve">, del 21 de octubre de 2019;  n°. </w:t>
      </w:r>
      <w:r>
        <w:rPr>
          <w:rFonts w:cs="Tahoma" w:ascii="Tahoma" w:hAnsi="Tahoma"/>
          <w:b/>
          <w:bCs/>
          <w:sz w:val="20"/>
          <w:szCs w:val="20"/>
        </w:rPr>
        <w:t>CACC-36-2020</w:t>
      </w:r>
      <w:r>
        <w:rPr>
          <w:rFonts w:cs="Tahoma" w:ascii="Tahoma" w:hAnsi="Tahoma"/>
          <w:sz w:val="20"/>
          <w:szCs w:val="20"/>
        </w:rPr>
        <w:t xml:space="preserve">, del 22 de enero de 2020;  n°. </w:t>
      </w:r>
      <w:r>
        <w:rPr>
          <w:rFonts w:cs="Tahoma" w:ascii="Tahoma" w:hAnsi="Tahoma"/>
          <w:b/>
          <w:bCs/>
          <w:sz w:val="20"/>
          <w:szCs w:val="20"/>
        </w:rPr>
        <w:t>5991-19</w:t>
      </w:r>
      <w:r>
        <w:rPr>
          <w:rFonts w:cs="Tahoma" w:ascii="Tahoma" w:hAnsi="Tahoma"/>
          <w:sz w:val="20"/>
          <w:szCs w:val="20"/>
        </w:rPr>
        <w:t xml:space="preserve">, del 14 de junio de 2019, en donde se transcribe el acuerdo tomado por la Corte Plena, en la sesión n°. 20-19 del 27 de mayo del 2019, ARTÍCULO XIX;  n°. </w:t>
      </w:r>
      <w:r>
        <w:rPr>
          <w:rFonts w:cs="Tahoma" w:ascii="Tahoma" w:hAnsi="Tahoma"/>
          <w:b/>
          <w:bCs/>
          <w:sz w:val="20"/>
          <w:szCs w:val="20"/>
        </w:rPr>
        <w:t>6418-19</w:t>
      </w:r>
      <w:r>
        <w:rPr>
          <w:rFonts w:cs="Tahoma" w:ascii="Tahoma" w:hAnsi="Tahoma"/>
          <w:sz w:val="20"/>
          <w:szCs w:val="20"/>
        </w:rPr>
        <w:t xml:space="preserve">, del 26 de junio de 2019, en que se transcribe el acuerdo tomado por la Corte Plena, en la sesión n°. 25-19 del 24 de junio del año 2019, ARTÍCULO II.  </w:t>
      </w:r>
    </w:p>
    <w:p>
      <w:pPr>
        <w:pStyle w:val="Normal"/>
        <w:spacing w:lineRule="auto" w:line="240" w:beforeAutospacing="1" w:after="0"/>
        <w:jc w:val="both"/>
        <w:rPr>
          <w:rFonts w:ascii="Tahoma" w:hAnsi="Tahoma" w:cs="Tahoma"/>
          <w:sz w:val="20"/>
          <w:szCs w:val="20"/>
        </w:rPr>
      </w:pPr>
      <w:r>
        <w:rPr>
          <w:rFonts w:cs="Tahoma" w:ascii="Tahoma" w:hAnsi="Tahoma"/>
          <w:sz w:val="20"/>
          <w:szCs w:val="20"/>
        </w:rPr>
      </w:r>
    </w:p>
    <w:p>
      <w:pPr>
        <w:pStyle w:val="Normal"/>
        <w:spacing w:lineRule="auto" w:line="240" w:beforeAutospacing="1" w:after="0"/>
        <w:jc w:val="both"/>
        <w:rPr>
          <w:rFonts w:ascii="Tahoma" w:hAnsi="Tahoma" w:cs="Tahoma"/>
          <w:sz w:val="20"/>
          <w:szCs w:val="20"/>
          <w:lang w:val="es-ES"/>
        </w:rPr>
      </w:pPr>
      <w:r>
        <w:rPr>
          <w:rFonts w:cs="Tahoma" w:ascii="Tahoma" w:hAnsi="Tahoma"/>
          <w:sz w:val="20"/>
          <w:szCs w:val="20"/>
        </w:rPr>
        <w:t xml:space="preserve">Con respecto a los anteriores, </w:t>
      </w:r>
      <w:r>
        <w:rPr>
          <w:rFonts w:cs="Tahoma" w:ascii="Tahoma" w:hAnsi="Tahoma"/>
          <w:iCs/>
          <w:sz w:val="20"/>
          <w:szCs w:val="20"/>
          <w:lang w:val="es-ES"/>
        </w:rPr>
        <w:t xml:space="preserve">se adjunta el informe número </w:t>
      </w:r>
      <w:r>
        <w:rPr>
          <w:rFonts w:cs="Tahoma" w:ascii="Tahoma" w:hAnsi="Tahoma"/>
          <w:b/>
          <w:bCs/>
          <w:iCs/>
          <w:sz w:val="20"/>
          <w:szCs w:val="20"/>
          <w:lang w:val="es-ES"/>
        </w:rPr>
        <w:t>EJ-INF- 001-2020</w:t>
      </w:r>
      <w:r>
        <w:rPr>
          <w:rFonts w:cs="Tahoma" w:ascii="Tahoma" w:hAnsi="Tahoma"/>
          <w:iCs/>
          <w:sz w:val="20"/>
          <w:szCs w:val="20"/>
          <w:lang w:val="es-ES"/>
        </w:rPr>
        <w:t xml:space="preserve"> de la Escuela Judicial, junto con tres documentos anexos. </w:t>
      </w:r>
      <w:r>
        <w:rPr>
          <w:rFonts w:cs="Tahoma" w:ascii="Tahoma" w:hAnsi="Tahoma"/>
          <w:sz w:val="20"/>
          <w:szCs w:val="20"/>
          <w:lang w:val="es-ES"/>
        </w:rPr>
        <w:t>Recalcamos el compromiso adquirido por la Escuela Judicial en cuanto a las capacitaciones en el tema de Acceso a la Justicia para pueblos indígenas.</w:t>
      </w:r>
    </w:p>
    <w:p>
      <w:pPr>
        <w:pStyle w:val="Sinespaciado2"/>
        <w:jc w:val="both"/>
        <w:rPr>
          <w:rFonts w:ascii="Tahoma" w:hAnsi="Tahoma" w:cs="Tahoma"/>
          <w:sz w:val="20"/>
          <w:szCs w:val="20"/>
        </w:rPr>
      </w:pPr>
      <w:r>
        <w:rPr>
          <w:rFonts w:cs="Tahoma" w:ascii="Tahoma" w:hAnsi="Tahoma"/>
          <w:sz w:val="20"/>
          <w:szCs w:val="20"/>
        </w:rPr>
      </w:r>
    </w:p>
    <w:p>
      <w:pPr>
        <w:pStyle w:val="Cuerpodetexto"/>
        <w:ind w:right="-518" w:hanging="0"/>
        <w:jc w:val="both"/>
        <w:rPr>
          <w:rFonts w:ascii="Tahoma" w:hAnsi="Tahoma" w:cs="Tahoma"/>
          <w:sz w:val="20"/>
          <w:szCs w:val="20"/>
        </w:rPr>
      </w:pPr>
      <w:r>
        <w:rPr>
          <w:rFonts w:cs="Tahoma" w:ascii="Tahoma" w:hAnsi="Tahoma"/>
          <w:sz w:val="20"/>
          <w:szCs w:val="20"/>
        </w:rPr>
        <w:t xml:space="preserve">Sin otro particular, </w:t>
      </w:r>
    </w:p>
    <w:p>
      <w:pPr>
        <w:pStyle w:val="Cuerpodetexto"/>
        <w:ind w:right="-518" w:hanging="0"/>
        <w:jc w:val="both"/>
        <w:rPr>
          <w:rFonts w:ascii="Tahoma" w:hAnsi="Tahoma" w:cs="Tahoma"/>
          <w:sz w:val="20"/>
          <w:szCs w:val="20"/>
        </w:rPr>
      </w:pPr>
      <w:r>
        <w:rPr>
          <w:rFonts w:cs="Tahoma" w:ascii="Tahoma" w:hAnsi="Tahoma"/>
          <w:sz w:val="20"/>
          <w:szCs w:val="20"/>
        </w:rPr>
      </w:r>
    </w:p>
    <w:p>
      <w:pPr>
        <w:pStyle w:val="Normal"/>
        <w:spacing w:lineRule="auto" w:line="240" w:before="0" w:after="0"/>
        <w:jc w:val="center"/>
        <w:rPr>
          <w:rFonts w:ascii="Tahoma" w:hAnsi="Tahoma" w:cs="Tahoma"/>
          <w:sz w:val="20"/>
          <w:szCs w:val="20"/>
        </w:rPr>
      </w:pPr>
      <w:r>
        <w:rPr>
          <w:rFonts w:cs="Tahoma" w:ascii="Tahoma" w:hAnsi="Tahoma"/>
          <w:b/>
          <w:bCs/>
          <w:sz w:val="20"/>
          <w:szCs w:val="20"/>
        </w:rPr>
        <w:t>Licda. Rebeca Guardia Morales</w:t>
      </w:r>
    </w:p>
    <w:p>
      <w:pPr>
        <w:pStyle w:val="Normal"/>
        <w:spacing w:lineRule="auto" w:line="240" w:before="0" w:after="0"/>
        <w:jc w:val="center"/>
        <w:rPr>
          <w:rFonts w:ascii="Tahoma" w:hAnsi="Tahoma" w:eastAsia="Arial" w:cs="Tahoma"/>
          <w:color w:val="000000"/>
          <w:kern w:val="2"/>
          <w:sz w:val="20"/>
          <w:szCs w:val="20"/>
          <w:lang w:val="es-ES" w:eastAsia="ar-SA"/>
        </w:rPr>
      </w:pPr>
      <w:r>
        <w:rPr>
          <w:rFonts w:cs="Tahoma" w:ascii="Tahoma" w:hAnsi="Tahoma"/>
          <w:sz w:val="20"/>
          <w:szCs w:val="20"/>
        </w:rPr>
        <w:t xml:space="preserve">Directora a.i., </w:t>
      </w:r>
      <w:r>
        <w:rPr>
          <w:rFonts w:eastAsia="Arial" w:cs="Tahoma" w:ascii="Tahoma" w:hAnsi="Tahoma"/>
          <w:color w:val="000000"/>
          <w:kern w:val="2"/>
          <w:sz w:val="20"/>
          <w:szCs w:val="20"/>
          <w:lang w:val="es-ES" w:eastAsia="ar-SA"/>
        </w:rPr>
        <w:t>Escuela Judicial</w:t>
      </w:r>
    </w:p>
    <w:p>
      <w:pPr>
        <w:pStyle w:val="Normal"/>
        <w:spacing w:lineRule="auto" w:line="240" w:before="0" w:after="0"/>
        <w:jc w:val="center"/>
        <w:rPr>
          <w:rFonts w:ascii="Tahoma" w:hAnsi="Tahoma" w:cs="Tahoma"/>
          <w:sz w:val="20"/>
          <w:szCs w:val="20"/>
        </w:rPr>
      </w:pPr>
      <w:r>
        <w:rPr>
          <w:rFonts w:cs="Tahoma" w:ascii="Tahoma" w:hAnsi="Tahoma"/>
          <w:sz w:val="20"/>
          <w:szCs w:val="20"/>
        </w:rPr>
      </w:r>
    </w:p>
    <w:p>
      <w:pPr>
        <w:pStyle w:val="NormalWeb"/>
        <w:spacing w:before="0" w:after="0"/>
        <w:rPr>
          <w:rFonts w:ascii="Tahoma" w:hAnsi="Tahoma" w:cs="Tahoma"/>
          <w:sz w:val="20"/>
          <w:szCs w:val="20"/>
        </w:rPr>
      </w:pPr>
      <w:r>
        <w:rPr>
          <w:rFonts w:eastAsia="Arial" w:cs="Tahoma" w:ascii="Tahoma" w:hAnsi="Tahoma"/>
          <w:color w:val="000000"/>
          <w:sz w:val="20"/>
          <w:szCs w:val="20"/>
          <w:lang w:eastAsia="ar-SA"/>
        </w:rPr>
        <w:t>C. -</w:t>
      </w:r>
      <w:r>
        <w:rPr>
          <w:rFonts w:cs="Tahoma" w:ascii="Tahoma" w:hAnsi="Tahoma"/>
          <w:sz w:val="20"/>
          <w:szCs w:val="20"/>
        </w:rPr>
        <w:t>Máster Melissa Benavides Víquez, Coordinadora, Unidad de Acceso a la Justicia.</w:t>
      </w:r>
    </w:p>
    <w:p>
      <w:pPr>
        <w:pStyle w:val="NormalWeb"/>
        <w:spacing w:before="0" w:after="0"/>
        <w:rPr>
          <w:rFonts w:ascii="Tahoma" w:hAnsi="Tahoma" w:cs="Tahoma"/>
          <w:sz w:val="20"/>
          <w:szCs w:val="20"/>
        </w:rPr>
      </w:pPr>
      <w:r>
        <w:rPr>
          <w:rFonts w:cs="Tahoma" w:ascii="Tahoma" w:hAnsi="Tahoma"/>
          <w:sz w:val="20"/>
          <w:szCs w:val="20"/>
        </w:rPr>
        <w:t xml:space="preserve">    </w:t>
      </w:r>
      <w:r>
        <w:rPr>
          <w:rFonts w:cs="Tahoma" w:ascii="Tahoma" w:hAnsi="Tahoma"/>
          <w:sz w:val="20"/>
          <w:szCs w:val="20"/>
        </w:rPr>
        <w:t>-Mag. William Molinari Vílchez, presidente del Consejo Directivo de la Escuela Judicial.</w:t>
      </w:r>
    </w:p>
    <w:p>
      <w:pPr>
        <w:pStyle w:val="NormalWeb"/>
        <w:spacing w:before="0" w:after="0"/>
        <w:rPr>
          <w:rFonts w:ascii="Tahoma" w:hAnsi="Tahoma" w:cs="Tahoma"/>
          <w:sz w:val="20"/>
          <w:szCs w:val="20"/>
        </w:rPr>
      </w:pPr>
      <w:r>
        <w:rPr>
          <w:rFonts w:cs="Tahoma" w:ascii="Tahoma" w:hAnsi="Tahoma"/>
          <w:sz w:val="20"/>
          <w:szCs w:val="20"/>
        </w:rPr>
        <w:t xml:space="preserve">    </w:t>
      </w:r>
      <w:r>
        <w:rPr>
          <w:rFonts w:cs="Tahoma" w:ascii="Tahoma" w:hAnsi="Tahoma"/>
          <w:sz w:val="20"/>
          <w:szCs w:val="20"/>
        </w:rPr>
        <w:t>-Consejo Superior del Poder Judicial.</w:t>
      </w:r>
    </w:p>
    <w:p>
      <w:pPr>
        <w:pStyle w:val="Normal"/>
        <w:spacing w:lineRule="auto" w:line="240" w:before="0" w:after="0"/>
        <w:rPr>
          <w:rFonts w:ascii="Tahoma" w:hAnsi="Tahoma" w:cs="Tahoma"/>
          <w:sz w:val="20"/>
          <w:szCs w:val="20"/>
        </w:rPr>
      </w:pPr>
      <w:r>
        <w:rPr>
          <w:rFonts w:eastAsia="Arial" w:cs="Tahoma" w:ascii="Tahoma" w:hAnsi="Tahoma"/>
          <w:color w:val="000000"/>
          <w:sz w:val="20"/>
          <w:szCs w:val="20"/>
          <w:lang w:eastAsia="ar-SA"/>
        </w:rPr>
        <w:t xml:space="preserve">    </w:t>
      </w:r>
      <w:r>
        <w:rPr>
          <w:rFonts w:eastAsia="Arial" w:cs="Tahoma" w:ascii="Tahoma" w:hAnsi="Tahoma"/>
          <w:color w:val="000000"/>
          <w:sz w:val="20"/>
          <w:szCs w:val="20"/>
          <w:lang w:eastAsia="ar-SA"/>
        </w:rPr>
        <w:t>-Arch. Consec.</w:t>
      </w:r>
    </w:p>
    <w:p>
      <w:pPr>
        <w:pStyle w:val="Normal"/>
        <w:tabs>
          <w:tab w:val="clear" w:pos="708"/>
          <w:tab w:val="left" w:pos="0" w:leader="none"/>
        </w:tabs>
        <w:spacing w:lineRule="auto" w:line="240" w:before="0" w:after="0"/>
        <w:rPr>
          <w:rFonts w:ascii="Tahoma" w:hAnsi="Tahoma" w:cs="Tahoma"/>
          <w:sz w:val="20"/>
          <w:szCs w:val="20"/>
        </w:rPr>
      </w:pPr>
      <w:r>
        <w:rPr>
          <w:rFonts w:eastAsia="Arial" w:cs="Tahoma" w:ascii="Tahoma" w:hAnsi="Tahoma"/>
          <w:color w:val="000000"/>
          <w:sz w:val="20"/>
          <w:szCs w:val="20"/>
          <w:lang w:eastAsia="ar-SA"/>
        </w:rPr>
        <w:t>fam</w:t>
      </w:r>
    </w:p>
    <w:p>
      <w:pPr>
        <w:pStyle w:val="Cuerpodetexto"/>
        <w:ind w:left="8052" w:right="-518" w:hanging="0"/>
        <w:jc w:val="both"/>
        <w:rPr>
          <w:rFonts w:ascii="Tahoma" w:hAnsi="Tahoma" w:eastAsia="Arial" w:cs="Tahoma"/>
          <w:color w:val="000000"/>
          <w:sz w:val="20"/>
          <w:szCs w:val="20"/>
          <w:lang w:eastAsia="ar-SA"/>
        </w:rPr>
      </w:pPr>
      <w:r>
        <w:rPr>
          <w:rFonts w:eastAsia="Arial" w:cs="Tahoma" w:ascii="Tahoma" w:hAnsi="Tahoma"/>
          <w:color w:val="000000"/>
          <w:sz w:val="20"/>
          <w:szCs w:val="20"/>
          <w:lang w:eastAsia="ar-SA"/>
        </w:rPr>
      </w:r>
    </w:p>
    <w:p>
      <w:pPr>
        <w:pStyle w:val="Normal"/>
        <w:rPr>
          <w:rFonts w:ascii="Tahoma" w:hAnsi="Tahoma" w:cs="Tahoma"/>
          <w:b/>
          <w:b/>
          <w:i/>
          <w:i/>
          <w:sz w:val="20"/>
          <w:szCs w:val="20"/>
          <w:lang w:val="es-ES"/>
        </w:rPr>
      </w:pPr>
      <w:r>
        <w:rPr>
          <w:rFonts w:cs="Tahoma" w:ascii="Tahoma" w:hAnsi="Tahoma"/>
          <w:b/>
          <w:i/>
          <w:sz w:val="20"/>
          <w:szCs w:val="20"/>
          <w:highlight w:val="yellow"/>
          <w:lang w:val="es-ES"/>
        </w:rPr>
        <w:t>Se adjuntan los archivos pertinentes. ANEXOS.</w:t>
      </w:r>
    </w:p>
    <w:p>
      <w:pPr>
        <w:pStyle w:val="Normal"/>
        <w:rPr>
          <w:rFonts w:ascii="Tahoma" w:hAnsi="Tahoma" w:cs="Tahoma"/>
          <w:b/>
          <w:b/>
          <w:i/>
          <w:i/>
          <w:sz w:val="20"/>
          <w:szCs w:val="20"/>
          <w:lang w:val="es-ES"/>
        </w:rPr>
      </w:pPr>
      <w:r>
        <w:rPr/>
        <w:object>
          <v:shape id="ole_rId27" style="width:75.45pt;height:48pt" o:ole="">
            <v:imagedata r:id="rId28" o:title=""/>
          </v:shape>
          <o:OLEObject Type="Embed" ProgID="AcroExch.Document.DC" ShapeID="ole_rId27" DrawAspect="Icon" ObjectID="_2027856731" r:id="rId27"/>
        </w:object>
      </w:r>
      <w:bookmarkStart w:id="51" w:name="_MON_1645009108"/>
      <w:bookmarkEnd w:id="51"/>
      <w:r>
        <w:rPr/>
        <w:object>
          <v:shape id="ole_rId29" style="width:75.45pt;height:48pt" o:ole="">
            <v:imagedata r:id="rId30" o:title=""/>
          </v:shape>
          <o:OLEObject Type="Embed" ProgID="Word.Document.8" ShapeID="ole_rId29" DrawAspect="Icon" ObjectID="_1167116158" r:id="rId29"/>
        </w:object>
      </w:r>
      <w:bookmarkStart w:id="52" w:name="_MON_1645009121"/>
      <w:bookmarkEnd w:id="52"/>
      <w:r>
        <w:rPr/>
        <w:object>
          <v:shape id="ole_rId31" style="width:75.45pt;height:48pt" o:ole="">
            <v:imagedata r:id="rId32" o:title=""/>
          </v:shape>
          <o:OLEObject Type="Embed" ProgID="Word.Document.8" ShapeID="ole_rId31" DrawAspect="Icon" ObjectID="_1154523775" r:id="rId31"/>
        </w:object>
      </w:r>
      <w:bookmarkStart w:id="53" w:name="_MON_1645009134"/>
      <w:bookmarkEnd w:id="53"/>
      <w:r>
        <w:rPr/>
        <w:object>
          <v:shape id="ole_rId33" style="width:75.45pt;height:48pt" o:ole="">
            <v:imagedata r:id="rId34" o:title=""/>
          </v:shape>
          <o:OLEObject Type="Embed" ProgID="Word.Document.8" ShapeID="ole_rId33" DrawAspect="Icon" ObjectID="_879804434" r:id="rId33"/>
        </w:object>
      </w:r>
      <w:bookmarkStart w:id="54" w:name="_MON_1645009153"/>
      <w:bookmarkEnd w:id="54"/>
      <w:r>
        <w:rPr/>
        <w:object>
          <v:shape id="ole_rId35" style="width:75.45pt;height:48pt" o:ole="">
            <v:imagedata r:id="rId36" o:title=""/>
          </v:shape>
          <o:OLEObject Type="Embed" ProgID="Word.Document.8" ShapeID="ole_rId35" DrawAspect="Icon" ObjectID="_94578884" r:id="rId35"/>
        </w:object>
      </w:r>
      <w:bookmarkStart w:id="55" w:name="_MON_1645009166"/>
      <w:bookmarkEnd w:id="55"/>
      <w:r>
        <w:rPr/>
        <w:object>
          <v:shape id="ole_rId37" style="width:75.45pt;height:48pt" o:ole="">
            <v:imagedata r:id="rId38" o:title=""/>
          </v:shape>
          <o:OLEObject Type="Embed" ProgID="Word.Document.8" ShapeID="ole_rId37" DrawAspect="Icon" ObjectID="_624284012" r:id="rId37"/>
        </w:object>
      </w:r>
    </w:p>
    <w:p>
      <w:pPr>
        <w:pStyle w:val="Cuerpodetexto"/>
        <w:rPr>
          <w:rFonts w:ascii="Tahoma" w:hAnsi="Tahoma" w:cs="Tahoma"/>
          <w:sz w:val="20"/>
          <w:szCs w:val="20"/>
        </w:rPr>
      </w:pPr>
      <w:r>
        <w:rPr>
          <w:rFonts w:cs="Tahoma" w:ascii="Tahoma" w:hAnsi="Tahoma"/>
          <w:sz w:val="20"/>
          <w:szCs w:val="20"/>
        </w:rPr>
      </w:r>
    </w:p>
    <w:p>
      <w:pPr>
        <w:pStyle w:val="Cuerpodetexto"/>
        <w:rPr>
          <w:rFonts w:ascii="Tahoma" w:hAnsi="Tahoma" w:cs="Tahoma"/>
          <w:sz w:val="20"/>
          <w:szCs w:val="20"/>
        </w:rPr>
      </w:pPr>
      <w:r>
        <w:rPr>
          <w:rFonts w:cs="Tahoma" w:ascii="Tahoma" w:hAnsi="Tahoma"/>
          <w:sz w:val="20"/>
          <w:szCs w:val="20"/>
        </w:rPr>
      </w:r>
    </w:p>
    <w:p>
      <w:pPr>
        <w:pStyle w:val="Normal"/>
        <w:spacing w:lineRule="auto" w:line="360"/>
        <w:rPr>
          <w:rFonts w:ascii="Tahoma" w:hAnsi="Tahoma" w:cs="Tahoma"/>
          <w:b/>
          <w:b/>
          <w:i/>
          <w:i/>
          <w:sz w:val="20"/>
          <w:szCs w:val="20"/>
          <w:u w:val="single"/>
        </w:rPr>
      </w:pPr>
      <w:r>
        <w:rPr>
          <w:rFonts w:cs="Tahoma" w:ascii="Tahoma" w:hAnsi="Tahoma"/>
          <w:b/>
          <w:i/>
          <w:sz w:val="20"/>
          <w:szCs w:val="20"/>
          <w:u w:val="single"/>
        </w:rPr>
      </w:r>
    </w:p>
    <w:p>
      <w:pPr>
        <w:pStyle w:val="Normal"/>
        <w:spacing w:lineRule="auto" w:line="360"/>
        <w:rPr>
          <w:rFonts w:ascii="Tahoma" w:hAnsi="Tahoma" w:cs="Tahoma"/>
          <w:b/>
          <w:b/>
          <w:bCs/>
          <w:i/>
          <w:i/>
          <w:sz w:val="20"/>
          <w:szCs w:val="20"/>
          <w:u w:val="single"/>
        </w:rPr>
      </w:pPr>
      <w:r>
        <w:rPr>
          <w:rFonts w:cs="Tahoma" w:ascii="Tahoma" w:hAnsi="Tahoma"/>
          <w:b/>
          <w:i/>
          <w:sz w:val="20"/>
          <w:szCs w:val="20"/>
          <w:u w:val="single"/>
        </w:rPr>
        <w:t>RESPUESTA A LOS OFICIOS</w:t>
      </w:r>
      <w:r>
        <w:rPr>
          <w:rFonts w:cs="Tahoma" w:ascii="Tahoma" w:hAnsi="Tahoma"/>
          <w:b/>
          <w:bCs/>
          <w:i/>
          <w:sz w:val="20"/>
          <w:szCs w:val="20"/>
          <w:u w:val="single"/>
        </w:rPr>
        <w:t xml:space="preserve"> CACC-290-2019</w:t>
      </w:r>
      <w:r>
        <w:rPr>
          <w:rFonts w:cs="Tahoma" w:ascii="Tahoma" w:hAnsi="Tahoma"/>
          <w:b/>
          <w:i/>
          <w:sz w:val="20"/>
          <w:szCs w:val="20"/>
          <w:u w:val="single"/>
        </w:rPr>
        <w:t xml:space="preserve">, </w:t>
      </w:r>
      <w:r>
        <w:rPr>
          <w:rFonts w:cs="Tahoma" w:ascii="Tahoma" w:hAnsi="Tahoma"/>
          <w:b/>
          <w:bCs/>
          <w:i/>
          <w:sz w:val="20"/>
          <w:szCs w:val="20"/>
          <w:u w:val="single"/>
        </w:rPr>
        <w:t>CACC-358-2019, CACC-36-2020:</w:t>
      </w:r>
    </w:p>
    <w:p>
      <w:pPr>
        <w:pStyle w:val="Normal"/>
        <w:spacing w:before="0" w:after="29"/>
        <w:ind w:right="-518" w:hanging="0"/>
        <w:rPr>
          <w:rFonts w:ascii="Tahoma" w:hAnsi="Tahoma" w:cs="Tahoma"/>
          <w:b/>
          <w:b/>
          <w:i/>
          <w:i/>
          <w:sz w:val="20"/>
          <w:szCs w:val="20"/>
        </w:rPr>
      </w:pPr>
      <w:r>
        <w:rPr>
          <w:rFonts w:cs="Tahoma" w:ascii="Tahoma" w:hAnsi="Tahoma"/>
          <w:b/>
          <w:i/>
          <w:sz w:val="20"/>
          <w:szCs w:val="20"/>
        </w:rPr>
      </w:r>
    </w:p>
    <w:p>
      <w:pPr>
        <w:pStyle w:val="Normal"/>
        <w:spacing w:before="0" w:after="29"/>
        <w:ind w:right="-518" w:hanging="0"/>
        <w:rPr>
          <w:rFonts w:ascii="Tahoma" w:hAnsi="Tahoma" w:cs="Tahoma"/>
          <w:b/>
          <w:b/>
          <w:i/>
          <w:i/>
          <w:sz w:val="20"/>
          <w:szCs w:val="20"/>
        </w:rPr>
      </w:pPr>
      <w:r>
        <w:rPr>
          <w:rFonts w:cs="Tahoma" w:ascii="Tahoma" w:hAnsi="Tahoma"/>
          <w:b/>
          <w:i/>
          <w:sz w:val="20"/>
          <w:szCs w:val="20"/>
        </w:rPr>
        <w:t>EJ-INF-001-2020</w:t>
      </w:r>
    </w:p>
    <w:p>
      <w:pPr>
        <w:pStyle w:val="Normal"/>
        <w:spacing w:before="0" w:after="29"/>
        <w:ind w:right="-518" w:hanging="0"/>
        <w:rPr>
          <w:rFonts w:ascii="Tahoma" w:hAnsi="Tahoma" w:cs="Tahoma"/>
          <w:i/>
          <w:i/>
          <w:sz w:val="20"/>
          <w:szCs w:val="20"/>
        </w:rPr>
      </w:pPr>
      <w:r>
        <w:rPr>
          <w:rFonts w:cs="Tahoma" w:ascii="Tahoma" w:hAnsi="Tahoma"/>
          <w:b/>
          <w:i/>
          <w:sz w:val="20"/>
          <w:szCs w:val="20"/>
        </w:rPr>
        <w:t>27 de febrero de 2020</w:t>
      </w:r>
    </w:p>
    <w:p>
      <w:pPr>
        <w:pStyle w:val="Sinespaciado1"/>
        <w:spacing w:lineRule="auto" w:line="360"/>
        <w:jc w:val="both"/>
        <w:rPr>
          <w:rFonts w:ascii="Tahoma" w:hAnsi="Tahoma" w:cs="Tahoma"/>
          <w:i/>
          <w:i/>
          <w:sz w:val="20"/>
          <w:szCs w:val="20"/>
        </w:rPr>
      </w:pPr>
      <w:r>
        <w:rPr>
          <w:rFonts w:cs="Tahoma" w:ascii="Tahoma" w:hAnsi="Tahoma"/>
          <w:i/>
          <w:sz w:val="20"/>
          <w:szCs w:val="20"/>
        </w:rPr>
      </w:r>
    </w:p>
    <w:p>
      <w:pPr>
        <w:pStyle w:val="Sinespaciado1"/>
        <w:spacing w:lineRule="auto" w:line="360"/>
        <w:jc w:val="both"/>
        <w:rPr>
          <w:rFonts w:ascii="Tahoma" w:hAnsi="Tahoma" w:cs="Tahoma"/>
          <w:i/>
          <w:i/>
          <w:sz w:val="20"/>
          <w:szCs w:val="20"/>
        </w:rPr>
      </w:pPr>
      <w:r>
        <w:rPr>
          <w:rFonts w:cs="Tahoma" w:ascii="Tahoma" w:hAnsi="Tahoma"/>
          <w:i/>
          <w:sz w:val="20"/>
          <w:szCs w:val="20"/>
        </w:rPr>
      </w:r>
    </w:p>
    <w:p>
      <w:pPr>
        <w:pStyle w:val="Sinespaciado1"/>
        <w:spacing w:lineRule="auto" w:line="360"/>
        <w:jc w:val="center"/>
        <w:rPr>
          <w:rFonts w:ascii="Tahoma" w:hAnsi="Tahoma" w:cs="Tahoma"/>
          <w:i/>
          <w:i/>
          <w:sz w:val="20"/>
          <w:szCs w:val="20"/>
        </w:rPr>
      </w:pPr>
      <w:r>
        <w:rPr>
          <w:rFonts w:cs="Tahoma" w:ascii="Tahoma" w:hAnsi="Tahoma"/>
          <w:b/>
          <w:bCs/>
          <w:i/>
          <w:sz w:val="20"/>
          <w:szCs w:val="20"/>
          <w:lang w:val="es-ES"/>
        </w:rPr>
        <w:t>Informe de avance en cuanto a capacitaciones en el tema de</w:t>
      </w:r>
    </w:p>
    <w:p>
      <w:pPr>
        <w:pStyle w:val="Sinespaciado1"/>
        <w:spacing w:lineRule="auto" w:line="360"/>
        <w:jc w:val="center"/>
        <w:rPr>
          <w:rFonts w:ascii="Tahoma" w:hAnsi="Tahoma" w:cs="Tahoma"/>
          <w:i/>
          <w:i/>
          <w:sz w:val="20"/>
          <w:szCs w:val="20"/>
        </w:rPr>
      </w:pPr>
      <w:r>
        <w:rPr>
          <w:rFonts w:eastAsia="Arial" w:cs="Tahoma" w:ascii="Tahoma" w:hAnsi="Tahoma"/>
          <w:b/>
          <w:bCs/>
          <w:i/>
          <w:sz w:val="20"/>
          <w:szCs w:val="20"/>
          <w:lang w:val="es-ES"/>
        </w:rPr>
        <w:t xml:space="preserve"> </w:t>
      </w:r>
      <w:r>
        <w:rPr>
          <w:rFonts w:cs="Tahoma" w:ascii="Tahoma" w:hAnsi="Tahoma"/>
          <w:b/>
          <w:bCs/>
          <w:i/>
          <w:sz w:val="20"/>
          <w:szCs w:val="20"/>
          <w:lang w:val="es-ES"/>
        </w:rPr>
        <w:t>Acceso a la Justicia de pueblos indígenas.</w:t>
      </w:r>
    </w:p>
    <w:p>
      <w:pPr>
        <w:pStyle w:val="Sinespaciado1"/>
        <w:spacing w:lineRule="auto" w:line="360"/>
        <w:jc w:val="both"/>
        <w:rPr>
          <w:rFonts w:ascii="Tahoma" w:hAnsi="Tahoma" w:cs="Tahoma"/>
          <w:i/>
          <w:i/>
          <w:sz w:val="20"/>
          <w:szCs w:val="20"/>
        </w:rPr>
      </w:pPr>
      <w:r>
        <w:rPr>
          <w:rFonts w:cs="Tahoma" w:ascii="Tahoma" w:hAnsi="Tahoma"/>
          <w:i/>
          <w:sz w:val="20"/>
          <w:szCs w:val="20"/>
        </w:rPr>
      </w:r>
    </w:p>
    <w:p>
      <w:pPr>
        <w:pStyle w:val="Sinespaciado1"/>
        <w:spacing w:lineRule="auto" w:line="360"/>
        <w:jc w:val="both"/>
        <w:rPr>
          <w:rFonts w:ascii="Tahoma" w:hAnsi="Tahoma" w:cs="Tahoma"/>
          <w:i/>
          <w:i/>
          <w:sz w:val="20"/>
          <w:szCs w:val="20"/>
          <w:lang w:val="es-ES"/>
        </w:rPr>
      </w:pPr>
      <w:r>
        <w:rPr>
          <w:rFonts w:cs="Tahoma" w:ascii="Tahoma" w:hAnsi="Tahoma"/>
          <w:i/>
          <w:sz w:val="20"/>
          <w:szCs w:val="20"/>
          <w:lang w:val="es-ES"/>
        </w:rPr>
        <w:t>En razón de la Circular del Consejo Superior número 188-19, denominada “20 ejes de acción, recomendados por la Comisión de Acceso a la Justicia, con ocasión del cumplimiento de las Medidas Cautelares N° 321-12 del 30 de abril de 2015, establecidas por la Comisión Interamericana de Derechos Humanos (CIDH) contra Costa Rica”, la Escuela Judicial rinde el siguiente informe de avance en cuanto al plan de capacitación en el tema de Acceso a la Justicia de pueblos indígenas:</w:t>
      </w:r>
    </w:p>
    <w:p>
      <w:pPr>
        <w:pStyle w:val="Sinespaciado1"/>
        <w:spacing w:lineRule="auto" w:line="360"/>
        <w:jc w:val="both"/>
        <w:rPr>
          <w:rFonts w:ascii="Tahoma" w:hAnsi="Tahoma" w:cs="Tahoma"/>
          <w:i/>
          <w:i/>
          <w:sz w:val="20"/>
          <w:szCs w:val="20"/>
          <w:lang w:val="es-ES"/>
        </w:rPr>
      </w:pPr>
      <w:r>
        <w:rPr>
          <w:rFonts w:cs="Tahoma" w:ascii="Tahoma" w:hAnsi="Tahoma"/>
          <w:i/>
          <w:sz w:val="20"/>
          <w:szCs w:val="20"/>
          <w:lang w:val="es-ES"/>
        </w:rPr>
      </w:r>
    </w:p>
    <w:p>
      <w:pPr>
        <w:pStyle w:val="Sinespaciado1"/>
        <w:spacing w:lineRule="auto" w:line="360"/>
        <w:jc w:val="both"/>
        <w:rPr>
          <w:rFonts w:ascii="Tahoma" w:hAnsi="Tahoma" w:cs="Tahoma"/>
          <w:i/>
          <w:i/>
          <w:sz w:val="20"/>
          <w:szCs w:val="20"/>
          <w:lang w:val="es-ES"/>
        </w:rPr>
      </w:pPr>
      <w:r>
        <w:rPr>
          <w:rFonts w:cs="Tahoma" w:ascii="Tahoma" w:hAnsi="Tahoma"/>
          <w:i/>
          <w:sz w:val="20"/>
          <w:szCs w:val="20"/>
          <w:lang w:val="es-ES"/>
        </w:rPr>
      </w:r>
    </w:p>
    <w:p>
      <w:pPr>
        <w:pStyle w:val="Sinespaciado1"/>
        <w:spacing w:lineRule="auto" w:line="360"/>
        <w:jc w:val="both"/>
        <w:rPr>
          <w:rFonts w:ascii="Tahoma" w:hAnsi="Tahoma" w:cs="Tahoma"/>
          <w:i/>
          <w:i/>
          <w:sz w:val="20"/>
          <w:szCs w:val="20"/>
        </w:rPr>
      </w:pPr>
      <w:r>
        <w:rPr>
          <w:rFonts w:cs="Tahoma" w:ascii="Tahoma" w:hAnsi="Tahoma"/>
          <w:i/>
          <w:sz w:val="20"/>
          <w:szCs w:val="20"/>
        </w:rPr>
      </w:r>
    </w:p>
    <w:p>
      <w:pPr>
        <w:pStyle w:val="Sinespaciado1"/>
        <w:spacing w:lineRule="auto" w:line="360"/>
        <w:jc w:val="both"/>
        <w:rPr>
          <w:rFonts w:ascii="Tahoma" w:hAnsi="Tahoma" w:cs="Tahoma"/>
          <w:i/>
          <w:i/>
          <w:sz w:val="20"/>
          <w:szCs w:val="20"/>
        </w:rPr>
      </w:pPr>
      <w:r>
        <w:rPr>
          <w:rFonts w:cs="Tahoma" w:ascii="Tahoma" w:hAnsi="Tahoma"/>
          <w:i/>
          <w:sz w:val="20"/>
          <w:szCs w:val="20"/>
        </w:rPr>
      </w:r>
    </w:p>
    <w:p>
      <w:pPr>
        <w:pStyle w:val="Sinespaciado1"/>
        <w:numPr>
          <w:ilvl w:val="0"/>
          <w:numId w:val="24"/>
        </w:numPr>
        <w:tabs>
          <w:tab w:val="clear" w:pos="708"/>
          <w:tab w:val="left" w:pos="720" w:leader="none"/>
        </w:tabs>
        <w:spacing w:lineRule="auto" w:line="360"/>
        <w:ind w:left="720" w:hanging="360"/>
        <w:jc w:val="both"/>
        <w:rPr>
          <w:rFonts w:ascii="Tahoma" w:hAnsi="Tahoma" w:cs="Tahoma"/>
          <w:i/>
          <w:i/>
          <w:sz w:val="20"/>
          <w:szCs w:val="20"/>
        </w:rPr>
      </w:pPr>
      <w:r>
        <w:rPr>
          <w:rFonts w:cs="Tahoma" w:ascii="Tahoma" w:hAnsi="Tahoma"/>
          <w:b/>
          <w:bCs/>
          <w:i/>
          <w:color w:val="000000"/>
          <w:sz w:val="20"/>
          <w:szCs w:val="20"/>
          <w:lang w:val="es-ES"/>
        </w:rPr>
        <w:t>Programa de Formación Continua (PEC), Facultad de Derecho, Universidad de Costa Rica.</w:t>
      </w:r>
    </w:p>
    <w:p>
      <w:pPr>
        <w:pStyle w:val="Sinespaciado1"/>
        <w:spacing w:lineRule="auto" w:line="360"/>
        <w:ind w:left="720" w:hanging="0"/>
        <w:jc w:val="both"/>
        <w:rPr>
          <w:rFonts w:ascii="Tahoma" w:hAnsi="Tahoma" w:cs="Tahoma"/>
          <w:b/>
          <w:b/>
          <w:bCs/>
          <w:i/>
          <w:i/>
          <w:sz w:val="20"/>
          <w:szCs w:val="20"/>
        </w:rPr>
      </w:pPr>
      <w:r>
        <w:rPr>
          <w:rFonts w:cs="Tahoma" w:ascii="Tahoma" w:hAnsi="Tahoma"/>
          <w:b/>
          <w:bCs/>
          <w:i/>
          <w:sz w:val="20"/>
          <w:szCs w:val="20"/>
        </w:rPr>
      </w:r>
    </w:p>
    <w:p>
      <w:pPr>
        <w:pStyle w:val="Sinespaciado1"/>
        <w:spacing w:lineRule="auto" w:line="360"/>
        <w:jc w:val="both"/>
        <w:rPr>
          <w:rFonts w:ascii="Tahoma" w:hAnsi="Tahoma" w:cs="Tahoma"/>
          <w:i/>
          <w:i/>
          <w:sz w:val="20"/>
          <w:szCs w:val="20"/>
        </w:rPr>
      </w:pPr>
      <w:r>
        <w:rPr>
          <w:rFonts w:cs="Tahoma" w:ascii="Tahoma" w:hAnsi="Tahoma"/>
          <w:i/>
          <w:sz w:val="20"/>
          <w:szCs w:val="20"/>
          <w:lang w:val="es-ES"/>
        </w:rPr>
        <w:t xml:space="preserve">En la sesión nº 016-2019, del 23 de agosto del 2019, el Consejo Directivo de la Escuela Judicial tomó el acuerdo de que la capacitación para el año 2020 a través del Programa de Formación Continua en la Facultad de Derecho de la Universidad de Costa Rica, será destinada a atender las necesidades institucionales de capacitación en materia de Pueblos Indígenas. </w:t>
      </w:r>
    </w:p>
    <w:p>
      <w:pPr>
        <w:pStyle w:val="Sinespaciado1"/>
        <w:spacing w:lineRule="auto" w:line="360"/>
        <w:jc w:val="both"/>
        <w:rPr>
          <w:rFonts w:ascii="Tahoma" w:hAnsi="Tahoma" w:cs="Tahoma"/>
          <w:i/>
          <w:i/>
          <w:sz w:val="20"/>
          <w:szCs w:val="20"/>
          <w:lang w:val="es-ES"/>
        </w:rPr>
      </w:pPr>
      <w:r>
        <w:rPr>
          <w:rFonts w:cs="Tahoma" w:ascii="Tahoma" w:hAnsi="Tahoma"/>
          <w:i/>
          <w:sz w:val="20"/>
          <w:szCs w:val="20"/>
          <w:lang w:val="es-ES"/>
        </w:rPr>
        <w:t>Por esta razón, desde el año 2019 se ha coordinado con dicha Universidad la elaboración de un nuevo Programa de Especialización, que se impartirá en el año 2020. Por parte de la Escuela Judicial se  solicitó la inclusión de los temas de interés propuestos por la Subcomisión de Acceso a la Justicia de Pueblos Indígenas, así como la verificación de que en los contenidos de los diseños de las actividades académicas se incluyan los aspectos contemplados en el eje de acción número 10. La propuesta de este programa será presentada por dicha Universidad a la Escuela Judicial aproximadamente a mediados del mes de marzo del 2020. Y el inicio de su ejecución se encuentra programado aproximadamente para el mes de setiembre del 2020, en las instalaciones de la Universidad de Costa Rica.</w:t>
      </w:r>
    </w:p>
    <w:p>
      <w:pPr>
        <w:pStyle w:val="Sinespaciado1"/>
        <w:spacing w:lineRule="auto" w:line="360"/>
        <w:jc w:val="both"/>
        <w:rPr>
          <w:rFonts w:ascii="Tahoma" w:hAnsi="Tahoma" w:cs="Tahoma"/>
          <w:i/>
          <w:i/>
          <w:sz w:val="20"/>
          <w:szCs w:val="20"/>
          <w:lang w:val="es-ES"/>
        </w:rPr>
      </w:pPr>
      <w:r>
        <w:rPr>
          <w:rFonts w:cs="Tahoma" w:ascii="Tahoma" w:hAnsi="Tahoma"/>
          <w:i/>
          <w:sz w:val="20"/>
          <w:szCs w:val="20"/>
          <w:lang w:val="es-ES"/>
        </w:rPr>
      </w:r>
    </w:p>
    <w:p>
      <w:pPr>
        <w:pStyle w:val="Sinespaciado1"/>
        <w:numPr>
          <w:ilvl w:val="0"/>
          <w:numId w:val="25"/>
        </w:numPr>
        <w:spacing w:lineRule="auto" w:line="360"/>
        <w:jc w:val="both"/>
        <w:rPr>
          <w:rFonts w:ascii="Tahoma" w:hAnsi="Tahoma" w:cs="Tahoma"/>
          <w:i/>
          <w:i/>
          <w:sz w:val="20"/>
          <w:szCs w:val="20"/>
        </w:rPr>
      </w:pPr>
      <w:r>
        <w:rPr>
          <w:rFonts w:cs="Tahoma" w:ascii="Tahoma" w:hAnsi="Tahoma"/>
          <w:b/>
          <w:bCs/>
          <w:i/>
          <w:color w:val="000000"/>
          <w:sz w:val="20"/>
          <w:szCs w:val="20"/>
          <w:lang w:val="es-ES"/>
        </w:rPr>
        <w:t>Plan anual permanente de capacitación (art.10 de la Ley de Acceso a la Justicia de pueblos indígenas).</w:t>
      </w:r>
    </w:p>
    <w:p>
      <w:pPr>
        <w:pStyle w:val="Sinespaciado1"/>
        <w:spacing w:lineRule="auto" w:line="360"/>
        <w:ind w:left="720" w:hanging="0"/>
        <w:jc w:val="both"/>
        <w:rPr>
          <w:rFonts w:ascii="Tahoma" w:hAnsi="Tahoma" w:cs="Tahoma"/>
          <w:b/>
          <w:b/>
          <w:bCs/>
          <w:i/>
          <w:i/>
          <w:sz w:val="20"/>
          <w:szCs w:val="20"/>
        </w:rPr>
      </w:pPr>
      <w:r>
        <w:rPr>
          <w:rFonts w:cs="Tahoma" w:ascii="Tahoma" w:hAnsi="Tahoma"/>
          <w:b/>
          <w:bCs/>
          <w:i/>
          <w:sz w:val="20"/>
          <w:szCs w:val="20"/>
        </w:rPr>
      </w:r>
    </w:p>
    <w:p>
      <w:pPr>
        <w:pStyle w:val="Sinespaciado1"/>
        <w:spacing w:lineRule="auto" w:line="360"/>
        <w:ind w:left="720" w:hanging="0"/>
        <w:jc w:val="both"/>
        <w:rPr>
          <w:rFonts w:ascii="Tahoma" w:hAnsi="Tahoma" w:cs="Tahoma"/>
          <w:i/>
          <w:i/>
          <w:sz w:val="20"/>
          <w:szCs w:val="20"/>
        </w:rPr>
      </w:pPr>
      <w:r>
        <w:rPr>
          <w:rFonts w:cs="Tahoma" w:ascii="Tahoma" w:hAnsi="Tahoma"/>
          <w:b/>
          <w:bCs/>
          <w:i/>
          <w:color w:val="000000"/>
          <w:sz w:val="20"/>
          <w:szCs w:val="20"/>
          <w:u w:val="single"/>
          <w:lang w:val="es-ES"/>
        </w:rPr>
        <w:t>1. Curso virtual autoformativo.</w:t>
      </w:r>
    </w:p>
    <w:p>
      <w:pPr>
        <w:pStyle w:val="Sinespaciado1"/>
        <w:spacing w:lineRule="auto" w:line="360"/>
        <w:ind w:left="720" w:hanging="0"/>
        <w:jc w:val="both"/>
        <w:rPr>
          <w:rFonts w:ascii="Tahoma" w:hAnsi="Tahoma" w:cs="Tahoma"/>
          <w:b/>
          <w:b/>
          <w:bCs/>
          <w:i/>
          <w:i/>
          <w:sz w:val="20"/>
          <w:szCs w:val="20"/>
        </w:rPr>
      </w:pPr>
      <w:r>
        <w:rPr>
          <w:rFonts w:cs="Tahoma" w:ascii="Tahoma" w:hAnsi="Tahoma"/>
          <w:b/>
          <w:bCs/>
          <w:i/>
          <w:sz w:val="20"/>
          <w:szCs w:val="20"/>
        </w:rPr>
      </w:r>
    </w:p>
    <w:p>
      <w:pPr>
        <w:pStyle w:val="Sinespaciado1"/>
        <w:spacing w:lineRule="auto" w:line="360"/>
        <w:jc w:val="both"/>
        <w:rPr>
          <w:rFonts w:ascii="Tahoma" w:hAnsi="Tahoma" w:cs="Tahoma"/>
          <w:i/>
          <w:i/>
          <w:sz w:val="20"/>
          <w:szCs w:val="20"/>
        </w:rPr>
      </w:pPr>
      <w:r>
        <w:rPr>
          <w:rFonts w:cs="Tahoma" w:ascii="Tahoma" w:hAnsi="Tahoma"/>
          <w:i/>
          <w:sz w:val="20"/>
          <w:szCs w:val="20"/>
          <w:lang w:val="es-ES"/>
        </w:rPr>
        <w:t>A fin de cumplir con el objetivo de incorporar en la currícula de la Escuela Judicial, un plan anual permanente de capacitación, tal y como lo dispone el artículo 10 de la Ley de Acceso a la Justicia de pueblos indígenas, se ha proyectado para el año 2020 la elaboración de un curso virtual de autoformación dirigido a las personas funcionarias judiciales. Para el diseño de este curso contamos con la colaboración de personas especialistas en contenido, que de igual forma lo revisarán periódicamente a fin de mantener actualizada la información que allí se proporciona. Por su parte, la propuesta metodológica del curso estará a cargo de la Escuela Judicial. El mismo se construirá en la plataforma de cursos virtuales de nuestra institución, y su ejecución iniciará en cuanto se encuentre elaborado.</w:t>
      </w:r>
    </w:p>
    <w:p>
      <w:pPr>
        <w:pStyle w:val="Sinespaciado1"/>
        <w:spacing w:lineRule="auto" w:line="360"/>
        <w:jc w:val="both"/>
        <w:rPr>
          <w:rFonts w:ascii="Tahoma" w:hAnsi="Tahoma" w:cs="Tahoma"/>
          <w:i/>
          <w:i/>
          <w:sz w:val="20"/>
          <w:szCs w:val="20"/>
          <w:lang w:val="es-ES"/>
        </w:rPr>
      </w:pPr>
      <w:r>
        <w:rPr>
          <w:rFonts w:cs="Tahoma" w:ascii="Tahoma" w:hAnsi="Tahoma"/>
          <w:i/>
          <w:sz w:val="20"/>
          <w:szCs w:val="20"/>
          <w:lang w:val="es-ES"/>
        </w:rPr>
      </w:r>
    </w:p>
    <w:p>
      <w:pPr>
        <w:pStyle w:val="Sinespaciado1"/>
        <w:spacing w:lineRule="auto" w:line="360"/>
        <w:ind w:left="720" w:hanging="0"/>
        <w:jc w:val="both"/>
        <w:rPr>
          <w:rFonts w:ascii="Tahoma" w:hAnsi="Tahoma" w:cs="Tahoma"/>
          <w:i/>
          <w:i/>
          <w:sz w:val="20"/>
          <w:szCs w:val="20"/>
        </w:rPr>
      </w:pPr>
      <w:r>
        <w:rPr>
          <w:rFonts w:cs="Tahoma" w:ascii="Tahoma" w:hAnsi="Tahoma"/>
          <w:b/>
          <w:bCs/>
          <w:i/>
          <w:color w:val="000000"/>
          <w:sz w:val="20"/>
          <w:szCs w:val="20"/>
          <w:u w:val="single"/>
          <w:lang w:val="es-ES"/>
        </w:rPr>
        <w:t>2. Taller de inducción al tema de Acceso a la justicia de pueblos indígenas.</w:t>
      </w:r>
    </w:p>
    <w:p>
      <w:pPr>
        <w:pStyle w:val="Sinespaciado1"/>
        <w:spacing w:lineRule="auto" w:line="360"/>
        <w:ind w:left="720" w:hanging="0"/>
        <w:jc w:val="both"/>
        <w:rPr>
          <w:rFonts w:ascii="Tahoma" w:hAnsi="Tahoma" w:cs="Tahoma"/>
          <w:b/>
          <w:b/>
          <w:bCs/>
          <w:i/>
          <w:i/>
          <w:color w:val="000000"/>
          <w:sz w:val="20"/>
          <w:szCs w:val="20"/>
          <w:lang w:val="es-ES"/>
        </w:rPr>
      </w:pPr>
      <w:r>
        <w:rPr>
          <w:rFonts w:cs="Tahoma" w:ascii="Tahoma" w:hAnsi="Tahoma"/>
          <w:b/>
          <w:bCs/>
          <w:i/>
          <w:color w:val="000000"/>
          <w:sz w:val="20"/>
          <w:szCs w:val="20"/>
          <w:lang w:val="es-ES"/>
        </w:rPr>
      </w:r>
    </w:p>
    <w:p>
      <w:pPr>
        <w:pStyle w:val="Sinespaciado1"/>
        <w:spacing w:lineRule="auto" w:line="360"/>
        <w:jc w:val="both"/>
        <w:rPr>
          <w:rFonts w:ascii="Tahoma" w:hAnsi="Tahoma" w:cs="Tahoma"/>
          <w:i/>
          <w:i/>
          <w:sz w:val="20"/>
          <w:szCs w:val="20"/>
        </w:rPr>
      </w:pPr>
      <w:r>
        <w:rPr>
          <w:rFonts w:cs="Tahoma" w:ascii="Tahoma" w:hAnsi="Tahoma"/>
          <w:i/>
          <w:sz w:val="20"/>
          <w:szCs w:val="20"/>
          <w:lang w:val="es-ES"/>
        </w:rPr>
        <w:t>La Escuela Judicial trabaja en la elaboración de un taller presencial de inducción al tema de Acceso a la justicia de pueblos indígenas, con el fin de capacitar a poblaciones que requieren conocimientos inmediatos en el tema, tales como las personas que laboran en los Consultorios Jurídicos de la Universidad de Costa Rica, las personas traductoras e intérpretes de lenguas indígenas (de conformidad con el artículo 3 de la Ley de Acceso a la justicia de pueblos indígenas), y la población indígena en sí, especialmente la población indígena Malecu que ha solicitado expresamente su capacitación, mediante su representante, el señor Emigdio Cruz, y para lo cual se requerirá de la colaboración de las mismas personas traductoras e intérpretes.</w:t>
      </w:r>
    </w:p>
    <w:p>
      <w:pPr>
        <w:pStyle w:val="Sinespaciado1"/>
        <w:spacing w:lineRule="auto" w:line="360"/>
        <w:jc w:val="both"/>
        <w:rPr>
          <w:rFonts w:ascii="Tahoma" w:hAnsi="Tahoma" w:cs="Tahoma"/>
          <w:i/>
          <w:i/>
          <w:sz w:val="20"/>
          <w:szCs w:val="20"/>
        </w:rPr>
      </w:pPr>
      <w:r>
        <w:rPr>
          <w:rFonts w:cs="Tahoma" w:ascii="Tahoma" w:hAnsi="Tahoma"/>
          <w:i/>
          <w:sz w:val="20"/>
          <w:szCs w:val="20"/>
          <w:lang w:val="es-ES"/>
        </w:rPr>
        <w:t xml:space="preserve">Para esta labor, se cuenta con la lista oficial de personas traductoras e intérpretes, que asciende a la suma de 56 personas. </w:t>
      </w:r>
    </w:p>
    <w:p>
      <w:pPr>
        <w:pStyle w:val="Sinespaciado1"/>
        <w:spacing w:lineRule="auto" w:line="360"/>
        <w:jc w:val="both"/>
        <w:rPr>
          <w:rFonts w:ascii="Tahoma" w:hAnsi="Tahoma" w:cs="Tahoma"/>
          <w:i/>
          <w:i/>
          <w:sz w:val="20"/>
          <w:szCs w:val="20"/>
        </w:rPr>
      </w:pPr>
      <w:r>
        <w:rPr>
          <w:rFonts w:cs="Tahoma" w:ascii="Tahoma" w:hAnsi="Tahoma"/>
          <w:i/>
          <w:sz w:val="20"/>
          <w:szCs w:val="20"/>
          <w:lang w:val="es-ES"/>
        </w:rPr>
        <w:t>En cuanto a la población indígena Malecu, se le solicitó información detallada a la Comisión de Acceso a la Justicia, para determinar la cantidad de personas interesadas en esta capacitación.</w:t>
      </w:r>
    </w:p>
    <w:p>
      <w:pPr>
        <w:pStyle w:val="Sinespaciado1"/>
        <w:spacing w:lineRule="auto" w:line="360"/>
        <w:jc w:val="both"/>
        <w:rPr>
          <w:rFonts w:ascii="Tahoma" w:hAnsi="Tahoma" w:cs="Tahoma"/>
          <w:i/>
          <w:i/>
          <w:sz w:val="20"/>
          <w:szCs w:val="20"/>
          <w:lang w:val="es-ES"/>
        </w:rPr>
      </w:pPr>
      <w:r>
        <w:rPr>
          <w:rFonts w:cs="Tahoma" w:ascii="Tahoma" w:hAnsi="Tahoma"/>
          <w:i/>
          <w:sz w:val="20"/>
          <w:szCs w:val="20"/>
          <w:lang w:val="es-ES"/>
        </w:rPr>
      </w:r>
    </w:p>
    <w:p>
      <w:pPr>
        <w:pStyle w:val="Sinespaciado1"/>
        <w:spacing w:lineRule="auto" w:line="360"/>
        <w:jc w:val="both"/>
        <w:rPr>
          <w:rFonts w:ascii="Tahoma" w:hAnsi="Tahoma" w:cs="Tahoma"/>
          <w:i/>
          <w:i/>
          <w:sz w:val="20"/>
          <w:szCs w:val="20"/>
          <w:lang w:val="es-ES"/>
        </w:rPr>
      </w:pPr>
      <w:r>
        <w:rPr>
          <w:rFonts w:cs="Tahoma" w:ascii="Tahoma" w:hAnsi="Tahoma"/>
          <w:i/>
          <w:sz w:val="20"/>
          <w:szCs w:val="20"/>
          <w:lang w:val="es-ES"/>
        </w:rPr>
      </w:r>
    </w:p>
    <w:p>
      <w:pPr>
        <w:pStyle w:val="Sinespaciado1"/>
        <w:spacing w:lineRule="auto" w:line="360"/>
        <w:jc w:val="both"/>
        <w:rPr>
          <w:rFonts w:ascii="Tahoma" w:hAnsi="Tahoma" w:cs="Tahoma"/>
          <w:i/>
          <w:i/>
          <w:sz w:val="20"/>
          <w:szCs w:val="20"/>
        </w:rPr>
      </w:pPr>
      <w:r>
        <w:rPr>
          <w:rFonts w:cs="Tahoma" w:ascii="Tahoma" w:hAnsi="Tahoma"/>
          <w:i/>
          <w:sz w:val="20"/>
          <w:szCs w:val="20"/>
          <w:lang w:val="es-ES"/>
        </w:rPr>
        <w:t>En relación con este dato, se estaría considerando la propuesta de construir una red de formadores, con las mismas personas traductoras capacitadas.</w:t>
      </w:r>
    </w:p>
    <w:p>
      <w:pPr>
        <w:pStyle w:val="Sinespaciado1"/>
        <w:spacing w:lineRule="auto" w:line="360"/>
        <w:jc w:val="both"/>
        <w:rPr>
          <w:rFonts w:ascii="Tahoma" w:hAnsi="Tahoma" w:cs="Tahoma"/>
          <w:i/>
          <w:i/>
          <w:sz w:val="20"/>
          <w:szCs w:val="20"/>
          <w:lang w:val="es-ES"/>
        </w:rPr>
      </w:pPr>
      <w:r>
        <w:rPr>
          <w:rFonts w:cs="Tahoma" w:ascii="Tahoma" w:hAnsi="Tahoma"/>
          <w:i/>
          <w:sz w:val="20"/>
          <w:szCs w:val="20"/>
          <w:lang w:val="es-ES"/>
        </w:rPr>
        <w:t>A mediano plazo, tanto las personas colaboradoras en los Consultorios Jurídicos como las personas intérpretes y traductoras podrán ser incorporadas como participantes del curso virtual de autoformación indicado anteriormente.</w:t>
      </w:r>
    </w:p>
    <w:p>
      <w:pPr>
        <w:pStyle w:val="Sinespaciado1"/>
        <w:spacing w:lineRule="auto" w:line="360"/>
        <w:jc w:val="both"/>
        <w:rPr>
          <w:rFonts w:ascii="Tahoma" w:hAnsi="Tahoma" w:cs="Tahoma"/>
          <w:i/>
          <w:i/>
          <w:sz w:val="20"/>
          <w:szCs w:val="20"/>
          <w:lang w:val="es-ES"/>
        </w:rPr>
      </w:pPr>
      <w:r>
        <w:rPr>
          <w:rFonts w:cs="Tahoma" w:ascii="Tahoma" w:hAnsi="Tahoma"/>
          <w:i/>
          <w:sz w:val="20"/>
          <w:szCs w:val="20"/>
          <w:lang w:val="es-ES"/>
        </w:rPr>
      </w:r>
    </w:p>
    <w:p>
      <w:pPr>
        <w:pStyle w:val="Sinespaciado1"/>
        <w:spacing w:lineRule="auto" w:line="360"/>
        <w:jc w:val="both"/>
        <w:rPr>
          <w:rFonts w:ascii="Tahoma" w:hAnsi="Tahoma" w:cs="Tahoma"/>
          <w:i/>
          <w:i/>
          <w:sz w:val="20"/>
          <w:szCs w:val="20"/>
          <w:lang w:val="es-ES"/>
        </w:rPr>
      </w:pPr>
      <w:r>
        <w:rPr>
          <w:rFonts w:cs="Tahoma" w:ascii="Tahoma" w:hAnsi="Tahoma"/>
          <w:i/>
          <w:sz w:val="20"/>
          <w:szCs w:val="20"/>
          <w:lang w:val="es-ES"/>
        </w:rPr>
      </w:r>
    </w:p>
    <w:p>
      <w:pPr>
        <w:pStyle w:val="Sinespaciado1"/>
        <w:numPr>
          <w:ilvl w:val="0"/>
          <w:numId w:val="26"/>
        </w:numPr>
        <w:spacing w:lineRule="auto" w:line="360"/>
        <w:jc w:val="both"/>
        <w:rPr>
          <w:rFonts w:ascii="Tahoma" w:hAnsi="Tahoma" w:cs="Tahoma"/>
          <w:i/>
          <w:i/>
          <w:sz w:val="20"/>
          <w:szCs w:val="20"/>
        </w:rPr>
      </w:pPr>
      <w:r>
        <w:rPr>
          <w:rFonts w:cs="Tahoma" w:ascii="Tahoma" w:hAnsi="Tahoma"/>
          <w:b/>
          <w:bCs/>
          <w:i/>
          <w:color w:val="000000"/>
          <w:sz w:val="20"/>
          <w:szCs w:val="20"/>
          <w:lang w:val="es-ES"/>
        </w:rPr>
        <w:t>Ejecución de la propuesta de capacitación brindada por la Subcomisión de Acceso a la Justicia de pueblos indígenas.</w:t>
      </w:r>
    </w:p>
    <w:p>
      <w:pPr>
        <w:pStyle w:val="Sinespaciado1"/>
        <w:spacing w:lineRule="auto" w:line="360"/>
        <w:jc w:val="both"/>
        <w:rPr>
          <w:rFonts w:ascii="Tahoma" w:hAnsi="Tahoma" w:cs="Tahoma"/>
          <w:i/>
          <w:i/>
          <w:sz w:val="20"/>
          <w:szCs w:val="20"/>
          <w:lang w:val="es-ES"/>
        </w:rPr>
      </w:pPr>
      <w:r>
        <w:rPr>
          <w:rFonts w:cs="Tahoma" w:ascii="Tahoma" w:hAnsi="Tahoma"/>
          <w:i/>
          <w:sz w:val="20"/>
          <w:szCs w:val="20"/>
          <w:lang w:val="es-ES"/>
        </w:rPr>
      </w:r>
    </w:p>
    <w:p>
      <w:pPr>
        <w:pStyle w:val="Sinespaciado1"/>
        <w:spacing w:lineRule="auto" w:line="360"/>
        <w:jc w:val="both"/>
        <w:rPr>
          <w:rFonts w:ascii="Tahoma" w:hAnsi="Tahoma" w:cs="Tahoma"/>
          <w:i/>
          <w:i/>
          <w:sz w:val="20"/>
          <w:szCs w:val="20"/>
        </w:rPr>
      </w:pPr>
      <w:r>
        <w:rPr>
          <w:rFonts w:cs="Tahoma" w:ascii="Tahoma" w:hAnsi="Tahoma"/>
          <w:i/>
          <w:sz w:val="20"/>
          <w:szCs w:val="20"/>
          <w:lang w:val="es-ES"/>
        </w:rPr>
        <w:t xml:space="preserve">Con respecto a la propuesta de capacitación aportada por la Subcomisión de Acceso a la justicia de pueblos indígenas, la Escuela Judicial ha elaborado una propuesta metodológica para ejecutar cada capacitación, la cual se adjunta en este acto. </w:t>
      </w:r>
    </w:p>
    <w:p>
      <w:pPr>
        <w:pStyle w:val="Sinespaciado1"/>
        <w:spacing w:lineRule="auto" w:line="360"/>
        <w:jc w:val="both"/>
        <w:rPr>
          <w:rFonts w:ascii="Tahoma" w:hAnsi="Tahoma" w:cs="Tahoma"/>
          <w:i/>
          <w:i/>
          <w:sz w:val="20"/>
          <w:szCs w:val="20"/>
        </w:rPr>
      </w:pPr>
      <w:r>
        <w:rPr>
          <w:rFonts w:cs="Tahoma" w:ascii="Tahoma" w:hAnsi="Tahoma"/>
          <w:i/>
          <w:sz w:val="20"/>
          <w:szCs w:val="20"/>
          <w:lang w:val="es-ES"/>
        </w:rPr>
        <w:t>Seguidamente, se iniciará el diseño de las actividades, de acuerdo a las necesidades y complejidad de cada propuesta, y se procederá a calendarizar las mismas para iniciar su coordinación y ejecución en el año 2020.</w:t>
      </w:r>
    </w:p>
    <w:p>
      <w:pPr>
        <w:pStyle w:val="Sinespaciado1"/>
        <w:spacing w:lineRule="auto" w:line="360"/>
        <w:jc w:val="both"/>
        <w:rPr>
          <w:rFonts w:ascii="Tahoma" w:hAnsi="Tahoma" w:cs="Tahoma"/>
          <w:i/>
          <w:i/>
          <w:sz w:val="20"/>
          <w:szCs w:val="20"/>
        </w:rPr>
      </w:pPr>
      <w:r>
        <w:rPr>
          <w:rFonts w:cs="Tahoma" w:ascii="Tahoma" w:hAnsi="Tahoma"/>
          <w:i/>
          <w:sz w:val="20"/>
          <w:szCs w:val="20"/>
          <w:lang w:val="es-ES"/>
        </w:rPr>
        <w:t>Para el diseño de las actividades, la Escuela Judicial requiere la colaboración de al menos una persona especialista en la materia, por lo que se coordinará con esta Subcomisión, el aporte de dicha persona.</w:t>
      </w:r>
    </w:p>
    <w:p>
      <w:pPr>
        <w:pStyle w:val="Sinespaciado1"/>
        <w:spacing w:lineRule="auto" w:line="360"/>
        <w:jc w:val="both"/>
        <w:rPr>
          <w:rFonts w:ascii="Tahoma" w:hAnsi="Tahoma" w:cs="Tahoma"/>
          <w:i/>
          <w:i/>
          <w:sz w:val="20"/>
          <w:szCs w:val="20"/>
          <w:lang w:val="es-ES"/>
        </w:rPr>
      </w:pPr>
      <w:r>
        <w:rPr>
          <w:rFonts w:cs="Tahoma" w:ascii="Tahoma" w:hAnsi="Tahoma"/>
          <w:i/>
          <w:sz w:val="20"/>
          <w:szCs w:val="20"/>
          <w:lang w:val="es-ES"/>
        </w:rPr>
      </w:r>
    </w:p>
    <w:p>
      <w:pPr>
        <w:pStyle w:val="Sinespaciado1"/>
        <w:numPr>
          <w:ilvl w:val="0"/>
          <w:numId w:val="28"/>
        </w:numPr>
        <w:spacing w:lineRule="auto" w:line="360"/>
        <w:jc w:val="both"/>
        <w:rPr>
          <w:rFonts w:ascii="Tahoma" w:hAnsi="Tahoma" w:cs="Tahoma"/>
          <w:i/>
          <w:i/>
          <w:sz w:val="20"/>
          <w:szCs w:val="20"/>
        </w:rPr>
      </w:pPr>
      <w:r>
        <w:rPr>
          <w:rFonts w:cs="Tahoma" w:ascii="Tahoma" w:hAnsi="Tahoma"/>
          <w:b/>
          <w:bCs/>
          <w:i/>
          <w:color w:val="000000"/>
          <w:sz w:val="20"/>
          <w:szCs w:val="20"/>
          <w:lang w:val="es-ES"/>
        </w:rPr>
        <w:t>Diseño de actividades académicas.</w:t>
      </w:r>
    </w:p>
    <w:p>
      <w:pPr>
        <w:pStyle w:val="Sinespaciado1"/>
        <w:spacing w:lineRule="auto" w:line="360"/>
        <w:ind w:left="720" w:hanging="0"/>
        <w:jc w:val="both"/>
        <w:rPr>
          <w:rFonts w:ascii="Tahoma" w:hAnsi="Tahoma" w:cs="Tahoma"/>
          <w:b/>
          <w:b/>
          <w:bCs/>
          <w:i/>
          <w:i/>
          <w:color w:val="000000"/>
          <w:sz w:val="20"/>
          <w:szCs w:val="20"/>
          <w:lang w:val="es-ES"/>
        </w:rPr>
      </w:pPr>
      <w:r>
        <w:rPr>
          <w:rFonts w:cs="Tahoma" w:ascii="Tahoma" w:hAnsi="Tahoma"/>
          <w:b/>
          <w:bCs/>
          <w:i/>
          <w:color w:val="000000"/>
          <w:sz w:val="20"/>
          <w:szCs w:val="20"/>
          <w:lang w:val="es-ES"/>
        </w:rPr>
      </w:r>
    </w:p>
    <w:p>
      <w:pPr>
        <w:pStyle w:val="Sinespaciado1"/>
        <w:spacing w:lineRule="auto" w:line="360"/>
        <w:jc w:val="both"/>
        <w:rPr>
          <w:rFonts w:ascii="Tahoma" w:hAnsi="Tahoma" w:cs="Tahoma"/>
          <w:i/>
          <w:i/>
          <w:sz w:val="20"/>
          <w:szCs w:val="20"/>
          <w:lang w:val="es-ES"/>
        </w:rPr>
      </w:pPr>
      <w:r>
        <w:rPr>
          <w:rFonts w:cs="Tahoma" w:ascii="Tahoma" w:hAnsi="Tahoma"/>
          <w:i/>
          <w:sz w:val="20"/>
          <w:szCs w:val="20"/>
          <w:lang w:val="es-ES"/>
        </w:rPr>
        <w:t xml:space="preserve">De conformidad con lo estipulado en el eje de acción número 10, la Escuela Judicial solicita a las personas especialistas colaboradoras que verifiquen que los </w:t>
      </w:r>
      <w:r>
        <w:rPr>
          <w:rFonts w:cs="Tahoma" w:ascii="Tahoma" w:hAnsi="Tahoma"/>
          <w:bCs/>
          <w:i/>
          <w:sz w:val="20"/>
          <w:szCs w:val="20"/>
          <w:lang w:val="es-ES"/>
        </w:rPr>
        <w:t xml:space="preserve">contenidos de los </w:t>
      </w:r>
      <w:r>
        <w:rPr>
          <w:rFonts w:cs="Tahoma" w:ascii="Tahoma" w:hAnsi="Tahoma"/>
          <w:i/>
          <w:sz w:val="20"/>
          <w:szCs w:val="20"/>
          <w:lang w:val="es-ES"/>
        </w:rPr>
        <w:t>diseños de las capacitaciones en esta materia, incluyan la normativa internacional relativa a los derechos de las personas indígenas, leyes, jurisprudencia, y demás regulaciones de interés en este tema.</w:t>
      </w:r>
    </w:p>
    <w:p>
      <w:pPr>
        <w:pStyle w:val="Sinespaciado1"/>
        <w:spacing w:lineRule="auto" w:line="360"/>
        <w:jc w:val="both"/>
        <w:rPr>
          <w:rFonts w:ascii="Tahoma" w:hAnsi="Tahoma" w:cs="Tahoma"/>
          <w:i/>
          <w:i/>
          <w:sz w:val="20"/>
          <w:szCs w:val="20"/>
          <w:lang w:val="es-ES"/>
        </w:rPr>
      </w:pPr>
      <w:r>
        <w:rPr>
          <w:rFonts w:cs="Tahoma" w:ascii="Tahoma" w:hAnsi="Tahoma"/>
          <w:i/>
          <w:sz w:val="20"/>
          <w:szCs w:val="20"/>
          <w:lang w:val="es-ES"/>
        </w:rPr>
      </w:r>
    </w:p>
    <w:p>
      <w:pPr>
        <w:pStyle w:val="Sinespaciado1"/>
        <w:numPr>
          <w:ilvl w:val="0"/>
          <w:numId w:val="27"/>
        </w:numPr>
        <w:spacing w:lineRule="auto" w:line="360"/>
        <w:jc w:val="both"/>
        <w:rPr>
          <w:rFonts w:ascii="Tahoma" w:hAnsi="Tahoma" w:cs="Tahoma"/>
          <w:i/>
          <w:i/>
          <w:sz w:val="20"/>
          <w:szCs w:val="20"/>
        </w:rPr>
      </w:pPr>
      <w:r>
        <w:rPr>
          <w:rFonts w:cs="Tahoma" w:ascii="Tahoma" w:hAnsi="Tahoma"/>
          <w:b/>
          <w:bCs/>
          <w:i/>
          <w:color w:val="000000"/>
          <w:sz w:val="20"/>
          <w:szCs w:val="20"/>
          <w:lang w:val="es-ES"/>
        </w:rPr>
        <w:t>Población meta de las capacitaciones.</w:t>
      </w:r>
    </w:p>
    <w:p>
      <w:pPr>
        <w:pStyle w:val="Sinespaciado1"/>
        <w:spacing w:lineRule="auto" w:line="360"/>
        <w:ind w:left="720" w:hanging="0"/>
        <w:jc w:val="both"/>
        <w:rPr>
          <w:rFonts w:ascii="Tahoma" w:hAnsi="Tahoma" w:cs="Tahoma"/>
          <w:i/>
          <w:i/>
          <w:sz w:val="20"/>
          <w:szCs w:val="20"/>
        </w:rPr>
      </w:pPr>
      <w:r>
        <w:rPr>
          <w:rFonts w:cs="Tahoma" w:ascii="Tahoma" w:hAnsi="Tahoma"/>
          <w:i/>
          <w:sz w:val="20"/>
          <w:szCs w:val="20"/>
        </w:rPr>
      </w:r>
    </w:p>
    <w:p>
      <w:pPr>
        <w:pStyle w:val="Sinespaciado1"/>
        <w:spacing w:lineRule="auto" w:line="360"/>
        <w:jc w:val="both"/>
        <w:rPr>
          <w:rFonts w:ascii="Tahoma" w:hAnsi="Tahoma" w:cs="Tahoma"/>
          <w:i/>
          <w:i/>
          <w:sz w:val="20"/>
          <w:szCs w:val="20"/>
        </w:rPr>
      </w:pPr>
      <w:r>
        <w:rPr>
          <w:rFonts w:cs="Tahoma" w:ascii="Tahoma" w:hAnsi="Tahoma"/>
          <w:i/>
          <w:sz w:val="20"/>
          <w:szCs w:val="20"/>
          <w:lang w:val="es-ES"/>
        </w:rPr>
        <w:t>En cumplimiento de lo expuesto en el eje de acción número 9, el proceso de capacitación incluirá a personas juzgadoras, técnicas y coordinadoras judiciales, defensoras públicas, fiscalas, personal administrativo,  del  Organismo  de  Investigación Judicial,   entre  otros,   y se le dará prioridad   a las personas juzgadoras y personal técnico de los despachos donde se tramite la mayor cantidad de procesos vinculados con personas indígenas. Para ello se cuenta con el listado proporcionado por la Subcomisión de Acceso a la justicia de pueblos indígenas, según reporte de SIGMA, el cual se adjunta. Asimismo, en principio, se le dará prioridad a las personas servidoras judiciales de las Jurisdicciones Penal, Agrario y Contencioso Administrativo, de todas las instancias.</w:t>
      </w:r>
    </w:p>
    <w:p>
      <w:pPr>
        <w:pStyle w:val="Sinespaciado1"/>
        <w:spacing w:lineRule="auto" w:line="360"/>
        <w:jc w:val="both"/>
        <w:rPr>
          <w:rFonts w:ascii="Tahoma" w:hAnsi="Tahoma" w:cs="Tahoma"/>
          <w:i/>
          <w:i/>
          <w:sz w:val="20"/>
          <w:szCs w:val="20"/>
          <w:lang w:val="es-ES"/>
        </w:rPr>
      </w:pPr>
      <w:r>
        <w:rPr>
          <w:rFonts w:cs="Tahoma" w:ascii="Tahoma" w:hAnsi="Tahoma"/>
          <w:i/>
          <w:sz w:val="20"/>
          <w:szCs w:val="20"/>
          <w:lang w:val="es-ES"/>
        </w:rPr>
      </w:r>
    </w:p>
    <w:p>
      <w:pPr>
        <w:pStyle w:val="Sinespaciado1"/>
        <w:spacing w:lineRule="auto" w:line="360"/>
        <w:jc w:val="both"/>
        <w:rPr>
          <w:rFonts w:ascii="Tahoma" w:hAnsi="Tahoma" w:cs="Tahoma"/>
          <w:i/>
          <w:i/>
          <w:sz w:val="20"/>
          <w:szCs w:val="20"/>
        </w:rPr>
      </w:pPr>
      <w:r>
        <w:rPr>
          <w:rFonts w:eastAsia="Arial" w:cs="Tahoma" w:ascii="Tahoma" w:hAnsi="Tahoma"/>
          <w:i/>
          <w:sz w:val="20"/>
          <w:szCs w:val="20"/>
          <w:lang w:val="es-ES"/>
        </w:rPr>
        <w:t xml:space="preserve"> </w:t>
      </w:r>
      <w:r>
        <w:rPr>
          <w:rFonts w:cs="Tahoma" w:ascii="Tahoma" w:hAnsi="Tahoma"/>
          <w:i/>
          <w:sz w:val="20"/>
          <w:szCs w:val="20"/>
          <w:lang w:val="es-ES"/>
        </w:rPr>
        <w:t xml:space="preserve">Sin otro particular, </w:t>
      </w:r>
    </w:p>
    <w:p>
      <w:pPr>
        <w:pStyle w:val="Cuerpodetexto"/>
        <w:spacing w:lineRule="auto" w:line="360"/>
        <w:ind w:right="-518" w:hanging="0"/>
        <w:jc w:val="both"/>
        <w:rPr>
          <w:rFonts w:ascii="Tahoma" w:hAnsi="Tahoma" w:cs="Tahoma"/>
          <w:i/>
          <w:i/>
          <w:sz w:val="20"/>
          <w:szCs w:val="20"/>
        </w:rPr>
      </w:pPr>
      <w:r>
        <w:rPr>
          <w:rFonts w:cs="Tahoma" w:ascii="Tahoma" w:hAnsi="Tahoma"/>
          <w:i/>
          <w:sz w:val="20"/>
          <w:szCs w:val="20"/>
        </w:rPr>
      </w:r>
    </w:p>
    <w:p>
      <w:pPr>
        <w:pStyle w:val="Cuerpodetexto"/>
        <w:spacing w:lineRule="auto" w:line="360"/>
        <w:ind w:right="-518" w:hanging="0"/>
        <w:jc w:val="both"/>
        <w:rPr>
          <w:rFonts w:ascii="Tahoma" w:hAnsi="Tahoma" w:cs="Tahoma"/>
          <w:i/>
          <w:i/>
          <w:sz w:val="20"/>
          <w:szCs w:val="20"/>
        </w:rPr>
      </w:pPr>
      <w:r>
        <w:rPr>
          <w:rFonts w:cs="Tahoma" w:ascii="Tahoma" w:hAnsi="Tahoma"/>
          <w:i/>
          <w:sz w:val="20"/>
          <w:szCs w:val="20"/>
        </w:rPr>
      </w:r>
    </w:p>
    <w:p>
      <w:pPr>
        <w:pStyle w:val="Normal"/>
        <w:spacing w:before="0" w:after="0"/>
        <w:jc w:val="center"/>
        <w:rPr>
          <w:rFonts w:ascii="Tahoma" w:hAnsi="Tahoma" w:cs="Tahoma"/>
          <w:i/>
          <w:i/>
          <w:sz w:val="20"/>
          <w:szCs w:val="20"/>
        </w:rPr>
      </w:pPr>
      <w:r>
        <w:rPr>
          <w:rFonts w:eastAsia="Arial" w:cs="Tahoma" w:ascii="Tahoma" w:hAnsi="Tahoma"/>
          <w:b/>
          <w:bCs/>
          <w:i/>
          <w:sz w:val="20"/>
          <w:szCs w:val="20"/>
        </w:rPr>
        <w:t xml:space="preserve"> </w:t>
      </w:r>
      <w:r>
        <w:rPr>
          <w:rFonts w:cs="Tahoma" w:ascii="Tahoma" w:hAnsi="Tahoma"/>
          <w:b/>
          <w:bCs/>
          <w:i/>
          <w:sz w:val="20"/>
          <w:szCs w:val="20"/>
        </w:rPr>
        <w:t>Licda. Rebeca Guardia Morales</w:t>
      </w:r>
    </w:p>
    <w:p>
      <w:pPr>
        <w:pStyle w:val="Normal"/>
        <w:spacing w:before="0" w:after="0"/>
        <w:jc w:val="center"/>
        <w:rPr>
          <w:rFonts w:ascii="Tahoma" w:hAnsi="Tahoma" w:cs="Tahoma"/>
          <w:i/>
          <w:i/>
          <w:sz w:val="20"/>
          <w:szCs w:val="20"/>
        </w:rPr>
      </w:pPr>
      <w:r>
        <w:rPr>
          <w:rFonts w:cs="Tahoma" w:ascii="Tahoma" w:hAnsi="Tahoma"/>
          <w:b/>
          <w:bCs/>
          <w:i/>
          <w:sz w:val="20"/>
          <w:szCs w:val="20"/>
        </w:rPr>
        <w:t>Directora a.i.</w:t>
      </w:r>
    </w:p>
    <w:p>
      <w:pPr>
        <w:pStyle w:val="Normal"/>
        <w:spacing w:before="0" w:after="0"/>
        <w:jc w:val="center"/>
        <w:textAlignment w:val="baseline"/>
        <w:rPr>
          <w:rFonts w:ascii="Tahoma" w:hAnsi="Tahoma" w:cs="Tahoma"/>
          <w:i/>
          <w:i/>
          <w:sz w:val="20"/>
          <w:szCs w:val="20"/>
        </w:rPr>
      </w:pPr>
      <w:r>
        <w:rPr>
          <w:rFonts w:eastAsia="Arial" w:cs="Tahoma" w:ascii="Tahoma" w:hAnsi="Tahoma"/>
          <w:b/>
          <w:bCs/>
          <w:i/>
          <w:color w:val="000000"/>
          <w:kern w:val="2"/>
          <w:sz w:val="20"/>
          <w:szCs w:val="20"/>
          <w:lang w:val="es-ES" w:eastAsia="ar-SA"/>
        </w:rPr>
        <w:t>Escuela Judicial</w:t>
      </w:r>
    </w:p>
    <w:p>
      <w:pPr>
        <w:pStyle w:val="Normal"/>
        <w:spacing w:before="0" w:after="0"/>
        <w:rPr>
          <w:rFonts w:ascii="Tahoma" w:hAnsi="Tahoma" w:cs="Tahoma"/>
          <w:i/>
          <w:i/>
          <w:sz w:val="20"/>
          <w:szCs w:val="20"/>
        </w:rPr>
      </w:pPr>
      <w:r>
        <w:rPr>
          <w:rFonts w:eastAsia="Arial" w:cs="Tahoma" w:ascii="Tahoma" w:hAnsi="Tahoma"/>
          <w:i/>
          <w:color w:val="000000"/>
          <w:sz w:val="20"/>
          <w:szCs w:val="20"/>
          <w:lang w:eastAsia="ar-SA"/>
        </w:rPr>
        <w:t>C. Arch. Consec.</w:t>
      </w:r>
    </w:p>
    <w:p>
      <w:pPr>
        <w:pStyle w:val="Normal"/>
        <w:tabs>
          <w:tab w:val="clear" w:pos="708"/>
          <w:tab w:val="left" w:pos="0" w:leader="none"/>
        </w:tabs>
        <w:spacing w:before="0" w:after="0"/>
        <w:rPr>
          <w:rFonts w:ascii="Tahoma" w:hAnsi="Tahoma" w:cs="Tahoma"/>
          <w:i/>
          <w:i/>
          <w:sz w:val="20"/>
          <w:szCs w:val="20"/>
        </w:rPr>
      </w:pPr>
      <w:r>
        <w:rPr>
          <w:rFonts w:eastAsia="Arial" w:cs="Tahoma" w:ascii="Tahoma" w:hAnsi="Tahoma"/>
          <w:i/>
          <w:color w:val="000000"/>
          <w:sz w:val="20"/>
          <w:szCs w:val="20"/>
          <w:lang w:eastAsia="ar-SA"/>
        </w:rPr>
        <w:t>fam</w:t>
      </w:r>
    </w:p>
    <w:p>
      <w:pPr>
        <w:pStyle w:val="Normal"/>
        <w:spacing w:lineRule="auto" w:line="360"/>
        <w:rPr>
          <w:rFonts w:ascii="Tahoma" w:hAnsi="Tahoma" w:cs="Tahoma"/>
          <w:b/>
          <w:b/>
          <w:bCs/>
          <w:i/>
          <w:i/>
          <w:sz w:val="20"/>
          <w:szCs w:val="20"/>
          <w:u w:val="single"/>
        </w:rPr>
      </w:pPr>
      <w:r>
        <w:rPr>
          <w:rFonts w:cs="Tahoma" w:ascii="Tahoma" w:hAnsi="Tahoma"/>
          <w:b/>
          <w:bCs/>
          <w:i/>
          <w:sz w:val="20"/>
          <w:szCs w:val="20"/>
          <w:u w:val="single"/>
        </w:rPr>
      </w:r>
    </w:p>
    <w:p>
      <w:pPr>
        <w:pStyle w:val="Normal"/>
        <w:spacing w:lineRule="auto" w:line="360"/>
        <w:rPr>
          <w:rFonts w:ascii="Tahoma" w:hAnsi="Tahoma" w:cs="Tahoma"/>
          <w:b/>
          <w:b/>
          <w:i/>
          <w:i/>
          <w:sz w:val="20"/>
          <w:szCs w:val="20"/>
          <w:u w:val="single"/>
        </w:rPr>
      </w:pPr>
      <w:r>
        <w:rPr>
          <w:rFonts w:cs="Tahoma" w:ascii="Tahoma" w:hAnsi="Tahoma"/>
          <w:b/>
          <w:i/>
          <w:sz w:val="20"/>
          <w:szCs w:val="20"/>
          <w:u w:val="single"/>
        </w:rPr>
      </w:r>
    </w:p>
    <w:p>
      <w:pPr>
        <w:pStyle w:val="Normal"/>
        <w:jc w:val="center"/>
        <w:rPr>
          <w:rFonts w:ascii="Tahoma" w:hAnsi="Tahoma" w:cs="Tahoma"/>
          <w:b/>
          <w:b/>
          <w:bCs/>
          <w:i/>
          <w:i/>
          <w:sz w:val="20"/>
          <w:szCs w:val="20"/>
        </w:rPr>
      </w:pPr>
      <w:r>
        <w:rPr>
          <w:rFonts w:cs="Tahoma" w:ascii="Tahoma" w:hAnsi="Tahoma"/>
          <w:b/>
          <w:bCs/>
          <w:i/>
          <w:sz w:val="20"/>
          <w:szCs w:val="20"/>
        </w:rPr>
      </w:r>
    </w:p>
    <w:p>
      <w:pPr>
        <w:pStyle w:val="Normal"/>
        <w:jc w:val="center"/>
        <w:rPr>
          <w:rFonts w:ascii="Tahoma" w:hAnsi="Tahoma" w:cs="Tahoma"/>
          <w:b/>
          <w:b/>
          <w:bCs/>
          <w:i/>
          <w:i/>
          <w:sz w:val="20"/>
          <w:szCs w:val="20"/>
        </w:rPr>
      </w:pPr>
      <w:r>
        <w:rPr>
          <w:rFonts w:cs="Tahoma" w:ascii="Tahoma" w:hAnsi="Tahoma"/>
          <w:b/>
          <w:bCs/>
          <w:i/>
          <w:sz w:val="20"/>
          <w:szCs w:val="20"/>
        </w:rPr>
      </w:r>
    </w:p>
    <w:p>
      <w:pPr>
        <w:pStyle w:val="Normal"/>
        <w:jc w:val="center"/>
        <w:rPr>
          <w:rFonts w:ascii="Tahoma" w:hAnsi="Tahoma" w:cs="Tahoma"/>
          <w:b/>
          <w:b/>
          <w:bCs/>
          <w:i/>
          <w:i/>
          <w:sz w:val="20"/>
          <w:szCs w:val="20"/>
        </w:rPr>
      </w:pPr>
      <w:r>
        <w:rPr>
          <w:rFonts w:cs="Tahoma" w:ascii="Tahoma" w:hAnsi="Tahoma"/>
          <w:b/>
          <w:bCs/>
          <w:i/>
          <w:sz w:val="20"/>
          <w:szCs w:val="20"/>
        </w:rPr>
      </w:r>
    </w:p>
    <w:p>
      <w:pPr>
        <w:pStyle w:val="Normal"/>
        <w:jc w:val="center"/>
        <w:rPr>
          <w:rFonts w:ascii="Tahoma" w:hAnsi="Tahoma" w:cs="Tahoma"/>
          <w:i/>
          <w:i/>
          <w:sz w:val="20"/>
          <w:szCs w:val="20"/>
        </w:rPr>
      </w:pPr>
      <w:r>
        <w:rPr>
          <w:rFonts w:cs="Tahoma" w:ascii="Tahoma" w:hAnsi="Tahoma"/>
          <w:b/>
          <w:bCs/>
          <w:i/>
          <w:sz w:val="20"/>
          <w:szCs w:val="20"/>
        </w:rPr>
        <w:t>Propuesta de Capacitación sobre Acceso a la Justicia de Pueblos Indígenas</w:t>
      </w:r>
    </w:p>
    <w:p>
      <w:pPr>
        <w:pStyle w:val="Normal"/>
        <w:jc w:val="center"/>
        <w:rPr>
          <w:rFonts w:ascii="Tahoma" w:hAnsi="Tahoma" w:cs="Tahoma"/>
          <w:i/>
          <w:i/>
          <w:sz w:val="20"/>
          <w:szCs w:val="20"/>
        </w:rPr>
      </w:pPr>
      <w:r>
        <w:rPr>
          <w:rFonts w:cs="Tahoma" w:ascii="Tahoma" w:hAnsi="Tahoma"/>
          <w:b/>
          <w:bCs/>
          <w:i/>
          <w:sz w:val="20"/>
          <w:szCs w:val="20"/>
        </w:rPr>
        <w:t>Año  2020</w:t>
      </w:r>
    </w:p>
    <w:p>
      <w:pPr>
        <w:pStyle w:val="NormalWeb"/>
        <w:spacing w:before="0" w:after="0"/>
        <w:ind w:right="141" w:hanging="0"/>
        <w:jc w:val="both"/>
        <w:rPr>
          <w:rFonts w:ascii="Tahoma" w:hAnsi="Tahoma" w:cs="Tahoma"/>
          <w:i/>
          <w:i/>
          <w:sz w:val="20"/>
          <w:szCs w:val="20"/>
        </w:rPr>
      </w:pPr>
      <w:r>
        <w:rPr>
          <w:rFonts w:cs="Tahoma" w:ascii="Tahoma" w:hAnsi="Tahoma"/>
          <w:i/>
          <w:sz w:val="20"/>
          <w:szCs w:val="20"/>
          <w:lang w:val="es-ES"/>
        </w:rPr>
        <w:t>Propuesta:</w:t>
      </w:r>
    </w:p>
    <w:p>
      <w:pPr>
        <w:pStyle w:val="NormalWeb"/>
        <w:spacing w:before="0" w:after="0"/>
        <w:ind w:left="708" w:right="141" w:hanging="0"/>
        <w:jc w:val="both"/>
        <w:rPr>
          <w:rFonts w:ascii="Tahoma" w:hAnsi="Tahoma" w:cs="Tahoma"/>
          <w:i/>
          <w:i/>
          <w:sz w:val="20"/>
          <w:szCs w:val="20"/>
          <w:lang w:val="es-ES"/>
        </w:rPr>
      </w:pPr>
      <w:r>
        <w:rPr>
          <w:rFonts w:cs="Tahoma" w:ascii="Tahoma" w:hAnsi="Tahoma"/>
          <w:i/>
          <w:sz w:val="20"/>
          <w:szCs w:val="20"/>
          <w:lang w:val="es-ES"/>
        </w:rPr>
      </w:r>
    </w:p>
    <w:tbl>
      <w:tblPr>
        <w:tblW w:w="10518" w:type="dxa"/>
        <w:jc w:val="left"/>
        <w:tblInd w:w="-262" w:type="dxa"/>
        <w:tblLayout w:type="fixed"/>
        <w:tblCellMar>
          <w:top w:w="55" w:type="dxa"/>
          <w:left w:w="55" w:type="dxa"/>
          <w:bottom w:w="55" w:type="dxa"/>
          <w:right w:w="55" w:type="dxa"/>
        </w:tblCellMar>
        <w:tblLook w:firstRow="0" w:noVBand="0" w:lastRow="0" w:firstColumn="0" w:lastColumn="0" w:noHBand="0" w:val="0000"/>
      </w:tblPr>
      <w:tblGrid>
        <w:gridCol w:w="759"/>
        <w:gridCol w:w="1654"/>
        <w:gridCol w:w="2178"/>
        <w:gridCol w:w="1512"/>
        <w:gridCol w:w="950"/>
        <w:gridCol w:w="1734"/>
        <w:gridCol w:w="1730"/>
      </w:tblGrid>
      <w:tr>
        <w:trPr>
          <w:tblHeader w:val="true"/>
        </w:trPr>
        <w:tc>
          <w:tcPr>
            <w:tcW w:w="759"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napToGrid w:val="false"/>
              <w:spacing w:before="0" w:after="200"/>
              <w:jc w:val="center"/>
              <w:rPr>
                <w:rFonts w:ascii="Tahoma" w:hAnsi="Tahoma" w:eastAsia="NSimSun" w:cs="Tahoma"/>
                <w:b/>
                <w:b/>
                <w:bCs/>
                <w:i/>
                <w:i/>
                <w:color w:val="000000"/>
                <w:kern w:val="2"/>
                <w:sz w:val="20"/>
                <w:szCs w:val="20"/>
                <w:lang w:eastAsia="zh-CN" w:bidi="hi-IN"/>
              </w:rPr>
            </w:pPr>
            <w:r>
              <w:rPr>
                <w:rFonts w:eastAsia="NSimSun" w:cs="Tahoma" w:ascii="Tahoma" w:hAnsi="Tahoma"/>
                <w:b/>
                <w:bCs/>
                <w:i/>
                <w:color w:val="000000"/>
                <w:kern w:val="2"/>
                <w:sz w:val="20"/>
                <w:szCs w:val="20"/>
                <w:lang w:eastAsia="zh-CN" w:bidi="hi-IN"/>
              </w:rPr>
            </w:r>
          </w:p>
        </w:tc>
        <w:tc>
          <w:tcPr>
            <w:tcW w:w="1654"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jc w:val="center"/>
              <w:rPr>
                <w:rFonts w:ascii="Tahoma" w:hAnsi="Tahoma" w:cs="Tahoma"/>
                <w:i/>
                <w:i/>
                <w:sz w:val="20"/>
                <w:szCs w:val="20"/>
              </w:rPr>
            </w:pPr>
            <w:r>
              <w:rPr>
                <w:rFonts w:eastAsia="NSimSun" w:cs="Tahoma" w:ascii="Tahoma" w:hAnsi="Tahoma"/>
                <w:b/>
                <w:bCs/>
                <w:i/>
                <w:color w:val="000000"/>
                <w:kern w:val="2"/>
                <w:sz w:val="20"/>
                <w:szCs w:val="20"/>
                <w:lang w:eastAsia="zh-CN" w:bidi="hi-IN"/>
              </w:rPr>
              <w:t>Tema</w:t>
            </w:r>
          </w:p>
        </w:tc>
        <w:tc>
          <w:tcPr>
            <w:tcW w:w="2178"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jc w:val="center"/>
              <w:rPr>
                <w:rFonts w:ascii="Tahoma" w:hAnsi="Tahoma" w:cs="Tahoma"/>
                <w:i/>
                <w:i/>
                <w:sz w:val="20"/>
                <w:szCs w:val="20"/>
              </w:rPr>
            </w:pPr>
            <w:r>
              <w:rPr>
                <w:rFonts w:eastAsia="NSimSun" w:cs="Tahoma" w:ascii="Tahoma" w:hAnsi="Tahoma"/>
                <w:b/>
                <w:bCs/>
                <w:i/>
                <w:color w:val="000000"/>
                <w:kern w:val="2"/>
                <w:sz w:val="20"/>
                <w:szCs w:val="20"/>
                <w:lang w:eastAsia="zh-CN" w:bidi="hi-IN"/>
              </w:rPr>
              <w:t>Justificación</w:t>
            </w:r>
          </w:p>
        </w:tc>
        <w:tc>
          <w:tcPr>
            <w:tcW w:w="1512"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jc w:val="center"/>
              <w:rPr>
                <w:rFonts w:ascii="Tahoma" w:hAnsi="Tahoma" w:cs="Tahoma"/>
                <w:i/>
                <w:i/>
                <w:sz w:val="20"/>
                <w:szCs w:val="20"/>
              </w:rPr>
            </w:pPr>
            <w:r>
              <w:rPr>
                <w:rFonts w:eastAsia="NSimSun" w:cs="Tahoma" w:ascii="Tahoma" w:hAnsi="Tahoma"/>
                <w:b/>
                <w:bCs/>
                <w:i/>
                <w:color w:val="000000"/>
                <w:kern w:val="2"/>
                <w:sz w:val="20"/>
                <w:szCs w:val="20"/>
                <w:lang w:eastAsia="zh-CN" w:bidi="hi-IN"/>
              </w:rPr>
              <w:t>Nivel de profundidad</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Baja</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Media</w:t>
            </w:r>
          </w:p>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Alta</w:t>
            </w:r>
          </w:p>
        </w:tc>
        <w:tc>
          <w:tcPr>
            <w:tcW w:w="950"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b/>
                <w:bCs/>
                <w:i/>
                <w:color w:val="000000"/>
                <w:kern w:val="2"/>
                <w:sz w:val="20"/>
                <w:szCs w:val="20"/>
                <w:lang w:eastAsia="zh-CN" w:bidi="hi-IN"/>
              </w:rPr>
              <w:t>Prioridad</w:t>
            </w:r>
          </w:p>
        </w:tc>
        <w:tc>
          <w:tcPr>
            <w:tcW w:w="1734"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b/>
                <w:bCs/>
                <w:i/>
                <w:color w:val="000000"/>
                <w:kern w:val="2"/>
                <w:sz w:val="20"/>
                <w:szCs w:val="20"/>
                <w:lang w:eastAsia="zh-CN" w:bidi="hi-IN"/>
              </w:rPr>
              <w:t>Posibles personas facilitadoras</w:t>
            </w:r>
          </w:p>
        </w:tc>
        <w:tc>
          <w:tcPr>
            <w:tcW w:w="17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b/>
                <w:bCs/>
                <w:i/>
                <w:color w:val="000000"/>
                <w:kern w:val="2"/>
                <w:sz w:val="20"/>
                <w:szCs w:val="20"/>
                <w:lang w:eastAsia="zh-CN" w:bidi="hi-IN"/>
              </w:rPr>
              <w:t>Propuesta metodológica</w:t>
            </w:r>
          </w:p>
        </w:tc>
      </w:tr>
      <w:tr>
        <w:trPr/>
        <w:tc>
          <w:tcPr>
            <w:tcW w:w="759" w:type="dxa"/>
            <w:tcBorders>
              <w:top w:val="single" w:sz="4" w:space="0" w:color="000000"/>
              <w:left w:val="single" w:sz="4" w:space="0" w:color="000000"/>
              <w:bottom w:val="single" w:sz="4" w:space="0" w:color="000000"/>
            </w:tcBorders>
            <w:shd w:color="auto" w:fill="auto" w:val="clear"/>
          </w:tcPr>
          <w:p>
            <w:pPr>
              <w:pStyle w:val="Normal"/>
              <w:widowControl w:val="false"/>
              <w:numPr>
                <w:ilvl w:val="0"/>
                <w:numId w:val="25"/>
              </w:numPr>
              <w:suppressAutoHyphens w:val="true"/>
              <w:snapToGrid w:val="false"/>
              <w:spacing w:lineRule="auto" w:line="240" w:before="0" w:after="0"/>
              <w:rPr>
                <w:rFonts w:ascii="Tahoma" w:hAnsi="Tahoma" w:cs="Tahoma"/>
                <w:i/>
                <w:i/>
                <w:sz w:val="20"/>
                <w:szCs w:val="20"/>
              </w:rPr>
            </w:pPr>
            <w:r>
              <w:rPr>
                <w:rFonts w:cs="Tahoma" w:ascii="Tahoma" w:hAnsi="Tahoma"/>
                <w:i/>
                <w:sz w:val="20"/>
                <w:szCs w:val="20"/>
              </w:rPr>
            </w:r>
          </w:p>
        </w:tc>
        <w:tc>
          <w:tcPr>
            <w:tcW w:w="1654" w:type="dxa"/>
            <w:tcBorders>
              <w:top w:val="single" w:sz="4" w:space="0" w:color="000000"/>
              <w:left w:val="single" w:sz="4" w:space="0" w:color="000000"/>
              <w:bottom w:val="single" w:sz="4" w:space="0" w:color="000000"/>
            </w:tcBorders>
            <w:shd w:color="auto" w:fill="auto" w:val="clear"/>
          </w:tcPr>
          <w:p>
            <w:pPr>
              <w:pStyle w:val="Normal"/>
              <w:widowControl w:val="false"/>
              <w:rPr>
                <w:rFonts w:ascii="Tahoma" w:hAnsi="Tahoma" w:cs="Tahoma"/>
                <w:i/>
                <w:i/>
                <w:sz w:val="20"/>
                <w:szCs w:val="20"/>
              </w:rPr>
            </w:pPr>
            <w:r>
              <w:rPr>
                <w:rFonts w:cs="Tahoma" w:ascii="Tahoma" w:hAnsi="Tahoma"/>
                <w:b/>
                <w:i/>
                <w:sz w:val="20"/>
                <w:szCs w:val="20"/>
              </w:rPr>
              <w:t xml:space="preserve">CONOCERNOS: </w:t>
            </w:r>
            <w:r>
              <w:rPr>
                <w:rFonts w:cs="Tahoma" w:ascii="Tahoma" w:hAnsi="Tahoma"/>
                <w:i/>
                <w:sz w:val="20"/>
                <w:szCs w:val="20"/>
              </w:rPr>
              <w:t>Un primer acercamiento</w:t>
            </w:r>
          </w:p>
          <w:p>
            <w:pPr>
              <w:pStyle w:val="Normal"/>
              <w:widowControl w:val="false"/>
              <w:rPr>
                <w:rFonts w:ascii="Tahoma" w:hAnsi="Tahoma" w:cs="Tahoma"/>
                <w:i/>
                <w:i/>
                <w:sz w:val="20"/>
                <w:szCs w:val="20"/>
              </w:rPr>
            </w:pPr>
            <w:r>
              <w:rPr>
                <w:rFonts w:cs="Tahoma" w:ascii="Tahoma" w:hAnsi="Tahoma"/>
                <w:i/>
                <w:sz w:val="20"/>
                <w:szCs w:val="20"/>
              </w:rPr>
            </w:r>
          </w:p>
          <w:p>
            <w:pPr>
              <w:pStyle w:val="Normal"/>
              <w:widowControl w:val="false"/>
              <w:rPr>
                <w:rFonts w:ascii="Tahoma" w:hAnsi="Tahoma" w:cs="Tahoma"/>
                <w:i/>
                <w:i/>
                <w:sz w:val="20"/>
                <w:szCs w:val="20"/>
              </w:rPr>
            </w:pPr>
            <w:r>
              <w:rPr>
                <w:rFonts w:cs="Tahoma" w:ascii="Tahoma" w:hAnsi="Tahoma"/>
                <w:i/>
                <w:sz w:val="20"/>
                <w:szCs w:val="20"/>
              </w:rPr>
              <w:t>Historia</w:t>
            </w:r>
          </w:p>
          <w:p>
            <w:pPr>
              <w:pStyle w:val="Normal"/>
              <w:widowControl w:val="false"/>
              <w:rPr>
                <w:rFonts w:ascii="Tahoma" w:hAnsi="Tahoma" w:cs="Tahoma"/>
                <w:i/>
                <w:i/>
                <w:sz w:val="20"/>
                <w:szCs w:val="20"/>
              </w:rPr>
            </w:pPr>
            <w:r>
              <w:rPr>
                <w:rFonts w:cs="Tahoma" w:ascii="Tahoma" w:hAnsi="Tahoma"/>
                <w:i/>
                <w:sz w:val="20"/>
                <w:szCs w:val="20"/>
              </w:rPr>
              <w:t>Costumbres,  Formas de transmisión de la tierra,</w:t>
            </w:r>
          </w:p>
          <w:p>
            <w:pPr>
              <w:pStyle w:val="Normal"/>
              <w:widowControl w:val="false"/>
              <w:rPr>
                <w:rFonts w:ascii="Tahoma" w:hAnsi="Tahoma" w:cs="Tahoma"/>
                <w:i/>
                <w:i/>
                <w:sz w:val="20"/>
                <w:szCs w:val="20"/>
              </w:rPr>
            </w:pPr>
            <w:r>
              <w:rPr>
                <w:rFonts w:cs="Tahoma" w:ascii="Tahoma" w:hAnsi="Tahoma"/>
                <w:i/>
                <w:sz w:val="20"/>
                <w:szCs w:val="20"/>
              </w:rPr>
              <w:t>Formas de posesión de la tierra</w:t>
            </w:r>
          </w:p>
          <w:p>
            <w:pPr>
              <w:pStyle w:val="Normal"/>
              <w:widowControl w:val="false"/>
              <w:spacing w:before="0" w:after="200"/>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tc>
        <w:tc>
          <w:tcPr>
            <w:tcW w:w="2178"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napToGrid w:val="false"/>
              <w:spacing w:before="0" w:after="200"/>
              <w:jc w:val="both"/>
              <w:rPr>
                <w:rFonts w:ascii="Tahoma" w:hAnsi="Tahoma" w:cs="Tahoma"/>
                <w:i/>
                <w:i/>
                <w:sz w:val="20"/>
                <w:szCs w:val="20"/>
              </w:rPr>
            </w:pPr>
            <w:r>
              <w:rPr>
                <w:rFonts w:cs="Tahoma" w:ascii="Tahoma" w:hAnsi="Tahoma"/>
                <w:i/>
                <w:color w:val="000000"/>
                <w:sz w:val="20"/>
                <w:szCs w:val="20"/>
              </w:rPr>
              <w:t>Acuerdos de Corte Plena tomados en sesiones N° 20-19 de 27 de mayo de 2019, Artículo XIX y N° 25-19 de 24 de junio de 2019, Artículo II, donde se aprobaron y la Circular N° 123-2019 denominada “</w:t>
            </w:r>
            <w:r>
              <w:rPr>
                <w:rFonts w:cs="Tahoma" w:ascii="Tahoma" w:hAnsi="Tahoma"/>
                <w:i/>
                <w:sz w:val="20"/>
                <w:szCs w:val="20"/>
                <w:lang w:val="es-ES"/>
              </w:rPr>
              <w:t xml:space="preserve">Sobre los </w:t>
            </w:r>
            <w:r>
              <w:rPr>
                <w:rFonts w:cs="Tahoma" w:ascii="Tahoma" w:hAnsi="Tahoma"/>
                <w:i/>
                <w:sz w:val="20"/>
                <w:szCs w:val="20"/>
                <w:lang w:val="es-ES_tradnl"/>
              </w:rPr>
              <w:t>21 ejes de acción, recomendados por la Comisión de Acceso a la Justicia, con ocasión del cumplimiento de las Medidas Cautelares N° 321-12 del 30 de abril de 2015, establecidas por la Comisión Interamericana de Derechos Humanos (CIDH) contra Costa Rica”</w:t>
            </w:r>
          </w:p>
        </w:tc>
        <w:tc>
          <w:tcPr>
            <w:tcW w:w="1512"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Media</w:t>
            </w:r>
          </w:p>
        </w:tc>
        <w:tc>
          <w:tcPr>
            <w:tcW w:w="950"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Alta</w:t>
            </w:r>
          </w:p>
        </w:tc>
        <w:tc>
          <w:tcPr>
            <w:tcW w:w="1734"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 xml:space="preserve">Personas indígenas representantes de los territorios indígenas de Bribrí de Talamanca y Térraba (Señor Pablo Sibar); </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Dr. Marcos Guevara Berger</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Escuela de Antropología</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UCR</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Dr. Alí García</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UCR</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Dra. Alejandra Boza</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Escuela de Historia</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UCR</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Licda. Marjorie Herrera</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Defensoría de los Habitantes de la República</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Justa Romero</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Indígena Bribri</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Pablo Sibar</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Indígena Broran</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Por definir</w:t>
            </w:r>
          </w:p>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Indígena Bribri</w:t>
            </w:r>
          </w:p>
        </w:tc>
        <w:tc>
          <w:tcPr>
            <w:tcW w:w="17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uppressAutoHyphens w:val="true"/>
              <w:rPr>
                <w:rFonts w:ascii="Tahoma" w:hAnsi="Tahoma" w:cs="Tahoma"/>
                <w:i/>
                <w:i/>
                <w:sz w:val="20"/>
                <w:szCs w:val="20"/>
              </w:rPr>
            </w:pPr>
            <w:r>
              <w:rPr>
                <w:rFonts w:eastAsia="NSimSun" w:cs="Tahoma" w:ascii="Tahoma" w:hAnsi="Tahoma"/>
                <w:i/>
                <w:kern w:val="2"/>
                <w:sz w:val="20"/>
                <w:szCs w:val="20"/>
                <w:lang w:eastAsia="zh-CN" w:bidi="hi-IN"/>
              </w:rPr>
              <w:t>Panel de personas expertas.  Se desarrollaría en 80 minutos, y se brinda un espacio para consultas.</w:t>
            </w:r>
          </w:p>
          <w:p>
            <w:pPr>
              <w:pStyle w:val="Normal"/>
              <w:widowControl w:val="false"/>
              <w:suppressLineNumbers/>
              <w:suppressAutoHyphens w:val="true"/>
              <w:spacing w:before="0" w:after="200"/>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tc>
      </w:tr>
      <w:tr>
        <w:trPr/>
        <w:tc>
          <w:tcPr>
            <w:tcW w:w="759" w:type="dxa"/>
            <w:tcBorders>
              <w:top w:val="single" w:sz="4" w:space="0" w:color="000000"/>
              <w:left w:val="single" w:sz="4" w:space="0" w:color="000000"/>
              <w:bottom w:val="single" w:sz="4" w:space="0" w:color="000000"/>
            </w:tcBorders>
            <w:shd w:color="auto" w:fill="auto" w:val="clear"/>
          </w:tcPr>
          <w:p>
            <w:pPr>
              <w:pStyle w:val="Normal"/>
              <w:widowControl w:val="false"/>
              <w:numPr>
                <w:ilvl w:val="0"/>
                <w:numId w:val="25"/>
              </w:numPr>
              <w:suppressAutoHyphens w:val="true"/>
              <w:snapToGrid w:val="false"/>
              <w:spacing w:lineRule="auto" w:line="240" w:before="0" w:after="0"/>
              <w:rPr>
                <w:rFonts w:ascii="Tahoma" w:hAnsi="Tahoma" w:cs="Tahoma"/>
                <w:i/>
                <w:i/>
                <w:sz w:val="20"/>
                <w:szCs w:val="20"/>
                <w:highlight w:val="yellow"/>
              </w:rPr>
            </w:pPr>
            <w:r>
              <w:rPr>
                <w:rFonts w:cs="Tahoma" w:ascii="Tahoma" w:hAnsi="Tahoma"/>
                <w:i/>
                <w:sz w:val="20"/>
                <w:szCs w:val="20"/>
                <w:highlight w:val="yellow"/>
              </w:rPr>
            </w:r>
          </w:p>
        </w:tc>
        <w:tc>
          <w:tcPr>
            <w:tcW w:w="1654"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rPr>
                <w:rFonts w:ascii="Tahoma" w:hAnsi="Tahoma" w:cs="Tahoma"/>
                <w:i/>
                <w:i/>
                <w:sz w:val="20"/>
                <w:szCs w:val="20"/>
              </w:rPr>
            </w:pPr>
            <w:r>
              <w:rPr>
                <w:rFonts w:cs="Tahoma" w:ascii="Tahoma" w:hAnsi="Tahoma"/>
                <w:i/>
                <w:sz w:val="20"/>
                <w:szCs w:val="20"/>
              </w:rPr>
              <w:t>Modelo de construcción de Política Nacional Indígena y Mecanismo de Consulta a Pueblos Indígenas; y construcción de la Política Indígena del Poder Judicial</w:t>
            </w:r>
          </w:p>
        </w:tc>
        <w:tc>
          <w:tcPr>
            <w:tcW w:w="2178"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napToGrid w:val="false"/>
              <w:spacing w:before="0" w:after="200"/>
              <w:jc w:val="both"/>
              <w:rPr>
                <w:rFonts w:ascii="Tahoma" w:hAnsi="Tahoma" w:cs="Tahoma"/>
                <w:i/>
                <w:i/>
                <w:sz w:val="20"/>
                <w:szCs w:val="20"/>
              </w:rPr>
            </w:pPr>
            <w:r>
              <w:rPr>
                <w:rFonts w:cs="Tahoma" w:ascii="Tahoma" w:hAnsi="Tahoma"/>
                <w:i/>
                <w:color w:val="000000"/>
                <w:sz w:val="20"/>
                <w:szCs w:val="20"/>
              </w:rPr>
              <w:t>Acuerdos de Corte Plena tomados en sesiones N° 20-19 de 27 de mayo de 2019, Artículo XIX y N° 25-19 de 24 de junio de 2019, Artículo II, donde se aprobaron y la Circular N° 123-2019 denominada “</w:t>
            </w:r>
            <w:r>
              <w:rPr>
                <w:rFonts w:cs="Tahoma" w:ascii="Tahoma" w:hAnsi="Tahoma"/>
                <w:i/>
                <w:sz w:val="20"/>
                <w:szCs w:val="20"/>
                <w:lang w:val="es-ES"/>
              </w:rPr>
              <w:t xml:space="preserve">Sobre los </w:t>
            </w:r>
            <w:r>
              <w:rPr>
                <w:rFonts w:cs="Tahoma" w:ascii="Tahoma" w:hAnsi="Tahoma"/>
                <w:i/>
                <w:sz w:val="20"/>
                <w:szCs w:val="20"/>
                <w:lang w:val="es-ES_tradnl"/>
              </w:rPr>
              <w:t>21 ejes de acción, recomendados por la Comisión de Acceso a la Justicia, con ocasión del cumplimiento de las Medidas Cautelares N° 321-12 del 30 de abril de 2015, establecidas por la Comisión Interamericana de Derechos Humanos (CIDH) contra Costa Rica”</w:t>
            </w:r>
          </w:p>
        </w:tc>
        <w:tc>
          <w:tcPr>
            <w:tcW w:w="1512"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Media</w:t>
            </w:r>
          </w:p>
        </w:tc>
        <w:tc>
          <w:tcPr>
            <w:tcW w:w="950"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Alta</w:t>
            </w:r>
          </w:p>
        </w:tc>
        <w:tc>
          <w:tcPr>
            <w:tcW w:w="1734"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Sr. Juan Alfaro</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Viceministerio de la Presidencia, delegado para atender los asuntos indígenas por la Presidencia de la República</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Sr. Geyner Blanco</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Indígena Maleku Asesor de la Presidencia de la República en temas indígenas</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Sr. Jorge Olaso Alvarez</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Coordinador Comisión de Acceso a la Justicia</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Sra. Melissa Benavides</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Coordinadora Unidad de Acceso a la Justicia</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Sra. Damaris Vargas Vásquez</w:t>
            </w:r>
          </w:p>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Coordinadora Subcomisión Acceso a la Justicia de Pueblos Indígenas</w:t>
            </w:r>
          </w:p>
        </w:tc>
        <w:tc>
          <w:tcPr>
            <w:tcW w:w="17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uppressAutoHyphens w:val="true"/>
              <w:rPr>
                <w:rFonts w:ascii="Tahoma" w:hAnsi="Tahoma" w:cs="Tahoma"/>
                <w:i/>
                <w:i/>
                <w:sz w:val="20"/>
                <w:szCs w:val="20"/>
              </w:rPr>
            </w:pPr>
            <w:r>
              <w:rPr>
                <w:rFonts w:eastAsia="NSimSun" w:cs="Tahoma" w:ascii="Tahoma" w:hAnsi="Tahoma"/>
                <w:i/>
                <w:kern w:val="2"/>
                <w:sz w:val="20"/>
                <w:szCs w:val="20"/>
                <w:lang w:eastAsia="zh-CN" w:bidi="hi-IN"/>
              </w:rPr>
              <w:t>Taller de 3 días cuyo producto sea la construcción de la Política Indígena del Poder Judicial.</w:t>
            </w:r>
          </w:p>
          <w:p>
            <w:pPr>
              <w:pStyle w:val="Normal"/>
              <w:widowControl w:val="false"/>
              <w:suppressLineNumbers/>
              <w:suppressAutoHyphens w:val="true"/>
              <w:spacing w:before="0" w:after="200"/>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tc>
      </w:tr>
      <w:tr>
        <w:trPr/>
        <w:tc>
          <w:tcPr>
            <w:tcW w:w="759" w:type="dxa"/>
            <w:tcBorders>
              <w:top w:val="single" w:sz="4" w:space="0" w:color="000000"/>
              <w:left w:val="single" w:sz="4" w:space="0" w:color="000000"/>
              <w:bottom w:val="single" w:sz="4" w:space="0" w:color="000000"/>
            </w:tcBorders>
            <w:shd w:color="auto" w:fill="auto" w:val="clear"/>
          </w:tcPr>
          <w:p>
            <w:pPr>
              <w:pStyle w:val="Normal"/>
              <w:widowControl w:val="false"/>
              <w:numPr>
                <w:ilvl w:val="0"/>
                <w:numId w:val="25"/>
              </w:numPr>
              <w:suppressAutoHyphens w:val="true"/>
              <w:snapToGrid w:val="false"/>
              <w:spacing w:lineRule="auto" w:line="240" w:before="0" w:after="0"/>
              <w:jc w:val="both"/>
              <w:rPr>
                <w:rFonts w:ascii="Tahoma" w:hAnsi="Tahoma" w:cs="Tahoma"/>
                <w:i/>
                <w:i/>
                <w:sz w:val="20"/>
                <w:szCs w:val="20"/>
              </w:rPr>
            </w:pPr>
            <w:r>
              <w:rPr>
                <w:rFonts w:cs="Tahoma" w:ascii="Tahoma" w:hAnsi="Tahoma"/>
                <w:i/>
                <w:sz w:val="20"/>
                <w:szCs w:val="20"/>
              </w:rPr>
            </w:r>
          </w:p>
        </w:tc>
        <w:tc>
          <w:tcPr>
            <w:tcW w:w="1654" w:type="dxa"/>
            <w:tcBorders>
              <w:top w:val="single" w:sz="4" w:space="0" w:color="000000"/>
              <w:left w:val="single" w:sz="4" w:space="0" w:color="000000"/>
              <w:bottom w:val="single" w:sz="4" w:space="0" w:color="000000"/>
            </w:tcBorders>
            <w:shd w:color="auto" w:fill="auto" w:val="clear"/>
          </w:tcPr>
          <w:p>
            <w:pPr>
              <w:pStyle w:val="Normal"/>
              <w:widowControl w:val="false"/>
              <w:jc w:val="both"/>
              <w:rPr>
                <w:rFonts w:ascii="Tahoma" w:hAnsi="Tahoma" w:cs="Tahoma"/>
                <w:i/>
                <w:i/>
                <w:sz w:val="20"/>
                <w:szCs w:val="20"/>
              </w:rPr>
            </w:pPr>
            <w:r>
              <w:rPr>
                <w:rFonts w:cs="Tahoma" w:ascii="Tahoma" w:hAnsi="Tahoma"/>
                <w:i/>
                <w:sz w:val="20"/>
                <w:szCs w:val="20"/>
              </w:rPr>
              <w:t>Buenas Prácticas: Reglas de Brasilia, Ley de Acceso a la Justicia de Pueblos Indígenas de Costa Rica y Reglas de Procesos Indígenas; Circulares.</w:t>
            </w:r>
          </w:p>
          <w:p>
            <w:pPr>
              <w:pStyle w:val="Normal"/>
              <w:widowControl w:val="false"/>
              <w:suppressLineNumbers/>
              <w:suppressAutoHyphens w:val="true"/>
              <w:spacing w:before="0" w:after="200"/>
              <w:rPr>
                <w:rFonts w:ascii="Tahoma" w:hAnsi="Tahoma" w:eastAsia="NSimSun" w:cs="Tahoma"/>
                <w:i/>
                <w:i/>
                <w:color w:val="000000"/>
                <w:kern w:val="2"/>
                <w:sz w:val="20"/>
                <w:szCs w:val="20"/>
                <w:highlight w:val="yellow"/>
                <w:lang w:eastAsia="zh-CN" w:bidi="hi-IN"/>
              </w:rPr>
            </w:pPr>
            <w:r>
              <w:rPr>
                <w:rFonts w:eastAsia="NSimSun" w:cs="Tahoma" w:ascii="Tahoma" w:hAnsi="Tahoma"/>
                <w:i/>
                <w:color w:val="000000"/>
                <w:kern w:val="2"/>
                <w:sz w:val="20"/>
                <w:szCs w:val="20"/>
                <w:highlight w:val="yellow"/>
                <w:lang w:eastAsia="zh-CN" w:bidi="hi-IN"/>
              </w:rPr>
            </w:r>
          </w:p>
        </w:tc>
        <w:tc>
          <w:tcPr>
            <w:tcW w:w="2178"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napToGrid w:val="false"/>
              <w:spacing w:before="0" w:after="200"/>
              <w:rPr>
                <w:rFonts w:ascii="Tahoma" w:hAnsi="Tahoma" w:cs="Tahoma"/>
                <w:i/>
                <w:i/>
                <w:sz w:val="20"/>
                <w:szCs w:val="20"/>
              </w:rPr>
            </w:pPr>
            <w:r>
              <w:rPr>
                <w:rFonts w:cs="Tahoma" w:ascii="Tahoma" w:hAnsi="Tahoma"/>
                <w:i/>
                <w:color w:val="000000"/>
                <w:sz w:val="20"/>
                <w:szCs w:val="20"/>
              </w:rPr>
              <w:t>Acuerdos de Corte Plena tomados en sesiones N° 20-19 de 27 de mayo de 2019, Artículo XIX y N° 25-19 de 24 de junio de 2019, Artículo II, donde se aprobaron y la Circular N° 123-2019 denominada “</w:t>
            </w:r>
            <w:r>
              <w:rPr>
                <w:rFonts w:cs="Tahoma" w:ascii="Tahoma" w:hAnsi="Tahoma"/>
                <w:i/>
                <w:sz w:val="20"/>
                <w:szCs w:val="20"/>
                <w:lang w:val="es-ES"/>
              </w:rPr>
              <w:t xml:space="preserve">Sobre los </w:t>
            </w:r>
            <w:r>
              <w:rPr>
                <w:rFonts w:cs="Tahoma" w:ascii="Tahoma" w:hAnsi="Tahoma"/>
                <w:i/>
                <w:sz w:val="20"/>
                <w:szCs w:val="20"/>
                <w:lang w:val="es-ES_tradnl"/>
              </w:rPr>
              <w:t>21 ejes de acción, recomendados por la Comisión de Acceso a la Justicia, con ocasión del cumplimiento de las Medidas Cautelares N° 321-12 del 30 de abril de 2015, establecidas por la Comisión Interamericana de Derechos Humanos (CIDH) contra Costa Rica”</w:t>
            </w:r>
          </w:p>
        </w:tc>
        <w:tc>
          <w:tcPr>
            <w:tcW w:w="1512"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Media</w:t>
            </w:r>
          </w:p>
        </w:tc>
        <w:tc>
          <w:tcPr>
            <w:tcW w:w="950"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Media</w:t>
            </w:r>
          </w:p>
        </w:tc>
        <w:tc>
          <w:tcPr>
            <w:tcW w:w="1734"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Defensa Pública: Ligia Jiménez</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Fiscalía Indígena:</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Ariana Céspedes</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Judicatura:</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Jean Carlos Céspedes, Damaris Vargas Vásquez</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Ámbito Administrativo:</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Wilberth Kidd</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OIJ:</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Yorleny Ferreto</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Sociedad Civil:</w:t>
            </w:r>
          </w:p>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Exmagistrada Carmen María Escoto Fernández</w:t>
            </w:r>
          </w:p>
        </w:tc>
        <w:tc>
          <w:tcPr>
            <w:tcW w:w="17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uppressAutoHyphens w:val="true"/>
              <w:rPr>
                <w:rFonts w:ascii="Tahoma" w:hAnsi="Tahoma" w:cs="Tahoma"/>
                <w:i/>
                <w:i/>
                <w:sz w:val="20"/>
                <w:szCs w:val="20"/>
              </w:rPr>
            </w:pPr>
            <w:r>
              <w:rPr>
                <w:rFonts w:eastAsia="NSimSun" w:cs="Tahoma" w:ascii="Tahoma" w:hAnsi="Tahoma"/>
                <w:i/>
                <w:kern w:val="2"/>
                <w:sz w:val="20"/>
                <w:szCs w:val="20"/>
                <w:lang w:eastAsia="zh-CN" w:bidi="hi-IN"/>
              </w:rPr>
              <w:t>Curso virtual autoformativo</w:t>
            </w:r>
          </w:p>
          <w:p>
            <w:pPr>
              <w:pStyle w:val="Normal"/>
              <w:widowControl w:val="false"/>
              <w:suppressLineNumbers/>
              <w:suppressAutoHyphens w:val="true"/>
              <w:spacing w:before="0" w:after="200"/>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tc>
      </w:tr>
      <w:tr>
        <w:trPr/>
        <w:tc>
          <w:tcPr>
            <w:tcW w:w="759" w:type="dxa"/>
            <w:tcBorders>
              <w:top w:val="single" w:sz="4" w:space="0" w:color="000000"/>
              <w:left w:val="single" w:sz="4" w:space="0" w:color="000000"/>
              <w:bottom w:val="single" w:sz="4" w:space="0" w:color="000000"/>
            </w:tcBorders>
            <w:shd w:color="auto" w:fill="auto" w:val="clear"/>
          </w:tcPr>
          <w:p>
            <w:pPr>
              <w:pStyle w:val="Normal"/>
              <w:widowControl w:val="false"/>
              <w:numPr>
                <w:ilvl w:val="0"/>
                <w:numId w:val="25"/>
              </w:numPr>
              <w:suppressLineNumbers/>
              <w:suppressAutoHyphens w:val="true"/>
              <w:snapToGrid w:val="false"/>
              <w:spacing w:lineRule="auto" w:line="240" w:before="0" w:after="0"/>
              <w:rPr>
                <w:rFonts w:ascii="Tahoma" w:hAnsi="Tahoma" w:cs="Tahoma"/>
                <w:i/>
                <w:i/>
                <w:sz w:val="20"/>
                <w:szCs w:val="20"/>
                <w:highlight w:val="yellow"/>
              </w:rPr>
            </w:pPr>
            <w:r>
              <w:rPr>
                <w:rFonts w:cs="Tahoma" w:ascii="Tahoma" w:hAnsi="Tahoma"/>
                <w:i/>
                <w:sz w:val="20"/>
                <w:szCs w:val="20"/>
                <w:highlight w:val="yellow"/>
              </w:rPr>
            </w:r>
          </w:p>
        </w:tc>
        <w:tc>
          <w:tcPr>
            <w:tcW w:w="1654"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rPr>
                <w:rFonts w:ascii="Tahoma" w:hAnsi="Tahoma" w:cs="Tahoma"/>
                <w:i/>
                <w:i/>
                <w:sz w:val="20"/>
                <w:szCs w:val="20"/>
              </w:rPr>
            </w:pPr>
            <w:r>
              <w:rPr>
                <w:rFonts w:cs="Tahoma" w:ascii="Tahoma" w:hAnsi="Tahoma"/>
                <w:i/>
                <w:sz w:val="20"/>
                <w:szCs w:val="20"/>
              </w:rPr>
              <w:t>Mecanismo General de Consultas sobre actos en los territorios y de importancia para las personas indígenas fuera de los territorios indígenas</w:t>
            </w:r>
          </w:p>
        </w:tc>
        <w:tc>
          <w:tcPr>
            <w:tcW w:w="2178"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napToGrid w:val="false"/>
              <w:spacing w:before="0" w:after="200"/>
              <w:rPr>
                <w:rFonts w:ascii="Tahoma" w:hAnsi="Tahoma" w:cs="Tahoma"/>
                <w:i/>
                <w:i/>
                <w:sz w:val="20"/>
                <w:szCs w:val="20"/>
              </w:rPr>
            </w:pPr>
            <w:r>
              <w:rPr>
                <w:rFonts w:cs="Tahoma" w:ascii="Tahoma" w:hAnsi="Tahoma"/>
                <w:i/>
                <w:color w:val="000000"/>
                <w:sz w:val="20"/>
                <w:szCs w:val="20"/>
              </w:rPr>
              <w:t>Acuerdos de Corte Plena tomados en sesiones N° 20-19 de 27 de mayo de 2019, Artículo XIX y N° 25-19 de 24 de junio de 2019, Artículo II, donde se aprobaron y la Circular N° 123-2019 denominada “</w:t>
            </w:r>
            <w:r>
              <w:rPr>
                <w:rFonts w:cs="Tahoma" w:ascii="Tahoma" w:hAnsi="Tahoma"/>
                <w:i/>
                <w:sz w:val="20"/>
                <w:szCs w:val="20"/>
                <w:lang w:val="es-ES"/>
              </w:rPr>
              <w:t xml:space="preserve">Sobre los </w:t>
            </w:r>
            <w:r>
              <w:rPr>
                <w:rFonts w:cs="Tahoma" w:ascii="Tahoma" w:hAnsi="Tahoma"/>
                <w:i/>
                <w:sz w:val="20"/>
                <w:szCs w:val="20"/>
                <w:lang w:val="es-ES_tradnl"/>
              </w:rPr>
              <w:t>21 ejes de acción, recomendados por la Comisión de Acceso a la Justicia, con ocasión del cumplimiento de las Medidas Cautelares N° 321-12 del 30 de abril de 2015, establecidas por la Comisión Interamericana de Derechos Humanos (CIDH) contra Costa Rica”</w:t>
            </w:r>
          </w:p>
        </w:tc>
        <w:tc>
          <w:tcPr>
            <w:tcW w:w="1512"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Media</w:t>
            </w:r>
          </w:p>
        </w:tc>
        <w:tc>
          <w:tcPr>
            <w:tcW w:w="950"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Alta</w:t>
            </w:r>
          </w:p>
        </w:tc>
        <w:tc>
          <w:tcPr>
            <w:tcW w:w="1734"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Magistrada Iris Rocío Rojas:</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Coordinadora Comisión de Conciliación</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Franklin Paniagua, Director de DINARAC del Ministerio de Justicia</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Carmen Cerdas: Directora Centro de Conciliación del Poder Judicial</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Kattya Escalante: Escuela Judicial</w:t>
            </w:r>
          </w:p>
        </w:tc>
        <w:tc>
          <w:tcPr>
            <w:tcW w:w="17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uppressAutoHyphens w:val="true"/>
              <w:rPr>
                <w:rFonts w:ascii="Tahoma" w:hAnsi="Tahoma" w:cs="Tahoma"/>
                <w:i/>
                <w:i/>
                <w:sz w:val="20"/>
                <w:szCs w:val="20"/>
              </w:rPr>
            </w:pPr>
            <w:r>
              <w:rPr>
                <w:rFonts w:eastAsia="NSimSun" w:cs="Tahoma" w:ascii="Tahoma" w:hAnsi="Tahoma"/>
                <w:i/>
                <w:kern w:val="2"/>
                <w:sz w:val="20"/>
                <w:szCs w:val="20"/>
                <w:lang w:eastAsia="zh-CN" w:bidi="hi-IN"/>
              </w:rPr>
              <w:t>Mesa Redonda con personas expertas.</w:t>
            </w:r>
          </w:p>
          <w:p>
            <w:pPr>
              <w:pStyle w:val="Normal"/>
              <w:widowControl w:val="false"/>
              <w:suppressLineNumbers/>
              <w:suppressAutoHyphens w:val="true"/>
              <w:spacing w:before="0" w:after="200"/>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tc>
      </w:tr>
      <w:tr>
        <w:trPr/>
        <w:tc>
          <w:tcPr>
            <w:tcW w:w="759" w:type="dxa"/>
            <w:tcBorders>
              <w:top w:val="single" w:sz="4" w:space="0" w:color="000000"/>
              <w:left w:val="single" w:sz="4" w:space="0" w:color="000000"/>
              <w:bottom w:val="single" w:sz="4" w:space="0" w:color="000000"/>
            </w:tcBorders>
            <w:shd w:color="auto" w:fill="auto" w:val="clear"/>
          </w:tcPr>
          <w:p>
            <w:pPr>
              <w:pStyle w:val="Normal"/>
              <w:widowControl w:val="false"/>
              <w:numPr>
                <w:ilvl w:val="0"/>
                <w:numId w:val="25"/>
              </w:numPr>
              <w:suppressAutoHyphens w:val="true"/>
              <w:snapToGrid w:val="false"/>
              <w:spacing w:lineRule="auto" w:line="240" w:before="0" w:after="0"/>
              <w:rPr>
                <w:rFonts w:ascii="Tahoma" w:hAnsi="Tahoma" w:cs="Tahoma"/>
                <w:i/>
                <w:i/>
                <w:sz w:val="20"/>
                <w:szCs w:val="20"/>
              </w:rPr>
            </w:pPr>
            <w:r>
              <w:rPr>
                <w:rFonts w:cs="Tahoma" w:ascii="Tahoma" w:hAnsi="Tahoma"/>
                <w:i/>
                <w:sz w:val="20"/>
                <w:szCs w:val="20"/>
              </w:rPr>
            </w:r>
          </w:p>
        </w:tc>
        <w:tc>
          <w:tcPr>
            <w:tcW w:w="1654" w:type="dxa"/>
            <w:tcBorders>
              <w:top w:val="single" w:sz="4" w:space="0" w:color="000000"/>
              <w:left w:val="single" w:sz="4" w:space="0" w:color="000000"/>
              <w:bottom w:val="single" w:sz="4" w:space="0" w:color="000000"/>
            </w:tcBorders>
            <w:shd w:color="auto" w:fill="auto" w:val="clear"/>
          </w:tcPr>
          <w:p>
            <w:pPr>
              <w:pStyle w:val="Normal"/>
              <w:widowControl w:val="false"/>
              <w:rPr>
                <w:rFonts w:ascii="Tahoma" w:hAnsi="Tahoma" w:cs="Tahoma"/>
                <w:i/>
                <w:i/>
                <w:sz w:val="20"/>
                <w:szCs w:val="20"/>
              </w:rPr>
            </w:pPr>
            <w:r>
              <w:rPr>
                <w:rFonts w:cs="Tahoma" w:ascii="Tahoma" w:hAnsi="Tahoma"/>
                <w:i/>
                <w:sz w:val="20"/>
                <w:szCs w:val="20"/>
              </w:rPr>
              <w:t xml:space="preserve">Plan de Recuperación de Tierras Indígenas (INDER) (Tierras, Territorios y Recursos) </w:t>
            </w:r>
          </w:p>
          <w:p>
            <w:pPr>
              <w:pStyle w:val="Normal"/>
              <w:widowControl w:val="false"/>
              <w:suppressLineNumbers/>
              <w:suppressAutoHyphens w:val="true"/>
              <w:spacing w:before="0" w:after="200"/>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tc>
        <w:tc>
          <w:tcPr>
            <w:tcW w:w="2178"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napToGrid w:val="false"/>
              <w:spacing w:before="0" w:after="200"/>
              <w:rPr>
                <w:rFonts w:ascii="Tahoma" w:hAnsi="Tahoma" w:cs="Tahoma"/>
                <w:i/>
                <w:i/>
                <w:sz w:val="20"/>
                <w:szCs w:val="20"/>
              </w:rPr>
            </w:pPr>
            <w:r>
              <w:rPr>
                <w:rFonts w:cs="Tahoma" w:ascii="Tahoma" w:hAnsi="Tahoma"/>
                <w:i/>
                <w:color w:val="000000"/>
                <w:sz w:val="20"/>
                <w:szCs w:val="20"/>
              </w:rPr>
              <w:t>Acuerdos de Corte Plena tomados en sesiones N° 20-19 de 27 de mayo de 2019, Artículo XIX y N° 25-19 de 24 de junio de 2019, Artículo II, donde se aprobaron y la Circular N° 123-2019 denominada “</w:t>
            </w:r>
            <w:r>
              <w:rPr>
                <w:rFonts w:cs="Tahoma" w:ascii="Tahoma" w:hAnsi="Tahoma"/>
                <w:i/>
                <w:sz w:val="20"/>
                <w:szCs w:val="20"/>
                <w:lang w:val="es-ES"/>
              </w:rPr>
              <w:t xml:space="preserve">Sobre los </w:t>
            </w:r>
            <w:r>
              <w:rPr>
                <w:rFonts w:cs="Tahoma" w:ascii="Tahoma" w:hAnsi="Tahoma"/>
                <w:i/>
                <w:sz w:val="20"/>
                <w:szCs w:val="20"/>
                <w:lang w:val="es-ES_tradnl"/>
              </w:rPr>
              <w:t>21 ejes de acción, recomendados por la Comisión de Acceso a la Justicia, con ocasión del cumplimiento de las Medidas Cautelares N° 321-12 del 30 de abril de 2015, establecidas por la Comisión Interamericana de Derechos Humanos (CIDH) contra Costa Rica”</w:t>
            </w:r>
          </w:p>
        </w:tc>
        <w:tc>
          <w:tcPr>
            <w:tcW w:w="1512"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Media</w:t>
            </w:r>
          </w:p>
        </w:tc>
        <w:tc>
          <w:tcPr>
            <w:tcW w:w="950"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Media</w:t>
            </w:r>
          </w:p>
        </w:tc>
        <w:tc>
          <w:tcPr>
            <w:tcW w:w="1734"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Diana Murillo:</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Gerente General de INDER</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Ing. Jimmy Garita</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INDER</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Ingra. Sandra Angulo Calderón</w:t>
            </w:r>
          </w:p>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INDER</w:t>
            </w:r>
          </w:p>
        </w:tc>
        <w:tc>
          <w:tcPr>
            <w:tcW w:w="17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uppressAutoHyphens w:val="true"/>
              <w:rPr>
                <w:rFonts w:ascii="Tahoma" w:hAnsi="Tahoma" w:cs="Tahoma"/>
                <w:i/>
                <w:i/>
                <w:sz w:val="20"/>
                <w:szCs w:val="20"/>
              </w:rPr>
            </w:pPr>
            <w:r>
              <w:rPr>
                <w:rFonts w:eastAsia="NSimSun" w:cs="Tahoma" w:ascii="Tahoma" w:hAnsi="Tahoma"/>
                <w:i/>
                <w:kern w:val="2"/>
                <w:sz w:val="20"/>
                <w:szCs w:val="20"/>
                <w:lang w:eastAsia="zh-CN" w:bidi="hi-IN"/>
              </w:rPr>
              <w:t>Conversatorio con espacio de consultas por parte de las personas participantes.</w:t>
            </w:r>
          </w:p>
          <w:p>
            <w:pPr>
              <w:pStyle w:val="Normal"/>
              <w:widowControl w:val="false"/>
              <w:suppressLineNumbers/>
              <w:suppressAutoHyphens w:val="true"/>
              <w:spacing w:before="0" w:after="200"/>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tc>
      </w:tr>
      <w:tr>
        <w:trPr/>
        <w:tc>
          <w:tcPr>
            <w:tcW w:w="759" w:type="dxa"/>
            <w:tcBorders>
              <w:top w:val="single" w:sz="4" w:space="0" w:color="000000"/>
              <w:left w:val="single" w:sz="4" w:space="0" w:color="000000"/>
              <w:bottom w:val="single" w:sz="4" w:space="0" w:color="000000"/>
            </w:tcBorders>
            <w:shd w:color="auto" w:fill="auto" w:val="clear"/>
          </w:tcPr>
          <w:p>
            <w:pPr>
              <w:pStyle w:val="Normal"/>
              <w:widowControl w:val="false"/>
              <w:numPr>
                <w:ilvl w:val="0"/>
                <w:numId w:val="25"/>
              </w:numPr>
              <w:suppressAutoHyphens w:val="true"/>
              <w:snapToGrid w:val="false"/>
              <w:spacing w:lineRule="auto" w:line="240" w:before="0" w:after="0"/>
              <w:rPr>
                <w:rFonts w:ascii="Tahoma" w:hAnsi="Tahoma" w:cs="Tahoma"/>
                <w:i/>
                <w:i/>
                <w:sz w:val="20"/>
                <w:szCs w:val="20"/>
              </w:rPr>
            </w:pPr>
            <w:r>
              <w:rPr>
                <w:rFonts w:cs="Tahoma" w:ascii="Tahoma" w:hAnsi="Tahoma"/>
                <w:i/>
                <w:sz w:val="20"/>
                <w:szCs w:val="20"/>
              </w:rPr>
            </w:r>
          </w:p>
        </w:tc>
        <w:tc>
          <w:tcPr>
            <w:tcW w:w="1654"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rPr>
                <w:rFonts w:ascii="Tahoma" w:hAnsi="Tahoma" w:cs="Tahoma"/>
                <w:i/>
                <w:i/>
                <w:sz w:val="20"/>
                <w:szCs w:val="20"/>
              </w:rPr>
            </w:pPr>
            <w:r>
              <w:rPr>
                <w:rFonts w:cs="Tahoma" w:ascii="Tahoma" w:hAnsi="Tahoma"/>
                <w:i/>
                <w:sz w:val="20"/>
                <w:szCs w:val="20"/>
              </w:rPr>
              <w:t>Género y mujeres indígenas</w:t>
            </w:r>
          </w:p>
        </w:tc>
        <w:tc>
          <w:tcPr>
            <w:tcW w:w="2178"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napToGrid w:val="false"/>
              <w:spacing w:before="0" w:after="200"/>
              <w:rPr>
                <w:rFonts w:ascii="Tahoma" w:hAnsi="Tahoma" w:cs="Tahoma"/>
                <w:i/>
                <w:i/>
                <w:sz w:val="20"/>
                <w:szCs w:val="20"/>
              </w:rPr>
            </w:pPr>
            <w:r>
              <w:rPr>
                <w:rFonts w:cs="Tahoma" w:ascii="Tahoma" w:hAnsi="Tahoma"/>
                <w:i/>
                <w:color w:val="000000"/>
                <w:sz w:val="20"/>
                <w:szCs w:val="20"/>
              </w:rPr>
              <w:t>Acuerdos de Corte Plena tomados en sesiones N° 20-19 de 27 de mayo de 2019, Artículo XIX y N° 25-19 de 24 de junio de 2019, Artículo II, donde se aprobaron y la Circular N° 123-2019 denominada “</w:t>
            </w:r>
            <w:r>
              <w:rPr>
                <w:rFonts w:cs="Tahoma" w:ascii="Tahoma" w:hAnsi="Tahoma"/>
                <w:i/>
                <w:sz w:val="20"/>
                <w:szCs w:val="20"/>
                <w:lang w:val="es-ES"/>
              </w:rPr>
              <w:t xml:space="preserve">Sobre los </w:t>
            </w:r>
            <w:r>
              <w:rPr>
                <w:rFonts w:cs="Tahoma" w:ascii="Tahoma" w:hAnsi="Tahoma"/>
                <w:i/>
                <w:sz w:val="20"/>
                <w:szCs w:val="20"/>
                <w:lang w:val="es-ES_tradnl"/>
              </w:rPr>
              <w:t>21 ejes de acción, recomendados por la Comisión de Acceso a la Justicia, con ocasión del cumplimiento de las Medidas Cautelares N° 321-12 del 30 de abril de 2015, establecidas por la Comisión Interamericana de Derechos Humanos (CIDH) contra Costa Rica”</w:t>
            </w:r>
          </w:p>
        </w:tc>
        <w:tc>
          <w:tcPr>
            <w:tcW w:w="1512"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Media</w:t>
            </w:r>
          </w:p>
        </w:tc>
        <w:tc>
          <w:tcPr>
            <w:tcW w:w="950"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Media</w:t>
            </w:r>
          </w:p>
        </w:tc>
        <w:tc>
          <w:tcPr>
            <w:tcW w:w="1734"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Antropóloga Valeria Varas</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INAMU</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 xml:space="preserve">Máster Melissa </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Benavides</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Unidad Acceso a la Justicia</w:t>
            </w:r>
          </w:p>
          <w:p>
            <w:pPr>
              <w:pStyle w:val="Normal"/>
              <w:widowControl w:val="false"/>
              <w:suppressLineNumbers/>
              <w:suppressAutoHyphens w:val="true"/>
              <w:spacing w:before="0" w:after="200"/>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tc>
        <w:tc>
          <w:tcPr>
            <w:tcW w:w="17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uppressAutoHyphens w:val="true"/>
              <w:rPr>
                <w:rFonts w:ascii="Tahoma" w:hAnsi="Tahoma" w:cs="Tahoma"/>
                <w:i/>
                <w:i/>
                <w:sz w:val="20"/>
                <w:szCs w:val="20"/>
              </w:rPr>
            </w:pPr>
            <w:r>
              <w:rPr>
                <w:rFonts w:eastAsia="NSimSun" w:cs="Tahoma" w:ascii="Tahoma" w:hAnsi="Tahoma"/>
                <w:i/>
                <w:kern w:val="2"/>
                <w:sz w:val="20"/>
                <w:szCs w:val="20"/>
                <w:lang w:eastAsia="zh-CN" w:bidi="hi-IN"/>
              </w:rPr>
              <w:t>Taller de 2 días.</w:t>
            </w:r>
          </w:p>
          <w:p>
            <w:pPr>
              <w:pStyle w:val="Normal"/>
              <w:widowControl w:val="false"/>
              <w:spacing w:lineRule="auto" w:line="240" w:before="0" w:after="0"/>
              <w:rPr>
                <w:rFonts w:ascii="Tahoma" w:hAnsi="Tahoma" w:cs="Tahoma"/>
                <w:i/>
                <w:i/>
                <w:sz w:val="20"/>
                <w:szCs w:val="20"/>
              </w:rPr>
            </w:pPr>
            <w:r>
              <w:rPr>
                <w:rFonts w:cs="Tahoma" w:ascii="Tahoma" w:hAnsi="Tahoma"/>
                <w:i/>
                <w:kern w:val="2"/>
                <w:sz w:val="20"/>
                <w:szCs w:val="20"/>
              </w:rPr>
              <w:t>Producto: buena práctica para aplicar.</w:t>
            </w:r>
          </w:p>
          <w:p>
            <w:pPr>
              <w:pStyle w:val="Normal"/>
              <w:widowControl w:val="false"/>
              <w:suppressLineNumbers/>
              <w:suppressAutoHyphens w:val="true"/>
              <w:spacing w:before="0" w:after="200"/>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tc>
      </w:tr>
      <w:tr>
        <w:trPr/>
        <w:tc>
          <w:tcPr>
            <w:tcW w:w="759" w:type="dxa"/>
            <w:tcBorders>
              <w:top w:val="single" w:sz="4" w:space="0" w:color="000000"/>
              <w:left w:val="single" w:sz="4" w:space="0" w:color="000000"/>
              <w:bottom w:val="single" w:sz="4" w:space="0" w:color="000000"/>
            </w:tcBorders>
            <w:shd w:color="auto" w:fill="auto" w:val="clear"/>
          </w:tcPr>
          <w:p>
            <w:pPr>
              <w:pStyle w:val="Normal"/>
              <w:widowControl w:val="false"/>
              <w:numPr>
                <w:ilvl w:val="0"/>
                <w:numId w:val="25"/>
              </w:numPr>
              <w:suppressAutoHyphens w:val="true"/>
              <w:snapToGrid w:val="false"/>
              <w:spacing w:lineRule="auto" w:line="240" w:before="0" w:after="0"/>
              <w:rPr>
                <w:rFonts w:ascii="Tahoma" w:hAnsi="Tahoma" w:eastAsia="NSimSun" w:cs="Tahoma"/>
                <w:i/>
                <w:i/>
                <w:color w:val="000000"/>
                <w:kern w:val="2"/>
                <w:sz w:val="20"/>
                <w:szCs w:val="20"/>
                <w:highlight w:val="yellow"/>
                <w:lang w:eastAsia="zh-CN" w:bidi="hi-IN"/>
              </w:rPr>
            </w:pPr>
            <w:r>
              <w:rPr>
                <w:rFonts w:eastAsia="NSimSun" w:cs="Tahoma" w:ascii="Tahoma" w:hAnsi="Tahoma"/>
                <w:i/>
                <w:color w:val="000000"/>
                <w:kern w:val="2"/>
                <w:sz w:val="20"/>
                <w:szCs w:val="20"/>
                <w:highlight w:val="yellow"/>
                <w:lang w:eastAsia="zh-CN" w:bidi="hi-IN"/>
              </w:rPr>
            </w:r>
          </w:p>
        </w:tc>
        <w:tc>
          <w:tcPr>
            <w:tcW w:w="1654" w:type="dxa"/>
            <w:tcBorders>
              <w:top w:val="single" w:sz="4" w:space="0" w:color="000000"/>
              <w:left w:val="single" w:sz="4" w:space="0" w:color="000000"/>
              <w:bottom w:val="single" w:sz="4" w:space="0" w:color="000000"/>
            </w:tcBorders>
            <w:shd w:color="auto" w:fill="auto" w:val="clear"/>
          </w:tcPr>
          <w:p>
            <w:pPr>
              <w:pStyle w:val="Normal"/>
              <w:widowControl w:val="false"/>
              <w:rPr>
                <w:rFonts w:ascii="Tahoma" w:hAnsi="Tahoma" w:cs="Tahoma"/>
                <w:i/>
                <w:i/>
                <w:sz w:val="20"/>
                <w:szCs w:val="20"/>
              </w:rPr>
            </w:pPr>
            <w:r>
              <w:rPr>
                <w:rFonts w:cs="Tahoma" w:ascii="Tahoma" w:hAnsi="Tahoma"/>
                <w:i/>
                <w:sz w:val="20"/>
                <w:szCs w:val="20"/>
              </w:rPr>
              <w:t>Peritajes Culturales:</w:t>
            </w:r>
          </w:p>
          <w:p>
            <w:pPr>
              <w:pStyle w:val="Normal"/>
              <w:widowControl w:val="false"/>
              <w:rPr>
                <w:rFonts w:ascii="Tahoma" w:hAnsi="Tahoma" w:cs="Tahoma"/>
                <w:i/>
                <w:i/>
                <w:sz w:val="20"/>
                <w:szCs w:val="20"/>
              </w:rPr>
            </w:pPr>
            <w:r>
              <w:rPr>
                <w:rFonts w:cs="Tahoma" w:ascii="Tahoma" w:hAnsi="Tahoma"/>
                <w:i/>
                <w:sz w:val="20"/>
                <w:szCs w:val="20"/>
              </w:rPr>
            </w:r>
          </w:p>
          <w:p>
            <w:pPr>
              <w:pStyle w:val="Normal"/>
              <w:widowControl w:val="false"/>
              <w:rPr>
                <w:rFonts w:ascii="Tahoma" w:hAnsi="Tahoma" w:cs="Tahoma"/>
                <w:i/>
                <w:i/>
                <w:sz w:val="20"/>
                <w:szCs w:val="20"/>
              </w:rPr>
            </w:pPr>
            <w:r>
              <w:rPr>
                <w:rFonts w:cs="Tahoma" w:ascii="Tahoma" w:hAnsi="Tahoma"/>
                <w:i/>
                <w:sz w:val="20"/>
                <w:szCs w:val="20"/>
              </w:rPr>
              <w:t>Lecciones aprendidas</w:t>
            </w:r>
          </w:p>
          <w:p>
            <w:pPr>
              <w:pStyle w:val="Normal"/>
              <w:widowControl w:val="false"/>
              <w:rPr>
                <w:rFonts w:ascii="Tahoma" w:hAnsi="Tahoma" w:cs="Tahoma"/>
                <w:i/>
                <w:i/>
                <w:sz w:val="20"/>
                <w:szCs w:val="20"/>
              </w:rPr>
            </w:pPr>
            <w:r>
              <w:rPr>
                <w:rFonts w:cs="Tahoma" w:ascii="Tahoma" w:hAnsi="Tahoma"/>
                <w:i/>
                <w:sz w:val="20"/>
                <w:szCs w:val="20"/>
              </w:rPr>
            </w:r>
          </w:p>
          <w:p>
            <w:pPr>
              <w:pStyle w:val="Normal"/>
              <w:widowControl w:val="false"/>
              <w:rPr>
                <w:rFonts w:ascii="Tahoma" w:hAnsi="Tahoma" w:cs="Tahoma"/>
                <w:i/>
                <w:i/>
                <w:sz w:val="20"/>
                <w:szCs w:val="20"/>
              </w:rPr>
            </w:pPr>
            <w:r>
              <w:rPr>
                <w:rFonts w:cs="Tahoma" w:ascii="Tahoma" w:hAnsi="Tahoma"/>
                <w:i/>
                <w:sz w:val="20"/>
                <w:szCs w:val="20"/>
              </w:rPr>
              <w:t>Aprovechamiento y administración de la información</w:t>
            </w:r>
          </w:p>
          <w:p>
            <w:pPr>
              <w:pStyle w:val="Normal"/>
              <w:widowControl w:val="false"/>
              <w:rPr>
                <w:rFonts w:ascii="Tahoma" w:hAnsi="Tahoma" w:cs="Tahoma"/>
                <w:i/>
                <w:i/>
                <w:sz w:val="20"/>
                <w:szCs w:val="20"/>
              </w:rPr>
            </w:pPr>
            <w:r>
              <w:rPr>
                <w:rFonts w:cs="Tahoma" w:ascii="Tahoma" w:hAnsi="Tahoma"/>
                <w:i/>
                <w:sz w:val="20"/>
                <w:szCs w:val="20"/>
              </w:rPr>
            </w:r>
          </w:p>
          <w:p>
            <w:pPr>
              <w:pStyle w:val="Normal"/>
              <w:widowControl w:val="false"/>
              <w:rPr>
                <w:rFonts w:ascii="Tahoma" w:hAnsi="Tahoma" w:cs="Tahoma"/>
                <w:i/>
                <w:i/>
                <w:sz w:val="20"/>
                <w:szCs w:val="20"/>
              </w:rPr>
            </w:pPr>
            <w:r>
              <w:rPr>
                <w:rFonts w:cs="Tahoma" w:ascii="Tahoma" w:hAnsi="Tahoma"/>
                <w:i/>
                <w:sz w:val="20"/>
                <w:szCs w:val="20"/>
              </w:rPr>
              <w:t>Interpretación del idioma indígena</w:t>
            </w:r>
          </w:p>
          <w:p>
            <w:pPr>
              <w:pStyle w:val="Normal"/>
              <w:widowControl w:val="false"/>
              <w:rPr>
                <w:rFonts w:ascii="Tahoma" w:hAnsi="Tahoma" w:cs="Tahoma"/>
                <w:i/>
                <w:i/>
                <w:sz w:val="20"/>
                <w:szCs w:val="20"/>
              </w:rPr>
            </w:pPr>
            <w:r>
              <w:rPr>
                <w:rFonts w:cs="Tahoma" w:ascii="Tahoma" w:hAnsi="Tahoma"/>
                <w:i/>
                <w:sz w:val="20"/>
                <w:szCs w:val="20"/>
              </w:rPr>
            </w:r>
          </w:p>
          <w:p>
            <w:pPr>
              <w:pStyle w:val="Normal"/>
              <w:widowControl w:val="false"/>
              <w:rPr>
                <w:rFonts w:ascii="Tahoma" w:hAnsi="Tahoma" w:cs="Tahoma"/>
                <w:i/>
                <w:i/>
                <w:sz w:val="20"/>
                <w:szCs w:val="20"/>
              </w:rPr>
            </w:pPr>
            <w:r>
              <w:rPr>
                <w:rFonts w:cs="Tahoma" w:ascii="Tahoma" w:hAnsi="Tahoma"/>
                <w:i/>
                <w:sz w:val="20"/>
                <w:szCs w:val="20"/>
              </w:rPr>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2178"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napToGrid w:val="false"/>
              <w:spacing w:before="0" w:after="200"/>
              <w:rPr>
                <w:rFonts w:ascii="Tahoma" w:hAnsi="Tahoma" w:cs="Tahoma"/>
                <w:i/>
                <w:i/>
                <w:sz w:val="20"/>
                <w:szCs w:val="20"/>
              </w:rPr>
            </w:pPr>
            <w:r>
              <w:rPr>
                <w:rFonts w:cs="Tahoma" w:ascii="Tahoma" w:hAnsi="Tahoma"/>
                <w:i/>
                <w:color w:val="000000"/>
                <w:sz w:val="20"/>
                <w:szCs w:val="20"/>
              </w:rPr>
              <w:t>Acuerdos de Corte Plena tomados en sesiones N° 20-19 de 27 de mayo de 2019, Artículo XIX y N° 25-19 de 24 de junio de 2019, Artículo II, donde se aprobaron y la Circular N° 123-2019 denominada “</w:t>
            </w:r>
            <w:r>
              <w:rPr>
                <w:rFonts w:cs="Tahoma" w:ascii="Tahoma" w:hAnsi="Tahoma"/>
                <w:i/>
                <w:sz w:val="20"/>
                <w:szCs w:val="20"/>
                <w:lang w:val="es-ES"/>
              </w:rPr>
              <w:t xml:space="preserve">Sobre los </w:t>
            </w:r>
            <w:r>
              <w:rPr>
                <w:rFonts w:cs="Tahoma" w:ascii="Tahoma" w:hAnsi="Tahoma"/>
                <w:i/>
                <w:sz w:val="20"/>
                <w:szCs w:val="20"/>
                <w:lang w:val="es-ES_tradnl"/>
              </w:rPr>
              <w:t>21 ejes de acción, recomendados por la Comisión de Acceso a la Justicia, con ocasión del cumplimiento de las Medidas Cautelares N° 321-12 del 30 de abril de 2015, establecidas por la Comisión Interamericana de Derechos Humanos (CIDH) contra Costa Rica”</w:t>
            </w:r>
          </w:p>
        </w:tc>
        <w:tc>
          <w:tcPr>
            <w:tcW w:w="1512"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Media</w:t>
            </w:r>
          </w:p>
        </w:tc>
        <w:tc>
          <w:tcPr>
            <w:tcW w:w="950"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Alta</w:t>
            </w:r>
          </w:p>
        </w:tc>
        <w:tc>
          <w:tcPr>
            <w:tcW w:w="1734"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Dr. Marcos Guevara Berger</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UCR</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Alí García</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UCR</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Javier Rodríguez</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 xml:space="preserve">Coordinador de Proyecto por el National Center </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Patricia Bonilla</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Centro de Información Jurisprudencial</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spacing w:before="0" w:after="200"/>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tc>
        <w:tc>
          <w:tcPr>
            <w:tcW w:w="17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uppressAutoHyphens w:val="true"/>
              <w:rPr>
                <w:rFonts w:ascii="Tahoma" w:hAnsi="Tahoma" w:cs="Tahoma"/>
                <w:i/>
                <w:i/>
                <w:sz w:val="20"/>
                <w:szCs w:val="20"/>
              </w:rPr>
            </w:pPr>
            <w:r>
              <w:rPr>
                <w:rFonts w:eastAsia="NSimSun" w:cs="Tahoma" w:ascii="Tahoma" w:hAnsi="Tahoma"/>
                <w:i/>
                <w:kern w:val="2"/>
                <w:sz w:val="20"/>
                <w:szCs w:val="20"/>
                <w:lang w:eastAsia="zh-CN" w:bidi="hi-IN"/>
              </w:rPr>
              <w:t>Simposio de al menos tres días para el desarrollo de la temática.</w:t>
            </w:r>
          </w:p>
          <w:p>
            <w:pPr>
              <w:pStyle w:val="Normal"/>
              <w:widowControl w:val="false"/>
              <w:suppressLineNumbers/>
              <w:suppressAutoHyphens w:val="true"/>
              <w:spacing w:before="0" w:after="200"/>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tc>
      </w:tr>
      <w:tr>
        <w:trPr/>
        <w:tc>
          <w:tcPr>
            <w:tcW w:w="759" w:type="dxa"/>
            <w:tcBorders>
              <w:top w:val="single" w:sz="4" w:space="0" w:color="000000"/>
              <w:left w:val="single" w:sz="4" w:space="0" w:color="000000"/>
              <w:bottom w:val="single" w:sz="4" w:space="0" w:color="000000"/>
            </w:tcBorders>
            <w:shd w:color="auto" w:fill="auto" w:val="clear"/>
          </w:tcPr>
          <w:p>
            <w:pPr>
              <w:pStyle w:val="Normal"/>
              <w:widowControl w:val="false"/>
              <w:numPr>
                <w:ilvl w:val="0"/>
                <w:numId w:val="25"/>
              </w:numPr>
              <w:suppressAutoHyphens w:val="true"/>
              <w:snapToGrid w:val="false"/>
              <w:spacing w:lineRule="auto" w:line="240" w:before="0" w:after="0"/>
              <w:rPr>
                <w:rFonts w:ascii="Tahoma" w:hAnsi="Tahoma" w:eastAsia="Times New Roman" w:cs="Tahoma"/>
                <w:i/>
                <w:i/>
                <w:color w:val="000000"/>
                <w:kern w:val="2"/>
                <w:sz w:val="20"/>
                <w:szCs w:val="20"/>
                <w:lang w:eastAsia="zh-CN" w:bidi="hi-IN"/>
              </w:rPr>
            </w:pPr>
            <w:r>
              <w:rPr>
                <w:rFonts w:eastAsia="Times New Roman" w:cs="Tahoma" w:ascii="Tahoma" w:hAnsi="Tahoma"/>
                <w:i/>
                <w:color w:val="000000"/>
                <w:kern w:val="2"/>
                <w:sz w:val="20"/>
                <w:szCs w:val="20"/>
                <w:lang w:eastAsia="zh-CN" w:bidi="hi-IN"/>
              </w:rPr>
            </w:r>
          </w:p>
        </w:tc>
        <w:tc>
          <w:tcPr>
            <w:tcW w:w="1654" w:type="dxa"/>
            <w:tcBorders>
              <w:top w:val="single" w:sz="4" w:space="0" w:color="000000"/>
              <w:left w:val="single" w:sz="4" w:space="0" w:color="000000"/>
              <w:bottom w:val="single" w:sz="4" w:space="0" w:color="000000"/>
            </w:tcBorders>
            <w:shd w:color="auto" w:fill="auto" w:val="clear"/>
          </w:tcPr>
          <w:p>
            <w:pPr>
              <w:pStyle w:val="Normal"/>
              <w:widowControl w:val="false"/>
              <w:rPr>
                <w:rFonts w:ascii="Tahoma" w:hAnsi="Tahoma" w:cs="Tahoma"/>
                <w:i/>
                <w:i/>
                <w:sz w:val="20"/>
                <w:szCs w:val="20"/>
              </w:rPr>
            </w:pPr>
            <w:r>
              <w:rPr>
                <w:rFonts w:eastAsia="Times New Roman" w:cs="Tahoma" w:ascii="Tahoma" w:hAnsi="Tahoma"/>
                <w:i/>
                <w:color w:val="000000"/>
                <w:sz w:val="20"/>
                <w:szCs w:val="20"/>
              </w:rPr>
              <w:t>Módulo didáctico sobre Acceso a la Justicia de Pueblos Indígenas</w:t>
            </w:r>
          </w:p>
          <w:p>
            <w:pPr>
              <w:pStyle w:val="Normal"/>
              <w:widowControl w:val="false"/>
              <w:suppressLineNumbers/>
              <w:suppressAutoHyphens w:val="true"/>
              <w:spacing w:before="0" w:after="200"/>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tc>
        <w:tc>
          <w:tcPr>
            <w:tcW w:w="2178"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napToGrid w:val="false"/>
              <w:spacing w:before="0" w:after="200"/>
              <w:rPr>
                <w:rFonts w:ascii="Tahoma" w:hAnsi="Tahoma" w:cs="Tahoma"/>
                <w:i/>
                <w:i/>
                <w:sz w:val="20"/>
                <w:szCs w:val="20"/>
              </w:rPr>
            </w:pPr>
            <w:r>
              <w:rPr>
                <w:rFonts w:cs="Tahoma" w:ascii="Tahoma" w:hAnsi="Tahoma"/>
                <w:i/>
                <w:color w:val="000000"/>
                <w:sz w:val="20"/>
                <w:szCs w:val="20"/>
              </w:rPr>
              <w:t>Acuerdos de Corte Plena tomados en sesiones N° 20-19 de 27 de mayo de 2019, Artículo XIX y N° 25-19 de 24 de junio de 2019, Artículo II, donde se aprobaron y la Circular N° 123-2019 denominada “</w:t>
            </w:r>
            <w:r>
              <w:rPr>
                <w:rFonts w:cs="Tahoma" w:ascii="Tahoma" w:hAnsi="Tahoma"/>
                <w:i/>
                <w:sz w:val="20"/>
                <w:szCs w:val="20"/>
                <w:lang w:val="es-ES"/>
              </w:rPr>
              <w:t xml:space="preserve">Sobre los </w:t>
            </w:r>
            <w:r>
              <w:rPr>
                <w:rFonts w:cs="Tahoma" w:ascii="Tahoma" w:hAnsi="Tahoma"/>
                <w:i/>
                <w:sz w:val="20"/>
                <w:szCs w:val="20"/>
                <w:lang w:val="es-ES_tradnl"/>
              </w:rPr>
              <w:t>21 ejes de acción, recomendados por la Comisión de Acceso a la Justicia, con ocasión del cumplimiento de las Medidas Cautelares N° 321-12 del 30 de abril de 2015, establecidas por la Comisión Interamericana de Derechos Humanos (CIDH) contra Costa Rica”</w:t>
            </w:r>
          </w:p>
        </w:tc>
        <w:tc>
          <w:tcPr>
            <w:tcW w:w="1512"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Alta</w:t>
            </w:r>
          </w:p>
        </w:tc>
        <w:tc>
          <w:tcPr>
            <w:tcW w:w="950"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Media</w:t>
            </w:r>
          </w:p>
        </w:tc>
        <w:tc>
          <w:tcPr>
            <w:tcW w:w="1734"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 xml:space="preserve">Personas integrantes de la Subcomisión de Acceso a la Justicia, representantes de la Judicatura, Fiscalía, Defensa Pública, Trabajo Social y Psicología, </w:t>
            </w:r>
          </w:p>
        </w:tc>
        <w:tc>
          <w:tcPr>
            <w:tcW w:w="17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uppressAutoHyphens w:val="true"/>
              <w:rPr>
                <w:rFonts w:ascii="Tahoma" w:hAnsi="Tahoma" w:cs="Tahoma"/>
                <w:i/>
                <w:i/>
                <w:sz w:val="20"/>
                <w:szCs w:val="20"/>
              </w:rPr>
            </w:pPr>
            <w:r>
              <w:rPr>
                <w:rFonts w:cs="Tahoma" w:ascii="Tahoma" w:hAnsi="Tahoma"/>
                <w:i/>
                <w:kern w:val="2"/>
                <w:sz w:val="20"/>
                <w:szCs w:val="20"/>
              </w:rPr>
              <w:t>Taller de 2 días. Producto: la aplicación de la política de acceso a la Justicia.</w:t>
            </w:r>
          </w:p>
          <w:p>
            <w:pPr>
              <w:pStyle w:val="Normal"/>
              <w:widowControl w:val="false"/>
              <w:suppressLineNumbers/>
              <w:suppressAutoHyphens w:val="true"/>
              <w:spacing w:before="0" w:after="200"/>
              <w:rPr>
                <w:rFonts w:ascii="Tahoma" w:hAnsi="Tahoma" w:cs="Tahoma"/>
                <w:i/>
                <w:i/>
                <w:sz w:val="20"/>
                <w:szCs w:val="20"/>
              </w:rPr>
            </w:pPr>
            <w:r>
              <w:rPr>
                <w:rFonts w:cs="Tahoma" w:ascii="Tahoma" w:hAnsi="Tahoma"/>
                <w:i/>
                <w:sz w:val="20"/>
                <w:szCs w:val="20"/>
              </w:rPr>
            </w:r>
          </w:p>
        </w:tc>
      </w:tr>
      <w:tr>
        <w:trPr/>
        <w:tc>
          <w:tcPr>
            <w:tcW w:w="759" w:type="dxa"/>
            <w:tcBorders>
              <w:top w:val="single" w:sz="4" w:space="0" w:color="000000"/>
              <w:left w:val="single" w:sz="4" w:space="0" w:color="000000"/>
              <w:bottom w:val="single" w:sz="4" w:space="0" w:color="000000"/>
            </w:tcBorders>
            <w:shd w:color="auto" w:fill="auto" w:val="clear"/>
          </w:tcPr>
          <w:p>
            <w:pPr>
              <w:pStyle w:val="Normal"/>
              <w:widowControl w:val="false"/>
              <w:numPr>
                <w:ilvl w:val="0"/>
                <w:numId w:val="25"/>
              </w:numPr>
              <w:suppressAutoHyphens w:val="true"/>
              <w:snapToGrid w:val="false"/>
              <w:spacing w:lineRule="auto" w:line="240" w:before="0" w:after="0"/>
              <w:rPr>
                <w:rFonts w:ascii="Tahoma" w:hAnsi="Tahoma" w:eastAsia="NSimSun" w:cs="Tahoma"/>
                <w:i/>
                <w:i/>
                <w:color w:val="000000"/>
                <w:kern w:val="2"/>
                <w:sz w:val="20"/>
                <w:szCs w:val="20"/>
                <w:highlight w:val="yellow"/>
                <w:lang w:eastAsia="zh-CN" w:bidi="hi-IN"/>
              </w:rPr>
            </w:pPr>
            <w:r>
              <w:rPr>
                <w:rFonts w:eastAsia="NSimSun" w:cs="Tahoma" w:ascii="Tahoma" w:hAnsi="Tahoma"/>
                <w:i/>
                <w:color w:val="000000"/>
                <w:kern w:val="2"/>
                <w:sz w:val="20"/>
                <w:szCs w:val="20"/>
                <w:highlight w:val="yellow"/>
                <w:lang w:eastAsia="zh-CN" w:bidi="hi-IN"/>
              </w:rPr>
            </w:r>
          </w:p>
        </w:tc>
        <w:tc>
          <w:tcPr>
            <w:tcW w:w="1654" w:type="dxa"/>
            <w:tcBorders>
              <w:top w:val="single" w:sz="4" w:space="0" w:color="000000"/>
              <w:left w:val="single" w:sz="4" w:space="0" w:color="000000"/>
              <w:bottom w:val="single" w:sz="4" w:space="0" w:color="000000"/>
            </w:tcBorders>
            <w:shd w:color="auto" w:fill="auto" w:val="clear"/>
          </w:tcPr>
          <w:p>
            <w:pPr>
              <w:pStyle w:val="Normal"/>
              <w:widowControl w:val="false"/>
              <w:rPr>
                <w:rFonts w:ascii="Tahoma" w:hAnsi="Tahoma" w:cs="Tahoma"/>
                <w:i/>
                <w:i/>
                <w:sz w:val="20"/>
                <w:szCs w:val="20"/>
              </w:rPr>
            </w:pPr>
            <w:r>
              <w:rPr>
                <w:rFonts w:eastAsia="NSimSun" w:cs="Tahoma" w:ascii="Tahoma" w:hAnsi="Tahoma"/>
                <w:i/>
                <w:color w:val="000000"/>
                <w:kern w:val="2"/>
                <w:sz w:val="20"/>
                <w:szCs w:val="20"/>
                <w:lang w:eastAsia="zh-CN" w:bidi="hi-IN"/>
              </w:rPr>
              <w:t>Experiencias de la Defensa Pública en la atención de la temática indígena:</w:t>
            </w:r>
          </w:p>
          <w:p>
            <w:pPr>
              <w:pStyle w:val="Normal"/>
              <w:widowControl w:val="fals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rPr>
                <w:rFonts w:ascii="Tahoma" w:hAnsi="Tahoma" w:cs="Tahoma"/>
                <w:i/>
                <w:i/>
                <w:sz w:val="20"/>
                <w:szCs w:val="20"/>
              </w:rPr>
            </w:pPr>
            <w:r>
              <w:rPr>
                <w:rFonts w:eastAsia="NSimSun" w:cs="Tahoma" w:ascii="Tahoma" w:hAnsi="Tahoma"/>
                <w:i/>
                <w:color w:val="000000"/>
                <w:kern w:val="2"/>
                <w:sz w:val="20"/>
                <w:szCs w:val="20"/>
                <w:lang w:eastAsia="zh-CN" w:bidi="hi-IN"/>
              </w:rPr>
              <w:t>Políticas y circulares</w:t>
            </w:r>
          </w:p>
          <w:p>
            <w:pPr>
              <w:pStyle w:val="Normal"/>
              <w:widowControl w:val="fals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rPr>
                <w:rFonts w:ascii="Tahoma" w:hAnsi="Tahoma" w:cs="Tahoma"/>
                <w:i/>
                <w:i/>
                <w:sz w:val="20"/>
                <w:szCs w:val="20"/>
              </w:rPr>
            </w:pPr>
            <w:r>
              <w:rPr>
                <w:rFonts w:eastAsia="NSimSun" w:cs="Tahoma" w:ascii="Tahoma" w:hAnsi="Tahoma"/>
                <w:i/>
                <w:color w:val="000000"/>
                <w:kern w:val="2"/>
                <w:sz w:val="20"/>
                <w:szCs w:val="20"/>
                <w:lang w:eastAsia="zh-CN" w:bidi="hi-IN"/>
              </w:rPr>
              <w:t>Buenas</w:t>
            </w:r>
            <w:r>
              <w:rPr>
                <w:rFonts w:eastAsia="NSimSun" w:cs="Tahoma" w:ascii="Tahoma" w:hAnsi="Tahoma"/>
                <w:i/>
                <w:color w:val="000000"/>
                <w:kern w:val="2"/>
                <w:sz w:val="20"/>
                <w:szCs w:val="20"/>
                <w:highlight w:val="yellow"/>
                <w:lang w:eastAsia="zh-CN" w:bidi="hi-IN"/>
              </w:rPr>
              <w:t xml:space="preserve"> </w:t>
            </w:r>
            <w:r>
              <w:rPr>
                <w:rFonts w:eastAsia="NSimSun" w:cs="Tahoma" w:ascii="Tahoma" w:hAnsi="Tahoma"/>
                <w:i/>
                <w:color w:val="000000"/>
                <w:kern w:val="2"/>
                <w:sz w:val="20"/>
                <w:szCs w:val="20"/>
                <w:lang w:eastAsia="zh-CN" w:bidi="hi-IN"/>
              </w:rPr>
              <w:t>Prácticas</w:t>
            </w:r>
          </w:p>
          <w:p>
            <w:pPr>
              <w:pStyle w:val="Normal"/>
              <w:widowControl w:val="fals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 xml:space="preserve">Peritajes culturales </w:t>
            </w:r>
          </w:p>
        </w:tc>
        <w:tc>
          <w:tcPr>
            <w:tcW w:w="2178"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rPr>
                <w:rFonts w:ascii="Tahoma" w:hAnsi="Tahoma" w:cs="Tahoma"/>
                <w:i/>
                <w:i/>
                <w:sz w:val="20"/>
                <w:szCs w:val="20"/>
              </w:rPr>
            </w:pPr>
            <w:r>
              <w:rPr>
                <w:rFonts w:cs="Tahoma" w:ascii="Tahoma" w:hAnsi="Tahoma"/>
                <w:i/>
                <w:color w:val="000000"/>
                <w:sz w:val="20"/>
                <w:szCs w:val="20"/>
              </w:rPr>
              <w:t>Acuerdos de Corte Plena tomados en sesiones N° 20-19 de 27 de mayo de 2019, Artículo XIX y N° 25-19 de 24 de junio de 2019, Artículo II, donde se aprobaron y la Circular N° 123-2019 denominada “</w:t>
            </w:r>
            <w:r>
              <w:rPr>
                <w:rFonts w:cs="Tahoma" w:ascii="Tahoma" w:hAnsi="Tahoma"/>
                <w:i/>
                <w:sz w:val="20"/>
                <w:szCs w:val="20"/>
                <w:lang w:val="es-ES"/>
              </w:rPr>
              <w:t xml:space="preserve">Sobre los </w:t>
            </w:r>
            <w:r>
              <w:rPr>
                <w:rFonts w:cs="Tahoma" w:ascii="Tahoma" w:hAnsi="Tahoma"/>
                <w:i/>
                <w:sz w:val="20"/>
                <w:szCs w:val="20"/>
                <w:lang w:val="es-ES_tradnl"/>
              </w:rPr>
              <w:t>21 ejes de acción, recomendados por la Comisión de Acceso a la Justicia, con ocasión del cumplimiento de las Medidas Cautelares N° 321-12 del 30 de abril de 2015, establecidas por la Comisión Interamericana de Derechos Humanos (CIDH) contra Costa Rica”</w:t>
            </w:r>
          </w:p>
        </w:tc>
        <w:tc>
          <w:tcPr>
            <w:tcW w:w="1512"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Media</w:t>
            </w:r>
          </w:p>
        </w:tc>
        <w:tc>
          <w:tcPr>
            <w:tcW w:w="950"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Alta</w:t>
            </w:r>
          </w:p>
        </w:tc>
        <w:tc>
          <w:tcPr>
            <w:tcW w:w="1734"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Dra. Diana Montero Montero</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Directora Defensa Pública</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Dr. Erick Núñez Rodríguez</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Subdirector de la Defensa Pública</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Licda. Ligia Jiménez</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Defensa Pública Indígena</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 xml:space="preserve">Lic. Jesús Chaves Mora </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 xml:space="preserve">Defensa Pública Indígena </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spacing w:before="0" w:after="200"/>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tc>
        <w:tc>
          <w:tcPr>
            <w:tcW w:w="17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uppressAutoHyphens w:val="true"/>
              <w:rPr>
                <w:rFonts w:ascii="Tahoma" w:hAnsi="Tahoma" w:cs="Tahoma"/>
                <w:i/>
                <w:i/>
                <w:sz w:val="20"/>
                <w:szCs w:val="20"/>
              </w:rPr>
            </w:pPr>
            <w:r>
              <w:rPr>
                <w:rFonts w:eastAsia="NSimSun" w:cs="Tahoma" w:ascii="Tahoma" w:hAnsi="Tahoma"/>
                <w:i/>
                <w:kern w:val="2"/>
                <w:sz w:val="20"/>
                <w:szCs w:val="20"/>
                <w:lang w:eastAsia="zh-CN" w:bidi="hi-IN"/>
              </w:rPr>
              <w:t>Conferencia puntual con espacio para preguntas</w:t>
            </w:r>
          </w:p>
          <w:p>
            <w:pPr>
              <w:pStyle w:val="Normal"/>
              <w:widowControl w:val="false"/>
              <w:suppressLineNumbers/>
              <w:suppressAutoHyphens w:val="true"/>
              <w:spacing w:before="0" w:after="200"/>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tc>
      </w:tr>
      <w:tr>
        <w:trPr/>
        <w:tc>
          <w:tcPr>
            <w:tcW w:w="759" w:type="dxa"/>
            <w:tcBorders>
              <w:top w:val="single" w:sz="4" w:space="0" w:color="000000"/>
              <w:left w:val="single" w:sz="4" w:space="0" w:color="000000"/>
              <w:bottom w:val="single" w:sz="4" w:space="0" w:color="000000"/>
            </w:tcBorders>
            <w:shd w:color="auto" w:fill="auto" w:val="clear"/>
          </w:tcPr>
          <w:p>
            <w:pPr>
              <w:pStyle w:val="NormalWeb"/>
              <w:widowControl w:val="false"/>
              <w:numPr>
                <w:ilvl w:val="0"/>
                <w:numId w:val="25"/>
              </w:numPr>
              <w:suppressAutoHyphens w:val="true"/>
              <w:snapToGrid w:val="false"/>
              <w:spacing w:beforeAutospacing="0" w:before="280" w:afterAutospacing="0" w:after="280"/>
              <w:rPr>
                <w:rFonts w:ascii="Tahoma" w:hAnsi="Tahoma" w:eastAsia="NSimSun" w:cs="Tahoma"/>
                <w:i/>
                <w:i/>
                <w:color w:val="000000"/>
                <w:kern w:val="2"/>
                <w:sz w:val="20"/>
                <w:szCs w:val="20"/>
                <w:highlight w:val="yellow"/>
                <w:lang w:eastAsia="zh-CN" w:bidi="hi-IN"/>
              </w:rPr>
            </w:pPr>
            <w:r>
              <w:rPr>
                <w:rFonts w:eastAsia="NSimSun" w:cs="Tahoma" w:ascii="Tahoma" w:hAnsi="Tahoma"/>
                <w:i/>
                <w:color w:val="000000"/>
                <w:kern w:val="2"/>
                <w:sz w:val="20"/>
                <w:szCs w:val="20"/>
                <w:highlight w:val="yellow"/>
                <w:lang w:eastAsia="zh-CN" w:bidi="hi-IN"/>
              </w:rPr>
            </w:r>
          </w:p>
        </w:tc>
        <w:tc>
          <w:tcPr>
            <w:tcW w:w="1654" w:type="dxa"/>
            <w:tcBorders>
              <w:top w:val="single" w:sz="4" w:space="0" w:color="000000"/>
              <w:left w:val="single" w:sz="4" w:space="0" w:color="000000"/>
              <w:bottom w:val="single" w:sz="4" w:space="0" w:color="000000"/>
            </w:tcBorders>
            <w:shd w:color="auto" w:fill="auto" w:val="clear"/>
          </w:tcPr>
          <w:p>
            <w:pPr>
              <w:pStyle w:val="NormalWeb"/>
              <w:widowControl w:val="false"/>
              <w:spacing w:before="280" w:after="280"/>
              <w:rPr>
                <w:rFonts w:ascii="Tahoma" w:hAnsi="Tahoma" w:cs="Tahoma"/>
                <w:i/>
                <w:i/>
                <w:sz w:val="20"/>
                <w:szCs w:val="20"/>
              </w:rPr>
            </w:pPr>
            <w:r>
              <w:rPr>
                <w:rFonts w:cs="Tahoma" w:ascii="Tahoma" w:hAnsi="Tahoma"/>
                <w:i/>
                <w:sz w:val="20"/>
                <w:szCs w:val="20"/>
              </w:rPr>
              <w:t>Capacitación en temáticas vinculadas con pueblos y territorios indígenas</w:t>
            </w:r>
          </w:p>
          <w:p>
            <w:pPr>
              <w:pStyle w:val="NormalWeb"/>
              <w:widowControl w:val="false"/>
              <w:spacing w:before="280" w:after="280"/>
              <w:rPr>
                <w:rFonts w:ascii="Tahoma" w:hAnsi="Tahoma" w:cs="Tahoma"/>
                <w:i/>
                <w:i/>
                <w:sz w:val="20"/>
                <w:szCs w:val="20"/>
              </w:rPr>
            </w:pPr>
            <w:r>
              <w:rPr>
                <w:rFonts w:cs="Tahoma" w:ascii="Tahoma" w:hAnsi="Tahoma"/>
                <w:i/>
                <w:sz w:val="20"/>
                <w:szCs w:val="20"/>
              </w:rPr>
              <w:t>Capacitación desarrollada por la UCR compuesta por 6 módulos temáticos con un sitio virtual para la interlocución de las personas participantes.</w:t>
            </w:r>
          </w:p>
          <w:p>
            <w:pPr>
              <w:pStyle w:val="NormalWeb"/>
              <w:widowControl w:val="false"/>
              <w:spacing w:before="280" w:after="280"/>
              <w:rPr>
                <w:rFonts w:ascii="Tahoma" w:hAnsi="Tahoma" w:cs="Tahoma"/>
                <w:i/>
                <w:i/>
                <w:sz w:val="20"/>
                <w:szCs w:val="20"/>
              </w:rPr>
            </w:pPr>
            <w:r>
              <w:rPr>
                <w:rFonts w:cs="Tahoma" w:ascii="Tahoma" w:hAnsi="Tahoma"/>
                <w:i/>
                <w:sz w:val="20"/>
                <w:szCs w:val="20"/>
              </w:rPr>
              <w:t>Se adicionaron dos módulos:</w:t>
            </w:r>
          </w:p>
          <w:p>
            <w:pPr>
              <w:pStyle w:val="NormalWeb"/>
              <w:widowControl w:val="false"/>
              <w:spacing w:before="280" w:after="280"/>
              <w:rPr>
                <w:rFonts w:ascii="Tahoma" w:hAnsi="Tahoma" w:cs="Tahoma"/>
                <w:i/>
                <w:i/>
                <w:sz w:val="20"/>
                <w:szCs w:val="20"/>
              </w:rPr>
            </w:pPr>
            <w:r>
              <w:rPr>
                <w:rFonts w:cs="Tahoma" w:ascii="Tahoma" w:hAnsi="Tahoma"/>
                <w:i/>
                <w:sz w:val="20"/>
                <w:szCs w:val="20"/>
              </w:rPr>
              <w:t>-Concepción tradicional de la tierra</w:t>
            </w:r>
          </w:p>
          <w:p>
            <w:pPr>
              <w:pStyle w:val="NormalWeb"/>
              <w:widowControl w:val="false"/>
              <w:spacing w:before="280" w:after="280"/>
              <w:rPr>
                <w:rFonts w:ascii="Tahoma" w:hAnsi="Tahoma" w:cs="Tahoma"/>
                <w:i/>
                <w:i/>
                <w:sz w:val="20"/>
                <w:szCs w:val="20"/>
              </w:rPr>
            </w:pPr>
            <w:r>
              <w:rPr>
                <w:rFonts w:cs="Tahoma" w:ascii="Tahoma" w:hAnsi="Tahoma"/>
                <w:i/>
                <w:sz w:val="20"/>
                <w:szCs w:val="20"/>
              </w:rPr>
              <w:t>-Peritaje cultural</w:t>
            </w:r>
          </w:p>
        </w:tc>
        <w:tc>
          <w:tcPr>
            <w:tcW w:w="2178"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napToGrid w:val="false"/>
              <w:spacing w:before="0" w:after="200"/>
              <w:rPr>
                <w:rFonts w:ascii="Tahoma" w:hAnsi="Tahoma" w:cs="Tahoma"/>
                <w:i/>
                <w:i/>
                <w:sz w:val="20"/>
                <w:szCs w:val="20"/>
              </w:rPr>
            </w:pPr>
            <w:r>
              <w:rPr>
                <w:rFonts w:cs="Tahoma" w:ascii="Tahoma" w:hAnsi="Tahoma"/>
                <w:i/>
                <w:color w:val="000000"/>
                <w:sz w:val="20"/>
                <w:szCs w:val="20"/>
              </w:rPr>
              <w:t>Acuerdos de Corte Plena tomados en sesiones N° 20-19 de 27 de mayo de 2019, Artículo XIX y N° 25-19 de 24 de junio de 2019, Artículo II, donde se aprobaron y la Circular N° 123-2019 denominada “</w:t>
            </w:r>
            <w:r>
              <w:rPr>
                <w:rFonts w:cs="Tahoma" w:ascii="Tahoma" w:hAnsi="Tahoma"/>
                <w:i/>
                <w:sz w:val="20"/>
                <w:szCs w:val="20"/>
                <w:lang w:val="es-ES"/>
              </w:rPr>
              <w:t xml:space="preserve">Sobre los </w:t>
            </w:r>
            <w:r>
              <w:rPr>
                <w:rFonts w:cs="Tahoma" w:ascii="Tahoma" w:hAnsi="Tahoma"/>
                <w:i/>
                <w:sz w:val="20"/>
                <w:szCs w:val="20"/>
                <w:lang w:val="es-ES_tradnl"/>
              </w:rPr>
              <w:t>21 ejes de acción, recomendados por la Comisión de Acceso a la Justicia, con ocasión del cumplimiento de las Medidas Cautelares N° 321-12 del 30 de abril de 2015, establecidas por la Comisión Interamericana de Derechos Humanos (CIDH) contra Costa Rica”</w:t>
            </w:r>
          </w:p>
        </w:tc>
        <w:tc>
          <w:tcPr>
            <w:tcW w:w="1512"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Alta</w:t>
            </w:r>
          </w:p>
        </w:tc>
        <w:tc>
          <w:tcPr>
            <w:tcW w:w="950"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Alta</w:t>
            </w:r>
          </w:p>
        </w:tc>
        <w:tc>
          <w:tcPr>
            <w:tcW w:w="1734"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Dra. Vania Solano</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UCR</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Dr. Marcos Guevara</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UCR</w:t>
            </w:r>
          </w:p>
          <w:p>
            <w:pPr>
              <w:pStyle w:val="Normal"/>
              <w:widowControl w:val="false"/>
              <w:suppressLineNumbers/>
              <w:suppressAutoHyphens w:val="true"/>
              <w:jc w:val="both"/>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spacing w:before="0" w:after="200"/>
              <w:jc w:val="both"/>
              <w:rPr>
                <w:rFonts w:ascii="Tahoma" w:hAnsi="Tahoma" w:cs="Tahoma"/>
                <w:i/>
                <w:i/>
                <w:sz w:val="20"/>
                <w:szCs w:val="20"/>
              </w:rPr>
            </w:pPr>
            <w:r>
              <w:rPr>
                <w:rFonts w:cs="Tahoma" w:ascii="Tahoma" w:hAnsi="Tahoma"/>
                <w:i/>
                <w:sz w:val="20"/>
                <w:szCs w:val="20"/>
              </w:rPr>
            </w:r>
          </w:p>
        </w:tc>
        <w:tc>
          <w:tcPr>
            <w:tcW w:w="17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uppressAutoHyphens w:val="true"/>
              <w:rPr>
                <w:rFonts w:ascii="Tahoma" w:hAnsi="Tahoma" w:cs="Tahoma"/>
                <w:i/>
                <w:i/>
                <w:sz w:val="20"/>
                <w:szCs w:val="20"/>
              </w:rPr>
            </w:pPr>
            <w:r>
              <w:rPr>
                <w:rFonts w:eastAsia="NSimSun" w:cs="Tahoma" w:ascii="Tahoma" w:hAnsi="Tahoma"/>
                <w:i/>
                <w:kern w:val="2"/>
                <w:sz w:val="20"/>
                <w:szCs w:val="20"/>
                <w:lang w:eastAsia="zh-CN" w:bidi="hi-IN"/>
              </w:rPr>
              <w:t>Curso que se desarrolla en la Universidad de Costa Rica.</w:t>
            </w:r>
          </w:p>
          <w:p>
            <w:pPr>
              <w:pStyle w:val="Normal"/>
              <w:widowControl w:val="false"/>
              <w:suppressLineNumbers/>
              <w:suppressAutoHyphens w:val="true"/>
              <w:rPr>
                <w:rFonts w:ascii="Tahoma" w:hAnsi="Tahoma" w:cs="Tahoma"/>
                <w:i/>
                <w:i/>
                <w:sz w:val="20"/>
                <w:szCs w:val="20"/>
              </w:rPr>
            </w:pPr>
            <w:r>
              <w:rPr>
                <w:rFonts w:eastAsia="NSimSun" w:cs="Tahoma" w:ascii="Tahoma" w:hAnsi="Tahoma"/>
                <w:i/>
                <w:kern w:val="2"/>
                <w:sz w:val="20"/>
                <w:szCs w:val="20"/>
                <w:lang w:eastAsia="zh-CN" w:bidi="hi-IN"/>
              </w:rPr>
              <w:t>Programa de Educación Continua, Facultad de Derecho.</w:t>
            </w:r>
          </w:p>
          <w:p>
            <w:pPr>
              <w:pStyle w:val="Normal"/>
              <w:widowControl w:val="false"/>
              <w:suppressLineNumbers/>
              <w:suppressAutoHyphens w:val="true"/>
              <w:spacing w:before="0" w:after="200"/>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tc>
      </w:tr>
    </w:tbl>
    <w:p>
      <w:pPr>
        <w:pStyle w:val="Normal"/>
        <w:spacing w:before="0" w:after="0"/>
        <w:ind w:left="708" w:right="141" w:hanging="0"/>
        <w:jc w:val="both"/>
        <w:rPr>
          <w:rFonts w:ascii="Tahoma" w:hAnsi="Tahoma" w:cs="Tahoma"/>
          <w:i/>
          <w:i/>
          <w:sz w:val="20"/>
          <w:szCs w:val="20"/>
        </w:rPr>
      </w:pPr>
      <w:r>
        <w:rPr>
          <w:rFonts w:cs="Tahoma" w:ascii="Tahoma" w:hAnsi="Tahoma"/>
          <w:i/>
          <w:sz w:val="20"/>
          <w:szCs w:val="20"/>
        </w:rPr>
      </w:r>
    </w:p>
    <w:p>
      <w:pPr>
        <w:pStyle w:val="Prrafodelista1"/>
        <w:ind w:left="1080" w:right="851" w:hanging="0"/>
        <w:jc w:val="both"/>
        <w:rPr>
          <w:rFonts w:ascii="Tahoma" w:hAnsi="Tahoma" w:cs="Tahoma"/>
          <w:i/>
          <w:i/>
          <w:sz w:val="20"/>
          <w:szCs w:val="20"/>
        </w:rPr>
      </w:pPr>
      <w:r>
        <w:rPr>
          <w:rFonts w:cs="Tahoma" w:ascii="Tahoma" w:hAnsi="Tahoma"/>
          <w:i/>
          <w:sz w:val="20"/>
          <w:szCs w:val="20"/>
        </w:rPr>
      </w:r>
    </w:p>
    <w:p>
      <w:pPr>
        <w:pStyle w:val="Prrafodelista1"/>
        <w:ind w:left="1080" w:right="851" w:hanging="0"/>
        <w:jc w:val="both"/>
        <w:rPr>
          <w:rFonts w:ascii="Tahoma" w:hAnsi="Tahoma" w:cs="Tahoma"/>
          <w:i/>
          <w:i/>
          <w:sz w:val="20"/>
          <w:szCs w:val="20"/>
        </w:rPr>
      </w:pPr>
      <w:r>
        <w:rPr>
          <w:rFonts w:cs="Tahoma" w:ascii="Tahoma" w:hAnsi="Tahoma"/>
          <w:i/>
          <w:sz w:val="20"/>
          <w:szCs w:val="20"/>
          <w:lang w:val="es-ES"/>
        </w:rPr>
        <w:t>Se solicita verificar que en los contenidos de los diseños de las capacitaciones en Derecho Indígena, se incluya al menos:</w:t>
      </w:r>
    </w:p>
    <w:p>
      <w:pPr>
        <w:pStyle w:val="Prrafodelista1"/>
        <w:numPr>
          <w:ilvl w:val="0"/>
          <w:numId w:val="24"/>
        </w:numPr>
        <w:ind w:left="1637" w:right="851" w:hanging="360"/>
        <w:jc w:val="both"/>
        <w:rPr>
          <w:rFonts w:ascii="Tahoma" w:hAnsi="Tahoma" w:cs="Tahoma"/>
          <w:i/>
          <w:i/>
          <w:sz w:val="20"/>
          <w:szCs w:val="20"/>
        </w:rPr>
      </w:pPr>
      <w:r>
        <w:rPr>
          <w:rFonts w:cs="Tahoma" w:ascii="Tahoma" w:hAnsi="Tahoma"/>
          <w:i/>
          <w:sz w:val="20"/>
          <w:szCs w:val="20"/>
          <w:lang w:val="es-ES"/>
        </w:rPr>
        <w:t>Normativa internacional referida a los derechos de las personas indígenas, entre ellos, el Convenio relativo a la protección e integración de las poblaciones indígenas y de otras poblaciones tribales y semitribales en los países 1957 (Convenio 107 OIT), Convenio sobre Pueblos Indígenas y Tribales 1989 (Convenio 169 OIT), Declaración de las Naciones Unidas sobre los derechos de los Pueblos Indígenas 2007, Declaración Americana sobre Derechos de los Pueblos Indígenas OEA 2016</w:t>
      </w:r>
    </w:p>
    <w:p>
      <w:pPr>
        <w:pStyle w:val="Prrafodelista1"/>
        <w:numPr>
          <w:ilvl w:val="0"/>
          <w:numId w:val="24"/>
        </w:numPr>
        <w:ind w:left="1637" w:right="851" w:hanging="360"/>
        <w:jc w:val="both"/>
        <w:rPr>
          <w:rFonts w:ascii="Tahoma" w:hAnsi="Tahoma" w:cs="Tahoma"/>
          <w:i/>
          <w:i/>
          <w:sz w:val="20"/>
          <w:szCs w:val="20"/>
        </w:rPr>
      </w:pPr>
      <w:r>
        <w:rPr>
          <w:rFonts w:cs="Tahoma" w:ascii="Tahoma" w:hAnsi="Tahoma"/>
          <w:i/>
          <w:sz w:val="20"/>
          <w:szCs w:val="20"/>
          <w:lang w:val="es-ES"/>
        </w:rPr>
        <w:t>Jurisprudencia de la Corte Interamericana de Derechos Humanos vinculada con pueblos Indígenas incluyendo la Opinión Consultiva 23-2017</w:t>
      </w:r>
    </w:p>
    <w:p>
      <w:pPr>
        <w:pStyle w:val="Prrafodelista1"/>
        <w:numPr>
          <w:ilvl w:val="0"/>
          <w:numId w:val="24"/>
        </w:numPr>
        <w:ind w:left="1637" w:right="851" w:hanging="360"/>
        <w:jc w:val="both"/>
        <w:rPr>
          <w:rFonts w:ascii="Tahoma" w:hAnsi="Tahoma" w:cs="Tahoma"/>
          <w:i/>
          <w:i/>
          <w:sz w:val="20"/>
          <w:szCs w:val="20"/>
        </w:rPr>
      </w:pPr>
      <w:r>
        <w:rPr>
          <w:rFonts w:cs="Tahoma" w:ascii="Tahoma" w:hAnsi="Tahoma"/>
          <w:i/>
          <w:sz w:val="20"/>
          <w:szCs w:val="20"/>
          <w:lang w:val="es-ES"/>
        </w:rPr>
        <w:t>Constitución Política, Ley Indígena, Ley de Acceso a la Justicia de los Pueblos Indígenas, Ley de Protección del Derecho a la Nacionalidad de la Persona Indígena y Garantía de Integración de la Persona Indígena Transfronteriza, entre otras.</w:t>
      </w:r>
    </w:p>
    <w:p>
      <w:pPr>
        <w:pStyle w:val="Prrafodelista1"/>
        <w:numPr>
          <w:ilvl w:val="0"/>
          <w:numId w:val="24"/>
        </w:numPr>
        <w:ind w:left="1637" w:right="851" w:hanging="360"/>
        <w:jc w:val="both"/>
        <w:rPr>
          <w:rFonts w:ascii="Tahoma" w:hAnsi="Tahoma" w:cs="Tahoma"/>
          <w:i/>
          <w:i/>
          <w:sz w:val="20"/>
          <w:szCs w:val="20"/>
        </w:rPr>
      </w:pPr>
      <w:r>
        <w:rPr>
          <w:rFonts w:cs="Tahoma" w:ascii="Tahoma" w:hAnsi="Tahoma"/>
          <w:i/>
          <w:sz w:val="20"/>
          <w:szCs w:val="20"/>
          <w:lang w:val="es-ES"/>
        </w:rPr>
        <w:t>Jurisprudencia de las Salas de Casación y de la Sala Constitucional de la Corte Suprema de Justicia.</w:t>
      </w:r>
    </w:p>
    <w:p>
      <w:pPr>
        <w:pStyle w:val="Prrafodelista1"/>
        <w:numPr>
          <w:ilvl w:val="0"/>
          <w:numId w:val="24"/>
        </w:numPr>
        <w:ind w:left="1637" w:right="851" w:hanging="360"/>
        <w:jc w:val="both"/>
        <w:rPr>
          <w:rFonts w:ascii="Tahoma" w:hAnsi="Tahoma" w:cs="Tahoma"/>
          <w:i/>
          <w:i/>
          <w:sz w:val="20"/>
          <w:szCs w:val="20"/>
        </w:rPr>
      </w:pPr>
      <w:r>
        <w:rPr>
          <w:rFonts w:cs="Tahoma" w:ascii="Tahoma" w:hAnsi="Tahoma"/>
          <w:i/>
          <w:sz w:val="20"/>
          <w:szCs w:val="20"/>
          <w:lang w:val="es-ES"/>
        </w:rPr>
        <w:t>Lineamientos y circulares de Corte Plena y del Consejo Superior vinculados con las reglas para los procesos en los que estén involucradas personas indígenas; además, los alcances y distinción entre el sistema monista y el pluralismo jurídico.</w:t>
      </w:r>
    </w:p>
    <w:p>
      <w:pPr>
        <w:pStyle w:val="Normal"/>
        <w:ind w:left="1559" w:right="851" w:firstLine="709"/>
        <w:jc w:val="both"/>
        <w:rPr>
          <w:rFonts w:ascii="Tahoma" w:hAnsi="Tahoma" w:cs="Tahoma"/>
          <w:i/>
          <w:i/>
          <w:sz w:val="20"/>
          <w:szCs w:val="20"/>
          <w:lang w:val="es-ES"/>
        </w:rPr>
      </w:pPr>
      <w:r>
        <w:rPr>
          <w:rFonts w:cs="Tahoma" w:ascii="Tahoma" w:hAnsi="Tahoma"/>
          <w:i/>
          <w:sz w:val="20"/>
          <w:szCs w:val="20"/>
          <w:lang w:val="es-ES"/>
        </w:rPr>
      </w:r>
    </w:p>
    <w:tbl>
      <w:tblPr>
        <w:tblW w:w="9975" w:type="dxa"/>
        <w:jc w:val="left"/>
        <w:tblInd w:w="57" w:type="dxa"/>
        <w:tblLayout w:type="fixed"/>
        <w:tblCellMar>
          <w:top w:w="57" w:type="dxa"/>
          <w:left w:w="57" w:type="dxa"/>
          <w:bottom w:w="57" w:type="dxa"/>
          <w:right w:w="57" w:type="dxa"/>
        </w:tblCellMar>
        <w:tblLook w:firstRow="0" w:noVBand="0" w:lastRow="0" w:firstColumn="0" w:lastColumn="0" w:noHBand="0" w:val="0000"/>
      </w:tblPr>
      <w:tblGrid>
        <w:gridCol w:w="795"/>
        <w:gridCol w:w="2527"/>
        <w:gridCol w:w="1662"/>
        <w:gridCol w:w="1663"/>
        <w:gridCol w:w="1288"/>
        <w:gridCol w:w="2039"/>
      </w:tblGrid>
      <w:tr>
        <w:trPr/>
        <w:tc>
          <w:tcPr>
            <w:tcW w:w="795"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b/>
                <w:bCs/>
                <w:i/>
                <w:sz w:val="20"/>
                <w:szCs w:val="20"/>
              </w:rPr>
              <w:t>Nombre</w:t>
            </w:r>
          </w:p>
        </w:tc>
        <w:tc>
          <w:tcPr>
            <w:tcW w:w="1662"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b/>
                <w:bCs/>
                <w:i/>
                <w:sz w:val="20"/>
                <w:szCs w:val="20"/>
              </w:rPr>
              <w:t>Cédula</w:t>
            </w:r>
          </w:p>
        </w:tc>
        <w:tc>
          <w:tcPr>
            <w:tcW w:w="1663"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b/>
                <w:bCs/>
                <w:i/>
                <w:sz w:val="20"/>
                <w:szCs w:val="20"/>
              </w:rPr>
              <w:t>Teléfono</w:t>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b/>
                <w:bCs/>
                <w:i/>
                <w:sz w:val="20"/>
                <w:szCs w:val="20"/>
              </w:rPr>
              <w:t>Lenguas</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b/>
                <w:bCs/>
                <w:i/>
                <w:sz w:val="20"/>
                <w:szCs w:val="20"/>
              </w:rPr>
              <w:t>Circuito (s) Judicial (es)</w:t>
            </w:r>
          </w:p>
        </w:tc>
      </w:tr>
      <w:tr>
        <w:trPr/>
        <w:tc>
          <w:tcPr>
            <w:tcW w:w="795" w:type="dxa"/>
            <w:tcBorders/>
            <w:shd w:color="auto" w:fill="auto" w:val="clear"/>
            <w:vAlign w:val="center"/>
          </w:tcPr>
          <w:p>
            <w:pPr>
              <w:pStyle w:val="Normal"/>
              <w:widowControl w:val="false"/>
              <w:numPr>
                <w:ilvl w:val="0"/>
                <w:numId w:val="29"/>
              </w:numPr>
              <w:suppressAutoHyphens w:val="true"/>
              <w:spacing w:lineRule="auto" w:line="240" w:before="0" w:after="0"/>
              <w:rPr>
                <w:rFonts w:ascii="Tahoma" w:hAnsi="Tahoma" w:cs="Tahoma"/>
                <w:i/>
                <w:i/>
                <w:sz w:val="20"/>
                <w:szCs w:val="20"/>
              </w:rPr>
            </w:pPr>
            <w:r>
              <w:rPr>
                <w:rFonts w:cs="Tahoma" w:ascii="Tahoma" w:hAnsi="Tahoma"/>
                <w:i/>
                <w:sz w:val="20"/>
                <w:szCs w:val="20"/>
              </w:rPr>
              <w:t>1.</w:t>
            </w:r>
          </w:p>
        </w:tc>
        <w:tc>
          <w:tcPr>
            <w:tcW w:w="2527"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JOSE BALDOMERO TORRES TORRES</w:t>
            </w:r>
          </w:p>
        </w:tc>
        <w:tc>
          <w:tcPr>
            <w:tcW w:w="1662"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0600590704</w:t>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 xml:space="preserve">Valor 001     </w:t>
            </w:r>
            <w:r>
              <w:rPr>
                <w:rFonts w:cs="Tahoma" w:ascii="Tahoma" w:hAnsi="Tahoma"/>
                <w:i/>
                <w:color w:val="000000"/>
                <w:sz w:val="20"/>
                <w:szCs w:val="20"/>
              </w:rPr>
              <w:t xml:space="preserve">    Tel: </w:t>
            </w:r>
            <w:r>
              <w:rPr>
                <w:rFonts w:cs="Tahoma" w:ascii="Tahoma" w:hAnsi="Tahoma"/>
                <w:b/>
                <w:bCs/>
                <w:i/>
                <w:color w:val="000000"/>
                <w:sz w:val="20"/>
                <w:szCs w:val="20"/>
              </w:rPr>
              <w:t xml:space="preserve">Valor 002     </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rPr>
                <w:rFonts w:ascii="Tahoma" w:hAnsi="Tahoma" w:cs="Tahoma"/>
                <w:i/>
                <w:i/>
                <w:sz w:val="20"/>
                <w:szCs w:val="20"/>
              </w:rPr>
            </w:pPr>
            <w:r>
              <w:rPr>
                <w:rFonts w:cs="Tahoma" w:ascii="Tahoma" w:hAnsi="Tahoma"/>
                <w:i/>
                <w:sz w:val="20"/>
                <w:szCs w:val="20"/>
              </w:rPr>
              <w:t>Bribrí</w:t>
            </w:r>
          </w:p>
          <w:p>
            <w:pPr>
              <w:pStyle w:val="Normal"/>
              <w:widowControl w:val="false"/>
              <w:rPr>
                <w:rFonts w:ascii="Tahoma" w:hAnsi="Tahoma" w:cs="Tahoma"/>
                <w:i/>
                <w:i/>
                <w:sz w:val="20"/>
                <w:szCs w:val="20"/>
              </w:rPr>
            </w:pPr>
            <w:r>
              <w:rPr>
                <w:rFonts w:cs="Tahoma" w:ascii="Tahoma" w:hAnsi="Tahoma"/>
                <w:i/>
                <w:sz w:val="20"/>
                <w:szCs w:val="20"/>
              </w:rPr>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2039" w:type="dxa"/>
            <w:tcBorders/>
            <w:shd w:color="auto" w:fill="auto" w:val="clear"/>
            <w:vAlign w:val="center"/>
          </w:tcPr>
          <w:p>
            <w:pPr>
              <w:pStyle w:val="Normal"/>
              <w:widowControl w:val="false"/>
              <w:rPr>
                <w:rFonts w:ascii="Tahoma" w:hAnsi="Tahoma" w:cs="Tahoma"/>
                <w:i/>
                <w:i/>
                <w:sz w:val="20"/>
                <w:szCs w:val="20"/>
              </w:rPr>
            </w:pPr>
            <w:r>
              <w:rPr>
                <w:rFonts w:cs="Tahoma" w:ascii="Tahoma" w:hAnsi="Tahoma"/>
                <w:i/>
                <w:sz w:val="20"/>
                <w:szCs w:val="20"/>
              </w:rPr>
              <w:t>CJ Cartago</w:t>
            </w:r>
          </w:p>
          <w:p>
            <w:pPr>
              <w:pStyle w:val="Normal"/>
              <w:widowControl w:val="false"/>
              <w:rPr>
                <w:rFonts w:ascii="Tahoma" w:hAnsi="Tahoma" w:cs="Tahoma"/>
                <w:i/>
                <w:i/>
                <w:sz w:val="20"/>
                <w:szCs w:val="20"/>
              </w:rPr>
            </w:pPr>
            <w:r>
              <w:rPr>
                <w:rFonts w:cs="Tahoma" w:ascii="Tahoma" w:hAnsi="Tahoma"/>
                <w:i/>
                <w:sz w:val="20"/>
                <w:szCs w:val="20"/>
              </w:rPr>
              <w:t>CJ Heredia</w:t>
            </w:r>
          </w:p>
          <w:p>
            <w:pPr>
              <w:pStyle w:val="Normal"/>
              <w:widowControl w:val="false"/>
              <w:rPr>
                <w:rFonts w:ascii="Tahoma" w:hAnsi="Tahoma" w:cs="Tahoma"/>
                <w:i/>
                <w:i/>
                <w:sz w:val="20"/>
                <w:szCs w:val="20"/>
              </w:rPr>
            </w:pPr>
            <w:r>
              <w:rPr>
                <w:rFonts w:cs="Tahoma" w:ascii="Tahoma" w:hAnsi="Tahoma"/>
                <w:i/>
                <w:sz w:val="20"/>
                <w:szCs w:val="20"/>
              </w:rPr>
              <w:t>CJ Puntarenas</w:t>
            </w:r>
          </w:p>
          <w:p>
            <w:pPr>
              <w:pStyle w:val="Normal"/>
              <w:widowControl w:val="false"/>
              <w:rPr>
                <w:rFonts w:ascii="Tahoma" w:hAnsi="Tahoma" w:cs="Tahoma"/>
                <w:i/>
                <w:i/>
                <w:sz w:val="20"/>
                <w:szCs w:val="20"/>
              </w:rPr>
            </w:pPr>
            <w:r>
              <w:rPr>
                <w:rFonts w:cs="Tahoma" w:ascii="Tahoma" w:hAnsi="Tahoma"/>
                <w:i/>
                <w:sz w:val="20"/>
                <w:szCs w:val="20"/>
              </w:rPr>
              <w:t>I CJ Alajuela</w:t>
            </w:r>
          </w:p>
          <w:p>
            <w:pPr>
              <w:pStyle w:val="Normal"/>
              <w:widowControl w:val="false"/>
              <w:rPr>
                <w:rFonts w:ascii="Tahoma" w:hAnsi="Tahoma" w:cs="Tahoma"/>
                <w:i/>
                <w:i/>
                <w:sz w:val="20"/>
                <w:szCs w:val="20"/>
              </w:rPr>
            </w:pPr>
            <w:r>
              <w:rPr>
                <w:rFonts w:cs="Tahoma" w:ascii="Tahoma" w:hAnsi="Tahoma"/>
                <w:i/>
                <w:sz w:val="20"/>
                <w:szCs w:val="20"/>
              </w:rPr>
              <w:t>I CJ Guanacaste</w:t>
            </w:r>
          </w:p>
          <w:p>
            <w:pPr>
              <w:pStyle w:val="Normal"/>
              <w:widowControl w:val="false"/>
              <w:rPr>
                <w:rFonts w:ascii="Tahoma" w:hAnsi="Tahoma" w:cs="Tahoma"/>
                <w:i/>
                <w:i/>
                <w:sz w:val="20"/>
                <w:szCs w:val="20"/>
              </w:rPr>
            </w:pPr>
            <w:r>
              <w:rPr>
                <w:rFonts w:cs="Tahoma" w:ascii="Tahoma" w:hAnsi="Tahoma"/>
                <w:i/>
                <w:sz w:val="20"/>
                <w:szCs w:val="20"/>
              </w:rPr>
              <w:t>I CJ San José</w:t>
            </w:r>
          </w:p>
          <w:p>
            <w:pPr>
              <w:pStyle w:val="Normal"/>
              <w:widowControl w:val="false"/>
              <w:rPr>
                <w:rFonts w:ascii="Tahoma" w:hAnsi="Tahoma" w:cs="Tahoma"/>
                <w:i/>
                <w:i/>
                <w:sz w:val="20"/>
                <w:szCs w:val="20"/>
              </w:rPr>
            </w:pPr>
            <w:r>
              <w:rPr>
                <w:rFonts w:cs="Tahoma" w:ascii="Tahoma" w:hAnsi="Tahoma"/>
                <w:i/>
                <w:sz w:val="20"/>
                <w:szCs w:val="20"/>
              </w:rPr>
              <w:t>ICJ Zona Atlántica</w:t>
            </w:r>
          </w:p>
          <w:p>
            <w:pPr>
              <w:pStyle w:val="Normal"/>
              <w:widowControl w:val="false"/>
              <w:rPr>
                <w:rFonts w:ascii="Tahoma" w:hAnsi="Tahoma" w:cs="Tahoma"/>
                <w:i/>
                <w:i/>
                <w:sz w:val="20"/>
                <w:szCs w:val="20"/>
              </w:rPr>
            </w:pPr>
            <w:r>
              <w:rPr>
                <w:rFonts w:cs="Tahoma" w:ascii="Tahoma" w:hAnsi="Tahoma"/>
                <w:i/>
                <w:sz w:val="20"/>
                <w:szCs w:val="20"/>
              </w:rPr>
              <w:t>II CJ Alajuela</w:t>
            </w:r>
          </w:p>
          <w:p>
            <w:pPr>
              <w:pStyle w:val="Normal"/>
              <w:widowControl w:val="false"/>
              <w:rPr>
                <w:rFonts w:ascii="Tahoma" w:hAnsi="Tahoma" w:cs="Tahoma"/>
                <w:i/>
                <w:i/>
                <w:sz w:val="20"/>
                <w:szCs w:val="20"/>
              </w:rPr>
            </w:pPr>
            <w:r>
              <w:rPr>
                <w:rFonts w:cs="Tahoma" w:ascii="Tahoma" w:hAnsi="Tahoma"/>
                <w:i/>
                <w:sz w:val="20"/>
                <w:szCs w:val="20"/>
              </w:rPr>
              <w:t>II CJ Guanacaste</w:t>
            </w:r>
          </w:p>
          <w:p>
            <w:pPr>
              <w:pStyle w:val="Normal"/>
              <w:widowControl w:val="false"/>
              <w:rPr>
                <w:rFonts w:ascii="Tahoma" w:hAnsi="Tahoma" w:cs="Tahoma"/>
                <w:i/>
                <w:i/>
                <w:sz w:val="20"/>
                <w:szCs w:val="20"/>
              </w:rPr>
            </w:pPr>
            <w:r>
              <w:rPr>
                <w:rFonts w:cs="Tahoma" w:ascii="Tahoma" w:hAnsi="Tahoma"/>
                <w:i/>
                <w:sz w:val="20"/>
                <w:szCs w:val="20"/>
              </w:rPr>
              <w:t>II CJ San José</w:t>
            </w:r>
          </w:p>
          <w:p>
            <w:pPr>
              <w:pStyle w:val="Normal"/>
              <w:widowControl w:val="false"/>
              <w:rPr>
                <w:rFonts w:ascii="Tahoma" w:hAnsi="Tahoma" w:cs="Tahoma"/>
                <w:i/>
                <w:i/>
                <w:sz w:val="20"/>
                <w:szCs w:val="20"/>
              </w:rPr>
            </w:pPr>
            <w:r>
              <w:rPr>
                <w:rFonts w:cs="Tahoma" w:ascii="Tahoma" w:hAnsi="Tahoma"/>
                <w:i/>
                <w:sz w:val="20"/>
                <w:szCs w:val="20"/>
              </w:rPr>
              <w:t>II CJ Zona Atlántica</w:t>
            </w:r>
          </w:p>
          <w:p>
            <w:pPr>
              <w:pStyle w:val="Normal"/>
              <w:widowControl w:val="false"/>
              <w:rPr>
                <w:rFonts w:ascii="Tahoma" w:hAnsi="Tahoma" w:cs="Tahoma"/>
                <w:i/>
                <w:i/>
                <w:sz w:val="20"/>
                <w:szCs w:val="20"/>
              </w:rPr>
            </w:pPr>
            <w:r>
              <w:rPr>
                <w:rFonts w:cs="Tahoma" w:ascii="Tahoma" w:hAnsi="Tahoma"/>
                <w:i/>
                <w:sz w:val="20"/>
                <w:szCs w:val="20"/>
              </w:rPr>
              <w:t>II CJ Zona Sur</w:t>
            </w:r>
          </w:p>
          <w:p>
            <w:pPr>
              <w:pStyle w:val="Normal"/>
              <w:widowControl w:val="false"/>
              <w:rPr>
                <w:rFonts w:ascii="Tahoma" w:hAnsi="Tahoma" w:cs="Tahoma"/>
                <w:i/>
                <w:i/>
                <w:sz w:val="20"/>
                <w:szCs w:val="20"/>
              </w:rPr>
            </w:pPr>
            <w:r>
              <w:rPr>
                <w:rFonts w:cs="Tahoma" w:ascii="Tahoma" w:hAnsi="Tahoma"/>
                <w:i/>
                <w:sz w:val="20"/>
                <w:szCs w:val="20"/>
              </w:rPr>
              <w:t>III CJ Alajuela</w:t>
            </w:r>
          </w:p>
          <w:p>
            <w:pPr>
              <w:pStyle w:val="Normal"/>
              <w:widowControl w:val="false"/>
              <w:spacing w:before="0" w:after="200"/>
              <w:rPr>
                <w:rFonts w:ascii="Tahoma" w:hAnsi="Tahoma" w:cs="Tahoma"/>
                <w:i/>
                <w:i/>
                <w:sz w:val="20"/>
                <w:szCs w:val="20"/>
              </w:rPr>
            </w:pPr>
            <w:r>
              <w:rPr>
                <w:rFonts w:cs="Tahoma" w:ascii="Tahoma" w:hAnsi="Tahoma"/>
                <w:i/>
                <w:sz w:val="20"/>
                <w:szCs w:val="20"/>
              </w:rPr>
              <w:t>III CJ San José</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ULISES HERNANDEZ NERCIS</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0900710272</w:t>
            </w:r>
          </w:p>
          <w:p>
            <w:pPr>
              <w:pStyle w:val="Normal"/>
              <w:widowControl w:val="false"/>
              <w:spacing w:before="0" w:after="200"/>
              <w:rPr>
                <w:rFonts w:ascii="Tahoma" w:hAnsi="Tahoma" w:cs="Tahoma"/>
                <w:i/>
                <w:i/>
                <w:color w:val="000000"/>
                <w:sz w:val="20"/>
                <w:szCs w:val="20"/>
              </w:rPr>
            </w:pPr>
            <w:r>
              <w:rPr>
                <w:rFonts w:cs="Tahoma" w:ascii="Tahoma" w:hAnsi="Tahoma"/>
                <w:i/>
                <w:color w:val="000000"/>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 xml:space="preserve">Valor 003     </w:t>
            </w:r>
          </w:p>
          <w:p>
            <w:pPr>
              <w:pStyle w:val="Normal"/>
              <w:widowControl w:val="false"/>
              <w:rPr>
                <w:rFonts w:ascii="Tahoma" w:hAnsi="Tahoma" w:cs="Tahoma"/>
                <w:i/>
                <w:i/>
                <w:sz w:val="20"/>
                <w:szCs w:val="20"/>
              </w:rPr>
            </w:pPr>
            <w:r>
              <w:rPr>
                <w:rFonts w:cs="Tahoma" w:ascii="Tahoma" w:hAnsi="Tahoma"/>
                <w:i/>
                <w:color w:val="000000"/>
                <w:sz w:val="20"/>
                <w:szCs w:val="20"/>
              </w:rPr>
              <w:t xml:space="preserve">Fax: </w:t>
            </w:r>
            <w:r>
              <w:rPr>
                <w:rFonts w:cs="Tahoma" w:ascii="Tahoma" w:hAnsi="Tahoma"/>
                <w:b/>
                <w:bCs/>
                <w:i/>
                <w:color w:val="000000"/>
                <w:sz w:val="20"/>
                <w:szCs w:val="20"/>
              </w:rPr>
              <w:t xml:space="preserve">Valor 004     </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Bribrí</w:t>
            </w:r>
          </w:p>
        </w:tc>
        <w:tc>
          <w:tcPr>
            <w:tcW w:w="2039" w:type="dxa"/>
            <w:tcBorders/>
            <w:shd w:color="auto" w:fill="auto" w:val="clear"/>
            <w:vAlign w:val="center"/>
          </w:tcPr>
          <w:p>
            <w:pPr>
              <w:pStyle w:val="Normal"/>
              <w:widowControl w:val="false"/>
              <w:rPr>
                <w:rFonts w:ascii="Tahoma" w:hAnsi="Tahoma" w:cs="Tahoma"/>
                <w:i/>
                <w:i/>
                <w:sz w:val="20"/>
                <w:szCs w:val="20"/>
              </w:rPr>
            </w:pPr>
            <w:r>
              <w:rPr>
                <w:rFonts w:cs="Tahoma" w:ascii="Tahoma" w:hAnsi="Tahoma"/>
                <w:i/>
                <w:sz w:val="20"/>
                <w:szCs w:val="20"/>
              </w:rPr>
              <w:t>CJ Cartago</w:t>
            </w:r>
          </w:p>
          <w:p>
            <w:pPr>
              <w:pStyle w:val="Normal"/>
              <w:widowControl w:val="false"/>
              <w:rPr>
                <w:rFonts w:ascii="Tahoma" w:hAnsi="Tahoma" w:cs="Tahoma"/>
                <w:i/>
                <w:i/>
                <w:sz w:val="20"/>
                <w:szCs w:val="20"/>
              </w:rPr>
            </w:pPr>
            <w:r>
              <w:rPr>
                <w:rFonts w:cs="Tahoma" w:ascii="Tahoma" w:hAnsi="Tahoma"/>
                <w:i/>
                <w:sz w:val="20"/>
                <w:szCs w:val="20"/>
              </w:rPr>
              <w:t>CJ Heredia</w:t>
            </w:r>
          </w:p>
          <w:p>
            <w:pPr>
              <w:pStyle w:val="Normal"/>
              <w:widowControl w:val="false"/>
              <w:rPr>
                <w:rFonts w:ascii="Tahoma" w:hAnsi="Tahoma" w:cs="Tahoma"/>
                <w:i/>
                <w:i/>
                <w:sz w:val="20"/>
                <w:szCs w:val="20"/>
              </w:rPr>
            </w:pPr>
            <w:r>
              <w:rPr>
                <w:rFonts w:cs="Tahoma" w:ascii="Tahoma" w:hAnsi="Tahoma"/>
                <w:i/>
                <w:sz w:val="20"/>
                <w:szCs w:val="20"/>
              </w:rPr>
              <w:t>I CJ Alajuela</w:t>
            </w:r>
          </w:p>
          <w:p>
            <w:pPr>
              <w:pStyle w:val="Normal"/>
              <w:widowControl w:val="false"/>
              <w:rPr>
                <w:rFonts w:ascii="Tahoma" w:hAnsi="Tahoma" w:cs="Tahoma"/>
                <w:i/>
                <w:i/>
                <w:sz w:val="20"/>
                <w:szCs w:val="20"/>
              </w:rPr>
            </w:pPr>
            <w:r>
              <w:rPr>
                <w:rFonts w:cs="Tahoma" w:ascii="Tahoma" w:hAnsi="Tahoma"/>
                <w:i/>
                <w:sz w:val="20"/>
                <w:szCs w:val="20"/>
              </w:rPr>
              <w:t>I CJ San José</w:t>
            </w:r>
          </w:p>
          <w:p>
            <w:pPr>
              <w:pStyle w:val="Normal"/>
              <w:widowControl w:val="false"/>
              <w:rPr>
                <w:rFonts w:ascii="Tahoma" w:hAnsi="Tahoma" w:cs="Tahoma"/>
                <w:i/>
                <w:i/>
                <w:sz w:val="20"/>
                <w:szCs w:val="20"/>
              </w:rPr>
            </w:pPr>
            <w:r>
              <w:rPr>
                <w:rFonts w:cs="Tahoma" w:ascii="Tahoma" w:hAnsi="Tahoma"/>
                <w:i/>
                <w:sz w:val="20"/>
                <w:szCs w:val="20"/>
              </w:rPr>
              <w:t>ICJ Zona Atlántica</w:t>
            </w:r>
          </w:p>
          <w:p>
            <w:pPr>
              <w:pStyle w:val="Normal"/>
              <w:widowControl w:val="false"/>
              <w:rPr>
                <w:rFonts w:ascii="Tahoma" w:hAnsi="Tahoma" w:cs="Tahoma"/>
                <w:i/>
                <w:i/>
                <w:sz w:val="20"/>
                <w:szCs w:val="20"/>
              </w:rPr>
            </w:pPr>
            <w:r>
              <w:rPr>
                <w:rFonts w:cs="Tahoma" w:ascii="Tahoma" w:hAnsi="Tahoma"/>
                <w:i/>
                <w:sz w:val="20"/>
                <w:szCs w:val="20"/>
              </w:rPr>
              <w:t>I CJ Zona Sur</w:t>
            </w:r>
          </w:p>
          <w:p>
            <w:pPr>
              <w:pStyle w:val="Normal"/>
              <w:widowControl w:val="false"/>
              <w:rPr>
                <w:rFonts w:ascii="Tahoma" w:hAnsi="Tahoma" w:cs="Tahoma"/>
                <w:i/>
                <w:i/>
                <w:sz w:val="20"/>
                <w:szCs w:val="20"/>
              </w:rPr>
            </w:pPr>
            <w:r>
              <w:rPr>
                <w:rFonts w:cs="Tahoma" w:ascii="Tahoma" w:hAnsi="Tahoma"/>
                <w:i/>
                <w:sz w:val="20"/>
                <w:szCs w:val="20"/>
              </w:rPr>
              <w:t>II CJ San José</w:t>
            </w:r>
          </w:p>
          <w:p>
            <w:pPr>
              <w:pStyle w:val="Normal"/>
              <w:widowControl w:val="false"/>
              <w:spacing w:before="0" w:after="200"/>
              <w:rPr>
                <w:rFonts w:ascii="Tahoma" w:hAnsi="Tahoma" w:cs="Tahoma"/>
                <w:i/>
                <w:i/>
                <w:sz w:val="20"/>
                <w:szCs w:val="20"/>
              </w:rPr>
            </w:pPr>
            <w:r>
              <w:rPr>
                <w:rFonts w:cs="Tahoma" w:ascii="Tahoma" w:hAnsi="Tahoma"/>
                <w:i/>
                <w:sz w:val="20"/>
                <w:szCs w:val="20"/>
              </w:rPr>
              <w:t>II CJ Zona Atlántica</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EMILIANO FIGUEROA ORTIZ</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600930377</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 xml:space="preserve">Valor 005     </w:t>
            </w:r>
            <w:r>
              <w:rPr>
                <w:rFonts w:cs="Tahoma" w:ascii="Tahoma" w:hAnsi="Tahoma"/>
                <w:i/>
                <w:color w:val="000000"/>
                <w:sz w:val="20"/>
                <w:szCs w:val="20"/>
              </w:rPr>
              <w:t xml:space="preserve">Tel: </w:t>
            </w:r>
            <w:r>
              <w:rPr>
                <w:rFonts w:cs="Tahoma" w:ascii="Tahoma" w:hAnsi="Tahoma"/>
                <w:b/>
                <w:bCs/>
                <w:i/>
                <w:color w:val="000000"/>
                <w:sz w:val="20"/>
                <w:szCs w:val="20"/>
              </w:rPr>
              <w:t xml:space="preserve">Valor 006    </w:t>
            </w:r>
          </w:p>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 xml:space="preserve">Valor 007     </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Bribrí</w:t>
            </w:r>
          </w:p>
        </w:tc>
        <w:tc>
          <w:tcPr>
            <w:tcW w:w="2039" w:type="dxa"/>
            <w:tcBorders/>
            <w:shd w:color="auto" w:fill="auto" w:val="clear"/>
            <w:vAlign w:val="center"/>
          </w:tcPr>
          <w:p>
            <w:pPr>
              <w:pStyle w:val="Normal"/>
              <w:widowControl w:val="false"/>
              <w:rPr>
                <w:rFonts w:ascii="Tahoma" w:hAnsi="Tahoma" w:cs="Tahoma"/>
                <w:i/>
                <w:i/>
                <w:sz w:val="20"/>
                <w:szCs w:val="20"/>
              </w:rPr>
            </w:pPr>
            <w:r>
              <w:rPr>
                <w:rFonts w:cs="Tahoma" w:ascii="Tahoma" w:hAnsi="Tahoma"/>
                <w:i/>
                <w:sz w:val="20"/>
                <w:szCs w:val="20"/>
              </w:rPr>
              <w:t>CJ Cartago</w:t>
            </w:r>
          </w:p>
          <w:p>
            <w:pPr>
              <w:pStyle w:val="Normal"/>
              <w:widowControl w:val="false"/>
              <w:rPr>
                <w:rFonts w:ascii="Tahoma" w:hAnsi="Tahoma" w:cs="Tahoma"/>
                <w:i/>
                <w:i/>
                <w:sz w:val="20"/>
                <w:szCs w:val="20"/>
              </w:rPr>
            </w:pPr>
            <w:r>
              <w:rPr>
                <w:rFonts w:cs="Tahoma" w:ascii="Tahoma" w:hAnsi="Tahoma"/>
                <w:i/>
                <w:sz w:val="20"/>
                <w:szCs w:val="20"/>
              </w:rPr>
              <w:t>CJ Heredia</w:t>
            </w:r>
          </w:p>
          <w:p>
            <w:pPr>
              <w:pStyle w:val="Normal"/>
              <w:widowControl w:val="false"/>
              <w:rPr>
                <w:rFonts w:ascii="Tahoma" w:hAnsi="Tahoma" w:cs="Tahoma"/>
                <w:i/>
                <w:i/>
                <w:sz w:val="20"/>
                <w:szCs w:val="20"/>
              </w:rPr>
            </w:pPr>
            <w:r>
              <w:rPr>
                <w:rFonts w:cs="Tahoma" w:ascii="Tahoma" w:hAnsi="Tahoma"/>
                <w:i/>
                <w:sz w:val="20"/>
                <w:szCs w:val="20"/>
              </w:rPr>
              <w:t>CJ Puntarenas</w:t>
            </w:r>
          </w:p>
          <w:p>
            <w:pPr>
              <w:pStyle w:val="Normal"/>
              <w:widowControl w:val="false"/>
              <w:rPr>
                <w:rFonts w:ascii="Tahoma" w:hAnsi="Tahoma" w:cs="Tahoma"/>
                <w:i/>
                <w:i/>
                <w:sz w:val="20"/>
                <w:szCs w:val="20"/>
              </w:rPr>
            </w:pPr>
            <w:r>
              <w:rPr>
                <w:rFonts w:cs="Tahoma" w:ascii="Tahoma" w:hAnsi="Tahoma"/>
                <w:i/>
                <w:sz w:val="20"/>
                <w:szCs w:val="20"/>
              </w:rPr>
              <w:t>I CJ Alajuela</w:t>
            </w:r>
          </w:p>
          <w:p>
            <w:pPr>
              <w:pStyle w:val="Normal"/>
              <w:widowControl w:val="false"/>
              <w:rPr>
                <w:rFonts w:ascii="Tahoma" w:hAnsi="Tahoma" w:cs="Tahoma"/>
                <w:i/>
                <w:i/>
                <w:sz w:val="20"/>
                <w:szCs w:val="20"/>
              </w:rPr>
            </w:pPr>
            <w:r>
              <w:rPr>
                <w:rFonts w:cs="Tahoma" w:ascii="Tahoma" w:hAnsi="Tahoma"/>
                <w:i/>
                <w:sz w:val="20"/>
                <w:szCs w:val="20"/>
              </w:rPr>
              <w:t>I CJ Guanacaste</w:t>
            </w:r>
          </w:p>
          <w:p>
            <w:pPr>
              <w:pStyle w:val="Normal"/>
              <w:widowControl w:val="false"/>
              <w:rPr>
                <w:rFonts w:ascii="Tahoma" w:hAnsi="Tahoma" w:cs="Tahoma"/>
                <w:i/>
                <w:i/>
                <w:sz w:val="20"/>
                <w:szCs w:val="20"/>
              </w:rPr>
            </w:pPr>
            <w:r>
              <w:rPr>
                <w:rFonts w:cs="Tahoma" w:ascii="Tahoma" w:hAnsi="Tahoma"/>
                <w:i/>
                <w:sz w:val="20"/>
                <w:szCs w:val="20"/>
              </w:rPr>
              <w:t>I CJ San José</w:t>
            </w:r>
          </w:p>
          <w:p>
            <w:pPr>
              <w:pStyle w:val="Normal"/>
              <w:widowControl w:val="false"/>
              <w:rPr>
                <w:rFonts w:ascii="Tahoma" w:hAnsi="Tahoma" w:cs="Tahoma"/>
                <w:i/>
                <w:i/>
                <w:sz w:val="20"/>
                <w:szCs w:val="20"/>
              </w:rPr>
            </w:pPr>
            <w:r>
              <w:rPr>
                <w:rFonts w:cs="Tahoma" w:ascii="Tahoma" w:hAnsi="Tahoma"/>
                <w:i/>
                <w:sz w:val="20"/>
                <w:szCs w:val="20"/>
              </w:rPr>
              <w:t>ICJ Zona Atlántica</w:t>
            </w:r>
          </w:p>
          <w:p>
            <w:pPr>
              <w:pStyle w:val="Normal"/>
              <w:widowControl w:val="false"/>
              <w:rPr>
                <w:rFonts w:ascii="Tahoma" w:hAnsi="Tahoma" w:cs="Tahoma"/>
                <w:i/>
                <w:i/>
                <w:sz w:val="20"/>
                <w:szCs w:val="20"/>
              </w:rPr>
            </w:pPr>
            <w:r>
              <w:rPr>
                <w:rFonts w:cs="Tahoma" w:ascii="Tahoma" w:hAnsi="Tahoma"/>
                <w:i/>
                <w:sz w:val="20"/>
                <w:szCs w:val="20"/>
              </w:rPr>
              <w:t>I CJ Zona Sur</w:t>
            </w:r>
          </w:p>
          <w:p>
            <w:pPr>
              <w:pStyle w:val="Normal"/>
              <w:widowControl w:val="false"/>
              <w:rPr>
                <w:rFonts w:ascii="Tahoma" w:hAnsi="Tahoma" w:cs="Tahoma"/>
                <w:i/>
                <w:i/>
                <w:sz w:val="20"/>
                <w:szCs w:val="20"/>
              </w:rPr>
            </w:pPr>
            <w:r>
              <w:rPr>
                <w:rFonts w:cs="Tahoma" w:ascii="Tahoma" w:hAnsi="Tahoma"/>
                <w:i/>
                <w:sz w:val="20"/>
                <w:szCs w:val="20"/>
              </w:rPr>
              <w:t>II CJ Alajuela</w:t>
            </w:r>
          </w:p>
          <w:p>
            <w:pPr>
              <w:pStyle w:val="Normal"/>
              <w:widowControl w:val="false"/>
              <w:rPr>
                <w:rFonts w:ascii="Tahoma" w:hAnsi="Tahoma" w:cs="Tahoma"/>
                <w:i/>
                <w:i/>
                <w:sz w:val="20"/>
                <w:szCs w:val="20"/>
              </w:rPr>
            </w:pPr>
            <w:r>
              <w:rPr>
                <w:rFonts w:cs="Tahoma" w:ascii="Tahoma" w:hAnsi="Tahoma"/>
                <w:i/>
                <w:sz w:val="20"/>
                <w:szCs w:val="20"/>
              </w:rPr>
              <w:t>II CJ Guanacaste</w:t>
            </w:r>
          </w:p>
          <w:p>
            <w:pPr>
              <w:pStyle w:val="Normal"/>
              <w:widowControl w:val="false"/>
              <w:rPr>
                <w:rFonts w:ascii="Tahoma" w:hAnsi="Tahoma" w:cs="Tahoma"/>
                <w:i/>
                <w:i/>
                <w:sz w:val="20"/>
                <w:szCs w:val="20"/>
              </w:rPr>
            </w:pPr>
            <w:r>
              <w:rPr>
                <w:rFonts w:cs="Tahoma" w:ascii="Tahoma" w:hAnsi="Tahoma"/>
                <w:i/>
                <w:sz w:val="20"/>
                <w:szCs w:val="20"/>
              </w:rPr>
              <w:t xml:space="preserve">II CJ San José </w:t>
            </w:r>
          </w:p>
          <w:p>
            <w:pPr>
              <w:pStyle w:val="Normal"/>
              <w:widowControl w:val="false"/>
              <w:rPr>
                <w:rFonts w:ascii="Tahoma" w:hAnsi="Tahoma" w:cs="Tahoma"/>
                <w:i/>
                <w:i/>
                <w:sz w:val="20"/>
                <w:szCs w:val="20"/>
              </w:rPr>
            </w:pPr>
            <w:r>
              <w:rPr>
                <w:rFonts w:cs="Tahoma" w:ascii="Tahoma" w:hAnsi="Tahoma"/>
                <w:i/>
                <w:sz w:val="20"/>
                <w:szCs w:val="20"/>
              </w:rPr>
              <w:t>II CJ Zona Atlántica</w:t>
            </w:r>
          </w:p>
          <w:p>
            <w:pPr>
              <w:pStyle w:val="Normal"/>
              <w:widowControl w:val="false"/>
              <w:rPr>
                <w:rFonts w:ascii="Tahoma" w:hAnsi="Tahoma" w:cs="Tahoma"/>
                <w:i/>
                <w:i/>
                <w:sz w:val="20"/>
                <w:szCs w:val="20"/>
              </w:rPr>
            </w:pPr>
            <w:r>
              <w:rPr>
                <w:rFonts w:cs="Tahoma" w:ascii="Tahoma" w:hAnsi="Tahoma"/>
                <w:i/>
                <w:sz w:val="20"/>
                <w:szCs w:val="20"/>
              </w:rPr>
              <w:t>II CJ Zona Sur</w:t>
            </w:r>
          </w:p>
          <w:p>
            <w:pPr>
              <w:pStyle w:val="Normal"/>
              <w:widowControl w:val="false"/>
              <w:rPr>
                <w:rFonts w:ascii="Tahoma" w:hAnsi="Tahoma" w:cs="Tahoma"/>
                <w:i/>
                <w:i/>
                <w:sz w:val="20"/>
                <w:szCs w:val="20"/>
              </w:rPr>
            </w:pPr>
            <w:r>
              <w:rPr>
                <w:rFonts w:cs="Tahoma" w:ascii="Tahoma" w:hAnsi="Tahoma"/>
                <w:i/>
                <w:sz w:val="20"/>
                <w:szCs w:val="20"/>
              </w:rPr>
              <w:t>III CJ Alajuela</w:t>
            </w:r>
          </w:p>
          <w:p>
            <w:pPr>
              <w:pStyle w:val="Normal"/>
              <w:widowControl w:val="false"/>
              <w:spacing w:before="0" w:after="200"/>
              <w:rPr>
                <w:rFonts w:ascii="Tahoma" w:hAnsi="Tahoma" w:cs="Tahoma"/>
                <w:i/>
                <w:i/>
                <w:sz w:val="20"/>
                <w:szCs w:val="20"/>
              </w:rPr>
            </w:pPr>
            <w:r>
              <w:rPr>
                <w:rFonts w:cs="Tahoma" w:ascii="Tahoma" w:hAnsi="Tahoma"/>
                <w:i/>
                <w:sz w:val="20"/>
                <w:szCs w:val="20"/>
              </w:rPr>
              <w:t>III CJ San José</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ELIO NELSON NELSON</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700560863</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 xml:space="preserve">Valor 008     </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Bribrí</w:t>
            </w:r>
          </w:p>
        </w:tc>
        <w:tc>
          <w:tcPr>
            <w:tcW w:w="2039" w:type="dxa"/>
            <w:tcBorders/>
            <w:shd w:color="auto" w:fill="auto" w:val="clear"/>
            <w:vAlign w:val="center"/>
          </w:tcPr>
          <w:p>
            <w:pPr>
              <w:pStyle w:val="Normal"/>
              <w:widowControl w:val="false"/>
              <w:rPr>
                <w:rFonts w:ascii="Tahoma" w:hAnsi="Tahoma" w:cs="Tahoma"/>
                <w:i/>
                <w:i/>
                <w:sz w:val="20"/>
                <w:szCs w:val="20"/>
              </w:rPr>
            </w:pPr>
            <w:r>
              <w:rPr>
                <w:rFonts w:cs="Tahoma" w:ascii="Tahoma" w:hAnsi="Tahoma"/>
                <w:i/>
                <w:sz w:val="20"/>
                <w:szCs w:val="20"/>
              </w:rPr>
              <w:t>CJ Cartago</w:t>
            </w:r>
          </w:p>
          <w:p>
            <w:pPr>
              <w:pStyle w:val="Normal"/>
              <w:widowControl w:val="false"/>
              <w:rPr>
                <w:rFonts w:ascii="Tahoma" w:hAnsi="Tahoma" w:cs="Tahoma"/>
                <w:i/>
                <w:i/>
                <w:sz w:val="20"/>
                <w:szCs w:val="20"/>
              </w:rPr>
            </w:pPr>
            <w:r>
              <w:rPr>
                <w:rFonts w:cs="Tahoma" w:ascii="Tahoma" w:hAnsi="Tahoma"/>
                <w:i/>
                <w:sz w:val="20"/>
                <w:szCs w:val="20"/>
              </w:rPr>
              <w:t>CJ Heredia</w:t>
            </w:r>
          </w:p>
          <w:p>
            <w:pPr>
              <w:pStyle w:val="Normal"/>
              <w:widowControl w:val="false"/>
              <w:rPr>
                <w:rFonts w:ascii="Tahoma" w:hAnsi="Tahoma" w:cs="Tahoma"/>
                <w:i/>
                <w:i/>
                <w:sz w:val="20"/>
                <w:szCs w:val="20"/>
              </w:rPr>
            </w:pPr>
            <w:r>
              <w:rPr>
                <w:rFonts w:cs="Tahoma" w:ascii="Tahoma" w:hAnsi="Tahoma"/>
                <w:i/>
                <w:sz w:val="20"/>
                <w:szCs w:val="20"/>
              </w:rPr>
              <w:t>CJ Puntarenas</w:t>
            </w:r>
          </w:p>
          <w:p>
            <w:pPr>
              <w:pStyle w:val="Normal"/>
              <w:widowControl w:val="false"/>
              <w:rPr>
                <w:rFonts w:ascii="Tahoma" w:hAnsi="Tahoma" w:cs="Tahoma"/>
                <w:i/>
                <w:i/>
                <w:sz w:val="20"/>
                <w:szCs w:val="20"/>
              </w:rPr>
            </w:pPr>
            <w:r>
              <w:rPr>
                <w:rFonts w:cs="Tahoma" w:ascii="Tahoma" w:hAnsi="Tahoma"/>
                <w:i/>
                <w:sz w:val="20"/>
                <w:szCs w:val="20"/>
              </w:rPr>
              <w:t>I CJ Alajuela</w:t>
            </w:r>
          </w:p>
          <w:p>
            <w:pPr>
              <w:pStyle w:val="Normal"/>
              <w:widowControl w:val="false"/>
              <w:rPr>
                <w:rFonts w:ascii="Tahoma" w:hAnsi="Tahoma" w:cs="Tahoma"/>
                <w:i/>
                <w:i/>
                <w:sz w:val="20"/>
                <w:szCs w:val="20"/>
              </w:rPr>
            </w:pPr>
            <w:r>
              <w:rPr>
                <w:rFonts w:cs="Tahoma" w:ascii="Tahoma" w:hAnsi="Tahoma"/>
                <w:i/>
                <w:sz w:val="20"/>
                <w:szCs w:val="20"/>
              </w:rPr>
              <w:t>I CJ Guanacaste</w:t>
            </w:r>
          </w:p>
          <w:p>
            <w:pPr>
              <w:pStyle w:val="Normal"/>
              <w:widowControl w:val="false"/>
              <w:rPr>
                <w:rFonts w:ascii="Tahoma" w:hAnsi="Tahoma" w:cs="Tahoma"/>
                <w:i/>
                <w:i/>
                <w:sz w:val="20"/>
                <w:szCs w:val="20"/>
              </w:rPr>
            </w:pPr>
            <w:r>
              <w:rPr>
                <w:rFonts w:cs="Tahoma" w:ascii="Tahoma" w:hAnsi="Tahoma"/>
                <w:i/>
                <w:sz w:val="20"/>
                <w:szCs w:val="20"/>
              </w:rPr>
              <w:t>I CJ San José</w:t>
            </w:r>
          </w:p>
          <w:p>
            <w:pPr>
              <w:pStyle w:val="Normal"/>
              <w:widowControl w:val="false"/>
              <w:rPr>
                <w:rFonts w:ascii="Tahoma" w:hAnsi="Tahoma" w:cs="Tahoma"/>
                <w:i/>
                <w:i/>
                <w:sz w:val="20"/>
                <w:szCs w:val="20"/>
              </w:rPr>
            </w:pPr>
            <w:r>
              <w:rPr>
                <w:rFonts w:cs="Tahoma" w:ascii="Tahoma" w:hAnsi="Tahoma"/>
                <w:i/>
                <w:sz w:val="20"/>
                <w:szCs w:val="20"/>
              </w:rPr>
              <w:t>ICJ Zona Atlántica</w:t>
            </w:r>
          </w:p>
          <w:p>
            <w:pPr>
              <w:pStyle w:val="Normal"/>
              <w:widowControl w:val="false"/>
              <w:rPr>
                <w:rFonts w:ascii="Tahoma" w:hAnsi="Tahoma" w:cs="Tahoma"/>
                <w:i/>
                <w:i/>
                <w:sz w:val="20"/>
                <w:szCs w:val="20"/>
              </w:rPr>
            </w:pPr>
            <w:r>
              <w:rPr>
                <w:rFonts w:cs="Tahoma" w:ascii="Tahoma" w:hAnsi="Tahoma"/>
                <w:i/>
                <w:sz w:val="20"/>
                <w:szCs w:val="20"/>
              </w:rPr>
              <w:t>I CJ Zona Sur</w:t>
            </w:r>
          </w:p>
          <w:p>
            <w:pPr>
              <w:pStyle w:val="Normal"/>
              <w:widowControl w:val="false"/>
              <w:rPr>
                <w:rFonts w:ascii="Tahoma" w:hAnsi="Tahoma" w:cs="Tahoma"/>
                <w:i/>
                <w:i/>
                <w:sz w:val="20"/>
                <w:szCs w:val="20"/>
              </w:rPr>
            </w:pPr>
            <w:r>
              <w:rPr>
                <w:rFonts w:cs="Tahoma" w:ascii="Tahoma" w:hAnsi="Tahoma"/>
                <w:i/>
                <w:sz w:val="20"/>
                <w:szCs w:val="20"/>
              </w:rPr>
              <w:t>II CJ Alajuela</w:t>
            </w:r>
          </w:p>
          <w:p>
            <w:pPr>
              <w:pStyle w:val="Normal"/>
              <w:widowControl w:val="false"/>
              <w:rPr>
                <w:rFonts w:ascii="Tahoma" w:hAnsi="Tahoma" w:cs="Tahoma"/>
                <w:i/>
                <w:i/>
                <w:sz w:val="20"/>
                <w:szCs w:val="20"/>
              </w:rPr>
            </w:pPr>
            <w:r>
              <w:rPr>
                <w:rFonts w:cs="Tahoma" w:ascii="Tahoma" w:hAnsi="Tahoma"/>
                <w:i/>
                <w:sz w:val="20"/>
                <w:szCs w:val="20"/>
              </w:rPr>
              <w:t>II CJ Guanacaste</w:t>
            </w:r>
          </w:p>
          <w:p>
            <w:pPr>
              <w:pStyle w:val="Normal"/>
              <w:widowControl w:val="false"/>
              <w:rPr>
                <w:rFonts w:ascii="Tahoma" w:hAnsi="Tahoma" w:cs="Tahoma"/>
                <w:i/>
                <w:i/>
                <w:sz w:val="20"/>
                <w:szCs w:val="20"/>
              </w:rPr>
            </w:pPr>
            <w:r>
              <w:rPr>
                <w:rFonts w:cs="Tahoma" w:ascii="Tahoma" w:hAnsi="Tahoma"/>
                <w:i/>
                <w:sz w:val="20"/>
                <w:szCs w:val="20"/>
              </w:rPr>
              <w:t>II CJ San José</w:t>
            </w:r>
          </w:p>
          <w:p>
            <w:pPr>
              <w:pStyle w:val="Normal"/>
              <w:widowControl w:val="false"/>
              <w:rPr>
                <w:rFonts w:ascii="Tahoma" w:hAnsi="Tahoma" w:cs="Tahoma"/>
                <w:i/>
                <w:i/>
                <w:sz w:val="20"/>
                <w:szCs w:val="20"/>
              </w:rPr>
            </w:pPr>
            <w:r>
              <w:rPr>
                <w:rFonts w:cs="Tahoma" w:ascii="Tahoma" w:hAnsi="Tahoma"/>
                <w:i/>
                <w:sz w:val="20"/>
                <w:szCs w:val="20"/>
              </w:rPr>
              <w:t>II CJ Zona Atlántica</w:t>
            </w:r>
          </w:p>
          <w:p>
            <w:pPr>
              <w:pStyle w:val="Normal"/>
              <w:widowControl w:val="false"/>
              <w:rPr>
                <w:rFonts w:ascii="Tahoma" w:hAnsi="Tahoma" w:cs="Tahoma"/>
                <w:i/>
                <w:i/>
                <w:sz w:val="20"/>
                <w:szCs w:val="20"/>
              </w:rPr>
            </w:pPr>
            <w:r>
              <w:rPr>
                <w:rFonts w:cs="Tahoma" w:ascii="Tahoma" w:hAnsi="Tahoma"/>
                <w:i/>
                <w:sz w:val="20"/>
                <w:szCs w:val="20"/>
              </w:rPr>
              <w:t>II CJ Zona Sur</w:t>
            </w:r>
          </w:p>
          <w:p>
            <w:pPr>
              <w:pStyle w:val="Normal"/>
              <w:widowControl w:val="false"/>
              <w:rPr>
                <w:rFonts w:ascii="Tahoma" w:hAnsi="Tahoma" w:cs="Tahoma"/>
                <w:i/>
                <w:i/>
                <w:sz w:val="20"/>
                <w:szCs w:val="20"/>
              </w:rPr>
            </w:pPr>
            <w:r>
              <w:rPr>
                <w:rFonts w:cs="Tahoma" w:ascii="Tahoma" w:hAnsi="Tahoma"/>
                <w:i/>
                <w:sz w:val="20"/>
                <w:szCs w:val="20"/>
              </w:rPr>
              <w:t>III CJ Alajuela</w:t>
            </w:r>
          </w:p>
          <w:p>
            <w:pPr>
              <w:pStyle w:val="Normal"/>
              <w:widowControl w:val="false"/>
              <w:spacing w:before="0" w:after="200"/>
              <w:rPr>
                <w:rFonts w:ascii="Tahoma" w:hAnsi="Tahoma" w:cs="Tahoma"/>
                <w:i/>
                <w:i/>
                <w:sz w:val="20"/>
                <w:szCs w:val="20"/>
              </w:rPr>
            </w:pPr>
            <w:r>
              <w:rPr>
                <w:rFonts w:cs="Tahoma" w:ascii="Tahoma" w:hAnsi="Tahoma"/>
                <w:i/>
                <w:sz w:val="20"/>
                <w:szCs w:val="20"/>
              </w:rPr>
              <w:t>III CJ San José</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ANA MAURA VARGAS MORALES</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0701060881</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 xml:space="preserve">Valor 009     </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Bribrí</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ICJ Zona Atlántica</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EDWARD LEISY STWARD JACKSON</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0702820634</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w:t>
            </w:r>
            <w:r>
              <w:rPr>
                <w:rFonts w:cs="Tahoma" w:ascii="Tahoma" w:hAnsi="Tahoma"/>
                <w:b/>
                <w:bCs/>
                <w:i/>
                <w:color w:val="000000"/>
                <w:sz w:val="20"/>
                <w:szCs w:val="20"/>
              </w:rPr>
              <w:t xml:space="preserve"> Valor 010    </w:t>
            </w:r>
          </w:p>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 xml:space="preserve">Valor 011     </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Bribrí</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ICJ Zona Atlántica</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MARINA LOPEZ MORALES</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0700790129</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 xml:space="preserve">Valor 012     </w:t>
            </w:r>
          </w:p>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 xml:space="preserve">Valor 013     </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Bribrí</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ICJ Zona Atlántica</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LEONARDO BUITRAGO MORALES</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0700960977</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 xml:space="preserve">Valor 014     </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Bribrí</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ICJ Zona Atlántica</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NEMESIO REYES REYES</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0700460278</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b/>
                <w:b/>
                <w:bCs/>
                <w:i/>
                <w:i/>
                <w:color w:val="000000"/>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015</w:t>
            </w:r>
          </w:p>
          <w:p>
            <w:pPr>
              <w:pStyle w:val="Normal"/>
              <w:widowControl w:val="false"/>
              <w:spacing w:before="0" w:after="200"/>
              <w:rPr>
                <w:rFonts w:ascii="Tahoma" w:hAnsi="Tahoma" w:cs="Tahoma"/>
                <w:i/>
                <w:i/>
                <w:sz w:val="20"/>
                <w:szCs w:val="20"/>
              </w:rPr>
            </w:pPr>
            <w:r>
              <w:rPr>
                <w:rFonts w:cs="Tahoma" w:ascii="Tahoma" w:hAnsi="Tahoma"/>
                <w:b/>
                <w:bCs/>
                <w:i/>
                <w:color w:val="000000"/>
                <w:sz w:val="20"/>
                <w:szCs w:val="20"/>
              </w:rPr>
              <w:t xml:space="preserve">     </w:t>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Bribrí</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ICJ Zona Atlántica</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JUSTA  ROMERO MORALES</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0900730306</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 xml:space="preserve">Valor 016     </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Bribrí</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ICJ Zona Atlántica</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BAUDILIO SELLES SANCHEZ</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701330133</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 xml:space="preserve">Valor 018     </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Bribrí</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ICJ Zona Atlántica</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LEIDY FABIOLA MORALES ROJAS</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702580852</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 xml:space="preserve">Valor 019     </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Bribrí</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ICJ Zona Atlántica</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ROLANDO MORALES MARIN</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701890254</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 xml:space="preserve"> Valor 020    </w:t>
            </w:r>
          </w:p>
          <w:p>
            <w:pPr>
              <w:pStyle w:val="Normal"/>
              <w:widowControl w:val="false"/>
              <w:rPr>
                <w:rFonts w:ascii="Tahoma" w:hAnsi="Tahoma" w:cs="Tahoma"/>
                <w:i/>
                <w:i/>
                <w:sz w:val="20"/>
                <w:szCs w:val="20"/>
              </w:rPr>
            </w:pPr>
            <w:r>
              <w:rPr>
                <w:rFonts w:cs="Tahoma" w:ascii="Tahoma" w:hAnsi="Tahoma"/>
                <w:i/>
                <w:color w:val="000000"/>
                <w:sz w:val="20"/>
                <w:szCs w:val="20"/>
              </w:rPr>
              <w:t>Tel:</w:t>
            </w:r>
            <w:r>
              <w:rPr>
                <w:rFonts w:cs="Tahoma" w:ascii="Tahoma" w:hAnsi="Tahoma"/>
                <w:b/>
                <w:bCs/>
                <w:i/>
                <w:color w:val="000000"/>
                <w:sz w:val="20"/>
                <w:szCs w:val="20"/>
              </w:rPr>
              <w:t xml:space="preserve"> Valor 021</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Bribrí</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ICJ Zona Atlántica</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ARCELIO GARCIA MORALES</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0701200162</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022</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Bribrí</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ICJ Zona Atlántica</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LILLIAM JEANNETTE MORALES GARCIA</w:t>
            </w:r>
          </w:p>
          <w:p>
            <w:pPr>
              <w:pStyle w:val="Normal"/>
              <w:widowControl w:val="false"/>
              <w:rPr>
                <w:rFonts w:ascii="Tahoma" w:hAnsi="Tahoma" w:cs="Tahoma"/>
                <w:i/>
                <w:i/>
                <w:color w:val="000000"/>
                <w:sz w:val="20"/>
                <w:szCs w:val="20"/>
              </w:rPr>
            </w:pPr>
            <w:r>
              <w:rPr>
                <w:rFonts w:cs="Tahoma" w:ascii="Tahoma" w:hAnsi="Tahoma"/>
                <w:i/>
                <w:color w:val="000000"/>
                <w:sz w:val="20"/>
                <w:szCs w:val="20"/>
              </w:rPr>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0701240018</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023</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Bribrí</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ICJ Zona Atlántica</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LAUDENCIO ROJAS ORTIZ</w:t>
            </w:r>
          </w:p>
          <w:p>
            <w:pPr>
              <w:pStyle w:val="Normal"/>
              <w:widowControl w:val="false"/>
              <w:spacing w:before="0" w:after="200"/>
              <w:rPr>
                <w:rFonts w:ascii="Tahoma" w:hAnsi="Tahoma" w:cs="Tahoma"/>
                <w:i/>
                <w:i/>
                <w:color w:val="000000"/>
                <w:sz w:val="20"/>
                <w:szCs w:val="20"/>
              </w:rPr>
            </w:pPr>
            <w:r>
              <w:rPr>
                <w:rFonts w:cs="Tahoma" w:ascii="Tahoma" w:hAnsi="Tahoma"/>
                <w:i/>
                <w:color w:val="000000"/>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0900750620</w:t>
            </w:r>
          </w:p>
          <w:p>
            <w:pPr>
              <w:pStyle w:val="Normal"/>
              <w:widowControl w:val="false"/>
              <w:spacing w:before="0" w:after="200"/>
              <w:rPr>
                <w:rFonts w:ascii="Tahoma" w:hAnsi="Tahoma" w:cs="Tahoma"/>
                <w:i/>
                <w:i/>
                <w:color w:val="000000"/>
                <w:sz w:val="20"/>
                <w:szCs w:val="20"/>
              </w:rPr>
            </w:pPr>
            <w:r>
              <w:rPr>
                <w:rFonts w:cs="Tahoma" w:ascii="Tahoma" w:hAnsi="Tahoma"/>
                <w:i/>
                <w:color w:val="000000"/>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024</w:t>
            </w:r>
          </w:p>
          <w:p>
            <w:pPr>
              <w:pStyle w:val="Normal"/>
              <w:widowControl w:val="false"/>
              <w:spacing w:before="0" w:after="200"/>
              <w:rPr>
                <w:rFonts w:ascii="Tahoma" w:hAnsi="Tahoma" w:cs="Tahoma"/>
                <w:i/>
                <w:i/>
                <w:color w:val="000000"/>
                <w:sz w:val="20"/>
                <w:szCs w:val="20"/>
              </w:rPr>
            </w:pPr>
            <w:r>
              <w:rPr>
                <w:rFonts w:cs="Tahoma" w:ascii="Tahoma" w:hAnsi="Tahoma"/>
                <w:i/>
                <w:color w:val="000000"/>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Bribrí</w:t>
            </w:r>
          </w:p>
        </w:tc>
        <w:tc>
          <w:tcPr>
            <w:tcW w:w="2039" w:type="dxa"/>
            <w:tcBorders/>
            <w:shd w:color="auto" w:fill="auto" w:val="clear"/>
            <w:vAlign w:val="center"/>
          </w:tcPr>
          <w:p>
            <w:pPr>
              <w:pStyle w:val="Normal"/>
              <w:widowControl w:val="false"/>
              <w:rPr>
                <w:rFonts w:ascii="Tahoma" w:hAnsi="Tahoma" w:cs="Tahoma"/>
                <w:i/>
                <w:i/>
                <w:sz w:val="20"/>
                <w:szCs w:val="20"/>
              </w:rPr>
            </w:pPr>
            <w:r>
              <w:rPr>
                <w:rFonts w:cs="Tahoma" w:ascii="Tahoma" w:hAnsi="Tahoma"/>
                <w:i/>
                <w:sz w:val="20"/>
                <w:szCs w:val="20"/>
              </w:rPr>
              <w:t>I CJ Zona Sur</w:t>
            </w:r>
          </w:p>
          <w:p>
            <w:pPr>
              <w:pStyle w:val="Normal"/>
              <w:widowControl w:val="false"/>
              <w:spacing w:before="0" w:after="200"/>
              <w:rPr>
                <w:rFonts w:ascii="Tahoma" w:hAnsi="Tahoma" w:cs="Tahoma"/>
                <w:i/>
                <w:i/>
                <w:sz w:val="20"/>
                <w:szCs w:val="20"/>
              </w:rPr>
            </w:pPr>
            <w:r>
              <w:rPr>
                <w:rFonts w:cs="Tahoma" w:ascii="Tahoma" w:hAnsi="Tahoma"/>
                <w:i/>
                <w:sz w:val="20"/>
                <w:szCs w:val="20"/>
              </w:rPr>
              <w:t>II CJ Zona Sur</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JOSE JULIO MORALES MARTINEZ</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0303280622</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025</w:t>
            </w:r>
          </w:p>
          <w:p>
            <w:pPr>
              <w:pStyle w:val="Normal"/>
              <w:widowControl w:val="false"/>
              <w:rPr>
                <w:rFonts w:ascii="Tahoma" w:hAnsi="Tahoma" w:cs="Tahoma"/>
                <w:i/>
                <w:i/>
                <w:sz w:val="20"/>
                <w:szCs w:val="20"/>
              </w:rPr>
            </w:pPr>
            <w:r>
              <w:rPr>
                <w:rFonts w:cs="Tahoma" w:ascii="Tahoma" w:hAnsi="Tahoma"/>
                <w:i/>
                <w:color w:val="000000"/>
                <w:sz w:val="20"/>
                <w:szCs w:val="20"/>
              </w:rPr>
              <w:t>Tel:</w:t>
            </w:r>
            <w:r>
              <w:rPr>
                <w:rFonts w:cs="Tahoma" w:ascii="Tahoma" w:hAnsi="Tahoma"/>
                <w:b/>
                <w:bCs/>
                <w:i/>
                <w:color w:val="000000"/>
                <w:sz w:val="20"/>
                <w:szCs w:val="20"/>
              </w:rPr>
              <w:t xml:space="preserve"> Valor 026</w:t>
            </w:r>
          </w:p>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027</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Cabécar</w:t>
            </w:r>
          </w:p>
        </w:tc>
        <w:tc>
          <w:tcPr>
            <w:tcW w:w="2039" w:type="dxa"/>
            <w:tcBorders/>
            <w:shd w:color="auto" w:fill="auto" w:val="clear"/>
            <w:vAlign w:val="center"/>
          </w:tcPr>
          <w:p>
            <w:pPr>
              <w:pStyle w:val="Normal"/>
              <w:widowControl w:val="false"/>
              <w:rPr>
                <w:rFonts w:ascii="Tahoma" w:hAnsi="Tahoma" w:cs="Tahoma"/>
                <w:i/>
                <w:i/>
                <w:sz w:val="20"/>
                <w:szCs w:val="20"/>
              </w:rPr>
            </w:pPr>
            <w:r>
              <w:rPr>
                <w:rFonts w:cs="Tahoma" w:ascii="Tahoma" w:hAnsi="Tahoma"/>
                <w:i/>
                <w:sz w:val="20"/>
                <w:szCs w:val="20"/>
              </w:rPr>
              <w:t>CJ Cartago</w:t>
            </w:r>
          </w:p>
          <w:p>
            <w:pPr>
              <w:pStyle w:val="Normal"/>
              <w:widowControl w:val="false"/>
              <w:rPr>
                <w:rFonts w:ascii="Tahoma" w:hAnsi="Tahoma" w:cs="Tahoma"/>
                <w:i/>
                <w:i/>
                <w:sz w:val="20"/>
                <w:szCs w:val="20"/>
              </w:rPr>
            </w:pPr>
            <w:r>
              <w:rPr>
                <w:rFonts w:cs="Tahoma" w:ascii="Tahoma" w:hAnsi="Tahoma"/>
                <w:i/>
                <w:sz w:val="20"/>
                <w:szCs w:val="20"/>
              </w:rPr>
              <w:t>CJ Heredia</w:t>
            </w:r>
          </w:p>
          <w:p>
            <w:pPr>
              <w:pStyle w:val="Normal"/>
              <w:widowControl w:val="false"/>
              <w:rPr>
                <w:rFonts w:ascii="Tahoma" w:hAnsi="Tahoma" w:cs="Tahoma"/>
                <w:i/>
                <w:i/>
                <w:sz w:val="20"/>
                <w:szCs w:val="20"/>
              </w:rPr>
            </w:pPr>
            <w:r>
              <w:rPr>
                <w:rFonts w:cs="Tahoma" w:ascii="Tahoma" w:hAnsi="Tahoma"/>
                <w:i/>
                <w:sz w:val="20"/>
                <w:szCs w:val="20"/>
              </w:rPr>
              <w:t>CJ Puntarenas</w:t>
            </w:r>
          </w:p>
          <w:p>
            <w:pPr>
              <w:pStyle w:val="Normal"/>
              <w:widowControl w:val="false"/>
              <w:rPr>
                <w:rFonts w:ascii="Tahoma" w:hAnsi="Tahoma" w:cs="Tahoma"/>
                <w:i/>
                <w:i/>
                <w:sz w:val="20"/>
                <w:szCs w:val="20"/>
              </w:rPr>
            </w:pPr>
            <w:r>
              <w:rPr>
                <w:rFonts w:cs="Tahoma" w:ascii="Tahoma" w:hAnsi="Tahoma"/>
                <w:i/>
                <w:sz w:val="20"/>
                <w:szCs w:val="20"/>
              </w:rPr>
              <w:t>I CJ Alajuela</w:t>
            </w:r>
          </w:p>
          <w:p>
            <w:pPr>
              <w:pStyle w:val="Normal"/>
              <w:widowControl w:val="false"/>
              <w:rPr>
                <w:rFonts w:ascii="Tahoma" w:hAnsi="Tahoma" w:cs="Tahoma"/>
                <w:i/>
                <w:i/>
                <w:sz w:val="20"/>
                <w:szCs w:val="20"/>
              </w:rPr>
            </w:pPr>
            <w:r>
              <w:rPr>
                <w:rFonts w:cs="Tahoma" w:ascii="Tahoma" w:hAnsi="Tahoma"/>
                <w:i/>
                <w:sz w:val="20"/>
                <w:szCs w:val="20"/>
              </w:rPr>
              <w:t>I CJ Guanacaste</w:t>
            </w:r>
          </w:p>
          <w:p>
            <w:pPr>
              <w:pStyle w:val="Normal"/>
              <w:widowControl w:val="false"/>
              <w:rPr>
                <w:rFonts w:ascii="Tahoma" w:hAnsi="Tahoma" w:cs="Tahoma"/>
                <w:i/>
                <w:i/>
                <w:sz w:val="20"/>
                <w:szCs w:val="20"/>
              </w:rPr>
            </w:pPr>
            <w:r>
              <w:rPr>
                <w:rFonts w:cs="Tahoma" w:ascii="Tahoma" w:hAnsi="Tahoma"/>
                <w:i/>
                <w:sz w:val="20"/>
                <w:szCs w:val="20"/>
              </w:rPr>
              <w:t>I CJ San José</w:t>
            </w:r>
          </w:p>
          <w:p>
            <w:pPr>
              <w:pStyle w:val="Normal"/>
              <w:widowControl w:val="false"/>
              <w:rPr>
                <w:rFonts w:ascii="Tahoma" w:hAnsi="Tahoma" w:cs="Tahoma"/>
                <w:i/>
                <w:i/>
                <w:sz w:val="20"/>
                <w:szCs w:val="20"/>
              </w:rPr>
            </w:pPr>
            <w:r>
              <w:rPr>
                <w:rFonts w:cs="Tahoma" w:ascii="Tahoma" w:hAnsi="Tahoma"/>
                <w:i/>
                <w:sz w:val="20"/>
                <w:szCs w:val="20"/>
              </w:rPr>
              <w:t>I CJ Zona Atlántica</w:t>
            </w:r>
          </w:p>
          <w:p>
            <w:pPr>
              <w:pStyle w:val="Normal"/>
              <w:widowControl w:val="false"/>
              <w:rPr>
                <w:rFonts w:ascii="Tahoma" w:hAnsi="Tahoma" w:cs="Tahoma"/>
                <w:i/>
                <w:i/>
                <w:sz w:val="20"/>
                <w:szCs w:val="20"/>
              </w:rPr>
            </w:pPr>
            <w:r>
              <w:rPr>
                <w:rFonts w:cs="Tahoma" w:ascii="Tahoma" w:hAnsi="Tahoma"/>
                <w:i/>
                <w:sz w:val="20"/>
                <w:szCs w:val="20"/>
              </w:rPr>
              <w:t>I CJ Zona Sur</w:t>
            </w:r>
          </w:p>
          <w:p>
            <w:pPr>
              <w:pStyle w:val="Normal"/>
              <w:widowControl w:val="false"/>
              <w:rPr>
                <w:rFonts w:ascii="Tahoma" w:hAnsi="Tahoma" w:cs="Tahoma"/>
                <w:i/>
                <w:i/>
                <w:sz w:val="20"/>
                <w:szCs w:val="20"/>
              </w:rPr>
            </w:pPr>
            <w:r>
              <w:rPr>
                <w:rFonts w:cs="Tahoma" w:ascii="Tahoma" w:hAnsi="Tahoma"/>
                <w:i/>
                <w:sz w:val="20"/>
                <w:szCs w:val="20"/>
              </w:rPr>
              <w:t>II CJ Guanacaste</w:t>
            </w:r>
          </w:p>
          <w:p>
            <w:pPr>
              <w:pStyle w:val="Normal"/>
              <w:widowControl w:val="false"/>
              <w:rPr>
                <w:rFonts w:ascii="Tahoma" w:hAnsi="Tahoma" w:cs="Tahoma"/>
                <w:i/>
                <w:i/>
                <w:sz w:val="20"/>
                <w:szCs w:val="20"/>
              </w:rPr>
            </w:pPr>
            <w:r>
              <w:rPr>
                <w:rFonts w:cs="Tahoma" w:ascii="Tahoma" w:hAnsi="Tahoma"/>
                <w:i/>
                <w:sz w:val="20"/>
                <w:szCs w:val="20"/>
              </w:rPr>
              <w:t>II CJ San José</w:t>
            </w:r>
          </w:p>
          <w:p>
            <w:pPr>
              <w:pStyle w:val="Normal"/>
              <w:widowControl w:val="false"/>
              <w:rPr>
                <w:rFonts w:ascii="Tahoma" w:hAnsi="Tahoma" w:cs="Tahoma"/>
                <w:i/>
                <w:i/>
                <w:sz w:val="20"/>
                <w:szCs w:val="20"/>
              </w:rPr>
            </w:pPr>
            <w:r>
              <w:rPr>
                <w:rFonts w:cs="Tahoma" w:ascii="Tahoma" w:hAnsi="Tahoma"/>
                <w:i/>
                <w:sz w:val="20"/>
                <w:szCs w:val="20"/>
              </w:rPr>
              <w:t>II CJ Zona Atlántica</w:t>
            </w:r>
          </w:p>
          <w:p>
            <w:pPr>
              <w:pStyle w:val="Normal"/>
              <w:widowControl w:val="false"/>
              <w:rPr>
                <w:rFonts w:ascii="Tahoma" w:hAnsi="Tahoma" w:cs="Tahoma"/>
                <w:i/>
                <w:i/>
                <w:sz w:val="20"/>
                <w:szCs w:val="20"/>
              </w:rPr>
            </w:pPr>
            <w:r>
              <w:rPr>
                <w:rFonts w:cs="Tahoma" w:ascii="Tahoma" w:hAnsi="Tahoma"/>
                <w:i/>
                <w:sz w:val="20"/>
                <w:szCs w:val="20"/>
              </w:rPr>
              <w:t>II CJ Zona Sur</w:t>
            </w:r>
          </w:p>
          <w:p>
            <w:pPr>
              <w:pStyle w:val="Normal"/>
              <w:widowControl w:val="false"/>
              <w:rPr>
                <w:rFonts w:ascii="Tahoma" w:hAnsi="Tahoma" w:cs="Tahoma"/>
                <w:i/>
                <w:i/>
                <w:sz w:val="20"/>
                <w:szCs w:val="20"/>
              </w:rPr>
            </w:pPr>
            <w:r>
              <w:rPr>
                <w:rFonts w:cs="Tahoma" w:ascii="Tahoma" w:hAnsi="Tahoma"/>
                <w:i/>
                <w:sz w:val="20"/>
                <w:szCs w:val="20"/>
              </w:rPr>
              <w:t>III CJ Alajuela</w:t>
            </w:r>
          </w:p>
          <w:p>
            <w:pPr>
              <w:pStyle w:val="Normal"/>
              <w:widowControl w:val="false"/>
              <w:spacing w:before="0" w:after="200"/>
              <w:rPr>
                <w:rFonts w:ascii="Tahoma" w:hAnsi="Tahoma" w:cs="Tahoma"/>
                <w:i/>
                <w:i/>
                <w:sz w:val="20"/>
                <w:szCs w:val="20"/>
              </w:rPr>
            </w:pPr>
            <w:r>
              <w:rPr>
                <w:rFonts w:cs="Tahoma" w:ascii="Tahoma" w:hAnsi="Tahoma"/>
                <w:i/>
                <w:sz w:val="20"/>
                <w:szCs w:val="20"/>
              </w:rPr>
              <w:t>III CJ San José</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WILLIAM HERRERA  REYES</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0304580270</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029</w:t>
            </w:r>
          </w:p>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030</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Cabécar</w:t>
            </w:r>
          </w:p>
        </w:tc>
        <w:tc>
          <w:tcPr>
            <w:tcW w:w="2039" w:type="dxa"/>
            <w:tcBorders/>
            <w:shd w:color="auto" w:fill="auto" w:val="clear"/>
            <w:vAlign w:val="center"/>
          </w:tcPr>
          <w:p>
            <w:pPr>
              <w:pStyle w:val="Normal"/>
              <w:widowControl w:val="false"/>
              <w:rPr>
                <w:rFonts w:ascii="Tahoma" w:hAnsi="Tahoma" w:cs="Tahoma"/>
                <w:i/>
                <w:i/>
                <w:sz w:val="20"/>
                <w:szCs w:val="20"/>
              </w:rPr>
            </w:pPr>
            <w:r>
              <w:rPr>
                <w:rFonts w:cs="Tahoma" w:ascii="Tahoma" w:hAnsi="Tahoma"/>
                <w:i/>
                <w:sz w:val="20"/>
                <w:szCs w:val="20"/>
              </w:rPr>
              <w:t>CJ Cartago</w:t>
            </w:r>
          </w:p>
          <w:p>
            <w:pPr>
              <w:pStyle w:val="Normal"/>
              <w:widowControl w:val="false"/>
              <w:spacing w:before="0" w:after="200"/>
              <w:rPr>
                <w:rFonts w:ascii="Tahoma" w:hAnsi="Tahoma" w:cs="Tahoma"/>
                <w:i/>
                <w:i/>
                <w:sz w:val="20"/>
                <w:szCs w:val="20"/>
              </w:rPr>
            </w:pPr>
            <w:r>
              <w:rPr>
                <w:rFonts w:cs="Tahoma" w:ascii="Tahoma" w:hAnsi="Tahoma"/>
                <w:i/>
                <w:sz w:val="20"/>
                <w:szCs w:val="20"/>
              </w:rPr>
              <w:t>I CJ Zona Atlántica</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MARGARITA OBANDO MADRIZ</w:t>
            </w:r>
          </w:p>
          <w:p>
            <w:pPr>
              <w:pStyle w:val="Normal"/>
              <w:widowControl w:val="false"/>
              <w:rPr>
                <w:rFonts w:ascii="Tahoma" w:hAnsi="Tahoma" w:cs="Tahoma"/>
                <w:i/>
                <w:i/>
                <w:sz w:val="20"/>
                <w:szCs w:val="20"/>
              </w:rPr>
            </w:pPr>
            <w:r>
              <w:rPr>
                <w:rFonts w:cs="Tahoma" w:ascii="Tahoma" w:hAnsi="Tahoma"/>
                <w:i/>
                <w:sz w:val="20"/>
                <w:szCs w:val="20"/>
              </w:rPr>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0305410105</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031</w:t>
            </w:r>
          </w:p>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032</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Cabécar</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CJ Cartago (Turrialba)</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FREDDY ALFONSO MARTINEZ MARTINEZ</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0302720334</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w:t>
            </w:r>
            <w:r>
              <w:rPr>
                <w:rFonts w:cs="Tahoma" w:ascii="Tahoma" w:hAnsi="Tahoma"/>
                <w:b/>
                <w:bCs/>
                <w:i/>
                <w:color w:val="000000"/>
                <w:sz w:val="20"/>
                <w:szCs w:val="20"/>
              </w:rPr>
              <w:t xml:space="preserve"> Valor 033</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Cabécar</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CJ Cartago</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ALEJANDRO OBANDO ORTIZ</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0304230993</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034</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Cabécar</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CJ Cartago (Turrialba)</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HEINER MAURICIO ACOSTA CONTRERAS</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0304030448</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035</w:t>
            </w:r>
          </w:p>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036</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Cabécar</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CJ Cartago</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ESTER BARQUERO MADRIZ</w:t>
            </w:r>
          </w:p>
          <w:p>
            <w:pPr>
              <w:pStyle w:val="Normal"/>
              <w:widowControl w:val="false"/>
              <w:rPr>
                <w:rFonts w:ascii="Tahoma" w:hAnsi="Tahoma" w:cs="Tahoma"/>
                <w:i/>
                <w:i/>
                <w:sz w:val="20"/>
                <w:szCs w:val="20"/>
              </w:rPr>
            </w:pPr>
            <w:r>
              <w:rPr>
                <w:rFonts w:cs="Tahoma" w:ascii="Tahoma" w:hAnsi="Tahoma"/>
                <w:i/>
                <w:sz w:val="20"/>
                <w:szCs w:val="20"/>
              </w:rPr>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0901020122</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037</w:t>
            </w:r>
          </w:p>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038</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Cabécar</w:t>
            </w:r>
          </w:p>
        </w:tc>
        <w:tc>
          <w:tcPr>
            <w:tcW w:w="2039" w:type="dxa"/>
            <w:tcBorders/>
            <w:shd w:color="auto" w:fill="auto" w:val="clear"/>
            <w:vAlign w:val="center"/>
          </w:tcPr>
          <w:p>
            <w:pPr>
              <w:pStyle w:val="Normal"/>
              <w:widowControl w:val="false"/>
              <w:rPr>
                <w:rFonts w:ascii="Tahoma" w:hAnsi="Tahoma" w:cs="Tahoma"/>
                <w:i/>
                <w:i/>
                <w:sz w:val="20"/>
                <w:szCs w:val="20"/>
              </w:rPr>
            </w:pPr>
            <w:r>
              <w:rPr>
                <w:rFonts w:cs="Tahoma" w:ascii="Tahoma" w:hAnsi="Tahoma"/>
                <w:i/>
                <w:sz w:val="20"/>
                <w:szCs w:val="20"/>
              </w:rPr>
              <w:t>CJ Cartago</w:t>
            </w:r>
          </w:p>
          <w:p>
            <w:pPr>
              <w:pStyle w:val="Normal"/>
              <w:widowControl w:val="false"/>
              <w:spacing w:before="0" w:after="200"/>
              <w:rPr>
                <w:rFonts w:ascii="Tahoma" w:hAnsi="Tahoma" w:cs="Tahoma"/>
                <w:i/>
                <w:i/>
                <w:sz w:val="20"/>
                <w:szCs w:val="20"/>
              </w:rPr>
            </w:pPr>
            <w:r>
              <w:rPr>
                <w:rFonts w:cs="Tahoma" w:ascii="Tahoma" w:hAnsi="Tahoma"/>
                <w:i/>
                <w:sz w:val="20"/>
                <w:szCs w:val="20"/>
              </w:rPr>
              <w:t>II CJ Zona Atlántica</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MIGUEL RODRIGO MORALES REYES</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0900980677</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039</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Cabécar</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CJ Cartago (Turrialba-Chirripó)</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FRANKLIN MORALES MARTINEZ</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0900990121</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040</w:t>
            </w:r>
          </w:p>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041</w:t>
            </w:r>
          </w:p>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042</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Cabécar</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CJ Cartago</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YULISSA PAOLA ORTIZ MORALES</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305190318</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043</w:t>
            </w:r>
          </w:p>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044</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Cabécar</w:t>
            </w:r>
          </w:p>
        </w:tc>
        <w:tc>
          <w:tcPr>
            <w:tcW w:w="2039" w:type="dxa"/>
            <w:tcBorders/>
            <w:shd w:color="auto" w:fill="auto" w:val="clear"/>
            <w:vAlign w:val="center"/>
          </w:tcPr>
          <w:p>
            <w:pPr>
              <w:pStyle w:val="Normal"/>
              <w:widowControl w:val="false"/>
              <w:rPr>
                <w:rFonts w:ascii="Tahoma" w:hAnsi="Tahoma" w:cs="Tahoma"/>
                <w:i/>
                <w:i/>
                <w:sz w:val="20"/>
                <w:szCs w:val="20"/>
              </w:rPr>
            </w:pPr>
            <w:r>
              <w:rPr>
                <w:rFonts w:cs="Tahoma" w:ascii="Tahoma" w:hAnsi="Tahoma"/>
                <w:i/>
                <w:sz w:val="20"/>
                <w:szCs w:val="20"/>
              </w:rPr>
              <w:t>CJ Cartago</w:t>
            </w:r>
          </w:p>
          <w:p>
            <w:pPr>
              <w:pStyle w:val="Normal"/>
              <w:widowControl w:val="false"/>
              <w:rPr>
                <w:rFonts w:ascii="Tahoma" w:hAnsi="Tahoma" w:cs="Tahoma"/>
                <w:i/>
                <w:i/>
                <w:sz w:val="20"/>
                <w:szCs w:val="20"/>
              </w:rPr>
            </w:pPr>
            <w:r>
              <w:rPr>
                <w:rFonts w:cs="Tahoma" w:ascii="Tahoma" w:hAnsi="Tahoma"/>
                <w:i/>
                <w:sz w:val="20"/>
                <w:szCs w:val="20"/>
              </w:rPr>
              <w:t>CJ Heredia</w:t>
            </w:r>
          </w:p>
          <w:p>
            <w:pPr>
              <w:pStyle w:val="Normal"/>
              <w:widowControl w:val="false"/>
              <w:rPr>
                <w:rFonts w:ascii="Tahoma" w:hAnsi="Tahoma" w:cs="Tahoma"/>
                <w:i/>
                <w:i/>
                <w:sz w:val="20"/>
                <w:szCs w:val="20"/>
              </w:rPr>
            </w:pPr>
            <w:r>
              <w:rPr>
                <w:rFonts w:cs="Tahoma" w:ascii="Tahoma" w:hAnsi="Tahoma"/>
                <w:i/>
                <w:sz w:val="20"/>
                <w:szCs w:val="20"/>
              </w:rPr>
              <w:t>CJ Puntarenas</w:t>
            </w:r>
          </w:p>
          <w:p>
            <w:pPr>
              <w:pStyle w:val="Normal"/>
              <w:widowControl w:val="false"/>
              <w:rPr>
                <w:rFonts w:ascii="Tahoma" w:hAnsi="Tahoma" w:cs="Tahoma"/>
                <w:i/>
                <w:i/>
                <w:sz w:val="20"/>
                <w:szCs w:val="20"/>
              </w:rPr>
            </w:pPr>
            <w:r>
              <w:rPr>
                <w:rFonts w:cs="Tahoma" w:ascii="Tahoma" w:hAnsi="Tahoma"/>
                <w:i/>
                <w:sz w:val="20"/>
                <w:szCs w:val="20"/>
              </w:rPr>
              <w:t>I CJ Alajuela</w:t>
            </w:r>
          </w:p>
          <w:p>
            <w:pPr>
              <w:pStyle w:val="Normal"/>
              <w:widowControl w:val="false"/>
              <w:rPr>
                <w:rFonts w:ascii="Tahoma" w:hAnsi="Tahoma" w:cs="Tahoma"/>
                <w:i/>
                <w:i/>
                <w:sz w:val="20"/>
                <w:szCs w:val="20"/>
              </w:rPr>
            </w:pPr>
            <w:r>
              <w:rPr>
                <w:rFonts w:cs="Tahoma" w:ascii="Tahoma" w:hAnsi="Tahoma"/>
                <w:i/>
                <w:sz w:val="20"/>
                <w:szCs w:val="20"/>
              </w:rPr>
              <w:t>I CJ Guanacaste</w:t>
            </w:r>
          </w:p>
          <w:p>
            <w:pPr>
              <w:pStyle w:val="Normal"/>
              <w:widowControl w:val="false"/>
              <w:rPr>
                <w:rFonts w:ascii="Tahoma" w:hAnsi="Tahoma" w:cs="Tahoma"/>
                <w:i/>
                <w:i/>
                <w:sz w:val="20"/>
                <w:szCs w:val="20"/>
              </w:rPr>
            </w:pPr>
            <w:r>
              <w:rPr>
                <w:rFonts w:cs="Tahoma" w:ascii="Tahoma" w:hAnsi="Tahoma"/>
                <w:i/>
                <w:sz w:val="20"/>
                <w:szCs w:val="20"/>
              </w:rPr>
              <w:t>I CJ San José</w:t>
            </w:r>
          </w:p>
          <w:p>
            <w:pPr>
              <w:pStyle w:val="Normal"/>
              <w:widowControl w:val="false"/>
              <w:rPr>
                <w:rFonts w:ascii="Tahoma" w:hAnsi="Tahoma" w:cs="Tahoma"/>
                <w:i/>
                <w:i/>
                <w:sz w:val="20"/>
                <w:szCs w:val="20"/>
              </w:rPr>
            </w:pPr>
            <w:r>
              <w:rPr>
                <w:rFonts w:cs="Tahoma" w:ascii="Tahoma" w:hAnsi="Tahoma"/>
                <w:i/>
                <w:sz w:val="20"/>
                <w:szCs w:val="20"/>
              </w:rPr>
              <w:t>I CJ Zona Atlántica</w:t>
            </w:r>
          </w:p>
          <w:p>
            <w:pPr>
              <w:pStyle w:val="Normal"/>
              <w:widowControl w:val="false"/>
              <w:rPr>
                <w:rFonts w:ascii="Tahoma" w:hAnsi="Tahoma" w:cs="Tahoma"/>
                <w:i/>
                <w:i/>
                <w:sz w:val="20"/>
                <w:szCs w:val="20"/>
              </w:rPr>
            </w:pPr>
            <w:r>
              <w:rPr>
                <w:rFonts w:cs="Tahoma" w:ascii="Tahoma" w:hAnsi="Tahoma"/>
                <w:i/>
                <w:sz w:val="20"/>
                <w:szCs w:val="20"/>
              </w:rPr>
              <w:t>I CJ Zona Sur</w:t>
            </w:r>
          </w:p>
          <w:p>
            <w:pPr>
              <w:pStyle w:val="Normal"/>
              <w:widowControl w:val="false"/>
              <w:rPr>
                <w:rFonts w:ascii="Tahoma" w:hAnsi="Tahoma" w:cs="Tahoma"/>
                <w:i/>
                <w:i/>
                <w:sz w:val="20"/>
                <w:szCs w:val="20"/>
              </w:rPr>
            </w:pPr>
            <w:r>
              <w:rPr>
                <w:rFonts w:cs="Tahoma" w:ascii="Tahoma" w:hAnsi="Tahoma"/>
                <w:i/>
                <w:sz w:val="20"/>
                <w:szCs w:val="20"/>
              </w:rPr>
              <w:t>II CJ Guanacaste</w:t>
            </w:r>
          </w:p>
          <w:p>
            <w:pPr>
              <w:pStyle w:val="Normal"/>
              <w:widowControl w:val="false"/>
              <w:rPr>
                <w:rFonts w:ascii="Tahoma" w:hAnsi="Tahoma" w:cs="Tahoma"/>
                <w:i/>
                <w:i/>
                <w:sz w:val="20"/>
                <w:szCs w:val="20"/>
              </w:rPr>
            </w:pPr>
            <w:r>
              <w:rPr>
                <w:rFonts w:cs="Tahoma" w:ascii="Tahoma" w:hAnsi="Tahoma"/>
                <w:i/>
                <w:sz w:val="20"/>
                <w:szCs w:val="20"/>
              </w:rPr>
              <w:t>II CJ Zona Atlántica</w:t>
            </w:r>
          </w:p>
          <w:p>
            <w:pPr>
              <w:pStyle w:val="Normal"/>
              <w:widowControl w:val="false"/>
              <w:rPr>
                <w:rFonts w:ascii="Tahoma" w:hAnsi="Tahoma" w:cs="Tahoma"/>
                <w:i/>
                <w:i/>
                <w:sz w:val="20"/>
                <w:szCs w:val="20"/>
              </w:rPr>
            </w:pPr>
            <w:r>
              <w:rPr>
                <w:rFonts w:cs="Tahoma" w:ascii="Tahoma" w:hAnsi="Tahoma"/>
                <w:i/>
                <w:sz w:val="20"/>
                <w:szCs w:val="20"/>
              </w:rPr>
              <w:t xml:space="preserve">II CJ San José </w:t>
            </w:r>
          </w:p>
          <w:p>
            <w:pPr>
              <w:pStyle w:val="Normal"/>
              <w:widowControl w:val="false"/>
              <w:rPr>
                <w:rFonts w:ascii="Tahoma" w:hAnsi="Tahoma" w:cs="Tahoma"/>
                <w:i/>
                <w:i/>
                <w:sz w:val="20"/>
                <w:szCs w:val="20"/>
              </w:rPr>
            </w:pPr>
            <w:r>
              <w:rPr>
                <w:rFonts w:cs="Tahoma" w:ascii="Tahoma" w:hAnsi="Tahoma"/>
                <w:i/>
                <w:sz w:val="20"/>
                <w:szCs w:val="20"/>
              </w:rPr>
              <w:t>II CJ Zona Sur</w:t>
            </w:r>
          </w:p>
          <w:p>
            <w:pPr>
              <w:pStyle w:val="Normal"/>
              <w:widowControl w:val="false"/>
              <w:rPr>
                <w:rFonts w:ascii="Tahoma" w:hAnsi="Tahoma" w:cs="Tahoma"/>
                <w:i/>
                <w:i/>
                <w:sz w:val="20"/>
                <w:szCs w:val="20"/>
              </w:rPr>
            </w:pPr>
            <w:r>
              <w:rPr>
                <w:rFonts w:cs="Tahoma" w:ascii="Tahoma" w:hAnsi="Tahoma"/>
                <w:i/>
                <w:sz w:val="20"/>
                <w:szCs w:val="20"/>
              </w:rPr>
              <w:t>III CJ Alajuela</w:t>
            </w:r>
          </w:p>
          <w:p>
            <w:pPr>
              <w:pStyle w:val="Normal"/>
              <w:widowControl w:val="false"/>
              <w:spacing w:before="0" w:after="200"/>
              <w:rPr>
                <w:rFonts w:ascii="Tahoma" w:hAnsi="Tahoma" w:cs="Tahoma"/>
                <w:i/>
                <w:i/>
                <w:sz w:val="20"/>
                <w:szCs w:val="20"/>
              </w:rPr>
            </w:pPr>
            <w:r>
              <w:rPr>
                <w:rFonts w:cs="Tahoma" w:ascii="Tahoma" w:hAnsi="Tahoma"/>
                <w:i/>
                <w:sz w:val="20"/>
                <w:szCs w:val="20"/>
              </w:rPr>
              <w:t>III CJ San José</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VIELKA CELESTE MORALES SEGURA</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305240012</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045</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Cabécar</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CJ Cartago</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RODRIGO MORALES SEGURA</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304930199</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046</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Cabécar</w:t>
            </w:r>
          </w:p>
        </w:tc>
        <w:tc>
          <w:tcPr>
            <w:tcW w:w="2039" w:type="dxa"/>
            <w:tcBorders/>
            <w:shd w:color="auto" w:fill="auto" w:val="clear"/>
            <w:vAlign w:val="center"/>
          </w:tcPr>
          <w:p>
            <w:pPr>
              <w:pStyle w:val="Normal"/>
              <w:widowControl w:val="false"/>
              <w:rPr>
                <w:rFonts w:ascii="Tahoma" w:hAnsi="Tahoma" w:cs="Tahoma"/>
                <w:i/>
                <w:i/>
                <w:sz w:val="20"/>
                <w:szCs w:val="20"/>
              </w:rPr>
            </w:pPr>
            <w:r>
              <w:rPr>
                <w:rFonts w:cs="Tahoma" w:ascii="Tahoma" w:hAnsi="Tahoma"/>
                <w:i/>
                <w:sz w:val="20"/>
                <w:szCs w:val="20"/>
              </w:rPr>
              <w:t>CJ Cartago</w:t>
            </w:r>
          </w:p>
          <w:p>
            <w:pPr>
              <w:pStyle w:val="Normal"/>
              <w:widowControl w:val="false"/>
              <w:rPr>
                <w:rFonts w:ascii="Tahoma" w:hAnsi="Tahoma" w:cs="Tahoma"/>
                <w:i/>
                <w:i/>
                <w:sz w:val="20"/>
                <w:szCs w:val="20"/>
              </w:rPr>
            </w:pPr>
            <w:r>
              <w:rPr>
                <w:rFonts w:cs="Tahoma" w:ascii="Tahoma" w:hAnsi="Tahoma"/>
                <w:i/>
                <w:sz w:val="20"/>
                <w:szCs w:val="20"/>
              </w:rPr>
              <w:t>I CJ San José</w:t>
            </w:r>
          </w:p>
          <w:p>
            <w:pPr>
              <w:pStyle w:val="Normal"/>
              <w:widowControl w:val="false"/>
              <w:rPr>
                <w:rFonts w:ascii="Tahoma" w:hAnsi="Tahoma" w:cs="Tahoma"/>
                <w:i/>
                <w:i/>
                <w:sz w:val="20"/>
                <w:szCs w:val="20"/>
              </w:rPr>
            </w:pPr>
            <w:r>
              <w:rPr>
                <w:rFonts w:cs="Tahoma" w:ascii="Tahoma" w:hAnsi="Tahoma"/>
                <w:i/>
                <w:sz w:val="20"/>
                <w:szCs w:val="20"/>
              </w:rPr>
              <w:t>I CJ Zona Atlántica</w:t>
            </w:r>
          </w:p>
          <w:p>
            <w:pPr>
              <w:pStyle w:val="Normal"/>
              <w:widowControl w:val="false"/>
              <w:rPr>
                <w:rFonts w:ascii="Tahoma" w:hAnsi="Tahoma" w:cs="Tahoma"/>
                <w:i/>
                <w:i/>
                <w:sz w:val="20"/>
                <w:szCs w:val="20"/>
              </w:rPr>
            </w:pPr>
            <w:r>
              <w:rPr>
                <w:rFonts w:cs="Tahoma" w:ascii="Tahoma" w:hAnsi="Tahoma"/>
                <w:i/>
                <w:sz w:val="20"/>
                <w:szCs w:val="20"/>
              </w:rPr>
              <w:t>II CJ San José</w:t>
            </w:r>
          </w:p>
          <w:p>
            <w:pPr>
              <w:pStyle w:val="Normal"/>
              <w:widowControl w:val="false"/>
              <w:rPr>
                <w:rFonts w:ascii="Tahoma" w:hAnsi="Tahoma" w:cs="Tahoma"/>
                <w:i/>
                <w:i/>
                <w:sz w:val="20"/>
                <w:szCs w:val="20"/>
              </w:rPr>
            </w:pPr>
            <w:r>
              <w:rPr>
                <w:rFonts w:cs="Tahoma" w:ascii="Tahoma" w:hAnsi="Tahoma"/>
                <w:i/>
                <w:sz w:val="20"/>
                <w:szCs w:val="20"/>
              </w:rPr>
              <w:t>II CJ Zona Atlántica</w:t>
            </w:r>
          </w:p>
          <w:p>
            <w:pPr>
              <w:pStyle w:val="Normal"/>
              <w:widowControl w:val="false"/>
              <w:spacing w:before="0" w:after="200"/>
              <w:rPr>
                <w:rFonts w:ascii="Tahoma" w:hAnsi="Tahoma" w:cs="Tahoma"/>
                <w:i/>
                <w:i/>
                <w:sz w:val="20"/>
                <w:szCs w:val="20"/>
              </w:rPr>
            </w:pPr>
            <w:r>
              <w:rPr>
                <w:rFonts w:cs="Tahoma" w:ascii="Tahoma" w:hAnsi="Tahoma"/>
                <w:i/>
                <w:sz w:val="20"/>
                <w:szCs w:val="20"/>
              </w:rPr>
              <w:t>III CJ San José</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ELIETH MORALES SEGURA</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115220379</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w:t>
            </w:r>
            <w:r>
              <w:rPr>
                <w:rFonts w:cs="Tahoma" w:ascii="Tahoma" w:hAnsi="Tahoma"/>
                <w:b/>
                <w:bCs/>
                <w:i/>
                <w:color w:val="000000"/>
                <w:sz w:val="20"/>
                <w:szCs w:val="20"/>
              </w:rPr>
              <w:t xml:space="preserve"> Valor 047</w:t>
            </w:r>
          </w:p>
          <w:p>
            <w:pPr>
              <w:pStyle w:val="Normal"/>
              <w:widowControl w:val="false"/>
              <w:rPr>
                <w:rFonts w:ascii="Tahoma" w:hAnsi="Tahoma" w:cs="Tahoma"/>
                <w:i/>
                <w:i/>
                <w:sz w:val="20"/>
                <w:szCs w:val="20"/>
              </w:rPr>
            </w:pPr>
            <w:r>
              <w:rPr>
                <w:rFonts w:cs="Tahoma" w:ascii="Tahoma" w:hAnsi="Tahoma"/>
                <w:i/>
                <w:color w:val="000000"/>
                <w:sz w:val="20"/>
                <w:szCs w:val="20"/>
              </w:rPr>
              <w:t>Tel:</w:t>
            </w:r>
            <w:r>
              <w:rPr>
                <w:rFonts w:cs="Tahoma" w:ascii="Tahoma" w:hAnsi="Tahoma"/>
                <w:b/>
                <w:bCs/>
                <w:i/>
                <w:color w:val="000000"/>
                <w:sz w:val="20"/>
                <w:szCs w:val="20"/>
              </w:rPr>
              <w:t xml:space="preserve"> Valor 048</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Cabécar</w:t>
            </w:r>
          </w:p>
        </w:tc>
        <w:tc>
          <w:tcPr>
            <w:tcW w:w="2039" w:type="dxa"/>
            <w:tcBorders/>
            <w:shd w:color="auto" w:fill="auto" w:val="clear"/>
            <w:vAlign w:val="center"/>
          </w:tcPr>
          <w:p>
            <w:pPr>
              <w:pStyle w:val="Normal"/>
              <w:widowControl w:val="false"/>
              <w:rPr>
                <w:rFonts w:ascii="Tahoma" w:hAnsi="Tahoma" w:cs="Tahoma"/>
                <w:i/>
                <w:i/>
                <w:sz w:val="20"/>
                <w:szCs w:val="20"/>
              </w:rPr>
            </w:pPr>
            <w:r>
              <w:rPr>
                <w:rFonts w:cs="Tahoma" w:ascii="Tahoma" w:hAnsi="Tahoma"/>
                <w:i/>
                <w:sz w:val="20"/>
                <w:szCs w:val="20"/>
              </w:rPr>
              <w:t>CJ Cartago</w:t>
            </w:r>
          </w:p>
          <w:p>
            <w:pPr>
              <w:pStyle w:val="Normal"/>
              <w:widowControl w:val="false"/>
              <w:rPr>
                <w:rFonts w:ascii="Tahoma" w:hAnsi="Tahoma" w:cs="Tahoma"/>
                <w:i/>
                <w:i/>
                <w:sz w:val="20"/>
                <w:szCs w:val="20"/>
              </w:rPr>
            </w:pPr>
            <w:r>
              <w:rPr>
                <w:rFonts w:cs="Tahoma" w:ascii="Tahoma" w:hAnsi="Tahoma"/>
                <w:i/>
                <w:sz w:val="20"/>
                <w:szCs w:val="20"/>
              </w:rPr>
              <w:t>CJ Heredia</w:t>
            </w:r>
          </w:p>
          <w:p>
            <w:pPr>
              <w:pStyle w:val="Normal"/>
              <w:widowControl w:val="false"/>
              <w:rPr>
                <w:rFonts w:ascii="Tahoma" w:hAnsi="Tahoma" w:cs="Tahoma"/>
                <w:i/>
                <w:i/>
                <w:sz w:val="20"/>
                <w:szCs w:val="20"/>
              </w:rPr>
            </w:pPr>
            <w:r>
              <w:rPr>
                <w:rFonts w:cs="Tahoma" w:ascii="Tahoma" w:hAnsi="Tahoma"/>
                <w:i/>
                <w:sz w:val="20"/>
                <w:szCs w:val="20"/>
              </w:rPr>
              <w:t>CJ Puntarenas</w:t>
            </w:r>
          </w:p>
          <w:p>
            <w:pPr>
              <w:pStyle w:val="Normal"/>
              <w:widowControl w:val="false"/>
              <w:rPr>
                <w:rFonts w:ascii="Tahoma" w:hAnsi="Tahoma" w:cs="Tahoma"/>
                <w:i/>
                <w:i/>
                <w:sz w:val="20"/>
                <w:szCs w:val="20"/>
              </w:rPr>
            </w:pPr>
            <w:r>
              <w:rPr>
                <w:rFonts w:cs="Tahoma" w:ascii="Tahoma" w:hAnsi="Tahoma"/>
                <w:i/>
                <w:sz w:val="20"/>
                <w:szCs w:val="20"/>
              </w:rPr>
              <w:t>I CJ Alajuela</w:t>
            </w:r>
          </w:p>
          <w:p>
            <w:pPr>
              <w:pStyle w:val="Normal"/>
              <w:widowControl w:val="false"/>
              <w:rPr>
                <w:rFonts w:ascii="Tahoma" w:hAnsi="Tahoma" w:cs="Tahoma"/>
                <w:i/>
                <w:i/>
                <w:sz w:val="20"/>
                <w:szCs w:val="20"/>
              </w:rPr>
            </w:pPr>
            <w:r>
              <w:rPr>
                <w:rFonts w:cs="Tahoma" w:ascii="Tahoma" w:hAnsi="Tahoma"/>
                <w:i/>
                <w:sz w:val="20"/>
                <w:szCs w:val="20"/>
              </w:rPr>
              <w:t>I CJ Guanacaste</w:t>
            </w:r>
          </w:p>
          <w:p>
            <w:pPr>
              <w:pStyle w:val="Normal"/>
              <w:widowControl w:val="false"/>
              <w:rPr>
                <w:rFonts w:ascii="Tahoma" w:hAnsi="Tahoma" w:cs="Tahoma"/>
                <w:i/>
                <w:i/>
                <w:sz w:val="20"/>
                <w:szCs w:val="20"/>
              </w:rPr>
            </w:pPr>
            <w:r>
              <w:rPr>
                <w:rFonts w:cs="Tahoma" w:ascii="Tahoma" w:hAnsi="Tahoma"/>
                <w:i/>
                <w:sz w:val="20"/>
                <w:szCs w:val="20"/>
              </w:rPr>
              <w:t>I CJ San José</w:t>
            </w:r>
          </w:p>
          <w:p>
            <w:pPr>
              <w:pStyle w:val="Normal"/>
              <w:widowControl w:val="false"/>
              <w:rPr>
                <w:rFonts w:ascii="Tahoma" w:hAnsi="Tahoma" w:cs="Tahoma"/>
                <w:i/>
                <w:i/>
                <w:sz w:val="20"/>
                <w:szCs w:val="20"/>
              </w:rPr>
            </w:pPr>
            <w:r>
              <w:rPr>
                <w:rFonts w:cs="Tahoma" w:ascii="Tahoma" w:hAnsi="Tahoma"/>
                <w:i/>
                <w:sz w:val="20"/>
                <w:szCs w:val="20"/>
              </w:rPr>
              <w:t>I CJ Zona Atlántica</w:t>
            </w:r>
          </w:p>
          <w:p>
            <w:pPr>
              <w:pStyle w:val="Normal"/>
              <w:widowControl w:val="false"/>
              <w:rPr>
                <w:rFonts w:ascii="Tahoma" w:hAnsi="Tahoma" w:cs="Tahoma"/>
                <w:i/>
                <w:i/>
                <w:sz w:val="20"/>
                <w:szCs w:val="20"/>
              </w:rPr>
            </w:pPr>
            <w:r>
              <w:rPr>
                <w:rFonts w:cs="Tahoma" w:ascii="Tahoma" w:hAnsi="Tahoma"/>
                <w:i/>
                <w:sz w:val="20"/>
                <w:szCs w:val="20"/>
              </w:rPr>
              <w:t>I CJ Zona Sur</w:t>
            </w:r>
          </w:p>
          <w:p>
            <w:pPr>
              <w:pStyle w:val="Normal"/>
              <w:widowControl w:val="false"/>
              <w:rPr>
                <w:rFonts w:ascii="Tahoma" w:hAnsi="Tahoma" w:cs="Tahoma"/>
                <w:i/>
                <w:i/>
                <w:sz w:val="20"/>
                <w:szCs w:val="20"/>
              </w:rPr>
            </w:pPr>
            <w:r>
              <w:rPr>
                <w:rFonts w:cs="Tahoma" w:ascii="Tahoma" w:hAnsi="Tahoma"/>
                <w:i/>
                <w:sz w:val="20"/>
                <w:szCs w:val="20"/>
              </w:rPr>
              <w:t>II CJ Guanacaste</w:t>
            </w:r>
          </w:p>
          <w:p>
            <w:pPr>
              <w:pStyle w:val="Normal"/>
              <w:widowControl w:val="false"/>
              <w:rPr>
                <w:rFonts w:ascii="Tahoma" w:hAnsi="Tahoma" w:cs="Tahoma"/>
                <w:i/>
                <w:i/>
                <w:sz w:val="20"/>
                <w:szCs w:val="20"/>
              </w:rPr>
            </w:pPr>
            <w:r>
              <w:rPr>
                <w:rFonts w:cs="Tahoma" w:ascii="Tahoma" w:hAnsi="Tahoma"/>
                <w:i/>
                <w:sz w:val="20"/>
                <w:szCs w:val="20"/>
              </w:rPr>
              <w:t>II CJ San José</w:t>
            </w:r>
          </w:p>
          <w:p>
            <w:pPr>
              <w:pStyle w:val="Normal"/>
              <w:widowControl w:val="false"/>
              <w:rPr>
                <w:rFonts w:ascii="Tahoma" w:hAnsi="Tahoma" w:cs="Tahoma"/>
                <w:i/>
                <w:i/>
                <w:sz w:val="20"/>
                <w:szCs w:val="20"/>
              </w:rPr>
            </w:pPr>
            <w:r>
              <w:rPr>
                <w:rFonts w:cs="Tahoma" w:ascii="Tahoma" w:hAnsi="Tahoma"/>
                <w:i/>
                <w:sz w:val="20"/>
                <w:szCs w:val="20"/>
              </w:rPr>
              <w:t>II CJ Zona Atlántica</w:t>
            </w:r>
          </w:p>
          <w:p>
            <w:pPr>
              <w:pStyle w:val="Normal"/>
              <w:widowControl w:val="false"/>
              <w:rPr>
                <w:rFonts w:ascii="Tahoma" w:hAnsi="Tahoma" w:cs="Tahoma"/>
                <w:i/>
                <w:i/>
                <w:sz w:val="20"/>
                <w:szCs w:val="20"/>
              </w:rPr>
            </w:pPr>
            <w:r>
              <w:rPr>
                <w:rFonts w:cs="Tahoma" w:ascii="Tahoma" w:hAnsi="Tahoma"/>
                <w:i/>
                <w:sz w:val="20"/>
                <w:szCs w:val="20"/>
              </w:rPr>
              <w:t>II CJ Zona Sur</w:t>
            </w:r>
          </w:p>
          <w:p>
            <w:pPr>
              <w:pStyle w:val="Normal"/>
              <w:widowControl w:val="false"/>
              <w:rPr>
                <w:rFonts w:ascii="Tahoma" w:hAnsi="Tahoma" w:cs="Tahoma"/>
                <w:i/>
                <w:i/>
                <w:sz w:val="20"/>
                <w:szCs w:val="20"/>
              </w:rPr>
            </w:pPr>
            <w:r>
              <w:rPr>
                <w:rFonts w:cs="Tahoma" w:ascii="Tahoma" w:hAnsi="Tahoma"/>
                <w:i/>
                <w:sz w:val="20"/>
                <w:szCs w:val="20"/>
              </w:rPr>
              <w:t>III CJ Alajuela</w:t>
            </w:r>
          </w:p>
          <w:p>
            <w:pPr>
              <w:pStyle w:val="Normal"/>
              <w:widowControl w:val="false"/>
              <w:spacing w:before="0" w:after="200"/>
              <w:rPr>
                <w:rFonts w:ascii="Tahoma" w:hAnsi="Tahoma" w:cs="Tahoma"/>
                <w:i/>
                <w:i/>
                <w:sz w:val="20"/>
                <w:szCs w:val="20"/>
              </w:rPr>
            </w:pPr>
            <w:r>
              <w:rPr>
                <w:rFonts w:cs="Tahoma" w:ascii="Tahoma" w:hAnsi="Tahoma"/>
                <w:i/>
                <w:sz w:val="20"/>
                <w:szCs w:val="20"/>
              </w:rPr>
              <w:t>III CJ San José</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RONALD OBANDO GARCIA</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304280270</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049</w:t>
            </w:r>
          </w:p>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050</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Cabécar</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CJ Cartago (Turrialba)</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DENNIS MADRIGAL MORA</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305400592</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051</w:t>
            </w:r>
          </w:p>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052</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Cabécar</w:t>
            </w:r>
          </w:p>
        </w:tc>
        <w:tc>
          <w:tcPr>
            <w:tcW w:w="2039" w:type="dxa"/>
            <w:tcBorders/>
            <w:shd w:color="auto" w:fill="auto" w:val="clear"/>
            <w:vAlign w:val="center"/>
          </w:tcPr>
          <w:p>
            <w:pPr>
              <w:pStyle w:val="Normal"/>
              <w:widowControl w:val="false"/>
              <w:rPr>
                <w:rFonts w:ascii="Tahoma" w:hAnsi="Tahoma" w:cs="Tahoma"/>
                <w:i/>
                <w:i/>
                <w:sz w:val="20"/>
                <w:szCs w:val="20"/>
              </w:rPr>
            </w:pPr>
            <w:r>
              <w:rPr>
                <w:rFonts w:cs="Tahoma" w:ascii="Tahoma" w:hAnsi="Tahoma"/>
                <w:i/>
                <w:sz w:val="20"/>
                <w:szCs w:val="20"/>
              </w:rPr>
              <w:t>CJ Cartago</w:t>
            </w:r>
          </w:p>
          <w:p>
            <w:pPr>
              <w:pStyle w:val="Normal"/>
              <w:widowControl w:val="false"/>
              <w:rPr>
                <w:rFonts w:ascii="Tahoma" w:hAnsi="Tahoma" w:cs="Tahoma"/>
                <w:i/>
                <w:i/>
                <w:sz w:val="20"/>
                <w:szCs w:val="20"/>
              </w:rPr>
            </w:pPr>
            <w:r>
              <w:rPr>
                <w:rFonts w:cs="Tahoma" w:ascii="Tahoma" w:hAnsi="Tahoma"/>
                <w:i/>
                <w:sz w:val="20"/>
                <w:szCs w:val="20"/>
              </w:rPr>
              <w:t>CJ Heredia</w:t>
            </w:r>
          </w:p>
          <w:p>
            <w:pPr>
              <w:pStyle w:val="Normal"/>
              <w:widowControl w:val="false"/>
              <w:rPr>
                <w:rFonts w:ascii="Tahoma" w:hAnsi="Tahoma" w:cs="Tahoma"/>
                <w:i/>
                <w:i/>
                <w:sz w:val="20"/>
                <w:szCs w:val="20"/>
              </w:rPr>
            </w:pPr>
            <w:r>
              <w:rPr>
                <w:rFonts w:cs="Tahoma" w:ascii="Tahoma" w:hAnsi="Tahoma"/>
                <w:i/>
                <w:sz w:val="20"/>
                <w:szCs w:val="20"/>
              </w:rPr>
              <w:t>CJ Puntarenas</w:t>
            </w:r>
          </w:p>
          <w:p>
            <w:pPr>
              <w:pStyle w:val="Normal"/>
              <w:widowControl w:val="false"/>
              <w:rPr>
                <w:rFonts w:ascii="Tahoma" w:hAnsi="Tahoma" w:cs="Tahoma"/>
                <w:i/>
                <w:i/>
                <w:sz w:val="20"/>
                <w:szCs w:val="20"/>
              </w:rPr>
            </w:pPr>
            <w:r>
              <w:rPr>
                <w:rFonts w:cs="Tahoma" w:ascii="Tahoma" w:hAnsi="Tahoma"/>
                <w:i/>
                <w:sz w:val="20"/>
                <w:szCs w:val="20"/>
              </w:rPr>
              <w:t>I CJ Alajuela</w:t>
            </w:r>
          </w:p>
          <w:p>
            <w:pPr>
              <w:pStyle w:val="Normal"/>
              <w:widowControl w:val="false"/>
              <w:rPr>
                <w:rFonts w:ascii="Tahoma" w:hAnsi="Tahoma" w:cs="Tahoma"/>
                <w:i/>
                <w:i/>
                <w:sz w:val="20"/>
                <w:szCs w:val="20"/>
              </w:rPr>
            </w:pPr>
            <w:r>
              <w:rPr>
                <w:rFonts w:cs="Tahoma" w:ascii="Tahoma" w:hAnsi="Tahoma"/>
                <w:i/>
                <w:sz w:val="20"/>
                <w:szCs w:val="20"/>
              </w:rPr>
              <w:t>I CJ Guanacaste</w:t>
            </w:r>
          </w:p>
          <w:p>
            <w:pPr>
              <w:pStyle w:val="Normal"/>
              <w:widowControl w:val="false"/>
              <w:rPr>
                <w:rFonts w:ascii="Tahoma" w:hAnsi="Tahoma" w:cs="Tahoma"/>
                <w:i/>
                <w:i/>
                <w:sz w:val="20"/>
                <w:szCs w:val="20"/>
              </w:rPr>
            </w:pPr>
            <w:r>
              <w:rPr>
                <w:rFonts w:cs="Tahoma" w:ascii="Tahoma" w:hAnsi="Tahoma"/>
                <w:i/>
                <w:sz w:val="20"/>
                <w:szCs w:val="20"/>
              </w:rPr>
              <w:t>I CJ San José</w:t>
            </w:r>
          </w:p>
          <w:p>
            <w:pPr>
              <w:pStyle w:val="Normal"/>
              <w:widowControl w:val="false"/>
              <w:rPr>
                <w:rFonts w:ascii="Tahoma" w:hAnsi="Tahoma" w:cs="Tahoma"/>
                <w:i/>
                <w:i/>
                <w:sz w:val="20"/>
                <w:szCs w:val="20"/>
              </w:rPr>
            </w:pPr>
            <w:r>
              <w:rPr>
                <w:rFonts w:cs="Tahoma" w:ascii="Tahoma" w:hAnsi="Tahoma"/>
                <w:i/>
                <w:sz w:val="20"/>
                <w:szCs w:val="20"/>
              </w:rPr>
              <w:t>I CJ Zona Atlántica</w:t>
            </w:r>
          </w:p>
          <w:p>
            <w:pPr>
              <w:pStyle w:val="Normal"/>
              <w:widowControl w:val="false"/>
              <w:rPr>
                <w:rFonts w:ascii="Tahoma" w:hAnsi="Tahoma" w:cs="Tahoma"/>
                <w:i/>
                <w:i/>
                <w:sz w:val="20"/>
                <w:szCs w:val="20"/>
              </w:rPr>
            </w:pPr>
            <w:r>
              <w:rPr>
                <w:rFonts w:cs="Tahoma" w:ascii="Tahoma" w:hAnsi="Tahoma"/>
                <w:i/>
                <w:sz w:val="20"/>
                <w:szCs w:val="20"/>
              </w:rPr>
              <w:t>I CJ Zona Sur</w:t>
            </w:r>
          </w:p>
          <w:p>
            <w:pPr>
              <w:pStyle w:val="Normal"/>
              <w:widowControl w:val="false"/>
              <w:rPr>
                <w:rFonts w:ascii="Tahoma" w:hAnsi="Tahoma" w:cs="Tahoma"/>
                <w:i/>
                <w:i/>
                <w:sz w:val="20"/>
                <w:szCs w:val="20"/>
              </w:rPr>
            </w:pPr>
            <w:r>
              <w:rPr>
                <w:rFonts w:cs="Tahoma" w:ascii="Tahoma" w:hAnsi="Tahoma"/>
                <w:i/>
                <w:sz w:val="20"/>
                <w:szCs w:val="20"/>
              </w:rPr>
              <w:t>II CJ Guanacaste</w:t>
            </w:r>
          </w:p>
          <w:p>
            <w:pPr>
              <w:pStyle w:val="Normal"/>
              <w:widowControl w:val="false"/>
              <w:rPr>
                <w:rFonts w:ascii="Tahoma" w:hAnsi="Tahoma" w:cs="Tahoma"/>
                <w:i/>
                <w:i/>
                <w:sz w:val="20"/>
                <w:szCs w:val="20"/>
              </w:rPr>
            </w:pPr>
            <w:r>
              <w:rPr>
                <w:rFonts w:cs="Tahoma" w:ascii="Tahoma" w:hAnsi="Tahoma"/>
                <w:i/>
                <w:sz w:val="20"/>
                <w:szCs w:val="20"/>
              </w:rPr>
              <w:t>II CJ San José</w:t>
            </w:r>
          </w:p>
          <w:p>
            <w:pPr>
              <w:pStyle w:val="Normal"/>
              <w:widowControl w:val="false"/>
              <w:rPr>
                <w:rFonts w:ascii="Tahoma" w:hAnsi="Tahoma" w:cs="Tahoma"/>
                <w:i/>
                <w:i/>
                <w:sz w:val="20"/>
                <w:szCs w:val="20"/>
              </w:rPr>
            </w:pPr>
            <w:r>
              <w:rPr>
                <w:rFonts w:cs="Tahoma" w:ascii="Tahoma" w:hAnsi="Tahoma"/>
                <w:i/>
                <w:sz w:val="20"/>
                <w:szCs w:val="20"/>
              </w:rPr>
              <w:t>II CJ Zona Atlántica</w:t>
            </w:r>
          </w:p>
          <w:p>
            <w:pPr>
              <w:pStyle w:val="Normal"/>
              <w:widowControl w:val="false"/>
              <w:rPr>
                <w:rFonts w:ascii="Tahoma" w:hAnsi="Tahoma" w:cs="Tahoma"/>
                <w:i/>
                <w:i/>
                <w:sz w:val="20"/>
                <w:szCs w:val="20"/>
              </w:rPr>
            </w:pPr>
            <w:r>
              <w:rPr>
                <w:rFonts w:cs="Tahoma" w:ascii="Tahoma" w:hAnsi="Tahoma"/>
                <w:i/>
                <w:sz w:val="20"/>
                <w:szCs w:val="20"/>
              </w:rPr>
              <w:t>II CJ Zona Sur</w:t>
            </w:r>
          </w:p>
          <w:p>
            <w:pPr>
              <w:pStyle w:val="Normal"/>
              <w:widowControl w:val="false"/>
              <w:rPr>
                <w:rFonts w:ascii="Tahoma" w:hAnsi="Tahoma" w:cs="Tahoma"/>
                <w:i/>
                <w:i/>
                <w:sz w:val="20"/>
                <w:szCs w:val="20"/>
              </w:rPr>
            </w:pPr>
            <w:r>
              <w:rPr>
                <w:rFonts w:cs="Tahoma" w:ascii="Tahoma" w:hAnsi="Tahoma"/>
                <w:i/>
                <w:sz w:val="20"/>
                <w:szCs w:val="20"/>
              </w:rPr>
              <w:t>III CJ Alajuela</w:t>
            </w:r>
          </w:p>
          <w:p>
            <w:pPr>
              <w:pStyle w:val="Normal"/>
              <w:widowControl w:val="false"/>
              <w:spacing w:before="0" w:after="200"/>
              <w:rPr>
                <w:rFonts w:ascii="Tahoma" w:hAnsi="Tahoma" w:cs="Tahoma"/>
                <w:i/>
                <w:i/>
                <w:sz w:val="20"/>
                <w:szCs w:val="20"/>
              </w:rPr>
            </w:pPr>
            <w:r>
              <w:rPr>
                <w:rFonts w:cs="Tahoma" w:ascii="Tahoma" w:hAnsi="Tahoma"/>
                <w:i/>
                <w:sz w:val="20"/>
                <w:szCs w:val="20"/>
              </w:rPr>
              <w:t>III CJ San José</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SEM VALLE JIMENEZ</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304880442</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053</w:t>
            </w:r>
          </w:p>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054</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Cabécar</w:t>
            </w:r>
          </w:p>
        </w:tc>
        <w:tc>
          <w:tcPr>
            <w:tcW w:w="2039" w:type="dxa"/>
            <w:tcBorders/>
            <w:shd w:color="auto" w:fill="auto" w:val="clear"/>
            <w:vAlign w:val="center"/>
          </w:tcPr>
          <w:p>
            <w:pPr>
              <w:pStyle w:val="Normal"/>
              <w:widowControl w:val="false"/>
              <w:rPr>
                <w:rFonts w:ascii="Tahoma" w:hAnsi="Tahoma" w:cs="Tahoma"/>
                <w:i/>
                <w:i/>
                <w:sz w:val="20"/>
                <w:szCs w:val="20"/>
              </w:rPr>
            </w:pPr>
            <w:r>
              <w:rPr>
                <w:rFonts w:cs="Tahoma" w:ascii="Tahoma" w:hAnsi="Tahoma"/>
                <w:i/>
                <w:sz w:val="20"/>
                <w:szCs w:val="20"/>
              </w:rPr>
              <w:t>CJ Cartago</w:t>
            </w:r>
          </w:p>
          <w:p>
            <w:pPr>
              <w:pStyle w:val="Normal"/>
              <w:widowControl w:val="false"/>
              <w:rPr>
                <w:rFonts w:ascii="Tahoma" w:hAnsi="Tahoma" w:cs="Tahoma"/>
                <w:i/>
                <w:i/>
                <w:sz w:val="20"/>
                <w:szCs w:val="20"/>
              </w:rPr>
            </w:pPr>
            <w:r>
              <w:rPr>
                <w:rFonts w:cs="Tahoma" w:ascii="Tahoma" w:hAnsi="Tahoma"/>
                <w:i/>
                <w:sz w:val="20"/>
                <w:szCs w:val="20"/>
              </w:rPr>
              <w:t>CJ Heredia</w:t>
            </w:r>
          </w:p>
          <w:p>
            <w:pPr>
              <w:pStyle w:val="Normal"/>
              <w:widowControl w:val="false"/>
              <w:rPr>
                <w:rFonts w:ascii="Tahoma" w:hAnsi="Tahoma" w:cs="Tahoma"/>
                <w:i/>
                <w:i/>
                <w:sz w:val="20"/>
                <w:szCs w:val="20"/>
              </w:rPr>
            </w:pPr>
            <w:r>
              <w:rPr>
                <w:rFonts w:cs="Tahoma" w:ascii="Tahoma" w:hAnsi="Tahoma"/>
                <w:i/>
                <w:sz w:val="20"/>
                <w:szCs w:val="20"/>
              </w:rPr>
              <w:t>CJ Puntarenas</w:t>
            </w:r>
          </w:p>
          <w:p>
            <w:pPr>
              <w:pStyle w:val="Normal"/>
              <w:widowControl w:val="false"/>
              <w:rPr>
                <w:rFonts w:ascii="Tahoma" w:hAnsi="Tahoma" w:cs="Tahoma"/>
                <w:i/>
                <w:i/>
                <w:sz w:val="20"/>
                <w:szCs w:val="20"/>
              </w:rPr>
            </w:pPr>
            <w:r>
              <w:rPr>
                <w:rFonts w:cs="Tahoma" w:ascii="Tahoma" w:hAnsi="Tahoma"/>
                <w:i/>
                <w:sz w:val="20"/>
                <w:szCs w:val="20"/>
              </w:rPr>
              <w:t>I CJ Alajuela</w:t>
            </w:r>
          </w:p>
          <w:p>
            <w:pPr>
              <w:pStyle w:val="Normal"/>
              <w:widowControl w:val="false"/>
              <w:rPr>
                <w:rFonts w:ascii="Tahoma" w:hAnsi="Tahoma" w:cs="Tahoma"/>
                <w:i/>
                <w:i/>
                <w:sz w:val="20"/>
                <w:szCs w:val="20"/>
              </w:rPr>
            </w:pPr>
            <w:r>
              <w:rPr>
                <w:rFonts w:cs="Tahoma" w:ascii="Tahoma" w:hAnsi="Tahoma"/>
                <w:i/>
                <w:sz w:val="20"/>
                <w:szCs w:val="20"/>
              </w:rPr>
              <w:t>I CJ Guanacaste</w:t>
            </w:r>
          </w:p>
          <w:p>
            <w:pPr>
              <w:pStyle w:val="Normal"/>
              <w:widowControl w:val="false"/>
              <w:rPr>
                <w:rFonts w:ascii="Tahoma" w:hAnsi="Tahoma" w:cs="Tahoma"/>
                <w:i/>
                <w:i/>
                <w:sz w:val="20"/>
                <w:szCs w:val="20"/>
              </w:rPr>
            </w:pPr>
            <w:r>
              <w:rPr>
                <w:rFonts w:cs="Tahoma" w:ascii="Tahoma" w:hAnsi="Tahoma"/>
                <w:i/>
                <w:sz w:val="20"/>
                <w:szCs w:val="20"/>
              </w:rPr>
              <w:t>I CJ San José</w:t>
            </w:r>
          </w:p>
          <w:p>
            <w:pPr>
              <w:pStyle w:val="Normal"/>
              <w:widowControl w:val="false"/>
              <w:rPr>
                <w:rFonts w:ascii="Tahoma" w:hAnsi="Tahoma" w:cs="Tahoma"/>
                <w:i/>
                <w:i/>
                <w:sz w:val="20"/>
                <w:szCs w:val="20"/>
              </w:rPr>
            </w:pPr>
            <w:r>
              <w:rPr>
                <w:rFonts w:cs="Tahoma" w:ascii="Tahoma" w:hAnsi="Tahoma"/>
                <w:i/>
                <w:sz w:val="20"/>
                <w:szCs w:val="20"/>
              </w:rPr>
              <w:t>I CJ Zona Atlántica</w:t>
            </w:r>
          </w:p>
          <w:p>
            <w:pPr>
              <w:pStyle w:val="Normal"/>
              <w:widowControl w:val="false"/>
              <w:rPr>
                <w:rFonts w:ascii="Tahoma" w:hAnsi="Tahoma" w:cs="Tahoma"/>
                <w:i/>
                <w:i/>
                <w:sz w:val="20"/>
                <w:szCs w:val="20"/>
              </w:rPr>
            </w:pPr>
            <w:r>
              <w:rPr>
                <w:rFonts w:cs="Tahoma" w:ascii="Tahoma" w:hAnsi="Tahoma"/>
                <w:i/>
                <w:sz w:val="20"/>
                <w:szCs w:val="20"/>
              </w:rPr>
              <w:t>I CJ Zona Sur</w:t>
            </w:r>
          </w:p>
          <w:p>
            <w:pPr>
              <w:pStyle w:val="Normal"/>
              <w:widowControl w:val="false"/>
              <w:rPr>
                <w:rFonts w:ascii="Tahoma" w:hAnsi="Tahoma" w:cs="Tahoma"/>
                <w:i/>
                <w:i/>
                <w:sz w:val="20"/>
                <w:szCs w:val="20"/>
              </w:rPr>
            </w:pPr>
            <w:r>
              <w:rPr>
                <w:rFonts w:cs="Tahoma" w:ascii="Tahoma" w:hAnsi="Tahoma"/>
                <w:i/>
                <w:sz w:val="20"/>
                <w:szCs w:val="20"/>
              </w:rPr>
              <w:t>II CJ Guanacaste</w:t>
            </w:r>
          </w:p>
          <w:p>
            <w:pPr>
              <w:pStyle w:val="Normal"/>
              <w:widowControl w:val="false"/>
              <w:rPr>
                <w:rFonts w:ascii="Tahoma" w:hAnsi="Tahoma" w:cs="Tahoma"/>
                <w:i/>
                <w:i/>
                <w:sz w:val="20"/>
                <w:szCs w:val="20"/>
              </w:rPr>
            </w:pPr>
            <w:r>
              <w:rPr>
                <w:rFonts w:cs="Tahoma" w:ascii="Tahoma" w:hAnsi="Tahoma"/>
                <w:i/>
                <w:sz w:val="20"/>
                <w:szCs w:val="20"/>
              </w:rPr>
              <w:t>II CJ San José</w:t>
            </w:r>
          </w:p>
          <w:p>
            <w:pPr>
              <w:pStyle w:val="Normal"/>
              <w:widowControl w:val="false"/>
              <w:rPr>
                <w:rFonts w:ascii="Tahoma" w:hAnsi="Tahoma" w:cs="Tahoma"/>
                <w:i/>
                <w:i/>
                <w:sz w:val="20"/>
                <w:szCs w:val="20"/>
              </w:rPr>
            </w:pPr>
            <w:r>
              <w:rPr>
                <w:rFonts w:cs="Tahoma" w:ascii="Tahoma" w:hAnsi="Tahoma"/>
                <w:i/>
                <w:sz w:val="20"/>
                <w:szCs w:val="20"/>
              </w:rPr>
              <w:t>II CJ Zona Atlántica</w:t>
            </w:r>
          </w:p>
          <w:p>
            <w:pPr>
              <w:pStyle w:val="Normal"/>
              <w:widowControl w:val="false"/>
              <w:rPr>
                <w:rFonts w:ascii="Tahoma" w:hAnsi="Tahoma" w:cs="Tahoma"/>
                <w:i/>
                <w:i/>
                <w:sz w:val="20"/>
                <w:szCs w:val="20"/>
              </w:rPr>
            </w:pPr>
            <w:r>
              <w:rPr>
                <w:rFonts w:cs="Tahoma" w:ascii="Tahoma" w:hAnsi="Tahoma"/>
                <w:i/>
                <w:sz w:val="20"/>
                <w:szCs w:val="20"/>
              </w:rPr>
              <w:t>II CJ Zona Sur</w:t>
            </w:r>
          </w:p>
          <w:p>
            <w:pPr>
              <w:pStyle w:val="Normal"/>
              <w:widowControl w:val="false"/>
              <w:rPr>
                <w:rFonts w:ascii="Tahoma" w:hAnsi="Tahoma" w:cs="Tahoma"/>
                <w:i/>
                <w:i/>
                <w:sz w:val="20"/>
                <w:szCs w:val="20"/>
              </w:rPr>
            </w:pPr>
            <w:r>
              <w:rPr>
                <w:rFonts w:cs="Tahoma" w:ascii="Tahoma" w:hAnsi="Tahoma"/>
                <w:i/>
                <w:sz w:val="20"/>
                <w:szCs w:val="20"/>
              </w:rPr>
              <w:t>III CJ Alajuela</w:t>
            </w:r>
          </w:p>
          <w:p>
            <w:pPr>
              <w:pStyle w:val="Normal"/>
              <w:widowControl w:val="false"/>
              <w:spacing w:before="0" w:after="200"/>
              <w:rPr>
                <w:rFonts w:ascii="Tahoma" w:hAnsi="Tahoma" w:cs="Tahoma"/>
                <w:i/>
                <w:i/>
                <w:sz w:val="20"/>
                <w:szCs w:val="20"/>
              </w:rPr>
            </w:pPr>
            <w:r>
              <w:rPr>
                <w:rFonts w:cs="Tahoma" w:ascii="Tahoma" w:hAnsi="Tahoma"/>
                <w:i/>
                <w:sz w:val="20"/>
                <w:szCs w:val="20"/>
              </w:rPr>
              <w:t>III CJ San José</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color w:val="000000"/>
                <w:sz w:val="20"/>
                <w:szCs w:val="20"/>
              </w:rPr>
            </w:pPr>
            <w:r>
              <w:rPr>
                <w:rFonts w:cs="Tahoma" w:ascii="Tahoma" w:hAnsi="Tahoma"/>
                <w:i/>
                <w:color w:val="000000"/>
                <w:sz w:val="20"/>
                <w:szCs w:val="20"/>
              </w:rPr>
            </w:r>
          </w:p>
          <w:p>
            <w:pPr>
              <w:pStyle w:val="Normal"/>
              <w:widowControl w:val="false"/>
              <w:rPr>
                <w:rFonts w:ascii="Tahoma" w:hAnsi="Tahoma" w:cs="Tahoma"/>
                <w:i/>
                <w:i/>
                <w:sz w:val="20"/>
                <w:szCs w:val="20"/>
              </w:rPr>
            </w:pPr>
            <w:r>
              <w:rPr>
                <w:rFonts w:cs="Tahoma" w:ascii="Tahoma" w:hAnsi="Tahoma"/>
                <w:i/>
                <w:color w:val="000000"/>
                <w:sz w:val="20"/>
                <w:szCs w:val="20"/>
              </w:rPr>
              <w:t>ILEANA MOYA OBANDO</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304270270</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055</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Cabécar</w:t>
            </w:r>
          </w:p>
        </w:tc>
        <w:tc>
          <w:tcPr>
            <w:tcW w:w="2039" w:type="dxa"/>
            <w:tcBorders/>
            <w:shd w:color="auto" w:fill="auto" w:val="clear"/>
            <w:vAlign w:val="center"/>
          </w:tcPr>
          <w:p>
            <w:pPr>
              <w:pStyle w:val="Normal"/>
              <w:widowControl w:val="false"/>
              <w:rPr>
                <w:rFonts w:ascii="Tahoma" w:hAnsi="Tahoma" w:cs="Tahoma"/>
                <w:i/>
                <w:i/>
                <w:sz w:val="20"/>
                <w:szCs w:val="20"/>
              </w:rPr>
            </w:pPr>
            <w:r>
              <w:rPr>
                <w:rFonts w:cs="Tahoma" w:ascii="Tahoma" w:hAnsi="Tahoma"/>
                <w:i/>
                <w:sz w:val="20"/>
                <w:szCs w:val="20"/>
              </w:rPr>
              <w:t>CJ Cartago</w:t>
            </w:r>
          </w:p>
          <w:p>
            <w:pPr>
              <w:pStyle w:val="Normal"/>
              <w:widowControl w:val="false"/>
              <w:rPr>
                <w:rFonts w:ascii="Tahoma" w:hAnsi="Tahoma" w:cs="Tahoma"/>
                <w:i/>
                <w:i/>
                <w:sz w:val="20"/>
                <w:szCs w:val="20"/>
              </w:rPr>
            </w:pPr>
            <w:r>
              <w:rPr>
                <w:rFonts w:cs="Tahoma" w:ascii="Tahoma" w:hAnsi="Tahoma"/>
                <w:i/>
                <w:sz w:val="20"/>
                <w:szCs w:val="20"/>
              </w:rPr>
              <w:t>CJ Heredia</w:t>
            </w:r>
          </w:p>
          <w:p>
            <w:pPr>
              <w:pStyle w:val="Normal"/>
              <w:widowControl w:val="false"/>
              <w:rPr>
                <w:rFonts w:ascii="Tahoma" w:hAnsi="Tahoma" w:cs="Tahoma"/>
                <w:i/>
                <w:i/>
                <w:sz w:val="20"/>
                <w:szCs w:val="20"/>
              </w:rPr>
            </w:pPr>
            <w:r>
              <w:rPr>
                <w:rFonts w:cs="Tahoma" w:ascii="Tahoma" w:hAnsi="Tahoma"/>
                <w:i/>
                <w:sz w:val="20"/>
                <w:szCs w:val="20"/>
              </w:rPr>
              <w:t>CJ Puntarenas</w:t>
            </w:r>
          </w:p>
          <w:p>
            <w:pPr>
              <w:pStyle w:val="Normal"/>
              <w:widowControl w:val="false"/>
              <w:rPr>
                <w:rFonts w:ascii="Tahoma" w:hAnsi="Tahoma" w:cs="Tahoma"/>
                <w:i/>
                <w:i/>
                <w:sz w:val="20"/>
                <w:szCs w:val="20"/>
              </w:rPr>
            </w:pPr>
            <w:r>
              <w:rPr>
                <w:rFonts w:cs="Tahoma" w:ascii="Tahoma" w:hAnsi="Tahoma"/>
                <w:i/>
                <w:sz w:val="20"/>
                <w:szCs w:val="20"/>
              </w:rPr>
              <w:t>I CJ Alajuela</w:t>
            </w:r>
          </w:p>
          <w:p>
            <w:pPr>
              <w:pStyle w:val="Normal"/>
              <w:widowControl w:val="false"/>
              <w:rPr>
                <w:rFonts w:ascii="Tahoma" w:hAnsi="Tahoma" w:cs="Tahoma"/>
                <w:i/>
                <w:i/>
                <w:sz w:val="20"/>
                <w:szCs w:val="20"/>
              </w:rPr>
            </w:pPr>
            <w:r>
              <w:rPr>
                <w:rFonts w:cs="Tahoma" w:ascii="Tahoma" w:hAnsi="Tahoma"/>
                <w:i/>
                <w:sz w:val="20"/>
                <w:szCs w:val="20"/>
              </w:rPr>
              <w:t>I CJ Guanacaste</w:t>
            </w:r>
          </w:p>
          <w:p>
            <w:pPr>
              <w:pStyle w:val="Normal"/>
              <w:widowControl w:val="false"/>
              <w:rPr>
                <w:rFonts w:ascii="Tahoma" w:hAnsi="Tahoma" w:cs="Tahoma"/>
                <w:i/>
                <w:i/>
                <w:sz w:val="20"/>
                <w:szCs w:val="20"/>
              </w:rPr>
            </w:pPr>
            <w:r>
              <w:rPr>
                <w:rFonts w:cs="Tahoma" w:ascii="Tahoma" w:hAnsi="Tahoma"/>
                <w:i/>
                <w:sz w:val="20"/>
                <w:szCs w:val="20"/>
              </w:rPr>
              <w:t>I CJ San José</w:t>
            </w:r>
          </w:p>
          <w:p>
            <w:pPr>
              <w:pStyle w:val="Normal"/>
              <w:widowControl w:val="false"/>
              <w:rPr>
                <w:rFonts w:ascii="Tahoma" w:hAnsi="Tahoma" w:cs="Tahoma"/>
                <w:i/>
                <w:i/>
                <w:sz w:val="20"/>
                <w:szCs w:val="20"/>
              </w:rPr>
            </w:pPr>
            <w:r>
              <w:rPr>
                <w:rFonts w:cs="Tahoma" w:ascii="Tahoma" w:hAnsi="Tahoma"/>
                <w:i/>
                <w:sz w:val="20"/>
                <w:szCs w:val="20"/>
              </w:rPr>
              <w:t>I CJ Zona Atlántica</w:t>
            </w:r>
          </w:p>
          <w:p>
            <w:pPr>
              <w:pStyle w:val="Normal"/>
              <w:widowControl w:val="false"/>
              <w:rPr>
                <w:rFonts w:ascii="Tahoma" w:hAnsi="Tahoma" w:cs="Tahoma"/>
                <w:i/>
                <w:i/>
                <w:sz w:val="20"/>
                <w:szCs w:val="20"/>
              </w:rPr>
            </w:pPr>
            <w:r>
              <w:rPr>
                <w:rFonts w:cs="Tahoma" w:ascii="Tahoma" w:hAnsi="Tahoma"/>
                <w:i/>
                <w:sz w:val="20"/>
                <w:szCs w:val="20"/>
              </w:rPr>
              <w:t>I CJ Zona Sur</w:t>
            </w:r>
          </w:p>
          <w:p>
            <w:pPr>
              <w:pStyle w:val="Normal"/>
              <w:widowControl w:val="false"/>
              <w:rPr>
                <w:rFonts w:ascii="Tahoma" w:hAnsi="Tahoma" w:cs="Tahoma"/>
                <w:i/>
                <w:i/>
                <w:sz w:val="20"/>
                <w:szCs w:val="20"/>
              </w:rPr>
            </w:pPr>
            <w:r>
              <w:rPr>
                <w:rFonts w:cs="Tahoma" w:ascii="Tahoma" w:hAnsi="Tahoma"/>
                <w:i/>
                <w:sz w:val="20"/>
                <w:szCs w:val="20"/>
              </w:rPr>
              <w:t>II CJ Guanacaste</w:t>
            </w:r>
          </w:p>
          <w:p>
            <w:pPr>
              <w:pStyle w:val="Normal"/>
              <w:widowControl w:val="false"/>
              <w:rPr>
                <w:rFonts w:ascii="Tahoma" w:hAnsi="Tahoma" w:cs="Tahoma"/>
                <w:i/>
                <w:i/>
                <w:sz w:val="20"/>
                <w:szCs w:val="20"/>
              </w:rPr>
            </w:pPr>
            <w:r>
              <w:rPr>
                <w:rFonts w:cs="Tahoma" w:ascii="Tahoma" w:hAnsi="Tahoma"/>
                <w:i/>
                <w:sz w:val="20"/>
                <w:szCs w:val="20"/>
              </w:rPr>
              <w:t>II CJ San José</w:t>
            </w:r>
          </w:p>
          <w:p>
            <w:pPr>
              <w:pStyle w:val="Normal"/>
              <w:widowControl w:val="false"/>
              <w:rPr>
                <w:rFonts w:ascii="Tahoma" w:hAnsi="Tahoma" w:cs="Tahoma"/>
                <w:i/>
                <w:i/>
                <w:sz w:val="20"/>
                <w:szCs w:val="20"/>
              </w:rPr>
            </w:pPr>
            <w:r>
              <w:rPr>
                <w:rFonts w:cs="Tahoma" w:ascii="Tahoma" w:hAnsi="Tahoma"/>
                <w:i/>
                <w:sz w:val="20"/>
                <w:szCs w:val="20"/>
              </w:rPr>
              <w:t>II CJ Zona Atlántica</w:t>
            </w:r>
          </w:p>
          <w:p>
            <w:pPr>
              <w:pStyle w:val="Normal"/>
              <w:widowControl w:val="false"/>
              <w:rPr>
                <w:rFonts w:ascii="Tahoma" w:hAnsi="Tahoma" w:cs="Tahoma"/>
                <w:i/>
                <w:i/>
                <w:sz w:val="20"/>
                <w:szCs w:val="20"/>
              </w:rPr>
            </w:pPr>
            <w:r>
              <w:rPr>
                <w:rFonts w:cs="Tahoma" w:ascii="Tahoma" w:hAnsi="Tahoma"/>
                <w:i/>
                <w:sz w:val="20"/>
                <w:szCs w:val="20"/>
              </w:rPr>
              <w:t>II CJ Zona Sur</w:t>
            </w:r>
          </w:p>
          <w:p>
            <w:pPr>
              <w:pStyle w:val="Normal"/>
              <w:widowControl w:val="false"/>
              <w:rPr>
                <w:rFonts w:ascii="Tahoma" w:hAnsi="Tahoma" w:cs="Tahoma"/>
                <w:i/>
                <w:i/>
                <w:sz w:val="20"/>
                <w:szCs w:val="20"/>
              </w:rPr>
            </w:pPr>
            <w:r>
              <w:rPr>
                <w:rFonts w:cs="Tahoma" w:ascii="Tahoma" w:hAnsi="Tahoma"/>
                <w:i/>
                <w:sz w:val="20"/>
                <w:szCs w:val="20"/>
              </w:rPr>
              <w:t>III CJ Alajuela</w:t>
            </w:r>
          </w:p>
          <w:p>
            <w:pPr>
              <w:pStyle w:val="Normal"/>
              <w:widowControl w:val="false"/>
              <w:spacing w:before="0" w:after="200"/>
              <w:rPr>
                <w:rFonts w:ascii="Tahoma" w:hAnsi="Tahoma" w:cs="Tahoma"/>
                <w:i/>
                <w:i/>
                <w:sz w:val="20"/>
                <w:szCs w:val="20"/>
              </w:rPr>
            </w:pPr>
            <w:r>
              <w:rPr>
                <w:rFonts w:cs="Tahoma" w:ascii="Tahoma" w:hAnsi="Tahoma"/>
                <w:i/>
                <w:sz w:val="20"/>
                <w:szCs w:val="20"/>
              </w:rPr>
              <w:t>III CJ San José</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CARLOS EZEQUIEL ARTAVIA SANABRIA</w:t>
            </w:r>
          </w:p>
          <w:p>
            <w:pPr>
              <w:pStyle w:val="Normal"/>
              <w:widowControl w:val="false"/>
              <w:rPr>
                <w:rFonts w:ascii="Tahoma" w:hAnsi="Tahoma" w:cs="Tahoma"/>
                <w:i/>
                <w:i/>
                <w:sz w:val="20"/>
                <w:szCs w:val="20"/>
              </w:rPr>
            </w:pPr>
            <w:r>
              <w:rPr>
                <w:rFonts w:cs="Tahoma" w:ascii="Tahoma" w:hAnsi="Tahoma"/>
                <w:i/>
                <w:sz w:val="20"/>
                <w:szCs w:val="20"/>
              </w:rPr>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0701250005</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056</w:t>
            </w:r>
          </w:p>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057</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Cabécar</w:t>
            </w:r>
          </w:p>
        </w:tc>
        <w:tc>
          <w:tcPr>
            <w:tcW w:w="2039" w:type="dxa"/>
            <w:tcBorders/>
            <w:shd w:color="auto" w:fill="auto" w:val="clear"/>
            <w:vAlign w:val="center"/>
          </w:tcPr>
          <w:p>
            <w:pPr>
              <w:pStyle w:val="Normal"/>
              <w:widowControl w:val="false"/>
              <w:rPr>
                <w:rFonts w:ascii="Tahoma" w:hAnsi="Tahoma" w:cs="Tahoma"/>
                <w:i/>
                <w:i/>
                <w:sz w:val="20"/>
                <w:szCs w:val="20"/>
              </w:rPr>
            </w:pPr>
            <w:r>
              <w:rPr>
                <w:rFonts w:cs="Tahoma" w:ascii="Tahoma" w:hAnsi="Tahoma"/>
                <w:i/>
                <w:sz w:val="20"/>
                <w:szCs w:val="20"/>
              </w:rPr>
              <w:t>I CJ San José</w:t>
            </w:r>
          </w:p>
          <w:p>
            <w:pPr>
              <w:pStyle w:val="Normal"/>
              <w:widowControl w:val="false"/>
              <w:rPr>
                <w:rFonts w:ascii="Tahoma" w:hAnsi="Tahoma" w:cs="Tahoma"/>
                <w:i/>
                <w:i/>
                <w:sz w:val="20"/>
                <w:szCs w:val="20"/>
              </w:rPr>
            </w:pPr>
            <w:r>
              <w:rPr>
                <w:rFonts w:cs="Tahoma" w:ascii="Tahoma" w:hAnsi="Tahoma"/>
                <w:i/>
                <w:sz w:val="20"/>
                <w:szCs w:val="20"/>
              </w:rPr>
              <w:t>I CJ Zona Atlántica</w:t>
            </w:r>
          </w:p>
          <w:p>
            <w:pPr>
              <w:pStyle w:val="Normal"/>
              <w:widowControl w:val="false"/>
              <w:rPr>
                <w:rFonts w:ascii="Tahoma" w:hAnsi="Tahoma" w:cs="Tahoma"/>
                <w:i/>
                <w:i/>
                <w:sz w:val="20"/>
                <w:szCs w:val="20"/>
              </w:rPr>
            </w:pPr>
            <w:r>
              <w:rPr>
                <w:rFonts w:cs="Tahoma" w:ascii="Tahoma" w:hAnsi="Tahoma"/>
                <w:i/>
                <w:sz w:val="20"/>
                <w:szCs w:val="20"/>
              </w:rPr>
              <w:t>II CJ San José</w:t>
            </w:r>
          </w:p>
          <w:p>
            <w:pPr>
              <w:pStyle w:val="Normal"/>
              <w:widowControl w:val="false"/>
              <w:rPr>
                <w:rFonts w:ascii="Tahoma" w:hAnsi="Tahoma" w:cs="Tahoma"/>
                <w:i/>
                <w:i/>
                <w:sz w:val="20"/>
                <w:szCs w:val="20"/>
              </w:rPr>
            </w:pPr>
            <w:r>
              <w:rPr>
                <w:rFonts w:cs="Tahoma" w:ascii="Tahoma" w:hAnsi="Tahoma"/>
                <w:i/>
                <w:sz w:val="20"/>
                <w:szCs w:val="20"/>
              </w:rPr>
              <w:t>II CJ Zona Atlántica</w:t>
            </w:r>
          </w:p>
          <w:p>
            <w:pPr>
              <w:pStyle w:val="Normal"/>
              <w:widowControl w:val="false"/>
              <w:spacing w:before="0" w:after="200"/>
              <w:rPr>
                <w:rFonts w:ascii="Tahoma" w:hAnsi="Tahoma" w:cs="Tahoma"/>
                <w:i/>
                <w:i/>
                <w:sz w:val="20"/>
                <w:szCs w:val="20"/>
              </w:rPr>
            </w:pPr>
            <w:r>
              <w:rPr>
                <w:rFonts w:cs="Tahoma" w:ascii="Tahoma" w:hAnsi="Tahoma"/>
                <w:i/>
                <w:sz w:val="20"/>
                <w:szCs w:val="20"/>
              </w:rPr>
              <w:t>III CJ San José</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ADRIAN SANABRIA PAYAN</w:t>
            </w:r>
          </w:p>
          <w:p>
            <w:pPr>
              <w:pStyle w:val="Normal"/>
              <w:widowControl w:val="false"/>
              <w:rPr>
                <w:rFonts w:ascii="Tahoma" w:hAnsi="Tahoma" w:cs="Tahoma"/>
                <w:i/>
                <w:i/>
                <w:sz w:val="20"/>
                <w:szCs w:val="20"/>
              </w:rPr>
            </w:pPr>
            <w:r>
              <w:rPr>
                <w:rFonts w:cs="Tahoma" w:ascii="Tahoma" w:hAnsi="Tahoma"/>
                <w:i/>
                <w:sz w:val="20"/>
                <w:szCs w:val="20"/>
              </w:rPr>
            </w:r>
          </w:p>
          <w:p>
            <w:pPr>
              <w:pStyle w:val="Normal"/>
              <w:widowControl w:val="false"/>
              <w:rPr>
                <w:rFonts w:ascii="Tahoma" w:hAnsi="Tahoma" w:cs="Tahoma"/>
                <w:i/>
                <w:i/>
                <w:sz w:val="20"/>
                <w:szCs w:val="20"/>
              </w:rPr>
            </w:pPr>
            <w:r>
              <w:rPr>
                <w:rFonts w:cs="Tahoma" w:ascii="Tahoma" w:hAnsi="Tahoma"/>
                <w:i/>
                <w:sz w:val="20"/>
                <w:szCs w:val="20"/>
              </w:rPr>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0701320518</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058</w:t>
            </w:r>
          </w:p>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059</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Cabécar</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 CJ Zona Atlántica</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HERMÓGENES MORALES MORALES</w:t>
            </w:r>
          </w:p>
          <w:p>
            <w:pPr>
              <w:pStyle w:val="Normal"/>
              <w:widowControl w:val="false"/>
              <w:rPr>
                <w:rFonts w:ascii="Tahoma" w:hAnsi="Tahoma" w:cs="Tahoma"/>
                <w:i/>
                <w:i/>
                <w:sz w:val="20"/>
                <w:szCs w:val="20"/>
              </w:rPr>
            </w:pPr>
            <w:r>
              <w:rPr>
                <w:rFonts w:cs="Tahoma" w:ascii="Tahoma" w:hAnsi="Tahoma"/>
                <w:i/>
                <w:sz w:val="20"/>
                <w:szCs w:val="20"/>
              </w:rPr>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0900810303</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060</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Cabécar</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 CJ Zona Atlántica</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TJUK LEANDRO MORALES LOPEZ</w:t>
            </w:r>
          </w:p>
          <w:p>
            <w:pPr>
              <w:pStyle w:val="Normal"/>
              <w:widowControl w:val="false"/>
              <w:rPr>
                <w:rFonts w:ascii="Tahoma" w:hAnsi="Tahoma" w:cs="Tahoma"/>
                <w:i/>
                <w:i/>
                <w:sz w:val="20"/>
                <w:szCs w:val="20"/>
              </w:rPr>
            </w:pPr>
            <w:r>
              <w:rPr>
                <w:rFonts w:cs="Tahoma" w:ascii="Tahoma" w:hAnsi="Tahoma"/>
                <w:i/>
                <w:sz w:val="20"/>
                <w:szCs w:val="20"/>
              </w:rPr>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702630622</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061</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Cabécar</w:t>
            </w:r>
          </w:p>
        </w:tc>
        <w:tc>
          <w:tcPr>
            <w:tcW w:w="2039" w:type="dxa"/>
            <w:tcBorders/>
            <w:shd w:color="auto" w:fill="auto" w:val="clear"/>
            <w:vAlign w:val="center"/>
          </w:tcPr>
          <w:p>
            <w:pPr>
              <w:pStyle w:val="Normal"/>
              <w:widowControl w:val="false"/>
              <w:rPr>
                <w:rFonts w:ascii="Tahoma" w:hAnsi="Tahoma" w:cs="Tahoma"/>
                <w:i/>
                <w:i/>
                <w:sz w:val="20"/>
                <w:szCs w:val="20"/>
              </w:rPr>
            </w:pPr>
            <w:r>
              <w:rPr>
                <w:rFonts w:cs="Tahoma" w:ascii="Tahoma" w:hAnsi="Tahoma"/>
                <w:i/>
                <w:sz w:val="20"/>
                <w:szCs w:val="20"/>
              </w:rPr>
              <w:t>I CJ Zona Atlántica</w:t>
            </w:r>
          </w:p>
          <w:p>
            <w:pPr>
              <w:pStyle w:val="Normal"/>
              <w:widowControl w:val="false"/>
              <w:spacing w:before="0" w:after="200"/>
              <w:rPr>
                <w:rFonts w:ascii="Tahoma" w:hAnsi="Tahoma" w:cs="Tahoma"/>
                <w:i/>
                <w:i/>
                <w:sz w:val="20"/>
                <w:szCs w:val="20"/>
              </w:rPr>
            </w:pPr>
            <w:r>
              <w:rPr>
                <w:rFonts w:cs="Tahoma" w:ascii="Tahoma" w:hAnsi="Tahoma"/>
                <w:i/>
                <w:sz w:val="20"/>
                <w:szCs w:val="20"/>
              </w:rPr>
              <w:t>II CJ Zona Atlántica</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NAGO ELIZONDO CASTRO</w:t>
            </w:r>
          </w:p>
          <w:p>
            <w:pPr>
              <w:pStyle w:val="Normal"/>
              <w:widowControl w:val="false"/>
              <w:rPr>
                <w:rFonts w:ascii="Tahoma" w:hAnsi="Tahoma" w:cs="Tahoma"/>
                <w:i/>
                <w:i/>
                <w:sz w:val="20"/>
                <w:szCs w:val="20"/>
              </w:rPr>
            </w:pPr>
            <w:r>
              <w:rPr>
                <w:rFonts w:cs="Tahoma" w:ascii="Tahoma" w:hAnsi="Tahoma"/>
                <w:i/>
                <w:sz w:val="20"/>
                <w:szCs w:val="20"/>
              </w:rPr>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0205380513</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062</w:t>
            </w:r>
          </w:p>
          <w:p>
            <w:pPr>
              <w:pStyle w:val="Normal"/>
              <w:widowControl w:val="false"/>
              <w:rPr>
                <w:rFonts w:ascii="Tahoma" w:hAnsi="Tahoma" w:cs="Tahoma"/>
                <w:i/>
                <w:i/>
                <w:sz w:val="20"/>
                <w:szCs w:val="20"/>
              </w:rPr>
            </w:pPr>
            <w:r>
              <w:rPr>
                <w:rFonts w:cs="Tahoma" w:ascii="Tahoma" w:hAnsi="Tahoma"/>
                <w:i/>
                <w:color w:val="000000"/>
                <w:sz w:val="20"/>
                <w:szCs w:val="20"/>
              </w:rPr>
              <w:t>Fax:</w:t>
            </w:r>
            <w:r>
              <w:rPr>
                <w:rFonts w:cs="Tahoma" w:ascii="Tahoma" w:hAnsi="Tahoma"/>
                <w:b/>
                <w:bCs/>
                <w:i/>
                <w:color w:val="000000"/>
                <w:sz w:val="20"/>
                <w:szCs w:val="20"/>
              </w:rPr>
              <w:t xml:space="preserve"> Valor 063</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Maleku</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II CJ Alajuela</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color w:val="000000"/>
                <w:sz w:val="20"/>
                <w:szCs w:val="20"/>
              </w:rPr>
            </w:pPr>
            <w:r>
              <w:rPr>
                <w:rFonts w:cs="Tahoma" w:ascii="Tahoma" w:hAnsi="Tahoma"/>
                <w:i/>
                <w:color w:val="000000"/>
                <w:sz w:val="20"/>
                <w:szCs w:val="20"/>
              </w:rPr>
            </w:r>
          </w:p>
          <w:p>
            <w:pPr>
              <w:pStyle w:val="Normal"/>
              <w:widowControl w:val="false"/>
              <w:rPr>
                <w:rFonts w:ascii="Tahoma" w:hAnsi="Tahoma" w:cs="Tahoma"/>
                <w:i/>
                <w:i/>
                <w:sz w:val="20"/>
                <w:szCs w:val="20"/>
              </w:rPr>
            </w:pPr>
            <w:r>
              <w:rPr>
                <w:rFonts w:cs="Tahoma" w:ascii="Tahoma" w:hAnsi="Tahoma"/>
                <w:i/>
                <w:color w:val="000000"/>
                <w:sz w:val="20"/>
                <w:szCs w:val="20"/>
              </w:rPr>
              <w:t>EDGAR ATENCIO RODRIGUEZ</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0603190447</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064</w:t>
            </w:r>
          </w:p>
          <w:p>
            <w:pPr>
              <w:pStyle w:val="Normal"/>
              <w:widowControl w:val="false"/>
              <w:rPr>
                <w:rFonts w:ascii="Tahoma" w:hAnsi="Tahoma" w:cs="Tahoma"/>
                <w:i/>
                <w:i/>
                <w:sz w:val="20"/>
                <w:szCs w:val="20"/>
              </w:rPr>
            </w:pPr>
            <w:r>
              <w:rPr>
                <w:rFonts w:cs="Tahoma" w:ascii="Tahoma" w:hAnsi="Tahoma"/>
                <w:i/>
                <w:color w:val="000000"/>
                <w:sz w:val="20"/>
                <w:szCs w:val="20"/>
              </w:rPr>
              <w:t xml:space="preserve">Fax: </w:t>
            </w:r>
            <w:r>
              <w:rPr>
                <w:rFonts w:cs="Tahoma" w:ascii="Tahoma" w:hAnsi="Tahoma"/>
                <w:b/>
                <w:bCs/>
                <w:i/>
                <w:color w:val="000000"/>
                <w:sz w:val="20"/>
                <w:szCs w:val="20"/>
              </w:rPr>
              <w:t>Valor 065</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Ngöbe</w:t>
            </w:r>
          </w:p>
        </w:tc>
        <w:tc>
          <w:tcPr>
            <w:tcW w:w="2039" w:type="dxa"/>
            <w:tcBorders/>
            <w:shd w:color="auto" w:fill="auto" w:val="clear"/>
            <w:vAlign w:val="center"/>
          </w:tcPr>
          <w:p>
            <w:pPr>
              <w:pStyle w:val="Normal"/>
              <w:widowControl w:val="false"/>
              <w:rPr>
                <w:rFonts w:ascii="Tahoma" w:hAnsi="Tahoma" w:cs="Tahoma"/>
                <w:i/>
                <w:i/>
                <w:sz w:val="20"/>
                <w:szCs w:val="20"/>
              </w:rPr>
            </w:pPr>
            <w:r>
              <w:rPr>
                <w:rFonts w:cs="Tahoma" w:ascii="Tahoma" w:hAnsi="Tahoma"/>
                <w:i/>
                <w:sz w:val="20"/>
                <w:szCs w:val="20"/>
              </w:rPr>
              <w:t>CJ Cartago</w:t>
            </w:r>
          </w:p>
          <w:p>
            <w:pPr>
              <w:pStyle w:val="Normal"/>
              <w:widowControl w:val="false"/>
              <w:rPr>
                <w:rFonts w:ascii="Tahoma" w:hAnsi="Tahoma" w:cs="Tahoma"/>
                <w:i/>
                <w:i/>
                <w:sz w:val="20"/>
                <w:szCs w:val="20"/>
              </w:rPr>
            </w:pPr>
            <w:r>
              <w:rPr>
                <w:rFonts w:cs="Tahoma" w:ascii="Tahoma" w:hAnsi="Tahoma"/>
                <w:i/>
                <w:sz w:val="20"/>
                <w:szCs w:val="20"/>
              </w:rPr>
              <w:t>CJ Heredia</w:t>
            </w:r>
          </w:p>
          <w:p>
            <w:pPr>
              <w:pStyle w:val="Normal"/>
              <w:widowControl w:val="false"/>
              <w:rPr>
                <w:rFonts w:ascii="Tahoma" w:hAnsi="Tahoma" w:cs="Tahoma"/>
                <w:i/>
                <w:i/>
                <w:sz w:val="20"/>
                <w:szCs w:val="20"/>
              </w:rPr>
            </w:pPr>
            <w:r>
              <w:rPr>
                <w:rFonts w:cs="Tahoma" w:ascii="Tahoma" w:hAnsi="Tahoma"/>
                <w:i/>
                <w:sz w:val="20"/>
                <w:szCs w:val="20"/>
              </w:rPr>
              <w:t>CJ Puntarenas</w:t>
            </w:r>
          </w:p>
          <w:p>
            <w:pPr>
              <w:pStyle w:val="Normal"/>
              <w:widowControl w:val="false"/>
              <w:rPr>
                <w:rFonts w:ascii="Tahoma" w:hAnsi="Tahoma" w:cs="Tahoma"/>
                <w:i/>
                <w:i/>
                <w:sz w:val="20"/>
                <w:szCs w:val="20"/>
              </w:rPr>
            </w:pPr>
            <w:r>
              <w:rPr>
                <w:rFonts w:cs="Tahoma" w:ascii="Tahoma" w:hAnsi="Tahoma"/>
                <w:i/>
                <w:sz w:val="20"/>
                <w:szCs w:val="20"/>
              </w:rPr>
              <w:t>I CJ Alajuela</w:t>
            </w:r>
          </w:p>
          <w:p>
            <w:pPr>
              <w:pStyle w:val="Normal"/>
              <w:widowControl w:val="false"/>
              <w:rPr>
                <w:rFonts w:ascii="Tahoma" w:hAnsi="Tahoma" w:cs="Tahoma"/>
                <w:i/>
                <w:i/>
                <w:sz w:val="20"/>
                <w:szCs w:val="20"/>
              </w:rPr>
            </w:pPr>
            <w:r>
              <w:rPr>
                <w:rFonts w:cs="Tahoma" w:ascii="Tahoma" w:hAnsi="Tahoma"/>
                <w:i/>
                <w:sz w:val="20"/>
                <w:szCs w:val="20"/>
              </w:rPr>
              <w:t>I CJ Guanacaste</w:t>
            </w:r>
          </w:p>
          <w:p>
            <w:pPr>
              <w:pStyle w:val="Normal"/>
              <w:widowControl w:val="false"/>
              <w:rPr>
                <w:rFonts w:ascii="Tahoma" w:hAnsi="Tahoma" w:cs="Tahoma"/>
                <w:i/>
                <w:i/>
                <w:sz w:val="20"/>
                <w:szCs w:val="20"/>
              </w:rPr>
            </w:pPr>
            <w:r>
              <w:rPr>
                <w:rFonts w:cs="Tahoma" w:ascii="Tahoma" w:hAnsi="Tahoma"/>
                <w:i/>
                <w:sz w:val="20"/>
                <w:szCs w:val="20"/>
              </w:rPr>
              <w:t>I CJ San José</w:t>
            </w:r>
          </w:p>
          <w:p>
            <w:pPr>
              <w:pStyle w:val="Normal"/>
              <w:widowControl w:val="false"/>
              <w:rPr>
                <w:rFonts w:ascii="Tahoma" w:hAnsi="Tahoma" w:cs="Tahoma"/>
                <w:i/>
                <w:i/>
                <w:sz w:val="20"/>
                <w:szCs w:val="20"/>
              </w:rPr>
            </w:pPr>
            <w:r>
              <w:rPr>
                <w:rFonts w:cs="Tahoma" w:ascii="Tahoma" w:hAnsi="Tahoma"/>
                <w:i/>
                <w:sz w:val="20"/>
                <w:szCs w:val="20"/>
              </w:rPr>
              <w:t>I CJ Zona Atlántica</w:t>
            </w:r>
          </w:p>
          <w:p>
            <w:pPr>
              <w:pStyle w:val="Normal"/>
              <w:widowControl w:val="false"/>
              <w:rPr>
                <w:rFonts w:ascii="Tahoma" w:hAnsi="Tahoma" w:cs="Tahoma"/>
                <w:i/>
                <w:i/>
                <w:sz w:val="20"/>
                <w:szCs w:val="20"/>
              </w:rPr>
            </w:pPr>
            <w:r>
              <w:rPr>
                <w:rFonts w:cs="Tahoma" w:ascii="Tahoma" w:hAnsi="Tahoma"/>
                <w:i/>
                <w:sz w:val="20"/>
                <w:szCs w:val="20"/>
              </w:rPr>
              <w:t>I CJ Zona Sur</w:t>
            </w:r>
          </w:p>
          <w:p>
            <w:pPr>
              <w:pStyle w:val="Normal"/>
              <w:widowControl w:val="false"/>
              <w:rPr>
                <w:rFonts w:ascii="Tahoma" w:hAnsi="Tahoma" w:cs="Tahoma"/>
                <w:i/>
                <w:i/>
                <w:sz w:val="20"/>
                <w:szCs w:val="20"/>
              </w:rPr>
            </w:pPr>
            <w:r>
              <w:rPr>
                <w:rFonts w:cs="Tahoma" w:ascii="Tahoma" w:hAnsi="Tahoma"/>
                <w:i/>
                <w:sz w:val="20"/>
                <w:szCs w:val="20"/>
              </w:rPr>
              <w:t>II CJ Alajuela</w:t>
            </w:r>
          </w:p>
          <w:p>
            <w:pPr>
              <w:pStyle w:val="Normal"/>
              <w:widowControl w:val="false"/>
              <w:rPr>
                <w:rFonts w:ascii="Tahoma" w:hAnsi="Tahoma" w:cs="Tahoma"/>
                <w:i/>
                <w:i/>
                <w:sz w:val="20"/>
                <w:szCs w:val="20"/>
              </w:rPr>
            </w:pPr>
            <w:r>
              <w:rPr>
                <w:rFonts w:cs="Tahoma" w:ascii="Tahoma" w:hAnsi="Tahoma"/>
                <w:i/>
                <w:sz w:val="20"/>
                <w:szCs w:val="20"/>
              </w:rPr>
              <w:t>II CJ Guanacaste</w:t>
            </w:r>
          </w:p>
          <w:p>
            <w:pPr>
              <w:pStyle w:val="Normal"/>
              <w:widowControl w:val="false"/>
              <w:rPr>
                <w:rFonts w:ascii="Tahoma" w:hAnsi="Tahoma" w:cs="Tahoma"/>
                <w:i/>
                <w:i/>
                <w:sz w:val="20"/>
                <w:szCs w:val="20"/>
              </w:rPr>
            </w:pPr>
            <w:r>
              <w:rPr>
                <w:rFonts w:cs="Tahoma" w:ascii="Tahoma" w:hAnsi="Tahoma"/>
                <w:i/>
                <w:sz w:val="20"/>
                <w:szCs w:val="20"/>
              </w:rPr>
              <w:t>II CJ San José</w:t>
            </w:r>
          </w:p>
          <w:p>
            <w:pPr>
              <w:pStyle w:val="Normal"/>
              <w:widowControl w:val="false"/>
              <w:rPr>
                <w:rFonts w:ascii="Tahoma" w:hAnsi="Tahoma" w:cs="Tahoma"/>
                <w:i/>
                <w:i/>
                <w:sz w:val="20"/>
                <w:szCs w:val="20"/>
              </w:rPr>
            </w:pPr>
            <w:r>
              <w:rPr>
                <w:rFonts w:cs="Tahoma" w:ascii="Tahoma" w:hAnsi="Tahoma"/>
                <w:i/>
                <w:sz w:val="20"/>
                <w:szCs w:val="20"/>
              </w:rPr>
              <w:t>II CJ Zona Atlántica</w:t>
            </w:r>
          </w:p>
          <w:p>
            <w:pPr>
              <w:pStyle w:val="Normal"/>
              <w:widowControl w:val="false"/>
              <w:rPr>
                <w:rFonts w:ascii="Tahoma" w:hAnsi="Tahoma" w:cs="Tahoma"/>
                <w:i/>
                <w:i/>
                <w:sz w:val="20"/>
                <w:szCs w:val="20"/>
              </w:rPr>
            </w:pPr>
            <w:r>
              <w:rPr>
                <w:rFonts w:cs="Tahoma" w:ascii="Tahoma" w:hAnsi="Tahoma"/>
                <w:i/>
                <w:sz w:val="20"/>
                <w:szCs w:val="20"/>
              </w:rPr>
              <w:t>III CJ Alajuela</w:t>
            </w:r>
          </w:p>
          <w:p>
            <w:pPr>
              <w:pStyle w:val="Normal"/>
              <w:widowControl w:val="false"/>
              <w:spacing w:before="0" w:after="200"/>
              <w:rPr>
                <w:rFonts w:ascii="Tahoma" w:hAnsi="Tahoma" w:cs="Tahoma"/>
                <w:i/>
                <w:i/>
                <w:sz w:val="20"/>
                <w:szCs w:val="20"/>
              </w:rPr>
            </w:pPr>
            <w:r>
              <w:rPr>
                <w:rFonts w:cs="Tahoma" w:ascii="Tahoma" w:hAnsi="Tahoma"/>
                <w:i/>
                <w:sz w:val="20"/>
                <w:szCs w:val="20"/>
              </w:rPr>
              <w:t>III CJ San José</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color w:val="000000"/>
                <w:sz w:val="20"/>
                <w:szCs w:val="20"/>
              </w:rPr>
            </w:pPr>
            <w:r>
              <w:rPr>
                <w:rFonts w:cs="Tahoma" w:ascii="Tahoma" w:hAnsi="Tahoma"/>
                <w:i/>
                <w:color w:val="000000"/>
                <w:sz w:val="20"/>
                <w:szCs w:val="20"/>
              </w:rPr>
            </w:r>
          </w:p>
          <w:p>
            <w:pPr>
              <w:pStyle w:val="Normal"/>
              <w:widowControl w:val="false"/>
              <w:rPr>
                <w:rFonts w:ascii="Tahoma" w:hAnsi="Tahoma" w:cs="Tahoma"/>
                <w:i/>
                <w:i/>
                <w:sz w:val="20"/>
                <w:szCs w:val="20"/>
              </w:rPr>
            </w:pPr>
            <w:r>
              <w:rPr>
                <w:rFonts w:cs="Tahoma" w:ascii="Tahoma" w:hAnsi="Tahoma"/>
                <w:i/>
                <w:color w:val="000000"/>
                <w:sz w:val="20"/>
                <w:szCs w:val="20"/>
              </w:rPr>
              <w:t>CANDELARIO GOMEZ GALINDO</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'59100363611</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066</w:t>
            </w:r>
          </w:p>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067</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Ngöbe</w:t>
            </w:r>
          </w:p>
        </w:tc>
        <w:tc>
          <w:tcPr>
            <w:tcW w:w="2039" w:type="dxa"/>
            <w:tcBorders/>
            <w:shd w:color="auto" w:fill="auto" w:val="clear"/>
            <w:vAlign w:val="center"/>
          </w:tcPr>
          <w:p>
            <w:pPr>
              <w:pStyle w:val="Normal"/>
              <w:widowControl w:val="false"/>
              <w:rPr>
                <w:rFonts w:ascii="Tahoma" w:hAnsi="Tahoma" w:cs="Tahoma"/>
                <w:i/>
                <w:i/>
                <w:sz w:val="20"/>
                <w:szCs w:val="20"/>
              </w:rPr>
            </w:pPr>
            <w:r>
              <w:rPr>
                <w:rFonts w:cs="Tahoma" w:ascii="Tahoma" w:hAnsi="Tahoma"/>
                <w:i/>
                <w:sz w:val="20"/>
                <w:szCs w:val="20"/>
              </w:rPr>
              <w:t>CJ Cartago</w:t>
            </w:r>
          </w:p>
          <w:p>
            <w:pPr>
              <w:pStyle w:val="Normal"/>
              <w:widowControl w:val="false"/>
              <w:rPr>
                <w:rFonts w:ascii="Tahoma" w:hAnsi="Tahoma" w:cs="Tahoma"/>
                <w:i/>
                <w:i/>
                <w:sz w:val="20"/>
                <w:szCs w:val="20"/>
              </w:rPr>
            </w:pPr>
            <w:r>
              <w:rPr>
                <w:rFonts w:cs="Tahoma" w:ascii="Tahoma" w:hAnsi="Tahoma"/>
                <w:i/>
                <w:sz w:val="20"/>
                <w:szCs w:val="20"/>
              </w:rPr>
              <w:t>CJ Heredia</w:t>
            </w:r>
          </w:p>
          <w:p>
            <w:pPr>
              <w:pStyle w:val="Normal"/>
              <w:widowControl w:val="false"/>
              <w:rPr>
                <w:rFonts w:ascii="Tahoma" w:hAnsi="Tahoma" w:cs="Tahoma"/>
                <w:i/>
                <w:i/>
                <w:sz w:val="20"/>
                <w:szCs w:val="20"/>
              </w:rPr>
            </w:pPr>
            <w:r>
              <w:rPr>
                <w:rFonts w:cs="Tahoma" w:ascii="Tahoma" w:hAnsi="Tahoma"/>
                <w:i/>
                <w:sz w:val="20"/>
                <w:szCs w:val="20"/>
              </w:rPr>
              <w:t>CJ Puntarenas</w:t>
            </w:r>
          </w:p>
          <w:p>
            <w:pPr>
              <w:pStyle w:val="Normal"/>
              <w:widowControl w:val="false"/>
              <w:rPr>
                <w:rFonts w:ascii="Tahoma" w:hAnsi="Tahoma" w:cs="Tahoma"/>
                <w:i/>
                <w:i/>
                <w:sz w:val="20"/>
                <w:szCs w:val="20"/>
              </w:rPr>
            </w:pPr>
            <w:r>
              <w:rPr>
                <w:rFonts w:cs="Tahoma" w:ascii="Tahoma" w:hAnsi="Tahoma"/>
                <w:i/>
                <w:sz w:val="20"/>
                <w:szCs w:val="20"/>
              </w:rPr>
              <w:t>I CJ Alajuela</w:t>
            </w:r>
          </w:p>
          <w:p>
            <w:pPr>
              <w:pStyle w:val="Normal"/>
              <w:widowControl w:val="false"/>
              <w:rPr>
                <w:rFonts w:ascii="Tahoma" w:hAnsi="Tahoma" w:cs="Tahoma"/>
                <w:i/>
                <w:i/>
                <w:sz w:val="20"/>
                <w:szCs w:val="20"/>
              </w:rPr>
            </w:pPr>
            <w:r>
              <w:rPr>
                <w:rFonts w:cs="Tahoma" w:ascii="Tahoma" w:hAnsi="Tahoma"/>
                <w:i/>
                <w:sz w:val="20"/>
                <w:szCs w:val="20"/>
              </w:rPr>
              <w:t>I CJ Guanacaste</w:t>
            </w:r>
          </w:p>
          <w:p>
            <w:pPr>
              <w:pStyle w:val="Normal"/>
              <w:widowControl w:val="false"/>
              <w:rPr>
                <w:rFonts w:ascii="Tahoma" w:hAnsi="Tahoma" w:cs="Tahoma"/>
                <w:i/>
                <w:i/>
                <w:sz w:val="20"/>
                <w:szCs w:val="20"/>
              </w:rPr>
            </w:pPr>
            <w:r>
              <w:rPr>
                <w:rFonts w:cs="Tahoma" w:ascii="Tahoma" w:hAnsi="Tahoma"/>
                <w:i/>
                <w:sz w:val="20"/>
                <w:szCs w:val="20"/>
              </w:rPr>
              <w:t>I CJ San José</w:t>
            </w:r>
          </w:p>
          <w:p>
            <w:pPr>
              <w:pStyle w:val="Normal"/>
              <w:widowControl w:val="false"/>
              <w:rPr>
                <w:rFonts w:ascii="Tahoma" w:hAnsi="Tahoma" w:cs="Tahoma"/>
                <w:i/>
                <w:i/>
                <w:sz w:val="20"/>
                <w:szCs w:val="20"/>
              </w:rPr>
            </w:pPr>
            <w:r>
              <w:rPr>
                <w:rFonts w:cs="Tahoma" w:ascii="Tahoma" w:hAnsi="Tahoma"/>
                <w:i/>
                <w:sz w:val="20"/>
                <w:szCs w:val="20"/>
              </w:rPr>
              <w:t>I CJ Zona Atlántica</w:t>
            </w:r>
          </w:p>
          <w:p>
            <w:pPr>
              <w:pStyle w:val="Normal"/>
              <w:widowControl w:val="false"/>
              <w:rPr>
                <w:rFonts w:ascii="Tahoma" w:hAnsi="Tahoma" w:cs="Tahoma"/>
                <w:i/>
                <w:i/>
                <w:sz w:val="20"/>
                <w:szCs w:val="20"/>
              </w:rPr>
            </w:pPr>
            <w:r>
              <w:rPr>
                <w:rFonts w:cs="Tahoma" w:ascii="Tahoma" w:hAnsi="Tahoma"/>
                <w:i/>
                <w:sz w:val="20"/>
                <w:szCs w:val="20"/>
              </w:rPr>
              <w:t>I CJ Zona Sur</w:t>
            </w:r>
          </w:p>
          <w:p>
            <w:pPr>
              <w:pStyle w:val="Normal"/>
              <w:widowControl w:val="false"/>
              <w:rPr>
                <w:rFonts w:ascii="Tahoma" w:hAnsi="Tahoma" w:cs="Tahoma"/>
                <w:i/>
                <w:i/>
                <w:sz w:val="20"/>
                <w:szCs w:val="20"/>
              </w:rPr>
            </w:pPr>
            <w:r>
              <w:rPr>
                <w:rFonts w:cs="Tahoma" w:ascii="Tahoma" w:hAnsi="Tahoma"/>
                <w:i/>
                <w:sz w:val="20"/>
                <w:szCs w:val="20"/>
              </w:rPr>
              <w:t>II CJ Alajuela</w:t>
            </w:r>
          </w:p>
          <w:p>
            <w:pPr>
              <w:pStyle w:val="Normal"/>
              <w:widowControl w:val="false"/>
              <w:rPr>
                <w:rFonts w:ascii="Tahoma" w:hAnsi="Tahoma" w:cs="Tahoma"/>
                <w:i/>
                <w:i/>
                <w:sz w:val="20"/>
                <w:szCs w:val="20"/>
              </w:rPr>
            </w:pPr>
            <w:r>
              <w:rPr>
                <w:rFonts w:cs="Tahoma" w:ascii="Tahoma" w:hAnsi="Tahoma"/>
                <w:i/>
                <w:sz w:val="20"/>
                <w:szCs w:val="20"/>
              </w:rPr>
              <w:t>II CJ Guanacaste</w:t>
            </w:r>
          </w:p>
          <w:p>
            <w:pPr>
              <w:pStyle w:val="Normal"/>
              <w:widowControl w:val="false"/>
              <w:rPr>
                <w:rFonts w:ascii="Tahoma" w:hAnsi="Tahoma" w:cs="Tahoma"/>
                <w:i/>
                <w:i/>
                <w:sz w:val="20"/>
                <w:szCs w:val="20"/>
              </w:rPr>
            </w:pPr>
            <w:r>
              <w:rPr>
                <w:rFonts w:cs="Tahoma" w:ascii="Tahoma" w:hAnsi="Tahoma"/>
                <w:i/>
                <w:sz w:val="20"/>
                <w:szCs w:val="20"/>
              </w:rPr>
              <w:t>II CJ San José</w:t>
            </w:r>
          </w:p>
          <w:p>
            <w:pPr>
              <w:pStyle w:val="Normal"/>
              <w:widowControl w:val="false"/>
              <w:rPr>
                <w:rFonts w:ascii="Tahoma" w:hAnsi="Tahoma" w:cs="Tahoma"/>
                <w:i/>
                <w:i/>
                <w:sz w:val="20"/>
                <w:szCs w:val="20"/>
              </w:rPr>
            </w:pPr>
            <w:r>
              <w:rPr>
                <w:rFonts w:cs="Tahoma" w:ascii="Tahoma" w:hAnsi="Tahoma"/>
                <w:i/>
                <w:sz w:val="20"/>
                <w:szCs w:val="20"/>
              </w:rPr>
              <w:t>II CJ Zona Atlántica</w:t>
            </w:r>
          </w:p>
          <w:p>
            <w:pPr>
              <w:pStyle w:val="Normal"/>
              <w:widowControl w:val="false"/>
              <w:rPr>
                <w:rFonts w:ascii="Tahoma" w:hAnsi="Tahoma" w:cs="Tahoma"/>
                <w:i/>
                <w:i/>
                <w:sz w:val="20"/>
                <w:szCs w:val="20"/>
              </w:rPr>
            </w:pPr>
            <w:r>
              <w:rPr>
                <w:rFonts w:cs="Tahoma" w:ascii="Tahoma" w:hAnsi="Tahoma"/>
                <w:i/>
                <w:sz w:val="20"/>
                <w:szCs w:val="20"/>
              </w:rPr>
              <w:t>III CJ Alajuela</w:t>
            </w:r>
          </w:p>
          <w:p>
            <w:pPr>
              <w:pStyle w:val="Normal"/>
              <w:widowControl w:val="false"/>
              <w:spacing w:before="0" w:after="200"/>
              <w:rPr>
                <w:rFonts w:ascii="Tahoma" w:hAnsi="Tahoma" w:cs="Tahoma"/>
                <w:i/>
                <w:i/>
                <w:sz w:val="20"/>
                <w:szCs w:val="20"/>
              </w:rPr>
            </w:pPr>
            <w:r>
              <w:rPr>
                <w:rFonts w:cs="Tahoma" w:ascii="Tahoma" w:hAnsi="Tahoma"/>
                <w:i/>
                <w:sz w:val="20"/>
                <w:szCs w:val="20"/>
              </w:rPr>
              <w:t>III CJ San José</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MELINA MONTEZUMA RODRIGUEZ</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602860566</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w:t>
            </w:r>
            <w:r>
              <w:rPr>
                <w:rFonts w:cs="Tahoma" w:ascii="Tahoma" w:hAnsi="Tahoma"/>
                <w:b/>
                <w:bCs/>
                <w:i/>
                <w:color w:val="000000"/>
                <w:sz w:val="20"/>
                <w:szCs w:val="20"/>
              </w:rPr>
              <w:t xml:space="preserve"> Valor 068</w:t>
            </w:r>
          </w:p>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069</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Ngöbe</w:t>
            </w:r>
          </w:p>
        </w:tc>
        <w:tc>
          <w:tcPr>
            <w:tcW w:w="2039" w:type="dxa"/>
            <w:tcBorders/>
            <w:shd w:color="auto" w:fill="auto" w:val="clear"/>
            <w:vAlign w:val="center"/>
          </w:tcPr>
          <w:p>
            <w:pPr>
              <w:pStyle w:val="Normal"/>
              <w:widowControl w:val="false"/>
              <w:rPr>
                <w:rFonts w:ascii="Tahoma" w:hAnsi="Tahoma" w:cs="Tahoma"/>
                <w:i/>
                <w:i/>
                <w:sz w:val="20"/>
                <w:szCs w:val="20"/>
              </w:rPr>
            </w:pPr>
            <w:r>
              <w:rPr>
                <w:rFonts w:cs="Tahoma" w:ascii="Tahoma" w:hAnsi="Tahoma"/>
                <w:i/>
                <w:sz w:val="20"/>
                <w:szCs w:val="20"/>
              </w:rPr>
              <w:t>CJ Cartago</w:t>
            </w:r>
          </w:p>
          <w:p>
            <w:pPr>
              <w:pStyle w:val="Normal"/>
              <w:widowControl w:val="false"/>
              <w:rPr>
                <w:rFonts w:ascii="Tahoma" w:hAnsi="Tahoma" w:cs="Tahoma"/>
                <w:i/>
                <w:i/>
                <w:sz w:val="20"/>
                <w:szCs w:val="20"/>
              </w:rPr>
            </w:pPr>
            <w:r>
              <w:rPr>
                <w:rFonts w:cs="Tahoma" w:ascii="Tahoma" w:hAnsi="Tahoma"/>
                <w:i/>
                <w:sz w:val="20"/>
                <w:szCs w:val="20"/>
              </w:rPr>
              <w:t>CJ Heredia</w:t>
            </w:r>
          </w:p>
          <w:p>
            <w:pPr>
              <w:pStyle w:val="Normal"/>
              <w:widowControl w:val="false"/>
              <w:rPr>
                <w:rFonts w:ascii="Tahoma" w:hAnsi="Tahoma" w:cs="Tahoma"/>
                <w:i/>
                <w:i/>
                <w:sz w:val="20"/>
                <w:szCs w:val="20"/>
              </w:rPr>
            </w:pPr>
            <w:r>
              <w:rPr>
                <w:rFonts w:cs="Tahoma" w:ascii="Tahoma" w:hAnsi="Tahoma"/>
                <w:i/>
                <w:sz w:val="20"/>
                <w:szCs w:val="20"/>
              </w:rPr>
              <w:t>I CJ Alajuela</w:t>
            </w:r>
          </w:p>
          <w:p>
            <w:pPr>
              <w:pStyle w:val="Normal"/>
              <w:widowControl w:val="false"/>
              <w:rPr>
                <w:rFonts w:ascii="Tahoma" w:hAnsi="Tahoma" w:cs="Tahoma"/>
                <w:i/>
                <w:i/>
                <w:sz w:val="20"/>
                <w:szCs w:val="20"/>
              </w:rPr>
            </w:pPr>
            <w:r>
              <w:rPr>
                <w:rFonts w:cs="Tahoma" w:ascii="Tahoma" w:hAnsi="Tahoma"/>
                <w:i/>
                <w:sz w:val="20"/>
                <w:szCs w:val="20"/>
              </w:rPr>
              <w:t>I CJ San José</w:t>
            </w:r>
          </w:p>
          <w:p>
            <w:pPr>
              <w:pStyle w:val="Normal"/>
              <w:widowControl w:val="false"/>
              <w:rPr>
                <w:rFonts w:ascii="Tahoma" w:hAnsi="Tahoma" w:cs="Tahoma"/>
                <w:i/>
                <w:i/>
                <w:sz w:val="20"/>
                <w:szCs w:val="20"/>
              </w:rPr>
            </w:pPr>
            <w:r>
              <w:rPr>
                <w:rFonts w:cs="Tahoma" w:ascii="Tahoma" w:hAnsi="Tahoma"/>
                <w:i/>
                <w:sz w:val="20"/>
                <w:szCs w:val="20"/>
              </w:rPr>
              <w:t>II CJ Alajuela</w:t>
            </w:r>
          </w:p>
          <w:p>
            <w:pPr>
              <w:pStyle w:val="Normal"/>
              <w:widowControl w:val="false"/>
              <w:rPr>
                <w:rFonts w:ascii="Tahoma" w:hAnsi="Tahoma" w:cs="Tahoma"/>
                <w:i/>
                <w:i/>
                <w:sz w:val="20"/>
                <w:szCs w:val="20"/>
              </w:rPr>
            </w:pPr>
            <w:r>
              <w:rPr>
                <w:rFonts w:cs="Tahoma" w:ascii="Tahoma" w:hAnsi="Tahoma"/>
                <w:i/>
                <w:sz w:val="20"/>
                <w:szCs w:val="20"/>
              </w:rPr>
              <w:t>II CJ San José</w:t>
            </w:r>
          </w:p>
          <w:p>
            <w:pPr>
              <w:pStyle w:val="Normal"/>
              <w:widowControl w:val="false"/>
              <w:rPr>
                <w:rFonts w:ascii="Tahoma" w:hAnsi="Tahoma" w:cs="Tahoma"/>
                <w:i/>
                <w:i/>
                <w:sz w:val="20"/>
                <w:szCs w:val="20"/>
              </w:rPr>
            </w:pPr>
            <w:r>
              <w:rPr>
                <w:rFonts w:cs="Tahoma" w:ascii="Tahoma" w:hAnsi="Tahoma"/>
                <w:i/>
                <w:sz w:val="20"/>
                <w:szCs w:val="20"/>
              </w:rPr>
              <w:t>III CJ Alajuela</w:t>
            </w:r>
          </w:p>
          <w:p>
            <w:pPr>
              <w:pStyle w:val="Normal"/>
              <w:widowControl w:val="false"/>
              <w:spacing w:before="0" w:after="200"/>
              <w:rPr>
                <w:rFonts w:ascii="Tahoma" w:hAnsi="Tahoma" w:cs="Tahoma"/>
                <w:i/>
                <w:i/>
                <w:sz w:val="20"/>
                <w:szCs w:val="20"/>
              </w:rPr>
            </w:pPr>
            <w:r>
              <w:rPr>
                <w:rFonts w:cs="Tahoma" w:ascii="Tahoma" w:hAnsi="Tahoma"/>
                <w:i/>
                <w:sz w:val="20"/>
                <w:szCs w:val="20"/>
              </w:rPr>
              <w:t>III CJ San José</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VALENTIN DE JESUS GONZALEZ PALACIOS</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0602130307</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070</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Ngöbe</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II CJ Zona Sur</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JONATAN ATENCIO RODRIGUEZ</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0603190446</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071</w:t>
            </w:r>
          </w:p>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072</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Ngöbe</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II CJ Zona Sur</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AURELIO BEJARANO RIOS</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0901060603</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073</w:t>
            </w:r>
          </w:p>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074</w:t>
            </w:r>
          </w:p>
          <w:p>
            <w:pPr>
              <w:pStyle w:val="Normal"/>
              <w:widowControl w:val="false"/>
              <w:rPr>
                <w:rFonts w:ascii="Tahoma" w:hAnsi="Tahoma" w:cs="Tahoma"/>
                <w:i/>
                <w:i/>
                <w:sz w:val="20"/>
                <w:szCs w:val="20"/>
              </w:rPr>
            </w:pPr>
            <w:r>
              <w:rPr>
                <w:rFonts w:cs="Tahoma" w:ascii="Tahoma" w:hAnsi="Tahoma"/>
                <w:i/>
                <w:color w:val="000000"/>
                <w:sz w:val="20"/>
                <w:szCs w:val="20"/>
              </w:rPr>
              <w:t xml:space="preserve">Fax: </w:t>
            </w:r>
            <w:r>
              <w:rPr>
                <w:rFonts w:cs="Tahoma" w:ascii="Tahoma" w:hAnsi="Tahoma"/>
                <w:b/>
                <w:bCs/>
                <w:i/>
                <w:color w:val="000000"/>
                <w:sz w:val="20"/>
                <w:szCs w:val="20"/>
              </w:rPr>
              <w:t xml:space="preserve"> Valor 075</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Ngöbe</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II CJ Zona Sur</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CARMELA ANDARLES DE GRACIA</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0602840229</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076</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Ngöbe</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II CJ Zona Sur</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MAXIMINO MONTEZUMA BEJARANO</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0901060614</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077</w:t>
            </w:r>
          </w:p>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078</w:t>
            </w:r>
          </w:p>
          <w:p>
            <w:pPr>
              <w:pStyle w:val="Normal"/>
              <w:widowControl w:val="false"/>
              <w:rPr>
                <w:rFonts w:ascii="Tahoma" w:hAnsi="Tahoma" w:cs="Tahoma"/>
                <w:i/>
                <w:i/>
                <w:sz w:val="20"/>
                <w:szCs w:val="20"/>
              </w:rPr>
            </w:pPr>
            <w:r>
              <w:rPr>
                <w:rFonts w:cs="Tahoma" w:ascii="Tahoma" w:hAnsi="Tahoma"/>
                <w:i/>
                <w:color w:val="000000"/>
                <w:sz w:val="20"/>
                <w:szCs w:val="20"/>
              </w:rPr>
              <w:t xml:space="preserve">Fax: </w:t>
            </w:r>
            <w:r>
              <w:rPr>
                <w:rFonts w:cs="Tahoma" w:ascii="Tahoma" w:hAnsi="Tahoma"/>
                <w:b/>
                <w:bCs/>
                <w:i/>
                <w:color w:val="000000"/>
                <w:sz w:val="20"/>
                <w:szCs w:val="20"/>
              </w:rPr>
              <w:t>Valor 079</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Ngöbe</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II CJ Zona Sur</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ELIAN QUIROS MENDOZA</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0603580852</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080</w:t>
            </w:r>
          </w:p>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081</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Ngöbe</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II CJ Zona Sur</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HORACIO WILLIAM QUIROS MENDOZA</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0603690809</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082</w:t>
            </w:r>
          </w:p>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083</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Ngöbe</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II CJ Zona Sur</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RUBEN BEJARANO MENDOZA</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0901000412</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b/>
                <w:b/>
                <w:bCs/>
                <w:i/>
                <w:i/>
                <w:color w:val="000000"/>
                <w:sz w:val="20"/>
                <w:szCs w:val="20"/>
              </w:rPr>
            </w:pPr>
            <w:r>
              <w:rPr>
                <w:rFonts w:cs="Tahoma" w:ascii="Tahoma" w:hAnsi="Tahoma"/>
                <w:i/>
                <w:color w:val="000000"/>
                <w:sz w:val="20"/>
                <w:szCs w:val="20"/>
              </w:rPr>
              <w:t xml:space="preserve">Cel: </w:t>
            </w:r>
            <w:r>
              <w:rPr>
                <w:rFonts w:cs="Tahoma" w:ascii="Tahoma" w:hAnsi="Tahoma"/>
                <w:b/>
                <w:bCs/>
                <w:i/>
                <w:color w:val="000000"/>
                <w:sz w:val="20"/>
                <w:szCs w:val="20"/>
              </w:rPr>
              <w:t>Valor 084</w:t>
            </w:r>
          </w:p>
          <w:p>
            <w:pPr>
              <w:pStyle w:val="Normal"/>
              <w:widowControl w:val="false"/>
              <w:rPr>
                <w:rFonts w:ascii="Tahoma" w:hAnsi="Tahoma" w:cs="Tahoma"/>
                <w:i/>
                <w:i/>
                <w:sz w:val="20"/>
                <w:szCs w:val="20"/>
              </w:rPr>
            </w:pPr>
            <w:r>
              <w:rPr>
                <w:rFonts w:cs="Tahoma" w:ascii="Tahoma" w:hAnsi="Tahoma"/>
                <w:i/>
                <w:color w:val="000000"/>
                <w:sz w:val="20"/>
                <w:szCs w:val="20"/>
              </w:rPr>
              <w:t xml:space="preserve">Fax: </w:t>
            </w:r>
            <w:r>
              <w:rPr>
                <w:rFonts w:cs="Tahoma" w:ascii="Tahoma" w:hAnsi="Tahoma"/>
                <w:b/>
                <w:bCs/>
                <w:i/>
                <w:color w:val="000000"/>
                <w:sz w:val="20"/>
                <w:szCs w:val="20"/>
              </w:rPr>
              <w:t>Valor 085</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Ngöbe</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II CJ Zona Sur</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MARCIAL MONTEZUMA SANCHEZ</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604060353</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086</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Ngöbe</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II CJ Zona Sur</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JAVIER QUIROS MENDOZA</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602720496</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087</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Ngöbe</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II CJ Zona Sur</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KATTIA PALACIOS PALACIOS</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603910342</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088</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Ngöbe</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II CJ Zona Sur</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ANIA MARIA GONZALEZ ARAUZ</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603990739</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w:t>
            </w:r>
            <w:r>
              <w:rPr>
                <w:rFonts w:cs="Tahoma" w:ascii="Tahoma" w:hAnsi="Tahoma"/>
                <w:b/>
                <w:bCs/>
                <w:i/>
                <w:color w:val="000000"/>
                <w:sz w:val="20"/>
                <w:szCs w:val="20"/>
              </w:rPr>
              <w:t xml:space="preserve"> Valor 089</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Ngöbe</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II CJ Zona Sur</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ELIDA MARIA RODRIGUEZ SANTOS</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0601890914</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w:t>
            </w:r>
            <w:r>
              <w:rPr>
                <w:rFonts w:cs="Tahoma" w:ascii="Tahoma" w:hAnsi="Tahoma"/>
                <w:b/>
                <w:bCs/>
                <w:i/>
                <w:color w:val="000000"/>
                <w:sz w:val="20"/>
                <w:szCs w:val="20"/>
              </w:rPr>
              <w:t xml:space="preserve"> Valor 090</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Ngöbe</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II CJ Zona Sur</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SANTOS GONZALEZ PALACIOS</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901010847</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091</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Ngöbe</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II CJ Zona Sur</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NATANAEL CARRERA SANTIAGO</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604210119</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 xml:space="preserve">Tel: </w:t>
            </w:r>
            <w:r>
              <w:rPr>
                <w:rFonts w:cs="Tahoma" w:ascii="Tahoma" w:hAnsi="Tahoma"/>
                <w:b/>
                <w:bCs/>
                <w:i/>
                <w:color w:val="000000"/>
                <w:sz w:val="20"/>
                <w:szCs w:val="20"/>
              </w:rPr>
              <w:t>Valor 092</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Ngöbe</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II CJ Zona Sur</w:t>
            </w:r>
          </w:p>
        </w:tc>
      </w:tr>
    </w:tbl>
    <w:p>
      <w:pPr>
        <w:pStyle w:val="Normal"/>
        <w:spacing w:lineRule="auto" w:line="360"/>
        <w:rPr>
          <w:rFonts w:ascii="Tahoma" w:hAnsi="Tahoma" w:cs="Tahoma"/>
          <w:b/>
          <w:b/>
          <w:i/>
          <w:i/>
          <w:sz w:val="20"/>
          <w:szCs w:val="20"/>
          <w:u w:val="single"/>
          <w:lang w:val="es-ES"/>
        </w:rPr>
      </w:pPr>
      <w:r>
        <w:rPr>
          <w:rFonts w:cs="Tahoma" w:ascii="Tahoma" w:hAnsi="Tahoma"/>
          <w:b/>
          <w:i/>
          <w:sz w:val="20"/>
          <w:szCs w:val="20"/>
          <w:u w:val="single"/>
          <w:lang w:val="es-ES"/>
        </w:rPr>
      </w:r>
    </w:p>
    <w:tbl>
      <w:tblPr>
        <w:tblW w:w="5000" w:type="pct"/>
        <w:jc w:val="center"/>
        <w:tblInd w:w="0" w:type="dxa"/>
        <w:tblLayout w:type="fixed"/>
        <w:tblCellMar>
          <w:top w:w="0" w:type="dxa"/>
          <w:left w:w="5" w:type="dxa"/>
          <w:bottom w:w="0" w:type="dxa"/>
          <w:right w:w="0" w:type="dxa"/>
        </w:tblCellMar>
        <w:tblLook w:firstRow="0" w:noVBand="0" w:lastRow="0" w:firstColumn="0" w:lastColumn="0" w:noHBand="0" w:val="0000"/>
      </w:tblPr>
      <w:tblGrid>
        <w:gridCol w:w="1200"/>
        <w:gridCol w:w="7303"/>
      </w:tblGrid>
      <w:tr>
        <w:trPr>
          <w:trHeight w:val="615"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center"/>
              <w:rPr>
                <w:rFonts w:ascii="Tahoma" w:hAnsi="Tahoma" w:cs="Tahoma"/>
                <w:i/>
                <w:i/>
                <w:sz w:val="20"/>
                <w:szCs w:val="20"/>
              </w:rPr>
            </w:pPr>
            <w:r>
              <w:rPr>
                <w:rFonts w:cs="Tahoma" w:ascii="Tahoma" w:hAnsi="Tahoma"/>
                <w:b/>
                <w:i/>
                <w:sz w:val="20"/>
                <w:szCs w:val="20"/>
              </w:rPr>
              <w:t>CANTIDAD DE INTERVINIENTES</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ahoma" w:hAnsi="Tahoma" w:cs="Tahoma"/>
                <w:i/>
                <w:i/>
                <w:sz w:val="20"/>
                <w:szCs w:val="20"/>
              </w:rPr>
            </w:pPr>
            <w:r>
              <w:rPr>
                <w:rFonts w:cs="Tahoma" w:ascii="Tahoma" w:hAnsi="Tahoma"/>
                <w:b/>
                <w:i/>
                <w:sz w:val="20"/>
                <w:szCs w:val="20"/>
              </w:rPr>
              <w:t>OFICINAS CON MAYOR CANTIDAD DE INTERVINIENTES (INDÍGENAS) ENERO 2019</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278</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BUENOS AIRES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264</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BRIBRI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227</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PENSIONES ALIMENTARIAS I CIRCUITO JUDICIAL DE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140</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DEL I CIRCUITO JUDICIAL DE LA ZONA ATLANTICA (MATERIA PENAL)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137</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BRIBRI (MATERIA VIOLENCIA DOMÉSTICA)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119</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TURRIALBA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118</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BUENOS AIRES (MATERIA FALTAS Y CONTRAVENCIONES)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100</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BUENOS AIRES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88</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TRABAJO DEL I CIRCUITO JUDICIAL DE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82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TRABAJO Y FAMILIA DE BUENOS AIRES (MATERIA VIOLENCIA DOMÉSTICA)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78</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TALAMANCA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64</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TURRIALBA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52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BRIBRI (MATERIA FALTAS Y CONTRAVENCIONES)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40</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I CIRCUITO JUDICIAL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39</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II CIRCUITO JUDICIAL DE LA ZONA SUR (CORREDORES) (MATERIA PENAL)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38</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FAMILIA, PENAL JUVENIL Y VIOLENCIA DOMESTICA DE TURRIALBA (MATERIA VIOLENCIA DOMÉSTICA)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34</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TRABAJO Y FAMILIA DE BUENOS AIRES (MATERIA AGRARIA)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34</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COTO BRUS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29</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II CIRCUITO JUDICIAL ZONA SUR (CORREDORES)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28</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FISCALIA DE ASUNTOS INDIGENAS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28</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TURRIALBA (MATERIA FALTAS Y CONTRAVENCIONES)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24</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DE CARTAGO, SEDE TURRIALBA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VIOLENCIA DOMESTICA DEL I CIRCUITO JUDICIAL DE LA ZONA ATLANTICA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FAMILIA Y VIOLENCIA DOMÉSTICA DE GRECIA (MATERIA VIOLENCIA DOMÉSTICA)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20</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GUATUSO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20</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AGRARIO I CIRCUITO JUDICIAL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20</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FAMILIA, PENAL JUVENIL Y VIOLENCIA DOMESTICA DE TURRIALBA (MATERIA PENAL JUVENIL)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19</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COBRO DE GRECIA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18</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AGRARIO DEL I CIRCUITO JUDICIAL DE LA ZONA ATLANTICA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18</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I CIRCUITO JUDICIAL ZONA SUR</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17</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PENSIONES ALIMENTARIAS DE SARAPIQUI</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17</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Y TRABAJO DE GRECIA (MATERIA CIVIL)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16</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OFICINA DE DEFENSA CIVIL DE LA VÍCTIMA, SEDE LIMÓN</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16</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COTO BRUS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15</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Y TRABAJO DE GRECIA (MATERIA LABORAL)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15</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TRABAJO Y FAMILIA DE BUENOS AIRES (MATERIA PENAL JUVENIL)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14</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COLEGIADO PRIMERA INSTANCIA CIVIL I CIRCUITO JUDICIAL DE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14</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FISCALIA ADJUNTA I CIRCUITO JUDICIAL DE LA ZONA ATLANTICA (MATERIA PENAL)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14</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I CIRCUITO JUDICIAL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I CIRCUITO JUDICIAL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COTO BRUS (MATERIA VIOLENCIA DOMÉSTICA)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COBRO DEL I CIRCUITO JUDICIAL DE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JUVENIL DEL I CIRCUITO JUDICIAL DE LA ZONA ATLANTICA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BUENOS AIRES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COBRO DEL I CIRCUITO JUDICIAL DE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I CIRCUITO JUDICIAL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DEL I CIRCUITO JUDICIAL DE LA ZONA ATLANTICA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10</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Y TRABAJO II CIRCUITO JUDICIAL ALAJUELA, SEDE UPALA (MATERIA AGRARIA)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10</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TRABAJO Y FAMILIA DE BUENOS AIRES (MATERIA LABORAL)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10</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FISCALIA ADJUNTA CARTAGO (MATERIA PENAL)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10</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COBRO DE GRECIA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9</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TRABAJO Y FAMILIA DE BUENOS AIRES (MATERIA FAMILIA)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9</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 xml:space="preserve">SALA PRIMERA </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9</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II CIRCUITO JUDICIAL DE LA ZONA SUR (CORREDORES) (MATERIA PENAL)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8</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BRIBRI (MATERIA LABORAL)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8</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PENSIONES ALIMENTARIAS I CIRCUITO JUDICIAL ZONA SUR (PÉREZ ZELEDÓN)</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8</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PENSIONES ALIMENTARIAS I CIRCUITO JUDICIAL DE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8</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BUENOS AIRES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8</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FISCALIA DE BATAN</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8</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COBRO DEL I CIRCUITO JUDICIAL DE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7</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AGRARIO II CIRCUITO JUDICIAL DE LA ZONA SUR (CORREDORES)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7</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COLEGIADO PRIMERA INSTANCIA CIVIL III CIRCUITO JUDICIAL DE ALAJUELA (SAN RAMÓN)</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7</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DEL I CIRCUITO JUDICIAL DE LA ZONA ATLANTICA (MATERIA PENAL)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6</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Y TRABAJO II CIRCUITO JUDICIAL ZONA SUR (CORREDORES) (MATERIA LABORAL)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6</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PENSIONES Y VIOLENCIA DOMESTICA DE SIQUIRRES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6</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TRABAJO DEL I CIRCUITO JUDICIAL DE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6</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CARTAGO</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6</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JUVENIL II CIRCUITO JUDICIAL ZONA SUR (CORREDORES Y GOLFITO)</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6</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COTO BRUS (MATERIA VIOLENCIA DOMÉSTICA)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6</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BRIBRI (MATERIA VIOLENCIA DOMÉSTICA)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5</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Y TRABAJO DE GRECIA (MATERIA CIVIL)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5</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JICARAL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5</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FAMILIA Y VIOLENCIA DOMÉSTICA DE GRECIA (MATERIA FAMILIA)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5</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PENSIONES ALIMENTARIAS DEL I CIRCUITO JUDICIAL DE LA ZONA ATLANTICA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5</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PENSIONES ALIMENTARIAS II CIRCUITO JUDICIAL DE SAN JOSE</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5</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Y TRABAJO DE GRECIA (MATERIA LABORAL)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5</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TRABAJO Y FAMILIA DE BUENOS AIRES (MATERIA PENAL JUVENIL)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5</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BATAN</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4</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TRABAJO Y AGRARIO DE TURRIALBA (MATERIA AGRARIA)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4</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TRABAJO I CIRCUITO JUDICIAL SAN JOSE</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4</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Y TRABAJO DE GRECIA (MATERIA CIVIL)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4</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COBRO DEL I CIRCUITO JUDICIAL DE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4</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COBRO DE GRECIA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4</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I CIRCUITO JUDICIAL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4</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FISCALIA DE ASUNTOS INDIGENAS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4</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TALAMANCA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4</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FISCALIA ADJUNTA II CIRCUITO JUDICIAL DE LA ZONA ATLANTICA (MATERIA PENAL)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4</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DEL I CIRCUITO JUDICIAL DE ALAJUELA, SEDE ATENAS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4</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I CIRCUITO JUDICIAL DE LA ZONA SUR (PEREZ ZELEDON)</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4</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BUENOS AIRES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4</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FAMILIA Y VIOLENCIA DOMÉSTICA DE GRECIA (MATERIA FAMILIA)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COBRO DE GRECIA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COBRO DEL I CIRCUITO JUDICIAL DE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AGRARIO I CIRCUITO JUDICIAL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CARRILLO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Y PENSIONES ALIMENTARIAS DEL I CIRCUITO JUDICIAL DE GUANACASTE (LIBERIA) (MA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COBRO DE GRECIA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PENSIONES Y VIOLENCIA DOMÉSTICA DE PAVAS (PISAV)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BRIBRI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Y TRABAJO DE GRECIA (MATERIA CIVIL)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DE CARTAGO, SEDE TURRIALBA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PAVAS (MATERIA FALTAS Y CONTRAVENCIONES)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EJECUCION DE LAS SANCIONES PENALES JUVENILES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PURISCAL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DE II CIRCUITO JUDICIAL DE LA ZONA ATLANTICA (MATERIA PENAL)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II CIRCUITO JUDICIAL ZONA SUR, SEDE GOLFITO</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PENAL II CIRCUITO JUDICIAL DE SAN JOSE</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TRABAJO Y FAMILIA DE BUENOS AIRES (MATERIA PENAL JUVENIL)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II CIRCUITO JUDICIAL DE LA ZONA SUR (CORREDORES) (MATERIA PENAL)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II CIRCUITO JUDICIAL DE LA ZONA SUR (CORREDORES) (MATERIA PENAL)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GUATUSO (MATERIA VIOLENCIA DOMÉSTICA)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MATINA (MATERIA VIOLENCIA DOMÉSTICA)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VIOLENCIA DOMESTICA II CIRCUITO JUDICIAL DE SAN JOSE</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VIOLENCIA DOMESTICA III CIRCUITO JUDICIAL DE SAN JOSE (DESAMPARADOS)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TRABAJO Y FAMILIA DE BUENOS AIRES (MATERIA AGRARIA)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TRABAJO DEL I CIRCUITO JUDICIAL DE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DEL I CIRCUITO JUDICIAL DE LA ZONA ATLANTICA (MATERIA PENAL)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COBRO DE GRECIA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COBRO DEL I CIRCUITO JUDICIAL DE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COBRO DE GRECIA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COBRO DEL I CIRCUITO JUDICIAL DE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Y TRABAJO II CIRCUITO JUDICIAL ALAJUELA, SEDE UPALA (MATERIA FAMILIA)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Y TRABAJO II CIRCUITO JUDICIAL DE GUANACASTE (MATERIA LABORAL)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CONTENCIOSO ADMINISTRACIÓN Y CIVIL DE HACIENDA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ASERRI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GRECIA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HATILLO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JIMENEZ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MATINA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NARANJO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POAS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TARRAZU, DOTA Y LEON CORTES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Y PENSIONES ALIMENTARIAS II CIRCUITO JUDICIAL DE ALAJUELA (MATERIA PENSIONES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Y PENSIONES ALIMENTARIAS III CIRCUITO JUDICIAL ALAJUELA (SAN RAMÓN) (MATERIA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SEGURIDAD SOCIAL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TRABAJO I CIRCUITO JUDICIAL DE LA ZONA ATLANTICA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TRABAJO II CIRCUITO JUDICIAL DE LA ZONA ATLANTICA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PENSIONES ALIMENTARIAS DE CARTAGO</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PENSIONES ALIMENTARIAS III CIRCUITO JUDICIAL DE SAN JOSE (DESAMPARADOS)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PRIMERO ESPECIALIZADO DE COBRO I CIRCUITO JUDICIAL DE SAN JOSE</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 xml:space="preserve">SALA PRIMERA </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OFICINA DE DEFENSA CIVIL DE LA VÍCTIMA, SEDE CORREDORES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I CIRCUITO JUDICIAL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COBRO DE GRECIA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PENSIONES ALIMENTARIAS I CIRCUITO JUDICIAL DE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NOTARIAL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CARTAGO</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COTO BRUS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I CIRCUITO JUDICIAL ZONA SUR</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I CIRCUITO JUDICIAL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FISCALÍA ADJUNTA DEL I CIRCUITO JUDICIAL DE ALAJUELA (MATERIA PENAL)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FISCALIA ADJUNTA I CIRCUITO JUDICIAL ZONA SUR (PÉREZ ZELEDÓN) (MATERIA PENAL)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HEREDIA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MATINA (MATERIA FALTAS Y CONTRAVENCIONES)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I CIRCUITO JUDICIAL DE LA ZONA ATLANTICA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UPALA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DE CARTAGO</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DEL II CIRCUITO JUDICIAL DE ALAJUELA (MATERIA PENAL)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I CIRCUITO JUDICIAL ZONA SUR (FLAGRANCIA)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II CIRCUITO JUDICIAL DE LA ZONA SUR (FLAGRANCIA)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COTO BRUS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TRABAJO Y FAMILIA DE BUENOS AIRES (MATERIA PENAL JUVENIL)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TRABAJO Y FAMILIA PURISCAL (MATERIA VIOLENCIA DOMÉSTICA)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PARRITA (MATERIA VIOLENCIA DOMÉSTICA)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PENSIONES Y VIOLENCIA DOMÉSTICA DE SIQUIRRES (MATERIA VIOLENCIA DOMÉSTICA)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VIOLENCIA DOMESTICA DE CARTAGO</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VIOLENCIA DOMESTICA I CIRCUITO JUDICIAL ZONA SUR (PÉREZ ZELEDÓN)</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FAMILIA, PENAL JUVENIL Y VIOLENCIA DOMESTICA DE TURRIALBA (MATERIA FAMILIA)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FAMILIA Y VIOLENCIA DOMÉSTICA DE GRECIA (MATERIA VIOLENCIA DOMÉSTICA)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PRIMERO ESPECIALIZADO DE COBRO I CIRCUITO JUDICIAL DE SAN JOSE</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AGRARIO DEL II CIRCUITO JUDICIAL DE LA ZONA ATLANTICA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AGRARIO DEL III CIRCUITO JUDICIAL DE ALAJUELA (SAN RAMON)</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AGRARIO II CIRCUITO JUDICIAL GUANACASTE (SANTA CRUZ)</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DEL I CIRCUITO JUDICIAL DE LA ZONA ATLANTICA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Y TRABAJO DE QUEPOS (MATERIA LABORAL)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Y TRABAJO DEL I CIRCUITO JUDICIAL DE LA ZONA SUR (PÉREZ ZELEDÓN) (MATERIA LABORAL)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Y TRABAJO I CIRCUITO JUDICIAL GUANACASTE (LIBERIA) (MATERIA LABORAL)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Y TRABAJO II CIRCUITO JUDICIAL ZONA SUR (CORREDORES) (MATERIA CIVIL)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TRABAJO Y AGRARIO DE TURRIALBA (MATERIA LABORAL)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TRABAJO Y FAMILIA DE BUENOS AIRES (MATERIA CIVIL)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TRABAJO Y FAMILIA DE OSA (MATERIA LABORAL)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ATENAS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BUENOS AIRES (MATERIA LABORAL)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ESPARZA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LA FORTUNA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LOS CHILES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OSA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PURISCAL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SAN RAFAEL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SANTO DOMINGO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TARRAZU, DOTA Y LEON CORTES (MATERIA LABORAL)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TILARAN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UPALA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VALVERDE VEGA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COBRO DEL I CIRCUITO JUDICIAL ZONA ATLANTICA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COBRO DEL II CIRCUITO JUDICIAL GUANACASTE (SANTA CRUZ)</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COBRO I CIRCUITO JUDICIAL GUANACASTE</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FAMILIA Y VIOLENCIA DOMESTICA DEL II CIRCUITO JUDICIAL DE LA ZONA SUR (CORREDORES) (MATER</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TRABAJO DE SANTA CRUZ</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TRABAJO DEL III CIRCUITO JUDICIAL DE SAN JOSE (DESAMPARADOS)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TRABAJO II CIRCUITO JUDICIAL DE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TRABAJO II CIRCUITO JUDICIAL SAN JOSE</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TRABAJO Y FAMILIA DE HATILLO, SAN SEBASTIAN Y ALAJUELITA (MATERIA LABORAL)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PENSIONES ALIMENTARIAS DE HEREDIA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PENSIONES ALIMENTARIAS DEL I CIRCUITO JUDICIAL DE SAN JOSE</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PENSIONES ALIMENTARIAS II CIRCUITO JUDICIAL DE LA ZONA ATLANTICA (POCOCÍ)</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PENSIONES Y VIOLENCIA DOMESTICA DE ESCAZÚ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PENSIONES Y VIOLENCIA DOMESTICA DE LA UNION (PISAV)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PENSIONES Y VIOLENCIA DOMESTICA DE SAN JOAQUIN DE FLORES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SEGUNDO ESPECIALIZADO DE COBRO I CIRCUITO JUDICIAL DE SAN JOSE</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SEGUNDO COLEGIADO PRIMERA INSTANCIA CIVIL I CIRCUITO JUDICIAL SAN JOSÉ</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PAVAS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OFICINA DE DEFENSA CIVIL DE LA VICTIMA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OFICINA DE DEFENSA CIVIL DE LA VÍCTIMA, SEDE III CIRCUITO JUDICIAL DE SAN JOSÉ</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I CIRCUITO JUDICIAL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COLEGIADO PRIMERA INSTANCIA CIVIL I CIRCUITO JUDICIAL DE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COBRO DE GRECIA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FAMILIA DEL I CIRCUITO JUDICIAL DE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FISCALIA ADJUNTA HEREDIA (MATERIA PENAL)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I CIRCUITO JUDICIAL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BUENOS AIRES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COBRO DE POCOCI</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COBRO DEL II CIRCUITO JUDICIAL GUANACASTE (SANTA CRUZ)</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TRABAJO DE PUNTARENAS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PAVAS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TERCERO CIVIL DE SAN JOSE</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TERCERO ESPECIALIZADO DE COBRO I CIRCUITO JUDICIAL DE SAN JOSE</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AGRARIO DEL I CIRCUITO JUDICIAL DE LA ZONA ATLANTICA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II CIRCUITO JUDICIAL ZONA SUR, SEDE OSA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COBRO DEL II CIRCUITO JUDICIAL GUANACASTE (SANTA CRUZ)</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AGRARIO I CIRCUITO JUDICIAL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AGRARIO DE CARTAGO</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I CIRCUITO JUDICIAL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Y TRABAJO DE GRECIA (MATERIA CIVIL)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COBRO DE GRECIA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COLEGIADO PRIMERA INSTANCIA CIVIL III CIRCUITO JUDICIAL DE ALAJUELA (SAN RAMÓN)</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I CIRCUITO JUDICIAL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PENSIONES Y VIOLENCIA DOMESTICA DE ESCAZÚ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COLEGIADO PRIMERA INSTANCIA CIVIL I CIRCUITO JUDICIAL DE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I CIRCUITO JUDICIAL DE GUANACASTE (LIBERIA)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I CIRCUITO JUDICIAL GUANACASTE (LIBERIA) (MATERIA PENAL)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BRIBRI (MATERIA FALTAS Y CONTRAVENCIONES)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BUENOS AIRES (MATERIA FALTAS Y CONTRAVENCIONES)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EJECUCION DE LAS SANCIONES PENALES JUVENILES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BATAN</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GOLFITO</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TURRIALBA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DEL I CIRCUITO JUDICIAL DE LA ZONA ATLANTICA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II CIRCUITO JUDICIAL ZONA SUR (CORREDORES)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III CIRCUITO JUDICIAL DE ALAJUELA (SAN RAMON)</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JUVENIL DE SAN JOSE</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JUVENIL DEL I CIRCUITO JUDICIAL DE LA ZONA ATLANTICA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JUVENIL II CIRCUITO JUDICIAL ZONA SUR (CORREDORES Y GOLFITO)</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DEL I CIRCUITO JUDICIAL DE LA ZONA ATLANTICA (FLAGRANCIA)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I CIRCUITO JUDICIAL ZONA SUR (FLAGRANCIA)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FISCALIA ADJUNTA I CIRCUITO JUDICIAL GUANACASTE (LIBERIA) (MATERIA PENAL)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TURRIALBA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I CIRCUITO JUDICIAL DE GUANACASTE (LIBERIA)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DEL II CIRCUITO JUDICIAL DE GUANACASTE, SEDE SANTA CRUZ (MATERIA PENAL)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I CIRCUITO JUDICIAL GUANACASTE (FLAGRANCIA)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I CIRCUITO JUDICIAL GUANACASTE (LIBERIA) (MATERIA PENAL)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BRIBRI (MATERIA LABORAL)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COBRO DEL I CIRCUITO JUDICIAL DE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CENTRO DE CONCILIACION DEL PODER JUDICIAL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FISCALIA ADJUNTA HEREDIA (MATERIA PENAL)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FISCALIA ADJUNTA I CIRCUITO JUDICIAL ZONA SUR (PÉREZ ZELEDÓN) (MATERIA PENAL JUVENIL)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FISCALÍA DE BATÁN (MATERIA PENAL JUVENIL)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FISCALIA DEL III CIRCUITO JUDICIAL ALAJUELA (SAN RAMON) (MATERIA PENAL)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PURISCAL (MATERIA FALTAS Y CONTRAVENCIONES)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ATENAS (MATERIA FALTAS Y CONTRAVENCIONES)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COTO BRUS (MATERIA FALTAS Y CONTRAVENCIONES)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LA FORTUNA (MATERIA FALTAS Y CONTRAVENCIONES)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OSA (MATERIA FALTAS Y CONTRAVENCIONES)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POAS (MATERIA FALTAS Y CONTRAVENCIONES)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DEL I CIRCUITO JUDICIAL DE SAN JOSE</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Y TRÁNSITO DE POCOCÍ (MATERIA FALTAS Y CONTRAVENCIONES)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GOLFITO</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GRECIA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HATILLO</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OSA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PAVAS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POCOCI GUACIMO</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PUNTARENAS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SARAPIQUI</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DEL I CIRCUITO JUDICIAL DE SAN JOSE</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I CIRCUITO JUDICIAL DE GUANACASTE (LIBERIA)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II CIRCUITO JUDICIAL ZONA SUR (CORREDORES)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III CIRCUITO JUDICIAL DE ALAJUELA (SAN RAMON)</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JUVENIL DE HEREDIA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JUVENIL III CIRCUITO JUDICIAL ALAJUELA (SAN RAMON Y GRECIA)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 xml:space="preserve">SALA CONSTITUCIONAL </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DE PUNTARENAS, SEDE QUEPOS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DEL I CIRCUITO JUDICIAL DE LA ZONA ATLANTICA (FLAGRANCIA)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DEL III CIRCUITO JUDICIAL DE ALAJUELA (SAN RAMON) (MATERIA PENAL)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II CIRCUITO JUDICIAL ZONA SUR, SEDE OSA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PENAL DEL III CIRCUITO JUDICIAL DE SAN JOSE, SEDE SUROESTE (PAVAS)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TURRIALBA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JUVENIL II CIRCUITO JUDICIAL ZONA SUR (CORREDORES Y GOLFITO)</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FISCALIA ADJUNTA CARTAGO (MATERIA PENAL)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Y TRABAJO DEL II CIRCUITO JUDICIAL DE ALAJUELA, SEDE UPALA (MATERIA VIOLENCIA DOMÉSTIC</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TRABAJO, FAMILIA, PENAL JUVENIL Y VIOLENCIA DOMESTICA SARAPIQUI (MATERIA VIOLENCIA DO</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LA CRUZ (MATERIA VIOLENCIA DOMÉSTICA)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SAN RAFAEL (MATERIA VIOLENCIA DOMÉSTICA)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SANTO DOMINGO (MATERIA VIOLENCIA DOMÉSTICA)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FAMILIA Y VIOLENCIA DOMÉSTICA DE GOLFITO (MATERIA VIOLENCIA DOMÉSTICA)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FAMILIA Y VIOLENCIA DOMESTICA DEL II CIRCUITO JUDICIAL DE LA ZONA SUR (CORREDORES) (MATER</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FAMILIA Y VIOLENCIA DOMESTICA III CIRCUITO JUDICIAL ALAJUELA (SAN RAMON) (MATERIA VIOLENC</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PENSIONES Y VIOLENCIA DOMÉSTICA DE ESCAZÚ (MATERIA VIOLENCIA DOMÉSTICA)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VIOLENCIA DOMESTICA DE PUNTARENAS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BUENOS AIRES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TALAMANCA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TURRIALBA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VIOLENCIA DOMESTICA I CIRCUITO JUDICIAL DE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EJECUCION DE LA PENA DE SAN JOSE</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 xml:space="preserve">JUZGADO CIVIL DE CARTAGO </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HATILLO, SAN SEBASTIAN Y ALAJUELITA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Y TRABAJO DE CAÑAS (MATERIA CIVIL)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Y TRABAJO II CIRCUITO JUDICIAL ALAJUELA, SEDE UPALA (MATERIA AGRARIA)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TRABAJO Y FAMILIA DE BUENOS AIRES (MATERIA FAMILIA)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TRABAJO Y FAMILIA DE BUENOS AIRES (MATERIA LABORAL)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FAMILIA DEL I CIRCUITO JUDICIAL DE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FAMILIA Y VIOLENCIA DOMÉSTICA DEL II CIRCUITO JUDICIAL DE GUANACASTE (NICOYA) (MATERIA FA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FAMILIA Y VIOLENCIA DOMESTICA DEL II CIRCUITO JUDICIAL DE LA ZONA SUR (CORREDORES) (MATER</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 xml:space="preserve">SALA CONSTITUCIONAL </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TRABAJO Y FAMILIA DE BUENOS AIRES (MATERIA VIOLENCIA DOMÉSTICA)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POAS (MATERIA VIOLENCIA DOMÉSTICA)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FAMILIA, PENAL JUVENIL Y VIOLENCIA DOMESTICA DE TURRIALBA (MATERIA VIOLENCIA DOMÉSTICA)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VIOLENCIA DOMESTICA I CIRCUITO JUDICIAL ZONA SUR (PÉREZ ZELEDÓN)</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AGRARIO I CIRCUITO JUDICIAL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FISCALIA DE ASUNTOS INDIGENAS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DEL I CIRCUITO JUDICIAL DE LA ZONA ATLANTICA</w:t>
            </w:r>
          </w:p>
        </w:tc>
      </w:tr>
    </w:tbl>
    <w:p>
      <w:pPr>
        <w:pStyle w:val="Normal"/>
        <w:spacing w:lineRule="auto" w:line="360"/>
        <w:rPr>
          <w:rFonts w:ascii="Tahoma" w:hAnsi="Tahoma" w:cs="Tahoma"/>
          <w:bCs/>
          <w:sz w:val="20"/>
          <w:szCs w:val="20"/>
        </w:rPr>
      </w:pPr>
      <w:r>
        <w:rPr>
          <w:rFonts w:cs="Tahoma" w:ascii="Tahoma" w:hAnsi="Tahoma"/>
          <w:bCs/>
          <w:sz w:val="20"/>
          <w:szCs w:val="20"/>
        </w:rPr>
      </w:r>
    </w:p>
    <w:p>
      <w:pPr>
        <w:pStyle w:val="Normal"/>
        <w:spacing w:lineRule="auto" w:line="360"/>
        <w:rPr>
          <w:rFonts w:ascii="Tahoma" w:hAnsi="Tahoma" w:cs="Tahoma"/>
          <w:bCs/>
          <w:sz w:val="20"/>
          <w:szCs w:val="20"/>
        </w:rPr>
      </w:pPr>
      <w:r>
        <w:rPr>
          <w:rFonts w:cs="Tahoma" w:ascii="Tahoma" w:hAnsi="Tahoma"/>
          <w:bCs/>
          <w:sz w:val="20"/>
          <w:szCs w:val="20"/>
        </w:rPr>
        <w:t>El plazo para remitir la información solicitada vence el día de hoy.</w:t>
      </w:r>
    </w:p>
    <w:p>
      <w:pPr>
        <w:pStyle w:val="Xmsonormal"/>
        <w:jc w:val="both"/>
        <w:rPr>
          <w:rFonts w:ascii="Tahoma" w:hAnsi="Tahoma" w:cs="Tahoma"/>
          <w:sz w:val="20"/>
          <w:szCs w:val="20"/>
          <w:lang w:val="es-ES"/>
        </w:rPr>
      </w:pPr>
      <w:r>
        <w:rPr>
          <w:rFonts w:cs="Tahoma" w:ascii="Tahoma" w:hAnsi="Tahoma"/>
          <w:b/>
          <w:sz w:val="20"/>
          <w:szCs w:val="20"/>
          <w:u w:val="single"/>
        </w:rPr>
        <w:t>SE ACUERDA</w:t>
      </w:r>
      <w:r>
        <w:rPr>
          <w:rFonts w:cs="Tahoma" w:ascii="Tahoma" w:hAnsi="Tahoma"/>
          <w:bCs/>
          <w:sz w:val="20"/>
          <w:szCs w:val="20"/>
        </w:rPr>
        <w:t xml:space="preserve">: 1° Se toma nota del Oficio </w:t>
      </w:r>
      <w:r>
        <w:rPr>
          <w:rFonts w:cs="Tahoma" w:ascii="Tahoma" w:hAnsi="Tahoma"/>
          <w:b/>
          <w:sz w:val="20"/>
          <w:szCs w:val="20"/>
        </w:rPr>
        <w:t xml:space="preserve">EJ-DIR-026-2020 de </w:t>
      </w:r>
      <w:r>
        <w:rPr>
          <w:rFonts w:cs="Tahoma" w:ascii="Tahoma" w:hAnsi="Tahoma"/>
          <w:bCs/>
          <w:sz w:val="20"/>
          <w:szCs w:val="20"/>
        </w:rPr>
        <w:t xml:space="preserve">27 de febrero de 2020, remitido por la Escuela Judicial en relación con el Plan Anual de Capacitación 2020. 2° </w:t>
      </w:r>
      <w:r>
        <w:rPr>
          <w:rFonts w:cs="Tahoma" w:ascii="Tahoma" w:hAnsi="Tahoma"/>
          <w:sz w:val="20"/>
          <w:szCs w:val="20"/>
          <w:lang w:val="es-ES"/>
        </w:rPr>
        <w:t>Con respecto a la propuesta de capacitación aportada por la Subcomisión de Acceso a la Justicia de Pueblos Indígenas, conforme al cual la Escuela Judicial señala ha elaborado una propuesta metodológica para ejecutar cada capacitación e iniciará el diseño de las actividades, de acuerdo a las necesidades y complejidad de cada propuesta, y se procederá a calendarizar las mismas para iniciar su coordinación y ejecución en el año 2020, se dispone solicitar a la Escuela Judicial la calendarización a la que hace referencia. 3° En relación con lo señalado por la Escuela Judicial acerca de que, para el diseño de las actividades, la Escuela Judicial requiere la colaboración de al menos una persona especialista en la materia, por lo que se coordinará con esta Subcomisión, el aporte de dicha persona, se le informa que para tal efecto se designó oportunamente al señor Marcos Guevara Berger, Antropólogo Social de la Escuela de Antropología de la UCR; sin embargo, el señor Guevara manifestó no poder ejecutar dicha labor considerando los lineamientos de la Universidad. De igual forma, comunicarle que para ese efecto se designó un equipo de personas de la Subcomisión a cargo de la capacitación, por lo que se le solicita a la Unidad de Acceso a la Justicia convocar a la persona representante de la Escuela Judicial ante la Subcomisión y a la especialista en métodos de enseñanza que la Escuela Judicial defina, a la siguiente sesión de trabajo de dicha Comisión. 4° Reiterar a la Escuela Judicial verificar que en los contenidos de todas las capacitaciones se incluyan como mínimo, los señalados en la Circular 188-19 de Corte Plena. 5° Se toma nota del informe de la Escuela Judicial donde se señala que, en cumplimiento de lo expuesto en el eje de acción número 9, el proceso de capacitación incluirá a personas juzgadoras, técnicas y coordinadoras judiciales, defensoras públicas, fiscalas, personal administrativo,  del  Organismo  de  Investigación Judicial,   entre  otros,   y se le dará prioridad   a las personas juzgadoras y personal técnico de los despachos donde se tramite la mayor cantidad de procesos vinculados con personas indígenas. Para ello se cuenta con el listado proporcionado por la Subcomisión de Acceso a la justicia de pueblos indígenas, según reporte de SIGMA, el cual se adjunta. Asimismo, en principio, se le dará prioridad a las personas servidoras judiciales de las Jurisdicciones Penal, Agrario y Contencioso Administrativo, de todas las instancias. 5° Se declara este acuerdo firme por unanimidad. Comuníquese por medio de la Unidad de Acceso a la Justicia a la Escuela Judicial y al equipo de la Subcomisión designado para la capacitación.-</w:t>
      </w:r>
    </w:p>
    <w:p>
      <w:pPr>
        <w:pStyle w:val="Xmsonormal"/>
        <w:rPr>
          <w:rFonts w:ascii="Tahoma" w:hAnsi="Tahoma" w:cs="Tahoma"/>
          <w:b/>
          <w:b/>
          <w:sz w:val="20"/>
          <w:szCs w:val="20"/>
        </w:rPr>
      </w:pPr>
      <w:r>
        <w:rPr>
          <w:rFonts w:cs="Tahoma" w:ascii="Tahoma" w:hAnsi="Tahoma"/>
          <w:b/>
          <w:sz w:val="20"/>
          <w:szCs w:val="20"/>
        </w:rPr>
      </w:r>
    </w:p>
    <w:p>
      <w:pPr>
        <w:pStyle w:val="Xmsonormal"/>
        <w:rPr>
          <w:rFonts w:ascii="Tahoma" w:hAnsi="Tahoma" w:cs="Tahoma"/>
          <w:b/>
          <w:b/>
          <w:sz w:val="20"/>
          <w:szCs w:val="20"/>
        </w:rPr>
      </w:pPr>
      <w:r>
        <w:rPr/>
      </w:r>
    </w:p>
    <w:sectPr>
      <w:headerReference w:type="default" r:id="rId39"/>
      <w:footerReference w:type="default" r:id="rId40"/>
      <w:footnotePr>
        <w:numFmt w:val="decimal"/>
      </w:footnotePr>
      <w:type w:val="nextPage"/>
      <w:pgSz w:w="11906" w:h="16838"/>
      <w:pgMar w:left="1701" w:right="1701" w:header="720" w:top="1417" w:footer="720" w:bottom="1417" w:gutter="0"/>
      <w:pgNumType w:fmt="decimal"/>
      <w:formProt w:val="false"/>
      <w:textDirection w:val="lrTb"/>
      <w:docGrid w:type="default" w:linePitch="299"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Calibri Light">
    <w:charset w:val="00"/>
    <w:family w:val="roman"/>
    <w:pitch w:val="variable"/>
  </w:font>
  <w:font w:name="Liberation Sans">
    <w:altName w:val="Arial"/>
    <w:charset w:val="00"/>
    <w:family w:val="swiss"/>
    <w:pitch w:val="variable"/>
  </w:font>
  <w:font w:name="Arial">
    <w:charset w:val="00"/>
    <w:family w:val="roman"/>
    <w:pitch w:val="variable"/>
  </w:font>
  <w:font w:name="Verdana">
    <w:charset w:val="00"/>
    <w:family w:val="roman"/>
    <w:pitch w:val="variable"/>
  </w:font>
  <w:font w:name="Courier New">
    <w:charset w:val="01"/>
    <w:family w:val="modern"/>
    <w:pitch w:val="fixed"/>
  </w:font>
  <w:font w:name="Wingdings">
    <w:charset w:val="02"/>
    <w:family w:val="auto"/>
    <w:pitch w:val="variable"/>
  </w:font>
  <w:font w:name="Arial">
    <w:charset w:val="01"/>
    <w:family w:val="swiss"/>
    <w:pitch w:val="variable"/>
  </w:font>
  <w:font w:name="Book Antiqua">
    <w:charset w:val="01"/>
    <w:family w:val="auto"/>
    <w:pitch w:val="default"/>
  </w:font>
  <w:font w:name="Symbol">
    <w:charset w:val="02"/>
    <w:family w:val="auto"/>
    <w:pitch w:val="default"/>
  </w:font>
  <w:font w:name="Bookman Old Style">
    <w:charset w:val="00"/>
    <w:family w:val="roman"/>
    <w:pitch w:val="variable"/>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center"/>
      <w:rPr>
        <w:b/>
        <w:b/>
        <w:bCs/>
        <w:i/>
        <w:i/>
        <w:iCs/>
        <w:color w:val="000000"/>
        <w:shd w:fill="FFFFFF" w:val="clear"/>
      </w:rPr>
    </w:pPr>
    <w:r>
      <w:rPr>
        <w:b/>
        <w:bCs/>
        <w:i/>
        <w:iCs/>
        <w:color w:val="000000"/>
        <w:shd w:fill="FFFFFF" w:val="clear"/>
      </w:rPr>
    </w:r>
  </w:p>
  <w:p>
    <w:pPr>
      <w:pStyle w:val="Piedepgina"/>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Normal"/>
        <w:widowControl w:val="false"/>
        <w:spacing w:before="0" w:after="200"/>
        <w:rPr>
          <w:rFonts w:ascii="Arial" w:hAnsi="Arial" w:cs="Arial"/>
          <w:b/>
          <w:b/>
          <w:bCs/>
        </w:rPr>
      </w:pPr>
      <w:r>
        <w:rPr>
          <w:rStyle w:val="Caracteresdenotaalpie"/>
        </w:rPr>
        <w:footnoteRef/>
      </w:r>
      <w:r>
        <w:rPr>
          <w:sz w:val="18"/>
          <w:szCs w:val="18"/>
        </w:rPr>
        <w:t>Según datos del Subproceso de Formulación de Presupuesto y Portafolio de Proyectos Institucional, para el Presupuesto del Poder Judicial 2019.</w:t>
      </w:r>
    </w:p>
  </w:footnote>
  <w:footnote w:id="3">
    <w:p>
      <w:pPr>
        <w:pStyle w:val="Notaalpie"/>
        <w:widowControl w:val="false"/>
        <w:rPr>
          <w:lang w:val="es-CR"/>
        </w:rPr>
      </w:pPr>
      <w:r>
        <w:rPr>
          <w:rStyle w:val="Caracteresdenotaalpie"/>
        </w:rPr>
        <w:footnoteRef/>
      </w:r>
      <w:r>
        <w:rPr>
          <w:rFonts w:ascii="Calibri" w:hAnsi="Calibri"/>
          <w:sz w:val="18"/>
          <w:szCs w:val="18"/>
        </w:rPr>
        <w:t>Este dato es un estimado producto de la información suministrada por el Lic. Roy Garro León, Coordinador Administrativo de la Administración Regional.</w:t>
      </w:r>
    </w:p>
  </w:footnote>
  <w:footnote w:id="4">
    <w:p>
      <w:pPr>
        <w:pStyle w:val="Notaalpie"/>
        <w:rPr>
          <w:lang w:val="es-CR"/>
        </w:rPr>
      </w:pPr>
      <w:r>
        <w:rPr>
          <w:rStyle w:val="Caracteresdenotaalpie"/>
        </w:rPr>
        <w:footnoteRef/>
      </w:r>
      <w:r>
        <w:rPr/>
        <w:t xml:space="preserve"> </w:t>
      </w:r>
      <w:r>
        <w:rPr>
          <w:lang w:val="es-CR"/>
        </w:rPr>
        <w:t>Ver anexo 1.</w:t>
      </w:r>
    </w:p>
  </w:footnote>
  <w:footnote w:id="5">
    <w:p>
      <w:pPr>
        <w:pStyle w:val="Notaalpie"/>
        <w:jc w:val="both"/>
        <w:rPr>
          <w:lang w:val="es-CR"/>
        </w:rPr>
      </w:pPr>
      <w:r>
        <w:rPr>
          <w:rStyle w:val="Caracteresdenotaalpie"/>
        </w:rPr>
        <w:footnoteRef/>
      </w:r>
      <w:r>
        <w:rPr/>
        <w:t xml:space="preserve"> “</w:t>
      </w:r>
      <w:r>
        <w:rPr/>
        <w:t>Es una guía orientadora que se expresa en los objetivos, las líneas de acción y los resultados esperados sobre un tema y la atención o transformación de un problema de interés institucional y/o social; que se sustenta en los mandatos, acuerdos o compromisos nacionales e internacionales del Poder Judicial.”</w:t>
      </w:r>
    </w:p>
  </w:footnote>
  <w:footnote w:id="6">
    <w:p>
      <w:pPr>
        <w:pStyle w:val="Notaalpie"/>
        <w:rPr/>
      </w:pPr>
      <w:r>
        <w:rPr>
          <w:rStyle w:val="Caracteresdenotaalpie"/>
        </w:rPr>
        <w:footnoteRef/>
      </w:r>
      <w:r>
        <w:rPr/>
      </w:r>
    </w:p>
  </w:footnote>
  <w:footnote w:id="7">
    <w:p>
      <w:pPr>
        <w:pStyle w:val="Notaalpie"/>
        <w:jc w:val="both"/>
        <w:rPr/>
      </w:pPr>
      <w:r>
        <w:rPr>
          <w:rStyle w:val="Caracteresdenotaalpie"/>
        </w:rPr>
        <w:footnoteRef/>
      </w:r>
      <w:r>
        <w:rPr/>
        <w:t xml:space="preserve"> </w:t>
      </w:r>
      <w:r>
        <w:rPr/>
        <w:t>El acuerdo de Corte Plena 47-18, del 08 de octubre de 2018, artículo XXXII, relacionado con el seguimiento de los indicadores del Segundo Informe del Estado de la Justicia, indica: “1.) Aprobar los cambios en los indicadores relacionados con el Seguimiento al Segundo Informe del Estado de la Justicia contenidos en el informe N° 30-EV-18 de la Dirección de Planificación. 2.) La Dirección de Planificación deberá crear el objetivo “Compromisos Informe Estado de la Justicia” en el Sistema PAO y de forma semestral informará a la Corte Plena el cumplimiento o avance correspondiente de cada instancia, como parte del Informe Semestral de Cumplimiento de los PAOs. A esos efectos, dicha Dirección hará el primer seguimiento mediante consulta directa a las instancias responsables en el último trimestre de este año y a partir del 2019 se incluirá en el PAO, para verificar el avance en el sistema.”</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rPr>
        <w:i/>
        <w:i/>
        <w:sz w:val="20"/>
      </w:rPr>
    </w:pPr>
    <w:r>
      <w:rPr>
        <w:i/>
        <w:sz w:val="20"/>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rPr>
        <w:i/>
        <w:i/>
        <w:sz w:val="20"/>
      </w:rPr>
    </w:pPr>
    <w:r>
      <w:rPr>
        <w:i/>
        <w:sz w:val="20"/>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rPr>
        <w:i/>
        <w:i/>
        <w:sz w:val="20"/>
      </w:rPr>
    </w:pPr>
    <w:r>
      <w:rPr>
        <w:i/>
        <w:sz w:val="20"/>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0" w:after="0"/>
      <w:ind w:right="8" w:hanging="0"/>
      <w:jc w:val="center"/>
      <w:rPr/>
    </w:pPr>
    <w:r>
      <w:rPr>
        <w:rFonts w:eastAsia="Calibri" w:cs="Calibri"/>
        <w:b/>
        <w:i/>
      </w:rPr>
      <w:t xml:space="preserve">Subcomisión de Acceso a la Justicia de Pueblos Indígenas </w:t>
    </w:r>
  </w:p>
  <w:p>
    <w:pPr>
      <w:pStyle w:val="Normal"/>
      <w:spacing w:lineRule="auto" w:line="237" w:before="0" w:after="0"/>
      <w:ind w:left="3791" w:right="2392" w:hanging="814"/>
      <w:rPr/>
    </w:pPr>
    <w:r>
      <w:rPr>
        <w:rFonts w:eastAsia="Calibri" w:cs="Calibri"/>
        <w:b/>
        <w:i/>
      </w:rPr>
      <w:t xml:space="preserve">Comisión de Acceso a la Justicia Poder Judicial </w:t>
    </w:r>
  </w:p>
  <w:p>
    <w:pPr>
      <w:pStyle w:val="Cabecera"/>
      <w:rPr/>
    </w:pPr>
    <w:r>
      <w:rPr/>
      <w:drawing>
        <wp:anchor behindDoc="1" distT="0" distB="0" distL="0" distR="0" simplePos="0" locked="0" layoutInCell="0" allowOverlap="1" relativeHeight="59">
          <wp:simplePos x="0" y="0"/>
          <wp:positionH relativeFrom="column">
            <wp:posOffset>-6709410</wp:posOffset>
          </wp:positionH>
          <wp:positionV relativeFrom="paragraph">
            <wp:posOffset>302895</wp:posOffset>
          </wp:positionV>
          <wp:extent cx="2714625" cy="1257300"/>
          <wp:effectExtent l="0" t="0" r="0" b="0"/>
          <wp:wrapNone/>
          <wp:docPr id="21" name="Imagen12" descr="Identidad-grafica-Acceso-a-la-Justicia-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12" descr="Identidad-grafica-Acceso-a-la-Justicia-RGB"/>
                  <pic:cNvPicPr>
                    <a:picLocks noChangeAspect="1" noChangeArrowheads="1"/>
                  </pic:cNvPicPr>
                </pic:nvPicPr>
                <pic:blipFill>
                  <a:blip r:embed="rId1"/>
                  <a:stretch>
                    <a:fillRect/>
                  </a:stretch>
                </pic:blipFill>
                <pic:spPr bwMode="auto">
                  <a:xfrm>
                    <a:off x="0" y="0"/>
                    <a:ext cx="2714625" cy="125730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1080" w:hanging="360"/>
      </w:pPr>
      <w:rPr>
        <w:b/>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lowerLetter"/>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5">
    <w:lvl w:ilvl="0">
      <w:start w:val="1"/>
      <w:numFmt w:val="lowerLetter"/>
      <w:lvlText w:val="%1."/>
      <w:lvlJc w:val="left"/>
      <w:pPr>
        <w:tabs>
          <w:tab w:val="num" w:pos="0"/>
        </w:tabs>
        <w:ind w:left="720" w:hanging="360"/>
      </w:pPr>
      <w:rPr>
        <w:b/>
      </w:rPr>
    </w:lvl>
    <w:lvl w:ilvl="1">
      <w:start w:val="1"/>
      <w:numFmt w:val="lowerRoman"/>
      <w:lvlText w:val="%2."/>
      <w:lvlJc w:val="righ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lvl w:ilvl="0">
      <w:start w:val="3"/>
      <w:numFmt w:val="decimal"/>
      <w:lvlText w:val="%1."/>
      <w:lvlJc w:val="left"/>
      <w:pPr>
        <w:tabs>
          <w:tab w:val="num" w:pos="0"/>
        </w:tabs>
        <w:ind w:left="617" w:hanging="617"/>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7">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lvl w:ilvl="0">
      <w:start w:val="1"/>
      <w:numFmt w:val="lowerLetter"/>
      <w:lvlText w:val="%1."/>
      <w:lvlJc w:val="left"/>
      <w:pPr>
        <w:tabs>
          <w:tab w:val="num" w:pos="0"/>
        </w:tabs>
        <w:ind w:left="1068" w:hanging="360"/>
      </w:pPr>
    </w:lvl>
    <w:lvl w:ilvl="1">
      <w:start w:val="1"/>
      <w:numFmt w:val="bullet"/>
      <w:lvlText w:val="o"/>
      <w:lvlJc w:val="left"/>
      <w:pPr>
        <w:tabs>
          <w:tab w:val="num" w:pos="0"/>
        </w:tabs>
        <w:ind w:left="1788" w:hanging="360"/>
      </w:pPr>
      <w:rPr>
        <w:rFonts w:ascii="Courier New" w:hAnsi="Courier New" w:cs="Courier New" w:hint="default"/>
      </w:rPr>
    </w:lvl>
    <w:lvl w:ilvl="2">
      <w:start w:val="1"/>
      <w:numFmt w:val="lowerLetter"/>
      <w:lvlText w:val="%3."/>
      <w:lvlJc w:val="left"/>
      <w:pPr>
        <w:tabs>
          <w:tab w:val="num" w:pos="0"/>
        </w:tabs>
        <w:ind w:left="2508" w:hanging="360"/>
      </w:pPr>
    </w:lvl>
    <w:lvl w:ilvl="3">
      <w:start w:val="0"/>
      <w:numFmt w:val="bullet"/>
      <w:lvlText w:val="-"/>
      <w:lvlJc w:val="left"/>
      <w:pPr>
        <w:tabs>
          <w:tab w:val="num" w:pos="0"/>
        </w:tabs>
        <w:ind w:left="3228" w:hanging="360"/>
      </w:pPr>
      <w:rPr>
        <w:rFonts w:ascii="Arial" w:hAnsi="Arial" w:cs="Aria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9">
    <w:lvl w:ilvl="0">
      <w:start w:val="1"/>
      <w:numFmt w:val="lowerLetter"/>
      <w:lvlText w:val="%1."/>
      <w:lvlJc w:val="left"/>
      <w:pPr>
        <w:tabs>
          <w:tab w:val="num" w:pos="0"/>
        </w:tabs>
        <w:ind w:left="1788" w:hanging="360"/>
      </w:pPr>
    </w:lvl>
    <w:lvl w:ilvl="1">
      <w:start w:val="1"/>
      <w:numFmt w:val="lowerLetter"/>
      <w:lvlText w:val="%2."/>
      <w:lvlJc w:val="left"/>
      <w:pPr>
        <w:tabs>
          <w:tab w:val="num" w:pos="0"/>
        </w:tabs>
        <w:ind w:left="2508" w:hanging="360"/>
      </w:pPr>
    </w:lvl>
    <w:lvl w:ilvl="2">
      <w:start w:val="1"/>
      <w:numFmt w:val="lowerRoman"/>
      <w:lvlText w:val="%3."/>
      <w:lvlJc w:val="right"/>
      <w:pPr>
        <w:tabs>
          <w:tab w:val="num" w:pos="0"/>
        </w:tabs>
        <w:ind w:left="3228" w:hanging="180"/>
      </w:pPr>
    </w:lvl>
    <w:lvl w:ilvl="3">
      <w:start w:val="1"/>
      <w:numFmt w:val="decimal"/>
      <w:lvlText w:val="%4."/>
      <w:lvlJc w:val="left"/>
      <w:pPr>
        <w:tabs>
          <w:tab w:val="num" w:pos="0"/>
        </w:tabs>
        <w:ind w:left="3948" w:hanging="360"/>
      </w:pPr>
    </w:lvl>
    <w:lvl w:ilvl="4">
      <w:start w:val="1"/>
      <w:numFmt w:val="lowerLetter"/>
      <w:lvlText w:val="%5."/>
      <w:lvlJc w:val="left"/>
      <w:pPr>
        <w:tabs>
          <w:tab w:val="num" w:pos="0"/>
        </w:tabs>
        <w:ind w:left="4668" w:hanging="360"/>
      </w:pPr>
    </w:lvl>
    <w:lvl w:ilvl="5">
      <w:start w:val="1"/>
      <w:numFmt w:val="lowerRoman"/>
      <w:lvlText w:val="%6."/>
      <w:lvlJc w:val="right"/>
      <w:pPr>
        <w:tabs>
          <w:tab w:val="num" w:pos="0"/>
        </w:tabs>
        <w:ind w:left="5388" w:hanging="180"/>
      </w:pPr>
    </w:lvl>
    <w:lvl w:ilvl="6">
      <w:start w:val="1"/>
      <w:numFmt w:val="decimal"/>
      <w:lvlText w:val="%7."/>
      <w:lvlJc w:val="left"/>
      <w:pPr>
        <w:tabs>
          <w:tab w:val="num" w:pos="0"/>
        </w:tabs>
        <w:ind w:left="6108" w:hanging="360"/>
      </w:pPr>
    </w:lvl>
    <w:lvl w:ilvl="7">
      <w:start w:val="1"/>
      <w:numFmt w:val="lowerLetter"/>
      <w:lvlText w:val="%8."/>
      <w:lvlJc w:val="left"/>
      <w:pPr>
        <w:tabs>
          <w:tab w:val="num" w:pos="0"/>
        </w:tabs>
        <w:ind w:left="6828" w:hanging="360"/>
      </w:pPr>
    </w:lvl>
    <w:lvl w:ilvl="8">
      <w:start w:val="1"/>
      <w:numFmt w:val="lowerRoman"/>
      <w:lvlText w:val="%9."/>
      <w:lvlJc w:val="right"/>
      <w:pPr>
        <w:tabs>
          <w:tab w:val="num" w:pos="0"/>
        </w:tabs>
        <w:ind w:left="7548" w:hanging="180"/>
      </w:pPr>
    </w:lvl>
  </w:abstractNum>
  <w:abstractNum w:abstractNumId="10">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rPr>
        <w:b/>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1">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lvl w:ilvl="0">
      <w:start w:val="1"/>
      <w:numFmt w:val="lowerLetter"/>
      <w:lvlText w:val="%1."/>
      <w:lvlJc w:val="left"/>
      <w:pPr>
        <w:tabs>
          <w:tab w:val="num" w:pos="0"/>
        </w:tabs>
        <w:ind w:left="787" w:hanging="360"/>
      </w:pPr>
    </w:lvl>
    <w:lvl w:ilvl="1">
      <w:start w:val="1"/>
      <w:numFmt w:val="lowerLetter"/>
      <w:lvlText w:val="%2."/>
      <w:lvlJc w:val="left"/>
      <w:pPr>
        <w:tabs>
          <w:tab w:val="num" w:pos="0"/>
        </w:tabs>
        <w:ind w:left="1507" w:hanging="360"/>
      </w:pPr>
    </w:lvl>
    <w:lvl w:ilvl="2">
      <w:start w:val="1"/>
      <w:numFmt w:val="lowerRoman"/>
      <w:lvlText w:val="%3."/>
      <w:lvlJc w:val="right"/>
      <w:pPr>
        <w:tabs>
          <w:tab w:val="num" w:pos="0"/>
        </w:tabs>
        <w:ind w:left="2227" w:hanging="180"/>
      </w:pPr>
    </w:lvl>
    <w:lvl w:ilvl="3">
      <w:start w:val="1"/>
      <w:numFmt w:val="decimal"/>
      <w:lvlText w:val="%4."/>
      <w:lvlJc w:val="left"/>
      <w:pPr>
        <w:tabs>
          <w:tab w:val="num" w:pos="0"/>
        </w:tabs>
        <w:ind w:left="2947" w:hanging="360"/>
      </w:pPr>
    </w:lvl>
    <w:lvl w:ilvl="4">
      <w:start w:val="1"/>
      <w:numFmt w:val="lowerLetter"/>
      <w:lvlText w:val="%5."/>
      <w:lvlJc w:val="left"/>
      <w:pPr>
        <w:tabs>
          <w:tab w:val="num" w:pos="0"/>
        </w:tabs>
        <w:ind w:left="3667" w:hanging="360"/>
      </w:pPr>
    </w:lvl>
    <w:lvl w:ilvl="5">
      <w:start w:val="1"/>
      <w:numFmt w:val="lowerRoman"/>
      <w:lvlText w:val="%6."/>
      <w:lvlJc w:val="right"/>
      <w:pPr>
        <w:tabs>
          <w:tab w:val="num" w:pos="0"/>
        </w:tabs>
        <w:ind w:left="4387" w:hanging="180"/>
      </w:pPr>
    </w:lvl>
    <w:lvl w:ilvl="6">
      <w:start w:val="1"/>
      <w:numFmt w:val="decimal"/>
      <w:lvlText w:val="%7."/>
      <w:lvlJc w:val="left"/>
      <w:pPr>
        <w:tabs>
          <w:tab w:val="num" w:pos="0"/>
        </w:tabs>
        <w:ind w:left="5107" w:hanging="360"/>
      </w:pPr>
    </w:lvl>
    <w:lvl w:ilvl="7">
      <w:start w:val="1"/>
      <w:numFmt w:val="lowerLetter"/>
      <w:lvlText w:val="%8."/>
      <w:lvlJc w:val="left"/>
      <w:pPr>
        <w:tabs>
          <w:tab w:val="num" w:pos="0"/>
        </w:tabs>
        <w:ind w:left="5827" w:hanging="360"/>
      </w:pPr>
    </w:lvl>
    <w:lvl w:ilvl="8">
      <w:start w:val="1"/>
      <w:numFmt w:val="lowerRoman"/>
      <w:lvlText w:val="%9."/>
      <w:lvlJc w:val="right"/>
      <w:pPr>
        <w:tabs>
          <w:tab w:val="num" w:pos="0"/>
        </w:tabs>
        <w:ind w:left="6547" w:hanging="180"/>
      </w:pPr>
    </w:lvl>
  </w:abstractNum>
  <w:abstractNum w:abstractNumId="13">
    <w:lvl w:ilvl="0">
      <w:start w:val="1"/>
      <w:numFmt w:val="lowerLetter"/>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3."/>
      <w:lvlJc w:val="right"/>
      <w:pPr>
        <w:tabs>
          <w:tab w:val="num" w:pos="0"/>
        </w:tabs>
        <w:ind w:left="2868" w:hanging="180"/>
      </w:pPr>
    </w:lvl>
    <w:lvl w:ilvl="3">
      <w:start w:val="1"/>
      <w:numFmt w:val="lowerLetter"/>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14">
    <w:lvl w:ilvl="0">
      <w:start w:val="1"/>
      <w:numFmt w:val="low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lvl w:ilvl="0">
      <w:start w:val="1"/>
      <w:numFmt w:val="lowerRoman"/>
      <w:lvlText w:val="%1."/>
      <w:lvlJc w:val="left"/>
      <w:pPr>
        <w:tabs>
          <w:tab w:val="num" w:pos="0"/>
        </w:tabs>
        <w:ind w:left="1080" w:hanging="720"/>
      </w:pPr>
    </w:lvl>
    <w:lvl w:ilvl="1">
      <w:start w:val="7"/>
      <w:numFmt w:val="upperRoman"/>
      <w:lvlText w:val="%2."/>
      <w:lvlJc w:val="left"/>
      <w:pPr>
        <w:tabs>
          <w:tab w:val="num" w:pos="0"/>
        </w:tabs>
        <w:ind w:left="1800" w:hanging="72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0"/>
      <w:numFmt w:val="bullet"/>
      <w:lvlText w:val="•"/>
      <w:lvlJc w:val="left"/>
      <w:pPr>
        <w:tabs>
          <w:tab w:val="num" w:pos="0"/>
        </w:tabs>
        <w:ind w:left="3948" w:hanging="708"/>
      </w:pPr>
      <w:rPr>
        <w:rFonts w:ascii="Book Antiqua" w:hAnsi="Book Antiqua" w:cs="Book Antiqua" w:hint="default"/>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7">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9">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1">
    <w:lvl w:ilvl="0">
      <w:start w:val="1"/>
      <w:numFmt w:val="lowerLetter"/>
      <w:lvlText w:val="%1."/>
      <w:lvlJc w:val="left"/>
      <w:pPr>
        <w:tabs>
          <w:tab w:val="num" w:pos="0"/>
        </w:tabs>
        <w:ind w:left="1440" w:hanging="360"/>
      </w:p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2">
    <w:lvl w:ilvl="0">
      <w:start w:val="1"/>
      <w:numFmt w:val="lowerLetter"/>
      <w:lvlText w:val="%1."/>
      <w:lvlJc w:val="left"/>
      <w:pPr>
        <w:tabs>
          <w:tab w:val="num" w:pos="0"/>
        </w:tabs>
        <w:ind w:left="969" w:hanging="564"/>
      </w:pPr>
      <w:rPr>
        <w:sz w:val="24"/>
        <w:spacing w:val="-1"/>
        <w:i/>
        <w:b/>
        <w:szCs w:val="24"/>
        <w:bCs/>
        <w:w w:val="114"/>
        <w:rFonts w:ascii="Times New Roman" w:hAnsi="Times New Roman" w:eastAsia="Times New Roman" w:cs="Times New Roman"/>
        <w:lang w:val="es-ES" w:eastAsia="es-ES" w:bidi="es-ES"/>
      </w:rPr>
    </w:lvl>
    <w:lvl w:ilvl="1">
      <w:start w:val="0"/>
      <w:numFmt w:val="bullet"/>
      <w:lvlText w:val=""/>
      <w:lvlJc w:val="left"/>
      <w:pPr>
        <w:tabs>
          <w:tab w:val="num" w:pos="0"/>
        </w:tabs>
        <w:ind w:left="1806" w:hanging="564"/>
      </w:pPr>
      <w:rPr>
        <w:rFonts w:ascii="Symbol" w:hAnsi="Symbol" w:cs="Symbol" w:hint="default"/>
      </w:rPr>
    </w:lvl>
    <w:lvl w:ilvl="2">
      <w:start w:val="0"/>
      <w:numFmt w:val="bullet"/>
      <w:lvlText w:val=""/>
      <w:lvlJc w:val="left"/>
      <w:pPr>
        <w:tabs>
          <w:tab w:val="num" w:pos="0"/>
        </w:tabs>
        <w:ind w:left="2652" w:hanging="564"/>
      </w:pPr>
      <w:rPr>
        <w:rFonts w:ascii="Symbol" w:hAnsi="Symbol" w:cs="Symbol" w:hint="default"/>
      </w:rPr>
    </w:lvl>
    <w:lvl w:ilvl="3">
      <w:start w:val="0"/>
      <w:numFmt w:val="bullet"/>
      <w:lvlText w:val=""/>
      <w:lvlJc w:val="left"/>
      <w:pPr>
        <w:tabs>
          <w:tab w:val="num" w:pos="0"/>
        </w:tabs>
        <w:ind w:left="3498" w:hanging="564"/>
      </w:pPr>
      <w:rPr>
        <w:rFonts w:ascii="Symbol" w:hAnsi="Symbol" w:cs="Symbol" w:hint="default"/>
      </w:rPr>
    </w:lvl>
    <w:lvl w:ilvl="4">
      <w:start w:val="0"/>
      <w:numFmt w:val="bullet"/>
      <w:lvlText w:val=""/>
      <w:lvlJc w:val="left"/>
      <w:pPr>
        <w:tabs>
          <w:tab w:val="num" w:pos="0"/>
        </w:tabs>
        <w:ind w:left="4344" w:hanging="564"/>
      </w:pPr>
      <w:rPr>
        <w:rFonts w:ascii="Symbol" w:hAnsi="Symbol" w:cs="Symbol" w:hint="default"/>
      </w:rPr>
    </w:lvl>
    <w:lvl w:ilvl="5">
      <w:start w:val="0"/>
      <w:numFmt w:val="bullet"/>
      <w:lvlText w:val=""/>
      <w:lvlJc w:val="left"/>
      <w:pPr>
        <w:tabs>
          <w:tab w:val="num" w:pos="0"/>
        </w:tabs>
        <w:ind w:left="5190" w:hanging="564"/>
      </w:pPr>
      <w:rPr>
        <w:rFonts w:ascii="Symbol" w:hAnsi="Symbol" w:cs="Symbol" w:hint="default"/>
      </w:rPr>
    </w:lvl>
    <w:lvl w:ilvl="6">
      <w:start w:val="0"/>
      <w:numFmt w:val="bullet"/>
      <w:lvlText w:val=""/>
      <w:lvlJc w:val="left"/>
      <w:pPr>
        <w:tabs>
          <w:tab w:val="num" w:pos="0"/>
        </w:tabs>
        <w:ind w:left="6036" w:hanging="564"/>
      </w:pPr>
      <w:rPr>
        <w:rFonts w:ascii="Symbol" w:hAnsi="Symbol" w:cs="Symbol" w:hint="default"/>
      </w:rPr>
    </w:lvl>
    <w:lvl w:ilvl="7">
      <w:start w:val="0"/>
      <w:numFmt w:val="bullet"/>
      <w:lvlText w:val=""/>
      <w:lvlJc w:val="left"/>
      <w:pPr>
        <w:tabs>
          <w:tab w:val="num" w:pos="0"/>
        </w:tabs>
        <w:ind w:left="6882" w:hanging="564"/>
      </w:pPr>
      <w:rPr>
        <w:rFonts w:ascii="Symbol" w:hAnsi="Symbol" w:cs="Symbol" w:hint="default"/>
      </w:rPr>
    </w:lvl>
    <w:lvl w:ilvl="8">
      <w:start w:val="0"/>
      <w:numFmt w:val="bullet"/>
      <w:lvlText w:val=""/>
      <w:lvlJc w:val="left"/>
      <w:pPr>
        <w:tabs>
          <w:tab w:val="num" w:pos="0"/>
        </w:tabs>
        <w:ind w:left="7728" w:hanging="564"/>
      </w:pPr>
      <w:rPr>
        <w:rFonts w:ascii="Symbol" w:hAnsi="Symbol" w:cs="Symbol" w:hint="default"/>
      </w:rPr>
    </w:lvl>
  </w:abstractNum>
  <w:abstractNum w:abstractNumId="23">
    <w:lvl w:ilvl="0">
      <w:start w:val="1"/>
      <w:numFmt w:val="decimal"/>
      <w:lvlText w:val="%1."/>
      <w:lvlJc w:val="left"/>
      <w:pPr>
        <w:tabs>
          <w:tab w:val="num" w:pos="0"/>
        </w:tabs>
        <w:ind w:left="969" w:hanging="245"/>
      </w:pPr>
      <w:rPr>
        <w:sz w:val="24"/>
        <w:i/>
        <w:b/>
        <w:szCs w:val="24"/>
        <w:bCs/>
        <w:w w:val="100"/>
        <w:rFonts w:ascii="Times New Roman" w:hAnsi="Times New Roman" w:eastAsia="Times New Roman" w:cs="Times New Roman"/>
        <w:lang w:val="es-ES" w:eastAsia="es-ES" w:bidi="es-ES"/>
      </w:rPr>
    </w:lvl>
    <w:lvl w:ilvl="1">
      <w:start w:val="0"/>
      <w:numFmt w:val="bullet"/>
      <w:lvlText w:val=""/>
      <w:lvlJc w:val="left"/>
      <w:pPr>
        <w:tabs>
          <w:tab w:val="num" w:pos="0"/>
        </w:tabs>
        <w:ind w:left="1806" w:hanging="245"/>
      </w:pPr>
      <w:rPr>
        <w:rFonts w:ascii="Symbol" w:hAnsi="Symbol" w:cs="Symbol" w:hint="default"/>
      </w:rPr>
    </w:lvl>
    <w:lvl w:ilvl="2">
      <w:start w:val="0"/>
      <w:numFmt w:val="bullet"/>
      <w:lvlText w:val=""/>
      <w:lvlJc w:val="left"/>
      <w:pPr>
        <w:tabs>
          <w:tab w:val="num" w:pos="0"/>
        </w:tabs>
        <w:ind w:left="2652" w:hanging="245"/>
      </w:pPr>
      <w:rPr>
        <w:rFonts w:ascii="Symbol" w:hAnsi="Symbol" w:cs="Symbol" w:hint="default"/>
      </w:rPr>
    </w:lvl>
    <w:lvl w:ilvl="3">
      <w:start w:val="0"/>
      <w:numFmt w:val="bullet"/>
      <w:lvlText w:val=""/>
      <w:lvlJc w:val="left"/>
      <w:pPr>
        <w:tabs>
          <w:tab w:val="num" w:pos="0"/>
        </w:tabs>
        <w:ind w:left="3498" w:hanging="245"/>
      </w:pPr>
      <w:rPr>
        <w:rFonts w:ascii="Symbol" w:hAnsi="Symbol" w:cs="Symbol" w:hint="default"/>
      </w:rPr>
    </w:lvl>
    <w:lvl w:ilvl="4">
      <w:start w:val="0"/>
      <w:numFmt w:val="bullet"/>
      <w:lvlText w:val=""/>
      <w:lvlJc w:val="left"/>
      <w:pPr>
        <w:tabs>
          <w:tab w:val="num" w:pos="0"/>
        </w:tabs>
        <w:ind w:left="4344" w:hanging="245"/>
      </w:pPr>
      <w:rPr>
        <w:rFonts w:ascii="Symbol" w:hAnsi="Symbol" w:cs="Symbol" w:hint="default"/>
      </w:rPr>
    </w:lvl>
    <w:lvl w:ilvl="5">
      <w:start w:val="0"/>
      <w:numFmt w:val="bullet"/>
      <w:lvlText w:val=""/>
      <w:lvlJc w:val="left"/>
      <w:pPr>
        <w:tabs>
          <w:tab w:val="num" w:pos="0"/>
        </w:tabs>
        <w:ind w:left="5190" w:hanging="245"/>
      </w:pPr>
      <w:rPr>
        <w:rFonts w:ascii="Symbol" w:hAnsi="Symbol" w:cs="Symbol" w:hint="default"/>
      </w:rPr>
    </w:lvl>
    <w:lvl w:ilvl="6">
      <w:start w:val="0"/>
      <w:numFmt w:val="bullet"/>
      <w:lvlText w:val=""/>
      <w:lvlJc w:val="left"/>
      <w:pPr>
        <w:tabs>
          <w:tab w:val="num" w:pos="0"/>
        </w:tabs>
        <w:ind w:left="6036" w:hanging="245"/>
      </w:pPr>
      <w:rPr>
        <w:rFonts w:ascii="Symbol" w:hAnsi="Symbol" w:cs="Symbol" w:hint="default"/>
      </w:rPr>
    </w:lvl>
    <w:lvl w:ilvl="7">
      <w:start w:val="0"/>
      <w:numFmt w:val="bullet"/>
      <w:lvlText w:val=""/>
      <w:lvlJc w:val="left"/>
      <w:pPr>
        <w:tabs>
          <w:tab w:val="num" w:pos="0"/>
        </w:tabs>
        <w:ind w:left="6882" w:hanging="245"/>
      </w:pPr>
      <w:rPr>
        <w:rFonts w:ascii="Symbol" w:hAnsi="Symbol" w:cs="Symbol" w:hint="default"/>
      </w:rPr>
    </w:lvl>
    <w:lvl w:ilvl="8">
      <w:start w:val="0"/>
      <w:numFmt w:val="bullet"/>
      <w:lvlText w:val=""/>
      <w:lvlJc w:val="left"/>
      <w:pPr>
        <w:tabs>
          <w:tab w:val="num" w:pos="0"/>
        </w:tabs>
        <w:ind w:left="7728" w:hanging="245"/>
      </w:pPr>
      <w:rPr>
        <w:rFonts w:ascii="Symbol" w:hAnsi="Symbol" w:cs="Symbol" w:hint="default"/>
      </w:rPr>
    </w:lvl>
  </w:abstractNum>
  <w:abstractNum w:abstractNumId="24">
    <w:lvl w:ilvl="0">
      <w:start w:val="1"/>
      <w:numFmt w:val="lowerLetter"/>
      <w:lvlText w:val="%1."/>
      <w:lvlJc w:val="left"/>
      <w:pPr>
        <w:tabs>
          <w:tab w:val="num" w:pos="0"/>
        </w:tabs>
        <w:ind w:left="1637" w:hanging="360"/>
      </w:pPr>
      <w:rPr>
        <w:sz w:val="24"/>
        <w:spacing w:val="-1"/>
        <w:b/>
        <w:szCs w:val="24"/>
        <w:bCs w:val="false"/>
        <w:w w:val="116"/>
        <w:rFonts w:ascii="Bookman Old Style" w:hAnsi="Bookman Old Style" w:eastAsia="Calibri" w:cs="Times New Roman"/>
        <w:lang w:val="es-ES" w:eastAsia="es-CR" w:bidi="es-CR"/>
      </w:rPr>
    </w:lvl>
    <w:lvl w:ilvl="1">
      <w:start w:val="1"/>
      <w:numFmt w:val="bullet"/>
      <w:lvlText w:val=""/>
      <w:lvlJc w:val="left"/>
      <w:pPr>
        <w:tabs>
          <w:tab w:val="num" w:pos="0"/>
        </w:tabs>
        <w:ind w:left="2399" w:hanging="360"/>
      </w:pPr>
      <w:rPr>
        <w:rFonts w:ascii="Symbol" w:hAnsi="Symbol" w:cs="Symbol" w:hint="default"/>
      </w:rPr>
    </w:lvl>
    <w:lvl w:ilvl="2">
      <w:start w:val="1"/>
      <w:numFmt w:val="bullet"/>
      <w:lvlText w:val=""/>
      <w:lvlJc w:val="left"/>
      <w:pPr>
        <w:tabs>
          <w:tab w:val="num" w:pos="0"/>
        </w:tabs>
        <w:ind w:left="3163" w:hanging="360"/>
      </w:pPr>
      <w:rPr>
        <w:rFonts w:ascii="Symbol" w:hAnsi="Symbol" w:cs="Symbol" w:hint="default"/>
      </w:rPr>
    </w:lvl>
    <w:lvl w:ilvl="3">
      <w:start w:val="1"/>
      <w:numFmt w:val="bullet"/>
      <w:lvlText w:val=""/>
      <w:lvlJc w:val="left"/>
      <w:pPr>
        <w:tabs>
          <w:tab w:val="num" w:pos="0"/>
        </w:tabs>
        <w:ind w:left="3927" w:hanging="360"/>
      </w:pPr>
      <w:rPr>
        <w:rFonts w:ascii="Symbol" w:hAnsi="Symbol" w:cs="Symbol" w:hint="default"/>
      </w:rPr>
    </w:lvl>
    <w:lvl w:ilvl="4">
      <w:start w:val="1"/>
      <w:numFmt w:val="bullet"/>
      <w:lvlText w:val=""/>
      <w:lvlJc w:val="left"/>
      <w:pPr>
        <w:tabs>
          <w:tab w:val="num" w:pos="0"/>
        </w:tabs>
        <w:ind w:left="4691" w:hanging="360"/>
      </w:pPr>
      <w:rPr>
        <w:rFonts w:ascii="Symbol" w:hAnsi="Symbol" w:cs="Symbol" w:hint="default"/>
      </w:rPr>
    </w:lvl>
    <w:lvl w:ilvl="5">
      <w:start w:val="1"/>
      <w:numFmt w:val="bullet"/>
      <w:lvlText w:val=""/>
      <w:lvlJc w:val="left"/>
      <w:pPr>
        <w:tabs>
          <w:tab w:val="num" w:pos="0"/>
        </w:tabs>
        <w:ind w:left="5455" w:hanging="360"/>
      </w:pPr>
      <w:rPr>
        <w:rFonts w:ascii="Symbol" w:hAnsi="Symbol" w:cs="Symbol" w:hint="default"/>
      </w:rPr>
    </w:lvl>
    <w:lvl w:ilvl="6">
      <w:start w:val="1"/>
      <w:numFmt w:val="bullet"/>
      <w:lvlText w:val=""/>
      <w:lvlJc w:val="left"/>
      <w:pPr>
        <w:tabs>
          <w:tab w:val="num" w:pos="0"/>
        </w:tabs>
        <w:ind w:left="6219" w:hanging="360"/>
      </w:pPr>
      <w:rPr>
        <w:rFonts w:ascii="Symbol" w:hAnsi="Symbol" w:cs="Symbol" w:hint="default"/>
      </w:rPr>
    </w:lvl>
    <w:lvl w:ilvl="7">
      <w:start w:val="1"/>
      <w:numFmt w:val="bullet"/>
      <w:lvlText w:val=""/>
      <w:lvlJc w:val="left"/>
      <w:pPr>
        <w:tabs>
          <w:tab w:val="num" w:pos="0"/>
        </w:tabs>
        <w:ind w:left="6983" w:hanging="360"/>
      </w:pPr>
      <w:rPr>
        <w:rFonts w:ascii="Symbol" w:hAnsi="Symbol" w:cs="Symbol" w:hint="default"/>
      </w:rPr>
    </w:lvl>
    <w:lvl w:ilvl="8">
      <w:start w:val="1"/>
      <w:numFmt w:val="bullet"/>
      <w:lvlText w:val=""/>
      <w:lvlJc w:val="left"/>
      <w:pPr>
        <w:tabs>
          <w:tab w:val="num" w:pos="0"/>
        </w:tabs>
        <w:ind w:left="7747" w:hanging="360"/>
      </w:pPr>
      <w:rPr>
        <w:rFonts w:ascii="Symbol" w:hAnsi="Symbol" w:cs="Symbol" w:hint="default"/>
      </w:rPr>
    </w:lvl>
  </w:abstractNum>
  <w:abstractNum w:abstractNumId="2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9">
    <w:lvl w:ilvl="0">
      <w:start w:val="1"/>
      <w:numFmt w:val="lowerLetter"/>
      <w:lvlText w:val="%1."/>
      <w:lvlJc w:val="left"/>
      <w:pPr>
        <w:tabs>
          <w:tab w:val="num" w:pos="0"/>
        </w:tabs>
        <w:ind w:left="1637" w:hanging="360"/>
      </w:pPr>
      <w:rPr>
        <w:sz w:val="24"/>
        <w:spacing w:val="-1"/>
        <w:b/>
        <w:szCs w:val="24"/>
        <w:bCs w:val="false"/>
        <w:w w:val="116"/>
        <w:rFonts w:ascii="Bookman Old Style" w:hAnsi="Bookman Old Style" w:eastAsia="Calibri" w:cs="Times New Roman"/>
        <w:lang w:val="es-ES" w:eastAsia="es-CR" w:bidi="es-CR"/>
      </w:rPr>
    </w:lvl>
    <w:lvl w:ilvl="1">
      <w:start w:val="1"/>
      <w:numFmt w:val="bullet"/>
      <w:lvlText w:val=""/>
      <w:lvlJc w:val="left"/>
      <w:pPr>
        <w:tabs>
          <w:tab w:val="num" w:pos="0"/>
        </w:tabs>
        <w:ind w:left="2399" w:hanging="360"/>
      </w:pPr>
      <w:rPr>
        <w:rFonts w:ascii="Symbol" w:hAnsi="Symbol" w:cs="Symbol" w:hint="default"/>
      </w:rPr>
    </w:lvl>
    <w:lvl w:ilvl="2">
      <w:start w:val="1"/>
      <w:numFmt w:val="bullet"/>
      <w:lvlText w:val=""/>
      <w:lvlJc w:val="left"/>
      <w:pPr>
        <w:tabs>
          <w:tab w:val="num" w:pos="0"/>
        </w:tabs>
        <w:ind w:left="3163" w:hanging="360"/>
      </w:pPr>
      <w:rPr>
        <w:rFonts w:ascii="Symbol" w:hAnsi="Symbol" w:cs="Symbol" w:hint="default"/>
      </w:rPr>
    </w:lvl>
    <w:lvl w:ilvl="3">
      <w:start w:val="1"/>
      <w:numFmt w:val="bullet"/>
      <w:lvlText w:val=""/>
      <w:lvlJc w:val="left"/>
      <w:pPr>
        <w:tabs>
          <w:tab w:val="num" w:pos="0"/>
        </w:tabs>
        <w:ind w:left="3927" w:hanging="360"/>
      </w:pPr>
      <w:rPr>
        <w:rFonts w:ascii="Symbol" w:hAnsi="Symbol" w:cs="Symbol" w:hint="default"/>
      </w:rPr>
    </w:lvl>
    <w:lvl w:ilvl="4">
      <w:start w:val="1"/>
      <w:numFmt w:val="bullet"/>
      <w:lvlText w:val=""/>
      <w:lvlJc w:val="left"/>
      <w:pPr>
        <w:tabs>
          <w:tab w:val="num" w:pos="0"/>
        </w:tabs>
        <w:ind w:left="4691" w:hanging="360"/>
      </w:pPr>
      <w:rPr>
        <w:rFonts w:ascii="Symbol" w:hAnsi="Symbol" w:cs="Symbol" w:hint="default"/>
      </w:rPr>
    </w:lvl>
    <w:lvl w:ilvl="5">
      <w:start w:val="1"/>
      <w:numFmt w:val="bullet"/>
      <w:lvlText w:val=""/>
      <w:lvlJc w:val="left"/>
      <w:pPr>
        <w:tabs>
          <w:tab w:val="num" w:pos="0"/>
        </w:tabs>
        <w:ind w:left="5455" w:hanging="360"/>
      </w:pPr>
      <w:rPr>
        <w:rFonts w:ascii="Symbol" w:hAnsi="Symbol" w:cs="Symbol" w:hint="default"/>
      </w:rPr>
    </w:lvl>
    <w:lvl w:ilvl="6">
      <w:start w:val="1"/>
      <w:numFmt w:val="bullet"/>
      <w:lvlText w:val=""/>
      <w:lvlJc w:val="left"/>
      <w:pPr>
        <w:tabs>
          <w:tab w:val="num" w:pos="0"/>
        </w:tabs>
        <w:ind w:left="6219" w:hanging="360"/>
      </w:pPr>
      <w:rPr>
        <w:rFonts w:ascii="Symbol" w:hAnsi="Symbol" w:cs="Symbol" w:hint="default"/>
      </w:rPr>
    </w:lvl>
    <w:lvl w:ilvl="7">
      <w:start w:val="1"/>
      <w:numFmt w:val="bullet"/>
      <w:lvlText w:val=""/>
      <w:lvlJc w:val="left"/>
      <w:pPr>
        <w:tabs>
          <w:tab w:val="num" w:pos="0"/>
        </w:tabs>
        <w:ind w:left="6983" w:hanging="360"/>
      </w:pPr>
      <w:rPr>
        <w:rFonts w:ascii="Symbol" w:hAnsi="Symbol" w:cs="Symbol" w:hint="default"/>
      </w:rPr>
    </w:lvl>
    <w:lvl w:ilvl="8">
      <w:start w:val="1"/>
      <w:numFmt w:val="bullet"/>
      <w:lvlText w:val=""/>
      <w:lvlJc w:val="left"/>
      <w:pPr>
        <w:tabs>
          <w:tab w:val="num" w:pos="0"/>
        </w:tabs>
        <w:ind w:left="7747" w:hanging="360"/>
      </w:pPr>
      <w:rPr>
        <w:rFonts w:ascii="Symbol" w:hAnsi="Symbol" w:cs="Symbol" w:hint="default"/>
      </w:rPr>
    </w:lvl>
  </w:abstractNum>
  <w:abstractNum w:abstractNumId="30">
    <w:lvl w:ilvl="0">
      <w:start w:val="1"/>
      <w:numFmt w:val="decimal"/>
      <w:lvlText w:val="%1."/>
      <w:lvlJc w:val="left"/>
      <w:pPr>
        <w:tabs>
          <w:tab w:val="num" w:pos="0"/>
        </w:tabs>
        <w:ind w:left="387" w:hanging="245"/>
      </w:pPr>
      <w:rPr>
        <w:sz w:val="24"/>
        <w:i/>
        <w:b/>
        <w:szCs w:val="24"/>
        <w:bCs/>
        <w:w w:val="100"/>
        <w:rFonts w:ascii="Times New Roman" w:hAnsi="Times New Roman" w:eastAsia="Times New Roman" w:cs="Times New Roman"/>
        <w:lang w:val="es-ES" w:eastAsia="es-ES" w:bidi="es-ES"/>
      </w:rPr>
    </w:lvl>
    <w:lvl w:ilvl="1">
      <w:start w:val="0"/>
      <w:numFmt w:val="bullet"/>
      <w:lvlText w:val=""/>
      <w:lvlJc w:val="left"/>
      <w:pPr>
        <w:tabs>
          <w:tab w:val="num" w:pos="0"/>
        </w:tabs>
        <w:ind w:left="1806" w:hanging="245"/>
      </w:pPr>
      <w:rPr>
        <w:rFonts w:ascii="Symbol" w:hAnsi="Symbol" w:cs="Symbol" w:hint="default"/>
      </w:rPr>
    </w:lvl>
    <w:lvl w:ilvl="2">
      <w:start w:val="0"/>
      <w:numFmt w:val="bullet"/>
      <w:lvlText w:val=""/>
      <w:lvlJc w:val="left"/>
      <w:pPr>
        <w:tabs>
          <w:tab w:val="num" w:pos="0"/>
        </w:tabs>
        <w:ind w:left="2652" w:hanging="245"/>
      </w:pPr>
      <w:rPr>
        <w:rFonts w:ascii="Symbol" w:hAnsi="Symbol" w:cs="Symbol" w:hint="default"/>
      </w:rPr>
    </w:lvl>
    <w:lvl w:ilvl="3">
      <w:start w:val="0"/>
      <w:numFmt w:val="bullet"/>
      <w:lvlText w:val=""/>
      <w:lvlJc w:val="left"/>
      <w:pPr>
        <w:tabs>
          <w:tab w:val="num" w:pos="0"/>
        </w:tabs>
        <w:ind w:left="3498" w:hanging="245"/>
      </w:pPr>
      <w:rPr>
        <w:rFonts w:ascii="Symbol" w:hAnsi="Symbol" w:cs="Symbol" w:hint="default"/>
      </w:rPr>
    </w:lvl>
    <w:lvl w:ilvl="4">
      <w:start w:val="0"/>
      <w:numFmt w:val="bullet"/>
      <w:lvlText w:val=""/>
      <w:lvlJc w:val="left"/>
      <w:pPr>
        <w:tabs>
          <w:tab w:val="num" w:pos="0"/>
        </w:tabs>
        <w:ind w:left="4344" w:hanging="245"/>
      </w:pPr>
      <w:rPr>
        <w:rFonts w:ascii="Symbol" w:hAnsi="Symbol" w:cs="Symbol" w:hint="default"/>
      </w:rPr>
    </w:lvl>
    <w:lvl w:ilvl="5">
      <w:start w:val="0"/>
      <w:numFmt w:val="bullet"/>
      <w:lvlText w:val=""/>
      <w:lvlJc w:val="left"/>
      <w:pPr>
        <w:tabs>
          <w:tab w:val="num" w:pos="0"/>
        </w:tabs>
        <w:ind w:left="5190" w:hanging="245"/>
      </w:pPr>
      <w:rPr>
        <w:rFonts w:ascii="Symbol" w:hAnsi="Symbol" w:cs="Symbol" w:hint="default"/>
      </w:rPr>
    </w:lvl>
    <w:lvl w:ilvl="6">
      <w:start w:val="0"/>
      <w:numFmt w:val="bullet"/>
      <w:lvlText w:val=""/>
      <w:lvlJc w:val="left"/>
      <w:pPr>
        <w:tabs>
          <w:tab w:val="num" w:pos="0"/>
        </w:tabs>
        <w:ind w:left="6036" w:hanging="245"/>
      </w:pPr>
      <w:rPr>
        <w:rFonts w:ascii="Symbol" w:hAnsi="Symbol" w:cs="Symbol" w:hint="default"/>
      </w:rPr>
    </w:lvl>
    <w:lvl w:ilvl="7">
      <w:start w:val="0"/>
      <w:numFmt w:val="bullet"/>
      <w:lvlText w:val=""/>
      <w:lvlJc w:val="left"/>
      <w:pPr>
        <w:tabs>
          <w:tab w:val="num" w:pos="0"/>
        </w:tabs>
        <w:ind w:left="6882" w:hanging="245"/>
      </w:pPr>
      <w:rPr>
        <w:rFonts w:ascii="Symbol" w:hAnsi="Symbol" w:cs="Symbol" w:hint="default"/>
      </w:rPr>
    </w:lvl>
    <w:lvl w:ilvl="8">
      <w:start w:val="0"/>
      <w:numFmt w:val="bullet"/>
      <w:lvlText w:val=""/>
      <w:lvlJc w:val="left"/>
      <w:pPr>
        <w:tabs>
          <w:tab w:val="num" w:pos="0"/>
        </w:tabs>
        <w:ind w:left="7728" w:hanging="245"/>
      </w:pPr>
      <w:rPr>
        <w:rFonts w:ascii="Symbol" w:hAnsi="Symbol" w:cs="Symbol" w:hint="default"/>
      </w:rPr>
    </w:lvl>
  </w:abstractNum>
  <w:abstractNum w:abstractNumId="31">
    <w:lvl w:ilvl="0">
      <w:start w:val="1"/>
      <w:numFmt w:val="decimal"/>
      <w:lvlText w:val="%1."/>
      <w:lvlJc w:val="left"/>
      <w:pPr>
        <w:tabs>
          <w:tab w:val="num" w:pos="0"/>
        </w:tabs>
        <w:ind w:left="387" w:hanging="245"/>
      </w:pPr>
      <w:rPr>
        <w:sz w:val="24"/>
        <w:i/>
        <w:b/>
        <w:szCs w:val="24"/>
        <w:bCs/>
        <w:w w:val="100"/>
        <w:rFonts w:ascii="Times New Roman" w:hAnsi="Times New Roman" w:eastAsia="Times New Roman" w:cs="Times New Roman"/>
        <w:lang w:val="es-ES" w:eastAsia="es-ES" w:bidi="es-ES"/>
      </w:rPr>
    </w:lvl>
    <w:lvl w:ilvl="1">
      <w:start w:val="0"/>
      <w:numFmt w:val="bullet"/>
      <w:lvlText w:val=""/>
      <w:lvlJc w:val="left"/>
      <w:pPr>
        <w:tabs>
          <w:tab w:val="num" w:pos="0"/>
        </w:tabs>
        <w:ind w:left="1806" w:hanging="245"/>
      </w:pPr>
      <w:rPr>
        <w:rFonts w:ascii="Symbol" w:hAnsi="Symbol" w:cs="Symbol" w:hint="default"/>
      </w:rPr>
    </w:lvl>
    <w:lvl w:ilvl="2">
      <w:start w:val="0"/>
      <w:numFmt w:val="bullet"/>
      <w:lvlText w:val=""/>
      <w:lvlJc w:val="left"/>
      <w:pPr>
        <w:tabs>
          <w:tab w:val="num" w:pos="0"/>
        </w:tabs>
        <w:ind w:left="2652" w:hanging="245"/>
      </w:pPr>
      <w:rPr>
        <w:rFonts w:ascii="Symbol" w:hAnsi="Symbol" w:cs="Symbol" w:hint="default"/>
      </w:rPr>
    </w:lvl>
    <w:lvl w:ilvl="3">
      <w:start w:val="0"/>
      <w:numFmt w:val="bullet"/>
      <w:lvlText w:val=""/>
      <w:lvlJc w:val="left"/>
      <w:pPr>
        <w:tabs>
          <w:tab w:val="num" w:pos="0"/>
        </w:tabs>
        <w:ind w:left="3498" w:hanging="245"/>
      </w:pPr>
      <w:rPr>
        <w:rFonts w:ascii="Symbol" w:hAnsi="Symbol" w:cs="Symbol" w:hint="default"/>
      </w:rPr>
    </w:lvl>
    <w:lvl w:ilvl="4">
      <w:start w:val="0"/>
      <w:numFmt w:val="bullet"/>
      <w:lvlText w:val=""/>
      <w:lvlJc w:val="left"/>
      <w:pPr>
        <w:tabs>
          <w:tab w:val="num" w:pos="0"/>
        </w:tabs>
        <w:ind w:left="4344" w:hanging="245"/>
      </w:pPr>
      <w:rPr>
        <w:rFonts w:ascii="Symbol" w:hAnsi="Symbol" w:cs="Symbol" w:hint="default"/>
      </w:rPr>
    </w:lvl>
    <w:lvl w:ilvl="5">
      <w:start w:val="0"/>
      <w:numFmt w:val="bullet"/>
      <w:lvlText w:val=""/>
      <w:lvlJc w:val="left"/>
      <w:pPr>
        <w:tabs>
          <w:tab w:val="num" w:pos="0"/>
        </w:tabs>
        <w:ind w:left="5190" w:hanging="245"/>
      </w:pPr>
      <w:rPr>
        <w:rFonts w:ascii="Symbol" w:hAnsi="Symbol" w:cs="Symbol" w:hint="default"/>
      </w:rPr>
    </w:lvl>
    <w:lvl w:ilvl="6">
      <w:start w:val="0"/>
      <w:numFmt w:val="bullet"/>
      <w:lvlText w:val=""/>
      <w:lvlJc w:val="left"/>
      <w:pPr>
        <w:tabs>
          <w:tab w:val="num" w:pos="0"/>
        </w:tabs>
        <w:ind w:left="6036" w:hanging="245"/>
      </w:pPr>
      <w:rPr>
        <w:rFonts w:ascii="Symbol" w:hAnsi="Symbol" w:cs="Symbol" w:hint="default"/>
      </w:rPr>
    </w:lvl>
    <w:lvl w:ilvl="7">
      <w:start w:val="0"/>
      <w:numFmt w:val="bullet"/>
      <w:lvlText w:val=""/>
      <w:lvlJc w:val="left"/>
      <w:pPr>
        <w:tabs>
          <w:tab w:val="num" w:pos="0"/>
        </w:tabs>
        <w:ind w:left="6882" w:hanging="245"/>
      </w:pPr>
      <w:rPr>
        <w:rFonts w:ascii="Symbol" w:hAnsi="Symbol" w:cs="Symbol" w:hint="default"/>
      </w:rPr>
    </w:lvl>
    <w:lvl w:ilvl="8">
      <w:start w:val="0"/>
      <w:numFmt w:val="bullet"/>
      <w:lvlText w:val=""/>
      <w:lvlJc w:val="left"/>
      <w:pPr>
        <w:tabs>
          <w:tab w:val="num" w:pos="0"/>
        </w:tabs>
        <w:ind w:left="7728" w:hanging="245"/>
      </w:pPr>
      <w:rPr>
        <w:rFonts w:ascii="Symbol" w:hAnsi="Symbol" w:cs="Symbol" w:hint="default"/>
      </w:rPr>
    </w:lvl>
  </w:abstractNum>
  <w:abstractNum w:abstractNumId="32">
    <w:lvl w:ilvl="0">
      <w:start w:val="1"/>
      <w:numFmt w:val="bullet"/>
      <w:lvlText w:val=""/>
      <w:lvlJc w:val="left"/>
      <w:pPr>
        <w:tabs>
          <w:tab w:val="num" w:pos="624"/>
        </w:tabs>
        <w:ind w:left="624" w:hanging="264"/>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3">
    <w:lvl w:ilvl="0">
      <w:start w:val="1"/>
      <w:numFmt w:val="bullet"/>
      <w:lvlText w:val=""/>
      <w:lvlJc w:val="left"/>
      <w:pPr>
        <w:tabs>
          <w:tab w:val="num" w:pos="780"/>
        </w:tabs>
        <w:ind w:left="780" w:hanging="360"/>
      </w:pPr>
      <w:rPr>
        <w:rFonts w:ascii="Wingdings" w:hAnsi="Wingdings" w:cs="Wingdings" w:hint="default"/>
      </w:rPr>
    </w:lvl>
    <w:lvl w:ilvl="1">
      <w:start w:val="1"/>
      <w:numFmt w:val="bullet"/>
      <w:lvlText w:val="o"/>
      <w:lvlJc w:val="left"/>
      <w:pPr>
        <w:tabs>
          <w:tab w:val="num" w:pos="1500"/>
        </w:tabs>
        <w:ind w:left="1500" w:hanging="360"/>
      </w:pPr>
      <w:rPr>
        <w:rFonts w:ascii="Courier New" w:hAnsi="Courier New" w:cs="Courier New" w:hint="default"/>
      </w:rPr>
    </w:lvl>
    <w:lvl w:ilvl="2">
      <w:start w:val="1"/>
      <w:numFmt w:val="bullet"/>
      <w:lvlText w:val=""/>
      <w:lvlJc w:val="left"/>
      <w:pPr>
        <w:tabs>
          <w:tab w:val="num" w:pos="2220"/>
        </w:tabs>
        <w:ind w:left="2220" w:hanging="360"/>
      </w:pPr>
      <w:rPr>
        <w:rFonts w:ascii="Wingdings" w:hAnsi="Wingdings" w:cs="Wingdings" w:hint="default"/>
      </w:rPr>
    </w:lvl>
    <w:lvl w:ilvl="3">
      <w:start w:val="1"/>
      <w:numFmt w:val="bullet"/>
      <w:lvlText w:val=""/>
      <w:lvlJc w:val="left"/>
      <w:pPr>
        <w:tabs>
          <w:tab w:val="num" w:pos="2940"/>
        </w:tabs>
        <w:ind w:left="2940" w:hanging="360"/>
      </w:pPr>
      <w:rPr>
        <w:rFonts w:ascii="Symbol" w:hAnsi="Symbol" w:cs="Symbol" w:hint="default"/>
      </w:rPr>
    </w:lvl>
    <w:lvl w:ilvl="4">
      <w:start w:val="1"/>
      <w:numFmt w:val="bullet"/>
      <w:lvlText w:val="o"/>
      <w:lvlJc w:val="left"/>
      <w:pPr>
        <w:tabs>
          <w:tab w:val="num" w:pos="3660"/>
        </w:tabs>
        <w:ind w:left="3660" w:hanging="360"/>
      </w:pPr>
      <w:rPr>
        <w:rFonts w:ascii="Courier New" w:hAnsi="Courier New" w:cs="Courier New" w:hint="default"/>
      </w:rPr>
    </w:lvl>
    <w:lvl w:ilvl="5">
      <w:start w:val="1"/>
      <w:numFmt w:val="bullet"/>
      <w:lvlText w:val=""/>
      <w:lvlJc w:val="left"/>
      <w:pPr>
        <w:tabs>
          <w:tab w:val="num" w:pos="4380"/>
        </w:tabs>
        <w:ind w:left="4380" w:hanging="360"/>
      </w:pPr>
      <w:rPr>
        <w:rFonts w:ascii="Wingdings" w:hAnsi="Wingdings" w:cs="Wingdings" w:hint="default"/>
      </w:rPr>
    </w:lvl>
    <w:lvl w:ilvl="6">
      <w:start w:val="1"/>
      <w:numFmt w:val="bullet"/>
      <w:lvlText w:val=""/>
      <w:lvlJc w:val="left"/>
      <w:pPr>
        <w:tabs>
          <w:tab w:val="num" w:pos="5100"/>
        </w:tabs>
        <w:ind w:left="5100" w:hanging="360"/>
      </w:pPr>
      <w:rPr>
        <w:rFonts w:ascii="Symbol" w:hAnsi="Symbol" w:cs="Symbol" w:hint="default"/>
      </w:rPr>
    </w:lvl>
    <w:lvl w:ilvl="7">
      <w:start w:val="1"/>
      <w:numFmt w:val="bullet"/>
      <w:lvlText w:val="o"/>
      <w:lvlJc w:val="left"/>
      <w:pPr>
        <w:tabs>
          <w:tab w:val="num" w:pos="5820"/>
        </w:tabs>
        <w:ind w:left="5820" w:hanging="360"/>
      </w:pPr>
      <w:rPr>
        <w:rFonts w:ascii="Courier New" w:hAnsi="Courier New" w:cs="Courier New" w:hint="default"/>
      </w:rPr>
    </w:lvl>
    <w:lvl w:ilvl="8">
      <w:start w:val="1"/>
      <w:numFmt w:val="bullet"/>
      <w:lvlText w:val=""/>
      <w:lvlJc w:val="left"/>
      <w:pPr>
        <w:tabs>
          <w:tab w:val="num" w:pos="6540"/>
        </w:tabs>
        <w:ind w:left="6540" w:hanging="360"/>
      </w:pPr>
      <w:rPr>
        <w:rFonts w:ascii="Wingdings" w:hAnsi="Wingdings" w:cs="Wingdings" w:hint="default"/>
      </w:rPr>
    </w:lvl>
  </w:abstractNum>
  <w:abstractNum w:abstractNumId="34">
    <w:lvl w:ilvl="0">
      <w:start w:val="1"/>
      <w:numFmt w:val="bullet"/>
      <w:lvlText w:val=""/>
      <w:lvlJc w:val="left"/>
      <w:pPr>
        <w:tabs>
          <w:tab w:val="num" w:pos="0"/>
        </w:tabs>
        <w:ind w:left="780" w:hanging="360"/>
      </w:pPr>
      <w:rPr>
        <w:rFonts w:ascii="Symbol" w:hAnsi="Symbol" w:cs="Symbol" w:hint="default"/>
      </w:rPr>
    </w:lvl>
    <w:lvl w:ilvl="1">
      <w:start w:val="1"/>
      <w:numFmt w:val="bullet"/>
      <w:lvlText w:val="o"/>
      <w:lvlJc w:val="left"/>
      <w:pPr>
        <w:tabs>
          <w:tab w:val="num" w:pos="0"/>
        </w:tabs>
        <w:ind w:left="1500" w:hanging="360"/>
      </w:pPr>
      <w:rPr>
        <w:rFonts w:ascii="Courier New" w:hAnsi="Courier New" w:cs="Courier New" w:hint="default"/>
      </w:rPr>
    </w:lvl>
    <w:lvl w:ilvl="2">
      <w:start w:val="1"/>
      <w:numFmt w:val="bullet"/>
      <w:lvlText w:val=""/>
      <w:lvlJc w:val="left"/>
      <w:pPr>
        <w:tabs>
          <w:tab w:val="num" w:pos="0"/>
        </w:tabs>
        <w:ind w:left="2220" w:hanging="360"/>
      </w:pPr>
      <w:rPr>
        <w:rFonts w:ascii="Wingdings" w:hAnsi="Wingdings" w:cs="Wingdings" w:hint="default"/>
      </w:rPr>
    </w:lvl>
    <w:lvl w:ilvl="3">
      <w:start w:val="1"/>
      <w:numFmt w:val="bullet"/>
      <w:lvlText w:val=""/>
      <w:lvlJc w:val="left"/>
      <w:pPr>
        <w:tabs>
          <w:tab w:val="num" w:pos="0"/>
        </w:tabs>
        <w:ind w:left="2940" w:hanging="360"/>
      </w:pPr>
      <w:rPr>
        <w:rFonts w:ascii="Symbol" w:hAnsi="Symbol" w:cs="Symbol" w:hint="default"/>
      </w:rPr>
    </w:lvl>
    <w:lvl w:ilvl="4">
      <w:start w:val="1"/>
      <w:numFmt w:val="bullet"/>
      <w:lvlText w:val="o"/>
      <w:lvlJc w:val="left"/>
      <w:pPr>
        <w:tabs>
          <w:tab w:val="num" w:pos="0"/>
        </w:tabs>
        <w:ind w:left="3660" w:hanging="360"/>
      </w:pPr>
      <w:rPr>
        <w:rFonts w:ascii="Courier New" w:hAnsi="Courier New" w:cs="Courier New" w:hint="default"/>
      </w:rPr>
    </w:lvl>
    <w:lvl w:ilvl="5">
      <w:start w:val="1"/>
      <w:numFmt w:val="bullet"/>
      <w:lvlText w:val=""/>
      <w:lvlJc w:val="left"/>
      <w:pPr>
        <w:tabs>
          <w:tab w:val="num" w:pos="0"/>
        </w:tabs>
        <w:ind w:left="4380" w:hanging="360"/>
      </w:pPr>
      <w:rPr>
        <w:rFonts w:ascii="Wingdings" w:hAnsi="Wingdings" w:cs="Wingdings" w:hint="default"/>
      </w:rPr>
    </w:lvl>
    <w:lvl w:ilvl="6">
      <w:start w:val="1"/>
      <w:numFmt w:val="bullet"/>
      <w:lvlText w:val=""/>
      <w:lvlJc w:val="left"/>
      <w:pPr>
        <w:tabs>
          <w:tab w:val="num" w:pos="0"/>
        </w:tabs>
        <w:ind w:left="5100" w:hanging="360"/>
      </w:pPr>
      <w:rPr>
        <w:rFonts w:ascii="Symbol" w:hAnsi="Symbol" w:cs="Symbol" w:hint="default"/>
      </w:rPr>
    </w:lvl>
    <w:lvl w:ilvl="7">
      <w:start w:val="1"/>
      <w:numFmt w:val="bullet"/>
      <w:lvlText w:val="o"/>
      <w:lvlJc w:val="left"/>
      <w:pPr>
        <w:tabs>
          <w:tab w:val="num" w:pos="0"/>
        </w:tabs>
        <w:ind w:left="5820" w:hanging="360"/>
      </w:pPr>
      <w:rPr>
        <w:rFonts w:ascii="Courier New" w:hAnsi="Courier New" w:cs="Courier New" w:hint="default"/>
      </w:rPr>
    </w:lvl>
    <w:lvl w:ilvl="8">
      <w:start w:val="1"/>
      <w:numFmt w:val="bullet"/>
      <w:lvlText w:val=""/>
      <w:lvlJc w:val="left"/>
      <w:pPr>
        <w:tabs>
          <w:tab w:val="num" w:pos="0"/>
        </w:tabs>
        <w:ind w:left="6540" w:hanging="360"/>
      </w:pPr>
      <w:rPr>
        <w:rFonts w:ascii="Wingdings" w:hAnsi="Wingdings" w:cs="Wingdings" w:hint="default"/>
      </w:rPr>
    </w:lvl>
  </w:abstractNum>
  <w:abstractNum w:abstractNumId="3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w="http://schemas.openxmlformats.org/wordprocessingml/2006/main">
  <w:zoom w:percent="87"/>
  <w:defaultTabStop w:val="708"/>
  <w:autoHyphenation w:val="tru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C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C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c5e70"/>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s-CR" w:eastAsia="en-US" w:bidi="ar-SA"/>
    </w:rPr>
  </w:style>
  <w:style w:type="paragraph" w:styleId="Ttulo2">
    <w:name w:val="Heading 2"/>
    <w:basedOn w:val="Normal"/>
    <w:next w:val="Normal"/>
    <w:link w:val="Ttulo2Car"/>
    <w:uiPriority w:val="9"/>
    <w:semiHidden/>
    <w:unhideWhenUsed/>
    <w:qFormat/>
    <w:rsid w:val="002f5f91"/>
    <w:pPr>
      <w:keepNext w:val="true"/>
      <w:keepLines/>
      <w:spacing w:before="200" w:after="0"/>
      <w:outlineLvl w:val="1"/>
    </w:pPr>
    <w:rPr>
      <w:rFonts w:ascii="Cambria" w:hAnsi="Cambria" w:eastAsia="" w:cs="" w:asciiTheme="majorHAnsi" w:cstheme="majorBidi" w:eastAsiaTheme="majorEastAsia" w:hAnsiTheme="majorHAnsi"/>
      <w:b/>
      <w:bCs/>
      <w:color w:val="4F81BD" w:themeColor="accent1"/>
      <w:sz w:val="26"/>
      <w:szCs w:val="26"/>
    </w:rPr>
  </w:style>
  <w:style w:type="paragraph" w:styleId="Ttulo3">
    <w:name w:val="Heading 3"/>
    <w:basedOn w:val="Normal"/>
    <w:next w:val="Normal"/>
    <w:link w:val="Ttulo3Car"/>
    <w:uiPriority w:val="9"/>
    <w:unhideWhenUsed/>
    <w:qFormat/>
    <w:rsid w:val="00093e1b"/>
    <w:pPr>
      <w:keepNext w:val="true"/>
      <w:keepLines/>
      <w:spacing w:lineRule="auto" w:line="259" w:before="40" w:after="0"/>
      <w:outlineLvl w:val="2"/>
    </w:pPr>
    <w:rPr>
      <w:rFonts w:ascii="Cambria" w:hAnsi="Cambria" w:eastAsia="" w:cs="" w:asciiTheme="majorHAnsi" w:cstheme="majorBidi" w:eastAsiaTheme="majorEastAsia" w:hAnsiTheme="majorHAnsi"/>
      <w:color w:val="243F60" w:themeColor="accent1" w:themeShade="7f"/>
      <w:sz w:val="24"/>
      <w:szCs w:val="24"/>
    </w:rPr>
  </w:style>
  <w:style w:type="paragraph" w:styleId="Ttulo7">
    <w:name w:val="Heading 7"/>
    <w:basedOn w:val="Normal"/>
    <w:next w:val="Normal"/>
    <w:link w:val="Ttulo7Car"/>
    <w:uiPriority w:val="9"/>
    <w:semiHidden/>
    <w:unhideWhenUsed/>
    <w:qFormat/>
    <w:rsid w:val="0018152f"/>
    <w:pPr>
      <w:keepNext w:val="true"/>
      <w:keepLines/>
      <w:spacing w:before="200" w:after="0"/>
      <w:outlineLvl w:val="6"/>
    </w:pPr>
    <w:rPr>
      <w:rFonts w:ascii="Cambria" w:hAnsi="Cambria" w:eastAsia="" w:cs="" w:asciiTheme="majorHAnsi" w:cstheme="majorBidi" w:eastAsiaTheme="majorEastAsia" w:hAnsiTheme="majorHAnsi"/>
      <w:i/>
      <w:iCs/>
      <w:color w:val="404040" w:themeColor="text1" w:themeTint="bf"/>
    </w:rPr>
  </w:style>
  <w:style w:type="character" w:styleId="DefaultParagraphFont" w:default="1">
    <w:name w:val="Default Paragraph Font"/>
    <w:uiPriority w:val="1"/>
    <w:semiHidden/>
    <w:unhideWhenUsed/>
    <w:qFormat/>
    <w:rPr/>
  </w:style>
  <w:style w:type="character" w:styleId="Ttulo3Car" w:customStyle="1">
    <w:name w:val="Título 3 Car"/>
    <w:basedOn w:val="DefaultParagraphFont"/>
    <w:link w:val="Ttulo3"/>
    <w:uiPriority w:val="9"/>
    <w:qFormat/>
    <w:rsid w:val="00093e1b"/>
    <w:rPr>
      <w:rFonts w:ascii="Cambria" w:hAnsi="Cambria" w:eastAsia="" w:cs="" w:asciiTheme="majorHAnsi" w:cstheme="majorBidi" w:eastAsiaTheme="majorEastAsia" w:hAnsiTheme="majorHAnsi"/>
      <w:color w:val="243F60" w:themeColor="accent1" w:themeShade="7f"/>
      <w:sz w:val="24"/>
      <w:szCs w:val="24"/>
    </w:rPr>
  </w:style>
  <w:style w:type="character" w:styleId="Ttulo7Car" w:customStyle="1">
    <w:name w:val="Título 7 Car"/>
    <w:basedOn w:val="DefaultParagraphFont"/>
    <w:link w:val="Ttulo7"/>
    <w:uiPriority w:val="9"/>
    <w:semiHidden/>
    <w:qFormat/>
    <w:rsid w:val="0018152f"/>
    <w:rPr>
      <w:rFonts w:ascii="Cambria" w:hAnsi="Cambria" w:eastAsia="" w:cs="" w:asciiTheme="majorHAnsi" w:cstheme="majorBidi" w:eastAsiaTheme="majorEastAsia" w:hAnsiTheme="majorHAnsi"/>
      <w:i/>
      <w:iCs/>
      <w:color w:val="404040" w:themeColor="text1" w:themeTint="bf"/>
    </w:rPr>
  </w:style>
  <w:style w:type="character" w:styleId="EncabezadoCar" w:customStyle="1">
    <w:name w:val="Encabezado Car"/>
    <w:basedOn w:val="DefaultParagraphFont"/>
    <w:link w:val="Encabezado"/>
    <w:uiPriority w:val="99"/>
    <w:semiHidden/>
    <w:qFormat/>
    <w:rsid w:val="00093e1b"/>
    <w:rPr/>
  </w:style>
  <w:style w:type="character" w:styleId="PiedepginaCar" w:customStyle="1">
    <w:name w:val="Pie de página Car"/>
    <w:basedOn w:val="DefaultParagraphFont"/>
    <w:link w:val="Piedepgina"/>
    <w:uiPriority w:val="99"/>
    <w:qFormat/>
    <w:rsid w:val="00093e1b"/>
    <w:rPr/>
  </w:style>
  <w:style w:type="character" w:styleId="TextodegloboCar" w:customStyle="1">
    <w:name w:val="Texto de globo Car"/>
    <w:basedOn w:val="DefaultParagraphFont"/>
    <w:link w:val="Textodeglobo"/>
    <w:uiPriority w:val="99"/>
    <w:semiHidden/>
    <w:qFormat/>
    <w:rsid w:val="00093e1b"/>
    <w:rPr>
      <w:rFonts w:ascii="Tahoma" w:hAnsi="Tahoma" w:cs="Tahoma"/>
      <w:sz w:val="16"/>
      <w:szCs w:val="16"/>
    </w:rPr>
  </w:style>
  <w:style w:type="character" w:styleId="NormalWebCar" w:customStyle="1">
    <w:name w:val="Normal (Web) Car"/>
    <w:link w:val="NormalWeb"/>
    <w:uiPriority w:val="99"/>
    <w:qFormat/>
    <w:locked/>
    <w:rsid w:val="00302d88"/>
    <w:rPr>
      <w:rFonts w:ascii="Times New Roman" w:hAnsi="Times New Roman" w:cs="Times New Roman"/>
      <w:sz w:val="24"/>
      <w:szCs w:val="24"/>
      <w:lang w:eastAsia="es-CR"/>
    </w:rPr>
  </w:style>
  <w:style w:type="character" w:styleId="TextoindependienteCar" w:customStyle="1">
    <w:name w:val="Texto independiente Car"/>
    <w:basedOn w:val="DefaultParagraphFont"/>
    <w:link w:val="Textoindependiente"/>
    <w:uiPriority w:val="1"/>
    <w:qFormat/>
    <w:rsid w:val="0078313b"/>
    <w:rPr>
      <w:rFonts w:ascii="Calibri Light" w:hAnsi="Calibri Light" w:eastAsia="Calibri Light" w:cs="Calibri Light"/>
      <w:sz w:val="24"/>
      <w:szCs w:val="24"/>
      <w:lang w:val="es-ES" w:eastAsia="es-ES" w:bidi="es-ES"/>
    </w:rPr>
  </w:style>
  <w:style w:type="character" w:styleId="TextonotapieCar" w:customStyle="1">
    <w:name w:val="Texto nota pie Car"/>
    <w:basedOn w:val="DefaultParagraphFont"/>
    <w:link w:val="Textonotapie"/>
    <w:uiPriority w:val="99"/>
    <w:qFormat/>
    <w:rsid w:val="004c3d29"/>
    <w:rPr>
      <w:rFonts w:ascii="Times New Roman" w:hAnsi="Times New Roman" w:eastAsia="Times New Roman" w:cs="Times New Roman"/>
      <w:sz w:val="20"/>
      <w:szCs w:val="20"/>
      <w:lang w:val="es-ES" w:eastAsia="es-ES"/>
    </w:rPr>
  </w:style>
  <w:style w:type="character" w:styleId="Ancladenotaalpie">
    <w:name w:val="Ancla de nota al pie"/>
    <w:rPr>
      <w:rFonts w:cs="Times New Roman"/>
      <w:vertAlign w:val="superscript"/>
    </w:rPr>
  </w:style>
  <w:style w:type="character" w:styleId="FootnoteCharacters">
    <w:name w:val="Footnote Characters"/>
    <w:uiPriority w:val="99"/>
    <w:qFormat/>
    <w:rsid w:val="004c3d29"/>
    <w:rPr>
      <w:rFonts w:cs="Times New Roman"/>
      <w:vertAlign w:val="superscript"/>
    </w:rPr>
  </w:style>
  <w:style w:type="character" w:styleId="Textoindependiente2Car" w:customStyle="1">
    <w:name w:val="Texto independiente 2 Car"/>
    <w:basedOn w:val="DefaultParagraphFont"/>
    <w:link w:val="Textoindependiente2"/>
    <w:uiPriority w:val="99"/>
    <w:qFormat/>
    <w:rsid w:val="004c3d29"/>
    <w:rPr/>
  </w:style>
  <w:style w:type="character" w:styleId="EnlacedeInternet">
    <w:name w:val="Enlace de Internet"/>
    <w:rsid w:val="00203744"/>
    <w:rPr>
      <w:color w:val="000080"/>
      <w:u w:val="single"/>
    </w:rPr>
  </w:style>
  <w:style w:type="character" w:styleId="Strong">
    <w:name w:val="Strong"/>
    <w:basedOn w:val="DefaultParagraphFont"/>
    <w:uiPriority w:val="22"/>
    <w:qFormat/>
    <w:rsid w:val="00996ab8"/>
    <w:rPr>
      <w:b/>
      <w:bCs/>
    </w:rPr>
  </w:style>
  <w:style w:type="character" w:styleId="Ttulo2Car" w:customStyle="1">
    <w:name w:val="Título 2 Car"/>
    <w:basedOn w:val="DefaultParagraphFont"/>
    <w:link w:val="Ttulo2"/>
    <w:uiPriority w:val="9"/>
    <w:semiHidden/>
    <w:qFormat/>
    <w:rsid w:val="002f5f91"/>
    <w:rPr>
      <w:rFonts w:ascii="Cambria" w:hAnsi="Cambria" w:eastAsia="" w:cs="" w:asciiTheme="majorHAnsi" w:cstheme="majorBidi" w:eastAsiaTheme="majorEastAsia" w:hAnsiTheme="majorHAnsi"/>
      <w:b/>
      <w:bCs/>
      <w:color w:val="4F81BD" w:themeColor="accent1"/>
      <w:sz w:val="26"/>
      <w:szCs w:val="26"/>
    </w:rPr>
  </w:style>
  <w:style w:type="character" w:styleId="Caracteresdenotaalpie">
    <w:name w:val="Caracteres de nota al pie"/>
    <w:qFormat/>
    <w:rPr/>
  </w:style>
  <w:style w:type="character" w:styleId="Ancladenotafinal">
    <w:name w:val="Ancla de nota final"/>
    <w:rPr>
      <w:vertAlign w:val="superscript"/>
    </w:rPr>
  </w:style>
  <w:style w:type="character" w:styleId="Caracteresdenotafinal">
    <w:name w:val="Caracteres de nota final"/>
    <w:qFormat/>
    <w:rPr/>
  </w:style>
  <w:style w:type="paragraph" w:styleId="Ttulo">
    <w:name w:val="Título"/>
    <w:basedOn w:val="Normal"/>
    <w:next w:val="Cuerpodetexto"/>
    <w:qFormat/>
    <w:pPr>
      <w:keepNext w:val="true"/>
      <w:spacing w:before="240" w:after="120"/>
    </w:pPr>
    <w:rPr>
      <w:rFonts w:ascii="Liberation Sans" w:hAnsi="Liberation Sans" w:eastAsia="Microsoft YaHei" w:cs="Arial"/>
      <w:sz w:val="28"/>
      <w:szCs w:val="28"/>
    </w:rPr>
  </w:style>
  <w:style w:type="paragraph" w:styleId="Cuerpodetexto">
    <w:name w:val="Body Text"/>
    <w:basedOn w:val="Normal"/>
    <w:link w:val="TextoindependienteCar"/>
    <w:qFormat/>
    <w:rsid w:val="0078313b"/>
    <w:pPr>
      <w:widowControl w:val="false"/>
      <w:spacing w:lineRule="auto" w:line="240" w:before="0" w:after="0"/>
    </w:pPr>
    <w:rPr>
      <w:rFonts w:ascii="Calibri Light" w:hAnsi="Calibri Light" w:eastAsia="Calibri Light" w:cs="Calibri Light"/>
      <w:sz w:val="24"/>
      <w:szCs w:val="24"/>
      <w:lang w:val="es-ES" w:eastAsia="es-ES" w:bidi="es-ES"/>
    </w:rPr>
  </w:style>
  <w:style w:type="paragraph" w:styleId="Lista">
    <w:name w:val="List"/>
    <w:basedOn w:val="Cuerpodetexto"/>
    <w:pPr/>
    <w:rPr>
      <w:rFonts w:cs="Arial"/>
    </w:rPr>
  </w:style>
  <w:style w:type="paragraph" w:styleId="Ley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Cabeceraypie">
    <w:name w:val="Cabecera y pie"/>
    <w:basedOn w:val="Normal"/>
    <w:qFormat/>
    <w:pPr/>
    <w:rPr/>
  </w:style>
  <w:style w:type="paragraph" w:styleId="Cabecera">
    <w:name w:val="Header"/>
    <w:basedOn w:val="Normal"/>
    <w:link w:val="EncabezadoCar"/>
    <w:unhideWhenUsed/>
    <w:rsid w:val="00093e1b"/>
    <w:pPr>
      <w:tabs>
        <w:tab w:val="clear" w:pos="708"/>
        <w:tab w:val="center" w:pos="4419" w:leader="none"/>
        <w:tab w:val="right" w:pos="8838" w:leader="none"/>
      </w:tabs>
      <w:spacing w:lineRule="auto" w:line="240" w:before="0" w:after="0"/>
    </w:pPr>
    <w:rPr/>
  </w:style>
  <w:style w:type="paragraph" w:styleId="Piedepgina">
    <w:name w:val="Footer"/>
    <w:basedOn w:val="Normal"/>
    <w:link w:val="PiedepginaCar"/>
    <w:uiPriority w:val="99"/>
    <w:unhideWhenUsed/>
    <w:rsid w:val="00093e1b"/>
    <w:pPr>
      <w:tabs>
        <w:tab w:val="clear" w:pos="708"/>
        <w:tab w:val="center" w:pos="4419" w:leader="none"/>
        <w:tab w:val="right" w:pos="8838" w:leader="none"/>
      </w:tabs>
      <w:spacing w:lineRule="auto" w:line="240" w:before="0" w:after="0"/>
    </w:pPr>
    <w:rPr/>
  </w:style>
  <w:style w:type="paragraph" w:styleId="NoSpacing">
    <w:name w:val="No Spacing"/>
    <w:uiPriority w:val="1"/>
    <w:qFormat/>
    <w:rsid w:val="00093e1b"/>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es-CR" w:eastAsia="en-US" w:bidi="ar-SA"/>
    </w:rPr>
  </w:style>
  <w:style w:type="paragraph" w:styleId="BalloonText">
    <w:name w:val="Balloon Text"/>
    <w:basedOn w:val="Normal"/>
    <w:link w:val="TextodegloboCar"/>
    <w:uiPriority w:val="99"/>
    <w:semiHidden/>
    <w:unhideWhenUsed/>
    <w:qFormat/>
    <w:rsid w:val="00093e1b"/>
    <w:pPr>
      <w:spacing w:lineRule="auto" w:line="240" w:before="0" w:after="0"/>
    </w:pPr>
    <w:rPr>
      <w:rFonts w:ascii="Tahoma" w:hAnsi="Tahoma" w:cs="Tahoma"/>
      <w:sz w:val="16"/>
      <w:szCs w:val="16"/>
    </w:rPr>
  </w:style>
  <w:style w:type="paragraph" w:styleId="NormalWeb">
    <w:name w:val="Normal (Web)"/>
    <w:basedOn w:val="Normal"/>
    <w:link w:val="NormalWebCar"/>
    <w:uiPriority w:val="99"/>
    <w:unhideWhenUsed/>
    <w:qFormat/>
    <w:rsid w:val="00302d88"/>
    <w:pPr>
      <w:spacing w:lineRule="auto" w:line="240" w:beforeAutospacing="1" w:afterAutospacing="1"/>
    </w:pPr>
    <w:rPr>
      <w:rFonts w:ascii="Times New Roman" w:hAnsi="Times New Roman" w:cs="Times New Roman"/>
      <w:sz w:val="24"/>
      <w:szCs w:val="24"/>
      <w:lang w:eastAsia="es-CR"/>
    </w:rPr>
  </w:style>
  <w:style w:type="paragraph" w:styleId="ListParagraph">
    <w:name w:val="List Paragraph"/>
    <w:basedOn w:val="Normal"/>
    <w:uiPriority w:val="34"/>
    <w:qFormat/>
    <w:rsid w:val="007367af"/>
    <w:pPr>
      <w:spacing w:lineRule="auto" w:line="240" w:before="0" w:after="0"/>
      <w:ind w:left="720" w:hanging="0"/>
      <w:contextualSpacing/>
    </w:pPr>
    <w:rPr>
      <w:rFonts w:ascii="Times New Roman" w:hAnsi="Times New Roman" w:eastAsia="Times New Roman" w:cs="Times New Roman"/>
      <w:sz w:val="24"/>
      <w:szCs w:val="20"/>
      <w:lang w:val="es-ES" w:eastAsia="es-ES"/>
    </w:rPr>
  </w:style>
  <w:style w:type="paragraph" w:styleId="Ttulo11" w:customStyle="1">
    <w:name w:val="Título 11"/>
    <w:basedOn w:val="Normal"/>
    <w:uiPriority w:val="1"/>
    <w:qFormat/>
    <w:rsid w:val="00cb330d"/>
    <w:pPr>
      <w:widowControl w:val="false"/>
      <w:spacing w:lineRule="auto" w:line="240" w:before="0" w:after="0"/>
      <w:ind w:left="119" w:hanging="0"/>
      <w:outlineLvl w:val="1"/>
    </w:pPr>
    <w:rPr>
      <w:rFonts w:ascii="Calibri Light" w:hAnsi="Calibri Light" w:eastAsia="Calibri Light" w:cs="Calibri Light"/>
      <w:b/>
      <w:bCs/>
      <w:sz w:val="24"/>
      <w:szCs w:val="24"/>
      <w:lang w:val="es-ES" w:eastAsia="es-ES" w:bidi="es-ES"/>
    </w:rPr>
  </w:style>
  <w:style w:type="paragraph" w:styleId="Ttulo21" w:customStyle="1">
    <w:name w:val="Título 21"/>
    <w:basedOn w:val="Normal"/>
    <w:uiPriority w:val="1"/>
    <w:qFormat/>
    <w:rsid w:val="00121a48"/>
    <w:pPr>
      <w:widowControl w:val="false"/>
      <w:spacing w:lineRule="auto" w:line="240" w:before="43" w:after="0"/>
      <w:ind w:left="2726" w:right="2725" w:hanging="0"/>
      <w:jc w:val="center"/>
      <w:outlineLvl w:val="2"/>
    </w:pPr>
    <w:rPr>
      <w:rFonts w:ascii="Calibri" w:hAnsi="Calibri" w:eastAsia="Calibri" w:cs="Calibri"/>
      <w:b/>
      <w:bCs/>
      <w:i/>
      <w:sz w:val="24"/>
      <w:szCs w:val="24"/>
      <w:lang w:val="es-ES" w:eastAsia="es-ES" w:bidi="es-ES"/>
    </w:rPr>
  </w:style>
  <w:style w:type="paragraph" w:styleId="Notaalpie">
    <w:name w:val="Footnote Text"/>
    <w:basedOn w:val="Normal"/>
    <w:link w:val="TextonotapieCar"/>
    <w:uiPriority w:val="99"/>
    <w:qFormat/>
    <w:rsid w:val="004c3d29"/>
    <w:pPr>
      <w:spacing w:lineRule="auto" w:line="240" w:before="0" w:after="0"/>
    </w:pPr>
    <w:rPr>
      <w:rFonts w:ascii="Times New Roman" w:hAnsi="Times New Roman" w:eastAsia="Times New Roman" w:cs="Times New Roman"/>
      <w:sz w:val="20"/>
      <w:szCs w:val="20"/>
      <w:lang w:val="es-ES" w:eastAsia="es-ES"/>
    </w:rPr>
  </w:style>
  <w:style w:type="paragraph" w:styleId="BodyText2">
    <w:name w:val="Body Text 2"/>
    <w:basedOn w:val="Normal"/>
    <w:link w:val="Textoindependiente2Car"/>
    <w:uiPriority w:val="99"/>
    <w:unhideWhenUsed/>
    <w:qFormat/>
    <w:rsid w:val="004c3d29"/>
    <w:pPr>
      <w:spacing w:lineRule="auto" w:line="480" w:before="0" w:after="120"/>
    </w:pPr>
    <w:rPr/>
  </w:style>
  <w:style w:type="paragraph" w:styleId="TableParagraph" w:customStyle="1">
    <w:name w:val="Table Paragraph"/>
    <w:basedOn w:val="Normal"/>
    <w:uiPriority w:val="1"/>
    <w:qFormat/>
    <w:rsid w:val="00ab68c0"/>
    <w:pPr>
      <w:widowControl w:val="false"/>
      <w:spacing w:lineRule="auto" w:line="240" w:before="0" w:after="0"/>
    </w:pPr>
    <w:rPr>
      <w:rFonts w:ascii="Arial" w:hAnsi="Arial" w:eastAsia="Arial" w:cs="Arial"/>
      <w:lang w:val="es-ES" w:eastAsia="es-ES" w:bidi="es-ES"/>
    </w:rPr>
  </w:style>
  <w:style w:type="paragraph" w:styleId="Gmailm4214538879123250192default" w:customStyle="1">
    <w:name w:val="gmail-m_-4214538879123250192default"/>
    <w:basedOn w:val="Normal"/>
    <w:uiPriority w:val="99"/>
    <w:semiHidden/>
    <w:qFormat/>
    <w:rsid w:val="0018152f"/>
    <w:pPr>
      <w:spacing w:lineRule="auto" w:line="240" w:beforeAutospacing="1" w:afterAutospacing="1"/>
    </w:pPr>
    <w:rPr>
      <w:rFonts w:ascii="Calibri" w:hAnsi="Calibri" w:cs="Calibri"/>
      <w:lang w:eastAsia="es-CR"/>
    </w:rPr>
  </w:style>
  <w:style w:type="paragraph" w:styleId="Ttulo51" w:customStyle="1">
    <w:name w:val="Título 51"/>
    <w:next w:val="Normal"/>
    <w:qFormat/>
    <w:rsid w:val="00203744"/>
    <w:pPr>
      <w:keepNext w:val="true"/>
      <w:widowControl w:val="false"/>
      <w:tabs>
        <w:tab w:val="clear" w:pos="708"/>
        <w:tab w:val="left" w:pos="0" w:leader="none"/>
      </w:tabs>
      <w:suppressAutoHyphens w:val="true"/>
      <w:bidi w:val="0"/>
      <w:spacing w:lineRule="auto" w:line="240" w:before="0" w:after="0"/>
      <w:jc w:val="center"/>
    </w:pPr>
    <w:rPr>
      <w:rFonts w:ascii="Times New Roman" w:hAnsi="Times New Roman" w:eastAsia="Lucida Sans Unicode" w:cs="Times New Roman"/>
      <w:b/>
      <w:bCs/>
      <w:i/>
      <w:iCs/>
      <w:color w:val="auto"/>
      <w:kern w:val="0"/>
      <w:sz w:val="26"/>
      <w:szCs w:val="26"/>
      <w:u w:val="single"/>
      <w:shd w:fill="FFFFFF" w:val="clear"/>
      <w:lang w:val="es-ES" w:eastAsia="ar-SA" w:bidi="ar-SA"/>
    </w:rPr>
  </w:style>
  <w:style w:type="paragraph" w:styleId="Ttulo54" w:customStyle="1">
    <w:name w:val="Título 54"/>
    <w:next w:val="Normal"/>
    <w:qFormat/>
    <w:rsid w:val="00203744"/>
    <w:pPr>
      <w:keepNext w:val="true"/>
      <w:widowControl w:val="false"/>
      <w:tabs>
        <w:tab w:val="clear" w:pos="708"/>
        <w:tab w:val="left" w:pos="0" w:leader="none"/>
      </w:tabs>
      <w:suppressAutoHyphens w:val="true"/>
      <w:bidi w:val="0"/>
      <w:spacing w:lineRule="auto" w:line="240" w:before="0" w:after="0"/>
      <w:jc w:val="center"/>
    </w:pPr>
    <w:rPr>
      <w:rFonts w:ascii="Times New Roman" w:hAnsi="Times New Roman" w:eastAsia="Lucida Sans Unicode" w:cs="Times New Roman"/>
      <w:b/>
      <w:bCs/>
      <w:i/>
      <w:iCs/>
      <w:color w:val="auto"/>
      <w:kern w:val="0"/>
      <w:sz w:val="26"/>
      <w:szCs w:val="26"/>
      <w:u w:val="single"/>
      <w:shd w:fill="FFFFFF" w:val="clear"/>
      <w:lang w:val="es-ES" w:eastAsia="ar-SA" w:bidi="ar-SA"/>
    </w:rPr>
  </w:style>
  <w:style w:type="paragraph" w:styleId="Standard" w:customStyle="1">
    <w:name w:val="Standard"/>
    <w:qFormat/>
    <w:rsid w:val="00c5702d"/>
    <w:pPr>
      <w:widowControl/>
      <w:suppressAutoHyphens w:val="true"/>
      <w:bidi w:val="0"/>
      <w:spacing w:lineRule="auto" w:line="240" w:before="0" w:after="0"/>
      <w:jc w:val="left"/>
      <w:textAlignment w:val="baseline"/>
    </w:pPr>
    <w:rPr>
      <w:rFonts w:ascii="Liberation Serif" w:hAnsi="Liberation Serif" w:eastAsia="SimSun" w:cs="Arial Unicode MS"/>
      <w:color w:val="auto"/>
      <w:kern w:val="2"/>
      <w:sz w:val="24"/>
      <w:szCs w:val="24"/>
      <w:lang w:eastAsia="zh-CN" w:bidi="hi-IN" w:val="es-CR"/>
    </w:rPr>
  </w:style>
  <w:style w:type="paragraph" w:styleId="Xmsonormal" w:customStyle="1">
    <w:name w:val="x_msonormal"/>
    <w:basedOn w:val="Normal"/>
    <w:qFormat/>
    <w:rsid w:val="000f6561"/>
    <w:pPr>
      <w:spacing w:lineRule="auto" w:line="240" w:before="0" w:after="0"/>
    </w:pPr>
    <w:rPr>
      <w:rFonts w:ascii="Calibri" w:hAnsi="Calibri" w:cs="Calibri"/>
      <w:lang w:eastAsia="es-CR"/>
    </w:rPr>
  </w:style>
  <w:style w:type="paragraph" w:styleId="Xmsolistparagraph" w:customStyle="1">
    <w:name w:val="x_msolistparagraph"/>
    <w:basedOn w:val="Normal"/>
    <w:qFormat/>
    <w:rsid w:val="000f6561"/>
    <w:pPr>
      <w:spacing w:lineRule="auto" w:line="240" w:beforeAutospacing="1" w:afterAutospacing="1"/>
    </w:pPr>
    <w:rPr>
      <w:rFonts w:ascii="Calibri" w:hAnsi="Calibri" w:cs="Calibri"/>
      <w:lang w:eastAsia="es-CR"/>
    </w:rPr>
  </w:style>
  <w:style w:type="paragraph" w:styleId="Sinespaciado1" w:customStyle="1">
    <w:name w:val="Sin espaciado1"/>
    <w:qFormat/>
    <w:rsid w:val="00e92de6"/>
    <w:pPr>
      <w:widowControl/>
      <w:suppressAutoHyphens w:val="true"/>
      <w:bidi w:val="0"/>
      <w:spacing w:lineRule="auto" w:line="240" w:before="0" w:after="0"/>
      <w:jc w:val="left"/>
    </w:pPr>
    <w:rPr>
      <w:rFonts w:ascii="Calibri" w:hAnsi="Calibri" w:eastAsia="Times New Roman" w:cs="Times New Roman" w:asciiTheme="minorHAnsi" w:hAnsiTheme="minorHAnsi"/>
      <w:color w:val="auto"/>
      <w:kern w:val="0"/>
      <w:sz w:val="22"/>
      <w:szCs w:val="22"/>
      <w:lang w:eastAsia="es-CR" w:val="es-CR" w:bidi="ar-SA"/>
    </w:rPr>
  </w:style>
  <w:style w:type="paragraph" w:styleId="Prrafodelista1" w:customStyle="1">
    <w:name w:val="Párrafo de lista1"/>
    <w:basedOn w:val="Normal"/>
    <w:qFormat/>
    <w:rsid w:val="00b26603"/>
    <w:pPr>
      <w:suppressAutoHyphens w:val="true"/>
      <w:spacing w:lineRule="auto" w:line="252" w:before="0" w:after="160"/>
      <w:ind w:left="720" w:hanging="0"/>
      <w:contextualSpacing/>
    </w:pPr>
    <w:rPr>
      <w:rFonts w:ascii="Calibri" w:hAnsi="Calibri" w:eastAsia="NSimSun" w:cs="font281"/>
      <w:kern w:val="2"/>
      <w:lang w:bidi="hi-IN"/>
    </w:rPr>
  </w:style>
  <w:style w:type="paragraph" w:styleId="Sinespaciado2" w:customStyle="1">
    <w:name w:val="Sin espaciado2"/>
    <w:qFormat/>
    <w:rsid w:val="00db24bb"/>
    <w:pPr>
      <w:widowControl/>
      <w:suppressAutoHyphens w:val="true"/>
      <w:bidi w:val="0"/>
      <w:spacing w:lineRule="auto" w:line="240" w:before="0" w:after="0"/>
      <w:jc w:val="left"/>
    </w:pPr>
    <w:rPr>
      <w:rFonts w:ascii="Calibri" w:hAnsi="Calibri" w:eastAsia="Times New Roman" w:cs="Times New Roman" w:asciiTheme="minorHAnsi" w:hAnsiTheme="minorHAnsi"/>
      <w:color w:val="auto"/>
      <w:kern w:val="0"/>
      <w:sz w:val="22"/>
      <w:szCs w:val="22"/>
      <w:lang w:eastAsia="es-CR" w:val="es-CR" w:bidi="ar-SA"/>
    </w:rPr>
  </w:style>
  <w:style w:type="paragraph" w:styleId="Contenidodelmarco">
    <w:name w:val="Contenido del marco"/>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uiPriority w:val="2"/>
    <w:semiHidden/>
    <w:unhideWhenUsed/>
    <w:qFormat/>
    <w:rsid w:val="00ab68c0"/>
    <w:pPr>
      <w:spacing w:after="0" w:line="240" w:lineRule="auto"/>
    </w:pPr>
    <w:rPr>
      <w:lang w:val="en-US"/>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package" Target="embeddings/oleObject1.docx"/><Relationship Id="rId7" Type="http://schemas.openxmlformats.org/officeDocument/2006/relationships/image" Target="media/image3.wmf"/><Relationship Id="rId8" Type="http://schemas.openxmlformats.org/officeDocument/2006/relationships/oleObject" Target="embeddings/oleObject2.doc"/><Relationship Id="rId9" Type="http://schemas.openxmlformats.org/officeDocument/2006/relationships/image" Target="media/image4.wmf"/><Relationship Id="rId10" Type="http://schemas.openxmlformats.org/officeDocument/2006/relationships/image" Target="media/image5.wmf"/><Relationship Id="rId11" Type="http://schemas.openxmlformats.org/officeDocument/2006/relationships/image" Target="media/image6.wmf"/><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package" Target="embeddings/oleObject3.docx"/><Relationship Id="rId15" Type="http://schemas.openxmlformats.org/officeDocument/2006/relationships/image" Target="media/image5.wmf"/><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image" Target="media/image10.wmf"/><Relationship Id="rId21" Type="http://schemas.openxmlformats.org/officeDocument/2006/relationships/image" Target="media/image11.pn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header" Target="header3.xml"/><Relationship Id="rId27" Type="http://schemas.openxmlformats.org/officeDocument/2006/relationships/oleObject" Target="embeddings/oleObject4.bin"/><Relationship Id="rId28" Type="http://schemas.openxmlformats.org/officeDocument/2006/relationships/image" Target="media/image14.wmf"/><Relationship Id="rId29" Type="http://schemas.openxmlformats.org/officeDocument/2006/relationships/oleObject" Target="embeddings/oleObject5.doc"/><Relationship Id="rId30" Type="http://schemas.openxmlformats.org/officeDocument/2006/relationships/image" Target="media/image15.wmf"/><Relationship Id="rId31" Type="http://schemas.openxmlformats.org/officeDocument/2006/relationships/oleObject" Target="embeddings/oleObject6.doc"/><Relationship Id="rId32" Type="http://schemas.openxmlformats.org/officeDocument/2006/relationships/image" Target="media/image16.wmf"/><Relationship Id="rId33" Type="http://schemas.openxmlformats.org/officeDocument/2006/relationships/oleObject" Target="embeddings/oleObject7.doc"/><Relationship Id="rId34" Type="http://schemas.openxmlformats.org/officeDocument/2006/relationships/image" Target="media/image17.wmf"/><Relationship Id="rId35" Type="http://schemas.openxmlformats.org/officeDocument/2006/relationships/oleObject" Target="embeddings/oleObject8.doc"/><Relationship Id="rId36" Type="http://schemas.openxmlformats.org/officeDocument/2006/relationships/image" Target="media/image18.wmf"/><Relationship Id="rId37" Type="http://schemas.openxmlformats.org/officeDocument/2006/relationships/oleObject" Target="embeddings/oleObject9.doc"/><Relationship Id="rId38" Type="http://schemas.openxmlformats.org/officeDocument/2006/relationships/image" Target="media/image19.wmf"/><Relationship Id="rId39" Type="http://schemas.openxmlformats.org/officeDocument/2006/relationships/header" Target="header4.xml"/><Relationship Id="rId40" Type="http://schemas.openxmlformats.org/officeDocument/2006/relationships/footer" Target="footer1.xml"/><Relationship Id="rId41" Type="http://schemas.openxmlformats.org/officeDocument/2006/relationships/footnotes" Target="footnotes.xml"/><Relationship Id="rId42" Type="http://schemas.openxmlformats.org/officeDocument/2006/relationships/numbering" Target="numbering.xml"/><Relationship Id="rId43" Type="http://schemas.openxmlformats.org/officeDocument/2006/relationships/fontTable" Target="fontTable.xml"/><Relationship Id="rId44" Type="http://schemas.openxmlformats.org/officeDocument/2006/relationships/settings" Target="settings.xml"/><Relationship Id="rId45" Type="http://schemas.openxmlformats.org/officeDocument/2006/relationships/theme" Target="theme/theme1.xml"/><Relationship Id="rId46" Type="http://schemas.openxmlformats.org/officeDocument/2006/relationships/customXml" Target="../customXml/item1.xml"/>
</Relationships>
</file>

<file path=word/_rels/header4.xml.rels><?xml version="1.0" encoding="UTF-8"?>
<Relationships xmlns="http://schemas.openxmlformats.org/package/2006/relationships"><Relationship Id="rId1" Type="http://schemas.openxmlformats.org/officeDocument/2006/relationships/image" Target="media/image20.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2A3124-24FE-4949-B378-8F19BDB4F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Application>LibreOffice/7.0.3.1$Windows_x86 LibreOffice_project/d7547858d014d4cf69878db179d326fc3483e082</Application>
  <Pages>65</Pages>
  <Words>36164</Words>
  <Characters>192974</Characters>
  <CharactersWithSpaces>227303</CharactersWithSpaces>
  <Paragraphs>2461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2021-02-16T20:57:00Z</dcterms:created>
  <dc:creator>KSALAZARD</dc:creator>
  <dc:description/>
  <dc:language>es-CR</dc:language>
  <cp:lastModifiedBy>Francini Vindas Vargas</cp:lastModifiedBy>
  <dcterms:modified xsi:type="dcterms:W3CDTF">2021-02-16T20:57:00Z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