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embeddings/oleObject31.bin" ContentType="application/vnd.openxmlformats-officedocument.oleObject"/>
  <Override PartName="/word/embeddings/oleObject1.bin" ContentType="application/vnd.openxmlformats-officedocument.oleObject"/>
  <Override PartName="/word/embeddings/oleObject5.pptx" ContentType="application/vnd.openxmlformats-officedocument.presentationml.presentation"/>
  <Override PartName="/word/embeddings/oleObject32.bin" ContentType="application/vnd.openxmlformats-officedocument.oleObject"/>
  <Override PartName="/word/embeddings/oleObject2.bin" ContentType="application/vnd.openxmlformats-officedocument.oleObject"/>
  <Override PartName="/word/embeddings/oleObject33.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34.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header1.xml" ContentType="application/vnd.openxmlformats-officedocument.wordprocessingml.header+xml"/>
  <Override PartName="/word/media/image1.wmf" ContentType="image/x-wmf"/>
  <Override PartName="/word/media/image2.wmf" ContentType="image/x-wmf"/>
  <Override PartName="/word/media/image3.wmf" ContentType="image/x-wmf"/>
  <Override PartName="/word/media/image6.jpeg" ContentType="image/jpeg"/>
  <Override PartName="/word/media/image4.wmf" ContentType="image/x-wmf"/>
  <Override PartName="/word/media/image23.wmf" ContentType="image/x-wmf"/>
  <Override PartName="/word/media/image5.jpeg" ContentType="image/jpeg"/>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2.wmf" ContentType="image/x-wmf"/>
  <Override PartName="/word/media/image13.wmf" ContentType="image/x-wmf"/>
  <Override PartName="/word/media/image14.wmf" ContentType="image/x-wmf"/>
  <Override PartName="/word/media/image15.wmf" ContentType="image/x-wmf"/>
  <Override PartName="/word/media/image16.wmf" ContentType="image/x-wmf"/>
  <Override PartName="/word/media/image17.wmf" ContentType="image/x-wmf"/>
  <Override PartName="/word/media/image18.wmf" ContentType="image/x-wmf"/>
  <Override PartName="/word/media/image19.wmf" ContentType="image/x-wmf"/>
  <Override PartName="/word/media/image20.wmf" ContentType="image/x-wmf"/>
  <Override PartName="/word/media/image21.wmf" ContentType="image/x-wmf"/>
  <Override PartName="/word/media/image22.wmf" ContentType="image/x-wmf"/>
  <Override PartName="/word/media/image24.wmf" ContentType="image/x-wmf"/>
  <Override PartName="/word/media/image25.wmf" ContentType="image/x-wmf"/>
  <Override PartName="/word/media/image26.wmf" ContentType="image/x-wmf"/>
  <Override PartName="/word/media/image27.wmf" ContentType="image/x-wmf"/>
  <Override PartName="/word/media/image28.wmf" ContentType="image/x-wmf"/>
  <Override PartName="/word/media/image29.wmf" ContentType="image/x-wmf"/>
  <Override PartName="/word/media/image30.wmf" ContentType="image/x-wmf"/>
  <Override PartName="/word/media/image31.wmf" ContentType="image/x-wmf"/>
  <Override PartName="/word/media/image32.wmf" ContentType="image/x-wmf"/>
  <Override PartName="/word/media/image33.png" ContentType="image/png"/>
  <Override PartName="/word/media/image34.wmf" ContentType="image/x-wmf"/>
  <Override PartName="/word/media/image35.wmf" ContentType="image/x-wmf"/>
  <Override PartName="/word/media/image36.wmf" ContentType="image/x-wmf"/>
  <Override PartName="/word/media/image37.wmf" ContentType="image/x-wmf"/>
  <Override PartName="/word/media/image38.wmf" ContentType="image/x-wmf"/>
  <Override PartName="/word/media/image39.wmf" ContentType="image/x-wmf"/>
  <Override PartName="/word/media/image40.png" ContentType="image/png"/>
  <Override PartName="/word/media/image41.jpeg" ContentType="image/jpeg"/>
  <Override PartName="/word/media/image42.png" ContentType="image/png"/>
  <Override PartName="/word/comments.xml" ContentType="application/vnd.openxmlformats-officedocument.wordprocessingml.comment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Century Gothic" w:hAnsi="Century Gothic" w:cs="Arial"/>
          <w:b/>
          <w:b/>
          <w:sz w:val="20"/>
          <w:szCs w:val="20"/>
        </w:rPr>
      </w:pPr>
      <w:bookmarkStart w:id="0" w:name="_GoBack"/>
      <w:bookmarkEnd w:id="0"/>
      <w:r>
        <w:rPr>
          <w:rFonts w:cs="Arial" w:ascii="Century Gothic" w:hAnsi="Century Gothic"/>
          <w:b/>
          <w:sz w:val="20"/>
          <w:szCs w:val="20"/>
        </w:rPr>
        <w:t>Agenda Sesión 05-2019</w:t>
      </w:r>
    </w:p>
    <w:p>
      <w:pPr>
        <w:pStyle w:val="NoSpacing"/>
        <w:jc w:val="center"/>
        <w:rPr>
          <w:rFonts w:ascii="Century Gothic" w:hAnsi="Century Gothic" w:cs="Arial"/>
          <w:b/>
          <w:b/>
          <w:sz w:val="20"/>
          <w:szCs w:val="20"/>
        </w:rPr>
      </w:pPr>
      <w:r>
        <w:rPr>
          <w:rFonts w:cs="Arial" w:ascii="Century Gothic" w:hAnsi="Century Gothic"/>
          <w:b/>
          <w:sz w:val="20"/>
          <w:szCs w:val="20"/>
        </w:rPr>
        <w:t>Subcomisión de Acceso a la Justicia de Pueblos Indígenas</w:t>
      </w:r>
    </w:p>
    <w:p>
      <w:pPr>
        <w:pStyle w:val="NoSpacing"/>
        <w:jc w:val="both"/>
        <w:rPr>
          <w:rFonts w:ascii="Century Gothic" w:hAnsi="Century Gothic" w:cs="Arial"/>
          <w:i/>
          <w:i/>
          <w:sz w:val="20"/>
          <w:szCs w:val="20"/>
        </w:rPr>
      </w:pPr>
      <w:r>
        <w:rPr>
          <w:rFonts w:cs="Arial" w:ascii="Century Gothic" w:hAnsi="Century Gothic"/>
          <w:i/>
          <w:sz w:val="20"/>
          <w:szCs w:val="20"/>
        </w:rPr>
      </w:r>
    </w:p>
    <w:p>
      <w:pPr>
        <w:pStyle w:val="Ttulo2"/>
        <w:jc w:val="both"/>
        <w:rPr>
          <w:rFonts w:ascii="Century Gothic" w:hAnsi="Century Gothic"/>
          <w:b w:val="false"/>
          <w:b w:val="false"/>
          <w:sz w:val="20"/>
          <w:szCs w:val="20"/>
        </w:rPr>
      </w:pPr>
      <w:r>
        <w:rPr>
          <w:rFonts w:ascii="Century Gothic" w:hAnsi="Century Gothic"/>
          <w:b w:val="false"/>
          <w:sz w:val="20"/>
          <w:szCs w:val="20"/>
        </w:rPr>
        <w:t>Fecha: 5 de agosto 2019 (13:30 a las 16:30 horas)</w:t>
      </w:r>
    </w:p>
    <w:p>
      <w:pPr>
        <w:pStyle w:val="Normal"/>
        <w:jc w:val="both"/>
        <w:rPr>
          <w:rFonts w:ascii="Century Gothic" w:hAnsi="Century Gothic" w:cs="Arial"/>
          <w:i/>
          <w:i/>
          <w:sz w:val="20"/>
          <w:szCs w:val="20"/>
        </w:rPr>
      </w:pPr>
      <w:r>
        <w:rPr>
          <w:rFonts w:cs="Arial" w:ascii="Century Gothic" w:hAnsi="Century Gothic"/>
          <w:i/>
          <w:sz w:val="20"/>
          <w:szCs w:val="20"/>
        </w:rPr>
        <w:t>Lugar: Sala Quirós Quarón de ILANUD</w:t>
      </w:r>
    </w:p>
    <w:p>
      <w:pPr>
        <w:pStyle w:val="Normal"/>
        <w:jc w:val="both"/>
        <w:rPr>
          <w:rFonts w:ascii="Century Gothic" w:hAnsi="Century Gothic" w:cs="Arial"/>
          <w:sz w:val="20"/>
          <w:szCs w:val="20"/>
        </w:rPr>
      </w:pPr>
      <w:r>
        <w:rPr>
          <w:rFonts w:cs="Arial" w:ascii="Century Gothic" w:hAnsi="Century Gothic"/>
          <w:sz w:val="20"/>
          <w:szCs w:val="20"/>
        </w:rPr>
      </w:r>
    </w:p>
    <w:tbl>
      <w:tblPr>
        <w:tblW w:w="881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086"/>
        <w:gridCol w:w="2731"/>
      </w:tblGrid>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Style w:val="Ttulo3Car"/>
                <w:rFonts w:ascii="Century Gothic" w:hAnsi="Century Gothic" w:cs="Arial"/>
                <w:color w:val="auto"/>
                <w:sz w:val="20"/>
                <w:szCs w:val="20"/>
              </w:rPr>
            </w:pPr>
            <w:r>
              <w:rPr>
                <w:rStyle w:val="Ttulo3Car"/>
                <w:rFonts w:cs="Arial" w:ascii="Century Gothic" w:hAnsi="Century Gothic"/>
                <w:color w:val="auto"/>
                <w:sz w:val="20"/>
                <w:szCs w:val="20"/>
              </w:rPr>
              <w:t>INTEGRANTES</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Style w:val="Ttulo3Car"/>
                <w:rFonts w:ascii="Century Gothic" w:hAnsi="Century Gothic" w:cs="Arial"/>
                <w:color w:val="auto"/>
                <w:sz w:val="20"/>
                <w:szCs w:val="20"/>
              </w:rPr>
            </w:pPr>
            <w:r>
              <w:rPr>
                <w:rStyle w:val="Ttulo3Car"/>
                <w:rFonts w:cs="Arial" w:ascii="Century Gothic" w:hAnsi="Century Gothic"/>
                <w:color w:val="auto"/>
                <w:sz w:val="20"/>
                <w:szCs w:val="20"/>
              </w:rPr>
              <w:t>ASISTENTES</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Style w:val="Ttulo3Car"/>
                <w:rFonts w:ascii="Century Gothic" w:hAnsi="Century Gothic" w:cs="Arial"/>
                <w:b/>
                <w:b/>
                <w:i/>
                <w:i/>
                <w:color w:val="auto"/>
                <w:sz w:val="20"/>
                <w:szCs w:val="20"/>
              </w:rPr>
            </w:pPr>
            <w:r>
              <w:rPr>
                <w:rStyle w:val="Ttulo3Car"/>
                <w:rFonts w:cs="Arial" w:ascii="Century Gothic" w:hAnsi="Century Gothic"/>
                <w:b/>
                <w:i/>
                <w:color w:val="auto"/>
                <w:sz w:val="20"/>
                <w:szCs w:val="20"/>
              </w:rPr>
              <w:t>Magistrado Jorge Olaso Álvarez, Coordinador Comisión de Acceso a la Justicia</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Style w:val="Ttulo3Car"/>
                <w:rFonts w:ascii="Century Gothic" w:hAnsi="Century Gothic" w:cs="Arial"/>
                <w:i/>
                <w:i/>
                <w:color w:val="auto"/>
                <w:sz w:val="20"/>
                <w:szCs w:val="20"/>
              </w:rPr>
            </w:pPr>
            <w:r>
              <w:rPr>
                <w:rStyle w:val="Ttulo3Car"/>
                <w:rFonts w:cs="Arial" w:ascii="Century Gothic" w:hAnsi="Century Gothic"/>
                <w:i/>
                <w:color w:val="auto"/>
                <w:sz w:val="20"/>
                <w:szCs w:val="20"/>
              </w:rPr>
              <w:t>Justifica su ausencia por estar en sesión de Corte Plena</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Melissa Benavides Víquez, Coordinadora Unidad de Acceso a la Justicia</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Damaris Vargas Vásquez, Coordinadora Subcomisión</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Marcos Guevara Berger, Catedrático UCR, Antropólogo</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Jean Carlo Monge, Judicatura Penal</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Sandra Pizarro, integrante Consejo Superior</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jc w:val="both"/>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Manuel Hidalgo, Director CONAMAJ</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Román Bresciani Quirós, Escuela Judicial</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 xml:space="preserve">No </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Geyner Blanco, Asesor de Casa Presidencial</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Valeria Varas, Asesora INAMU</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Justificó inasistencia</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Alí García, Profesor UCR</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Carlos Mora, Profesor UNA</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Vanessa Villalobos Montero, Departamento de Trabajo Social y Psicología</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 xml:space="preserve">Sra. Carmen María Escoto Fernández, representante de sociedad civil </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 xml:space="preserve">Sra. Ariana Céspedes, Fiscala Indígena/ </w:t>
            </w:r>
            <w:r>
              <w:rPr>
                <w:rFonts w:cs="Arial" w:ascii="Century Gothic" w:hAnsi="Century Gothic"/>
                <w:i/>
                <w:sz w:val="20"/>
                <w:szCs w:val="20"/>
              </w:rPr>
              <w:t>Suplente</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Ligia Jeannette Arias, Defensora Indígena</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Erick Alfaro, Contralor de Servicios Poder Judicial</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No</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 Carlos Romero, Contralor de Servicios de Pérez Zeledón</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Marjorie Herrera, Defensoría de los Habitantes de la República</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rPr>
            </w:pPr>
            <w:r>
              <w:rPr>
                <w:rFonts w:cs="Arial" w:ascii="Century Gothic" w:hAnsi="Century Gothic"/>
                <w:i/>
                <w:sz w:val="20"/>
                <w:szCs w:val="20"/>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t>Sra. Yorleny Ferreto, Organismo de Investigación Judicial</w:t>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shd w:fill="FFFFFF" w:val="clear"/>
              </w:rPr>
            </w:pPr>
            <w:r>
              <w:rPr>
                <w:rFonts w:cs="Arial" w:ascii="Century Gothic" w:hAnsi="Century Gothic"/>
                <w:i/>
                <w:sz w:val="20"/>
                <w:szCs w:val="20"/>
                <w:shd w:fill="FFFFFF" w:val="clear"/>
              </w:rPr>
              <w:t>Si</w:t>
            </w:r>
          </w:p>
        </w:tc>
      </w:tr>
      <w:tr>
        <w:trPr/>
        <w:tc>
          <w:tcPr>
            <w:tcW w:w="608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b/>
                <w:b/>
                <w:i/>
                <w:i/>
                <w:sz w:val="20"/>
                <w:szCs w:val="20"/>
              </w:rPr>
            </w:pPr>
            <w:r>
              <w:rPr>
                <w:rFonts w:cs="Arial" w:ascii="Century Gothic" w:hAnsi="Century Gothic"/>
                <w:b/>
                <w:i/>
                <w:sz w:val="20"/>
                <w:szCs w:val="20"/>
              </w:rPr>
            </w:r>
          </w:p>
        </w:tc>
        <w:tc>
          <w:tcPr>
            <w:tcW w:w="273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60"/>
              <w:rPr>
                <w:rFonts w:ascii="Century Gothic" w:hAnsi="Century Gothic" w:cs="Arial"/>
                <w:i/>
                <w:i/>
                <w:sz w:val="20"/>
                <w:szCs w:val="20"/>
                <w:shd w:fill="FFFFFF" w:val="clear"/>
              </w:rPr>
            </w:pPr>
            <w:r>
              <w:rPr>
                <w:rFonts w:cs="Arial" w:ascii="Century Gothic" w:hAnsi="Century Gothic"/>
                <w:i/>
                <w:sz w:val="20"/>
                <w:szCs w:val="20"/>
                <w:shd w:fill="FFFFFF" w:val="clear"/>
              </w:rPr>
            </w:r>
          </w:p>
        </w:tc>
      </w:tr>
    </w:tbl>
    <w:p>
      <w:pPr>
        <w:pStyle w:val="Normal"/>
        <w:spacing w:lineRule="auto" w:line="240" w:before="0" w:after="0"/>
        <w:jc w:val="both"/>
        <w:rPr>
          <w:rStyle w:val="Ttulo3Car"/>
          <w:rFonts w:ascii="Century Gothic" w:hAnsi="Century Gothic" w:cs="Arial"/>
          <w:i/>
          <w:i/>
          <w:color w:val="auto"/>
          <w:sz w:val="20"/>
          <w:szCs w:val="20"/>
        </w:rPr>
      </w:pPr>
      <w:r>
        <w:rPr>
          <w:rFonts w:cs="Arial" w:ascii="Century Gothic" w:hAnsi="Century Gothic"/>
          <w:i/>
          <w:color w:val="auto"/>
          <w:sz w:val="20"/>
          <w:szCs w:val="20"/>
        </w:rPr>
      </w:r>
    </w:p>
    <w:p>
      <w:pPr>
        <w:pStyle w:val="Normal"/>
        <w:jc w:val="both"/>
        <w:rPr>
          <w:rFonts w:ascii="Century Gothic" w:hAnsi="Century Gothic" w:cs="Arial"/>
          <w:b/>
          <w:b/>
          <w:sz w:val="20"/>
          <w:szCs w:val="20"/>
          <w:u w:val="single"/>
        </w:rPr>
      </w:pPr>
      <w:r>
        <w:rPr>
          <w:rFonts w:cs="Arial" w:ascii="Century Gothic" w:hAnsi="Century Gothic"/>
          <w:b/>
          <w:sz w:val="20"/>
          <w:szCs w:val="20"/>
          <w:u w:val="single"/>
        </w:rPr>
      </w:r>
    </w:p>
    <w:p>
      <w:pPr>
        <w:pStyle w:val="Normal"/>
        <w:jc w:val="center"/>
        <w:rPr>
          <w:rFonts w:ascii="Century Gothic" w:hAnsi="Century Gothic" w:cs="Arial"/>
          <w:b/>
          <w:b/>
          <w:sz w:val="20"/>
          <w:szCs w:val="20"/>
          <w:u w:val="single"/>
        </w:rPr>
      </w:pPr>
      <w:r>
        <w:rPr>
          <w:rFonts w:cs="Arial" w:ascii="Century Gothic" w:hAnsi="Century Gothic"/>
          <w:b/>
          <w:sz w:val="20"/>
          <w:szCs w:val="20"/>
          <w:highlight w:val="yellow"/>
          <w:u w:val="single"/>
        </w:rPr>
        <w:t>ARTICULO I</w:t>
      </w:r>
    </w:p>
    <w:p>
      <w:pPr>
        <w:pStyle w:val="Normal"/>
        <w:jc w:val="both"/>
        <w:rPr>
          <w:rFonts w:ascii="Century Gothic" w:hAnsi="Century Gothic" w:cs="Arial"/>
          <w:sz w:val="20"/>
          <w:szCs w:val="20"/>
        </w:rPr>
      </w:pPr>
      <w:r>
        <w:rPr>
          <w:rFonts w:cs="Arial" w:ascii="Century Gothic" w:hAnsi="Century Gothic"/>
          <w:sz w:val="20"/>
          <w:szCs w:val="20"/>
        </w:rPr>
        <w:t xml:space="preserve">Lectura y aprobación del acta anterior. Se informa que el acta de la sesión del 3 de junio de 2019 fue debidamente comunicada a las personas integrantes de la Subcomisión de Acceso a la Justicia de Pueblos Indígenas mediante correo electrónico del 04 de junio. </w:t>
      </w:r>
    </w:p>
    <w:p>
      <w:pPr>
        <w:pStyle w:val="Normal"/>
        <w:jc w:val="both"/>
        <w:rPr>
          <w:rFonts w:ascii="Century Gothic" w:hAnsi="Century Gothic" w:cs="Arial"/>
          <w:sz w:val="20"/>
          <w:szCs w:val="20"/>
        </w:rPr>
      </w:pPr>
      <w:r>
        <w:rPr/>
        <w:object>
          <v:shape id="ole_rId2" style="width:76.5pt;height:51.75pt" o:ole="">
            <v:imagedata r:id="rId3" o:title=""/>
          </v:shape>
          <o:OLEObject Type="Embed" ProgID="Package" ShapeID="ole_rId2" DrawAspect="Icon" ObjectID="_1681911931" r:id="rId2"/>
        </w:object>
      </w:r>
    </w:p>
    <w:p>
      <w:pPr>
        <w:pStyle w:val="Normal"/>
        <w:jc w:val="both"/>
        <w:rPr>
          <w:rFonts w:ascii="Century Gothic" w:hAnsi="Century Gothic" w:cs="Arial"/>
          <w:sz w:val="20"/>
          <w:szCs w:val="20"/>
        </w:rPr>
      </w:pPr>
      <w:r>
        <w:rPr>
          <w:rFonts w:cs="Arial" w:ascii="Century Gothic" w:hAnsi="Century Gothic"/>
          <w:b/>
          <w:sz w:val="20"/>
          <w:szCs w:val="20"/>
          <w:highlight w:val="yellow"/>
        </w:rPr>
        <w:t>SE ACUERDA</w:t>
      </w:r>
      <w:r>
        <w:rPr>
          <w:rFonts w:cs="Arial" w:ascii="Century Gothic" w:hAnsi="Century Gothic"/>
          <w:sz w:val="20"/>
          <w:szCs w:val="20"/>
          <w:highlight w:val="yellow"/>
        </w:rPr>
        <w:t>: Se aprueba el acta.-</w:t>
      </w:r>
    </w:p>
    <w:p>
      <w:pPr>
        <w:pStyle w:val="Normal"/>
        <w:widowControl w:val="false"/>
        <w:jc w:val="center"/>
        <w:rPr>
          <w:rFonts w:ascii="Century Gothic" w:hAnsi="Century Gothic" w:cs="Arial"/>
          <w:b/>
          <w:b/>
          <w:sz w:val="20"/>
          <w:szCs w:val="20"/>
          <w:u w:val="single"/>
        </w:rPr>
      </w:pPr>
      <w:r>
        <w:rPr>
          <w:rFonts w:cs="Arial" w:ascii="Century Gothic" w:hAnsi="Century Gothic"/>
          <w:b/>
          <w:sz w:val="20"/>
          <w:szCs w:val="20"/>
          <w:highlight w:val="yellow"/>
          <w:u w:val="single"/>
        </w:rPr>
        <w:t>ARTÍCULO II</w:t>
      </w:r>
    </w:p>
    <w:p>
      <w:pPr>
        <w:pStyle w:val="Normal"/>
        <w:jc w:val="both"/>
        <w:rPr>
          <w:rFonts w:ascii="Century Gothic" w:hAnsi="Century Gothic"/>
          <w:sz w:val="20"/>
          <w:szCs w:val="20"/>
          <w:lang w:val="es-ES_tradnl" w:eastAsia="ar-SA"/>
        </w:rPr>
      </w:pPr>
      <w:r>
        <w:rPr>
          <w:rFonts w:ascii="Century Gothic" w:hAnsi="Century Gothic"/>
          <w:sz w:val="20"/>
          <w:szCs w:val="20"/>
        </w:rPr>
        <w:t>Se conoce el Oficio 6418-19 de 26 de junio de 2019 mediante el cual la Secretaría General de la Corte comunicó al</w:t>
      </w:r>
      <w:r>
        <w:rPr>
          <w:rFonts w:ascii="Century Gothic" w:hAnsi="Century Gothic"/>
          <w:sz w:val="20"/>
          <w:szCs w:val="20"/>
          <w:lang w:val="es-ES" w:eastAsia="es-CR"/>
        </w:rPr>
        <w:t xml:space="preserve"> Despacho de la Presidencia de la Corte, Secretaría Defensa Publica, Dirección General OIJ, Dirección de la Escuela Judicial, Secretaría de la Escuela Judicial,  Secretaría de Gestión Humana, Dirección de Planificación y Dirección de Tecnología de Información, el </w:t>
      </w:r>
      <w:r>
        <w:rPr>
          <w:rFonts w:ascii="Century Gothic" w:hAnsi="Century Gothic"/>
          <w:sz w:val="20"/>
          <w:szCs w:val="20"/>
          <w:lang w:val="es-ES_tradnl" w:eastAsia="ar-SA"/>
        </w:rPr>
        <w:t xml:space="preserve">acuerdo tomado por la Corte Plena, en la sesión </w:t>
      </w:r>
      <w:r>
        <w:rPr>
          <w:rFonts w:ascii="Century Gothic" w:hAnsi="Century Gothic"/>
          <w:bCs/>
          <w:sz w:val="20"/>
          <w:szCs w:val="20"/>
          <w:lang w:val="es-ES_tradnl" w:eastAsia="ar-SA"/>
        </w:rPr>
        <w:t>N° 25-19</w:t>
      </w:r>
      <w:r>
        <w:rPr>
          <w:rFonts w:ascii="Century Gothic" w:hAnsi="Century Gothic"/>
          <w:sz w:val="20"/>
          <w:szCs w:val="20"/>
          <w:lang w:val="es-ES_tradnl" w:eastAsia="ar-SA"/>
        </w:rPr>
        <w:t xml:space="preserve"> celebrada </w:t>
      </w:r>
      <w:r>
        <w:rPr>
          <w:rFonts w:ascii="Century Gothic" w:hAnsi="Century Gothic"/>
          <w:bCs/>
          <w:sz w:val="20"/>
          <w:szCs w:val="20"/>
          <w:lang w:val="es-ES_tradnl" w:eastAsia="ar-SA"/>
        </w:rPr>
        <w:t>el 24 de junio del año en curso</w:t>
      </w:r>
      <w:r>
        <w:rPr>
          <w:rFonts w:ascii="Century Gothic" w:hAnsi="Century Gothic"/>
          <w:sz w:val="20"/>
          <w:szCs w:val="20"/>
          <w:lang w:val="es-ES_tradnl" w:eastAsia="ar-SA"/>
        </w:rPr>
        <w:t>, Artículo II. En dicho Acuerdo se conoció el Artículo XIX de la sesión 20-19 de 27 de mayo de 2019, en la que se había dispuesto: “</w:t>
      </w:r>
      <w:r>
        <w:rPr>
          <w:rFonts w:ascii="Century Gothic" w:hAnsi="Century Gothic"/>
          <w:bCs/>
          <w:sz w:val="20"/>
          <w:szCs w:val="20"/>
          <w:lang w:val="es-ES_tradnl" w:eastAsia="ar-SA"/>
        </w:rPr>
        <w:t>Se acordó:</w:t>
      </w:r>
      <w:r>
        <w:rPr>
          <w:rFonts w:ascii="Century Gothic" w:hAnsi="Century Gothic"/>
          <w:sz w:val="20"/>
          <w:szCs w:val="20"/>
          <w:lang w:val="es-ES_tradnl" w:eastAsia="ar-SA"/>
        </w:rPr>
        <w:t xml:space="preserve"> Tener por hecha la exposición de la máster Damaris Vargas Vásquez sobre el Informe Ejecutivo sobre el encuentro realizado el 5, 6 y 7 de abril entre representantes del Estado y Personas Indígenas Bribri de Salitre y Térraba, con ocasión del cumplimiento de las Medidas Cautelares N 321-12 del 30 de abril de 2015, establecidas por la Comisión Interamericana de Derechos Humanos (CIDH) contra Costa Rica y aprobar los 21 ejes de acción para ser desarrollados por las Direcciones del Ministerio Público, Defensa Pública, Organismo de Investigación Judicial, Gestión Humana, Planificación, Dirección Ejecutiva, Tecnología de la Información, Escuela Judicial y el Sector Jurisdiccional. La Secretaría General de la Corte tomará nota para realizar la comunicación correspondiente.”; y la solicitud para que se incluyera en el acuerdo de Corte Plena de la sesión N° 20-19 de 27 de mayo de 2019 el contenido íntegro de los 21 ejes de acción propuestos y aprobados por Corte Plena, disponiéndose:</w:t>
      </w:r>
    </w:p>
    <w:p>
      <w:pPr>
        <w:pStyle w:val="Normal"/>
        <w:ind w:left="1416" w:hanging="0"/>
        <w:jc w:val="both"/>
        <w:rPr>
          <w:rFonts w:ascii="Century Gothic" w:hAnsi="Century Gothic"/>
          <w:i/>
          <w:i/>
          <w:sz w:val="20"/>
          <w:szCs w:val="20"/>
          <w:lang w:val="es-ES" w:eastAsia="ar-SA"/>
        </w:rPr>
      </w:pPr>
      <w:r>
        <w:rPr>
          <w:rFonts w:ascii="Century Gothic" w:hAnsi="Century Gothic"/>
          <w:b/>
          <w:bCs/>
          <w:i/>
          <w:sz w:val="20"/>
          <w:szCs w:val="20"/>
          <w:lang w:val="es-ES" w:eastAsia="ar-SA"/>
        </w:rPr>
        <w:t>“</w:t>
      </w:r>
      <w:r>
        <w:rPr>
          <w:rFonts w:ascii="Century Gothic" w:hAnsi="Century Gothic"/>
          <w:b/>
          <w:bCs/>
          <w:i/>
          <w:sz w:val="20"/>
          <w:szCs w:val="20"/>
          <w:lang w:val="es-ES" w:eastAsia="ar-SA"/>
        </w:rPr>
        <w:t>Se acordó:</w:t>
      </w:r>
      <w:r>
        <w:rPr>
          <w:rFonts w:ascii="Century Gothic" w:hAnsi="Century Gothic"/>
          <w:i/>
          <w:sz w:val="20"/>
          <w:szCs w:val="20"/>
          <w:lang w:val="es-ES" w:eastAsia="es-ES"/>
        </w:rPr>
        <w:t xml:space="preserve"> </w:t>
      </w:r>
      <w:r>
        <w:rPr>
          <w:rFonts w:ascii="Century Gothic" w:hAnsi="Century Gothic"/>
          <w:i/>
          <w:sz w:val="20"/>
          <w:szCs w:val="20"/>
          <w:lang w:val="es-ES" w:eastAsia="ar-SA"/>
        </w:rPr>
        <w:t>Acoger la solicitud de la máster Damaris Vargas Vásquez, en consecuencia, adicionar en la parte dispositiva del acuerdo adoptado en sesión N° 20-19 de 27 de mayo de 2019, artículo XIX, el contenido íntegro de los 21 ejes de acción propuestos y aprobados, los cuales se indican de seguido:</w:t>
      </w:r>
    </w:p>
    <w:p>
      <w:pPr>
        <w:pStyle w:val="Normal"/>
        <w:spacing w:before="0" w:after="240"/>
        <w:ind w:left="1558" w:right="850" w:hanging="0"/>
        <w:jc w:val="both"/>
        <w:rPr>
          <w:rFonts w:ascii="Century Gothic" w:hAnsi="Century Gothic"/>
          <w:i/>
          <w:i/>
          <w:sz w:val="20"/>
          <w:szCs w:val="20"/>
        </w:rPr>
      </w:pPr>
      <w:r>
        <w:rPr>
          <w:rFonts w:ascii="Century Gothic" w:hAnsi="Century Gothic"/>
          <w:b/>
          <w:bCs/>
          <w:i/>
          <w:sz w:val="20"/>
          <w:szCs w:val="20"/>
          <w:lang w:val="es-ES_tradnl" w:eastAsia="ar-SA"/>
        </w:rPr>
        <w:t>1.</w:t>
      </w:r>
      <w:r>
        <w:rPr>
          <w:rFonts w:ascii="Century Gothic" w:hAnsi="Century Gothic"/>
          <w:i/>
          <w:sz w:val="20"/>
          <w:szCs w:val="20"/>
          <w:lang w:val="es-ES_tradnl" w:eastAsia="ar-SA"/>
        </w:rPr>
        <w:t xml:space="preserve"> 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2.</w:t>
      </w:r>
      <w:r>
        <w:rPr>
          <w:rFonts w:ascii="Century Gothic" w:hAnsi="Century Gothic"/>
          <w:i/>
          <w:sz w:val="20"/>
          <w:szCs w:val="20"/>
          <w:lang w:val="es-ES_tradnl" w:eastAsia="ar-SA"/>
        </w:rPr>
        <w:t xml:space="preserve"> Identificar y analizar los riesgos relevantes asociados al logro de los objetivos y las metas institucionales vinculadas con la población indígena, establecidas en el Plan Estratégico Institucional 2019/2024 (ejes transversales acceso a la justicia y justicia abierta, entre otros); el efecto posible de tales riesgos, su importancia y la probabilidad de que ocurran, y decidir las acciones que se tomarán 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3.</w:t>
      </w:r>
      <w:r>
        <w:rPr>
          <w:rFonts w:ascii="Century Gothic" w:hAnsi="Century Gothic"/>
          <w:i/>
          <w:sz w:val="20"/>
          <w:szCs w:val="20"/>
          <w:lang w:val="es-ES_tradnl" w:eastAsia="ar-SA"/>
        </w:rPr>
        <w:t xml:space="preserve"> 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4.</w:t>
      </w:r>
      <w:r>
        <w:rPr>
          <w:rFonts w:ascii="Century Gothic" w:hAnsi="Century Gothic"/>
          <w:i/>
          <w:sz w:val="20"/>
          <w:szCs w:val="20"/>
          <w:lang w:val="es-ES_tradnl" w:eastAsia="ar-SA"/>
        </w:rPr>
        <w:t xml:space="preserve"> 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5.</w:t>
      </w:r>
      <w:r>
        <w:rPr>
          <w:rFonts w:ascii="Century Gothic" w:hAnsi="Century Gothic"/>
          <w:i/>
          <w:sz w:val="20"/>
          <w:szCs w:val="20"/>
          <w:lang w:val="es-ES_tradnl" w:eastAsia="ar-SA"/>
        </w:rPr>
        <w:t xml:space="preserve"> 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6.</w:t>
      </w:r>
      <w:r>
        <w:rPr>
          <w:rFonts w:ascii="Century Gothic" w:hAnsi="Century Gothic"/>
          <w:i/>
          <w:sz w:val="20"/>
          <w:szCs w:val="20"/>
          <w:lang w:val="es-ES_tradnl" w:eastAsia="ar-SA"/>
        </w:rPr>
        <w:t xml:space="preserve"> 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 i) asegurar que los miembros de la comunidad puedan comprender y hacerse comprender en los procedimientos legales iniciados, facilitándoles intérpretes u otros medios eficaces para tal fin; ii) proporcionar el acceso a los pueblos indígenas y tribales a asistencia técnica y legal en relación con su derecho a la propiedad colectiva, en el supuesto de que estos se encontrasen en una situación de vulnerabilidad que les impediría conseguirla, y iii)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7.</w:t>
      </w:r>
      <w:r>
        <w:rPr>
          <w:rFonts w:ascii="Century Gothic" w:hAnsi="Century Gothic"/>
          <w:i/>
          <w:sz w:val="20"/>
          <w:szCs w:val="20"/>
          <w:lang w:val="es-ES_tradnl" w:eastAsia="ar-SA"/>
        </w:rPr>
        <w:t xml:space="preserve"> 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  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8.</w:t>
      </w:r>
      <w:r>
        <w:rPr>
          <w:rFonts w:ascii="Century Gothic" w:hAnsi="Century Gothic"/>
          <w:i/>
          <w:sz w:val="20"/>
          <w:szCs w:val="20"/>
          <w:lang w:val="es-ES_tradnl" w:eastAsia="ar-SA"/>
        </w:rPr>
        <w:t xml:space="preserve"> 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9.</w:t>
      </w:r>
      <w:r>
        <w:rPr>
          <w:rFonts w:ascii="Century Gothic" w:hAnsi="Century Gothic"/>
          <w:i/>
          <w:sz w:val="20"/>
          <w:szCs w:val="20"/>
          <w:lang w:val="es-ES_tradnl" w:eastAsia="ar-SA"/>
        </w:rPr>
        <w:t xml:space="preserve"> 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10.</w:t>
      </w:r>
      <w:r>
        <w:rPr>
          <w:rFonts w:ascii="Century Gothic" w:hAnsi="Century Gothic"/>
          <w:i/>
          <w:sz w:val="20"/>
          <w:szCs w:val="20"/>
          <w:lang w:val="es-ES_tradnl" w:eastAsia="ar-SA"/>
        </w:rPr>
        <w:t xml:space="preserve"> Verificar que en los contenidos de los diseños de las capacitaciones en Derecho Indígena, se incluya al menos: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i/>
          <w:sz w:val="20"/>
          <w:szCs w:val="20"/>
          <w:lang w:val="es-ES_tradnl" w:eastAsia="ar-SA"/>
        </w:rPr>
        <w:t>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i/>
          <w:sz w:val="20"/>
          <w:szCs w:val="20"/>
          <w:lang w:val="es-ES_tradnl" w:eastAsia="ar-SA"/>
        </w:rPr>
        <w:t>Jurisprudencia de la Corte Interamericana de Derechos Humanos vinculada con pueblos Indígenas incluyendo la Opinión Consultiva 23-2017,</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i/>
          <w:sz w:val="20"/>
          <w:szCs w:val="20"/>
          <w:lang w:val="es-ES_tradnl" w:eastAsia="ar-SA"/>
        </w:rPr>
        <w:t>Constitución Política, Ley Indígena, Ley de Acceso a la Justicia de los Pueblos Indígenas, entre otras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i/>
          <w:sz w:val="20"/>
          <w:szCs w:val="20"/>
          <w:lang w:val="es-ES_tradnl" w:eastAsia="ar-SA"/>
        </w:rPr>
        <w:t>Jurisprudencia de las Salas de Casación y de la Sala Constitucional de la Corte Suprema de Justicia.</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i/>
          <w:sz w:val="20"/>
          <w:szCs w:val="20"/>
          <w:lang w:val="es-ES_tradnl" w:eastAsia="ar-SA"/>
        </w:rPr>
        <w:t>e. Lineamientos y circulares de Corte Plena y del Consejo Superior vinculados con las reglas para los procesos en los que estén involucradas personas indígenas; además, los alcances y distinción entre el sistema monista y el pluralismo jurídico.</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11.</w:t>
      </w:r>
      <w:r>
        <w:rPr>
          <w:rFonts w:ascii="Century Gothic" w:hAnsi="Century Gothic"/>
          <w:i/>
          <w:sz w:val="20"/>
          <w:szCs w:val="20"/>
          <w:lang w:val="es-ES_tradnl" w:eastAsia="ar-SA"/>
        </w:rPr>
        <w:t xml:space="preserve"> 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12.</w:t>
      </w:r>
      <w:r>
        <w:rPr>
          <w:rFonts w:ascii="Century Gothic" w:hAnsi="Century Gothic"/>
          <w:i/>
          <w:sz w:val="20"/>
          <w:szCs w:val="20"/>
          <w:lang w:val="es-ES_tradnl" w:eastAsia="ar-SA"/>
        </w:rPr>
        <w:t xml:space="preserve"> 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13.</w:t>
      </w:r>
      <w:r>
        <w:rPr>
          <w:rFonts w:ascii="Century Gothic" w:hAnsi="Century Gothic"/>
          <w:i/>
          <w:sz w:val="20"/>
          <w:szCs w:val="20"/>
          <w:lang w:val="es-ES_tradnl" w:eastAsia="ar-SA"/>
        </w:rPr>
        <w:t xml:space="preserve"> 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14.</w:t>
      </w:r>
      <w:r>
        <w:rPr>
          <w:rFonts w:ascii="Century Gothic" w:hAnsi="Century Gothic"/>
          <w:i/>
          <w:sz w:val="20"/>
          <w:szCs w:val="20"/>
          <w:lang w:val="es-ES_tradnl" w:eastAsia="ar-SA"/>
        </w:rPr>
        <w:t xml:space="preserve"> Valorar la posibilidad de establecer acuerdos interinstitucionales entre el Poder Judicial, el Poder Ejecutivo (y sus instituciones)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15.</w:t>
      </w:r>
      <w:r>
        <w:rPr>
          <w:rFonts w:ascii="Century Gothic" w:hAnsi="Century Gothic"/>
          <w:i/>
          <w:sz w:val="20"/>
          <w:szCs w:val="20"/>
          <w:lang w:val="es-ES_tradnl" w:eastAsia="ar-SA"/>
        </w:rPr>
        <w:t xml:space="preserve"> 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16.</w:t>
      </w:r>
      <w:r>
        <w:rPr>
          <w:rFonts w:ascii="Century Gothic" w:hAnsi="Century Gothic"/>
          <w:i/>
          <w:sz w:val="20"/>
          <w:szCs w:val="20"/>
          <w:lang w:val="es-ES_tradnl" w:eastAsia="ar-SA"/>
        </w:rPr>
        <w:t xml:space="preserve"> Analizar opciones para brindar protección y seguridad a las personas indígenas beneficiarias de las medidas cautelares, dentro de sus territorios y acordes a sus costumbres.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17.</w:t>
      </w:r>
      <w:r>
        <w:rPr>
          <w:rFonts w:ascii="Century Gothic" w:hAnsi="Century Gothic"/>
          <w:i/>
          <w:sz w:val="20"/>
          <w:szCs w:val="20"/>
          <w:lang w:val="es-ES_tradnl" w:eastAsia="ar-SA"/>
        </w:rPr>
        <w:t xml:space="preserve"> Realizar sesiones periódicas en las que se informe a miembros del pueblo indígena Teribe y Bribrí de Salitre beneficiarias de las medidas cautelares de la CIDH sobre los avances alcanzados.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18.</w:t>
      </w:r>
      <w:r>
        <w:rPr>
          <w:rFonts w:ascii="Century Gothic" w:hAnsi="Century Gothic"/>
          <w:i/>
          <w:sz w:val="20"/>
          <w:szCs w:val="20"/>
          <w:lang w:val="es-ES_tradnl" w:eastAsia="ar-SA"/>
        </w:rPr>
        <w:t xml:space="preserve"> 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Escuelas de la UCR que podrían ofrecer insumos importantes en los peritajes culturales.</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19.</w:t>
      </w:r>
      <w:r>
        <w:rPr>
          <w:rFonts w:ascii="Century Gothic" w:hAnsi="Century Gothic"/>
          <w:i/>
          <w:sz w:val="20"/>
          <w:szCs w:val="20"/>
          <w:lang w:val="es-ES_tradnl" w:eastAsia="ar-SA"/>
        </w:rPr>
        <w:t xml:space="preserve"> 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20.</w:t>
      </w:r>
      <w:r>
        <w:rPr>
          <w:rFonts w:ascii="Century Gothic" w:hAnsi="Century Gothic"/>
          <w:i/>
          <w:sz w:val="20"/>
          <w:szCs w:val="20"/>
          <w:lang w:val="es-ES_tradnl" w:eastAsia="ar-SA"/>
        </w:rPr>
        <w:t xml:space="preserve"> 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b/>
          <w:bCs/>
          <w:i/>
          <w:sz w:val="20"/>
          <w:szCs w:val="20"/>
          <w:lang w:val="es-ES_tradnl" w:eastAsia="ar-SA"/>
        </w:rPr>
        <w:t>21.</w:t>
      </w:r>
      <w:r>
        <w:rPr>
          <w:rFonts w:ascii="Century Gothic" w:hAnsi="Century Gothic"/>
          <w:i/>
          <w:sz w:val="20"/>
          <w:szCs w:val="20"/>
          <w:lang w:val="es-ES_tradnl" w:eastAsia="ar-SA"/>
        </w:rPr>
        <w:t xml:space="preserve"> Participar como parte del Estado en los encuentros que se realicen entre las personas indígenas beneficiarias de las medidas y otras instituciones del Estado.</w:t>
      </w:r>
    </w:p>
    <w:p>
      <w:pPr>
        <w:pStyle w:val="Normal"/>
        <w:spacing w:before="0" w:after="240"/>
        <w:ind w:left="1558" w:right="850" w:hanging="0"/>
        <w:jc w:val="both"/>
        <w:rPr>
          <w:rFonts w:ascii="Century Gothic" w:hAnsi="Century Gothic"/>
          <w:i/>
          <w:i/>
          <w:sz w:val="20"/>
          <w:szCs w:val="20"/>
          <w:lang w:val="es-ES_tradnl" w:eastAsia="ar-SA"/>
        </w:rPr>
      </w:pPr>
      <w:r>
        <w:rPr>
          <w:rFonts w:ascii="Century Gothic" w:hAnsi="Century Gothic"/>
          <w:i/>
          <w:sz w:val="20"/>
          <w:szCs w:val="20"/>
          <w:lang w:eastAsia="ar-SA"/>
        </w:rPr>
        <w:t>En relación con lo anterior, en lo que respecta a pueblos indígenas, “es indispensable que los Estados otorguen una protección efectiva que tome en cuenta sus particularidades propias, sus características económicas y sociales, así como su situación de especial vulnerabilidad, su derecho consuetudinario, valores, usos y costumbres”, según lo indicó la Corte Interamericana de Derechos Humanos en el caso Pueblo Indígena Kichwa de Sarayaku versus Ecuador en sentencia de 27 de junio de 2012</w:t>
      </w:r>
      <w:r>
        <w:rPr>
          <w:rFonts w:ascii="Century Gothic" w:hAnsi="Century Gothic"/>
          <w:i/>
          <w:sz w:val="20"/>
          <w:szCs w:val="20"/>
          <w:lang w:val="es-ES_tradnl" w:eastAsia="ar-SA"/>
        </w:rPr>
        <w:t>”.</w:t>
      </w:r>
    </w:p>
    <w:p>
      <w:pPr>
        <w:pStyle w:val="Normal"/>
        <w:jc w:val="both"/>
        <w:rPr>
          <w:rFonts w:ascii="Century Gothic" w:hAnsi="Century Gothic"/>
          <w:sz w:val="20"/>
          <w:szCs w:val="20"/>
        </w:rPr>
      </w:pPr>
      <w:r>
        <w:rPr>
          <w:rFonts w:cs="Arial" w:ascii="Century Gothic" w:hAnsi="Century Gothic"/>
          <w:sz w:val="20"/>
          <w:szCs w:val="20"/>
        </w:rPr>
        <w:t xml:space="preserve">Con el objetivo de dar seguimiento </w:t>
      </w:r>
      <w:r>
        <w:rPr>
          <w:rFonts w:ascii="Century Gothic" w:hAnsi="Century Gothic"/>
          <w:sz w:val="20"/>
          <w:szCs w:val="20"/>
        </w:rPr>
        <w:t>al acuerdo de Corte Plena adoptado en sesión N° 25-19 del 24 de junio del año en curso, articulo II, relativo a los  21 ejes de acción para ser desarrollados por las Direcciones del Ministerio Público, Defensa Pública, Organismo de Investigación Judicial, Gestión Humana, Planificación, Dirección Ejecutiva, Tecnología de la Información, Escuela Judicial y el Sector Jurisdiccional para dar cumplimiento a las Medidas Cautelares N 321-12 del 30 de abril de 2015, establecidas por la Comisión Interamericana de Derechos Humanos (CIDH) contra Costa Rica, el señor Jorge David Morales Ramírez solicitó audiencia a la Subcomisión de Acceso a la Justicia de Pueblos Indígenas, por lo que se le indicó sería atendido en la sesión de este día, 5 de agosto de 2019, excusándose el señor Roger Mata Brenes, jefe del Despacho de la Presidencia, al tener que asistir a la sesión de Corte Plena.</w:t>
      </w:r>
    </w:p>
    <w:p>
      <w:pPr>
        <w:pStyle w:val="Normal"/>
        <w:jc w:val="both"/>
        <w:rPr>
          <w:rFonts w:ascii="Century Gothic" w:hAnsi="Century Gothic"/>
          <w:sz w:val="20"/>
          <w:szCs w:val="20"/>
        </w:rPr>
      </w:pPr>
      <w:r>
        <w:rPr>
          <w:rFonts w:ascii="Century Gothic" w:hAnsi="Century Gothic"/>
          <w:sz w:val="20"/>
          <w:szCs w:val="20"/>
        </w:rPr>
      </w:r>
    </w:p>
    <w:tbl>
      <w:tblPr>
        <w:tblStyle w:val="Tablaconcuadrcula"/>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31"/>
        <w:gridCol w:w="1468"/>
        <w:gridCol w:w="1457"/>
        <w:gridCol w:w="1458"/>
        <w:gridCol w:w="1447"/>
        <w:gridCol w:w="1566"/>
      </w:tblGrid>
      <w:tr>
        <w:trPr/>
        <w:tc>
          <w:tcPr>
            <w:tcW w:w="1431"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68"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57"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58"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47"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566"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r>
      <w:tr>
        <w:trPr/>
        <w:tc>
          <w:tcPr>
            <w:tcW w:w="1431"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t>Eje</w:t>
            </w:r>
          </w:p>
        </w:tc>
        <w:tc>
          <w:tcPr>
            <w:tcW w:w="1468"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t>Instancia judicial responsable</w:t>
            </w:r>
          </w:p>
        </w:tc>
        <w:tc>
          <w:tcPr>
            <w:tcW w:w="1457"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t>Acciones por realizar</w:t>
            </w:r>
          </w:p>
        </w:tc>
        <w:tc>
          <w:tcPr>
            <w:tcW w:w="1458"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t>Plazo asignado</w:t>
            </w:r>
          </w:p>
        </w:tc>
        <w:tc>
          <w:tcPr>
            <w:tcW w:w="1447"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t>Estado actual</w:t>
            </w:r>
          </w:p>
        </w:tc>
        <w:tc>
          <w:tcPr>
            <w:tcW w:w="1566"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t>Devolución a las comunidades indígenas</w:t>
            </w:r>
          </w:p>
        </w:tc>
      </w:tr>
      <w:tr>
        <w:trPr/>
        <w:tc>
          <w:tcPr>
            <w:tcW w:w="1431"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68"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57"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58"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447"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c>
          <w:tcPr>
            <w:tcW w:w="1566" w:type="dxa"/>
            <w:tcBorders/>
          </w:tcPr>
          <w:p>
            <w:pPr>
              <w:pStyle w:val="Normal"/>
              <w:widowControl/>
              <w:spacing w:lineRule="auto" w:line="240" w:before="0" w:after="0"/>
              <w:jc w:val="both"/>
              <w:rPr>
                <w:rFonts w:ascii="Century Gothic" w:hAnsi="Century Gothic"/>
                <w:sz w:val="20"/>
                <w:szCs w:val="20"/>
              </w:rPr>
            </w:pPr>
            <w:r>
              <w:rPr>
                <w:rFonts w:eastAsia="Calibri" w:cs="" w:ascii="Century Gothic" w:hAnsi="Century Gothic"/>
                <w:kern w:val="0"/>
                <w:sz w:val="20"/>
                <w:szCs w:val="20"/>
                <w:lang w:val="es-CR" w:eastAsia="en-US" w:bidi="ar-SA"/>
              </w:rPr>
            </w:r>
          </w:p>
        </w:tc>
      </w:tr>
    </w:tbl>
    <w:p>
      <w:pPr>
        <w:pStyle w:val="Normal"/>
        <w:jc w:val="both"/>
        <w:rPr>
          <w:rFonts w:ascii="Century Gothic" w:hAnsi="Century Gothic"/>
          <w:sz w:val="20"/>
          <w:szCs w:val="20"/>
        </w:rPr>
      </w:pPr>
      <w:r>
        <w:rPr>
          <w:rFonts w:ascii="Century Gothic" w:hAnsi="Century Gothic"/>
          <w:sz w:val="20"/>
          <w:szCs w:val="20"/>
        </w:rPr>
      </w:r>
    </w:p>
    <w:p>
      <w:pPr>
        <w:pStyle w:val="Normal"/>
        <w:jc w:val="both"/>
        <w:rPr>
          <w:rFonts w:ascii="Century Gothic" w:hAnsi="Century Gothic"/>
          <w:sz w:val="20"/>
          <w:szCs w:val="20"/>
        </w:rPr>
      </w:pPr>
      <w:r>
        <w:rPr/>
        <w:object>
          <v:shape id="ole_rId4" style="width:76.5pt;height:51.75pt" o:ole="">
            <v:imagedata r:id="rId5" o:title=""/>
          </v:shape>
          <o:OLEObject Type="Embed" ProgID="Package" ShapeID="ole_rId4" DrawAspect="Icon" ObjectID="_1061203462" r:id="rId4"/>
        </w:object>
      </w:r>
      <w:r>
        <w:rPr/>
        <w:object>
          <v:shape id="ole_rId6" style="width:75pt;height:49.5pt" o:ole="">
            <v:imagedata r:id="rId7" o:title=""/>
          </v:shape>
          <o:OLEObject Type="Embed" ProgID="Package" ShapeID="ole_rId6" DrawAspect="Icon" ObjectID="_1706562025" r:id="rId6"/>
        </w:object>
      </w:r>
      <w:r>
        <w:rPr/>
        <w:object>
          <v:shape id="ole_rId8" style="width:75pt;height:49.5pt" o:ole="">
            <v:imagedata r:id="rId9" o:title=""/>
          </v:shape>
          <o:OLEObject Type="Embed" ProgID="Package" ShapeID="ole_rId8" DrawAspect="Icon" ObjectID="_802867409" r:id="rId8"/>
        </w:object>
      </w:r>
    </w:p>
    <w:p>
      <w:pPr>
        <w:pStyle w:val="Normal"/>
        <w:widowControl w:val="false"/>
        <w:jc w:val="both"/>
        <w:rPr>
          <w:rFonts w:ascii="Century Gothic" w:hAnsi="Century Gothic" w:cs="Arial"/>
          <w:sz w:val="20"/>
          <w:szCs w:val="20"/>
        </w:rPr>
      </w:pPr>
      <w:r>
        <w:rPr>
          <w:rFonts w:cs="Arial" w:ascii="Century Gothic" w:hAnsi="Century Gothic"/>
          <w:b/>
          <w:sz w:val="20"/>
          <w:szCs w:val="20"/>
          <w:u w:val="single"/>
        </w:rPr>
        <w:t>SE ACUERDA</w:t>
      </w:r>
      <w:r>
        <w:rPr>
          <w:rFonts w:cs="Arial" w:ascii="Century Gothic" w:hAnsi="Century Gothic"/>
          <w:sz w:val="20"/>
          <w:szCs w:val="20"/>
        </w:rPr>
        <w:t>: 1° Se toma nota. 2° Conceder el plazo de 8 días a las y los integrantes de la Subcomisión para que hagan propuestas de la o las oficinas rectoras, responsables del seguimiento de cada uno de los 21 ejes aprobados por Corte Plena, sobre la base de la propuesta hecha por el Despacho de la Presidencia. 3° El resultado de las propuestas se hará de conocimiento del Despacho de la Presidencia. 4° Seguir convocando al Despacho de la Presidencia de la Corte a las siguientes sesiones para que valoren participar en la persona de don Jorge Morales o quien don Roger Mata Brenes, disponga.-</w:t>
      </w:r>
    </w:p>
    <w:p>
      <w:pPr>
        <w:pStyle w:val="Normal"/>
        <w:widowControl w:val="false"/>
        <w:jc w:val="both"/>
        <w:rPr>
          <w:rFonts w:ascii="Century Gothic" w:hAnsi="Century Gothic" w:cs="Arial"/>
          <w:b/>
          <w:b/>
          <w:sz w:val="20"/>
          <w:szCs w:val="20"/>
        </w:rPr>
      </w:pPr>
      <w:r>
        <w:rPr>
          <w:rFonts w:cs="Arial" w:ascii="Century Gothic" w:hAnsi="Century Gothic"/>
          <w:b/>
          <w:sz w:val="20"/>
          <w:szCs w:val="20"/>
          <w:highlight w:val="yellow"/>
        </w:rPr>
        <w:t>Ejecutado.</w:t>
      </w:r>
    </w:p>
    <w:p>
      <w:pPr>
        <w:pStyle w:val="Normal"/>
        <w:widowControl w:val="false"/>
        <w:jc w:val="center"/>
        <w:rPr>
          <w:rFonts w:ascii="Century Gothic" w:hAnsi="Century Gothic" w:cs="Arial"/>
          <w:b/>
          <w:b/>
          <w:sz w:val="20"/>
          <w:szCs w:val="20"/>
        </w:rPr>
      </w:pPr>
      <w:r>
        <w:rPr>
          <w:rFonts w:cs="Arial" w:ascii="Century Gothic" w:hAnsi="Century Gothic"/>
          <w:b/>
          <w:sz w:val="20"/>
          <w:szCs w:val="20"/>
          <w:highlight w:val="yellow"/>
        </w:rPr>
        <w:t>ARTICULO III</w:t>
      </w:r>
    </w:p>
    <w:p>
      <w:pPr>
        <w:pStyle w:val="Normal"/>
        <w:widowControl w:val="false"/>
        <w:jc w:val="both"/>
        <w:rPr>
          <w:rFonts w:ascii="Century Gothic" w:hAnsi="Century Gothic"/>
          <w:sz w:val="20"/>
          <w:szCs w:val="20"/>
          <w:lang w:val="es-ES"/>
        </w:rPr>
      </w:pPr>
      <w:r>
        <w:rPr>
          <w:rFonts w:cs="Arial" w:ascii="Century Gothic" w:hAnsi="Century Gothic"/>
          <w:sz w:val="20"/>
          <w:szCs w:val="20"/>
        </w:rPr>
        <w:t xml:space="preserve">La señora Rocío Rivera Cascante, comunicadora del Departamento de Prensa y Comunicación Organizacional, remitió el 1 de agosto pasado correo electrónico en el que remitió </w:t>
      </w:r>
      <w:r>
        <w:rPr>
          <w:rFonts w:ascii="Century Gothic" w:hAnsi="Century Gothic"/>
          <w:sz w:val="20"/>
          <w:szCs w:val="20"/>
          <w:lang w:val="es-ES"/>
        </w:rPr>
        <w:t>en formato Power Point,  la propuesta de textos con las observaciones realizadas por Wilbert Kidd Alvarado, Ligia Jiménez Zamora, Valeria Vargas Rojas, Vanessa Villalobos y Marcos Guevara Berger; así como los siguientes comentarios sobre los que necesita orientación:</w:t>
      </w:r>
    </w:p>
    <w:p>
      <w:pPr>
        <w:pStyle w:val="Normal"/>
        <w:numPr>
          <w:ilvl w:val="0"/>
          <w:numId w:val="19"/>
        </w:numPr>
        <w:spacing w:lineRule="auto" w:line="240" w:before="0" w:after="0"/>
        <w:jc w:val="both"/>
        <w:rPr>
          <w:rFonts w:ascii="Century Gothic" w:hAnsi="Century Gothic" w:eastAsia="Times New Roman"/>
          <w:i/>
          <w:i/>
          <w:sz w:val="20"/>
          <w:szCs w:val="20"/>
          <w:lang w:val="es-ES"/>
        </w:rPr>
      </w:pPr>
      <w:r>
        <w:rPr>
          <w:rFonts w:eastAsia="Times New Roman" w:ascii="Century Gothic" w:hAnsi="Century Gothic"/>
          <w:i/>
          <w:sz w:val="20"/>
          <w:szCs w:val="20"/>
          <w:lang w:val="es-ES"/>
        </w:rPr>
        <w:t xml:space="preserve">El comentario de don Marcos Guevara indica:  </w:t>
      </w:r>
      <w:r>
        <w:rPr>
          <w:rFonts w:eastAsia="Times New Roman" w:ascii="Century Gothic" w:hAnsi="Century Gothic"/>
          <w:b/>
          <w:bCs/>
          <w:i/>
          <w:iCs/>
          <w:sz w:val="20"/>
          <w:szCs w:val="20"/>
          <w:lang w:val="es-ES"/>
        </w:rPr>
        <w:t>“respecto a diapositiva 2 me parece que es necesario indicar qué se está entendiendo por "derecho indígena", pues puede interpretarse de dos formas: 1) conocimiento de la legislación indigenista del país  2) conocimiento de los conceptos normativos de los pueblos indígenas - Son cosas totalmente diferentes”.</w:t>
      </w:r>
      <w:r>
        <w:rPr>
          <w:rFonts w:eastAsia="Times New Roman" w:ascii="Century Gothic" w:hAnsi="Century Gothic"/>
          <w:i/>
          <w:sz w:val="20"/>
          <w:szCs w:val="20"/>
          <w:lang w:val="es-ES"/>
        </w:rPr>
        <w:t xml:space="preserve"> </w:t>
      </w:r>
    </w:p>
    <w:p>
      <w:pPr>
        <w:pStyle w:val="ListParagraph"/>
        <w:jc w:val="both"/>
        <w:rPr>
          <w:rFonts w:ascii="Century Gothic" w:hAnsi="Century Gothic"/>
          <w:i/>
          <w:i/>
          <w:sz w:val="20"/>
          <w:szCs w:val="20"/>
          <w:lang w:val="es-ES"/>
        </w:rPr>
      </w:pPr>
      <w:r>
        <w:rPr>
          <w:rFonts w:ascii="Century Gothic" w:hAnsi="Century Gothic"/>
          <w:i/>
          <w:sz w:val="20"/>
          <w:szCs w:val="20"/>
          <w:lang w:val="es-ES"/>
        </w:rPr>
      </w:r>
    </w:p>
    <w:p>
      <w:pPr>
        <w:pStyle w:val="ListParagraph"/>
        <w:jc w:val="both"/>
        <w:rPr>
          <w:rFonts w:ascii="Century Gothic" w:hAnsi="Century Gothic"/>
          <w:i/>
          <w:i/>
          <w:sz w:val="20"/>
          <w:szCs w:val="20"/>
          <w:lang w:val="es-ES"/>
        </w:rPr>
      </w:pPr>
      <w:r>
        <w:rPr>
          <w:rFonts w:ascii="Century Gothic" w:hAnsi="Century Gothic"/>
          <w:i/>
          <w:sz w:val="20"/>
          <w:szCs w:val="20"/>
          <w:lang w:val="es-ES"/>
        </w:rPr>
      </w:r>
    </w:p>
    <w:p>
      <w:pPr>
        <w:pStyle w:val="ListParagraph"/>
        <w:jc w:val="both"/>
        <w:rPr>
          <w:rFonts w:ascii="Century Gothic" w:hAnsi="Century Gothic"/>
          <w:i/>
          <w:i/>
          <w:sz w:val="20"/>
          <w:szCs w:val="20"/>
          <w:lang w:val="es-ES"/>
        </w:rPr>
      </w:pPr>
      <w:r>
        <w:rPr>
          <w:rFonts w:ascii="Century Gothic" w:hAnsi="Century Gothic"/>
          <w:i/>
          <w:sz w:val="20"/>
          <w:szCs w:val="20"/>
          <w:lang w:val="es-ES"/>
        </w:rPr>
        <w:t>Doña Damaris, quisiera ver de qué forma entonces nos sugiere colocarlo, ya que el artículo de la Ley de Acceso a la Justicia Para Pueblos Indígenas lo indica así como se colocó en el texto.</w:t>
      </w:r>
    </w:p>
    <w:p>
      <w:pPr>
        <w:pStyle w:val="Normal"/>
        <w:jc w:val="both"/>
        <w:rPr>
          <w:rFonts w:ascii="Century Gothic" w:hAnsi="Century Gothic"/>
          <w:i/>
          <w:i/>
          <w:sz w:val="20"/>
          <w:szCs w:val="20"/>
          <w:lang w:val="es-ES"/>
        </w:rPr>
      </w:pPr>
      <w:r>
        <w:rPr>
          <w:rFonts w:ascii="Century Gothic" w:hAnsi="Century Gothic"/>
          <w:i/>
          <w:sz w:val="20"/>
          <w:szCs w:val="20"/>
          <w:lang w:val="es-ES"/>
        </w:rPr>
      </w:r>
    </w:p>
    <w:p>
      <w:pPr>
        <w:pStyle w:val="Normal"/>
        <w:jc w:val="both"/>
        <w:rPr>
          <w:rFonts w:ascii="Century Gothic" w:hAnsi="Century Gothic"/>
          <w:b/>
          <w:b/>
          <w:bCs/>
          <w:i/>
          <w:i/>
          <w:sz w:val="20"/>
          <w:szCs w:val="20"/>
          <w:lang w:val="es-ES"/>
        </w:rPr>
      </w:pPr>
      <w:r>
        <w:rPr>
          <w:rFonts w:ascii="Century Gothic" w:hAnsi="Century Gothic"/>
          <w:b/>
          <w:bCs/>
          <w:i/>
          <w:sz w:val="20"/>
          <w:szCs w:val="20"/>
          <w:lang w:val="es-ES"/>
        </w:rPr>
        <w:t>Esta es la diapositiva:</w:t>
      </w:r>
    </w:p>
    <w:p>
      <w:pPr>
        <w:pStyle w:val="Normal"/>
        <w:jc w:val="both"/>
        <w:rPr>
          <w:rFonts w:ascii="Century Gothic" w:hAnsi="Century Gothic"/>
          <w:i/>
          <w:i/>
          <w:sz w:val="20"/>
          <w:szCs w:val="20"/>
          <w:lang w:val="es-ES"/>
        </w:rPr>
      </w:pPr>
      <w:r>
        <w:rPr>
          <w:rFonts w:ascii="Century Gothic" w:hAnsi="Century Gothic"/>
          <w:i/>
          <w:sz w:val="20"/>
          <w:szCs w:val="20"/>
          <w:lang w:val="es-ES"/>
        </w:rPr>
      </w:r>
    </w:p>
    <w:p>
      <w:pPr>
        <w:pStyle w:val="Normal"/>
        <w:jc w:val="center"/>
        <w:rPr>
          <w:rFonts w:ascii="Century Gothic" w:hAnsi="Century Gothic"/>
          <w:i/>
          <w:i/>
          <w:sz w:val="20"/>
          <w:szCs w:val="20"/>
          <w:lang w:val="es-ES"/>
        </w:rPr>
      </w:pPr>
      <w:r>
        <w:rPr>
          <w:rFonts w:ascii="Century Gothic" w:hAnsi="Century Gothic"/>
          <w:i/>
          <w:sz w:val="20"/>
          <w:szCs w:val="20"/>
          <w:lang w:val="es-ES"/>
        </w:rPr>
        <w:drawing>
          <wp:anchor behindDoc="0" distT="0" distB="0" distL="114300" distR="114300" simplePos="0" locked="0" layoutInCell="0" allowOverlap="1" relativeHeight="8">
            <wp:simplePos x="0" y="0"/>
            <wp:positionH relativeFrom="column">
              <wp:posOffset>-520065</wp:posOffset>
            </wp:positionH>
            <wp:positionV relativeFrom="paragraph">
              <wp:posOffset>-83820</wp:posOffset>
            </wp:positionV>
            <wp:extent cx="6645910" cy="3787140"/>
            <wp:effectExtent l="0" t="0" r="0" b="0"/>
            <wp:wrapSquare wrapText="bothSides"/>
            <wp:docPr id="1" name="Imagen 4" descr="cid:image006.jpg@01D54882.73FD3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4" descr="cid:image006.jpg@01D54882.73FD34E0"/>
                    <pic:cNvPicPr>
                      <a:picLocks noChangeAspect="1" noChangeArrowheads="1"/>
                    </pic:cNvPicPr>
                  </pic:nvPicPr>
                  <pic:blipFill>
                    <a:blip r:embed="rId10"/>
                    <a:stretch>
                      <a:fillRect/>
                    </a:stretch>
                  </pic:blipFill>
                  <pic:spPr bwMode="auto">
                    <a:xfrm>
                      <a:off x="0" y="0"/>
                      <a:ext cx="6645910" cy="3787140"/>
                    </a:xfrm>
                    <a:prstGeom prst="rect">
                      <a:avLst/>
                    </a:prstGeom>
                  </pic:spPr>
                </pic:pic>
              </a:graphicData>
            </a:graphic>
          </wp:anchor>
        </w:drawing>
      </w:r>
    </w:p>
    <w:p>
      <w:pPr>
        <w:pStyle w:val="Normal"/>
        <w:jc w:val="both"/>
        <w:rPr>
          <w:rFonts w:ascii="Century Gothic" w:hAnsi="Century Gothic"/>
          <w:i/>
          <w:i/>
          <w:sz w:val="20"/>
          <w:szCs w:val="20"/>
          <w:lang w:val="es-ES"/>
        </w:rPr>
      </w:pPr>
      <w:r>
        <w:rPr>
          <w:rFonts w:ascii="Century Gothic" w:hAnsi="Century Gothic"/>
          <w:i/>
          <w:sz w:val="20"/>
          <w:szCs w:val="20"/>
          <w:lang w:val="es-ES"/>
        </w:rPr>
      </w:r>
    </w:p>
    <w:p>
      <w:pPr>
        <w:pStyle w:val="Normal"/>
        <w:jc w:val="both"/>
        <w:rPr>
          <w:rFonts w:ascii="Century Gothic" w:hAnsi="Century Gothic"/>
          <w:i/>
          <w:i/>
          <w:sz w:val="20"/>
          <w:szCs w:val="20"/>
          <w:lang w:val="es-ES"/>
        </w:rPr>
      </w:pPr>
      <w:r>
        <w:rPr>
          <w:rFonts w:ascii="Century Gothic" w:hAnsi="Century Gothic"/>
          <w:i/>
          <w:sz w:val="20"/>
          <w:szCs w:val="20"/>
          <w:lang w:val="es-ES"/>
        </w:rPr>
      </w:r>
    </w:p>
    <w:p>
      <w:pPr>
        <w:pStyle w:val="Normal"/>
        <w:numPr>
          <w:ilvl w:val="0"/>
          <w:numId w:val="1"/>
        </w:numPr>
        <w:spacing w:lineRule="auto" w:line="240" w:before="0" w:after="0"/>
        <w:jc w:val="both"/>
        <w:rPr>
          <w:rFonts w:ascii="Century Gothic" w:hAnsi="Century Gothic" w:eastAsia="Times New Roman"/>
          <w:i/>
          <w:i/>
          <w:sz w:val="20"/>
          <w:szCs w:val="20"/>
          <w:lang w:val="es-ES"/>
        </w:rPr>
      </w:pPr>
      <w:r>
        <w:rPr>
          <w:rFonts w:eastAsia="Times New Roman" w:ascii="Century Gothic" w:hAnsi="Century Gothic"/>
          <w:i/>
          <w:sz w:val="20"/>
          <w:szCs w:val="20"/>
          <w:lang w:val="es-ES"/>
        </w:rPr>
        <w:t>El comentario de doña Marjorie Herrera</w:t>
      </w:r>
      <w:r>
        <w:rPr>
          <w:rFonts w:eastAsia="Times New Roman" w:ascii="Century Gothic" w:hAnsi="Century Gothic"/>
          <w:i/>
          <w:iCs/>
          <w:sz w:val="20"/>
          <w:szCs w:val="20"/>
          <w:lang w:val="es-ES"/>
        </w:rPr>
        <w:t>:</w:t>
      </w:r>
      <w:r>
        <w:rPr>
          <w:rFonts w:eastAsia="Times New Roman" w:ascii="Century Gothic" w:hAnsi="Century Gothic"/>
          <w:b/>
          <w:bCs/>
          <w:i/>
          <w:iCs/>
          <w:sz w:val="20"/>
          <w:szCs w:val="20"/>
          <w:lang w:val="es-ES"/>
        </w:rPr>
        <w:t xml:space="preserve">  A- Las cápsulas remitidas no incorporan todos los aspectos contenidos en la Ley y no sé si es porque esta es una primer etapa o porque se escogió el contenido que se consideraba más relevante.  Si fuera esta última, estimo oportuno valorar la incorporación de aspectos que sabemos que son muy importantes para las personas indígenas, es decir que los y las funcionarias judiciales lo apliquen adecuadamente, como por ejemplo, lo referido a trato digno,  derecho a la información y aplicación del derecho internacional. </w:t>
        <w:br/>
        <w:t>B- Podría valorarse aprovechar más el link que se propone incorporar a cada cápsula que dice: “Para conocer más de la Ley N°9593 de Acceso a la Justicia Para Pueblos Indígenas, ingrese al enlace: … “ e incorporar información adicional de interés sobre aspectos contenidos en cada tema u otras directrices relacionadas.</w:t>
      </w:r>
    </w:p>
    <w:p>
      <w:pPr>
        <w:pStyle w:val="ListParagraph"/>
        <w:jc w:val="both"/>
        <w:rPr>
          <w:rFonts w:ascii="Century Gothic" w:hAnsi="Century Gothic"/>
          <w:i/>
          <w:i/>
          <w:sz w:val="20"/>
          <w:szCs w:val="20"/>
          <w:lang w:val="es-ES"/>
        </w:rPr>
      </w:pPr>
      <w:r>
        <w:rPr>
          <w:rFonts w:ascii="Century Gothic" w:hAnsi="Century Gothic"/>
          <w:i/>
          <w:sz w:val="20"/>
          <w:szCs w:val="20"/>
          <w:lang w:val="es-ES"/>
        </w:rPr>
      </w:r>
    </w:p>
    <w:p>
      <w:pPr>
        <w:pStyle w:val="ListParagraph"/>
        <w:jc w:val="both"/>
        <w:rPr>
          <w:rFonts w:ascii="Century Gothic" w:hAnsi="Century Gothic"/>
          <w:i/>
          <w:i/>
          <w:sz w:val="20"/>
          <w:szCs w:val="20"/>
          <w:lang w:val="es-ES"/>
        </w:rPr>
      </w:pPr>
      <w:r>
        <w:rPr>
          <w:rFonts w:ascii="Century Gothic" w:hAnsi="Century Gothic"/>
          <w:i/>
          <w:sz w:val="20"/>
          <w:szCs w:val="20"/>
          <w:lang w:val="es-ES"/>
        </w:rPr>
        <w:t>Doña Damaris, en este caso sería necesario que su persona me indique si dejamos los temas que se incorporaron en la campaña, ya que en principio según reunión de fecha 28 de mayo 2019, sostenida con su persona, esos eran los temas que se involucraría el proyecto. Sobre el enlace que se desea incorporar en cada cápsula, sugiero que se mantenga así. Ya que el enfoque de la campaña es únicamente sobre la Ley de Acceso a la Justicia Para Pueblos Indígenas, pero usted me indica como procedemos.</w:t>
      </w:r>
    </w:p>
    <w:p>
      <w:pPr>
        <w:pStyle w:val="ListParagraph"/>
        <w:jc w:val="both"/>
        <w:rPr>
          <w:rFonts w:ascii="Century Gothic" w:hAnsi="Century Gothic"/>
          <w:i/>
          <w:i/>
          <w:sz w:val="20"/>
          <w:szCs w:val="20"/>
          <w:lang w:val="es-ES"/>
        </w:rPr>
      </w:pPr>
      <w:r>
        <w:rPr>
          <w:rFonts w:ascii="Century Gothic" w:hAnsi="Century Gothic"/>
          <w:i/>
          <w:sz w:val="20"/>
          <w:szCs w:val="20"/>
          <w:lang w:val="es-ES"/>
        </w:rPr>
      </w:r>
    </w:p>
    <w:p>
      <w:pPr>
        <w:pStyle w:val="Normal"/>
        <w:numPr>
          <w:ilvl w:val="0"/>
          <w:numId w:val="1"/>
        </w:numPr>
        <w:spacing w:lineRule="auto" w:line="240" w:before="0" w:after="0"/>
        <w:jc w:val="both"/>
        <w:rPr>
          <w:rFonts w:ascii="Century Gothic" w:hAnsi="Century Gothic" w:eastAsia="Times New Roman"/>
          <w:i/>
          <w:i/>
          <w:sz w:val="20"/>
          <w:szCs w:val="20"/>
          <w:lang w:val="es-ES"/>
        </w:rPr>
      </w:pPr>
      <w:r>
        <w:rPr>
          <w:rFonts w:eastAsia="Times New Roman" w:ascii="Century Gothic" w:hAnsi="Century Gothic"/>
          <w:i/>
          <w:sz w:val="20"/>
          <w:szCs w:val="20"/>
        </w:rPr>
        <w:t xml:space="preserve">Sobre lo indicado por doña Vanessa  Villalobos : </w:t>
      </w:r>
      <w:r>
        <w:rPr>
          <w:rFonts w:eastAsia="Times New Roman" w:ascii="Century Gothic" w:hAnsi="Century Gothic"/>
          <w:b/>
          <w:bCs/>
          <w:i/>
          <w:iCs/>
          <w:sz w:val="20"/>
          <w:szCs w:val="20"/>
        </w:rPr>
        <w:t>“Respecto a la diapositiva 3, sería conveniente agregar a quien se solicitan y cómo se solicitan, por cuanto hace unos años solían enviarlos al Departamento de Trabajo Social y Psicología, aunque me perece que ya no ocurre tanto, pero siempre es bueno clarificar por el movimiento de personal que tenemos en todas las instancias”.</w:t>
      </w:r>
    </w:p>
    <w:p>
      <w:pPr>
        <w:pStyle w:val="ListParagraph"/>
        <w:jc w:val="both"/>
        <w:rPr>
          <w:rFonts w:ascii="Century Gothic" w:hAnsi="Century Gothic"/>
          <w:i/>
          <w:i/>
          <w:sz w:val="20"/>
          <w:szCs w:val="20"/>
        </w:rPr>
      </w:pPr>
      <w:r>
        <w:rPr>
          <w:rFonts w:ascii="Century Gothic" w:hAnsi="Century Gothic"/>
          <w:i/>
          <w:sz w:val="20"/>
          <w:szCs w:val="20"/>
        </w:rPr>
      </w:r>
    </w:p>
    <w:p>
      <w:pPr>
        <w:pStyle w:val="ListParagraph"/>
        <w:jc w:val="both"/>
        <w:rPr>
          <w:rFonts w:ascii="Century Gothic" w:hAnsi="Century Gothic"/>
          <w:i/>
          <w:i/>
          <w:sz w:val="20"/>
          <w:szCs w:val="20"/>
          <w:lang w:val="es-ES"/>
        </w:rPr>
      </w:pPr>
      <w:r>
        <w:rPr>
          <w:rFonts w:ascii="Century Gothic" w:hAnsi="Century Gothic"/>
          <w:i/>
          <w:sz w:val="20"/>
          <w:szCs w:val="20"/>
          <w:lang w:val="es-ES"/>
        </w:rPr>
        <w:t xml:space="preserve">Doña Damaris, </w:t>
      </w:r>
      <w:r>
        <w:rPr>
          <w:rFonts w:ascii="Century Gothic" w:hAnsi="Century Gothic"/>
          <w:i/>
          <w:sz w:val="20"/>
          <w:szCs w:val="20"/>
        </w:rPr>
        <w:t xml:space="preserve">favor indicarnos cuál es actualmente el Departamento que se encarga de nombrar los peritos para esta materia. </w:t>
      </w:r>
    </w:p>
    <w:p>
      <w:pPr>
        <w:pStyle w:val="Normal"/>
        <w:jc w:val="both"/>
        <w:rPr>
          <w:rFonts w:ascii="Century Gothic" w:hAnsi="Century Gothic"/>
          <w:b/>
          <w:b/>
          <w:bCs/>
          <w:i/>
          <w:i/>
          <w:sz w:val="20"/>
          <w:szCs w:val="20"/>
          <w:lang w:val="es-ES"/>
        </w:rPr>
      </w:pPr>
      <w:r>
        <w:rPr>
          <w:rFonts w:ascii="Century Gothic" w:hAnsi="Century Gothic"/>
          <w:b/>
          <w:bCs/>
          <w:i/>
          <w:sz w:val="20"/>
          <w:szCs w:val="20"/>
          <w:lang w:val="es-ES"/>
        </w:rPr>
        <w:t>Esta es la diapositiva:</w:t>
      </w:r>
    </w:p>
    <w:p>
      <w:pPr>
        <w:pStyle w:val="Normal"/>
        <w:jc w:val="both"/>
        <w:rPr>
          <w:rFonts w:ascii="Century Gothic" w:hAnsi="Century Gothic"/>
          <w:b/>
          <w:b/>
          <w:bCs/>
          <w:i/>
          <w:i/>
          <w:sz w:val="20"/>
          <w:szCs w:val="20"/>
          <w:lang w:val="es-ES"/>
        </w:rPr>
      </w:pPr>
      <w:r>
        <w:rPr>
          <w:rFonts w:ascii="Century Gothic" w:hAnsi="Century Gothic"/>
          <w:b/>
          <w:bCs/>
          <w:i/>
          <w:sz w:val="20"/>
          <w:szCs w:val="20"/>
          <w:lang w:val="es-ES"/>
        </w:rPr>
      </w:r>
    </w:p>
    <w:p>
      <w:pPr>
        <w:pStyle w:val="Normal"/>
        <w:spacing w:before="0" w:after="240"/>
        <w:jc w:val="both"/>
        <w:rPr>
          <w:rFonts w:ascii="Century Gothic" w:hAnsi="Century Gothic"/>
          <w:b/>
          <w:b/>
          <w:bCs/>
          <w:i/>
          <w:i/>
          <w:sz w:val="20"/>
          <w:szCs w:val="20"/>
          <w:lang w:val="es-ES"/>
        </w:rPr>
      </w:pPr>
      <w:r>
        <w:rPr/>
        <w:drawing>
          <wp:inline distT="0" distB="0" distL="0" distR="0">
            <wp:extent cx="6002655" cy="3505200"/>
            <wp:effectExtent l="0" t="0" r="0" b="0"/>
            <wp:docPr id="2" name="Imagen 3" descr="cid:image007.jpg@01D54882.73FD3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 descr="cid:image007.jpg@01D54882.73FD34E0"/>
                    <pic:cNvPicPr>
                      <a:picLocks noChangeAspect="1" noChangeArrowheads="1"/>
                    </pic:cNvPicPr>
                  </pic:nvPicPr>
                  <pic:blipFill>
                    <a:blip r:embed="rId11"/>
                    <a:stretch>
                      <a:fillRect/>
                    </a:stretch>
                  </pic:blipFill>
                  <pic:spPr bwMode="auto">
                    <a:xfrm>
                      <a:off x="0" y="0"/>
                      <a:ext cx="6002655" cy="3505200"/>
                    </a:xfrm>
                    <a:prstGeom prst="rect">
                      <a:avLst/>
                    </a:prstGeom>
                  </pic:spPr>
                </pic:pic>
              </a:graphicData>
            </a:graphic>
          </wp:inline>
        </w:drawing>
      </w:r>
    </w:p>
    <w:p>
      <w:pPr>
        <w:pStyle w:val="Normal"/>
        <w:widowControl w:val="false"/>
        <w:rPr>
          <w:rFonts w:ascii="Century Gothic" w:hAnsi="Century Gothic" w:cs="Arial"/>
          <w:sz w:val="20"/>
          <w:szCs w:val="20"/>
        </w:rPr>
      </w:pPr>
      <w:r>
        <w:rPr/>
        <w:object>
          <v:shape id="ole_rId12" style="width:75pt;height:49.5pt" o:ole="">
            <v:imagedata r:id="rId13" o:title=""/>
          </v:shape>
          <o:OLEObject Type="Embed" ProgID="PowerPoint.Show.12" ShapeID="ole_rId12" DrawAspect="Icon" ObjectID="_846515383" r:id="rId12"/>
        </w:object>
      </w:r>
      <w:r>
        <w:rPr/>
        <w:object>
          <v:shape id="ole_rId14" style="width:75pt;height:49.5pt" o:ole="">
            <v:imagedata r:id="rId15" o:title=""/>
          </v:shape>
          <o:OLEObject Type="Embed" ProgID="Package" ShapeID="ole_rId14" DrawAspect="Icon" ObjectID="_1215045218" r:id="rId14"/>
        </w:object>
      </w:r>
      <w:r>
        <w:rPr/>
        <w:object>
          <v:shape id="ole_rId16" style="width:75pt;height:49.5pt" o:ole="">
            <v:imagedata r:id="rId17" o:title=""/>
          </v:shape>
          <o:OLEObject Type="Embed" ProgID="Package" ShapeID="ole_rId16" DrawAspect="Icon" ObjectID="_1145655363" r:id="rId16"/>
        </w:object>
      </w:r>
    </w:p>
    <w:p>
      <w:pPr>
        <w:pStyle w:val="Normal"/>
        <w:widowControl w:val="false"/>
        <w:jc w:val="both"/>
        <w:rPr>
          <w:rFonts w:ascii="Century Gothic" w:hAnsi="Century Gothic" w:cs="Arial"/>
          <w:sz w:val="20"/>
          <w:szCs w:val="20"/>
        </w:rPr>
      </w:pPr>
      <w:commentRangeStart w:id="0"/>
      <w:r>
        <w:rPr>
          <w:rFonts w:cs="Arial" w:ascii="Century Gothic" w:hAnsi="Century Gothic"/>
          <w:b/>
          <w:sz w:val="20"/>
          <w:szCs w:val="20"/>
          <w:u w:val="single"/>
        </w:rPr>
        <w:t>SE ACUERDA</w:t>
      </w:r>
      <w:r>
        <w:rPr>
          <w:rFonts w:cs="Arial" w:ascii="Century Gothic" w:hAnsi="Century Gothic"/>
          <w:b/>
          <w:sz w:val="20"/>
          <w:szCs w:val="20"/>
          <w:u w:val="single"/>
        </w:rPr>
      </w:r>
      <w:commentRangeEnd w:id="0"/>
      <w:r>
        <w:commentReference w:id="0"/>
      </w:r>
      <w:r>
        <w:rPr>
          <w:rFonts w:cs="Arial" w:ascii="Century Gothic" w:hAnsi="Century Gothic"/>
          <w:sz w:val="20"/>
          <w:szCs w:val="20"/>
        </w:rPr>
        <w:t>: 1. Celebrar el Año Internacional de las Mujeres Indígenas, concretamente el 5 de setiembre. Las integrantes Ligia Jiménez y Marjorie Herrera harán una propuesta en el plazo de ocho días. Solicitar colaboración a las Comisiones de Acceso a la Justicia y Comisión de Género, así como a CONAMAJ para el financiamiento de eventuales traslados de mujeres indígenas e integrantes de la Subcomisión al sitio donde se defina se realice la actividad según la propuesta que se plantee, así como al INAMU conforme a su experticia.  2. Incorporar en todas las filminas de la presentación propuesta por el Departamento de Prensa y Comunicación Organizacional conceptos vinculados con todo el articulado de la Ley de Acceso a la Justicia de Pueblos Indígenas para que el mensaje sea integral. Comuníquese este acuerdo a las personas integrantes de la Subcomisión y al Departamento de Prensa y Comunicación Organizacional. 3. Se declara firme este acuerdo.-</w:t>
      </w:r>
    </w:p>
    <w:p>
      <w:pPr>
        <w:pStyle w:val="Normal"/>
        <w:widowControl w:val="false"/>
        <w:jc w:val="both"/>
        <w:rPr>
          <w:rFonts w:ascii="Century Gothic" w:hAnsi="Century Gothic" w:cs="Arial"/>
          <w:sz w:val="20"/>
          <w:szCs w:val="20"/>
        </w:rPr>
      </w:pPr>
      <w:r>
        <w:rPr>
          <w:rFonts w:cs="Arial" w:ascii="Century Gothic" w:hAnsi="Century Gothic"/>
          <w:sz w:val="20"/>
          <w:szCs w:val="20"/>
        </w:rPr>
      </w:r>
    </w:p>
    <w:p>
      <w:pPr>
        <w:pStyle w:val="Normal"/>
        <w:widowControl w:val="false"/>
        <w:jc w:val="center"/>
        <w:rPr>
          <w:rFonts w:ascii="Century Gothic" w:hAnsi="Century Gothic" w:cs="Arial"/>
          <w:b/>
          <w:b/>
          <w:sz w:val="20"/>
          <w:szCs w:val="20"/>
          <w:u w:val="single"/>
        </w:rPr>
      </w:pPr>
      <w:r>
        <w:rPr>
          <w:rFonts w:cs="Arial" w:ascii="Century Gothic" w:hAnsi="Century Gothic"/>
          <w:b/>
          <w:sz w:val="20"/>
          <w:szCs w:val="20"/>
          <w:highlight w:val="yellow"/>
          <w:u w:val="single"/>
        </w:rPr>
        <w:t>ARTICULO IV</w:t>
      </w:r>
    </w:p>
    <w:p>
      <w:pPr>
        <w:pStyle w:val="Normal"/>
        <w:jc w:val="both"/>
        <w:rPr>
          <w:rFonts w:ascii="Century Gothic" w:hAnsi="Century Gothic"/>
          <w:sz w:val="20"/>
          <w:szCs w:val="20"/>
        </w:rPr>
      </w:pPr>
      <w:r>
        <w:rPr>
          <w:rFonts w:ascii="Century Gothic" w:hAnsi="Century Gothic"/>
          <w:spacing w:val="-2"/>
          <w:sz w:val="20"/>
          <w:szCs w:val="20"/>
        </w:rPr>
        <w:t xml:space="preserve">El 4 de junio pasado se consultó a la Dirección de Gestión Humana sobre </w:t>
      </w:r>
      <w:r>
        <w:rPr>
          <w:rFonts w:ascii="Century Gothic" w:hAnsi="Century Gothic"/>
          <w:sz w:val="20"/>
          <w:szCs w:val="20"/>
        </w:rPr>
        <w:t>la posibilidad de tener acceso a los cursos virtuales diseñados por GH vinculados con poblaciones indígenas y con discapacidad, a fin de analizar sus contenidos con las personas integrantes de la Subcomisión, y la fecha a partir de cual estarían listos para ejecutarse y si podrían ser objeto de modificaciones eventualmente.</w:t>
      </w:r>
    </w:p>
    <w:p>
      <w:pPr>
        <w:pStyle w:val="Normal"/>
        <w:jc w:val="both"/>
        <w:rPr>
          <w:rFonts w:ascii="Century Gothic" w:hAnsi="Century Gothic" w:eastAsia="Times New Roman"/>
          <w:sz w:val="20"/>
          <w:szCs w:val="20"/>
        </w:rPr>
      </w:pPr>
      <w:r>
        <w:rPr>
          <w:rFonts w:ascii="Century Gothic" w:hAnsi="Century Gothic"/>
          <w:spacing w:val="-2"/>
          <w:sz w:val="20"/>
          <w:szCs w:val="20"/>
        </w:rPr>
        <w:t xml:space="preserve">La señora Cheryl Bolaños Madrigal, jefa de Gestión de la Capacitación de la Unidad de Capacitación de GH, en comunicado electrónico del 4 de junio, señaló: </w:t>
      </w:r>
    </w:p>
    <w:p>
      <w:pPr>
        <w:pStyle w:val="Normal"/>
        <w:ind w:left="1068" w:hanging="0"/>
        <w:jc w:val="both"/>
        <w:rPr>
          <w:rFonts w:ascii="Century Gothic" w:hAnsi="Century Gothic" w:eastAsia="Times New Roman"/>
          <w:i/>
          <w:i/>
          <w:sz w:val="20"/>
          <w:szCs w:val="20"/>
        </w:rPr>
      </w:pPr>
      <w:r>
        <w:rPr>
          <w:rFonts w:eastAsia="Times New Roman" w:ascii="Century Gothic" w:hAnsi="Century Gothic"/>
          <w:i/>
          <w:sz w:val="20"/>
          <w:szCs w:val="20"/>
        </w:rPr>
        <w:t>“</w:t>
      </w:r>
      <w:r>
        <w:rPr>
          <w:rFonts w:eastAsia="Times New Roman" w:ascii="Century Gothic" w:hAnsi="Century Gothic"/>
          <w:i/>
          <w:sz w:val="20"/>
          <w:szCs w:val="20"/>
        </w:rPr>
        <w:t>Le comento el avance de cada uno de los cursos relacionados con los temas que menciona:</w:t>
      </w:r>
    </w:p>
    <w:p>
      <w:pPr>
        <w:pStyle w:val="Normal"/>
        <w:numPr>
          <w:ilvl w:val="0"/>
          <w:numId w:val="20"/>
        </w:numPr>
        <w:tabs>
          <w:tab w:val="clear" w:pos="708"/>
          <w:tab w:val="left" w:pos="1428" w:leader="none"/>
        </w:tabs>
        <w:spacing w:lineRule="auto" w:line="240" w:beforeAutospacing="1" w:after="0"/>
        <w:ind w:left="1428" w:hanging="360"/>
        <w:jc w:val="both"/>
        <w:rPr>
          <w:rFonts w:ascii="Century Gothic" w:hAnsi="Century Gothic" w:eastAsia="Times New Roman"/>
          <w:i/>
          <w:i/>
          <w:sz w:val="20"/>
          <w:szCs w:val="20"/>
        </w:rPr>
      </w:pPr>
      <w:r>
        <w:rPr>
          <w:rFonts w:eastAsia="Times New Roman" w:ascii="Century Gothic" w:hAnsi="Century Gothic"/>
          <w:b/>
          <w:bCs/>
          <w:i/>
          <w:sz w:val="20"/>
          <w:szCs w:val="20"/>
        </w:rPr>
        <w:t>Curso virtual sobre la Atención a la población indígena</w:t>
      </w:r>
      <w:r>
        <w:rPr>
          <w:rFonts w:eastAsia="Times New Roman" w:ascii="Century Gothic" w:hAnsi="Century Gothic"/>
          <w:i/>
          <w:sz w:val="20"/>
          <w:szCs w:val="20"/>
        </w:rPr>
        <w:t>: este curso se desarrolló con la ayuda experta de Ligia Jeannette Jiménez Zamora, propuesta por la Comisión de Acceso. En este momento se encuentra en manos de la señora Ligia quien está haciendo la revisión de la primera versión del curso. </w:t>
      </w:r>
      <w:r>
        <w:rPr>
          <w:rFonts w:eastAsia="Times New Roman" w:ascii="Century Gothic" w:hAnsi="Century Gothic"/>
          <w:i/>
          <w:sz w:val="20"/>
          <w:szCs w:val="20"/>
          <w:shd w:fill="FFFFFF" w:val="clear"/>
        </w:rPr>
        <w:t>La fecha de entrega está sujeta a los ajustes que solicite la persona experta y su complejidad, así como de la fecha de entrega de los ajustes que haga doña Ligia.  </w:t>
      </w:r>
    </w:p>
    <w:p>
      <w:pPr>
        <w:pStyle w:val="Normal"/>
        <w:numPr>
          <w:ilvl w:val="0"/>
          <w:numId w:val="2"/>
        </w:numPr>
        <w:tabs>
          <w:tab w:val="clear" w:pos="708"/>
          <w:tab w:val="left" w:pos="1428" w:leader="none"/>
        </w:tabs>
        <w:spacing w:lineRule="auto" w:line="240" w:before="0" w:after="0"/>
        <w:ind w:left="1428" w:hanging="360"/>
        <w:jc w:val="both"/>
        <w:rPr>
          <w:rFonts w:ascii="Century Gothic" w:hAnsi="Century Gothic" w:eastAsia="Times New Roman"/>
          <w:i/>
          <w:i/>
          <w:sz w:val="20"/>
          <w:szCs w:val="20"/>
        </w:rPr>
      </w:pPr>
      <w:r>
        <w:rPr>
          <w:rFonts w:eastAsia="Times New Roman" w:ascii="Century Gothic" w:hAnsi="Century Gothic"/>
          <w:b/>
          <w:bCs/>
          <w:i/>
          <w:sz w:val="20"/>
          <w:szCs w:val="20"/>
        </w:rPr>
        <w:t>Curso virtual sobre Atención a la población con discapacidad:</w:t>
      </w:r>
      <w:r>
        <w:rPr>
          <w:rFonts w:eastAsia="Times New Roman" w:ascii="Century Gothic" w:hAnsi="Century Gothic"/>
          <w:i/>
          <w:sz w:val="20"/>
          <w:szCs w:val="20"/>
        </w:rPr>
        <w:t xml:space="preserve"> este curso se desarrolló con el apoyo de María Esther Brenes Villalobos quien fue propuesta por la Comisión de Acceso para desarrollar esta tarea. El curso ya se encuentra listo para implementarse y en cualquier momento se realizará el piloto del mismo. </w:t>
      </w:r>
    </w:p>
    <w:p>
      <w:pPr>
        <w:pStyle w:val="Normal"/>
        <w:numPr>
          <w:ilvl w:val="0"/>
          <w:numId w:val="2"/>
        </w:numPr>
        <w:tabs>
          <w:tab w:val="clear" w:pos="708"/>
          <w:tab w:val="left" w:pos="1428" w:leader="none"/>
        </w:tabs>
        <w:spacing w:lineRule="auto" w:line="240" w:before="0" w:after="0"/>
        <w:ind w:left="1428" w:hanging="360"/>
        <w:jc w:val="both"/>
        <w:rPr>
          <w:rFonts w:ascii="Century Gothic" w:hAnsi="Century Gothic" w:eastAsia="Times New Roman"/>
          <w:i/>
          <w:i/>
          <w:sz w:val="20"/>
          <w:szCs w:val="20"/>
        </w:rPr>
      </w:pPr>
      <w:r>
        <w:rPr>
          <w:rFonts w:eastAsia="Times New Roman" w:ascii="Century Gothic" w:hAnsi="Century Gothic"/>
          <w:b/>
          <w:bCs/>
          <w:i/>
          <w:sz w:val="20"/>
          <w:szCs w:val="20"/>
        </w:rPr>
        <w:t>Curso virtual sobre la Promoción de la Autonomía Personal de las personas con discapacidad</w:t>
      </w:r>
      <w:r>
        <w:rPr>
          <w:rFonts w:eastAsia="Times New Roman" w:ascii="Century Gothic" w:hAnsi="Century Gothic"/>
          <w:i/>
          <w:sz w:val="20"/>
          <w:szCs w:val="20"/>
        </w:rPr>
        <w:t>: este curso se hizo con la ayuda de Mariana Villarreal de Conapdis, según la propuso la Comisión de Acceso. El curso está prácticamente listo solo estamos solucionando un detalle técnico pero de igual forma ya se encuentra en manos de Mariana para su revisión y se le otorgó acceso a su persona, a Melissa Benavides de la Unidad de Acceso, al señor Magistrado Jorge Olaso y a la señora Carlota Arauz de la Escuela Judicial para su revisión también. Lo anterior según acuerdo de la última reunión que sostuvimos con don Jorge Olaso en su oficina. </w:t>
      </w:r>
      <w:r>
        <w:rPr>
          <w:rFonts w:eastAsia="Times New Roman" w:ascii="Century Gothic" w:hAnsi="Century Gothic"/>
          <w:i/>
          <w:sz w:val="20"/>
          <w:szCs w:val="20"/>
          <w:shd w:fill="FFFFFF" w:val="clear"/>
        </w:rPr>
        <w:t>La fecha de entrega está sujeta a los ajustes que solicite la persona experta y su complejidad, así como de la fecha de la entrega de los ajustes a esta oficina.</w:t>
      </w:r>
    </w:p>
    <w:p>
      <w:pPr>
        <w:pStyle w:val="Normal"/>
        <w:numPr>
          <w:ilvl w:val="0"/>
          <w:numId w:val="2"/>
        </w:numPr>
        <w:tabs>
          <w:tab w:val="clear" w:pos="708"/>
          <w:tab w:val="left" w:pos="1428" w:leader="none"/>
        </w:tabs>
        <w:spacing w:lineRule="auto" w:line="240" w:before="0" w:afterAutospacing="1"/>
        <w:ind w:left="1428" w:hanging="360"/>
        <w:jc w:val="both"/>
        <w:rPr>
          <w:rFonts w:ascii="Century Gothic" w:hAnsi="Century Gothic" w:eastAsia="Times New Roman"/>
          <w:i/>
          <w:i/>
          <w:sz w:val="20"/>
          <w:szCs w:val="20"/>
        </w:rPr>
      </w:pPr>
      <w:r>
        <w:rPr>
          <w:rFonts w:eastAsia="Times New Roman" w:ascii="Century Gothic" w:hAnsi="Century Gothic"/>
          <w:b/>
          <w:bCs/>
          <w:i/>
          <w:sz w:val="20"/>
          <w:szCs w:val="20"/>
        </w:rPr>
        <w:t>Curso virtual Todas y todos somos igualmente diferentes:</w:t>
      </w:r>
      <w:r>
        <w:rPr>
          <w:rFonts w:eastAsia="Times New Roman" w:ascii="Century Gothic" w:hAnsi="Century Gothic"/>
          <w:i/>
          <w:sz w:val="20"/>
          <w:szCs w:val="20"/>
        </w:rPr>
        <w:t xml:space="preserve"> este curso se oferta en la automatrícula todos los meses y por ahora es el que se encuentra vigente para que la población judicial lo realice. </w:t>
      </w:r>
    </w:p>
    <w:p>
      <w:pPr>
        <w:pStyle w:val="Normal"/>
        <w:ind w:left="708" w:hanging="0"/>
        <w:jc w:val="both"/>
        <w:rPr>
          <w:rFonts w:ascii="Century Gothic" w:hAnsi="Century Gothic" w:eastAsia="Times New Roman"/>
          <w:i/>
          <w:i/>
          <w:sz w:val="20"/>
          <w:szCs w:val="20"/>
        </w:rPr>
      </w:pPr>
      <w:r>
        <w:rPr>
          <w:rFonts w:eastAsia="Times New Roman" w:ascii="Century Gothic" w:hAnsi="Century Gothic"/>
          <w:i/>
          <w:sz w:val="20"/>
          <w:szCs w:val="20"/>
        </w:rPr>
        <w:t>Los cursos en desarrollo suman 4 horas virtuales que según los costos establecidos por esta oficina y el mercado nacional rondan los 2.389.600 colones por hora. Para un total de 9.558.400 colones. Esto es importante que se tome en cuenta para medir la inversión económica, humana y de tiempo que se ha hecho desde esta Dirección para poder desarrollar los cursos. Cualquier modificación a esta altura de los desarrollos implica asumir costos mayores de desarrollo. </w:t>
      </w:r>
    </w:p>
    <w:p>
      <w:pPr>
        <w:pStyle w:val="Normal"/>
        <w:ind w:left="708" w:hanging="0"/>
        <w:jc w:val="both"/>
        <w:rPr>
          <w:rFonts w:ascii="Century Gothic" w:hAnsi="Century Gothic" w:eastAsia="Times New Roman"/>
          <w:i/>
          <w:i/>
          <w:sz w:val="20"/>
          <w:szCs w:val="20"/>
        </w:rPr>
      </w:pPr>
      <w:r>
        <w:rPr>
          <w:rFonts w:eastAsia="Times New Roman" w:ascii="Century Gothic" w:hAnsi="Century Gothic"/>
          <w:i/>
          <w:sz w:val="20"/>
          <w:szCs w:val="20"/>
        </w:rPr>
        <w:t>Según conversé previamente con Roxana, proponemos lo siguiente: Cerrar los cursos que están prácticamente finalizados e implementarlos. Y que paralelamente la Subcomisión vaya generando sus revisiones para que posteriormente los cursos puedan entrar en proceso de actualización, previa valoración de los costos de desarrollo por las Subcomisiones y la Dirección de Gestión Humana. Esto se haría mientras la población judicial esté aprovechando las versiones que ya están listas.</w:t>
      </w:r>
    </w:p>
    <w:p>
      <w:pPr>
        <w:pStyle w:val="Normal"/>
        <w:ind w:left="708" w:hanging="0"/>
        <w:jc w:val="both"/>
        <w:rPr>
          <w:rFonts w:ascii="Century Gothic" w:hAnsi="Century Gothic" w:eastAsia="Times New Roman"/>
          <w:i/>
          <w:i/>
          <w:sz w:val="20"/>
          <w:szCs w:val="20"/>
        </w:rPr>
      </w:pPr>
      <w:r>
        <w:rPr>
          <w:rFonts w:eastAsia="Times New Roman" w:ascii="Century Gothic" w:hAnsi="Century Gothic"/>
          <w:i/>
          <w:sz w:val="20"/>
          <w:szCs w:val="20"/>
        </w:rPr>
        <w:t>Con gusto le podemos hacer llegar los accesos a los cursos. Solo indíquenos el nombre de las personas que lo requieren…”</w:t>
      </w:r>
    </w:p>
    <w:p>
      <w:pPr>
        <w:pStyle w:val="Normal"/>
        <w:jc w:val="both"/>
        <w:rPr>
          <w:rFonts w:ascii="Century Gothic" w:hAnsi="Century Gothic"/>
          <w:sz w:val="20"/>
          <w:szCs w:val="20"/>
        </w:rPr>
      </w:pPr>
      <w:r>
        <w:rPr/>
        <w:object>
          <v:shape id="ole_rId18" style="width:76.5pt;height:51.75pt" o:ole="">
            <v:imagedata r:id="rId19" o:title=""/>
          </v:shape>
          <o:OLEObject Type="Embed" ProgID="Package" ShapeID="ole_rId18" DrawAspect="Icon" ObjectID="_1899236791" r:id="rId18"/>
        </w:object>
      </w:r>
      <w:r>
        <w:rPr>
          <w:rFonts w:ascii="Century Gothic" w:hAnsi="Century Gothic"/>
          <w:sz w:val="20"/>
          <w:szCs w:val="20"/>
        </w:rPr>
        <w:t xml:space="preserve"> </w:t>
      </w:r>
      <w:r>
        <w:rPr/>
        <w:object>
          <v:shape id="ole_rId20" style="width:76.5pt;height:51.75pt" o:ole="">
            <v:imagedata r:id="rId21" o:title=""/>
          </v:shape>
          <o:OLEObject Type="Embed" ProgID="Package" ShapeID="ole_rId20" DrawAspect="Icon" ObjectID="_442447601" r:id="rId20"/>
        </w:object>
      </w:r>
    </w:p>
    <w:p>
      <w:pPr>
        <w:pStyle w:val="Normal"/>
        <w:jc w:val="both"/>
        <w:rPr>
          <w:rFonts w:ascii="Century Gothic" w:hAnsi="Century Gothic"/>
          <w:sz w:val="20"/>
          <w:szCs w:val="20"/>
        </w:rPr>
      </w:pPr>
      <w:r>
        <w:rPr>
          <w:rFonts w:ascii="Century Gothic" w:hAnsi="Century Gothic"/>
          <w:b/>
          <w:sz w:val="20"/>
          <w:szCs w:val="20"/>
          <w:u w:val="single"/>
        </w:rPr>
        <w:t>SE ACUERDA</w:t>
      </w:r>
      <w:r>
        <w:rPr>
          <w:rFonts w:ascii="Century Gothic" w:hAnsi="Century Gothic"/>
          <w:sz w:val="20"/>
          <w:szCs w:val="20"/>
        </w:rPr>
        <w:t>: 1° Se toma nota del informe de la Dirección de Gestión Humana, así como de lo manifestado por la señora Ligia Jeannette Jiménez acerca de que ya concluyó la revisión final del curso. 2° Solicitar a Gestión Humana la remisión del link que permita accesar el curso con el objetivo de poder revisar su contenido desde la Subcomisión. 3° Solicitar a la Escuela Judicial una sesión de trabajo con las personas facilitadoras y la persona metodóloga del Módulo Didáctico para la promoción de los derechos de los Pueblos Indígenas con el objetivo de buscar oportunidades de mejoras a fin de que sea ejecutado en el segundo semestre. 4° Se declara firme este acuerdo.-</w:t>
      </w:r>
    </w:p>
    <w:p>
      <w:pPr>
        <w:pStyle w:val="Normal"/>
        <w:jc w:val="both"/>
        <w:rPr>
          <w:rFonts w:ascii="Century Gothic" w:hAnsi="Century Gothic"/>
          <w:b/>
          <w:b/>
          <w:sz w:val="20"/>
          <w:szCs w:val="20"/>
        </w:rPr>
      </w:pPr>
      <w:r>
        <w:rPr>
          <w:rFonts w:ascii="Century Gothic" w:hAnsi="Century Gothic"/>
          <w:b/>
          <w:sz w:val="20"/>
          <w:szCs w:val="20"/>
          <w:highlight w:val="yellow"/>
        </w:rPr>
        <w:t>Ejecutado</w:t>
      </w:r>
    </w:p>
    <w:p>
      <w:pPr>
        <w:pStyle w:val="Normal"/>
        <w:jc w:val="center"/>
        <w:rPr>
          <w:rFonts w:ascii="Century Gothic" w:hAnsi="Century Gothic" w:cs="Arial"/>
          <w:b/>
          <w:b/>
          <w:sz w:val="20"/>
          <w:szCs w:val="20"/>
          <w:u w:val="single"/>
        </w:rPr>
      </w:pPr>
      <w:r>
        <w:rPr>
          <w:rFonts w:cs="Arial" w:ascii="Century Gothic" w:hAnsi="Century Gothic"/>
          <w:b/>
          <w:sz w:val="20"/>
          <w:szCs w:val="20"/>
          <w:highlight w:val="yellow"/>
          <w:u w:val="single"/>
        </w:rPr>
        <w:t>ARTICULO V</w:t>
      </w:r>
    </w:p>
    <w:p>
      <w:pPr>
        <w:pStyle w:val="Normal"/>
        <w:jc w:val="both"/>
        <w:rPr>
          <w:rFonts w:ascii="Century Gothic" w:hAnsi="Century Gothic"/>
          <w:b/>
          <w:b/>
          <w:bCs/>
          <w:spacing w:val="-2"/>
          <w:sz w:val="20"/>
          <w:szCs w:val="20"/>
        </w:rPr>
      </w:pPr>
      <w:r>
        <w:rPr>
          <w:rFonts w:cs="Arial" w:ascii="Century Gothic" w:hAnsi="Century Gothic"/>
          <w:sz w:val="20"/>
          <w:szCs w:val="20"/>
        </w:rPr>
        <w:t xml:space="preserve">En comunicado electrónico del 4 de junio de 2019, la Coordinación de la Subcomisión solicitó al Magistrado </w:t>
      </w:r>
      <w:r>
        <w:rPr>
          <w:rFonts w:eastAsia="Times New Roman" w:ascii="Century Gothic" w:hAnsi="Century Gothic"/>
          <w:sz w:val="20"/>
          <w:szCs w:val="20"/>
          <w:lang w:val="es-ES" w:eastAsia="es-CR"/>
        </w:rPr>
        <w:t xml:space="preserve">Rafael Segura Bonilla, Director de la </w:t>
      </w:r>
      <w:r>
        <w:rPr>
          <w:rFonts w:ascii="Century Gothic" w:hAnsi="Century Gothic"/>
          <w:bCs/>
          <w:spacing w:val="-2"/>
          <w:sz w:val="20"/>
          <w:szCs w:val="20"/>
        </w:rPr>
        <w:t xml:space="preserve">Dirección Nacional de Justicia Restaurativa y a la Jueza Carmen Cerdas Cisneros, Directora Centro de Conciliación del Poder Judicial, lo siguiente: </w:t>
      </w:r>
    </w:p>
    <w:p>
      <w:pPr>
        <w:pStyle w:val="Normal"/>
        <w:ind w:left="708" w:hanging="0"/>
        <w:jc w:val="both"/>
        <w:rPr>
          <w:rFonts w:ascii="Century Gothic" w:hAnsi="Century Gothic"/>
          <w:i/>
          <w:i/>
          <w:spacing w:val="-2"/>
          <w:sz w:val="20"/>
          <w:szCs w:val="20"/>
        </w:rPr>
      </w:pPr>
      <w:r>
        <w:rPr>
          <w:rFonts w:ascii="Century Gothic" w:hAnsi="Century Gothic"/>
          <w:i/>
          <w:spacing w:val="-2"/>
          <w:sz w:val="20"/>
          <w:szCs w:val="20"/>
        </w:rPr>
        <w:t xml:space="preserve">“… </w:t>
      </w:r>
      <w:r>
        <w:rPr>
          <w:rFonts w:ascii="Century Gothic" w:hAnsi="Century Gothic"/>
          <w:i/>
          <w:spacing w:val="-2"/>
          <w:sz w:val="20"/>
          <w:szCs w:val="20"/>
        </w:rPr>
        <w:t xml:space="preserve">Tengo el honor de dirigirme a Ustedes en su condición de Rector de la Dirección Nacional de Justicia Restaurativa y Directora del Centro de Conciliación del Poder Judicial, a efecto de continuar con la articulación de acciones para la implementación de la resolución alternativa de conflictos en los procesos vinculados con población indígena. </w:t>
      </w:r>
    </w:p>
    <w:p>
      <w:pPr>
        <w:pStyle w:val="Normal"/>
        <w:ind w:left="708" w:hanging="0"/>
        <w:jc w:val="both"/>
        <w:rPr>
          <w:rFonts w:ascii="Century Gothic" w:hAnsi="Century Gothic"/>
          <w:i/>
          <w:i/>
          <w:spacing w:val="-2"/>
          <w:sz w:val="20"/>
          <w:szCs w:val="20"/>
        </w:rPr>
      </w:pPr>
      <w:r>
        <w:rPr>
          <w:rFonts w:ascii="Century Gothic" w:hAnsi="Century Gothic"/>
          <w:i/>
          <w:spacing w:val="-2"/>
          <w:sz w:val="20"/>
          <w:szCs w:val="20"/>
        </w:rPr>
        <w:t>La solicitud obedece al excelente aporte institucional del Programa de Justicia Restaurativa y del Centro de Conciliación a su cargo y además, al interés de que implementar en los procesos vinculados con personas indígenas –no solo los de naturaleza penal o penal juvenil- los mecanismos de resolución alternativa de conflictos con perspectiva de Justicia Restaurativa y con la participación activa de la población indígena involucrada.</w:t>
      </w:r>
    </w:p>
    <w:p>
      <w:pPr>
        <w:pStyle w:val="Normal"/>
        <w:ind w:left="708" w:hanging="0"/>
        <w:jc w:val="both"/>
        <w:rPr>
          <w:rFonts w:ascii="Century Gothic" w:hAnsi="Century Gothic"/>
          <w:i/>
          <w:i/>
          <w:spacing w:val="-2"/>
          <w:sz w:val="20"/>
          <w:szCs w:val="20"/>
        </w:rPr>
      </w:pPr>
      <w:r>
        <w:rPr>
          <w:rFonts w:ascii="Century Gothic" w:hAnsi="Century Gothic"/>
          <w:i/>
          <w:spacing w:val="-2"/>
          <w:sz w:val="20"/>
          <w:szCs w:val="20"/>
        </w:rPr>
        <w:t xml:space="preserve">Aprovecho para solicitarles se priorice la atención de los pueblos indígenas Bribri de Salitre y Telire de Térraba, beneficiarios de las Medidas Cautelares 321-12 de la CIDH contra el Estado. </w:t>
      </w:r>
    </w:p>
    <w:p>
      <w:pPr>
        <w:pStyle w:val="Normal"/>
        <w:ind w:left="708" w:hanging="0"/>
        <w:jc w:val="both"/>
        <w:rPr>
          <w:rFonts w:ascii="Century Gothic" w:hAnsi="Century Gothic"/>
          <w:i/>
          <w:i/>
          <w:spacing w:val="-2"/>
          <w:sz w:val="20"/>
          <w:szCs w:val="20"/>
        </w:rPr>
      </w:pPr>
      <w:r>
        <w:rPr>
          <w:rFonts w:ascii="Century Gothic" w:hAnsi="Century Gothic"/>
          <w:i/>
          <w:spacing w:val="-2"/>
          <w:sz w:val="20"/>
          <w:szCs w:val="20"/>
        </w:rPr>
        <w:t xml:space="preserve">Los avances en estas articulaciones contribuirán a la efectividad de los compromisos institucionales establecidos en el artículo 5 de la Ley de Acceso a la Justicia de los Pueblos Indígenas de Costa Rica que dispone: </w:t>
      </w:r>
      <w:r>
        <w:rPr>
          <w:rFonts w:ascii="Century Gothic" w:hAnsi="Century Gothic"/>
          <w:i/>
          <w:iCs/>
          <w:spacing w:val="-2"/>
          <w:sz w:val="20"/>
          <w:szCs w:val="20"/>
        </w:rPr>
        <w:t>“</w:t>
      </w:r>
      <w:r>
        <w:rPr>
          <w:rFonts w:ascii="Century Gothic" w:hAnsi="Century Gothic"/>
          <w:i/>
          <w:iCs/>
          <w:sz w:val="20"/>
          <w:szCs w:val="20"/>
          <w:lang w:eastAsia="es-CR"/>
        </w:rPr>
        <w:t>ARTÍCULO 5- Aplicación del derecho internacional y mecanismos de resolución alternativa de conflictos. En la resolución de los casos donde las personas indígenas figuren como parte, los jueces y las juezas tomarán en cuenta la normativa internacional vigente en la materia y promoverán la resolución alternativa del conflicto, con perspectiva restaurativa y con la participación activa de la comunidad indígena involucrada. Para tal efecto, se garantizará que las personas indígenas que participen comprendan el lenguaje técnico que se utilice, se buscarán formas de negociación propias de la cosmovisión de estas personas y se indicará en todos los casos que la resolución alternativa de conflictos no podrá incluir derechos indisponibles.”</w:t>
      </w:r>
    </w:p>
    <w:p>
      <w:pPr>
        <w:pStyle w:val="Normal"/>
        <w:jc w:val="both"/>
        <w:rPr>
          <w:rFonts w:ascii="Century Gothic" w:hAnsi="Century Gothic" w:cs="Arial"/>
          <w:sz w:val="20"/>
          <w:szCs w:val="20"/>
        </w:rPr>
      </w:pPr>
      <w:r>
        <w:rPr>
          <w:rFonts w:cs="Arial" w:ascii="Century Gothic" w:hAnsi="Century Gothic"/>
          <w:sz w:val="20"/>
          <w:szCs w:val="20"/>
        </w:rPr>
        <w:t>En relación con dicha solicitud se realizó sesión de trabajo con el Magistrado Segura y su equipo de trabajo, disponiéndose que la Dirección Nacional de Justicia Restaurativa analizaría la posibilidad de incorporar procesos indígenas y además, asistir a la visita que se realizará en el territorio Bribri de Talamanca con el objetivo de plantear esa posibilidad a la población indígena.</w:t>
      </w:r>
    </w:p>
    <w:p>
      <w:pPr>
        <w:pStyle w:val="Normal"/>
        <w:jc w:val="both"/>
        <w:rPr>
          <w:rFonts w:ascii="Century Gothic" w:hAnsi="Century Gothic"/>
          <w:sz w:val="20"/>
          <w:szCs w:val="20"/>
        </w:rPr>
      </w:pPr>
      <w:r>
        <w:rPr/>
        <w:object>
          <v:shape id="ole_rId22" style="width:76.5pt;height:51.75pt" o:ole="">
            <v:imagedata r:id="rId23" o:title=""/>
          </v:shape>
          <o:OLEObject Type="Embed" ProgID="Package" ShapeID="ole_rId22" DrawAspect="Icon" ObjectID="_1753160239" r:id="rId22"/>
        </w:object>
      </w:r>
    </w:p>
    <w:p>
      <w:pPr>
        <w:pStyle w:val="Normal"/>
        <w:jc w:val="both"/>
        <w:rPr>
          <w:rFonts w:ascii="Century Gothic" w:hAnsi="Century Gothic"/>
          <w:sz w:val="20"/>
          <w:szCs w:val="20"/>
        </w:rPr>
      </w:pPr>
      <w:r>
        <w:rPr>
          <w:rFonts w:ascii="Century Gothic" w:hAnsi="Century Gothic"/>
          <w:b/>
          <w:sz w:val="20"/>
          <w:szCs w:val="20"/>
          <w:u w:val="single"/>
        </w:rPr>
        <w:t>SE ACUERDA</w:t>
      </w:r>
      <w:r>
        <w:rPr>
          <w:rFonts w:ascii="Century Gothic" w:hAnsi="Century Gothic"/>
          <w:sz w:val="20"/>
          <w:szCs w:val="20"/>
        </w:rPr>
        <w:t>: Solicitar información al Programa de Justicia Restaurativa sobre los avances.</w:t>
      </w:r>
    </w:p>
    <w:p>
      <w:pPr>
        <w:pStyle w:val="Normal"/>
        <w:jc w:val="both"/>
        <w:rPr>
          <w:rFonts w:ascii="Century Gothic" w:hAnsi="Century Gothic"/>
          <w:b/>
          <w:b/>
          <w:sz w:val="20"/>
          <w:szCs w:val="20"/>
        </w:rPr>
      </w:pPr>
      <w:r>
        <w:rPr>
          <w:rFonts w:ascii="Century Gothic" w:hAnsi="Century Gothic"/>
          <w:b/>
          <w:sz w:val="20"/>
          <w:szCs w:val="20"/>
          <w:highlight w:val="yellow"/>
        </w:rPr>
        <w:t>Ejecutado.</w:t>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VI</w:t>
      </w:r>
    </w:p>
    <w:p>
      <w:pPr>
        <w:pStyle w:val="Normal"/>
        <w:jc w:val="both"/>
        <w:rPr>
          <w:rFonts w:ascii="Century Gothic" w:hAnsi="Century Gothic"/>
          <w:sz w:val="20"/>
          <w:szCs w:val="20"/>
          <w:lang w:eastAsia="es-CR"/>
        </w:rPr>
      </w:pPr>
      <w:r>
        <w:rPr>
          <w:rFonts w:ascii="Century Gothic" w:hAnsi="Century Gothic"/>
          <w:sz w:val="20"/>
          <w:szCs w:val="20"/>
        </w:rPr>
        <w:t xml:space="preserve">El Despacho de la Presidencia en comunicado electrónico del 21 de mayo de 2019 remitió la </w:t>
      </w:r>
      <w:r>
        <w:rPr>
          <w:rFonts w:ascii="Century Gothic" w:hAnsi="Century Gothic"/>
          <w:sz w:val="20"/>
          <w:szCs w:val="20"/>
          <w:lang w:eastAsia="es-CR"/>
        </w:rPr>
        <w:t xml:space="preserve">petición de Right Livelihood, con la finalidad de que en un plazo de </w:t>
      </w:r>
      <w:r>
        <w:rPr>
          <w:rFonts w:ascii="Century Gothic" w:hAnsi="Century Gothic"/>
          <w:bCs/>
          <w:sz w:val="20"/>
          <w:szCs w:val="20"/>
          <w:lang w:eastAsia="es-CR"/>
        </w:rPr>
        <w:t>15 días</w:t>
      </w:r>
      <w:r>
        <w:rPr>
          <w:rFonts w:ascii="Century Gothic" w:hAnsi="Century Gothic"/>
          <w:sz w:val="20"/>
          <w:szCs w:val="20"/>
          <w:lang w:eastAsia="es-CR"/>
        </w:rPr>
        <w:t xml:space="preserve"> se analice la conveniencia e informe de lo solicitado. Con ocasión de lo anterior, se remitió informe al Despacho de la Presidencia</w:t>
      </w:r>
      <w:r>
        <w:rPr>
          <w:rFonts w:ascii="Century Gothic" w:hAnsi="Century Gothic"/>
          <w:sz w:val="20"/>
          <w:szCs w:val="20"/>
          <w:lang w:val="es-MX" w:eastAsia="es-CR"/>
        </w:rPr>
        <w:t xml:space="preserve"> el 17 de junio pasado, sobre la solicitud planteada por </w:t>
      </w:r>
      <w:r>
        <w:rPr>
          <w:rFonts w:ascii="Century Gothic" w:hAnsi="Century Gothic"/>
          <w:sz w:val="20"/>
          <w:szCs w:val="20"/>
          <w:lang w:val="es-ES" w:eastAsia="es-CR"/>
        </w:rPr>
        <w:t xml:space="preserve">Right Livelihood, titulado </w:t>
      </w:r>
      <w:r>
        <w:rPr>
          <w:rFonts w:ascii="Century Gothic" w:hAnsi="Century Gothic"/>
          <w:i/>
          <w:iCs/>
          <w:sz w:val="20"/>
          <w:szCs w:val="20"/>
          <w:lang w:val="es-ES" w:eastAsia="es-CR"/>
        </w:rPr>
        <w:t>“Petición dirigida al Gobierno de Costa Rica por Galardonados con el Premio Nobel Alternativo de todo el Mundo (Right Livelihood Award”</w:t>
      </w:r>
      <w:r>
        <w:rPr>
          <w:rFonts w:ascii="Century Gothic" w:hAnsi="Century Gothic"/>
          <w:sz w:val="20"/>
          <w:szCs w:val="20"/>
          <w:lang w:val="es-ES" w:eastAsia="es-CR"/>
        </w:rPr>
        <w:t xml:space="preserve">, apoyada según se indica, por los Campus Latinoamericanos del Right Livelihood College (RLC), con la finalidad de analizar </w:t>
      </w:r>
      <w:r>
        <w:rPr>
          <w:rFonts w:ascii="Century Gothic" w:hAnsi="Century Gothic"/>
          <w:sz w:val="20"/>
          <w:szCs w:val="20"/>
          <w:lang w:eastAsia="es-CR"/>
        </w:rPr>
        <w:t>la conveniencia de lo peticionado. El contenido del informe es el siguiente:</w:t>
      </w:r>
    </w:p>
    <w:p>
      <w:pPr>
        <w:pStyle w:val="Normal"/>
        <w:spacing w:lineRule="auto" w:line="240" w:before="0" w:after="0"/>
        <w:ind w:left="708" w:hanging="0"/>
        <w:jc w:val="right"/>
        <w:rPr>
          <w:rFonts w:ascii="Century Gothic" w:hAnsi="Century Gothic" w:cs="Arial"/>
          <w:b/>
          <w:b/>
          <w:i/>
          <w:i/>
          <w:sz w:val="20"/>
          <w:szCs w:val="20"/>
          <w:lang w:val="es-MX" w:eastAsia="es-CR"/>
        </w:rPr>
      </w:pPr>
      <w:r>
        <w:rPr>
          <w:rFonts w:cs="Arial" w:ascii="Century Gothic" w:hAnsi="Century Gothic"/>
          <w:b/>
          <w:i/>
          <w:sz w:val="20"/>
          <w:szCs w:val="20"/>
          <w:lang w:val="es-MX" w:eastAsia="es-CR"/>
        </w:rPr>
        <w:t>San José, 17 de junio de 2019.</w:t>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t xml:space="preserve">Señor </w:t>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t>Roger Mata Brenes</w:t>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t>Director</w:t>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t>Despacho de la Presidencia</w:t>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t>Corte Suprema de Justicia</w:t>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r>
    </w:p>
    <w:p>
      <w:pPr>
        <w:pStyle w:val="Normal"/>
        <w:spacing w:lineRule="auto" w:line="240" w:before="0" w:after="0"/>
        <w:ind w:left="708" w:hanging="0"/>
        <w:rPr>
          <w:rFonts w:ascii="Century Gothic" w:hAnsi="Century Gothic" w:cs="Arial"/>
          <w:b/>
          <w:b/>
          <w:i/>
          <w:i/>
          <w:sz w:val="20"/>
          <w:szCs w:val="20"/>
          <w:lang w:val="es-MX" w:eastAsia="es-CR"/>
        </w:rPr>
      </w:pPr>
      <w:r>
        <w:rPr>
          <w:rFonts w:cs="Arial" w:ascii="Century Gothic" w:hAnsi="Century Gothic"/>
          <w:b/>
          <w:i/>
          <w:sz w:val="20"/>
          <w:szCs w:val="20"/>
          <w:lang w:val="es-MX" w:eastAsia="es-CR"/>
        </w:rPr>
        <w:t>Estimado Señor:</w:t>
      </w:r>
    </w:p>
    <w:p>
      <w:pPr>
        <w:pStyle w:val="Normal"/>
        <w:spacing w:lineRule="auto" w:line="240" w:before="0" w:after="0"/>
        <w:ind w:left="708" w:hanging="0"/>
        <w:rPr>
          <w:rFonts w:ascii="Century Gothic" w:hAnsi="Century Gothic" w:cs="Arial"/>
          <w:i/>
          <w:i/>
          <w:sz w:val="20"/>
          <w:szCs w:val="20"/>
          <w:lang w:val="es-MX" w:eastAsia="es-CR"/>
        </w:rPr>
      </w:pPr>
      <w:r>
        <w:rPr>
          <w:rFonts w:cs="Arial" w:ascii="Century Gothic" w:hAnsi="Century Gothic"/>
          <w:i/>
          <w:sz w:val="20"/>
          <w:szCs w:val="20"/>
          <w:lang w:val="es-MX" w:eastAsia="es-CR"/>
        </w:rPr>
      </w:r>
    </w:p>
    <w:p>
      <w:pPr>
        <w:pStyle w:val="Normal"/>
        <w:spacing w:lineRule="auto" w:line="240" w:before="0" w:after="0"/>
        <w:ind w:left="708" w:hanging="0"/>
        <w:jc w:val="both"/>
        <w:rPr>
          <w:rFonts w:ascii="Century Gothic" w:hAnsi="Century Gothic" w:cs="Times New Roman"/>
          <w:i/>
          <w:i/>
          <w:sz w:val="20"/>
          <w:szCs w:val="20"/>
          <w:lang w:eastAsia="es-CR"/>
        </w:rPr>
      </w:pPr>
      <w:r>
        <w:rPr>
          <w:rFonts w:cs="Arial" w:ascii="Century Gothic" w:hAnsi="Century Gothic"/>
          <w:i/>
          <w:sz w:val="20"/>
          <w:szCs w:val="20"/>
          <w:lang w:val="es-MX" w:eastAsia="es-CR"/>
        </w:rPr>
        <w:tab/>
        <w:t xml:space="preserve">Tengo el honor de dirigirme a usted para responder a la audiencia conferida sobre la solicitud planteada por </w:t>
      </w:r>
      <w:r>
        <w:rPr>
          <w:rFonts w:cs="Times New Roman" w:ascii="Century Gothic" w:hAnsi="Century Gothic"/>
          <w:i/>
          <w:sz w:val="20"/>
          <w:szCs w:val="20"/>
          <w:lang w:val="es-ES" w:eastAsia="es-CR"/>
        </w:rPr>
        <w:t xml:space="preserve">Right Livelihood, titulado “Petición dirigida al Gobierno de Costa Rica por Galardonados con el Premio Nobel Alternativo de todo el Mundo (Right Livelihood Award”, apoyada según se indica, por los Campus Latinoamericanos del Right Livelihood College (RLC), con la finalidad de analizar </w:t>
      </w:r>
      <w:r>
        <w:rPr>
          <w:rFonts w:cs="Times New Roman" w:ascii="Century Gothic" w:hAnsi="Century Gothic"/>
          <w:i/>
          <w:sz w:val="20"/>
          <w:szCs w:val="20"/>
          <w:lang w:eastAsia="es-CR"/>
        </w:rPr>
        <w:t xml:space="preserve">la conveniencia de lo peticionado. </w:t>
      </w:r>
    </w:p>
    <w:p>
      <w:pPr>
        <w:pStyle w:val="Normal"/>
        <w:spacing w:lineRule="auto" w:line="240" w:before="0" w:after="0"/>
        <w:ind w:left="708" w:hanging="0"/>
        <w:jc w:val="both"/>
        <w:rPr>
          <w:rFonts w:ascii="Century Gothic" w:hAnsi="Century Gothic" w:cs="Times New Roman"/>
          <w:i/>
          <w:i/>
          <w:sz w:val="20"/>
          <w:szCs w:val="20"/>
          <w:lang w:eastAsia="es-CR"/>
        </w:rPr>
      </w:pPr>
      <w:r>
        <w:rPr>
          <w:rFonts w:cs="Times New Roman" w:ascii="Century Gothic" w:hAnsi="Century Gothic"/>
          <w:i/>
          <w:sz w:val="20"/>
          <w:szCs w:val="20"/>
          <w:lang w:eastAsia="es-CR"/>
        </w:rPr>
      </w:r>
    </w:p>
    <w:p>
      <w:pPr>
        <w:pStyle w:val="Normal"/>
        <w:spacing w:lineRule="auto" w:line="240" w:before="0" w:after="0"/>
        <w:ind w:left="708" w:firstLine="708"/>
        <w:jc w:val="both"/>
        <w:rPr>
          <w:rFonts w:ascii="Century Gothic" w:hAnsi="Century Gothic" w:cs="Times New Roman"/>
          <w:i/>
          <w:i/>
          <w:sz w:val="20"/>
          <w:szCs w:val="20"/>
          <w:lang w:eastAsia="es-CR"/>
        </w:rPr>
      </w:pPr>
      <w:r>
        <w:rPr>
          <w:rFonts w:cs="Times New Roman" w:ascii="Century Gothic" w:hAnsi="Century Gothic"/>
          <w:i/>
          <w:sz w:val="20"/>
          <w:szCs w:val="20"/>
          <w:lang w:eastAsia="es-CR"/>
        </w:rPr>
        <w:t xml:space="preserve">En el oficio del 23 de abril de 2019, las personas firmantes en representación de Right Livelihood, hacen una reseña de la normativa nacional e internacional que regula los derechos de las personas indígenas y los antecedentes que generaron la emisión de la Medida Cautelar 321-12 de la Corte Interamericana de Derecho Humanos; además, señalan que “Tanto el señor Presidente como los integrantes de la Asamblea Legislativa y del Poder Judicial de Costa Rica deben reconocer que la deliberada ausencia del Estado Nacional en Salitre, y el incumplimiento de la medida cautelar dispuesta por la Comisión Interamericana de Derechos Humanos, permitieron, a través de la inacción, que un asesinato anunciado, el de Sergio Rojas, finalmente ocurriera.” </w:t>
      </w:r>
    </w:p>
    <w:p>
      <w:pPr>
        <w:pStyle w:val="Normal"/>
        <w:spacing w:lineRule="auto" w:line="240" w:before="0" w:after="0"/>
        <w:ind w:left="708" w:firstLine="708"/>
        <w:jc w:val="both"/>
        <w:rPr>
          <w:rFonts w:ascii="Century Gothic" w:hAnsi="Century Gothic" w:cs="Times New Roman"/>
          <w:i/>
          <w:i/>
          <w:sz w:val="20"/>
          <w:szCs w:val="20"/>
          <w:lang w:eastAsia="es-CR"/>
        </w:rPr>
      </w:pPr>
      <w:r>
        <w:rPr>
          <w:rFonts w:cs="Times New Roman" w:ascii="Century Gothic" w:hAnsi="Century Gothic"/>
          <w:i/>
          <w:sz w:val="20"/>
          <w:szCs w:val="20"/>
          <w:lang w:eastAsia="es-CR"/>
        </w:rPr>
      </w:r>
    </w:p>
    <w:p>
      <w:pPr>
        <w:pStyle w:val="Normal"/>
        <w:spacing w:lineRule="auto" w:line="240" w:before="0" w:after="0"/>
        <w:ind w:left="708" w:firstLine="708"/>
        <w:jc w:val="both"/>
        <w:rPr>
          <w:rFonts w:ascii="Century Gothic" w:hAnsi="Century Gothic" w:cs="Times New Roman"/>
          <w:i/>
          <w:i/>
          <w:sz w:val="20"/>
          <w:szCs w:val="20"/>
          <w:lang w:eastAsia="es-CR"/>
        </w:rPr>
      </w:pPr>
      <w:r>
        <w:rPr>
          <w:rFonts w:cs="Times New Roman" w:ascii="Century Gothic" w:hAnsi="Century Gothic"/>
          <w:i/>
          <w:sz w:val="20"/>
          <w:szCs w:val="20"/>
          <w:lang w:eastAsia="es-CR"/>
        </w:rPr>
        <w:t xml:space="preserve">Las Medidas Cautelares 321-12 emitidas por la CIDH están vigentes. Las acciones de cumplimiento del Estado han sido paulatinas. El Poder Judicial desde sus competencias se ha ocupado de su cumplimiento, y ha atendido los procesos judiciales vinculados con personas indígenas conforme a los lineamientos normativos incorporados en los convenios internacionales y la normativa interna que regula los derechos de esa población. </w:t>
      </w:r>
    </w:p>
    <w:p>
      <w:pPr>
        <w:pStyle w:val="Normal"/>
        <w:spacing w:lineRule="auto" w:line="240" w:before="0" w:after="0"/>
        <w:ind w:left="708" w:firstLine="708"/>
        <w:jc w:val="both"/>
        <w:rPr>
          <w:rFonts w:ascii="Century Gothic" w:hAnsi="Century Gothic" w:cs="Times New Roman"/>
          <w:i/>
          <w:i/>
          <w:sz w:val="20"/>
          <w:szCs w:val="20"/>
          <w:lang w:eastAsia="es-CR"/>
        </w:rPr>
      </w:pPr>
      <w:r>
        <w:rPr>
          <w:rFonts w:cs="Times New Roman" w:ascii="Century Gothic" w:hAnsi="Century Gothic"/>
          <w:i/>
          <w:sz w:val="20"/>
          <w:szCs w:val="20"/>
          <w:lang w:eastAsia="es-CR"/>
        </w:rPr>
      </w:r>
    </w:p>
    <w:p>
      <w:pPr>
        <w:pStyle w:val="Normal"/>
        <w:spacing w:lineRule="auto" w:line="240" w:before="0" w:after="0"/>
        <w:ind w:left="708" w:firstLine="708"/>
        <w:jc w:val="both"/>
        <w:rPr>
          <w:rFonts w:ascii="Century Gothic" w:hAnsi="Century Gothic" w:cs="Times New Roman"/>
          <w:i/>
          <w:i/>
          <w:sz w:val="20"/>
          <w:szCs w:val="20"/>
          <w:lang w:eastAsia="es-CR"/>
        </w:rPr>
      </w:pPr>
      <w:r>
        <w:rPr>
          <w:rFonts w:cs="Times New Roman" w:ascii="Century Gothic" w:hAnsi="Century Gothic"/>
          <w:i/>
          <w:sz w:val="20"/>
          <w:szCs w:val="20"/>
          <w:lang w:eastAsia="es-CR"/>
        </w:rPr>
        <w:t>En relación con las solicitudes planteadas por las representantes de  Right Livelihood, se informa:</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numPr>
          <w:ilvl w:val="0"/>
          <w:numId w:val="3"/>
        </w:numPr>
        <w:spacing w:lineRule="auto" w:line="240" w:before="0" w:after="0"/>
        <w:ind w:left="1428" w:hanging="360"/>
        <w:contextualSpacing/>
        <w:jc w:val="both"/>
        <w:rPr>
          <w:rFonts w:ascii="Century Gothic" w:hAnsi="Century Gothic" w:cs="Times New Roman"/>
          <w:i/>
          <w:i/>
          <w:sz w:val="20"/>
          <w:szCs w:val="20"/>
        </w:rPr>
      </w:pPr>
      <w:r>
        <w:rPr>
          <w:rFonts w:cs="Times New Roman" w:ascii="Century Gothic" w:hAnsi="Century Gothic"/>
          <w:i/>
          <w:sz w:val="20"/>
          <w:szCs w:val="20"/>
        </w:rPr>
        <w:t>Que se investigue hasta las últimas consecuencias el asesinato de Sergio Rojas y los hechos de violencia previos, y se condene a los hallados culpables.</w:t>
      </w:r>
    </w:p>
    <w:p>
      <w:pPr>
        <w:pStyle w:val="Normal"/>
        <w:spacing w:lineRule="auto" w:line="240" w:before="0" w:after="0"/>
        <w:ind w:left="1428" w:hanging="0"/>
        <w:contextualSpacing/>
        <w:jc w:val="both"/>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360"/>
        <w:jc w:val="both"/>
        <w:rPr>
          <w:rFonts w:ascii="Century Gothic" w:hAnsi="Century Gothic" w:cs="Times New Roman"/>
          <w:i/>
          <w:i/>
          <w:sz w:val="20"/>
          <w:szCs w:val="20"/>
        </w:rPr>
      </w:pPr>
      <w:r>
        <w:rPr>
          <w:rFonts w:cs="Times New Roman" w:ascii="Century Gothic" w:hAnsi="Century Gothic"/>
          <w:i/>
          <w:sz w:val="20"/>
          <w:szCs w:val="20"/>
        </w:rPr>
        <w:t>La Fiscalía General de la República está atendiendo desde sus competencias la investigación de la causa por homicidio en perjuicio de quien en vida fue Sergio Rojas.  La investigación es privada.</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numPr>
          <w:ilvl w:val="0"/>
          <w:numId w:val="3"/>
        </w:numPr>
        <w:spacing w:lineRule="auto" w:line="240" w:before="0" w:after="0"/>
        <w:ind w:left="1428" w:hanging="360"/>
        <w:contextualSpacing/>
        <w:jc w:val="both"/>
        <w:rPr>
          <w:rFonts w:ascii="Century Gothic" w:hAnsi="Century Gothic" w:cs="Times New Roman"/>
          <w:i/>
          <w:i/>
          <w:sz w:val="20"/>
          <w:szCs w:val="20"/>
        </w:rPr>
      </w:pPr>
      <w:r>
        <w:rPr>
          <w:rFonts w:cs="Times New Roman" w:ascii="Century Gothic" w:hAnsi="Century Gothic"/>
          <w:i/>
          <w:sz w:val="20"/>
          <w:szCs w:val="20"/>
        </w:rPr>
        <w:t>Que se cumplan a rajatabla la Ley Indígena 6172 y sus reglamentos, la Medida Cautelar 321-12 de la CIDH y el Convenio 169 sobre Derechos Indígenas de la Organización Internacional del Trabajo (OIT).</w:t>
      </w:r>
    </w:p>
    <w:p>
      <w:pPr>
        <w:pStyle w:val="Normal"/>
        <w:spacing w:lineRule="auto" w:line="240" w:before="0" w:after="0"/>
        <w:ind w:left="1428" w:hanging="0"/>
        <w:contextualSpacing/>
        <w:jc w:val="both"/>
        <w:rPr>
          <w:rFonts w:ascii="Century Gothic" w:hAnsi="Century Gothic" w:cs="Times New Roman"/>
          <w:i/>
          <w:i/>
          <w:sz w:val="20"/>
          <w:szCs w:val="20"/>
        </w:rPr>
      </w:pPr>
      <w:r>
        <w:rPr>
          <w:rFonts w:cs="Times New Roman" w:ascii="Century Gothic" w:hAnsi="Century Gothic"/>
          <w:i/>
          <w:sz w:val="20"/>
          <w:szCs w:val="20"/>
        </w:rPr>
      </w:r>
    </w:p>
    <w:p>
      <w:pPr>
        <w:pStyle w:val="Normal"/>
        <w:tabs>
          <w:tab w:val="clear" w:pos="708"/>
          <w:tab w:val="left" w:pos="1440" w:leader="none"/>
        </w:tabs>
        <w:spacing w:lineRule="auto" w:line="240" w:before="0" w:after="0"/>
        <w:ind w:left="708" w:firstLine="708"/>
        <w:jc w:val="both"/>
        <w:rPr>
          <w:rFonts w:ascii="Century Gothic" w:hAnsi="Century Gothic" w:cs="Times New Roman"/>
          <w:i/>
          <w:i/>
          <w:iCs/>
          <w:sz w:val="20"/>
          <w:szCs w:val="20"/>
        </w:rPr>
      </w:pPr>
      <w:r>
        <w:rPr>
          <w:rFonts w:cs="Times New Roman" w:ascii="Century Gothic" w:hAnsi="Century Gothic"/>
          <w:i/>
          <w:sz w:val="20"/>
          <w:szCs w:val="20"/>
        </w:rPr>
        <w:t xml:space="preserve">En la tramitación y resolución de los procesos judiciales vinculados con personas indígenas en Costa Rica son aplicables los instrumentos internacionales relacionadas con los derechos de las personas indígenas, entre ellos, </w:t>
      </w:r>
      <w:r>
        <w:rPr>
          <w:rFonts w:cs="Times New Roman" w:ascii="Century Gothic" w:hAnsi="Century Gothic"/>
          <w:i/>
          <w:sz w:val="20"/>
          <w:szCs w:val="20"/>
          <w:lang w:val="es-MX"/>
        </w:rPr>
        <w:t xml:space="preserve">Convenio </w:t>
      </w:r>
      <w:r>
        <w:rPr>
          <w:rFonts w:cs="Times New Roman" w:ascii="Century Gothic" w:hAnsi="Century Gothic"/>
          <w:i/>
          <w:iCs/>
          <w:sz w:val="20"/>
          <w:szCs w:val="20"/>
          <w:lang w:val="es-MX"/>
        </w:rPr>
        <w:t xml:space="preserve">relativo a la protección e integración de las poblaciones indígenas y de otras poblaciones tribales y semitribales en los países </w:t>
      </w:r>
      <w:r>
        <w:rPr>
          <w:rFonts w:cs="Times New Roman" w:ascii="Century Gothic" w:hAnsi="Century Gothic"/>
          <w:i/>
          <w:sz w:val="20"/>
          <w:szCs w:val="20"/>
          <w:lang w:val="es-MX"/>
        </w:rPr>
        <w:t xml:space="preserve">1957 (Convenio 107 OIT); Convenio sobre Pueblos Indígenas y Tribales 1989 (Convenio 169 OIT); Declaración de las Naciones Unidas sobre los derechos de los Pueblos Indígenas 2007; y la Declaración Americana sobre Derechos de los Pueblos Indígenas OEA 2016, los cuales tienen carácter supraconstitucional según jurisprudencia que ha venido reiterando la Sala Constitucional de la Corte Suprema de Justicia  desde la emisión del voto 2313-1995. De igual forma, la Constitución Política señala en su artículo 1 que </w:t>
      </w:r>
      <w:r>
        <w:rPr>
          <w:rFonts w:cs="Times New Roman" w:ascii="Century Gothic" w:hAnsi="Century Gothic"/>
          <w:i/>
          <w:iCs/>
          <w:sz w:val="20"/>
          <w:szCs w:val="20"/>
        </w:rPr>
        <w:t xml:space="preserve">Costa Rica es una República democrática, libre, independiente, multiétnica y pluricultural, lo cual permite la coexistencia de la normativa indígena y la aplicación desde esa perspectiva de la normativa interna relacionada con dicha población, a saber, la Ley Indígena que se menciona. </w:t>
      </w:r>
    </w:p>
    <w:p>
      <w:pPr>
        <w:pStyle w:val="Normal"/>
        <w:tabs>
          <w:tab w:val="clear" w:pos="708"/>
          <w:tab w:val="left" w:pos="1440" w:leader="none"/>
        </w:tabs>
        <w:spacing w:lineRule="auto" w:line="240" w:before="0" w:after="0"/>
        <w:ind w:left="708" w:firstLine="708"/>
        <w:jc w:val="both"/>
        <w:rPr>
          <w:rFonts w:ascii="Century Gothic" w:hAnsi="Century Gothic" w:cs="Times New Roman"/>
          <w:i/>
          <w:i/>
          <w:iCs/>
          <w:sz w:val="20"/>
          <w:szCs w:val="20"/>
        </w:rPr>
      </w:pPr>
      <w:r>
        <w:rPr>
          <w:rFonts w:cs="Times New Roman" w:ascii="Century Gothic" w:hAnsi="Century Gothic"/>
          <w:i/>
          <w:iCs/>
          <w:sz w:val="20"/>
          <w:szCs w:val="20"/>
        </w:rPr>
      </w:r>
    </w:p>
    <w:p>
      <w:pPr>
        <w:pStyle w:val="Normal"/>
        <w:numPr>
          <w:ilvl w:val="0"/>
          <w:numId w:val="3"/>
        </w:numPr>
        <w:spacing w:lineRule="auto" w:line="240" w:before="0" w:after="0"/>
        <w:ind w:left="1428" w:hanging="360"/>
        <w:contextualSpacing/>
        <w:jc w:val="both"/>
        <w:rPr>
          <w:rFonts w:ascii="Century Gothic" w:hAnsi="Century Gothic" w:cs="Times New Roman"/>
          <w:i/>
          <w:i/>
          <w:sz w:val="20"/>
          <w:szCs w:val="20"/>
        </w:rPr>
      </w:pPr>
      <w:r>
        <w:rPr>
          <w:rFonts w:cs="Times New Roman" w:ascii="Century Gothic" w:hAnsi="Century Gothic"/>
          <w:i/>
          <w:sz w:val="20"/>
          <w:szCs w:val="20"/>
        </w:rPr>
        <w:t>Que el Estado de Costa Rica ordene  a las fuerzas públicas proteger efectivamente las personas, familias y bienes de las comunidades indígenas Bribri, Broran y Brunca –muy especialmente a quienes viven en tierras recién recuperadas de la provincia de Puntarenas- así como a las personas, familias y bienes de las restantes comunidades indígenas que se ven afectadas en todo el país. Sugerimos adicionalmente que el Estado Nacional acuerde y coordine con las organizaciones indígenas de Costa Rica las modalidades, mecanismos y garantías de esa población.</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t>En cumplimiento de sus funciones, el Poder Judicial se ocupa de la administración de justicia de los procesos judiciales vinculados con personas indígenas, entre los cuales se encuentran los relacionados con las jurisdicciones penal, agraria, contenciosa administrativa, familia y otras, competentes para conocer de los asuntos en los cuales se reclamen conflictos relacionados con “personas, familias y bienes de las comunidades indígenas Bribri, Broran y Brunca”.</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numPr>
          <w:ilvl w:val="0"/>
          <w:numId w:val="3"/>
        </w:numPr>
        <w:spacing w:lineRule="auto" w:line="240" w:before="0" w:after="0"/>
        <w:ind w:left="1428" w:hanging="360"/>
        <w:contextualSpacing/>
        <w:jc w:val="both"/>
        <w:rPr>
          <w:rFonts w:ascii="Century Gothic" w:hAnsi="Century Gothic" w:cs="Times New Roman"/>
          <w:i/>
          <w:i/>
          <w:sz w:val="20"/>
          <w:szCs w:val="20"/>
        </w:rPr>
      </w:pPr>
      <w:r>
        <w:rPr>
          <w:rFonts w:cs="Times New Roman" w:ascii="Century Gothic" w:hAnsi="Century Gothic"/>
          <w:i/>
          <w:sz w:val="20"/>
          <w:szCs w:val="20"/>
        </w:rPr>
        <w:t>Que el Poder Judicial de Costa Rica investigue la asociación ilícita entre no indígenas (“finqueros”, ganaderos, otros), la actuación de bandas armadas, y la existencia de zonas liberadas para que esos hombres armados puedan actuar violentamente con total impunidad.</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t>En Costa Rica no existen zonas liberadas que permitan la impunidad de sus habitantes. La seguridad de la población es competencia de varias instituciones, correspondiendo al Poder Judicial la administración de justicia.</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numPr>
          <w:ilvl w:val="0"/>
          <w:numId w:val="3"/>
        </w:numPr>
        <w:spacing w:lineRule="auto" w:line="240" w:before="0" w:after="0"/>
        <w:ind w:left="1428" w:hanging="360"/>
        <w:contextualSpacing/>
        <w:jc w:val="both"/>
        <w:rPr>
          <w:rFonts w:ascii="Century Gothic" w:hAnsi="Century Gothic" w:cs="Times New Roman"/>
          <w:i/>
          <w:i/>
          <w:sz w:val="20"/>
          <w:szCs w:val="20"/>
        </w:rPr>
      </w:pPr>
      <w:r>
        <w:rPr>
          <w:rFonts w:cs="Times New Roman" w:ascii="Century Gothic" w:hAnsi="Century Gothic"/>
          <w:i/>
          <w:sz w:val="20"/>
          <w:szCs w:val="20"/>
        </w:rPr>
        <w:t>Que los territorios y tierras que la Ley Indígena 6172 les reconoce a los pueblos indígenas sean restituidos a las comunidades Bribri, Brorán y Bruncaj, así como a los restantes pueblos indígenas de Costa Rica.</w:t>
      </w:r>
    </w:p>
    <w:p>
      <w:pPr>
        <w:pStyle w:val="Normal"/>
        <w:spacing w:lineRule="auto" w:line="240" w:before="0" w:after="0"/>
        <w:ind w:left="708" w:hanging="0"/>
        <w:jc w:val="both"/>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t>La restitución de los territorios indígenas compete a diferentes instituciones del Estado. En su quehacer, el Poder Judicial debe aplicar la normativa nacional e internacional que regula los derechos de esa población, incluyendo los asociados a la seguridad de las personas beneficiarias de las Medidas Cautelares 321-12 de la CIDH contra el Estado.</w:t>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r>
    </w:p>
    <w:p>
      <w:pPr>
        <w:pStyle w:val="Normal"/>
        <w:numPr>
          <w:ilvl w:val="0"/>
          <w:numId w:val="3"/>
        </w:numPr>
        <w:spacing w:lineRule="auto" w:line="240" w:before="0" w:after="0"/>
        <w:ind w:left="1428" w:hanging="360"/>
        <w:contextualSpacing/>
        <w:jc w:val="both"/>
        <w:rPr>
          <w:rFonts w:ascii="Century Gothic" w:hAnsi="Century Gothic" w:cs="Times New Roman"/>
          <w:i/>
          <w:i/>
          <w:sz w:val="20"/>
          <w:szCs w:val="20"/>
        </w:rPr>
      </w:pPr>
      <w:r>
        <w:rPr>
          <w:rFonts w:cs="Times New Roman" w:ascii="Century Gothic" w:hAnsi="Century Gothic"/>
          <w:i/>
          <w:sz w:val="20"/>
          <w:szCs w:val="20"/>
        </w:rPr>
        <w:t>Que el proyecto de Ley sobre autonomía de los Pueblos Indígenas de Costa Rica sea finalmente aprobado, tras tantos años de no haber recibido suficiente apoyo de la Asamblea Legislativa.</w:t>
      </w:r>
    </w:p>
    <w:p>
      <w:pPr>
        <w:pStyle w:val="Normal"/>
        <w:spacing w:lineRule="auto" w:line="240" w:before="0" w:after="0"/>
        <w:ind w:left="708" w:hanging="0"/>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708"/>
        <w:rPr>
          <w:rFonts w:ascii="Century Gothic" w:hAnsi="Century Gothic" w:cs="Times New Roman"/>
          <w:i/>
          <w:i/>
          <w:sz w:val="20"/>
          <w:szCs w:val="20"/>
        </w:rPr>
      </w:pPr>
      <w:r>
        <w:rPr>
          <w:rFonts w:cs="Times New Roman" w:ascii="Century Gothic" w:hAnsi="Century Gothic"/>
          <w:i/>
          <w:sz w:val="20"/>
          <w:szCs w:val="20"/>
        </w:rPr>
        <w:t>La aprobación de los proyectos de ley son competencia del Poder Legislativo. Al Poder Judicial le corresponde la aplicación de la normativa vigente.</w:t>
      </w:r>
    </w:p>
    <w:p>
      <w:pPr>
        <w:pStyle w:val="Normal"/>
        <w:spacing w:lineRule="auto" w:line="240" w:before="0" w:after="0"/>
        <w:ind w:left="708" w:hanging="0"/>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t>En términos generales debe señalarse que el Poder Judicial se ha ocupado de la atención prioritaria de los procesos vinculados con personas indígenas, con especial énfasis en el cumplimiento de las Medidas Cautelares 321-12 de la CIDH. Para tal efecto, se dispuso la constitución de la Subcomisión de Acceso a la Justicia de Pueblos Indígenas como parte de la Comisión de Acceso a la Justicia, con el objetivo de atender temas prioritarios vinculados con los derechos de esa población. Además, se han desarrollado procesos de capacitación enfocados en el Derecho Indígena con el objetivo de fortalecer las competencias de las personas servidoras judiciales de la Judicatura, Ministerio Público, Organismo de Investigación Judicial, Defensa Pública y el sector Administrativo, en especial a quienes laboran en Buenos Aires de Puntarenas, sitio donde habitan las personas beneficiarias de las Medidas Cautelares 321-12.</w:t>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t>El Consejo Superior del Poder Judicial se ha ocupado de emitir lineamientos a todas las personas servidoras judiciales sobre las “Reglas Prácticas para facilitar el acceso a la justicia de las poblaciones indígenas” (Sesiones 77-2008, 104-2009 y 61-2011 entre otras, que generaron las Circulares 10-2009, 123-2013 y 80-2015, entre otras), en las que se señala:</w:t>
      </w:r>
    </w:p>
    <w:p>
      <w:pPr>
        <w:pStyle w:val="Normal"/>
        <w:spacing w:lineRule="auto" w:line="240" w:before="0" w:after="0"/>
        <w:ind w:left="708" w:firstLine="708"/>
        <w:jc w:val="both"/>
        <w:rPr>
          <w:rFonts w:ascii="Century Gothic" w:hAnsi="Century Gothic" w:cs="Times New Roman"/>
          <w:i/>
          <w:i/>
          <w:sz w:val="20"/>
          <w:szCs w:val="20"/>
        </w:rPr>
      </w:pPr>
      <w:r>
        <w:rPr>
          <w:rFonts w:cs="Times New Roman" w:ascii="Century Gothic" w:hAnsi="Century Gothic"/>
          <w:i/>
          <w:sz w:val="20"/>
          <w:szCs w:val="20"/>
        </w:rPr>
      </w:r>
    </w:p>
    <w:p>
      <w:pPr>
        <w:pStyle w:val="Normal"/>
        <w:spacing w:lineRule="auto" w:line="480" w:before="0" w:after="0"/>
        <w:ind w:left="708" w:hanging="0"/>
        <w:jc w:val="center"/>
        <w:rPr>
          <w:rFonts w:ascii="Century Gothic" w:hAnsi="Century Gothic" w:cs="Times New Roman"/>
          <w:b/>
          <w:b/>
          <w:bCs/>
          <w:i/>
          <w:i/>
          <w:sz w:val="20"/>
          <w:szCs w:val="20"/>
        </w:rPr>
      </w:pPr>
      <w:r>
        <w:rPr>
          <w:rFonts w:cs="Times New Roman" w:ascii="Century Gothic" w:hAnsi="Century Gothic"/>
          <w:b/>
          <w:bCs/>
          <w:i/>
          <w:sz w:val="20"/>
          <w:szCs w:val="20"/>
        </w:rPr>
        <w:t>“</w:t>
      </w:r>
      <w:r>
        <w:rPr>
          <w:rFonts w:cs="Times New Roman" w:ascii="Century Gothic" w:hAnsi="Century Gothic"/>
          <w:b/>
          <w:bCs/>
          <w:i/>
          <w:sz w:val="20"/>
          <w:szCs w:val="20"/>
        </w:rPr>
        <w:t>CIRCULAR N° 80-2015</w:t>
      </w:r>
    </w:p>
    <w:p>
      <w:pPr>
        <w:pStyle w:val="Normal"/>
        <w:spacing w:lineRule="auto" w:line="360" w:before="0" w:after="0"/>
        <w:ind w:left="708" w:hanging="0"/>
        <w:jc w:val="both"/>
        <w:rPr>
          <w:rFonts w:ascii="Century Gothic" w:hAnsi="Century Gothic" w:cs="Times New Roman"/>
          <w:i/>
          <w:i/>
          <w:sz w:val="20"/>
          <w:szCs w:val="20"/>
        </w:rPr>
      </w:pPr>
      <w:r>
        <w:rPr>
          <w:rFonts w:cs="Times New Roman" w:ascii="Century Gothic" w:hAnsi="Century Gothic"/>
          <w:b/>
          <w:bCs/>
          <w:i/>
          <w:sz w:val="20"/>
          <w:szCs w:val="20"/>
        </w:rPr>
        <w:t>ASUNTO</w:t>
      </w:r>
      <w:r>
        <w:rPr>
          <w:rFonts w:cs="Times New Roman" w:ascii="Century Gothic" w:hAnsi="Century Gothic"/>
          <w:i/>
          <w:sz w:val="20"/>
          <w:szCs w:val="20"/>
        </w:rPr>
        <w:t xml:space="preserve">:    Reiteración de la Circular No 10-09, sobre </w:t>
      </w:r>
      <w:r>
        <w:rPr>
          <w:rFonts w:cs="Times New Roman" w:ascii="Century Gothic" w:hAnsi="Century Gothic"/>
          <w:i/>
          <w:iCs/>
          <w:sz w:val="20"/>
          <w:szCs w:val="20"/>
        </w:rPr>
        <w:t>“Reglas Prácticas para facilitar el acceso a la justicia de las  Poblaciones  Indígenas”.</w:t>
      </w:r>
    </w:p>
    <w:p>
      <w:pPr>
        <w:pStyle w:val="Normal"/>
        <w:spacing w:lineRule="auto" w:line="240" w:before="0" w:after="0"/>
        <w:ind w:left="708" w:hanging="0"/>
        <w:jc w:val="center"/>
        <w:rPr>
          <w:rFonts w:ascii="Century Gothic" w:hAnsi="Century Gothic" w:eastAsia="Batang" w:cs="Times New Roman"/>
          <w:b/>
          <w:b/>
          <w:bCs/>
          <w:i/>
          <w:i/>
          <w:sz w:val="20"/>
          <w:szCs w:val="20"/>
          <w:lang w:val="es-ES" w:eastAsia="ko-KR"/>
        </w:rPr>
      </w:pPr>
      <w:r>
        <w:rPr>
          <w:rFonts w:cs="Times New Roman" w:ascii="Century Gothic" w:hAnsi="Century Gothic"/>
          <w:i/>
          <w:sz w:val="20"/>
          <w:szCs w:val="20"/>
        </w:rPr>
        <w:t> </w:t>
      </w:r>
      <w:r>
        <w:rPr>
          <w:rFonts w:eastAsia="Batang" w:cs="Times New Roman" w:ascii="Century Gothic" w:hAnsi="Century Gothic"/>
          <w:b/>
          <w:bCs/>
          <w:i/>
          <w:sz w:val="20"/>
          <w:szCs w:val="20"/>
          <w:lang w:val="es-ES" w:eastAsia="ko-KR"/>
        </w:rPr>
        <w:t>A LOS DESPACHOS JUDICIALES DEL PAÍS</w:t>
      </w:r>
    </w:p>
    <w:p>
      <w:pPr>
        <w:pStyle w:val="Normal"/>
        <w:spacing w:lineRule="auto" w:line="480" w:before="0" w:after="0"/>
        <w:ind w:left="708" w:hanging="0"/>
        <w:jc w:val="center"/>
        <w:rPr>
          <w:rFonts w:ascii="Century Gothic" w:hAnsi="Century Gothic" w:cs="Times New Roman"/>
          <w:i/>
          <w:i/>
          <w:sz w:val="20"/>
          <w:szCs w:val="20"/>
        </w:rPr>
      </w:pPr>
      <w:r>
        <w:rPr>
          <w:rFonts w:cs="Times New Roman" w:ascii="Century Gothic" w:hAnsi="Century Gothic"/>
          <w:b/>
          <w:bCs/>
          <w:i/>
          <w:sz w:val="20"/>
          <w:szCs w:val="20"/>
          <w:u w:val="single"/>
        </w:rPr>
        <w:t>SE LES HACE SABER QUE:</w:t>
      </w:r>
    </w:p>
    <w:p>
      <w:pPr>
        <w:pStyle w:val="Normal"/>
        <w:widowControl w:val="false"/>
        <w:suppressAutoHyphens w:val="true"/>
        <w:spacing w:lineRule="auto" w:line="360" w:before="0" w:after="0"/>
        <w:ind w:left="708" w:right="-261" w:firstLine="539"/>
        <w:jc w:val="both"/>
        <w:rPr>
          <w:rFonts w:ascii="Century Gothic" w:hAnsi="Century Gothic" w:eastAsia="Arial Unicode MS" w:cs="Times New Roman"/>
          <w:i/>
          <w:i/>
          <w:kern w:val="2"/>
          <w:sz w:val="20"/>
          <w:szCs w:val="20"/>
          <w:lang w:val="es-ES_tradnl"/>
        </w:rPr>
      </w:pPr>
      <w:r>
        <w:rPr>
          <w:rFonts w:eastAsia="Arial Unicode MS" w:cs="Times New Roman" w:ascii="Century Gothic" w:hAnsi="Century Gothic"/>
          <w:i/>
          <w:kern w:val="2"/>
          <w:sz w:val="20"/>
          <w:szCs w:val="20"/>
        </w:rPr>
        <w:t xml:space="preserve">El Consejo Superior del Poder Judicial en sesión N° 33-15, celebrada el 14 de abril de 2015, artículo LXXI, </w:t>
      </w:r>
      <w:r>
        <w:rPr>
          <w:rFonts w:eastAsia="Arial Unicode MS" w:cs="Times New Roman" w:ascii="Century Gothic" w:hAnsi="Century Gothic"/>
          <w:i/>
          <w:kern w:val="2"/>
          <w:sz w:val="20"/>
          <w:szCs w:val="20"/>
          <w:lang w:val="es-ES_tradnl"/>
        </w:rPr>
        <w:t xml:space="preserve">acordó reiterar la Circular N° 10-09, denominada </w:t>
      </w:r>
      <w:r>
        <w:rPr>
          <w:rFonts w:eastAsia="Arial Unicode MS" w:cs="Times New Roman" w:ascii="Century Gothic" w:hAnsi="Century Gothic"/>
          <w:i/>
          <w:iCs/>
          <w:kern w:val="2"/>
          <w:sz w:val="20"/>
          <w:szCs w:val="20"/>
          <w:lang w:val="es-ES_tradnl"/>
        </w:rPr>
        <w:t>“Reglas Prácticas para facilitar el acceso a la justicia de las Poblaciones Indígenas”</w:t>
      </w:r>
      <w:r>
        <w:rPr>
          <w:rFonts w:eastAsia="Arial Unicode MS" w:cs="Times New Roman" w:ascii="Century Gothic" w:hAnsi="Century Gothic"/>
          <w:i/>
          <w:kern w:val="2"/>
          <w:sz w:val="20"/>
          <w:szCs w:val="20"/>
          <w:lang w:val="es-ES_tradnl"/>
        </w:rPr>
        <w:t xml:space="preserve">, cuyo texto literalmente dice: </w:t>
      </w:r>
      <w:r>
        <w:rPr>
          <w:rFonts w:eastAsia="Arial Unicode MS" w:cs="Times New Roman" w:ascii="Century Gothic" w:hAnsi="Century Gothic"/>
          <w:b/>
          <w:bCs/>
          <w:i/>
          <w:iCs/>
          <w:kern w:val="2"/>
          <w:sz w:val="20"/>
          <w:szCs w:val="20"/>
          <w:lang w:val="es-ES_tradnl"/>
        </w:rPr>
        <w:t> </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lang w:val="es-ES_tradnl"/>
        </w:rPr>
        <w:t>1.</w:t>
      </w:r>
      <w:r>
        <w:rPr>
          <w:rFonts w:eastAsia="Arial Unicode MS" w:cs="Times New Roman" w:ascii="Century Gothic" w:hAnsi="Century Gothic"/>
          <w:i/>
          <w:color w:val="333333"/>
          <w:kern w:val="2"/>
          <w:sz w:val="20"/>
          <w:szCs w:val="20"/>
          <w:lang w:val="es-ES_tradnl"/>
        </w:rPr>
        <w:t xml:space="preserve">      </w:t>
      </w:r>
      <w:r>
        <w:rPr>
          <w:rFonts w:eastAsia="Arial Unicode MS" w:cs="Times New Roman" w:ascii="Century Gothic" w:hAnsi="Century Gothic"/>
          <w:i/>
          <w:color w:val="333333"/>
          <w:kern w:val="2"/>
          <w:sz w:val="20"/>
          <w:szCs w:val="20"/>
        </w:rPr>
        <w:t xml:space="preserve">Las Autoridades Judiciales </w:t>
      </w:r>
      <w:r>
        <w:rPr>
          <w:rFonts w:eastAsia="Arial Unicode MS" w:cs="Times New Roman" w:ascii="Century Gothic" w:hAnsi="Century Gothic"/>
          <w:i/>
          <w:kern w:val="2"/>
          <w:sz w:val="20"/>
          <w:szCs w:val="20"/>
        </w:rPr>
        <w:t>promoverán</w:t>
      </w:r>
      <w:r>
        <w:rPr>
          <w:rFonts w:eastAsia="Arial Unicode MS" w:cs="Times New Roman" w:ascii="Century Gothic" w:hAnsi="Century Gothic"/>
          <w:i/>
          <w:color w:val="333333"/>
          <w:kern w:val="2"/>
          <w:sz w:val="20"/>
          <w:szCs w:val="20"/>
        </w:rPr>
        <w:t xml:space="preserve"> la realización de diligencia </w:t>
      </w:r>
      <w:r>
        <w:rPr>
          <w:rFonts w:eastAsia="Arial Unicode MS" w:cs="Times New Roman" w:ascii="Century Gothic" w:hAnsi="Century Gothic"/>
          <w:i/>
          <w:iCs/>
          <w:color w:val="333333"/>
          <w:kern w:val="2"/>
          <w:sz w:val="20"/>
          <w:szCs w:val="20"/>
        </w:rPr>
        <w:t>“in situ”,</w:t>
      </w:r>
      <w:r>
        <w:rPr>
          <w:rFonts w:eastAsia="Arial Unicode MS" w:cs="Times New Roman" w:ascii="Century Gothic" w:hAnsi="Century Gothic"/>
          <w:i/>
          <w:color w:val="333333"/>
          <w:kern w:val="2"/>
          <w:sz w:val="20"/>
          <w:szCs w:val="20"/>
        </w:rPr>
        <w:t xml:space="preserve"> en aquellos lugares donde existan territorios indígenas. </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lang w:val="es-ES_tradnl"/>
        </w:rPr>
        <w:t>2.</w:t>
      </w:r>
      <w:r>
        <w:rPr>
          <w:rFonts w:eastAsia="Arial Unicode MS" w:cs="Times New Roman" w:ascii="Century Gothic" w:hAnsi="Century Gothic"/>
          <w:i/>
          <w:color w:val="333333"/>
          <w:kern w:val="2"/>
          <w:sz w:val="20"/>
          <w:szCs w:val="20"/>
          <w:lang w:val="es-ES_tradnl"/>
        </w:rPr>
        <w:t xml:space="preserve">      </w:t>
      </w:r>
      <w:r>
        <w:rPr>
          <w:rFonts w:eastAsia="Arial Unicode MS" w:cs="Times New Roman" w:ascii="Century Gothic" w:hAnsi="Century Gothic"/>
          <w:i/>
          <w:color w:val="333333"/>
          <w:kern w:val="2"/>
          <w:sz w:val="20"/>
          <w:szCs w:val="20"/>
        </w:rPr>
        <w:t xml:space="preserve">Dentro de cada presupuesto de los distintos programas presupuestarios, se </w:t>
      </w:r>
      <w:r>
        <w:rPr>
          <w:rFonts w:eastAsia="Arial Unicode MS" w:cs="Times New Roman" w:ascii="Century Gothic" w:hAnsi="Century Gothic"/>
          <w:i/>
          <w:kern w:val="2"/>
          <w:sz w:val="20"/>
          <w:szCs w:val="20"/>
        </w:rPr>
        <w:t>contemplará</w:t>
      </w:r>
      <w:r>
        <w:rPr>
          <w:rFonts w:eastAsia="Arial Unicode MS" w:cs="Times New Roman" w:ascii="Century Gothic" w:hAnsi="Century Gothic"/>
          <w:i/>
          <w:color w:val="333333"/>
          <w:kern w:val="2"/>
          <w:sz w:val="20"/>
          <w:szCs w:val="20"/>
        </w:rPr>
        <w:t xml:space="preserve"> el rubro de viáticos tanto para los y las indígenas como para las y los funcionarios, quienes desarrollan sus diligencias </w:t>
      </w:r>
      <w:r>
        <w:rPr>
          <w:rFonts w:eastAsia="Arial Unicode MS" w:cs="Times New Roman" w:ascii="Century Gothic" w:hAnsi="Century Gothic"/>
          <w:i/>
          <w:iCs/>
          <w:color w:val="333333"/>
          <w:kern w:val="2"/>
          <w:sz w:val="20"/>
          <w:szCs w:val="20"/>
        </w:rPr>
        <w:t>“in situ”.</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3.</w:t>
      </w:r>
      <w:r>
        <w:rPr>
          <w:rFonts w:eastAsia="Arial Unicode MS" w:cs="Times New Roman" w:ascii="Century Gothic" w:hAnsi="Century Gothic"/>
          <w:i/>
          <w:color w:val="333333"/>
          <w:kern w:val="2"/>
          <w:sz w:val="20"/>
          <w:szCs w:val="20"/>
        </w:rPr>
        <w:t xml:space="preserve">      Los y las jueces, así como cualquier autoridad judicial </w:t>
      </w:r>
      <w:r>
        <w:rPr>
          <w:rFonts w:eastAsia="Arial Unicode MS" w:cs="Times New Roman" w:ascii="Century Gothic" w:hAnsi="Century Gothic"/>
          <w:i/>
          <w:kern w:val="2"/>
          <w:sz w:val="20"/>
          <w:szCs w:val="20"/>
        </w:rPr>
        <w:t>establecerán</w:t>
      </w:r>
      <w:r>
        <w:rPr>
          <w:rFonts w:eastAsia="Arial Unicode MS" w:cs="Times New Roman" w:ascii="Century Gothic" w:hAnsi="Century Gothic"/>
          <w:i/>
          <w:color w:val="333333"/>
          <w:kern w:val="2"/>
          <w:sz w:val="20"/>
          <w:szCs w:val="20"/>
        </w:rPr>
        <w:t xml:space="preserve"> como práctica la atención de las y los usuarios indígenas.</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4.</w:t>
      </w:r>
      <w:r>
        <w:rPr>
          <w:rFonts w:eastAsia="Arial Unicode MS" w:cs="Times New Roman" w:ascii="Century Gothic" w:hAnsi="Century Gothic"/>
          <w:i/>
          <w:color w:val="333333"/>
          <w:kern w:val="2"/>
          <w:sz w:val="20"/>
          <w:szCs w:val="20"/>
        </w:rPr>
        <w:t>      Los y las jueces, así como los y las funcionarios (as) judiciales  </w:t>
      </w:r>
      <w:r>
        <w:rPr>
          <w:rFonts w:eastAsia="Arial Unicode MS" w:cs="Times New Roman" w:ascii="Century Gothic" w:hAnsi="Century Gothic"/>
          <w:i/>
          <w:kern w:val="2"/>
          <w:sz w:val="20"/>
          <w:szCs w:val="20"/>
        </w:rPr>
        <w:t>darán prioridad</w:t>
      </w:r>
      <w:r>
        <w:rPr>
          <w:rFonts w:eastAsia="Arial Unicode MS" w:cs="Times New Roman" w:ascii="Century Gothic" w:hAnsi="Century Gothic"/>
          <w:i/>
          <w:color w:val="333333"/>
          <w:kern w:val="2"/>
          <w:sz w:val="20"/>
          <w:szCs w:val="20"/>
        </w:rPr>
        <w:t xml:space="preserve"> de trato a las personas indígenas que se apersonen a los despachos judiciales.</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kern w:val="2"/>
          <w:sz w:val="20"/>
          <w:szCs w:val="20"/>
        </w:rPr>
        <w:t>5.</w:t>
      </w:r>
      <w:r>
        <w:rPr>
          <w:rFonts w:eastAsia="Arial Unicode MS" w:cs="Times New Roman" w:ascii="Century Gothic" w:hAnsi="Century Gothic"/>
          <w:i/>
          <w:kern w:val="2"/>
          <w:sz w:val="20"/>
          <w:szCs w:val="20"/>
        </w:rPr>
        <w:t xml:space="preserve">      </w:t>
      </w:r>
      <w:r>
        <w:rPr>
          <w:rFonts w:eastAsia="Arial Unicode MS" w:cs="Times New Roman" w:ascii="Century Gothic" w:hAnsi="Century Gothic"/>
          <w:i/>
          <w:color w:val="333333"/>
          <w:kern w:val="2"/>
          <w:sz w:val="20"/>
          <w:szCs w:val="20"/>
        </w:rPr>
        <w:t xml:space="preserve">Deberán los y las jueces, </w:t>
      </w:r>
      <w:r>
        <w:rPr>
          <w:rFonts w:eastAsia="Arial Unicode MS" w:cs="Times New Roman" w:ascii="Century Gothic" w:hAnsi="Century Gothic"/>
          <w:i/>
          <w:kern w:val="2"/>
          <w:sz w:val="20"/>
          <w:szCs w:val="20"/>
        </w:rPr>
        <w:t xml:space="preserve">fijar </w:t>
      </w:r>
      <w:r>
        <w:rPr>
          <w:rFonts w:eastAsia="Arial Unicode MS" w:cs="Times New Roman" w:ascii="Century Gothic" w:hAnsi="Century Gothic"/>
          <w:i/>
          <w:color w:val="333333"/>
          <w:kern w:val="2"/>
          <w:sz w:val="20"/>
          <w:szCs w:val="20"/>
        </w:rPr>
        <w:t>los señalamientos de las audiencias y juicios  dentro de un horario accesible, contemplando las particularidades de cada zona.</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6.</w:t>
      </w:r>
      <w:r>
        <w:rPr>
          <w:rFonts w:eastAsia="Arial Unicode MS" w:cs="Times New Roman" w:ascii="Century Gothic" w:hAnsi="Century Gothic"/>
          <w:i/>
          <w:color w:val="333333"/>
          <w:kern w:val="2"/>
          <w:sz w:val="20"/>
          <w:szCs w:val="20"/>
        </w:rPr>
        <w:t xml:space="preserve">      </w:t>
      </w:r>
      <w:r>
        <w:rPr>
          <w:rFonts w:eastAsia="Arial Unicode MS" w:cs="Times New Roman" w:ascii="Century Gothic" w:hAnsi="Century Gothic"/>
          <w:i/>
          <w:kern w:val="2"/>
          <w:sz w:val="20"/>
          <w:szCs w:val="20"/>
        </w:rPr>
        <w:t>Los y las juezas, así como las autoridades judiciales, que requieran documentos de otras entidades en este tipo de asuntos; establecerán los canales de comunicación y coordinación necesarios para hacerlos llegar al caso concreto a la brevedad posible; y comunicarán a la Comisión de Accesibilidad los obstáculos que se les presenten para el cumplimiento efectivo de las recomendaciones.</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7.</w:t>
      </w:r>
      <w:r>
        <w:rPr>
          <w:rFonts w:eastAsia="Arial Unicode MS" w:cs="Times New Roman" w:ascii="Century Gothic" w:hAnsi="Century Gothic"/>
          <w:i/>
          <w:color w:val="333333"/>
          <w:kern w:val="2"/>
          <w:sz w:val="20"/>
          <w:szCs w:val="20"/>
        </w:rPr>
        <w:t>      Deberán aplicarse las directrices de no revictimización en los casos en que sean parte personas indígenas y especialmente mujeres, niñas, niños y adolescentes</w:t>
      </w:r>
      <w:r>
        <w:rPr>
          <w:rFonts w:eastAsia="Arial Unicode MS" w:cs="Times New Roman" w:ascii="Century Gothic" w:hAnsi="Century Gothic"/>
          <w:b/>
          <w:bCs/>
          <w:i/>
          <w:color w:val="333333"/>
          <w:kern w:val="2"/>
          <w:sz w:val="20"/>
          <w:szCs w:val="20"/>
        </w:rPr>
        <w:t>.</w:t>
      </w:r>
      <w:r>
        <w:rPr>
          <w:rFonts w:eastAsia="Arial Unicode MS" w:cs="Times New Roman" w:ascii="Century Gothic" w:hAnsi="Century Gothic"/>
          <w:i/>
          <w:color w:val="333333"/>
          <w:kern w:val="2"/>
          <w:sz w:val="20"/>
          <w:szCs w:val="20"/>
        </w:rPr>
        <w:t xml:space="preserve"> </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8.</w:t>
      </w:r>
      <w:r>
        <w:rPr>
          <w:rFonts w:eastAsia="Arial Unicode MS" w:cs="Times New Roman" w:ascii="Century Gothic" w:hAnsi="Century Gothic"/>
          <w:i/>
          <w:color w:val="333333"/>
          <w:kern w:val="2"/>
          <w:sz w:val="20"/>
          <w:szCs w:val="20"/>
        </w:rPr>
        <w:t xml:space="preserve">      La Contraloría de Servicios será la encargada de velar porque se cumplan las recomendaciones propuestas. </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9.</w:t>
      </w:r>
      <w:r>
        <w:rPr>
          <w:rFonts w:eastAsia="Arial Unicode MS" w:cs="Times New Roman" w:ascii="Century Gothic" w:hAnsi="Century Gothic"/>
          <w:i/>
          <w:color w:val="333333"/>
          <w:kern w:val="2"/>
          <w:sz w:val="20"/>
          <w:szCs w:val="20"/>
        </w:rPr>
        <w:t xml:space="preserve">      Colocar distintivos en los expedientes en el caso de que una de las partes sea una persona indígena. </w:t>
      </w:r>
    </w:p>
    <w:p>
      <w:pPr>
        <w:pStyle w:val="Normal"/>
        <w:widowControl w:val="false"/>
        <w:suppressAutoHyphens w:val="true"/>
        <w:spacing w:lineRule="auto" w:line="240" w:before="240" w:after="120"/>
        <w:ind w:left="1422" w:hanging="357"/>
        <w:rPr>
          <w:rFonts w:ascii="Century Gothic" w:hAnsi="Century Gothic" w:eastAsia="Arial Unicode MS" w:cs="Times New Roman"/>
          <w:i/>
          <w:i/>
          <w:kern w:val="2"/>
          <w:sz w:val="20"/>
          <w:szCs w:val="20"/>
          <w:lang w:val="es-ES_tradnl"/>
        </w:rPr>
      </w:pPr>
      <w:r>
        <w:rPr>
          <w:rFonts w:eastAsia="Arial Unicode MS" w:cs="Times New Roman" w:ascii="Century Gothic" w:hAnsi="Century Gothic"/>
          <w:b/>
          <w:bCs/>
          <w:i/>
          <w:color w:val="333333"/>
          <w:kern w:val="2"/>
          <w:sz w:val="20"/>
          <w:szCs w:val="20"/>
        </w:rPr>
        <w:t>10.</w:t>
      </w:r>
      <w:r>
        <w:rPr>
          <w:rFonts w:eastAsia="Arial Unicode MS" w:cs="Times New Roman" w:ascii="Century Gothic" w:hAnsi="Century Gothic"/>
          <w:i/>
          <w:color w:val="333333"/>
          <w:kern w:val="2"/>
          <w:sz w:val="20"/>
          <w:szCs w:val="20"/>
        </w:rPr>
        <w:t>  Los servidores judiciales propiciarán y colaborarán, junto con otras instituciones públicas, la incorporación de las personas indígenas a los procesos de enseñanza secundaria y universitaria que faciliten su participación en la solución de sus asuntos a partir de su propia perspectiva</w:t>
      </w:r>
    </w:p>
    <w:p>
      <w:pPr>
        <w:pStyle w:val="Normal"/>
        <w:spacing w:lineRule="auto" w:line="240" w:beforeAutospacing="1" w:after="0"/>
        <w:ind w:left="708" w:hanging="0"/>
        <w:rPr>
          <w:rFonts w:ascii="Century Gothic" w:hAnsi="Century Gothic" w:cs="Times New Roman"/>
          <w:bCs/>
          <w:i/>
          <w:i/>
          <w:sz w:val="20"/>
          <w:szCs w:val="20"/>
        </w:rPr>
      </w:pPr>
      <w:r>
        <w:rPr>
          <w:rFonts w:eastAsia="Batang" w:cs="Times New Roman" w:ascii="Century Gothic" w:hAnsi="Century Gothic"/>
          <w:i/>
          <w:sz w:val="20"/>
          <w:szCs w:val="20"/>
          <w:lang w:val="es-ES" w:eastAsia="ko-KR"/>
        </w:rPr>
        <w:t> </w:t>
      </w:r>
      <w:r>
        <w:rPr>
          <w:rFonts w:cs="Times New Roman" w:ascii="Century Gothic" w:hAnsi="Century Gothic"/>
          <w:i/>
          <w:sz w:val="20"/>
          <w:szCs w:val="20"/>
        </w:rPr>
        <w:t> </w:t>
      </w:r>
      <w:r>
        <w:rPr>
          <w:rFonts w:cs="Times New Roman" w:ascii="Century Gothic" w:hAnsi="Century Gothic"/>
          <w:b/>
          <w:bCs/>
          <w:i/>
          <w:sz w:val="20"/>
          <w:szCs w:val="20"/>
        </w:rPr>
        <w:t>San José, 18 de mayo de 2015.”</w:t>
      </w:r>
    </w:p>
    <w:p>
      <w:pPr>
        <w:pStyle w:val="Normal"/>
        <w:spacing w:lineRule="auto" w:line="240" w:beforeAutospacing="1" w:after="0"/>
        <w:ind w:left="708" w:firstLine="708"/>
        <w:jc w:val="both"/>
        <w:rPr>
          <w:rFonts w:ascii="Century Gothic" w:hAnsi="Century Gothic" w:cs="Times New Roman"/>
          <w:i/>
          <w:i/>
          <w:sz w:val="20"/>
          <w:szCs w:val="20"/>
          <w:lang w:val="es-ES_tradnl" w:eastAsia="ar-SA"/>
        </w:rPr>
      </w:pPr>
      <w:r>
        <w:rPr>
          <w:rFonts w:cs="Times New Roman" w:ascii="Century Gothic" w:hAnsi="Century Gothic"/>
          <w:bCs/>
          <w:i/>
          <w:sz w:val="20"/>
          <w:szCs w:val="20"/>
        </w:rPr>
        <w:t xml:space="preserve">De manera más reciente y desde una perspectiva sistémica e interinstitucional para la atención de los procesos vinculados con personas indígenas, con especial énfasis en la población indígena beneficiaria de las Medidas Cautelares 321-12 de la CIDH contra el Estado, Corte Plena –jerarquía máxima del Poder Judicial- en sesión </w:t>
      </w:r>
      <w:r>
        <w:rPr>
          <w:rFonts w:cs="Times New Roman" w:ascii="Century Gothic" w:hAnsi="Century Gothic"/>
          <w:b/>
          <w:bCs/>
          <w:i/>
          <w:sz w:val="20"/>
          <w:szCs w:val="20"/>
          <w:lang w:val="es-ES_tradnl" w:eastAsia="ar-SA"/>
        </w:rPr>
        <w:t>N° 20-19</w:t>
      </w:r>
      <w:r>
        <w:rPr>
          <w:rFonts w:cs="Times New Roman" w:ascii="Century Gothic" w:hAnsi="Century Gothic"/>
          <w:i/>
          <w:sz w:val="20"/>
          <w:szCs w:val="20"/>
          <w:lang w:val="es-ES_tradnl" w:eastAsia="ar-SA"/>
        </w:rPr>
        <w:t xml:space="preserve"> celebrada </w:t>
      </w:r>
      <w:r>
        <w:rPr>
          <w:rFonts w:cs="Times New Roman" w:ascii="Century Gothic" w:hAnsi="Century Gothic"/>
          <w:b/>
          <w:bCs/>
          <w:i/>
          <w:sz w:val="20"/>
          <w:szCs w:val="20"/>
          <w:lang w:val="es-ES_tradnl" w:eastAsia="ar-SA"/>
        </w:rPr>
        <w:t>el 27 de mayo del año en curso</w:t>
      </w:r>
      <w:r>
        <w:rPr>
          <w:rFonts w:cs="Times New Roman" w:ascii="Century Gothic" w:hAnsi="Century Gothic"/>
          <w:i/>
          <w:sz w:val="20"/>
          <w:szCs w:val="20"/>
          <w:lang w:val="es-ES_tradnl" w:eastAsia="ar-SA"/>
        </w:rPr>
        <w:t>, Artículo XIX, luego del Encuentro realizado el 5, 6 y 7 de abril entre representantes del Estado y Personas Indígenas Bribri de Salitre y Térraba, con ocasión del cumplimiento de las Medidas Cautelares N 321-12 del 30 de abril de 2015, establecidas por la Comisión Interamericana de Derechos Humanos (CIDH) contra Costa Rica, aprobó 21 ejes de acción para ser desarrollados por las principales direcciones y jefaturas institucionales del Ministerio Público, Defensa Pública, Organismo de Investigación Judicial, Gestión Humana, Planificación, Dirección Ejecutiva, Tecnología de la Información, Escuela Judicial y el Sector Jurisdiccional.</w:t>
      </w:r>
    </w:p>
    <w:p>
      <w:pPr>
        <w:pStyle w:val="Normal"/>
        <w:spacing w:lineRule="auto" w:line="240" w:beforeAutospacing="1" w:after="0"/>
        <w:ind w:left="708" w:firstLine="708"/>
        <w:jc w:val="both"/>
        <w:rPr>
          <w:rFonts w:ascii="Century Gothic" w:hAnsi="Century Gothic" w:cs="Times New Roman"/>
          <w:b/>
          <w:b/>
          <w:bCs/>
          <w:i/>
          <w:i/>
          <w:sz w:val="20"/>
          <w:szCs w:val="20"/>
          <w:lang w:val="pt-BR"/>
        </w:rPr>
      </w:pPr>
      <w:r>
        <w:rPr>
          <w:rFonts w:cs="Times New Roman" w:ascii="Century Gothic" w:hAnsi="Century Gothic"/>
          <w:i/>
          <w:sz w:val="20"/>
          <w:szCs w:val="20"/>
          <w:lang w:val="es-ES_tradnl" w:eastAsia="ar-SA"/>
        </w:rPr>
        <w:t xml:space="preserve">Así mismo, se trabaja en la construcción de la Política de Pueblos Indígenas del Poder Judicial en forma coordinada con el Ministerio de Planificación Nacional, la Dirección de Planificación y la Subcomisión de Acceso a la Justicia de Pueblos Indígenas, con el objetivo de que sea valorada por Corte Plena para su aprobación, en cumplimiento de la Ley de Acceso a la Justicia de Pueblos Indígenas de Costa Rica. </w:t>
      </w:r>
    </w:p>
    <w:p>
      <w:pPr>
        <w:pStyle w:val="Normal"/>
        <w:spacing w:lineRule="auto" w:line="240" w:before="0" w:after="0"/>
        <w:ind w:left="708" w:firstLine="708"/>
        <w:jc w:val="both"/>
        <w:rPr>
          <w:rFonts w:ascii="Century Gothic" w:hAnsi="Century Gothic" w:cs="Times New Roman"/>
          <w:i/>
          <w:i/>
          <w:sz w:val="20"/>
          <w:szCs w:val="20"/>
          <w:lang w:val="pt-BR"/>
        </w:rPr>
      </w:pPr>
      <w:r>
        <w:rPr>
          <w:rFonts w:cs="Times New Roman" w:ascii="Century Gothic" w:hAnsi="Century Gothic"/>
          <w:i/>
          <w:sz w:val="20"/>
          <w:szCs w:val="20"/>
          <w:lang w:val="pt-BR"/>
        </w:rPr>
      </w:r>
    </w:p>
    <w:p>
      <w:pPr>
        <w:pStyle w:val="Normal"/>
        <w:spacing w:lineRule="auto" w:line="240" w:before="0" w:after="0"/>
        <w:ind w:left="708" w:firstLine="708"/>
        <w:jc w:val="both"/>
        <w:rPr>
          <w:rFonts w:ascii="Century Gothic" w:hAnsi="Century Gothic" w:cs="Times New Roman"/>
          <w:i/>
          <w:i/>
          <w:sz w:val="20"/>
          <w:szCs w:val="20"/>
          <w:lang w:val="pt-BR"/>
        </w:rPr>
      </w:pPr>
      <w:r>
        <w:rPr>
          <w:rFonts w:cs="Times New Roman" w:ascii="Century Gothic" w:hAnsi="Century Gothic"/>
          <w:i/>
          <w:sz w:val="20"/>
          <w:szCs w:val="20"/>
          <w:lang w:val="pt-BR"/>
        </w:rPr>
        <w:t>Del señor Jefe de Despacho de la Presidencia de la Corte Suprema de Justicia, con respeto y estima.”</w:t>
      </w:r>
    </w:p>
    <w:p>
      <w:pPr>
        <w:pStyle w:val="Normal"/>
        <w:jc w:val="both"/>
        <w:rPr>
          <w:rFonts w:ascii="Century Gothic" w:hAnsi="Century Gothic"/>
          <w:sz w:val="20"/>
          <w:szCs w:val="20"/>
          <w:lang w:val="pt-BR" w:eastAsia="es-CR"/>
        </w:rPr>
      </w:pPr>
      <w:r>
        <w:rPr>
          <w:rFonts w:ascii="Century Gothic" w:hAnsi="Century Gothic"/>
          <w:sz w:val="20"/>
          <w:szCs w:val="20"/>
          <w:lang w:val="pt-BR" w:eastAsia="es-CR"/>
        </w:rPr>
      </w:r>
    </w:p>
    <w:p>
      <w:pPr>
        <w:pStyle w:val="Normal"/>
        <w:jc w:val="both"/>
        <w:rPr>
          <w:rFonts w:ascii="Century Gothic" w:hAnsi="Century Gothic"/>
          <w:sz w:val="20"/>
          <w:szCs w:val="20"/>
        </w:rPr>
      </w:pPr>
      <w:r>
        <w:rPr/>
        <w:object>
          <v:shape id="ole_rId24" style="width:76.5pt;height:51.75pt" o:ole="">
            <v:imagedata r:id="rId25" o:title=""/>
          </v:shape>
          <o:OLEObject Type="Embed" ProgID="Package" ShapeID="ole_rId24" DrawAspect="Icon" ObjectID="_1744162796" r:id="rId24"/>
        </w:object>
      </w:r>
      <w:r>
        <w:rPr/>
        <w:object>
          <v:shape id="ole_rId26" style="width:75pt;height:49.5pt" o:ole="">
            <v:imagedata r:id="rId27" o:title=""/>
          </v:shape>
          <o:OLEObject Type="Embed" ProgID="AcroExch.Document.DC" ShapeID="ole_rId26" DrawAspect="Icon" ObjectID="_508745434" r:id="rId26"/>
        </w:object>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Se toma nota.-</w:t>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VII</w:t>
      </w:r>
    </w:p>
    <w:p>
      <w:pPr>
        <w:pStyle w:val="Normal"/>
        <w:jc w:val="both"/>
        <w:rPr>
          <w:rFonts w:ascii="Century Gothic" w:hAnsi="Century Gothic"/>
          <w:sz w:val="20"/>
          <w:szCs w:val="20"/>
        </w:rPr>
      </w:pPr>
      <w:r>
        <w:rPr>
          <w:rFonts w:ascii="Century Gothic" w:hAnsi="Century Gothic"/>
          <w:sz w:val="20"/>
          <w:szCs w:val="20"/>
        </w:rPr>
        <w:t>El 19 de junio pasado la Unidad de Acceso a la Justicia remitió comunicado electrónico en el que informaba sobre el Oficio CACC-128-2019, en el que se pedía la remisión de información de interés para la actualización de la página web de la Comisión de Acceso a la Justicia y de la Subcomisión. Esa solicitud fue trasladada a las y los integrantes para que enviaran sus propuestas el 19 de junio. La información requerida es la siguiente:</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Breve descripción de los antecedentes de la Subcomisión que representa (si se tienen).</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Descripción del quehacer de la Subcomisión.</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Personas Integrantes y Persona Coordinadora (con fotografías si se tienen)</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Enlaces de interés (instituciones públicas, ONG, o similares).</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 xml:space="preserve">Normativa. </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Jurisprudencia.</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Folletos o documentación académica.</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Fotografías de eventos, giras o similares.</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Proyectos.</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Otra información que se considere de importancia</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t>Elementos adicionales de accesibilidad, idioma, lenguaje democrático</w:t>
      </w:r>
    </w:p>
    <w:p>
      <w:pPr>
        <w:pStyle w:val="ListParagraph"/>
        <w:numPr>
          <w:ilvl w:val="0"/>
          <w:numId w:val="4"/>
        </w:numPr>
        <w:spacing w:lineRule="auto" w:line="252"/>
        <w:ind w:left="2194" w:hanging="360"/>
        <w:jc w:val="both"/>
        <w:rPr>
          <w:rFonts w:ascii="Century Gothic" w:hAnsi="Century Gothic"/>
          <w:i/>
          <w:i/>
          <w:sz w:val="20"/>
          <w:szCs w:val="20"/>
        </w:rPr>
      </w:pPr>
      <w:r>
        <w:rPr>
          <w:rFonts w:ascii="Century Gothic" w:hAnsi="Century Gothic"/>
          <w:i/>
          <w:sz w:val="20"/>
          <w:szCs w:val="20"/>
        </w:rPr>
      </w:r>
    </w:p>
    <w:p>
      <w:pPr>
        <w:pStyle w:val="Normal"/>
        <w:rPr>
          <w:rFonts w:ascii="Century Gothic" w:hAnsi="Century Gothic"/>
          <w:sz w:val="20"/>
          <w:szCs w:val="20"/>
        </w:rPr>
      </w:pPr>
      <w:r>
        <w:rPr>
          <w:rFonts w:ascii="Century Gothic" w:hAnsi="Century Gothic"/>
          <w:sz w:val="20"/>
          <w:szCs w:val="20"/>
        </w:rPr>
        <w:t>La información solicitada fue remitida oportunamente a la Unidad de Acceso a la Justicia.</w:t>
      </w:r>
    </w:p>
    <w:p>
      <w:pPr>
        <w:pStyle w:val="Normal"/>
        <w:jc w:val="both"/>
        <w:rPr>
          <w:rFonts w:ascii="Century Gothic" w:hAnsi="Century Gothic"/>
          <w:sz w:val="20"/>
          <w:szCs w:val="20"/>
        </w:rPr>
      </w:pPr>
      <w:r>
        <w:rPr/>
        <w:object>
          <v:shape id="ole_rId28" style="width:76.5pt;height:51.75pt" o:ole="">
            <v:imagedata r:id="rId29" o:title=""/>
          </v:shape>
          <o:OLEObject Type="Embed" ProgID="Package" ShapeID="ole_rId28" DrawAspect="Icon" ObjectID="_408421874" r:id="rId28"/>
        </w:object>
      </w:r>
      <w:r>
        <w:rPr/>
        <w:object>
          <v:shape id="ole_rId30" style="width:75pt;height:49.5pt" o:ole="">
            <v:imagedata r:id="rId31" o:title=""/>
          </v:shape>
          <o:OLEObject Type="Embed" ProgID="Package" ShapeID="ole_rId30" DrawAspect="Icon" ObjectID="_338415736" r:id="rId30"/>
        </w:object>
      </w:r>
      <w:r>
        <w:rPr/>
        <w:object>
          <v:shape id="ole_rId32" style="width:75pt;height:49.5pt" o:ole="">
            <v:imagedata r:id="rId33" o:title=""/>
          </v:shape>
          <o:OLEObject Type="Embed" ProgID="Package" ShapeID="ole_rId32" DrawAspect="Icon" ObjectID="_1007494865" r:id="rId32"/>
        </w:object>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w:t>
      </w:r>
      <w:r>
        <w:rPr>
          <w:rFonts w:ascii="Century Gothic" w:hAnsi="Century Gothic"/>
          <w:sz w:val="20"/>
          <w:szCs w:val="20"/>
        </w:rPr>
        <w:t xml:space="preserve"> Se toma nota de la información remitida por la Coordinación de la Subcomisión a la Unidad de Acceso a la Justicia con los datos solicitados por ésta para la actualización de la página web; así como de las manifestaciones de la señora Melissa Benavides Víquez, Coordinadora de esa Unidad sobre la página web. Solicitar un informe a la Unidad de Acceso a la Justicia de tales avances e incorporación de las propuestas realizadas por la Subcomisión con la participación de personas indígenas involucradas.-</w:t>
      </w:r>
    </w:p>
    <w:p>
      <w:pPr>
        <w:pStyle w:val="Normal"/>
        <w:jc w:val="both"/>
        <w:rPr>
          <w:rFonts w:ascii="Century Gothic" w:hAnsi="Century Gothic"/>
          <w:b/>
          <w:b/>
          <w:sz w:val="20"/>
          <w:szCs w:val="20"/>
        </w:rPr>
      </w:pPr>
      <w:r>
        <w:rPr>
          <w:rFonts w:ascii="Century Gothic" w:hAnsi="Century Gothic"/>
          <w:b/>
          <w:sz w:val="20"/>
          <w:szCs w:val="20"/>
          <w:highlight w:val="yellow"/>
        </w:rPr>
        <w:t>Se tiene por ejecutado el acuerdo.</w:t>
      </w:r>
      <w:r>
        <w:rPr>
          <w:rFonts w:ascii="Century Gothic" w:hAnsi="Century Gothic"/>
          <w:b/>
          <w:sz w:val="20"/>
          <w:szCs w:val="20"/>
        </w:rPr>
        <w:t xml:space="preserve"> </w:t>
      </w:r>
    </w:p>
    <w:p>
      <w:pPr>
        <w:pStyle w:val="Normal"/>
        <w:jc w:val="both"/>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VIII</w:t>
      </w:r>
    </w:p>
    <w:p>
      <w:pPr>
        <w:pStyle w:val="Normal"/>
        <w:jc w:val="both"/>
        <w:rPr>
          <w:rFonts w:ascii="Century Gothic" w:hAnsi="Century Gothic"/>
          <w:sz w:val="20"/>
          <w:szCs w:val="20"/>
        </w:rPr>
      </w:pPr>
      <w:r>
        <w:rPr>
          <w:rFonts w:ascii="Century Gothic" w:hAnsi="Century Gothic"/>
          <w:sz w:val="20"/>
          <w:szCs w:val="20"/>
        </w:rPr>
        <w:t>La Coordinadora de la Subcomisión informa sobre comunicado remitido a varias organizaciones de personas indígenas de la zona sur sobre requerimientos de información sobre las acciones ejecutadas por el Poder Judicial vinculadas con las Medidas Cautelares 321-12 de la CIDH, cuyo contenido es el siguiente:</w:t>
      </w:r>
    </w:p>
    <w:p>
      <w:pPr>
        <w:pStyle w:val="Normal"/>
        <w:ind w:left="1416" w:hanging="0"/>
        <w:rPr>
          <w:rFonts w:ascii="Century Gothic" w:hAnsi="Century Gothic" w:eastAsia="Times New Roman"/>
          <w:i/>
          <w:i/>
          <w:sz w:val="20"/>
          <w:szCs w:val="20"/>
          <w:lang w:val="es-ES" w:eastAsia="es-CR"/>
        </w:rPr>
      </w:pPr>
      <w:r>
        <w:rPr>
          <w:rFonts w:eastAsia="Times New Roman" w:ascii="Century Gothic" w:hAnsi="Century Gothic"/>
          <w:b/>
          <w:bCs/>
          <w:i/>
          <w:sz w:val="20"/>
          <w:szCs w:val="20"/>
          <w:lang w:val="es-ES"/>
        </w:rPr>
        <w:t>De:</w:t>
      </w:r>
      <w:r>
        <w:rPr>
          <w:rFonts w:eastAsia="Times New Roman" w:ascii="Century Gothic" w:hAnsi="Century Gothic"/>
          <w:i/>
          <w:sz w:val="20"/>
          <w:szCs w:val="20"/>
          <w:lang w:val="es-ES"/>
        </w:rPr>
        <w:t xml:space="preserve"> Damaris Vargas Vásquez </w:t>
        <w:br/>
      </w:r>
      <w:r>
        <w:rPr>
          <w:rFonts w:eastAsia="Times New Roman" w:ascii="Century Gothic" w:hAnsi="Century Gothic"/>
          <w:b/>
          <w:bCs/>
          <w:i/>
          <w:sz w:val="20"/>
          <w:szCs w:val="20"/>
          <w:lang w:val="es-ES"/>
        </w:rPr>
        <w:t>Enviado el:</w:t>
      </w:r>
      <w:r>
        <w:rPr>
          <w:rFonts w:eastAsia="Times New Roman" w:ascii="Century Gothic" w:hAnsi="Century Gothic"/>
          <w:i/>
          <w:sz w:val="20"/>
          <w:szCs w:val="20"/>
          <w:lang w:val="es-ES"/>
        </w:rPr>
        <w:t xml:space="preserve"> sábado, 22 de junio de 2019 01:22 a.m.</w:t>
        <w:br/>
      </w:r>
      <w:r>
        <w:rPr>
          <w:rFonts w:eastAsia="Times New Roman" w:ascii="Century Gothic" w:hAnsi="Century Gothic"/>
          <w:b/>
          <w:bCs/>
          <w:i/>
          <w:sz w:val="20"/>
          <w:szCs w:val="20"/>
          <w:lang w:val="es-ES"/>
        </w:rPr>
        <w:t>Para:</w:t>
      </w:r>
      <w:r>
        <w:rPr>
          <w:rFonts w:eastAsia="Times New Roman" w:ascii="Century Gothic" w:hAnsi="Century Gothic"/>
          <w:i/>
          <w:sz w:val="20"/>
          <w:szCs w:val="20"/>
          <w:lang w:val="es-ES"/>
        </w:rPr>
        <w:t xml:space="preserve"> felipeculturabribri@gmail.com; consejomayores.iriria@gmail.com; roberthmv1974@gmail.com; tavoreamuno72@gmail.com</w:t>
        <w:br/>
      </w:r>
      <w:r>
        <w:rPr>
          <w:rFonts w:eastAsia="Times New Roman" w:ascii="Century Gothic" w:hAnsi="Century Gothic"/>
          <w:b/>
          <w:bCs/>
          <w:i/>
          <w:sz w:val="20"/>
          <w:szCs w:val="20"/>
          <w:lang w:val="es-ES"/>
        </w:rPr>
        <w:t>CC:</w:t>
      </w:r>
      <w:r>
        <w:rPr>
          <w:rFonts w:eastAsia="Times New Roman" w:ascii="Century Gothic" w:hAnsi="Century Gothic"/>
          <w:i/>
          <w:sz w:val="20"/>
          <w:szCs w:val="20"/>
          <w:lang w:val="es-ES"/>
        </w:rPr>
        <w:t xml:space="preserve"> Presidencia de la Corte &lt;presidencia@Poder-Judicial.go.cr&gt;; Despacho de la Presidencia de la Corte &lt;despacho_pre@Poder-Judicial.go.cr&gt;; Acceso a la Justicia &lt;accesojusticia@Poder-Judicial.go.cr&gt;; Contraloría de Servicios de San José &lt;contraloriapj@Poder-Judicial.go.cr&gt;; Inspección Judicial - Bryan Chacón Gamboa &lt;bchacong@Poder-Judicial.go.cr&gt;; Fiscalía General &lt;fgeneral@Poder-Judicial.go.cr&gt;; Organismo de Investigación Judicial &lt;oij@Poder-Judicial.go.cr&gt;; Secretaría Defensa Publica I Circuito Judicial &lt;defensapublica@Poder-Judicial.go.cr&gt;; Escuela Judicial Dirección &lt;esc_judicial@Poder-Judicial.go.cr&gt;; Dirección Ejecutiva &lt;direc_ejecutiva@Poder-Judicial.go.cr&gt;; Centro Gestión Función Jurisdiccional-CACMFJ &lt;centro_gestion_juris@Poder-Judicial.go.cr&gt;; Subcomisión de Pueblos Indígenas &lt;spindigenas@Poder-Judicial.go.cr&gt;; Damaris Vargas Vásquez &lt;dvargas@Poder-Judicial.go.cr&gt;</w:t>
        <w:br/>
      </w:r>
      <w:r>
        <w:rPr>
          <w:rFonts w:eastAsia="Times New Roman" w:ascii="Century Gothic" w:hAnsi="Century Gothic"/>
          <w:b/>
          <w:bCs/>
          <w:i/>
          <w:sz w:val="20"/>
          <w:szCs w:val="20"/>
          <w:lang w:val="es-ES"/>
        </w:rPr>
        <w:t>Asunto:</w:t>
      </w:r>
      <w:r>
        <w:rPr>
          <w:rFonts w:eastAsia="Times New Roman" w:ascii="Century Gothic" w:hAnsi="Century Gothic"/>
          <w:i/>
          <w:sz w:val="20"/>
          <w:szCs w:val="20"/>
          <w:lang w:val="es-ES"/>
        </w:rPr>
        <w:t xml:space="preserve"> INFORME SOBRE PRONUNCIAMIENTO PUBLICO POR LA JUSTICIA PARA SERGIO ROJAS Y LOS PUEBLOS ORIGINARIOS DE LA ZONA SUR</w:t>
      </w:r>
    </w:p>
    <w:p>
      <w:pPr>
        <w:pStyle w:val="Normal"/>
        <w:ind w:left="1416" w:hanging="0"/>
        <w:rPr>
          <w:rFonts w:ascii="Century Gothic" w:hAnsi="Century Gothic"/>
          <w:i/>
          <w:i/>
          <w:sz w:val="20"/>
          <w:szCs w:val="20"/>
        </w:rPr>
      </w:pPr>
      <w:r>
        <w:rPr>
          <w:rFonts w:ascii="Century Gothic" w:hAnsi="Century Gothic"/>
          <w:i/>
          <w:sz w:val="20"/>
          <w:szCs w:val="20"/>
        </w:rPr>
      </w:r>
    </w:p>
    <w:p>
      <w:pPr>
        <w:pStyle w:val="Normal"/>
        <w:ind w:left="1416" w:hanging="0"/>
        <w:jc w:val="right"/>
        <w:rPr>
          <w:rFonts w:ascii="Century Gothic" w:hAnsi="Century Gothic"/>
          <w:b/>
          <w:b/>
          <w:bCs/>
          <w:i/>
          <w:i/>
          <w:sz w:val="20"/>
          <w:szCs w:val="20"/>
        </w:rPr>
      </w:pPr>
      <w:r>
        <w:rPr>
          <w:rFonts w:ascii="Century Gothic" w:hAnsi="Century Gothic"/>
          <w:b/>
          <w:bCs/>
          <w:i/>
          <w:sz w:val="20"/>
          <w:szCs w:val="20"/>
        </w:rPr>
        <w:t>San José, 21 de junio de 2019.</w:t>
      </w:r>
    </w:p>
    <w:p>
      <w:pPr>
        <w:pStyle w:val="Normal"/>
        <w:ind w:left="1416" w:hanging="0"/>
        <w:rPr>
          <w:rFonts w:ascii="Century Gothic" w:hAnsi="Century Gothic"/>
          <w:b/>
          <w:b/>
          <w:bCs/>
          <w:i/>
          <w:i/>
          <w:sz w:val="20"/>
          <w:szCs w:val="20"/>
        </w:rPr>
      </w:pPr>
      <w:r>
        <w:rPr>
          <w:rFonts w:ascii="Century Gothic" w:hAnsi="Century Gothic"/>
          <w:b/>
          <w:bCs/>
          <w:i/>
          <w:sz w:val="20"/>
          <w:szCs w:val="20"/>
        </w:rPr>
      </w:r>
    </w:p>
    <w:p>
      <w:pPr>
        <w:pStyle w:val="Normal"/>
        <w:ind w:left="1416" w:hanging="0"/>
        <w:rPr>
          <w:rFonts w:ascii="Century Gothic" w:hAnsi="Century Gothic"/>
          <w:b/>
          <w:b/>
          <w:bCs/>
          <w:i/>
          <w:i/>
          <w:sz w:val="20"/>
          <w:szCs w:val="20"/>
        </w:rPr>
      </w:pPr>
      <w:r>
        <w:rPr>
          <w:rFonts w:ascii="Century Gothic" w:hAnsi="Century Gothic"/>
          <w:b/>
          <w:bCs/>
          <w:i/>
          <w:sz w:val="20"/>
          <w:szCs w:val="20"/>
        </w:rPr>
      </w:r>
    </w:p>
    <w:p>
      <w:pPr>
        <w:pStyle w:val="Normal"/>
        <w:ind w:left="1416" w:hanging="0"/>
        <w:rPr>
          <w:rFonts w:ascii="Century Gothic" w:hAnsi="Century Gothic"/>
          <w:b/>
          <w:b/>
          <w:bCs/>
          <w:i/>
          <w:i/>
          <w:sz w:val="20"/>
          <w:szCs w:val="20"/>
        </w:rPr>
      </w:pPr>
      <w:r>
        <w:rPr>
          <w:rFonts w:ascii="Century Gothic" w:hAnsi="Century Gothic"/>
          <w:b/>
          <w:bCs/>
          <w:i/>
          <w:sz w:val="20"/>
          <w:szCs w:val="20"/>
        </w:rPr>
        <w:t>Señores y Señoras</w:t>
      </w:r>
    </w:p>
    <w:p>
      <w:pPr>
        <w:pStyle w:val="Normal"/>
        <w:ind w:left="1416" w:hanging="0"/>
        <w:rPr>
          <w:rFonts w:ascii="Century Gothic" w:hAnsi="Century Gothic"/>
          <w:b/>
          <w:b/>
          <w:bCs/>
          <w:i/>
          <w:i/>
          <w:sz w:val="20"/>
          <w:szCs w:val="20"/>
        </w:rPr>
      </w:pPr>
      <w:r>
        <w:rPr>
          <w:rFonts w:ascii="Century Gothic" w:hAnsi="Century Gothic"/>
          <w:b/>
          <w:bCs/>
          <w:i/>
          <w:sz w:val="20"/>
          <w:szCs w:val="20"/>
        </w:rPr>
        <w:t>Consejo Ditsö Iriria Ajkonuk Wakpa de Salitre.</w:t>
      </w:r>
    </w:p>
    <w:p>
      <w:pPr>
        <w:pStyle w:val="Normal"/>
        <w:ind w:left="1416" w:hanging="0"/>
        <w:rPr>
          <w:rFonts w:ascii="Century Gothic" w:hAnsi="Century Gothic"/>
          <w:b/>
          <w:b/>
          <w:bCs/>
          <w:i/>
          <w:i/>
          <w:sz w:val="20"/>
          <w:szCs w:val="20"/>
        </w:rPr>
      </w:pPr>
      <w:r>
        <w:rPr>
          <w:rFonts w:ascii="Century Gothic" w:hAnsi="Century Gothic"/>
          <w:b/>
          <w:bCs/>
          <w:i/>
          <w:sz w:val="20"/>
          <w:szCs w:val="20"/>
        </w:rPr>
        <w:t>Consejo Indígena Regional Pacífico Sur de Yimba Cajc.</w:t>
      </w:r>
    </w:p>
    <w:p>
      <w:pPr>
        <w:pStyle w:val="Normal"/>
        <w:ind w:left="1416" w:hanging="0"/>
        <w:rPr>
          <w:rFonts w:ascii="Century Gothic" w:hAnsi="Century Gothic"/>
          <w:b/>
          <w:b/>
          <w:bCs/>
          <w:i/>
          <w:i/>
          <w:sz w:val="20"/>
          <w:szCs w:val="20"/>
        </w:rPr>
      </w:pPr>
      <w:r>
        <w:rPr>
          <w:rFonts w:ascii="Century Gothic" w:hAnsi="Century Gothic"/>
          <w:b/>
          <w:bCs/>
          <w:i/>
          <w:sz w:val="20"/>
          <w:szCs w:val="20"/>
        </w:rPr>
        <w:t>Consejo de Mayores Iriria Jtecho Wakpa de Cabagra.</w:t>
      </w:r>
    </w:p>
    <w:p>
      <w:pPr>
        <w:pStyle w:val="Normal"/>
        <w:ind w:left="1416" w:hanging="0"/>
        <w:rPr>
          <w:rFonts w:ascii="Century Gothic" w:hAnsi="Century Gothic"/>
          <w:b/>
          <w:b/>
          <w:bCs/>
          <w:i/>
          <w:i/>
          <w:sz w:val="20"/>
          <w:szCs w:val="20"/>
        </w:rPr>
      </w:pPr>
      <w:r>
        <w:rPr>
          <w:rFonts w:ascii="Century Gothic" w:hAnsi="Century Gothic"/>
          <w:b/>
          <w:bCs/>
          <w:i/>
          <w:sz w:val="20"/>
          <w:szCs w:val="20"/>
        </w:rPr>
        <w:t>Recuperador@s Cabecar de China Kichá.</w:t>
      </w:r>
    </w:p>
    <w:p>
      <w:pPr>
        <w:pStyle w:val="Normal"/>
        <w:ind w:left="1416" w:hanging="0"/>
        <w:rPr>
          <w:rFonts w:ascii="Century Gothic" w:hAnsi="Century Gothic"/>
          <w:b/>
          <w:b/>
          <w:bCs/>
          <w:i/>
          <w:i/>
          <w:sz w:val="20"/>
          <w:szCs w:val="20"/>
        </w:rPr>
      </w:pPr>
      <w:r>
        <w:rPr>
          <w:rFonts w:ascii="Century Gothic" w:hAnsi="Century Gothic"/>
          <w:b/>
          <w:bCs/>
          <w:i/>
          <w:sz w:val="20"/>
          <w:szCs w:val="20"/>
        </w:rPr>
        <w:t>Recuperador@s Bribris de Salitre.</w:t>
      </w:r>
    </w:p>
    <w:p>
      <w:pPr>
        <w:pStyle w:val="Normal"/>
        <w:ind w:left="1416" w:hanging="0"/>
        <w:rPr>
          <w:rFonts w:ascii="Century Gothic" w:hAnsi="Century Gothic"/>
          <w:b/>
          <w:b/>
          <w:bCs/>
          <w:i/>
          <w:i/>
          <w:sz w:val="20"/>
          <w:szCs w:val="20"/>
        </w:rPr>
      </w:pPr>
      <w:r>
        <w:rPr>
          <w:rFonts w:ascii="Century Gothic" w:hAnsi="Century Gothic"/>
          <w:b/>
          <w:bCs/>
          <w:i/>
          <w:sz w:val="20"/>
          <w:szCs w:val="20"/>
        </w:rPr>
        <w:t>Recuperador@s Broran de Crun Shurin.</w:t>
      </w:r>
    </w:p>
    <w:p>
      <w:pPr>
        <w:pStyle w:val="Normal"/>
        <w:ind w:left="1416" w:hanging="0"/>
        <w:rPr>
          <w:rFonts w:ascii="Century Gothic" w:hAnsi="Century Gothic"/>
          <w:b/>
          <w:b/>
          <w:bCs/>
          <w:i/>
          <w:i/>
          <w:sz w:val="20"/>
          <w:szCs w:val="20"/>
        </w:rPr>
      </w:pPr>
      <w:r>
        <w:rPr>
          <w:rFonts w:ascii="Century Gothic" w:hAnsi="Century Gothic"/>
          <w:b/>
          <w:bCs/>
          <w:i/>
          <w:sz w:val="20"/>
          <w:szCs w:val="20"/>
        </w:rPr>
        <w:t>Recuperador@s Broran de Finca San Andrés.</w:t>
      </w:r>
    </w:p>
    <w:p>
      <w:pPr>
        <w:pStyle w:val="Normal"/>
        <w:ind w:left="1416" w:hanging="0"/>
        <w:rPr>
          <w:rFonts w:ascii="Century Gothic" w:hAnsi="Century Gothic"/>
          <w:b/>
          <w:b/>
          <w:bCs/>
          <w:i/>
          <w:i/>
          <w:sz w:val="20"/>
          <w:szCs w:val="20"/>
        </w:rPr>
      </w:pPr>
      <w:r>
        <w:rPr>
          <w:rFonts w:ascii="Century Gothic" w:hAnsi="Century Gothic"/>
          <w:b/>
          <w:bCs/>
          <w:i/>
          <w:sz w:val="20"/>
          <w:szCs w:val="20"/>
        </w:rPr>
        <w:t>Organización Autónoma Gwrvechi Kare del Territorio Ngäbe de Conte Burica.</w:t>
      </w:r>
    </w:p>
    <w:p>
      <w:pPr>
        <w:pStyle w:val="Normal"/>
        <w:ind w:left="1416" w:hanging="0"/>
        <w:rPr>
          <w:rFonts w:ascii="Century Gothic" w:hAnsi="Century Gothic"/>
          <w:b/>
          <w:b/>
          <w:bCs/>
          <w:i/>
          <w:i/>
          <w:sz w:val="20"/>
          <w:szCs w:val="20"/>
        </w:rPr>
      </w:pPr>
      <w:r>
        <w:rPr>
          <w:rFonts w:ascii="Century Gothic" w:hAnsi="Century Gothic"/>
          <w:b/>
          <w:bCs/>
          <w:i/>
          <w:sz w:val="20"/>
          <w:szCs w:val="20"/>
        </w:rPr>
        <w:t>Asociación de Productores de Finca 10</w:t>
      </w:r>
    </w:p>
    <w:p>
      <w:pPr>
        <w:pStyle w:val="Normal"/>
        <w:ind w:left="1416" w:hanging="0"/>
        <w:rPr>
          <w:rFonts w:ascii="Century Gothic" w:hAnsi="Century Gothic"/>
          <w:b/>
          <w:b/>
          <w:bCs/>
          <w:i/>
          <w:i/>
          <w:sz w:val="20"/>
          <w:szCs w:val="20"/>
        </w:rPr>
      </w:pPr>
      <w:r>
        <w:rPr>
          <w:rFonts w:ascii="Century Gothic" w:hAnsi="Century Gothic"/>
          <w:b/>
          <w:bCs/>
          <w:i/>
          <w:sz w:val="20"/>
          <w:szCs w:val="20"/>
        </w:rPr>
        <w:t>Comité de lucha por la tierra de finca Changuina</w:t>
      </w:r>
    </w:p>
    <w:p>
      <w:pPr>
        <w:pStyle w:val="Normal"/>
        <w:ind w:left="1416" w:hanging="0"/>
        <w:rPr>
          <w:rFonts w:ascii="Century Gothic" w:hAnsi="Century Gothic"/>
          <w:b/>
          <w:b/>
          <w:bCs/>
          <w:i/>
          <w:i/>
          <w:sz w:val="20"/>
          <w:szCs w:val="20"/>
        </w:rPr>
      </w:pPr>
      <w:r>
        <w:rPr>
          <w:rFonts w:ascii="Century Gothic" w:hAnsi="Century Gothic"/>
          <w:b/>
          <w:bCs/>
          <w:i/>
          <w:sz w:val="20"/>
          <w:szCs w:val="20"/>
        </w:rPr>
        <w:t>Cootraosa</w:t>
      </w:r>
    </w:p>
    <w:p>
      <w:pPr>
        <w:pStyle w:val="Normal"/>
        <w:ind w:left="1416" w:hanging="0"/>
        <w:rPr>
          <w:rFonts w:ascii="Century Gothic" w:hAnsi="Century Gothic"/>
          <w:b/>
          <w:b/>
          <w:bCs/>
          <w:i/>
          <w:i/>
          <w:sz w:val="20"/>
          <w:szCs w:val="20"/>
        </w:rPr>
      </w:pPr>
      <w:r>
        <w:rPr>
          <w:rFonts w:ascii="Century Gothic" w:hAnsi="Century Gothic"/>
          <w:b/>
          <w:bCs/>
          <w:i/>
          <w:sz w:val="20"/>
          <w:szCs w:val="20"/>
        </w:rPr>
        <w:t>Voces Nuestras</w:t>
      </w:r>
    </w:p>
    <w:p>
      <w:pPr>
        <w:pStyle w:val="Normal"/>
        <w:ind w:left="1416" w:hanging="0"/>
        <w:rPr>
          <w:rFonts w:ascii="Century Gothic" w:hAnsi="Century Gothic"/>
          <w:b/>
          <w:b/>
          <w:bCs/>
          <w:i/>
          <w:i/>
          <w:sz w:val="20"/>
          <w:szCs w:val="20"/>
        </w:rPr>
      </w:pPr>
      <w:r>
        <w:rPr>
          <w:rFonts w:ascii="Century Gothic" w:hAnsi="Century Gothic"/>
          <w:b/>
          <w:bCs/>
          <w:i/>
          <w:sz w:val="20"/>
          <w:szCs w:val="20"/>
        </w:rPr>
        <w:t>Comité de Lucha por la tierra de kilómetro 37 de Golfito y Corredores</w:t>
      </w:r>
    </w:p>
    <w:p>
      <w:pPr>
        <w:pStyle w:val="Normal"/>
        <w:ind w:left="1416" w:hanging="0"/>
        <w:rPr>
          <w:rFonts w:ascii="Century Gothic" w:hAnsi="Century Gothic"/>
          <w:b/>
          <w:b/>
          <w:bCs/>
          <w:i/>
          <w:i/>
          <w:sz w:val="20"/>
          <w:szCs w:val="20"/>
        </w:rPr>
      </w:pPr>
      <w:r>
        <w:rPr>
          <w:rFonts w:ascii="Century Gothic" w:hAnsi="Century Gothic"/>
          <w:b/>
          <w:bCs/>
          <w:i/>
          <w:sz w:val="20"/>
          <w:szCs w:val="20"/>
        </w:rPr>
        <w:t>Asociación para la defensa de los Usuarios de los Servicios Públicos (ADUSP).</w:t>
      </w:r>
    </w:p>
    <w:p>
      <w:pPr>
        <w:pStyle w:val="Normal"/>
        <w:ind w:left="1416" w:hanging="0"/>
        <w:rPr>
          <w:rFonts w:ascii="Century Gothic" w:hAnsi="Century Gothic"/>
          <w:b/>
          <w:b/>
          <w:bCs/>
          <w:i/>
          <w:i/>
          <w:sz w:val="20"/>
          <w:szCs w:val="20"/>
        </w:rPr>
      </w:pPr>
      <w:r>
        <w:rPr>
          <w:rFonts w:ascii="Century Gothic" w:hAnsi="Century Gothic"/>
          <w:b/>
          <w:bCs/>
          <w:i/>
          <w:sz w:val="20"/>
          <w:szCs w:val="20"/>
        </w:rPr>
        <w:t>Comité de lucha por la tierra de Finca Venecia</w:t>
      </w:r>
    </w:p>
    <w:p>
      <w:pPr>
        <w:pStyle w:val="Normal"/>
        <w:ind w:left="1416" w:hanging="0"/>
        <w:rPr>
          <w:rFonts w:ascii="Century Gothic" w:hAnsi="Century Gothic"/>
          <w:b/>
          <w:b/>
          <w:bCs/>
          <w:i/>
          <w:i/>
          <w:sz w:val="20"/>
          <w:szCs w:val="20"/>
        </w:rPr>
      </w:pPr>
      <w:r>
        <w:rPr>
          <w:rFonts w:ascii="Century Gothic" w:hAnsi="Century Gothic"/>
          <w:b/>
          <w:bCs/>
          <w:i/>
          <w:sz w:val="20"/>
          <w:szCs w:val="20"/>
        </w:rPr>
        <w:t>SOJUPANO de Palmar de Osa</w:t>
      </w:r>
    </w:p>
    <w:p>
      <w:pPr>
        <w:pStyle w:val="Normal"/>
        <w:ind w:left="1416" w:hanging="0"/>
        <w:rPr>
          <w:rFonts w:ascii="Century Gothic" w:hAnsi="Century Gothic"/>
          <w:b/>
          <w:b/>
          <w:bCs/>
          <w:i/>
          <w:i/>
          <w:sz w:val="20"/>
          <w:szCs w:val="20"/>
        </w:rPr>
      </w:pPr>
      <w:r>
        <w:rPr>
          <w:rFonts w:ascii="Century Gothic" w:hAnsi="Century Gothic"/>
          <w:b/>
          <w:bCs/>
          <w:i/>
          <w:sz w:val="20"/>
          <w:szCs w:val="20"/>
        </w:rPr>
        <w:t>Tierra para el Campesino de Finca Puntarenas (TIPAELCA)</w:t>
      </w:r>
    </w:p>
    <w:p>
      <w:pPr>
        <w:pStyle w:val="Normal"/>
        <w:ind w:left="1416" w:hanging="0"/>
        <w:rPr>
          <w:rFonts w:ascii="Century Gothic" w:hAnsi="Century Gothic"/>
          <w:b/>
          <w:b/>
          <w:bCs/>
          <w:i/>
          <w:i/>
          <w:sz w:val="20"/>
          <w:szCs w:val="20"/>
        </w:rPr>
      </w:pPr>
      <w:r>
        <w:rPr>
          <w:rFonts w:ascii="Century Gothic" w:hAnsi="Century Gothic"/>
          <w:b/>
          <w:bCs/>
          <w:i/>
          <w:sz w:val="20"/>
          <w:szCs w:val="20"/>
        </w:rPr>
        <w:t>SERBUSUR de Finca Puntarenas</w:t>
      </w:r>
    </w:p>
    <w:p>
      <w:pPr>
        <w:pStyle w:val="Normal"/>
        <w:ind w:left="1416" w:hanging="0"/>
        <w:rPr>
          <w:rFonts w:ascii="Century Gothic" w:hAnsi="Century Gothic"/>
          <w:b/>
          <w:b/>
          <w:bCs/>
          <w:i/>
          <w:i/>
          <w:sz w:val="20"/>
          <w:szCs w:val="20"/>
        </w:rPr>
      </w:pPr>
      <w:r>
        <w:rPr>
          <w:rFonts w:ascii="Century Gothic" w:hAnsi="Century Gothic"/>
          <w:b/>
          <w:bCs/>
          <w:i/>
          <w:sz w:val="20"/>
          <w:szCs w:val="20"/>
        </w:rPr>
        <w:t>Ditsö</w:t>
      </w:r>
    </w:p>
    <w:p>
      <w:pPr>
        <w:pStyle w:val="Normal"/>
        <w:ind w:left="1416" w:hanging="0"/>
        <w:rPr>
          <w:rFonts w:ascii="Century Gothic" w:hAnsi="Century Gothic"/>
          <w:b/>
          <w:b/>
          <w:bCs/>
          <w:i/>
          <w:i/>
          <w:sz w:val="20"/>
          <w:szCs w:val="20"/>
        </w:rPr>
      </w:pPr>
      <w:r>
        <w:rPr>
          <w:rFonts w:ascii="Century Gothic" w:hAnsi="Century Gothic"/>
          <w:b/>
          <w:bCs/>
          <w:i/>
          <w:sz w:val="20"/>
          <w:szCs w:val="20"/>
        </w:rPr>
        <w:t>Coordinadora de Lucha Sur Sur</w:t>
      </w:r>
    </w:p>
    <w:p>
      <w:pPr>
        <w:pStyle w:val="Normal"/>
        <w:ind w:left="1416" w:hanging="0"/>
        <w:rPr>
          <w:rFonts w:ascii="Century Gothic" w:hAnsi="Century Gothic"/>
          <w:b/>
          <w:b/>
          <w:bCs/>
          <w:i/>
          <w:i/>
          <w:sz w:val="20"/>
          <w:szCs w:val="20"/>
        </w:rPr>
      </w:pPr>
      <w:r>
        <w:rPr>
          <w:rFonts w:ascii="Century Gothic" w:hAnsi="Century Gothic"/>
          <w:b/>
          <w:bCs/>
          <w:i/>
          <w:sz w:val="20"/>
          <w:szCs w:val="20"/>
        </w:rPr>
      </w:r>
    </w:p>
    <w:p>
      <w:pPr>
        <w:pStyle w:val="Normal"/>
        <w:ind w:left="1416" w:hanging="0"/>
        <w:rPr>
          <w:rFonts w:ascii="Century Gothic" w:hAnsi="Century Gothic"/>
          <w:b/>
          <w:b/>
          <w:bCs/>
          <w:i/>
          <w:i/>
          <w:sz w:val="20"/>
          <w:szCs w:val="20"/>
        </w:rPr>
      </w:pPr>
      <w:r>
        <w:rPr>
          <w:rFonts w:ascii="Century Gothic" w:hAnsi="Century Gothic"/>
          <w:b/>
          <w:bCs/>
          <w:i/>
          <w:sz w:val="20"/>
          <w:szCs w:val="20"/>
        </w:rPr>
        <w:t>Estimados Señores y Señoras:</w:t>
      </w:r>
    </w:p>
    <w:p>
      <w:pPr>
        <w:pStyle w:val="Normal"/>
        <w:ind w:left="1416" w:hanging="0"/>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 xml:space="preserve">         </w:t>
      </w:r>
      <w:r>
        <w:rPr>
          <w:rFonts w:ascii="Century Gothic" w:hAnsi="Century Gothic"/>
          <w:i/>
          <w:sz w:val="20"/>
          <w:szCs w:val="20"/>
        </w:rPr>
        <w:t xml:space="preserve">Reciban un atento saludo. Tengo el honor de dirigirme a Ustedes a efecto de dar contestación al documento titulado </w:t>
      </w:r>
      <w:r>
        <w:rPr>
          <w:rFonts w:ascii="Century Gothic" w:hAnsi="Century Gothic"/>
          <w:i/>
          <w:iCs/>
          <w:sz w:val="20"/>
          <w:szCs w:val="20"/>
        </w:rPr>
        <w:t>“Pronunciamiento público por la justicia para Sergio Rojas y los pueblos originarios de la zona sur”</w:t>
      </w:r>
      <w:r>
        <w:rPr>
          <w:rFonts w:ascii="Century Gothic" w:hAnsi="Century Gothic"/>
          <w:i/>
          <w:sz w:val="20"/>
          <w:szCs w:val="20"/>
        </w:rPr>
        <w:t xml:space="preserve"> fechado 20 de junio de 2019, dirigido al Poder Ejecutivo y al Poder Judicial.</w:t>
      </w:r>
    </w:p>
    <w:p>
      <w:pPr>
        <w:pStyle w:val="Normal"/>
        <w:ind w:left="1416" w:hanging="0"/>
        <w:rPr>
          <w:rFonts w:ascii="Century Gothic" w:hAnsi="Century Gothic"/>
          <w:i/>
          <w:i/>
          <w:sz w:val="20"/>
          <w:szCs w:val="20"/>
        </w:rPr>
      </w:pPr>
      <w:r>
        <w:rPr>
          <w:rFonts w:ascii="Century Gothic" w:hAnsi="Century Gothic"/>
          <w:i/>
          <w:sz w:val="20"/>
          <w:szCs w:val="20"/>
        </w:rPr>
      </w:r>
    </w:p>
    <w:p>
      <w:pPr>
        <w:pStyle w:val="Normal"/>
        <w:ind w:left="1416" w:firstLine="708"/>
        <w:jc w:val="both"/>
        <w:rPr>
          <w:rFonts w:ascii="Century Gothic" w:hAnsi="Century Gothic"/>
          <w:i/>
          <w:i/>
          <w:sz w:val="20"/>
          <w:szCs w:val="20"/>
        </w:rPr>
      </w:pPr>
      <w:r>
        <w:rPr>
          <w:rFonts w:ascii="Century Gothic" w:hAnsi="Century Gothic"/>
          <w:i/>
          <w:sz w:val="20"/>
          <w:szCs w:val="20"/>
        </w:rPr>
        <w:t xml:space="preserve">En seguimiento de la audiencia realizada el 26 de abril del 2019 con representantes de organizaciones de personas indígenas en las instalaciones de la Municipalidad de Buenos Aires de Puntarenas en la que se hizo entrega del documento titulado </w:t>
      </w:r>
      <w:r>
        <w:rPr>
          <w:rFonts w:ascii="Century Gothic" w:hAnsi="Century Gothic"/>
          <w:i/>
          <w:iCs/>
          <w:sz w:val="20"/>
          <w:szCs w:val="20"/>
        </w:rPr>
        <w:t>“Demandas y propuestas por la Justicia para Sergio Rojas y los pueblos originarios de la zona sur”</w:t>
      </w:r>
      <w:r>
        <w:rPr>
          <w:rFonts w:ascii="Century Gothic" w:hAnsi="Century Gothic"/>
          <w:i/>
          <w:sz w:val="20"/>
          <w:szCs w:val="20"/>
        </w:rPr>
        <w:t>, en mi condición de Coordinadora de la Subcomisión de Acceso a la Justicia de Pueblos Indígenas, remito el siguiente informe, el cual se suma a los datos suministrados en esa oportunidad a las personas presentes.</w:t>
      </w:r>
    </w:p>
    <w:p>
      <w:pPr>
        <w:pStyle w:val="Normal"/>
        <w:ind w:left="1416" w:firstLine="708"/>
        <w:jc w:val="both"/>
        <w:rPr>
          <w:rFonts w:ascii="Century Gothic" w:hAnsi="Century Gothic"/>
          <w:i/>
          <w:i/>
          <w:sz w:val="20"/>
          <w:szCs w:val="20"/>
        </w:rPr>
      </w:pPr>
      <w:r>
        <w:rPr>
          <w:rFonts w:ascii="Century Gothic" w:hAnsi="Century Gothic"/>
          <w:i/>
          <w:sz w:val="20"/>
          <w:szCs w:val="20"/>
        </w:rPr>
      </w:r>
    </w:p>
    <w:p>
      <w:pPr>
        <w:pStyle w:val="Normal"/>
        <w:ind w:left="1416" w:firstLine="708"/>
        <w:jc w:val="both"/>
        <w:rPr>
          <w:rFonts w:ascii="Century Gothic" w:hAnsi="Century Gothic"/>
          <w:i/>
          <w:i/>
          <w:sz w:val="20"/>
          <w:szCs w:val="20"/>
        </w:rPr>
      </w:pPr>
      <w:r>
        <w:rPr>
          <w:rFonts w:ascii="Century Gothic" w:hAnsi="Century Gothic"/>
          <w:i/>
          <w:sz w:val="20"/>
          <w:szCs w:val="20"/>
        </w:rPr>
        <w:t>Por su orden, se da respuesta a las preguntas formuladas de la siguiente manera:</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ListParagraph"/>
        <w:numPr>
          <w:ilvl w:val="0"/>
          <w:numId w:val="21"/>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Que el Poder Judicial dé un informe razonable sobre la investigación del asesinato de Sergio Rojas Ortiz en el plazo de 15 días hábiles de la fecha de esta misiva.</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Normal"/>
        <w:ind w:left="1416" w:hanging="0"/>
        <w:jc w:val="both"/>
        <w:rPr>
          <w:rFonts w:ascii="Century Gothic" w:hAnsi="Century Gothic"/>
          <w:i/>
          <w:i/>
          <w:color w:val="000000"/>
          <w:sz w:val="20"/>
          <w:szCs w:val="20"/>
        </w:rPr>
      </w:pPr>
      <w:r>
        <w:rPr>
          <w:rFonts w:ascii="Century Gothic" w:hAnsi="Century Gothic"/>
          <w:i/>
          <w:color w:val="000000"/>
          <w:sz w:val="20"/>
          <w:szCs w:val="20"/>
        </w:rPr>
        <w:t>Según información recibida por la Fiscalía Indígena, actualizada a este día, en cuanto a la investigación del homicidio del señor Sergio Rojas Ortiz, esta se mantiene en investigación por un equipo de funcionarios y funcionarias especializadas tanto a nivel de Ministerio Público como policía judicial, no obstante, de conformidad como el artículo 295 del Código Procesal Penal, la etapa de investigación no es pública, por lo que no es posible publicitar cada una de las actuaciones que se están llevando acabo, ya que se estaría no solo actuando contrario a la ley sino que pondría en riesgo los fines de la investigación.</w:t>
      </w:r>
    </w:p>
    <w:p>
      <w:pPr>
        <w:pStyle w:val="Normal"/>
        <w:ind w:left="1416" w:hanging="0"/>
        <w:rPr>
          <w:rFonts w:ascii="Century Gothic" w:hAnsi="Century Gothic"/>
          <w:i/>
          <w:i/>
          <w:color w:val="000000"/>
          <w:sz w:val="20"/>
          <w:szCs w:val="20"/>
        </w:rPr>
      </w:pPr>
      <w:r>
        <w:rPr>
          <w:rFonts w:ascii="Century Gothic" w:hAnsi="Century Gothic"/>
          <w:i/>
          <w:color w:val="000000"/>
          <w:sz w:val="20"/>
          <w:szCs w:val="20"/>
        </w:rPr>
      </w:r>
    </w:p>
    <w:p>
      <w:pPr>
        <w:pStyle w:val="ListParagraph"/>
        <w:numPr>
          <w:ilvl w:val="0"/>
          <w:numId w:val="5"/>
        </w:numPr>
        <w:spacing w:lineRule="auto" w:line="240" w:before="0" w:after="0"/>
        <w:ind w:left="2136" w:hanging="360"/>
        <w:contextualSpacing/>
        <w:rPr>
          <w:rFonts w:ascii="Century Gothic" w:hAnsi="Century Gothic"/>
          <w:i/>
          <w:i/>
          <w:iCs/>
          <w:sz w:val="20"/>
          <w:szCs w:val="20"/>
        </w:rPr>
      </w:pPr>
      <w:r>
        <w:rPr>
          <w:rFonts w:ascii="Century Gothic" w:hAnsi="Century Gothic"/>
          <w:i/>
          <w:iCs/>
          <w:sz w:val="20"/>
          <w:szCs w:val="20"/>
        </w:rPr>
        <w:t>Que no quede impune el asesinato de Rojas Ortiz y se determinen los responsables intelectuales y materiales de este asesinato.</w:t>
      </w:r>
    </w:p>
    <w:p>
      <w:pPr>
        <w:pStyle w:val="Normal"/>
        <w:ind w:left="1416" w:hanging="0"/>
        <w:rPr>
          <w:rFonts w:ascii="Century Gothic" w:hAnsi="Century Gothic"/>
          <w:i/>
          <w:i/>
          <w:iCs/>
          <w:sz w:val="20"/>
          <w:szCs w:val="20"/>
        </w:rPr>
      </w:pPr>
      <w:r>
        <w:rPr>
          <w:rFonts w:ascii="Century Gothic" w:hAnsi="Century Gothic"/>
          <w:i/>
          <w:iCs/>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El objetivo de la investigación a cargo del Ministerio Público, es determinar la o las personas responsables con el objetivo de que en su momento, las autoridades jurisdiccionales tomen las decisiones respectivas, con independencia e imparcialidad.</w:t>
      </w:r>
    </w:p>
    <w:p>
      <w:pPr>
        <w:pStyle w:val="Normal"/>
        <w:ind w:left="1416" w:hanging="0"/>
        <w:rPr>
          <w:rFonts w:ascii="Century Gothic" w:hAnsi="Century Gothic"/>
          <w:i/>
          <w:i/>
          <w:sz w:val="20"/>
          <w:szCs w:val="20"/>
        </w:rPr>
      </w:pPr>
      <w:r>
        <w:rPr>
          <w:rFonts w:ascii="Century Gothic" w:hAnsi="Century Gothic"/>
          <w:i/>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Que se realice una investigación de todo el personal judicial del cantón de Buenos Aires con respecto a su actuar frente a los pueblos originarios para determinar las posibles responsabilidades y sanciones administrativas o judiciales.</w:t>
      </w:r>
    </w:p>
    <w:p>
      <w:pPr>
        <w:pStyle w:val="Normal"/>
        <w:ind w:left="1776" w:hanging="0"/>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 xml:space="preserve">En 2018 se realizó un encuentro entre las personas indígenas y servidoras judiciales de Buenos Aires y de Pérez Zeledón, organizado por la Defensoría de los Habitantes de la Republicas, la Comisión de Acceso a la Justicia y la Subcomisión de Acceso a la Justicia de Pueblos Indígenas. En esa oportunidad se hizo entrega íntegra del pliego de quejas de las personas indígenas vinculadas con procesos judiciales identificados en los que se señalaban las actuaciones estimadas irregulares por las y los empleados judiciales a cargo de su tramitación y resolución. </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La Inspección Judicial es la oficina del Poder Judicial con competencia para el régimen disciplinario. De ahí, la Subcomisión de Acceso a la Justicia de Pueblos Indígenas hizo entrega de ese pliego de quejas al Tribunal de la Inspección Judicial con el objetivo de que procediera con el trámite respectivo.</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De igual forma, las quejas formuladas por las personas indígenas en el Encuentro celebrado el 7 de abril de 2019, fueron comunicadas a las autoridades respectivas para que procedan conforme a sus competencias a realizar los trámites e investigaciones de rigor.</w:t>
      </w:r>
    </w:p>
    <w:p>
      <w:pPr>
        <w:pStyle w:val="Normal"/>
        <w:ind w:left="1776" w:hanging="0"/>
        <w:rPr>
          <w:rFonts w:ascii="Century Gothic" w:hAnsi="Century Gothic"/>
          <w:i/>
          <w:i/>
          <w:sz w:val="20"/>
          <w:szCs w:val="20"/>
        </w:rPr>
      </w:pPr>
      <w:r>
        <w:rPr>
          <w:rFonts w:ascii="Century Gothic" w:hAnsi="Century Gothic"/>
          <w:i/>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Que se realice una investigación sobre el actuar del Juez del Juzgado Civil, Trabajo y Familia de Buenos Aires (Materia Agraria) Jean Carlos Cespedes Mora en relación a los casos agrarios que involucre a pueblos originarios y se le prohíba conocer este tipo de causas; debido a su relación de parentesco con el terrateniente no indígena Luis Chinchilla, quien ocupa ilegalmente tierras en los territorios de Térraba y Boruca.</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Los reclamos planteados por las personas indígenas a la Subcomisión de Acceso a la Justicia en los encuentros realizados en 2018 y en 2019 fueron trasladados a las oficinas con competencia para realizar las investigaciones de rigor.</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Que la Inspección Judicial dé respuesta en el plazo de un mes hábil a los documentos que le transfirió la Subcomisión de Acceso a la Justicia para los Pueblos Indígenas del Poder Judicial; entregados por organizaciones de estos pueblos a la Subcomisión citada el 24 de agosto de 2018.</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Se copia este informe a la Presidencia del Tribunal de la Inspección Judicial para lo de su cargo.</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Que se establezca un fondo económico para sufragar los gastos en que incurren los pueblos indígenas al realizar diligencias judiciales.</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En cumplimiento del artículo 6 de la Ley de Acceso a la Justicia de los Pueblos Indígenas de Costa Rica, el Poder Judicial facilita sin costo alguno a las personas indígenas que no pueden cubrirlo, la asistencia de personas defensoras públicas especializadas en Derecho Indígena y en la materia competencia del proceso respectivo. De igual forma, el Poder Judicial debe asumir los costos de las pruebas y las pericias requeridas en los procesos judiciales en los que las personas indígenas no puedan pagarlos.</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De acuerdo a lo dispuesto en el artículo 6 de la Ley de Acceso a la Justicia de Pueblos Indígenas de Costa Rica, el Poder Judicial debe facilitar sin costo alguno, la asistencia de personas intérpretes y traductoras en todos los procesos en que participe una persona indígena que requiera esta asistencia y no pueda cubrir los costos. De igual forma, se propicia que las mujeres indígenas sean atendidas por intérpretes mujeres. Estas personas traductoras e intérpretes son nombrados por el Poder Judicial para lo cual se dispone de una lista oficial, respetándose las costumbres y las normas culturales de las personas indígenas; no obstante, éstas pueden nombrar una persona intérprete de su confianza.</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 xml:space="preserve">En relación con los peritajes culturales, de acuerdo al artículo 7 de la Ley de Acceso a la Justicia de los Pueblos Indígenas de Costa Rica, las universidades estatales deben dar colaboración especializada y gratuita al Poder Judicial a fin de tener un listado de personas idóneas que puedan elaborar esos peritajes culturales. El presupuesto que se apruebe a las universidades estatales debe contener un rubro expreso para cubrir los costos de esa colaboración. </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iCs/>
          <w:sz w:val="20"/>
          <w:szCs w:val="20"/>
        </w:rPr>
      </w:pPr>
      <w:r>
        <w:rPr>
          <w:rFonts w:ascii="Century Gothic" w:hAnsi="Century Gothic"/>
          <w:i/>
          <w:sz w:val="20"/>
          <w:szCs w:val="20"/>
        </w:rPr>
        <w:t xml:space="preserve">Así mismo, en sesión 104-2009 del Consejo Superior del Poder Judicial, celebrada el 12 de noviembre de 2009, Artículo XLVII (Circular N° 10-09), se dispuso que, dentro de cada presupuesto de los distintos programas institucionales se contemplará un rubro para brindar ayuda económica a las personas usuarias indígenas que la requieran, para cubrir algunos gastos que origine su traslado a despachos judiciales, y un rubro de viáticos para los funcionarios y funcionarias que participen en las diligencias </w:t>
      </w:r>
      <w:r>
        <w:rPr>
          <w:rFonts w:ascii="Century Gothic" w:hAnsi="Century Gothic"/>
          <w:i/>
          <w:iCs/>
          <w:sz w:val="20"/>
          <w:szCs w:val="20"/>
        </w:rPr>
        <w:t>“in situ”.</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Aplicar programas de formación en derechos humanos y derechos indígenas para funcionarias (os) judiciales y policiales de Buenos Aires.</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El Poder Judicial realiza acciones desde hace varios años para la formación en Derecho Indígena de las personas servidoras judiciales. De acuerdo a lo dispuesto en la Ley de Acceso a la Justicia de los Pueblos Indígenas, se trabaja en el desarrollo de una capacitación virtual y otras capacitaciones presenciales o bimodales que garanticen la capacitación permanente del personal judicial, para lo cual la Subcomisión de Acceso a la Justicia de Pueblos Indígenas solicitó al Consejo Superior disponga a la Escuela Judicial el diseño del Programa Anual Permanente de capacitaciones obligatorias a fin de que todas las personas servidoras judiciales desarrollen  conocimientos, habilidades, destrezas y aptitudes para ofrecer un servicio público de calidad a las personas indígenas involucradas en los procesos judiciales. Para ello, se está llevando un registro de las capacitaciones y de las personas capacitadas a efecto de verificar su impacto en la gestión que se realice y se garantice la actualización.</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 xml:space="preserve">La Presidencia de la Corte Suprema de Justicia, Despacho de la Presidencia, Comisión de Acceso a la Justicia, Subcomisión de Acceso a la Justicia, Unidad de Acceso a la Justicia y la Escuela Judicial organizaron un proceso de capacitación denominado </w:t>
      </w:r>
      <w:r>
        <w:rPr>
          <w:rFonts w:ascii="Century Gothic" w:hAnsi="Century Gothic"/>
          <w:i/>
          <w:iCs/>
          <w:sz w:val="20"/>
          <w:szCs w:val="20"/>
        </w:rPr>
        <w:t>“Módulo didáctico para la promoción de los derechos humanos de los pueblos indígenas: aplicación de normativa nacional e internacional”</w:t>
      </w:r>
      <w:r>
        <w:rPr>
          <w:rFonts w:ascii="Century Gothic" w:hAnsi="Century Gothic"/>
          <w:i/>
          <w:sz w:val="20"/>
          <w:szCs w:val="20"/>
        </w:rPr>
        <w:t xml:space="preserve">. </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 xml:space="preserve">Esa capacitación fue aprobada por el Consejo Superior del Poder Judicial. Se realizó los días 17, 24 y 31 de mayo, 7 y 21 de junio de 2019, en Buenos Aires de Puntarenas en el Auditorio del Colegio Técnico Profesional de Buenos Aires de Puntarenas. </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Las personas docentes fueron integrantes de la Subcomisión de Acceso a la Justicia de Pueblos Indígenas, Ministerio de la Presidencia de la República, Ministerio de Justicia y Paz, Instituto de Desarrollo Rural, Defensoría de los Habitantes de la República, Instituto Nacional de las Mujeres y el Colegio de Abogados y Abogadas, entre otros.</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Las personas participantes fueron prioritariamente, funcionarios y funcionarias con competencia para tramitar y resolver procesos judiciales vinculados con personas indígenas de la Judicatura, Defensa Pública, Fiscalía General, Defensa Pública, Organismo de Investigación Judicial y Sector Administrativo, del Primer y Segundo Circuito Judicial de la Zona Sur, y quienes conocen en segunda instancia en materias Agraria, Penal, Contenciosa Administrativa, Familia, Civil, entre otras, así como personas letradas y magistradas de las Salas de Casación. De igual forma se otorgaron espacios de capacitación para personas quienes laboran en el Ministerio de Seguridad Pública.</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Las capacitaciones versaron sobre los siguientes temas:</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Defensa de los Derechos de los Pueblos Indígenas</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Género y Mujer Indígena</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Algunas consideraciones culturales a tomar en cuenta dentro del proceso penal para garantizar el acceso a la justica de los pueblos indígenas</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Intervención de la Sección de Trabajo Social con población indígena en materia de Familia, Penal; Personas Víctimas, Penal; Personas imputadas, Violencia Doméstica, Penal Juvenil y Pensiones Alimentarias. Estrategias internas para cumplir con la política de accesibilidad y limitaciones al momento de abordar a esta población.</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Normativa y jurisprudencia nacional e internacional indígena.</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Peritajes, normativa nacional e internacional.</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Abordaje de las Reglas de Brasilia en el ámbito internacional.</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Plan de Recuperación de Tierras Indígenas del INDER</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Política Nacional Indígena</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Proceso de Consulta a Personas Indígenas</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Plan de transformación de la Comisión Nacional de Asuntos Indígenas</w:t>
      </w:r>
    </w:p>
    <w:p>
      <w:pPr>
        <w:pStyle w:val="ListParagraph"/>
        <w:numPr>
          <w:ilvl w:val="0"/>
          <w:numId w:val="6"/>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Incidencia del pluralismo jurídico y los sistemas jurídicos indígenas en las políticas del Poder Judicial para el acceso a la justicia de los pueblos indígenas, con énfasis en Salitre y Térraba (MC 321-12 de la CIDH)</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color w:val="000000"/>
          <w:sz w:val="20"/>
          <w:szCs w:val="20"/>
        </w:rPr>
      </w:pPr>
      <w:r>
        <w:rPr>
          <w:rFonts w:ascii="Century Gothic" w:hAnsi="Century Gothic"/>
          <w:i/>
          <w:color w:val="000000"/>
          <w:sz w:val="20"/>
          <w:szCs w:val="20"/>
        </w:rPr>
        <w:t>En lo que respecta a los programas de formación, es importante destacar que el Ministerio Público  cuenta con el módulo de Especialización en materia indígena, para funcionarios y funcionarias que atienden esa población, el cual se ha desarrollado durante el 2018 y 2019 aunado a las constantes actividades de capacitaciones que se han venido desarrollando desde el 2012 con enfoque intercultural.</w:t>
      </w:r>
    </w:p>
    <w:p>
      <w:pPr>
        <w:pStyle w:val="Normal"/>
        <w:ind w:left="1416" w:hanging="0"/>
        <w:jc w:val="both"/>
        <w:rPr>
          <w:rFonts w:ascii="Century Gothic" w:hAnsi="Century Gothic"/>
          <w:i/>
          <w:i/>
          <w:color w:val="000000"/>
          <w:sz w:val="20"/>
          <w:szCs w:val="20"/>
        </w:rPr>
      </w:pPr>
      <w:r>
        <w:rPr>
          <w:rFonts w:ascii="Century Gothic" w:hAnsi="Century Gothic"/>
          <w:i/>
          <w:color w:val="000000"/>
          <w:sz w:val="20"/>
          <w:szCs w:val="20"/>
        </w:rPr>
      </w:r>
    </w:p>
    <w:p>
      <w:pPr>
        <w:pStyle w:val="Normal"/>
        <w:ind w:left="1416" w:hanging="0"/>
        <w:jc w:val="both"/>
        <w:rPr>
          <w:rFonts w:ascii="Century Gothic" w:hAnsi="Century Gothic"/>
          <w:i/>
          <w:i/>
          <w:color w:val="000000"/>
          <w:sz w:val="20"/>
          <w:szCs w:val="20"/>
        </w:rPr>
      </w:pPr>
      <w:r>
        <w:rPr>
          <w:rFonts w:ascii="Century Gothic" w:hAnsi="Century Gothic"/>
          <w:i/>
          <w:color w:val="000000"/>
          <w:sz w:val="20"/>
          <w:szCs w:val="20"/>
        </w:rPr>
        <w:t>De igual forma, la Subcomisión de Acceso a la Justicia desde inicio de año coordina acciones con el Consejo Directivo de la Escuela Judicial para el desarrollo del Plan de Capacitación Anual que establece la Ley de Acceso a la Justicia de Pueblos Indígenas de Costa Rica y se ha declarado “obligatoria” dicha capacitación, implementándose además el seguimiento de tales capacitaciones para medir su impacto en el fortalecimiento de competencias de las personas servidoras judiciales y la materialización de los conocimientos en las resoluciones que se emiten y los trámites respectivos.</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Que las diferentes instancias judiciales acepten la participación, documentos, testimonios o sugerencias de las instancias tradicionales de los pueblos originarios, para que contribuyan a alcanzar la justicia pronta y cumplida.</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 xml:space="preserve">El derecho de las personas indígenas para participar activamente por medio de la presentación de documentos, actuación como testigos o testigas, o las sugerencias de las instancias tradicionales de los pueblos indígenas está consagrado en el Convenio 169 de la OIT. De acuerdo a la jurisprudencia reiterada de la Sala Constitucional de la Corte Suprema de Justicia, los convenios internacionales de derechos humanos, incluyendo los referidos a los derechos de las personas indígenas, con supraconstitucionales, de manera tal que están por encima de la Constitución Política en tanto otorguen más derechos de los ahí consagrados. </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sz w:val="20"/>
          <w:szCs w:val="20"/>
          <w:lang w:val="es-ES"/>
        </w:rPr>
      </w:pPr>
      <w:r>
        <w:rPr>
          <w:rFonts w:ascii="Century Gothic" w:hAnsi="Century Gothic"/>
          <w:i/>
          <w:sz w:val="20"/>
          <w:szCs w:val="20"/>
        </w:rPr>
        <w:t>En relación con lo anterior, el Consejo Superior en s</w:t>
      </w:r>
      <w:r>
        <w:rPr>
          <w:rFonts w:ascii="Century Gothic" w:hAnsi="Century Gothic"/>
          <w:i/>
          <w:sz w:val="20"/>
          <w:szCs w:val="20"/>
          <w:lang w:val="es-ES"/>
        </w:rPr>
        <w:t>esión N° 77-08 de 14 de octubre de 2008, Artículo XLI, aprobó las “Reglas Prácticas para facilitar el acceso a la justicia de los pueblos indígenas”, las cuales consisten en:</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numPr>
          <w:ilvl w:val="0"/>
          <w:numId w:val="22"/>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Las autoridades judiciales promoverán la realización de diligencias in situ, en aquellos lugares donde existan territorios indígenas</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Dentro de cada presupuesto de los distintos programas se contemplará un rubro para brindar ayuda económica a las personas usuarias indígenas que la requieran (Consejo Superior Sesión N! 104-09 de 17/11/2009, Artículo XLVII)</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Dar prioridad de trato a las personas indígenas que se apersonen a los despachos</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Fijar los señalamientos de las audiencias y juicios dentro de un horario accesible contemplando las particularidades de cada zona</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Establecer canales de comunicación  y coordinación necesarios para hacer llegar a los procesos los documentos que sean necesarios a la brevedad posible e informar a la Comisión de Acceso a la Justicia las limitaciones</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Aplicar directrices de no revictimización de las personas indígenas, especialmente mujeres, niñas, niños y adolescentes</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La Contraloría de Servicios es responsable de velar porque se cumplan las recomendaciones propuestas</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Incorporación de personas indígenas a los procesos de enseñanza secundaria y universitaria que faciliten su participación en la solución de sus asuntos a partir de su propia perspectiva</w:t>
      </w:r>
    </w:p>
    <w:p>
      <w:pPr>
        <w:pStyle w:val="Normal"/>
        <w:numPr>
          <w:ilvl w:val="0"/>
          <w:numId w:val="7"/>
        </w:numPr>
        <w:tabs>
          <w:tab w:val="clear" w:pos="708"/>
          <w:tab w:val="left" w:pos="2136" w:leader="none"/>
        </w:tabs>
        <w:spacing w:lineRule="auto" w:line="240" w:before="0" w:after="0"/>
        <w:ind w:left="2136" w:hanging="360"/>
        <w:jc w:val="both"/>
        <w:rPr>
          <w:rFonts w:ascii="Century Gothic" w:hAnsi="Century Gothic" w:eastAsia="Times New Roman"/>
          <w:i/>
          <w:i/>
          <w:sz w:val="20"/>
          <w:szCs w:val="20"/>
        </w:rPr>
      </w:pPr>
      <w:r>
        <w:rPr>
          <w:rFonts w:eastAsia="Times New Roman" w:ascii="Century Gothic" w:hAnsi="Century Gothic"/>
          <w:i/>
          <w:sz w:val="20"/>
          <w:szCs w:val="20"/>
          <w:lang w:val="es-ES"/>
        </w:rPr>
        <w:t>Respeto a la diversidad cultural: obligación de peritaje antropológico/cultural.</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ListParagraph"/>
        <w:numPr>
          <w:ilvl w:val="0"/>
          <w:numId w:val="5"/>
        </w:numPr>
        <w:spacing w:lineRule="auto" w:line="240" w:before="0" w:after="0"/>
        <w:ind w:left="2136" w:hanging="360"/>
        <w:contextualSpacing/>
        <w:jc w:val="both"/>
        <w:rPr>
          <w:rFonts w:ascii="Century Gothic" w:hAnsi="Century Gothic"/>
          <w:i/>
          <w:i/>
          <w:iCs/>
          <w:sz w:val="20"/>
          <w:szCs w:val="20"/>
        </w:rPr>
      </w:pPr>
      <w:r>
        <w:rPr>
          <w:rFonts w:ascii="Century Gothic" w:hAnsi="Century Gothic"/>
          <w:i/>
          <w:iCs/>
          <w:sz w:val="20"/>
          <w:szCs w:val="20"/>
        </w:rPr>
        <w:t>Coordinar con los pueblos originarios y sus instancias propias la identificación y contratación de las y los intérpretes y traductores.</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Normal"/>
        <w:ind w:left="1416" w:hanging="0"/>
        <w:jc w:val="both"/>
        <w:rPr>
          <w:rFonts w:ascii="Century Gothic" w:hAnsi="Century Gothic"/>
          <w:i/>
          <w:i/>
          <w:sz w:val="20"/>
          <w:szCs w:val="20"/>
        </w:rPr>
      </w:pPr>
      <w:r>
        <w:rPr>
          <w:rFonts w:ascii="Century Gothic" w:hAnsi="Century Gothic"/>
          <w:i/>
          <w:sz w:val="20"/>
          <w:szCs w:val="20"/>
        </w:rPr>
        <w:t>Conforme a la Ley de Acceso a la Justicia de Pueblos Indígenas, corresponde al Poder Judicial asumir el costo de las personas intérpretes y traductoras y tener listas oficiales de mujeres y hombres quienes asuman esa función, tal y como se señaló anteriormente.</w:t>
      </w:r>
    </w:p>
    <w:p>
      <w:pPr>
        <w:pStyle w:val="Normal"/>
        <w:ind w:left="1416" w:hanging="0"/>
        <w:jc w:val="both"/>
        <w:rPr>
          <w:rFonts w:ascii="Century Gothic" w:hAnsi="Century Gothic"/>
          <w:i/>
          <w:i/>
          <w:sz w:val="20"/>
          <w:szCs w:val="20"/>
        </w:rPr>
      </w:pPr>
      <w:r>
        <w:rPr>
          <w:rFonts w:ascii="Century Gothic" w:hAnsi="Century Gothic"/>
          <w:i/>
          <w:sz w:val="20"/>
          <w:szCs w:val="20"/>
        </w:rPr>
      </w:r>
    </w:p>
    <w:p>
      <w:pPr>
        <w:pStyle w:val="Normal"/>
        <w:ind w:left="1416" w:firstLine="708"/>
        <w:jc w:val="both"/>
        <w:rPr>
          <w:rFonts w:ascii="Century Gothic" w:hAnsi="Century Gothic"/>
          <w:i/>
          <w:i/>
          <w:sz w:val="20"/>
          <w:szCs w:val="20"/>
        </w:rPr>
      </w:pPr>
      <w:r>
        <w:rPr>
          <w:rFonts w:ascii="Century Gothic" w:hAnsi="Century Gothic"/>
          <w:i/>
          <w:sz w:val="20"/>
          <w:szCs w:val="20"/>
        </w:rPr>
        <w:t xml:space="preserve">Aunado a lo anterior, es importante informar que Corte Plena –jerarquía máxima del Poder Judicial- en sesión celebrada el N° 20-19 celebrada el 27 de mayo del año en curso, Artículo XIX, tomó el acuerdo que literalmente dice: </w:t>
      </w:r>
      <w:r>
        <w:rPr>
          <w:rFonts w:ascii="Century Gothic" w:hAnsi="Century Gothic"/>
          <w:i/>
          <w:iCs/>
          <w:sz w:val="20"/>
          <w:szCs w:val="20"/>
        </w:rPr>
        <w:t>“Se acordó: Tener por hecha la exposición de la máster Damaris Vargas Vásquez sobre el Informe Ejecutivo sobre el encuentro realizado el 5, 6 y 7 de abril entre representantes del Estado y Personas Indígenas Bribri de Salitre y Térraba, con ocasión del cumplimiento de las Medidas Cautelares N 321-12 del 30 de abril de 2015, establecidas por la Comisión Interamericana de Derechos Humanos (CIDH) contra Costa Rica y aprobar los 21 ejes de acción para ser desarrollados por las Direcciones del Ministerio Público, Defensa Pública, Organismo de Investigación Judicial, Gestión Humana, Planificación, Dirección Ejecutiva, Tecnología de la Información, Escuela Judicial y el Sector Jurisdiccional…”</w:t>
      </w:r>
      <w:r>
        <w:rPr>
          <w:rFonts w:ascii="Century Gothic" w:hAnsi="Century Gothic"/>
          <w:i/>
          <w:sz w:val="20"/>
          <w:szCs w:val="20"/>
        </w:rPr>
        <w:t xml:space="preserve"> Los ejes de acción aprobados son los siguientes:</w:t>
      </w:r>
    </w:p>
    <w:p>
      <w:pPr>
        <w:pStyle w:val="Normal"/>
        <w:ind w:left="1416" w:firstLine="708"/>
        <w:jc w:val="both"/>
        <w:rPr>
          <w:rFonts w:ascii="Century Gothic" w:hAnsi="Century Gothic"/>
          <w:i/>
          <w:i/>
          <w:iCs/>
          <w:sz w:val="20"/>
          <w:szCs w:val="20"/>
        </w:rPr>
      </w:pPr>
      <w:r>
        <w:rPr>
          <w:rFonts w:ascii="Century Gothic" w:hAnsi="Century Gothic"/>
          <w:i/>
          <w:iCs/>
          <w:sz w:val="20"/>
          <w:szCs w:val="20"/>
        </w:rPr>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 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2. Identificar y analizar los riesgos relevantes asociados al logro de los objetivos y las metas institucionales vinculadas con la población indígena, establecidas en el Plan Estratégico Institucional 2019/2024 (ejes transversales acceso a la justicia y justicia abierta, entre otros); el efecto posible de tales riesgos, su importancia y la probabilidad de que ocurran, y decidir las acciones que se tomarán 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3. 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4. 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5. 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6. 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 i) asegurar que los miembros de la comunidad puedan comprender y hacerse comprender en los procedimientos legales iniciados, facilitándoles intérpretes u otros medios eficaces para tal fin; ii) proporcionar el acceso a los pueblos indígenas y tribales a asistencia técnica y legal en relación con su derecho a la propiedad colectiva, en el supuesto de que estos se encontrasen en una situación de vulnerabilidad que les impediría conseguirla, y iii)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7. 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  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8. 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9. 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10. Verificar que en los contenidos de los diseños de las capacitaciones en Derecho Indígena, se incluya al menos:</w:t>
      </w:r>
    </w:p>
    <w:p>
      <w:pPr>
        <w:pStyle w:val="Normal"/>
        <w:numPr>
          <w:ilvl w:val="0"/>
          <w:numId w:val="8"/>
        </w:numPr>
        <w:spacing w:lineRule="auto" w:line="240"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pPr>
        <w:pStyle w:val="Normal"/>
        <w:numPr>
          <w:ilvl w:val="0"/>
          <w:numId w:val="8"/>
        </w:numPr>
        <w:spacing w:lineRule="auto" w:line="240"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Jurisprudencia de la Corte Interamericana de Derechos Humanos vinculada con pueblos Indígenas incluyendo la Opinión Consultiva 23-2017,</w:t>
      </w:r>
    </w:p>
    <w:p>
      <w:pPr>
        <w:pStyle w:val="Normal"/>
        <w:numPr>
          <w:ilvl w:val="0"/>
          <w:numId w:val="8"/>
        </w:numPr>
        <w:spacing w:lineRule="auto" w:line="240"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Constitución Política, Ley Indígena, Ley de Acceso a la Justicia de los Pueblos Indígenas, entre otras</w:t>
      </w:r>
    </w:p>
    <w:p>
      <w:pPr>
        <w:pStyle w:val="Normal"/>
        <w:numPr>
          <w:ilvl w:val="0"/>
          <w:numId w:val="8"/>
        </w:numPr>
        <w:spacing w:lineRule="auto" w:line="240"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Jurisprudencia de las Salas de Casación y de la Sala Constitucional de la Corte Suprema de Justicia.</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e. Lineamientos y circulares de Corte Plena y del Consejo Superior vinculados con las reglas para los procesos en los que estén involucradas personas indígenas; además, los alcances y distinción entre el sistema monista y el pluralismo jurídico.</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11. 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12. 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13. 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14. Valorar la posibilidad de establecer acuerdos interinstitucionales entre el Poder Judicial, el Poder Ejecutivo (y sus instituciones)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15. 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16. Analizar opciones para brindar protección y seguridad a las personas indígenas beneficiarias de las medidas cautelares, dentro de sus territorios y acordes a sus costumbres.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17. Realizar sesiones periódicas en las que se informe a miembros del pueblo indígena Teribe y Bribrí de Salitre beneficiarias de las medidas cautelares de la CIDH sobre los avances alcanzados.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18. 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Escuelas de la UCR que podrían ofrecer insumos importantes en los peritajes culturales.</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19. 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20. 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pPr>
        <w:pStyle w:val="Normal"/>
        <w:spacing w:before="120" w:after="120"/>
        <w:ind w:left="2267" w:right="851" w:firstLine="709"/>
        <w:jc w:val="both"/>
        <w:rPr>
          <w:rFonts w:ascii="Century Gothic" w:hAnsi="Century Gothic"/>
          <w:i/>
          <w:i/>
          <w:iCs/>
          <w:sz w:val="20"/>
          <w:szCs w:val="20"/>
          <w:lang w:val="es-ES"/>
        </w:rPr>
      </w:pPr>
      <w:r>
        <w:rPr>
          <w:rFonts w:ascii="Century Gothic" w:hAnsi="Century Gothic"/>
          <w:i/>
          <w:iCs/>
          <w:sz w:val="20"/>
          <w:szCs w:val="20"/>
          <w:lang w:val="es-ES"/>
        </w:rPr>
        <w:t>21. Participar como parte del Estado en los encuentros que se realicen entre las personas indígenas beneficiarias de las medidas y otras instituciones del Estado.”</w:t>
      </w:r>
    </w:p>
    <w:p>
      <w:pPr>
        <w:pStyle w:val="Normal"/>
        <w:ind w:left="1416" w:firstLine="708"/>
        <w:jc w:val="both"/>
        <w:rPr>
          <w:rFonts w:ascii="Century Gothic" w:hAnsi="Century Gothic"/>
          <w:i/>
          <w:i/>
          <w:sz w:val="20"/>
          <w:szCs w:val="20"/>
        </w:rPr>
      </w:pPr>
      <w:r>
        <w:rPr>
          <w:rFonts w:ascii="Century Gothic" w:hAnsi="Century Gothic"/>
          <w:i/>
          <w:sz w:val="20"/>
          <w:szCs w:val="20"/>
        </w:rPr>
        <w:t xml:space="preserve">Finalmente, se informa que el Poder Judicial mantiene una coordinación y comunicación permanente con las instituciones del Estado y las no gubernamentales que tengan dentro de sus planes de acción la atención de la población indígena, con el fin de mantener una atención integral e interdisciplinaria que proteja el ejercicio efectivo de sus derechos en las condiciones requeridas por la normativa nacional e internacional, así como la jurisprudencia de la Corte Interamericana de Derechos Humanos. </w:t>
      </w:r>
    </w:p>
    <w:p>
      <w:pPr>
        <w:pStyle w:val="Normal"/>
        <w:ind w:left="1416" w:firstLine="708"/>
        <w:jc w:val="both"/>
        <w:rPr>
          <w:rFonts w:ascii="Century Gothic" w:hAnsi="Century Gothic"/>
          <w:i/>
          <w:i/>
          <w:sz w:val="20"/>
          <w:szCs w:val="20"/>
        </w:rPr>
      </w:pPr>
      <w:r>
        <w:rPr>
          <w:rFonts w:ascii="Century Gothic" w:hAnsi="Century Gothic"/>
          <w:i/>
          <w:sz w:val="20"/>
          <w:szCs w:val="20"/>
        </w:rPr>
        <w:t>Se cumple así con el plazo razonable conferido para dar respuesta a estos requerimientos y se está en la mayor disposición de concertar espacios de diálogo con las personas indígenas y sus representantes.</w:t>
      </w:r>
    </w:p>
    <w:p>
      <w:pPr>
        <w:pStyle w:val="Normal"/>
        <w:jc w:val="both"/>
        <w:rPr>
          <w:rFonts w:ascii="Century Gothic" w:hAnsi="Century Gothic"/>
          <w:i/>
          <w:i/>
          <w:sz w:val="20"/>
          <w:szCs w:val="20"/>
        </w:rPr>
      </w:pPr>
      <w:r>
        <w:rPr/>
        <w:object>
          <v:shape id="ole_rId34" style="width:76.5pt;height:51.75pt" o:ole="">
            <v:imagedata r:id="rId35" o:title=""/>
          </v:shape>
          <o:OLEObject Type="Embed" ProgID="Package" ShapeID="ole_rId34" DrawAspect="Icon" ObjectID="_983088536" r:id="rId34"/>
        </w:object>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Se toma nota.-</w:t>
      </w:r>
    </w:p>
    <w:p>
      <w:pPr>
        <w:pStyle w:val="Normal"/>
        <w:jc w:val="both"/>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IX</w:t>
      </w:r>
    </w:p>
    <w:p>
      <w:pPr>
        <w:pStyle w:val="Normal"/>
        <w:tabs>
          <w:tab w:val="clear" w:pos="708"/>
          <w:tab w:val="left" w:pos="1428" w:leader="none"/>
        </w:tabs>
        <w:jc w:val="both"/>
        <w:rPr>
          <w:rFonts w:ascii="Century Gothic" w:hAnsi="Century Gothic"/>
          <w:sz w:val="20"/>
          <w:szCs w:val="20"/>
        </w:rPr>
      </w:pPr>
      <w:r>
        <w:rPr>
          <w:rFonts w:ascii="Century Gothic" w:hAnsi="Century Gothic"/>
          <w:sz w:val="20"/>
          <w:szCs w:val="20"/>
        </w:rPr>
        <w:t xml:space="preserve">El 21 de junio pasado la Unidad de Acceso a la Justicia envió comunicado de la OCRI dirigido a la </w:t>
      </w:r>
      <w:r>
        <w:rPr>
          <w:rFonts w:ascii="Century Gothic" w:hAnsi="Century Gothic"/>
          <w:bCs/>
          <w:sz w:val="20"/>
          <w:szCs w:val="20"/>
        </w:rPr>
        <w:t xml:space="preserve">Red de Enlaces de Cooperación y Relaciones Internacionales, informando lo requerido por el </w:t>
      </w:r>
      <w:r>
        <w:rPr>
          <w:rFonts w:ascii="Century Gothic" w:hAnsi="Century Gothic"/>
          <w:sz w:val="20"/>
          <w:szCs w:val="20"/>
        </w:rPr>
        <w:t xml:space="preserve">Ministerio de Relaciones Exteriores y Culto,  en relación a las </w:t>
      </w:r>
      <w:r>
        <w:rPr>
          <w:rFonts w:ascii="Century Gothic" w:hAnsi="Century Gothic"/>
          <w:bCs/>
          <w:sz w:val="20"/>
          <w:szCs w:val="20"/>
        </w:rPr>
        <w:t>212 recomendaciones</w:t>
      </w:r>
      <w:r>
        <w:rPr>
          <w:rFonts w:ascii="Century Gothic" w:hAnsi="Century Gothic"/>
          <w:sz w:val="20"/>
          <w:szCs w:val="20"/>
        </w:rPr>
        <w:t xml:space="preserve"> emitidas por los Estados Parte de Naciones Unidas, en ocasión de la presentación del “</w:t>
      </w:r>
      <w:r>
        <w:rPr>
          <w:rFonts w:ascii="Century Gothic" w:hAnsi="Century Gothic"/>
          <w:bCs/>
          <w:i/>
          <w:iCs/>
          <w:sz w:val="20"/>
          <w:szCs w:val="20"/>
        </w:rPr>
        <w:t>Examen Periódico Universal (EPU)”</w:t>
      </w:r>
      <w:r>
        <w:rPr>
          <w:rFonts w:ascii="Century Gothic" w:hAnsi="Century Gothic"/>
          <w:sz w:val="20"/>
          <w:szCs w:val="20"/>
        </w:rPr>
        <w:t xml:space="preserve">,  de parte de Costa Rica, durante la 33 Sesión, celebrada en Ginebra, Suiza,  del 06 al 17 de mayo. Se adjuntó el original en versión inglés, así como, </w:t>
      </w:r>
      <w:r>
        <w:rPr>
          <w:rFonts w:ascii="Century Gothic" w:hAnsi="Century Gothic"/>
          <w:bCs/>
          <w:sz w:val="20"/>
          <w:szCs w:val="20"/>
        </w:rPr>
        <w:t>una traducción no oficial en español</w:t>
      </w:r>
      <w:r>
        <w:rPr>
          <w:rFonts w:ascii="Century Gothic" w:hAnsi="Century Gothic"/>
          <w:sz w:val="20"/>
          <w:szCs w:val="20"/>
        </w:rPr>
        <w:t xml:space="preserve">, mismas que representan una oportunidad para mejorar los mecanismos nacionales de protección y promoción de derechos humanos, con el propósito de: a) Analizar todas las recomendaciones realizadas e identificar las que correspondan a la instancia que representan de acuerdo a sus competencias, b) De las recomendaciones identificadas, pueden ser aceptadas o no; y en ambos casos, indicarnos sus comentarios y observaciones con respecto a la posición institucional, incorporando la respectiva documentación que permita comprobar lo expuesto. Se solicitó enviar la información el </w:t>
      </w:r>
      <w:r>
        <w:rPr>
          <w:rFonts w:ascii="Century Gothic" w:hAnsi="Century Gothic"/>
          <w:bCs/>
          <w:sz w:val="20"/>
          <w:szCs w:val="20"/>
        </w:rPr>
        <w:t>viernes 05 de julio de 2019</w:t>
      </w:r>
      <w:r>
        <w:rPr>
          <w:rFonts w:ascii="Century Gothic" w:hAnsi="Century Gothic"/>
          <w:sz w:val="20"/>
          <w:szCs w:val="20"/>
        </w:rPr>
        <w:t xml:space="preserve">, a la dirección: </w:t>
      </w:r>
      <w:hyperlink r:id="rId36">
        <w:r>
          <w:rPr>
            <w:rStyle w:val="EnlacedeInternet"/>
            <w:rFonts w:ascii="Century Gothic" w:hAnsi="Century Gothic"/>
            <w:color w:val="auto"/>
            <w:sz w:val="20"/>
            <w:szCs w:val="20"/>
            <w:u w:val="none"/>
          </w:rPr>
          <w:t>amorac@poder-judicial.go.cr</w:t>
        </w:r>
      </w:hyperlink>
      <w:r>
        <w:rPr>
          <w:rFonts w:ascii="Century Gothic" w:hAnsi="Century Gothic"/>
          <w:sz w:val="20"/>
          <w:szCs w:val="20"/>
        </w:rPr>
        <w:t xml:space="preserve"> , con copia al correo </w:t>
      </w:r>
      <w:hyperlink r:id="rId37">
        <w:r>
          <w:rPr>
            <w:rStyle w:val="EnlacedeInternet"/>
            <w:rFonts w:ascii="Century Gothic" w:hAnsi="Century Gothic"/>
            <w:color w:val="auto"/>
            <w:sz w:val="20"/>
            <w:szCs w:val="20"/>
            <w:u w:val="none"/>
          </w:rPr>
          <w:t>ocri@poder-judicial.go.cr</w:t>
        </w:r>
      </w:hyperlink>
      <w:r>
        <w:rPr>
          <w:rStyle w:val="EnlacedeInternet"/>
          <w:rFonts w:ascii="Century Gothic" w:hAnsi="Century Gothic"/>
          <w:color w:val="auto"/>
          <w:sz w:val="20"/>
          <w:szCs w:val="20"/>
          <w:u w:val="none"/>
        </w:rPr>
        <w:t>.</w:t>
      </w:r>
      <w:r>
        <w:rPr>
          <w:rFonts w:ascii="Century Gothic" w:hAnsi="Century Gothic"/>
          <w:sz w:val="20"/>
          <w:szCs w:val="20"/>
        </w:rPr>
        <w:t xml:space="preserve"> Para ser enviada a la Cancillería a efecto de que pueda ser incorporada dentro del </w:t>
      </w:r>
      <w:r>
        <w:rPr>
          <w:rFonts w:ascii="Century Gothic" w:hAnsi="Century Gothic"/>
          <w:i/>
          <w:iCs/>
          <w:sz w:val="20"/>
          <w:szCs w:val="20"/>
        </w:rPr>
        <w:t>Informe de Réplica</w:t>
      </w:r>
      <w:r>
        <w:rPr>
          <w:rFonts w:ascii="Century Gothic" w:hAnsi="Century Gothic"/>
          <w:sz w:val="20"/>
          <w:szCs w:val="20"/>
        </w:rPr>
        <w:t xml:space="preserve"> que debe presentar el Estado costarricense en julio de 2019 ante el Comité de Naciones Unidas.</w:t>
      </w:r>
    </w:p>
    <w:p>
      <w:pPr>
        <w:pStyle w:val="Normal"/>
        <w:tabs>
          <w:tab w:val="clear" w:pos="708"/>
          <w:tab w:val="left" w:pos="1428" w:leader="none"/>
        </w:tabs>
        <w:jc w:val="both"/>
        <w:rPr>
          <w:rFonts w:ascii="Century Gothic" w:hAnsi="Century Gothic"/>
          <w:sz w:val="20"/>
          <w:szCs w:val="20"/>
        </w:rPr>
      </w:pPr>
      <w:r>
        <w:rPr>
          <w:rFonts w:ascii="Century Gothic" w:hAnsi="Century Gothic"/>
          <w:sz w:val="20"/>
          <w:szCs w:val="20"/>
        </w:rPr>
        <w:t>El 23 de junio se trasladó dicha solicitud a las y los integrantes de la Subcomisión para que rindieran sus aportes.</w:t>
      </w:r>
    </w:p>
    <w:p>
      <w:pPr>
        <w:pStyle w:val="Normal"/>
        <w:tabs>
          <w:tab w:val="clear" w:pos="708"/>
          <w:tab w:val="left" w:pos="1428" w:leader="none"/>
        </w:tabs>
        <w:jc w:val="both"/>
        <w:rPr>
          <w:rFonts w:ascii="Century Gothic" w:hAnsi="Century Gothic"/>
          <w:sz w:val="20"/>
          <w:szCs w:val="20"/>
        </w:rPr>
      </w:pPr>
      <w:r>
        <w:rPr>
          <w:rFonts w:ascii="Century Gothic" w:hAnsi="Century Gothic"/>
          <w:sz w:val="20"/>
          <w:szCs w:val="20"/>
        </w:rPr>
        <w:t>En el plazo conferido, se remitió el comunicado, el cual fue puesto en conocimiento de las personas integrantes de la Subcomisión oportunamente.</w:t>
      </w:r>
    </w:p>
    <w:p>
      <w:pPr>
        <w:pStyle w:val="Normal"/>
        <w:tabs>
          <w:tab w:val="clear" w:pos="708"/>
          <w:tab w:val="left" w:pos="1428" w:leader="none"/>
        </w:tabs>
        <w:jc w:val="both"/>
        <w:rPr>
          <w:rFonts w:ascii="Century Gothic" w:hAnsi="Century Gothic"/>
          <w:b/>
          <w:b/>
          <w:sz w:val="20"/>
          <w:szCs w:val="20"/>
          <w:u w:val="single"/>
        </w:rPr>
      </w:pPr>
      <w:r>
        <w:rPr/>
        <w:object>
          <v:shape id="ole_rId38" style="width:75pt;height:49.5pt" o:ole="">
            <v:imagedata r:id="rId39" o:title=""/>
          </v:shape>
          <o:OLEObject Type="Embed" ProgID="Package" ShapeID="ole_rId38" DrawAspect="Icon" ObjectID="_542138297" r:id="rId38"/>
        </w:object>
      </w:r>
      <w:r>
        <w:rPr/>
        <w:object>
          <v:shape id="ole_rId40" style="width:75pt;height:49.5pt" o:ole="">
            <v:imagedata r:id="rId41" o:title=""/>
          </v:shape>
          <o:OLEObject Type="Embed" ProgID="Package" ShapeID="ole_rId40" DrawAspect="Icon" ObjectID="_1135464034" r:id="rId40"/>
        </w:object>
      </w:r>
      <w:r>
        <w:rPr/>
        <w:object>
          <v:shape id="ole_rId42" style="width:75pt;height:49.5pt" o:ole="">
            <v:imagedata r:id="rId43" o:title=""/>
          </v:shape>
          <o:OLEObject Type="Embed" ProgID="Package" ShapeID="ole_rId42" DrawAspect="Icon" ObjectID="_1534401675" r:id="rId42"/>
        </w:object>
      </w:r>
    </w:p>
    <w:p>
      <w:pPr>
        <w:pStyle w:val="Normal"/>
        <w:tabs>
          <w:tab w:val="clear" w:pos="708"/>
          <w:tab w:val="left" w:pos="1428" w:leader="none"/>
        </w:tabs>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Se toma nota del informe remitido.-</w:t>
      </w:r>
    </w:p>
    <w:p>
      <w:pPr>
        <w:pStyle w:val="Normal"/>
        <w:tabs>
          <w:tab w:val="clear" w:pos="708"/>
          <w:tab w:val="left" w:pos="1428" w:leader="none"/>
        </w:tabs>
        <w:jc w:val="both"/>
        <w:rPr>
          <w:rFonts w:ascii="Century Gothic" w:hAnsi="Century Gothic"/>
          <w:sz w:val="20"/>
          <w:szCs w:val="20"/>
        </w:rPr>
      </w:pPr>
      <w:r>
        <w:rPr>
          <w:rFonts w:ascii="Century Gothic" w:hAnsi="Century Gothic"/>
          <w:sz w:val="20"/>
          <w:szCs w:val="20"/>
        </w:rPr>
      </w:r>
    </w:p>
    <w:p>
      <w:pPr>
        <w:pStyle w:val="Normal"/>
        <w:tabs>
          <w:tab w:val="clear" w:pos="708"/>
          <w:tab w:val="left" w:pos="1428" w:leader="none"/>
        </w:tabs>
        <w:jc w:val="center"/>
        <w:rPr>
          <w:rFonts w:ascii="Century Gothic" w:hAnsi="Century Gothic"/>
          <w:b/>
          <w:b/>
          <w:sz w:val="20"/>
          <w:szCs w:val="20"/>
          <w:u w:val="single"/>
        </w:rPr>
      </w:pPr>
      <w:r>
        <w:rPr>
          <w:rFonts w:ascii="Century Gothic" w:hAnsi="Century Gothic"/>
          <w:b/>
          <w:sz w:val="20"/>
          <w:szCs w:val="20"/>
          <w:highlight w:val="yellow"/>
          <w:u w:val="single"/>
        </w:rPr>
        <w:t>ARTICULO X</w:t>
      </w:r>
    </w:p>
    <w:p>
      <w:pPr>
        <w:pStyle w:val="Normal"/>
        <w:jc w:val="both"/>
        <w:rPr>
          <w:rFonts w:ascii="Century Gothic" w:hAnsi="Century Gothic"/>
          <w:i/>
          <w:i/>
          <w:iCs/>
          <w:spacing w:val="-2"/>
          <w:sz w:val="20"/>
          <w:szCs w:val="20"/>
        </w:rPr>
      </w:pPr>
      <w:r>
        <w:rPr>
          <w:rFonts w:ascii="Century Gothic" w:hAnsi="Century Gothic"/>
          <w:sz w:val="20"/>
          <w:szCs w:val="20"/>
        </w:rPr>
        <w:t xml:space="preserve">La Secretaría Técnica de Género remitió comunicado electrónico del 20 de junio de 2019 en el que envió atenta invitación a participar en un taller. Esa invitación fue socializada con las y los integrantes de la Subcomisión el 23 de junio: </w:t>
      </w:r>
    </w:p>
    <w:p>
      <w:pPr>
        <w:pStyle w:val="Normal"/>
        <w:ind w:left="708" w:hanging="0"/>
        <w:jc w:val="both"/>
        <w:rPr>
          <w:rFonts w:ascii="Century Gothic" w:hAnsi="Century Gothic"/>
          <w:i/>
          <w:i/>
          <w:sz w:val="20"/>
          <w:szCs w:val="20"/>
          <w:lang w:eastAsia="es-CR"/>
        </w:rPr>
      </w:pPr>
      <w:r>
        <w:rPr>
          <w:rFonts w:ascii="Century Gothic" w:hAnsi="Century Gothic"/>
          <w:i/>
          <w:spacing w:val="-2"/>
          <w:sz w:val="20"/>
          <w:szCs w:val="20"/>
        </w:rPr>
        <w:t xml:space="preserve">“… </w:t>
      </w:r>
      <w:r>
        <w:rPr>
          <w:rFonts w:ascii="Century Gothic" w:hAnsi="Century Gothic"/>
          <w:i/>
          <w:sz w:val="20"/>
          <w:szCs w:val="20"/>
        </w:rPr>
        <w:t xml:space="preserve">Hago de su conocimiento el comunicado electrónico que traslada la Unidad de Acceso a la Justicia, remitido por la máster Xinia Fernández, Jefa de la Secretaría Técnica de Género y Acceso a la Justicia, quien informa están haciendo las gestiones de contratación de varios talleres denominados </w:t>
      </w:r>
      <w:r>
        <w:rPr>
          <w:rFonts w:ascii="Century Gothic" w:hAnsi="Century Gothic"/>
          <w:i/>
          <w:iCs/>
          <w:sz w:val="20"/>
          <w:szCs w:val="20"/>
        </w:rPr>
        <w:t>“Derechos humanos y trato igualitario  en espacios laborales hacia personas LGBTI”</w:t>
      </w:r>
      <w:r>
        <w:rPr>
          <w:rFonts w:ascii="Century Gothic" w:hAnsi="Century Gothic"/>
          <w:i/>
          <w:sz w:val="20"/>
          <w:szCs w:val="20"/>
        </w:rPr>
        <w:t xml:space="preserve">. </w:t>
      </w:r>
    </w:p>
    <w:p>
      <w:pPr>
        <w:pStyle w:val="Normal"/>
        <w:ind w:left="708" w:hanging="0"/>
        <w:jc w:val="both"/>
        <w:rPr>
          <w:rFonts w:ascii="Century Gothic" w:hAnsi="Century Gothic"/>
          <w:i/>
          <w:i/>
          <w:sz w:val="20"/>
          <w:szCs w:val="20"/>
        </w:rPr>
      </w:pPr>
      <w:r>
        <w:rPr>
          <w:rFonts w:ascii="Century Gothic" w:hAnsi="Century Gothic"/>
          <w:i/>
          <w:sz w:val="20"/>
          <w:szCs w:val="20"/>
        </w:rPr>
        <w:t xml:space="preserve">Señala doña Xinia, les interesa la participación de integrantes de las Subcomisiones que no hayan recibido formación en el tema; y tienen programado dos talleres en San José, aula de la U de Capacitación del Ministerio Público, el 1° y 8 de octubre. Para cada fecha ofrecen  5 cupos. </w:t>
      </w:r>
    </w:p>
    <w:p>
      <w:pPr>
        <w:pStyle w:val="Normal"/>
        <w:ind w:left="708" w:hanging="0"/>
        <w:jc w:val="both"/>
        <w:rPr>
          <w:rFonts w:ascii="Century Gothic" w:hAnsi="Century Gothic"/>
          <w:i/>
          <w:i/>
          <w:sz w:val="20"/>
          <w:szCs w:val="20"/>
        </w:rPr>
      </w:pPr>
      <w:r>
        <w:rPr>
          <w:rFonts w:ascii="Century Gothic" w:hAnsi="Century Gothic"/>
          <w:i/>
          <w:sz w:val="20"/>
          <w:szCs w:val="20"/>
        </w:rPr>
        <w:t>Quienes tengan interés, por favor remitir su nombre completo, número de cédula, oficina y que pertenecen a esta Subcomisión, a la Secretaría Técnica de Género y Acceso a la Justicia (</w:t>
      </w:r>
      <w:hyperlink r:id="rId44">
        <w:r>
          <w:rPr>
            <w:rStyle w:val="EnlacedeInternet"/>
            <w:rFonts w:ascii="Century Gothic" w:hAnsi="Century Gothic"/>
            <w:i/>
            <w:sz w:val="20"/>
            <w:szCs w:val="20"/>
          </w:rPr>
          <w:t>Sec_Genero@poder-judicial.go.cr</w:t>
        </w:r>
      </w:hyperlink>
      <w:r>
        <w:rPr>
          <w:rFonts w:ascii="Century Gothic" w:hAnsi="Century Gothic"/>
          <w:i/>
          <w:sz w:val="20"/>
          <w:szCs w:val="20"/>
        </w:rPr>
        <w:t xml:space="preserve">) a más tardar el jueves 27 de junio para iniciar las gestiones ante el Consejo Superior. </w:t>
      </w:r>
    </w:p>
    <w:p>
      <w:pPr>
        <w:pStyle w:val="Normal"/>
        <w:jc w:val="both"/>
        <w:rPr>
          <w:rFonts w:ascii="Century Gothic" w:hAnsi="Century Gothic"/>
          <w:b/>
          <w:b/>
          <w:sz w:val="20"/>
          <w:szCs w:val="20"/>
          <w:u w:val="single"/>
        </w:rPr>
      </w:pPr>
      <w:r>
        <w:rPr/>
        <w:object>
          <v:shape id="ole_rId45" style="width:75pt;height:49.5pt" o:ole="">
            <v:imagedata r:id="rId46" o:title=""/>
          </v:shape>
          <o:OLEObject Type="Embed" ProgID="Package" ShapeID="ole_rId45" DrawAspect="Icon" ObjectID="_1654692119" r:id="rId45"/>
        </w:object>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Se toma nota.-</w:t>
      </w:r>
    </w:p>
    <w:p>
      <w:pPr>
        <w:pStyle w:val="Normal"/>
        <w:jc w:val="both"/>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XI</w:t>
      </w:r>
    </w:p>
    <w:p>
      <w:pPr>
        <w:pStyle w:val="Normal"/>
        <w:jc w:val="both"/>
        <w:rPr>
          <w:rFonts w:ascii="Century Gothic" w:hAnsi="Century Gothic"/>
          <w:bCs/>
          <w:i/>
          <w:i/>
          <w:sz w:val="20"/>
          <w:szCs w:val="20"/>
        </w:rPr>
      </w:pPr>
      <w:r>
        <w:rPr>
          <w:rFonts w:ascii="Century Gothic" w:hAnsi="Century Gothic"/>
          <w:sz w:val="20"/>
          <w:szCs w:val="20"/>
        </w:rPr>
        <w:t xml:space="preserve">Se conoce Oficio 6664-19 mediante el cual la Secretaría General de la Corte comunicó el acuerdo tomado por el Consejo Superior del Poder Judicial, en la sesión </w:t>
      </w:r>
      <w:r>
        <w:rPr>
          <w:rFonts w:ascii="Century Gothic" w:hAnsi="Century Gothic"/>
          <w:bCs/>
          <w:sz w:val="20"/>
          <w:szCs w:val="20"/>
        </w:rPr>
        <w:t>N° 58-19 c</w:t>
      </w:r>
      <w:r>
        <w:rPr>
          <w:rFonts w:ascii="Century Gothic" w:hAnsi="Century Gothic"/>
          <w:sz w:val="20"/>
          <w:szCs w:val="20"/>
        </w:rPr>
        <w:t xml:space="preserve">elebrada el 27 </w:t>
      </w:r>
      <w:r>
        <w:rPr>
          <w:rFonts w:ascii="Century Gothic" w:hAnsi="Century Gothic"/>
          <w:bCs/>
          <w:sz w:val="20"/>
          <w:szCs w:val="20"/>
        </w:rPr>
        <w:t>de junio de 2019,</w:t>
      </w:r>
      <w:r>
        <w:rPr>
          <w:rFonts w:ascii="Century Gothic" w:hAnsi="Century Gothic"/>
          <w:sz w:val="20"/>
          <w:szCs w:val="20"/>
        </w:rPr>
        <w:t xml:space="preserve"> Artículo XXXIX, que literalmente dice: </w:t>
      </w:r>
      <w:r>
        <w:rPr>
          <w:rFonts w:ascii="Century Gothic" w:hAnsi="Century Gothic"/>
          <w:i/>
          <w:sz w:val="20"/>
          <w:szCs w:val="20"/>
        </w:rPr>
        <w:t>“</w:t>
      </w:r>
      <w:r>
        <w:rPr>
          <w:rFonts w:ascii="Century Gothic" w:hAnsi="Century Gothic"/>
          <w:bCs/>
          <w:i/>
          <w:sz w:val="20"/>
          <w:szCs w:val="20"/>
        </w:rPr>
        <w:t xml:space="preserve">Se acordó: </w:t>
      </w:r>
      <w:r>
        <w:rPr>
          <w:rFonts w:ascii="Century Gothic" w:hAnsi="Century Gothic"/>
          <w:i/>
          <w:sz w:val="20"/>
          <w:szCs w:val="20"/>
          <w:lang w:eastAsia="es-ES"/>
        </w:rPr>
        <w:t xml:space="preserve">Acoger la anterior solicitud, en consecuencia: </w:t>
      </w:r>
      <w:r>
        <w:rPr>
          <w:rFonts w:ascii="Century Gothic" w:hAnsi="Century Gothic"/>
          <w:bCs/>
          <w:i/>
          <w:sz w:val="20"/>
          <w:szCs w:val="20"/>
          <w:lang w:eastAsia="es-ES"/>
        </w:rPr>
        <w:t xml:space="preserve">1.) </w:t>
      </w:r>
      <w:r>
        <w:rPr>
          <w:rFonts w:ascii="Century Gothic" w:hAnsi="Century Gothic"/>
          <w:i/>
          <w:sz w:val="20"/>
          <w:szCs w:val="20"/>
          <w:lang w:eastAsia="es-ES"/>
        </w:rPr>
        <w:t xml:space="preserve">Aprobar la realización de la capacitación al personal judicial sobre la </w:t>
      </w:r>
      <w:r>
        <w:rPr>
          <w:rFonts w:ascii="Century Gothic" w:hAnsi="Century Gothic"/>
          <w:i/>
          <w:sz w:val="20"/>
          <w:szCs w:val="20"/>
        </w:rPr>
        <w:t>implementación del Servicio Nacional de Facilitadoras y Facilitadores Judiciales en el Primer Circuito de la Zona Atlántica y el Circuito Judicial de Cartago, cantones de Turrialba y Jiménez</w:t>
      </w:r>
      <w:r>
        <w:rPr>
          <w:rFonts w:ascii="Century Gothic" w:hAnsi="Century Gothic"/>
          <w:i/>
          <w:sz w:val="20"/>
          <w:szCs w:val="20"/>
          <w:lang w:eastAsia="es-ES"/>
        </w:rPr>
        <w:t xml:space="preserve">, a realizarse en las fechas y horas indicadas. </w:t>
      </w:r>
      <w:r>
        <w:rPr>
          <w:rFonts w:ascii="Century Gothic" w:hAnsi="Century Gothic"/>
          <w:bCs/>
          <w:i/>
          <w:sz w:val="20"/>
          <w:szCs w:val="20"/>
          <w:lang w:eastAsia="es-ES"/>
        </w:rPr>
        <w:t>2.)</w:t>
      </w:r>
      <w:r>
        <w:rPr>
          <w:rFonts w:ascii="Century Gothic" w:hAnsi="Century Gothic"/>
          <w:i/>
          <w:sz w:val="20"/>
          <w:szCs w:val="20"/>
          <w:lang w:eastAsia="es-ES"/>
        </w:rPr>
        <w:t xml:space="preserve"> Autorizar </w:t>
      </w:r>
      <w:r>
        <w:rPr>
          <w:rFonts w:ascii="Century Gothic" w:hAnsi="Century Gothic"/>
          <w:i/>
          <w:sz w:val="20"/>
          <w:szCs w:val="20"/>
        </w:rPr>
        <w:t>la participación con sustitución al personal Técnico y Administrativo</w:t>
      </w:r>
      <w:r>
        <w:rPr>
          <w:rFonts w:ascii="Century Gothic" w:hAnsi="Century Gothic"/>
          <w:i/>
          <w:sz w:val="20"/>
          <w:szCs w:val="20"/>
          <w:lang w:eastAsia="es-ES"/>
        </w:rPr>
        <w:t xml:space="preserve"> de las listas transcritas</w:t>
      </w:r>
      <w:r>
        <w:rPr>
          <w:rFonts w:ascii="Century Gothic" w:hAnsi="Century Gothic"/>
          <w:i/>
          <w:sz w:val="20"/>
          <w:szCs w:val="20"/>
        </w:rPr>
        <w:t xml:space="preserve"> y en los casos estrictamente necesarios para las juezas y jueces participantes o capacitadores que lo requieran, considerando también los casos en que estas personas deban realizar disponibilidad en Violencia Doméstica y Penal. </w:t>
      </w:r>
      <w:r>
        <w:rPr>
          <w:rFonts w:ascii="Century Gothic" w:hAnsi="Century Gothic"/>
          <w:i/>
          <w:sz w:val="20"/>
          <w:szCs w:val="20"/>
          <w:lang w:eastAsia="es-ES"/>
        </w:rPr>
        <w:t xml:space="preserve">Lo anterior en el entendido que conforme lo dispuso este Consejo en la sesión N° 03-08, celebrada el 15 de enero del 2008, artículo LXXXII, publicado en la circular N° 20-08 de ese año, no podrán asistir a la actividad, si el sustituto que fuere nombrado no ha asumido el puesto, o en el caso que no pueda ser posible su </w:t>
      </w:r>
      <w:r>
        <w:rPr>
          <w:rFonts w:ascii="Century Gothic" w:hAnsi="Century Gothic"/>
          <w:bCs/>
          <w:i/>
          <w:sz w:val="20"/>
          <w:szCs w:val="20"/>
          <w:lang w:eastAsia="es-ES"/>
        </w:rPr>
        <w:t>sustitución</w:t>
      </w:r>
      <w:r>
        <w:rPr>
          <w:rFonts w:ascii="Century Gothic" w:hAnsi="Century Gothic"/>
          <w:i/>
          <w:sz w:val="20"/>
          <w:szCs w:val="20"/>
          <w:lang w:eastAsia="es-ES"/>
        </w:rPr>
        <w:t xml:space="preserve">, esto con el fin de evitar la reprogramación de audiencias y señalamientos y que no se afecte el servicio público. 3.) Indicar a las personas participantes, que la inasistencia a la actividad de referencia, deberá justificarse directamente ante los organizadores y no ante este Consejo. </w:t>
      </w:r>
      <w:r>
        <w:rPr>
          <w:rFonts w:ascii="Century Gothic" w:hAnsi="Century Gothic"/>
          <w:bCs/>
          <w:i/>
          <w:sz w:val="20"/>
          <w:szCs w:val="20"/>
          <w:lang w:eastAsia="es-ES"/>
        </w:rPr>
        <w:t>4.)</w:t>
      </w:r>
      <w:r>
        <w:rPr>
          <w:rFonts w:ascii="Century Gothic" w:hAnsi="Century Gothic"/>
          <w:i/>
          <w:sz w:val="20"/>
          <w:szCs w:val="20"/>
          <w:lang w:eastAsia="es-ES"/>
        </w:rPr>
        <w:t xml:space="preserve"> </w:t>
      </w:r>
      <w:r>
        <w:rPr>
          <w:rFonts w:ascii="Century Gothic" w:hAnsi="Century Gothic"/>
          <w:i/>
          <w:sz w:val="20"/>
          <w:szCs w:val="20"/>
        </w:rPr>
        <w:t xml:space="preserve">Autorizar el pago de viáticos del día martes 30 de julio de 2019. </w:t>
      </w:r>
      <w:r>
        <w:rPr>
          <w:rFonts w:ascii="Century Gothic" w:hAnsi="Century Gothic"/>
          <w:i/>
          <w:sz w:val="20"/>
          <w:szCs w:val="20"/>
          <w:lang w:eastAsia="es-ES"/>
        </w:rPr>
        <w:t>La Dirección de Gestión Humana, el Departamento Financiero Contable y los despachos interesados, tomarán nota para lo que corresponda.</w:t>
      </w:r>
      <w:r>
        <w:rPr>
          <w:rFonts w:ascii="Century Gothic" w:hAnsi="Century Gothic"/>
          <w:i/>
          <w:sz w:val="20"/>
          <w:szCs w:val="20"/>
        </w:rPr>
        <w:t xml:space="preserve"> </w:t>
      </w:r>
      <w:r>
        <w:rPr>
          <w:rFonts w:ascii="Century Gothic" w:hAnsi="Century Gothic"/>
          <w:bCs/>
          <w:i/>
          <w:sz w:val="20"/>
          <w:szCs w:val="20"/>
        </w:rPr>
        <w:t>Se declara acuerdo firme.</w:t>
      </w:r>
      <w:r>
        <w:rPr>
          <w:rFonts w:ascii="Century Gothic" w:hAnsi="Century Gothic"/>
          <w:i/>
          <w:sz w:val="20"/>
          <w:szCs w:val="20"/>
        </w:rPr>
        <w:t>”</w:t>
      </w:r>
    </w:p>
    <w:p>
      <w:pPr>
        <w:pStyle w:val="Normal"/>
        <w:spacing w:before="120" w:after="120"/>
        <w:jc w:val="both"/>
        <w:rPr>
          <w:rFonts w:ascii="Century Gothic" w:hAnsi="Century Gothic"/>
          <w:sz w:val="20"/>
          <w:szCs w:val="20"/>
          <w:lang w:val="es-ES_tradnl"/>
        </w:rPr>
      </w:pPr>
      <w:r>
        <w:rPr>
          <w:rFonts w:ascii="Century Gothic" w:hAnsi="Century Gothic"/>
          <w:sz w:val="20"/>
          <w:szCs w:val="20"/>
        </w:rPr>
        <w:t xml:space="preserve">En dicho acuerdo se aprobó el informe enviado por el Magistrado Román Solís Zelaya, en su condición de Presidente de la </w:t>
      </w:r>
      <w:r>
        <w:rPr>
          <w:rFonts w:ascii="Century Gothic" w:hAnsi="Century Gothic"/>
          <w:sz w:val="20"/>
          <w:szCs w:val="20"/>
          <w:lang w:eastAsia="es-CR"/>
        </w:rPr>
        <w:t xml:space="preserve">Comisión Nacional para el Mejoramiento de la Administración de Justicia (CONAMAJ) y el licenciado </w:t>
      </w:r>
      <w:r>
        <w:rPr>
          <w:rFonts w:ascii="Century Gothic" w:hAnsi="Century Gothic"/>
          <w:sz w:val="20"/>
          <w:szCs w:val="20"/>
        </w:rPr>
        <w:t xml:space="preserve">Manuel Hidalgo Flores, Director Ejecutivo interino de dicha Comisión, mediante oficio N° Of-154-CONAMAJ-19 del 17 de junio de 2019, en el que solicita permiso para ejecutar la actividad que </w:t>
      </w:r>
      <w:r>
        <w:rPr>
          <w:rFonts w:ascii="Century Gothic" w:hAnsi="Century Gothic"/>
          <w:sz w:val="20"/>
          <w:szCs w:val="20"/>
          <w:lang w:val="es-ES_tradnl"/>
        </w:rPr>
        <w:t xml:space="preserve">Conamaj está planificando realizar una capacitación para el personal judicial de diferentes zonas del 29 al 31 de julio en el cantón de Sarapiquí en el Hotel Ara Ambigua, con recursos económicos cubiertos en su mayoría por la Organización de Estados Americanos, OEA, quienes apoyarán con el alquiler del espacio físico para el taller, el hospedaje desde el 28 de julio, la alimentación y el transporte. En el personal capacitador se incluyó a la jueza Damaris Vargas Vásquez en su condición de Coordinadora de la Subcomisión de Acceso a la Justicia de Pueblos Indígenas a efecto de que expusiera el lunes 29 de julio en la segunda audiencia (13:30). </w:t>
      </w:r>
    </w:p>
    <w:p>
      <w:pPr>
        <w:pStyle w:val="Normal"/>
        <w:spacing w:before="120" w:after="120"/>
        <w:jc w:val="both"/>
        <w:rPr>
          <w:rFonts w:ascii="Century Gothic" w:hAnsi="Century Gothic"/>
          <w:sz w:val="20"/>
          <w:szCs w:val="20"/>
          <w:lang w:val="es-ES_tradnl"/>
        </w:rPr>
      </w:pPr>
      <w:r>
        <w:rPr>
          <w:rFonts w:ascii="Century Gothic" w:hAnsi="Century Gothic"/>
          <w:sz w:val="20"/>
          <w:szCs w:val="20"/>
          <w:lang w:val="es-ES_tradnl"/>
        </w:rPr>
        <w:t>Comunica la jueza Damaris Vargas que la capacitación se ejecutó con una amplia participación de personas juzgadoras de distintas zonas del país.</w:t>
      </w:r>
    </w:p>
    <w:p>
      <w:pPr>
        <w:pStyle w:val="Normal"/>
        <w:jc w:val="both"/>
        <w:rPr>
          <w:rFonts w:ascii="Century Gothic" w:hAnsi="Century Gothic"/>
          <w:sz w:val="20"/>
          <w:szCs w:val="20"/>
        </w:rPr>
      </w:pPr>
      <w:r>
        <w:rPr/>
        <w:object>
          <v:shape id="ole_rId47" style="width:75pt;height:49.5pt" o:ole="">
            <v:imagedata r:id="rId48" o:title=""/>
          </v:shape>
          <o:OLEObject Type="Embed" ProgID="Package" ShapeID="ole_rId47" DrawAspect="Icon" ObjectID="_2114746400" r:id="rId47"/>
        </w:object>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Se toma nota.-</w:t>
      </w:r>
    </w:p>
    <w:p>
      <w:pPr>
        <w:pStyle w:val="Normal"/>
        <w:jc w:val="both"/>
        <w:rPr>
          <w:rFonts w:ascii="Century Gothic" w:hAnsi="Century Gothic"/>
          <w:b/>
          <w:b/>
          <w:sz w:val="20"/>
          <w:szCs w:val="20"/>
          <w:u w:val="single"/>
        </w:rPr>
      </w:pPr>
      <w:r>
        <w:rPr>
          <w:rFonts w:ascii="Century Gothic" w:hAnsi="Century Gothic"/>
          <w:b/>
          <w:sz w:val="20"/>
          <w:szCs w:val="20"/>
          <w:u w:val="single"/>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XII</w:t>
      </w:r>
    </w:p>
    <w:p>
      <w:pPr>
        <w:pStyle w:val="Normal"/>
        <w:jc w:val="both"/>
        <w:rPr>
          <w:rFonts w:ascii="Century Gothic" w:hAnsi="Century Gothic"/>
          <w:color w:val="000000"/>
          <w:sz w:val="20"/>
          <w:szCs w:val="20"/>
        </w:rPr>
      </w:pPr>
      <w:r>
        <w:rPr>
          <w:rFonts w:ascii="Century Gothic" w:hAnsi="Century Gothic"/>
          <w:sz w:val="20"/>
          <w:szCs w:val="20"/>
        </w:rPr>
        <w:t xml:space="preserve">Comunica la Coordinadora de la Subcomisión que el 27 de junio se reunió con la jueza del Juzgado Contravencional de Turrialba, quien le expuso algunos problemas de coordinación que tenido con la Administración Regional de Turrialba para la atención de personas indígenas. Con ocasión de lo anterior, remitió comunicado electrónico ese día al señor Wilbert Kidd, Subdirector Ejecutivo y a don </w:t>
      </w:r>
      <w:r>
        <w:rPr>
          <w:rFonts w:ascii="Century Gothic" w:hAnsi="Century Gothic"/>
          <w:color w:val="000000"/>
          <w:sz w:val="20"/>
          <w:szCs w:val="20"/>
        </w:rPr>
        <w:t>William Cerdas Zuñiga, Administrador Regional, en el que expuso:</w:t>
      </w:r>
    </w:p>
    <w:p>
      <w:pPr>
        <w:pStyle w:val="Normal"/>
        <w:ind w:left="708" w:hanging="0"/>
        <w:jc w:val="both"/>
        <w:rPr>
          <w:rFonts w:ascii="Century Gothic" w:hAnsi="Century Gothic"/>
          <w:i/>
          <w:i/>
          <w:color w:val="000000"/>
          <w:sz w:val="20"/>
          <w:szCs w:val="20"/>
        </w:rPr>
      </w:pPr>
      <w:r>
        <w:rPr>
          <w:rFonts w:ascii="Century Gothic" w:hAnsi="Century Gothic"/>
          <w:i/>
          <w:color w:val="000000"/>
          <w:sz w:val="20"/>
          <w:szCs w:val="20"/>
        </w:rPr>
        <w:t>“</w:t>
      </w:r>
      <w:r>
        <w:rPr>
          <w:rFonts w:ascii="Century Gothic" w:hAnsi="Century Gothic"/>
          <w:i/>
          <w:color w:val="000000"/>
          <w:sz w:val="20"/>
          <w:szCs w:val="20"/>
        </w:rPr>
        <w:t>Hago de su conocimiento que el día de hoy me reuní con la jueza Karol Muñoz Barahona, jueza del Juzgado Contravencional de Turrialba. Doña Karol me informa que ha tenido algunos problemas de coordinación con la Administración Regional de Turrialba en relación con la disponibilidad de vehículo para asistir a los territorios indígenas, entre ellos, Grano de Oro, Roca Quemada, Quetzal, Vereh y Paso Marcos. Los problemas que tiene es que no se informa con antelación suficiente los cambios relacionados con la disponibilidad de vehículo, persona conductora; o bien, les solicitan después de la audiencia que entreguen el vehículo lavado. Esto último les genere inconvenientes porque no tienen disponibilidad para lavarlo en el edificio, pero el mayor de los inconvenientes es que en ocasiones, cuando no hay disponibilidad de vehículo y no se puede coordinar con el vehículo del Ministerio Público, surge el riesgo de que las personas indígenas se queden esperando pues los problemas de comunicación con ellos por problemas de internet son complejos. Señala doña Karol que esta situación la ha expuesto en otras oportunidades a don William.</w:t>
      </w:r>
    </w:p>
    <w:p>
      <w:pPr>
        <w:pStyle w:val="Normal"/>
        <w:ind w:left="708" w:hanging="0"/>
        <w:jc w:val="both"/>
        <w:rPr>
          <w:rFonts w:ascii="Century Gothic" w:hAnsi="Century Gothic"/>
          <w:i/>
          <w:i/>
          <w:color w:val="000000"/>
          <w:sz w:val="20"/>
          <w:szCs w:val="20"/>
        </w:rPr>
      </w:pPr>
      <w:r>
        <w:rPr>
          <w:rFonts w:ascii="Century Gothic" w:hAnsi="Century Gothic"/>
          <w:i/>
          <w:color w:val="000000"/>
          <w:sz w:val="20"/>
          <w:szCs w:val="20"/>
        </w:rPr>
        <w:t>Sugiere doña Karol para mejorar la situación que exista una comunicación más fluida entre la Administración el Despacho en las oportunidades en que no se puede atender la audiencia; en el entendido de que al tratarse de una población en situación de vulnerabilidad como es la indígena, es preciso que se priorice la atención, máxime si la programación de giras está dispuesta desde enero. Refiere, podría emitirse una circular donde se establezca la priorización de la atención de los vehículos a efecto de que los despachos tengan conocimiento que los procesos vinculados con indígenas son prioritarios.</w:t>
      </w:r>
    </w:p>
    <w:p>
      <w:pPr>
        <w:pStyle w:val="Normal"/>
        <w:ind w:left="708" w:hanging="0"/>
        <w:jc w:val="both"/>
        <w:rPr>
          <w:rFonts w:ascii="Century Gothic" w:hAnsi="Century Gothic"/>
          <w:i/>
          <w:i/>
          <w:color w:val="000000"/>
          <w:sz w:val="20"/>
          <w:szCs w:val="20"/>
        </w:rPr>
      </w:pPr>
      <w:r>
        <w:rPr>
          <w:rFonts w:ascii="Century Gothic" w:hAnsi="Century Gothic"/>
          <w:i/>
          <w:color w:val="000000"/>
          <w:sz w:val="20"/>
          <w:szCs w:val="20"/>
        </w:rPr>
        <w:t>Le remito este comunicado a usted directamente porque doña Karol me informó le expuso esta situación con antelación, aclarándole que no he contactado a don William para conocer su posición. Con ocasión de lo anterior, copio a don William este correo.</w:t>
      </w:r>
    </w:p>
    <w:p>
      <w:pPr>
        <w:pStyle w:val="Normal"/>
        <w:ind w:left="708" w:hanging="0"/>
        <w:jc w:val="both"/>
        <w:rPr>
          <w:rFonts w:ascii="Century Gothic" w:hAnsi="Century Gothic"/>
          <w:i/>
          <w:i/>
          <w:color w:val="000000"/>
          <w:sz w:val="20"/>
          <w:szCs w:val="20"/>
        </w:rPr>
      </w:pPr>
      <w:r>
        <w:rPr>
          <w:rFonts w:ascii="Century Gothic" w:hAnsi="Century Gothic"/>
          <w:i/>
          <w:color w:val="000000"/>
          <w:sz w:val="20"/>
          <w:szCs w:val="20"/>
        </w:rPr>
        <w:t>Con ocasión de lo anterior, me pongo a su disposición, de doña Karol y de don William en lo que pueda colaborar para facilitar el acceso a la justicia de la población indígena de Turrialba, en cumplimiento de los lineamientos dispuestos por Corte Plena y el Consejo Superior.”</w:t>
      </w:r>
    </w:p>
    <w:p>
      <w:pPr>
        <w:pStyle w:val="Normal"/>
        <w:jc w:val="both"/>
        <w:rPr>
          <w:rFonts w:ascii="Century Gothic" w:hAnsi="Century Gothic"/>
          <w:i/>
          <w:i/>
          <w:color w:val="000000"/>
          <w:sz w:val="20"/>
          <w:szCs w:val="20"/>
        </w:rPr>
      </w:pPr>
      <w:r>
        <w:rPr>
          <w:rFonts w:ascii="Century Gothic" w:hAnsi="Century Gothic"/>
          <w:i/>
          <w:color w:val="000000"/>
          <w:sz w:val="20"/>
          <w:szCs w:val="20"/>
        </w:rPr>
      </w:r>
    </w:p>
    <w:p>
      <w:pPr>
        <w:pStyle w:val="Normal"/>
        <w:jc w:val="both"/>
        <w:rPr>
          <w:rFonts w:ascii="Century Gothic" w:hAnsi="Century Gothic"/>
          <w:color w:val="000000"/>
          <w:sz w:val="20"/>
          <w:szCs w:val="20"/>
        </w:rPr>
      </w:pPr>
      <w:r>
        <w:rPr>
          <w:rFonts w:ascii="Century Gothic" w:hAnsi="Century Gothic"/>
          <w:color w:val="000000"/>
          <w:sz w:val="20"/>
          <w:szCs w:val="20"/>
        </w:rPr>
        <w:t>Por su parte, el 1° de julio la jueza Karol indicó:</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w:t>
      </w:r>
      <w:r>
        <w:rPr>
          <w:rFonts w:cs="Kalinga" w:ascii="Century Gothic" w:hAnsi="Century Gothic"/>
          <w:i/>
          <w:color w:val="000000"/>
          <w:sz w:val="20"/>
          <w:szCs w:val="20"/>
        </w:rPr>
        <w:t>De una manera respetuosa, le quiero aclarar a don William el motivo de la gestión que realicé el día jueves con la Licenciada Damaris Vargas y don Wilberth Kid.</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Específicamente el día martes 25 de junio me comuniqué vía telefónica con su persona para solicitarle, se valorara la posibilidad de que como estaba el vehículo nuevo ya a disposición de la Administración, si era posible el préstamo, ya que teníamos conocimiento de que el vehículo negro (único vehículo con equipo especial para el ingreso a ciertas zonas de difícil acceso), tenía cita de revisión de garantía, según me había indicado vía correo electrónico. A lo que usted me confirmó que si tenía la cita de revisión y que el vehículo blanco nuevo, lo iba a ocupar para el traslado de las sillas, manifestándole que no había problema porque ya se había gestionado con la Fiscalía. La sorpresa fue en la mañana saliendo del edificio para la gira a la zona de Roca Quemada que el vehículo blanco andaba en San José y el negro estaba en el edificio. Casualmente cuando íbamos llegando al edificio antes de las 4:30 horas, nos topamos llegando al mismo tiempo, el vehículo negro, el cual se tuvo conocimiento en este instante, que venía de notificar en Juan Viñas por parte de la Oficina de Notificaciones Judiciales. Por eso la inconformidad, pues se supone que siendo ese vehículo el único equipado, hubiera esperado según indica usted da prioridad a las diligencias indígenas, y que cuando conversamos en la tarde, me hubiera al menos indicado la verdad. No se pretende interferir en sus labores, sin embargo, las diferentes situaciones que se han presentado ya generan desconfianza, no sólo de mi parte, sino malestar de todos los compañeros de oficina, tanto técnicos como juzgadores.  </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 xml:space="preserve">Nuevamente, el día jueves 27 a eso de las siete de la mañana, cuando ingresaba al edificio el técnico Andrés Aguilar, persona encargada de zona indígena y autorizado a conducir vehículos oficiales, me comunica que se lo encontró a usted y que le comunicó que debía conducir el vehículo para ingresar a realizar la diligencia que estaba programada para la zona de Paso Marcos el día de mañana (sea viernes 28), el carro quedaba ahí pero no tenía chofer porque lo iba a ocupar en otra cosa. Cuando Andrés me cuenta lo sucedido, le dije que esperáramos la comunicación suya a mi persona por correo electrónico como habíamos quedado ya en reiteradas ocasiones, siendo que a la hora que conversé con don Wilbert aproximadamente tres de la tarde, aún no recibía ningún correo ni tampoco una llamada. </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Como usted había comentado en la última reunión del Consejo de Administración,  cuando ya tuviera el vehículo nuevo, lo que iba o pensaba  gestionar su persona, era que el Despacho que ocupara utilizar el vehículo, debía tener autorizado conductor, a lo que le manifesté que no estaba mal la idea, pues si son gestiones de cada Despacho no veía problema, al menos esa ha sido la posición del Juzgado Contravencional, por eso desde hace ya rato, se había solicitado la autorización del técnico Andrés Aguilar para conducir vehículos oficiales, quien cuenta con el permiso de la Administración, la Fiscalía, La Defensa Pública y el OIJ.</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 xml:space="preserve">La duda del lavado del vehículo surge porque, de mi bolsillo Andrés lleva el vehículo de la Fiscalía a lavar, y se hace en agradecimiento por el préstamo del mismo, ya que a ellos no les corresponde ni están obligados a hacerlo, sin embargo el entre ambas oficinas existe muy buena relación y comunicación. Si la idea es que cada Despacho se va a hacer cargo de autorizar el conductor, se consultó si también debía entregarse lavado, pues la oficina no cuenta con caja chica ni ninguna entrada económica y si ese era el caso debía entonces gestionarse, igualmente la duda surgió con la tarjeta de la gasolina, pues tampoco se cuenta con ello. Por todo lo anterior, puede usted concluir que no es por chismes ni terceras personas que me doy cuenta, sino por usted mismo y al no haber un comunicado oficial, sea correo electrónico o circular por ejemplo, es que se aprovechó la visita a San José para hacer las consultas a los superiores, reiterándole según mi criterio, que no es a través del técnico en el pasillo, la persona ni el canal de comunicación que debe utilizarse para comunicar este tipo de situaciones. </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Por último, es de esperar que si bien el vehículo le ofrece servicios a otros Despachos, lo cierto es que ninguno ingresa a giras a zona indígena como si lo hace el Juzgado Contravencional, tampoco desde el mes de enero que nos asignan los espacios y uso del vehículo, ubican las fechas de ingreso al mes, a las cinco zonas en los diferentes centros educativos y Delegación policial, esto para publicitar la visita del Juzgado. Tome en cuenta y ya es de su conocimiento, que no solamente audiencias se realizan en las zonas, sino que se reciben declaraciones, manifestaciones, consultas, órdenes de apremio entre otros trámites que son parte de la atención al usuario en el edificio, y que es el Despacho como tal es el que se traslada a la zona para aprovechar los recursos y brindar de la mejor manera el servicio a los usuarios y usuarios indígenas. Supongo que esa es la razón por la que no tiene quejas de otros Despachos. Reprogramar una diligencia para otro Despacho, parece ser más sencillo entonces, lo que no sucede con zona indígena. No todos los usuarios de señalamientos a las audiencias cuentan con teléfono ni señal e internet para avisar a través de una llamada, muchos por no decir la mayoría, de difícil citación por parte del notificador Ronny, encargado de notificar y citar en zona indígena (véase inclusive la problemática que se presenta para el nombramiento de intérpretes por la complicada comunicación), mucho menos tenemos la posibilidad de avisar a cada persona que podría llega a solicitar atención y prestación del servicio, que la fecha en que se anunció desde enero que el juzgado entra, se va a cancelar, resulta imposible.  Ya es de su conocimiento que hay usuarios indígenas que caminan distancias muy largas y muchas horas para llegar hasta el centro educativo donde se atiende, siendo esto una falta de consideración el simplemente cancelar las giras, entendiendo los casos o excepciones por fuerza mayor.</w:t>
      </w:r>
    </w:p>
    <w:p>
      <w:pPr>
        <w:pStyle w:val="Normal"/>
        <w:ind w:left="708" w:hanging="0"/>
        <w:jc w:val="both"/>
        <w:rPr>
          <w:rFonts w:ascii="Century Gothic" w:hAnsi="Century Gothic" w:cs="Kalinga"/>
          <w:i/>
          <w:i/>
          <w:color w:val="000000"/>
          <w:sz w:val="20"/>
          <w:szCs w:val="20"/>
        </w:rPr>
      </w:pPr>
      <w:r>
        <w:rPr>
          <w:rFonts w:cs="Kalinga" w:ascii="Century Gothic" w:hAnsi="Century Gothic"/>
          <w:i/>
          <w:color w:val="000000"/>
          <w:sz w:val="20"/>
          <w:szCs w:val="20"/>
        </w:rPr>
        <w:t>Espero haber aclarado sus dudas, estando en la mayor disposición como siempre se conversar, necesitamos mantener buena comunicación, pues es el trabajo de ambas oficinas, tomando en cuenta además, que se viene en principio este año, la implementación del Servicio de Facilitadores Judiciales, programa en el que interviene precisamente el Juzgado Contravencional y la Administración.”</w:t>
      </w:r>
    </w:p>
    <w:p>
      <w:pPr>
        <w:pStyle w:val="Normal"/>
        <w:jc w:val="both"/>
        <w:rPr>
          <w:rFonts w:ascii="Century Gothic" w:hAnsi="Century Gothic"/>
          <w:sz w:val="20"/>
          <w:szCs w:val="20"/>
        </w:rPr>
      </w:pPr>
      <w:r>
        <w:rPr>
          <w:rFonts w:ascii="Century Gothic" w:hAnsi="Century Gothic"/>
          <w:sz w:val="20"/>
          <w:szCs w:val="20"/>
        </w:rPr>
        <w:t xml:space="preserve">El señor William Cerdas Zúñiga, Administrador Regional de Turrialba contestó el 27 de junio los requerimientos indicados señalando: </w:t>
      </w:r>
    </w:p>
    <w:p>
      <w:pPr>
        <w:pStyle w:val="Xxmsonormal"/>
        <w:shd w:val="clear" w:color="auto" w:fill="FFFFFF"/>
        <w:jc w:val="both"/>
        <w:rPr>
          <w:rFonts w:ascii="Century Gothic" w:hAnsi="Century Gothic"/>
          <w:color w:val="000000"/>
          <w:sz w:val="20"/>
          <w:szCs w:val="20"/>
        </w:rPr>
      </w:pPr>
      <w:r>
        <w:rPr>
          <w:rFonts w:ascii="Century Gothic" w:hAnsi="Century Gothic"/>
          <w:color w:val="000000"/>
          <w:sz w:val="20"/>
          <w:szCs w:val="20"/>
        </w:rPr>
      </w:r>
    </w:p>
    <w:p>
      <w:pPr>
        <w:pStyle w:val="Xmsonormal"/>
        <w:ind w:left="1416" w:hanging="0"/>
        <w:jc w:val="both"/>
        <w:rPr>
          <w:rFonts w:ascii="Century Gothic" w:hAnsi="Century Gothic"/>
          <w:i/>
          <w:i/>
          <w:sz w:val="20"/>
          <w:szCs w:val="20"/>
        </w:rPr>
      </w:pPr>
      <w:r>
        <w:rPr>
          <w:rFonts w:cs="Arial" w:ascii="Century Gothic" w:hAnsi="Century Gothic"/>
          <w:i/>
          <w:sz w:val="20"/>
          <w:szCs w:val="20"/>
        </w:rPr>
        <w:t>Buena tardes Don Wilbert:</w:t>
      </w:r>
    </w:p>
    <w:p>
      <w:pPr>
        <w:pStyle w:val="Xmsonormal"/>
        <w:ind w:left="1416" w:hanging="0"/>
        <w:jc w:val="both"/>
        <w:rPr>
          <w:rFonts w:ascii="Century Gothic" w:hAnsi="Century Gothic"/>
          <w:i/>
          <w:i/>
          <w:sz w:val="20"/>
          <w:szCs w:val="20"/>
        </w:rPr>
      </w:pPr>
      <w:r>
        <w:rPr>
          <w:rFonts w:cs="Arial" w:ascii="Century Gothic" w:hAnsi="Century Gothic"/>
          <w:i/>
          <w:sz w:val="20"/>
          <w:szCs w:val="20"/>
        </w:rPr>
        <w:t> </w:t>
      </w:r>
    </w:p>
    <w:p>
      <w:pPr>
        <w:pStyle w:val="Xmsonormal"/>
        <w:ind w:left="1416" w:hanging="0"/>
        <w:jc w:val="both"/>
        <w:rPr>
          <w:rFonts w:ascii="Century Gothic" w:hAnsi="Century Gothic"/>
          <w:i/>
          <w:i/>
          <w:sz w:val="20"/>
          <w:szCs w:val="20"/>
        </w:rPr>
      </w:pPr>
      <w:r>
        <w:rPr>
          <w:rFonts w:cs="Arial" w:ascii="Century Gothic" w:hAnsi="Century Gothic"/>
          <w:i/>
          <w:sz w:val="20"/>
          <w:szCs w:val="20"/>
        </w:rPr>
        <w:t>Con la finalidad de ofrecer respuesta  a lo solicitado le indico lo siguiente:</w:t>
      </w:r>
    </w:p>
    <w:p>
      <w:pPr>
        <w:pStyle w:val="Xmsonormal"/>
        <w:ind w:left="1416" w:hanging="0"/>
        <w:jc w:val="both"/>
        <w:rPr>
          <w:rFonts w:ascii="Century Gothic" w:hAnsi="Century Gothic"/>
          <w:i/>
          <w:i/>
          <w:sz w:val="20"/>
          <w:szCs w:val="20"/>
        </w:rPr>
      </w:pPr>
      <w:r>
        <w:rPr>
          <w:rFonts w:cs="Arial" w:ascii="Century Gothic" w:hAnsi="Century Gothic"/>
          <w:i/>
          <w:sz w:val="20"/>
          <w:szCs w:val="20"/>
        </w:rPr>
        <w:t> </w:t>
      </w:r>
    </w:p>
    <w:p>
      <w:pPr>
        <w:pStyle w:val="Xmsolistparagraph"/>
        <w:numPr>
          <w:ilvl w:val="0"/>
          <w:numId w:val="23"/>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La situación con el  Juzgado Contravencional siempre se  le ha comunicado con antelación  la situación con el  vehículo previendo que las giras son las zonas indígenas si el vehículo no se encuentra disponible para tomar las previsiones del caso como lo son gestionar el  apoyo con el vehículo del Ministerio Público,  para asumir la gira y no suspender valorando la importancia de realizar la audiencia. </w:t>
      </w:r>
      <w:r>
        <w:rPr>
          <w:rFonts w:cs="Arial" w:ascii="Century Gothic" w:hAnsi="Century Gothic"/>
          <w:i/>
          <w:color w:val="8FAADC"/>
          <w:sz w:val="20"/>
          <w:szCs w:val="20"/>
        </w:rPr>
        <w:t xml:space="preserve">WKA, sobre este aspecto, tener presente que para el caso de las visitas a las zonas indígenas son un tema de prioridad, trate en la medidas que los medios lo permita, de dar atención, estamos ante una población vulnerable. Mantenga la comunicación con el Despacho y coordinen lo necesario para no perder los señalamientos, me indica la Licda. Karol que la comunicación con las personas interesadas es muy difícil, por lo que no es posible de un día para otro suspender o hacer cambio de fecha. </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Cuando el vehículo presenta  algún inconveniente esta Administración le comunica a la Licenciada Karol, sea en forma personal, por teléfono o bien por medio de correo  me extraña que indique que no hay comunicación entre la Administración y el Juzgado, inclusive me indica que agradece que le comunique con antelación para gestionar el vehículo con el Ministerio Público. </w:t>
      </w:r>
      <w:r>
        <w:rPr>
          <w:rFonts w:cs="Arial" w:ascii="Century Gothic" w:hAnsi="Century Gothic"/>
          <w:i/>
          <w:color w:val="8FAADC"/>
          <w:sz w:val="20"/>
          <w:szCs w:val="20"/>
        </w:rPr>
        <w:t xml:space="preserve">WKA, utilice medios escritos para comunicar y llame para confirmar que les llegó el comunicado, en la medida de lo posible hacer los comunicados con la debida antelación para realizar las comunicaciones y evitar contratiempos. </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En ningún momento esta Administración le ha indicado que deben lavar el vehículo y asumir el gasto,  de igual  forma me extraña que la Licenciada Karol indique esta situación del vehículo que tenga que lavarlo. </w:t>
      </w:r>
      <w:r>
        <w:rPr>
          <w:rFonts w:cs="Arial" w:ascii="Century Gothic" w:hAnsi="Century Gothic"/>
          <w:i/>
          <w:color w:val="8FAADC"/>
          <w:sz w:val="20"/>
          <w:szCs w:val="20"/>
        </w:rPr>
        <w:t xml:space="preserve">WKA, este tema se debe revisar, la labor de lavado no debería ser asumida por las oficinas, busque alternativas de solución, espero al respecto su propuesta al respecto. </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Lo ocurrido ayer se tenía previsto que el vehículo entrara en el taller para una valoración en la dirección,  de última hora no se hizo fue ahí donde se utilizó el vehículo por parte de la Administración para trasladar equipo de audio y mobiliario al Auditorio de COOPENAE, para la  rendición de cuentas de los despachos, además ya se le había informado  a Doña Karol que para ese día el vehículo no estaba disponible, me indicó que bueno voy a gestionar el vehículo del Ministerio Público, máxime que en el Juzgado se tiene a servidor que tiene  el aval  para conducir los vehículos oficiales. </w:t>
      </w:r>
      <w:r>
        <w:rPr>
          <w:rFonts w:cs="Arial" w:ascii="Century Gothic" w:hAnsi="Century Gothic"/>
          <w:i/>
          <w:color w:val="8FAADC"/>
          <w:sz w:val="20"/>
          <w:szCs w:val="20"/>
        </w:rPr>
        <w:t xml:space="preserve">WKA, Se comprende las necesidad de enviar los vehículos a mantenimiento, de hecho se espera que sea constante, pero debe procurar que no choque con otras solicitudes, le recomiendo que asigne dentro del rol de los vehículos, los espacios necesarios para el mantenimiento. En los casos en los cuales sea necesaria una reparación de manera imprevista, me parece muy bien que comunique a las oficinas que tenían el vehículo asignado en esta fecha. La comunica oportuna y clara es necesaria. </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Con el tema que deben caminar hasta dos horas y media para realizar audiencias esto ocurre por el motivo que los caminos son de muy difícil acceso, ya se tiene una directriz de otras administradores anteriores que el vehículo llega hasta cierto  sector para no exponer a los acompañantes el vehículo no pasa de ese sector ya esa situación se le hizo ver a Doña Karol que de parte de la Administración se mantiene no puedo variar la directriz indicada por el motivo que se le consultó al chofer  sobre el riesgo que se corre si se ingresa con el vehículo y me indico que es muy peligro, fue ahí donde le indique a la Licenciada Karol que de parte mía no iba a exponer a que se ingrese hasta el lugar donde se va hacer la diligencia corriendo un riesgo de un accidente y de parte mía conociendo el riesgo gire la directriz de ingresar, a la Licenciada Karol se le expuso esta situación vía corre electrónico y estuvo de acuerdo, no se bajo que fundamento lo expone, lástima que no lo expone como es.</w:t>
      </w:r>
      <w:r>
        <w:rPr>
          <w:rFonts w:cs="Arial" w:ascii="Century Gothic" w:hAnsi="Century Gothic"/>
          <w:i/>
          <w:color w:val="8FAADC"/>
          <w:sz w:val="20"/>
          <w:szCs w:val="20"/>
        </w:rPr>
        <w:t xml:space="preserve">WKA, sobre este tema, se deberá actuar conforme al Reglamento para el Uso de Vehículos Institucionales, y ante todo, tomar las medidas de seguridad para evitar un accidente. </w:t>
      </w:r>
    </w:p>
    <w:p>
      <w:pPr>
        <w:pStyle w:val="Xmsolistparagraph"/>
        <w:numPr>
          <w:ilvl w:val="0"/>
          <w:numId w:val="9"/>
        </w:numPr>
        <w:tabs>
          <w:tab w:val="clear" w:pos="708"/>
          <w:tab w:val="left" w:pos="1428" w:leader="none"/>
        </w:tabs>
        <w:ind w:left="2136" w:hanging="360"/>
        <w:jc w:val="both"/>
        <w:rPr>
          <w:rFonts w:ascii="Century Gothic" w:hAnsi="Century Gothic"/>
          <w:i/>
          <w:i/>
          <w:sz w:val="20"/>
          <w:szCs w:val="20"/>
        </w:rPr>
      </w:pPr>
      <w:r>
        <w:rPr>
          <w:rFonts w:cs="Arial" w:ascii="Century Gothic" w:hAnsi="Century Gothic"/>
          <w:i/>
          <w:sz w:val="20"/>
          <w:szCs w:val="20"/>
        </w:rPr>
        <w:t xml:space="preserve">Con el nuevo vehículo por el tipo de llanta que trae y el aro no se puede ingresar a la zona indígena, por el motivo que la llanta es sencilla al igual que el aro, por parte de la Administración vamos a gestionar sustituir los aros que permitan utilizar llantas con un  perfil más ancho que el actual y con esto ingresar a la zona indígena. </w:t>
      </w:r>
      <w:r>
        <w:rPr>
          <w:rFonts w:cs="Arial" w:ascii="Century Gothic" w:hAnsi="Century Gothic"/>
          <w:i/>
          <w:color w:val="8FAADC"/>
          <w:sz w:val="20"/>
          <w:szCs w:val="20"/>
        </w:rPr>
        <w:t>WKA, muy bien.</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Con respecto a que se entera por otras fuentes sobre el vehículo sería bueno que lo indique con que medios se entera toda vez que no lo expone nada indica otros medios. </w:t>
      </w:r>
      <w:r>
        <w:rPr>
          <w:rFonts w:cs="Arial" w:ascii="Century Gothic" w:hAnsi="Century Gothic"/>
          <w:i/>
          <w:color w:val="8FAADC"/>
          <w:sz w:val="20"/>
          <w:szCs w:val="20"/>
        </w:rPr>
        <w:t xml:space="preserve">WKA, lo mejor es que ambas partes traten de mejorar los medios de comunicación, esto de corrillos no es sano, no ayuda a la comunicación asertiva y </w:t>
      </w:r>
      <w:r>
        <w:rPr>
          <w:rFonts w:cs="Arial" w:ascii="Century Gothic" w:hAnsi="Century Gothic"/>
          <w:i/>
          <w:color w:val="8FAADC"/>
          <w:sz w:val="20"/>
          <w:szCs w:val="20"/>
          <w:u w:val="single"/>
        </w:rPr>
        <w:t>podría generar desconfianza entre las partes</w:t>
      </w:r>
      <w:r>
        <w:rPr>
          <w:rFonts w:cs="Arial" w:ascii="Century Gothic" w:hAnsi="Century Gothic"/>
          <w:i/>
          <w:color w:val="8FAADC"/>
          <w:sz w:val="20"/>
          <w:szCs w:val="20"/>
        </w:rPr>
        <w:t xml:space="preserve">. </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En términos generales Don Wilbert la Administración siempre está en las mejores condiciones de comunicación con los despachos, sería bueno que la Licenciada  Karol lo hubiera expuesto a la Administración de previo a elevarlo a otras instancias. </w:t>
      </w:r>
      <w:r>
        <w:rPr>
          <w:rFonts w:cs="Arial" w:ascii="Century Gothic" w:hAnsi="Century Gothic"/>
          <w:i/>
          <w:color w:val="8FAADC"/>
          <w:sz w:val="20"/>
          <w:szCs w:val="20"/>
        </w:rPr>
        <w:t xml:space="preserve">WKA, es un efecto de lo que indico en el punto anterior, lo bueno es que es algo que se puede trabajar y remediar. </w:t>
      </w:r>
    </w:p>
    <w:p>
      <w:pPr>
        <w:pStyle w:val="Xmsolistparagraph"/>
        <w:numPr>
          <w:ilvl w:val="0"/>
          <w:numId w:val="9"/>
        </w:numPr>
        <w:tabs>
          <w:tab w:val="clear" w:pos="708"/>
          <w:tab w:val="left" w:pos="1428" w:leader="none"/>
        </w:tabs>
        <w:ind w:left="2136" w:hanging="360"/>
        <w:jc w:val="both"/>
        <w:rPr>
          <w:rFonts w:ascii="Century Gothic" w:hAnsi="Century Gothic"/>
          <w:i/>
          <w:i/>
          <w:color w:val="4472C4"/>
          <w:sz w:val="20"/>
          <w:szCs w:val="20"/>
        </w:rPr>
      </w:pPr>
      <w:r>
        <w:rPr>
          <w:rFonts w:cs="Arial" w:ascii="Century Gothic" w:hAnsi="Century Gothic"/>
          <w:i/>
          <w:sz w:val="20"/>
          <w:szCs w:val="20"/>
        </w:rPr>
        <w:t xml:space="preserve">Otro especto que llama la atención es que el vehículo le ofrece servicios otros despachos,  a la fecha no se han quejado  como lo hace la Licenciada Karol, de hecho también les he suspendido giras por el estado del vehículo y me indican que gracias por informar. </w:t>
      </w:r>
      <w:r>
        <w:rPr>
          <w:rFonts w:cs="Arial" w:ascii="Century Gothic" w:hAnsi="Century Gothic"/>
          <w:i/>
          <w:color w:val="8FAADC"/>
          <w:sz w:val="20"/>
          <w:szCs w:val="20"/>
        </w:rPr>
        <w:t>WKA, según indicado, tratemos en la medida de las posibilidades de la Administración, atender las necesidades de transporte, teniendo claro que los vehículos se pueden dañar o surgir otros servicios urgentes que demanda cambios en la asignación de los vehículos. En el marco del respecto, es posible comunicar los cambios y buscar alternativas de solución.”</w:t>
      </w:r>
    </w:p>
    <w:p>
      <w:pPr>
        <w:pStyle w:val="Xxmsonormal"/>
        <w:shd w:val="clear" w:color="auto" w:fill="FFFFFF"/>
        <w:jc w:val="both"/>
        <w:rPr>
          <w:rFonts w:ascii="Century Gothic" w:hAnsi="Century Gothic"/>
          <w:color w:val="000000"/>
          <w:sz w:val="20"/>
          <w:szCs w:val="20"/>
        </w:rPr>
      </w:pPr>
      <w:r>
        <w:rPr>
          <w:rFonts w:ascii="Century Gothic" w:hAnsi="Century Gothic"/>
          <w:color w:val="000000"/>
          <w:sz w:val="20"/>
          <w:szCs w:val="20"/>
        </w:rPr>
      </w:r>
    </w:p>
    <w:p>
      <w:pPr>
        <w:pStyle w:val="Xxmsonormal"/>
        <w:shd w:val="clear" w:color="auto" w:fill="FFFFFF"/>
        <w:jc w:val="both"/>
        <w:rPr>
          <w:rFonts w:ascii="Century Gothic" w:hAnsi="Century Gothic"/>
          <w:color w:val="000000"/>
          <w:sz w:val="20"/>
          <w:szCs w:val="20"/>
        </w:rPr>
      </w:pPr>
      <w:r>
        <w:rPr>
          <w:rFonts w:ascii="Century Gothic" w:hAnsi="Century Gothic"/>
          <w:color w:val="000000"/>
          <w:sz w:val="20"/>
          <w:szCs w:val="20"/>
        </w:rPr>
        <w:t>Posteriormente, el 9 de julio don William agregó:</w:t>
      </w:r>
    </w:p>
    <w:p>
      <w:pPr>
        <w:pStyle w:val="Normal"/>
        <w:spacing w:lineRule="auto" w:line="240" w:before="0" w:after="0"/>
        <w:rPr>
          <w:rFonts w:ascii="Century Gothic" w:hAnsi="Century Gothic" w:cs="Arial"/>
          <w:sz w:val="20"/>
          <w:szCs w:val="20"/>
        </w:rPr>
      </w:pPr>
      <w:r>
        <w:rPr>
          <w:rFonts w:cs="Arial" w:ascii="Century Gothic" w:hAnsi="Century Gothic"/>
          <w:sz w:val="20"/>
          <w:szCs w:val="20"/>
        </w:rPr>
      </w:r>
    </w:p>
    <w:p>
      <w:pPr>
        <w:pStyle w:val="ListParagraph"/>
        <w:numPr>
          <w:ilvl w:val="0"/>
          <w:numId w:val="10"/>
        </w:numPr>
        <w:spacing w:lineRule="auto" w:line="240" w:before="0" w:after="0"/>
        <w:contextualSpacing/>
        <w:jc w:val="both"/>
        <w:rPr>
          <w:rFonts w:ascii="Century Gothic" w:hAnsi="Century Gothic" w:cs="Arial"/>
          <w:i/>
          <w:i/>
          <w:sz w:val="20"/>
          <w:szCs w:val="20"/>
        </w:rPr>
      </w:pPr>
      <w:r>
        <w:rPr>
          <w:rFonts w:cs="Arial" w:ascii="Century Gothic" w:hAnsi="Century Gothic"/>
          <w:i/>
          <w:sz w:val="20"/>
          <w:szCs w:val="20"/>
        </w:rPr>
        <w:t>“</w:t>
      </w:r>
      <w:r>
        <w:rPr>
          <w:rFonts w:cs="Arial" w:ascii="Century Gothic" w:hAnsi="Century Gothic"/>
          <w:i/>
          <w:sz w:val="20"/>
          <w:szCs w:val="20"/>
        </w:rPr>
        <w:t>Al tener dos vehículos disponible en la Administración se valoró que el nuevo vehículo  debemos equiparlo con los dispositivos para ingresar a la zona indígena a como está equipado el vehículo Isuzu, con la finalidad de resguardar principalmente la integridad de los pasajeros se tomó la decisión de no utilizarlo en la zona indígena, si es para ingresar al centro de Grano de Oro y no se requiere desplazarse a lugares vecinos donde los caminos no lo permiten se puede utilizar el nuevo vehículo, siempre conservando en primera instancia la integridad de los pasajeros.</w:t>
      </w:r>
    </w:p>
    <w:p>
      <w:pPr>
        <w:pStyle w:val="ListParagraph"/>
        <w:numPr>
          <w:ilvl w:val="0"/>
          <w:numId w:val="10"/>
        </w:numPr>
        <w:spacing w:lineRule="auto" w:line="240" w:before="0" w:after="0"/>
        <w:contextualSpacing/>
        <w:jc w:val="both"/>
        <w:rPr>
          <w:rFonts w:ascii="Century Gothic" w:hAnsi="Century Gothic" w:cs="Arial"/>
          <w:i/>
          <w:i/>
          <w:sz w:val="20"/>
          <w:szCs w:val="20"/>
        </w:rPr>
      </w:pPr>
      <w:r>
        <w:rPr>
          <w:rFonts w:cs="Arial" w:ascii="Century Gothic" w:hAnsi="Century Gothic"/>
          <w:i/>
          <w:sz w:val="20"/>
          <w:szCs w:val="20"/>
        </w:rPr>
        <w:t>Para el miércoles 26  de junio se le había comunicado con antelación que el vehículo presentaba problemas mecánicos, con la finalidad de solventar esta situación no era factible contar con el vehículo para ese día se lo comunique por este medio y luego nos hablamos por teléfono, donde me agradece que le comunique con antelación, para coordinar con el Ministerio Público que le faciliten el vehículo.  La situación mecánica que tenía el vehículo  fue solventada a nivel local, para el 26 de junio  el Juzgado había coordinado el préstamo del vehículo del Ministerio Público,  también para ese día tenía la rendición de cuentas de los despachos en el Auditorio de COOPENAE, el vehículo de la Administración se utilizó para trasladar equipo de audio y video, sillas,  bocadillos para la actividad entre otras cosas,  para el 26 de junio si su despacho no hubiera tenido el apoyo del vehículo del Ministerio Público la Administración le ofrece el vehículo, a sabiendas y conocedores de la importancia de las giras a la zona indígena.</w:t>
      </w:r>
    </w:p>
    <w:p>
      <w:pPr>
        <w:pStyle w:val="ListParagraph"/>
        <w:numPr>
          <w:ilvl w:val="0"/>
          <w:numId w:val="10"/>
        </w:numPr>
        <w:spacing w:lineRule="auto" w:line="240" w:before="0" w:after="0"/>
        <w:contextualSpacing/>
        <w:jc w:val="both"/>
        <w:rPr>
          <w:rFonts w:ascii="Century Gothic" w:hAnsi="Century Gothic" w:cs="Arial"/>
          <w:i/>
          <w:i/>
          <w:sz w:val="20"/>
          <w:szCs w:val="20"/>
        </w:rPr>
      </w:pPr>
      <w:r>
        <w:rPr>
          <w:rFonts w:cs="Arial" w:ascii="Century Gothic" w:hAnsi="Century Gothic"/>
          <w:i/>
          <w:sz w:val="20"/>
          <w:szCs w:val="20"/>
        </w:rPr>
        <w:t xml:space="preserve">Para el viernes 28 de junio tiene gira a la zona indígena, el jueves 27 de junio me encuentro Andrés por el pasillo de atención al público le indico que tienen el vehículo pero al chofer Arturo tiene otra diligencia con el nuevo vehículo y no cuento con otro chofer, como Andres está autorizado para conducir el vehículo le indico que si lo puede conducir me indica que no hay problema. Considero que cometí el error de no informarle directamente a sus persona y le comunique a un servidor de su despacho, siento que es ahí donde radica su molestia que no fue directamente a su persona que le comunique,  considere que no era necesario comunicarle a su persona  toda vez que ya le había comunicado Andres. </w:t>
      </w:r>
    </w:p>
    <w:p>
      <w:pPr>
        <w:pStyle w:val="ListParagraph"/>
        <w:numPr>
          <w:ilvl w:val="0"/>
          <w:numId w:val="10"/>
        </w:numPr>
        <w:spacing w:lineRule="auto" w:line="240" w:before="0" w:after="0"/>
        <w:contextualSpacing/>
        <w:jc w:val="both"/>
        <w:rPr>
          <w:rFonts w:ascii="Century Gothic" w:hAnsi="Century Gothic" w:cs="Arial"/>
          <w:i/>
          <w:i/>
          <w:sz w:val="20"/>
          <w:szCs w:val="20"/>
        </w:rPr>
      </w:pPr>
      <w:r>
        <w:rPr>
          <w:rFonts w:cs="Arial" w:ascii="Century Gothic" w:hAnsi="Century Gothic"/>
          <w:i/>
          <w:sz w:val="20"/>
          <w:szCs w:val="20"/>
        </w:rPr>
        <w:t>Con el tema del lavado del vehículo hasta el día de hoy la Administración no le ha trasladado que asuma su persona el lavado del vehículo, de hecho   lo asume la Administración. Desconozco  de donde surgió que les correspondía lavar  vehículo, si le comente  Don Arturo el Chofer de la Administración que lo ideal es que el vehículo se reciba en las condiciones que se entrega para evitar malos entendidos por algún incidente que presente el vehículo y al final no sea asumido como corresponde  eso fue lo que le comente a Don Arturo.</w:t>
      </w:r>
    </w:p>
    <w:p>
      <w:pPr>
        <w:pStyle w:val="ListParagraph"/>
        <w:numPr>
          <w:ilvl w:val="0"/>
          <w:numId w:val="10"/>
        </w:numPr>
        <w:spacing w:lineRule="auto" w:line="240" w:before="0" w:after="0"/>
        <w:contextualSpacing/>
        <w:jc w:val="both"/>
        <w:rPr>
          <w:rFonts w:ascii="Century Gothic" w:hAnsi="Century Gothic" w:cs="Arial"/>
          <w:i/>
          <w:i/>
          <w:sz w:val="20"/>
          <w:szCs w:val="20"/>
        </w:rPr>
      </w:pPr>
      <w:r>
        <w:rPr>
          <w:rFonts w:cs="Arial" w:ascii="Century Gothic" w:hAnsi="Century Gothic"/>
          <w:i/>
          <w:sz w:val="20"/>
          <w:szCs w:val="20"/>
        </w:rPr>
        <w:t>Por parte de la Administración como se lo indique en punto anteriores estamos en la mejor disposición de trabajar bajo la línea de la comunicación,  sumado a ello el tema de las diligencias a la zona indígena por parte del Despacho que usted representa, la  Administración le ofrece el apoyo que corresponde,  de ahora en adelante no tenga duda que cualquier situación con el  vehículo u otra situación se la comunicó como lo había hecho en ocasiones anteriores por este medio y por teléfono no cometer el error que hice en comunicarle a Andres y que él le comunicará a su persona.</w:t>
      </w:r>
    </w:p>
    <w:p>
      <w:pPr>
        <w:pStyle w:val="ListParagraph"/>
        <w:numPr>
          <w:ilvl w:val="0"/>
          <w:numId w:val="10"/>
        </w:numPr>
        <w:spacing w:lineRule="auto" w:line="240" w:before="0" w:after="0"/>
        <w:contextualSpacing/>
        <w:jc w:val="both"/>
        <w:rPr>
          <w:rFonts w:ascii="Century Gothic" w:hAnsi="Century Gothic" w:cs="Arial"/>
          <w:i/>
          <w:i/>
          <w:sz w:val="20"/>
          <w:szCs w:val="20"/>
        </w:rPr>
      </w:pPr>
      <w:r>
        <w:rPr>
          <w:rFonts w:cs="Arial" w:ascii="Century Gothic" w:hAnsi="Century Gothic"/>
          <w:i/>
          <w:sz w:val="20"/>
          <w:szCs w:val="20"/>
        </w:rPr>
        <w:t>Como le reitero como Administración su razón de ser es ofrecerle el apoyo a los despachos para que lleven a cabo sus diligencias.”</w:t>
      </w:r>
    </w:p>
    <w:p>
      <w:pPr>
        <w:pStyle w:val="Normal"/>
        <w:jc w:val="both"/>
        <w:rPr>
          <w:rFonts w:ascii="Century Gothic" w:hAnsi="Century Gothic"/>
          <w:sz w:val="20"/>
          <w:szCs w:val="20"/>
        </w:rPr>
      </w:pPr>
      <w:r>
        <w:rPr/>
        <w:object>
          <v:shape id="ole_rId49" style="width:75pt;height:49.5pt" o:ole="">
            <v:imagedata r:id="rId50" o:title=""/>
          </v:shape>
          <o:OLEObject Type="Embed" ProgID="Package" ShapeID="ole_rId49" DrawAspect="Icon" ObjectID="_1238506656" r:id="rId49"/>
        </w:object>
      </w:r>
    </w:p>
    <w:p>
      <w:pPr>
        <w:pStyle w:val="Normal"/>
        <w:jc w:val="both"/>
        <w:rPr>
          <w:rFonts w:ascii="Century Gothic" w:hAnsi="Century Gothic"/>
          <w:sz w:val="20"/>
          <w:szCs w:val="20"/>
        </w:rPr>
      </w:pPr>
      <w:r>
        <w:rPr>
          <w:rFonts w:ascii="Century Gothic" w:hAnsi="Century Gothic"/>
          <w:b/>
          <w:sz w:val="20"/>
          <w:szCs w:val="20"/>
          <w:u w:val="single"/>
        </w:rPr>
        <w:t>SE ACUERDA</w:t>
      </w:r>
      <w:r>
        <w:rPr>
          <w:rFonts w:ascii="Century Gothic" w:hAnsi="Century Gothic"/>
          <w:sz w:val="20"/>
          <w:szCs w:val="20"/>
        </w:rPr>
        <w:t>: 1° Se toma nota. 2° Solicitar a las Administraciones Regionales del país tomar las previsiones para priorizar la atención de las solicitudes de vehículos que hagan las oficinas judiciales y en especial, los tribunales, cuando estén programadas audiencias dentro de procesos vinculados con personas indígenas, en cumplimiento de los lineamientos emitidos por el Consejo Superior y Corte Plena. 3° Propiciar reuniones con las jefaturas de las oficinas de los circuitos judiciales donde haya mayor incidencia de procesos relacionados con la población indígena para que expongan sus requerimientos, o bien, plantearles la remisión de esa información por comunicación electrónica. Lo anterior, para que sirva de insumo en la construcción del diagnóstico que la Ley de Acceso a la Justicia de Pueblos Indígenas de Costa Rica establece debe ejecutar la Comisión de Acceso a la Justicia. Entre los datos a solicitar es si las audiencias se están materializando en los territorios indígenas. Iniciar con las autoridades judiciales de Pérez Zeledón y de Buenos Aires de Puntarenas incluyendo a las materias penal, contencioso administrativa, laboral, agrario, civil, entre otros, en atención a las Medidas Cautelares 321-12 de la CIDH contra el Estado. 4° Se declara firme este acuerdo por unanimidad para su ejecución.-</w:t>
      </w:r>
    </w:p>
    <w:p>
      <w:pPr>
        <w:pStyle w:val="Normal"/>
        <w:jc w:val="both"/>
        <w:rPr>
          <w:rFonts w:ascii="Century Gothic" w:hAnsi="Century Gothic"/>
          <w:b/>
          <w:b/>
          <w:sz w:val="20"/>
          <w:szCs w:val="20"/>
        </w:rPr>
      </w:pPr>
      <w:r>
        <w:rPr>
          <w:rFonts w:ascii="Century Gothic" w:hAnsi="Century Gothic"/>
          <w:b/>
          <w:sz w:val="20"/>
          <w:szCs w:val="20"/>
          <w:highlight w:val="yellow"/>
        </w:rPr>
        <w:t>Se tiene por ejecutado.</w:t>
      </w:r>
    </w:p>
    <w:p>
      <w:pPr>
        <w:pStyle w:val="Normal"/>
        <w:jc w:val="center"/>
        <w:rPr>
          <w:rFonts w:ascii="Century Gothic" w:hAnsi="Century Gothic"/>
          <w:b/>
          <w:b/>
          <w:sz w:val="20"/>
          <w:szCs w:val="20"/>
          <w:highlight w:val="yellow"/>
          <w:u w:val="single"/>
        </w:rPr>
      </w:pPr>
      <w:r>
        <w:rPr>
          <w:rFonts w:ascii="Century Gothic" w:hAnsi="Century Gothic"/>
          <w:b/>
          <w:sz w:val="20"/>
          <w:szCs w:val="20"/>
          <w:highlight w:val="yellow"/>
          <w:u w:val="single"/>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XIII</w:t>
      </w:r>
    </w:p>
    <w:p>
      <w:pPr>
        <w:pStyle w:val="Normal"/>
        <w:jc w:val="both"/>
        <w:rPr>
          <w:rFonts w:ascii="Century Gothic" w:hAnsi="Century Gothic"/>
          <w:i/>
          <w:i/>
          <w:iCs/>
          <w:sz w:val="20"/>
          <w:szCs w:val="20"/>
        </w:rPr>
      </w:pPr>
      <w:r>
        <w:rPr>
          <w:rFonts w:ascii="Century Gothic" w:hAnsi="Century Gothic"/>
          <w:sz w:val="20"/>
          <w:szCs w:val="20"/>
        </w:rPr>
        <w:t xml:space="preserve">Se comunica sobre el oficio enviado a la </w:t>
      </w:r>
      <w:r>
        <w:rPr>
          <w:rFonts w:ascii="Century Gothic" w:hAnsi="Century Gothic"/>
          <w:spacing w:val="-2"/>
          <w:sz w:val="20"/>
          <w:szCs w:val="20"/>
        </w:rPr>
        <w:t xml:space="preserve">Oficina de Cooperación y Relaciones Internacionales con ocasión del traslado que se confirió del </w:t>
      </w:r>
      <w:r>
        <w:rPr>
          <w:rFonts w:ascii="Century Gothic" w:hAnsi="Century Gothic"/>
          <w:sz w:val="20"/>
          <w:szCs w:val="20"/>
        </w:rPr>
        <w:t>informe enviado por la Procuraduría General de la República, en relación a la solicitud del Mecanismo Técnico que examina el cumplimiento de los compromisos adquiridos por el Estado en la “</w:t>
      </w:r>
      <w:r>
        <w:rPr>
          <w:rFonts w:ascii="Century Gothic" w:hAnsi="Century Gothic"/>
          <w:i/>
          <w:iCs/>
          <w:sz w:val="20"/>
          <w:szCs w:val="20"/>
        </w:rPr>
        <w:t>Convención de las Naciones Unidas contra la Corrupción</w:t>
      </w:r>
      <w:r>
        <w:rPr>
          <w:rFonts w:ascii="Century Gothic" w:hAnsi="Century Gothic"/>
          <w:sz w:val="20"/>
          <w:szCs w:val="20"/>
        </w:rPr>
        <w:t>”, ratificada por Costa Rica el 9 de enero de 2007, mediante Ley N° 8557. En relación a lo anterior, mediante Decreto Ejecutivo N °33681 del  6 de marzo del 2207, se designó a la Procuraduría de la Ética Pública como Autoridad Central para canalizar la asistencia judicial recíproca y la cooperación técnica previstas en el marco de esta Convención. En oficio AEP-1072-2019 se remitió por la OCRI la resolución 6/1 titulada “Continuación del examen de la aplicación de la Convención de las Naciones Unidas contra la Corrupción”, como parte del proceso de examinación de nuestro país correspondiente al segundo periodo y se adjuntó la Convención de Naciones Unidas contra la Corrupción y la  “Matriz Convención de las Naciones Unidas contra la Corrupción”, con la finalidad de ser cumplimentada por la instancia a su cargo, dentro de la esfera de sus competencias.</w:t>
      </w:r>
    </w:p>
    <w:p>
      <w:pPr>
        <w:pStyle w:val="Normal"/>
        <w:jc w:val="both"/>
        <w:rPr>
          <w:rFonts w:ascii="Century Gothic" w:hAnsi="Century Gothic"/>
          <w:sz w:val="20"/>
          <w:szCs w:val="20"/>
        </w:rPr>
      </w:pPr>
      <w:r>
        <w:rPr/>
        <w:object>
          <v:shape id="ole_rId51" style="width:75pt;height:49.5pt" o:ole="">
            <v:imagedata r:id="rId52" o:title=""/>
          </v:shape>
          <o:OLEObject Type="Embed" ProgID="Package" ShapeID="ole_rId51" DrawAspect="Icon" ObjectID="_803707833" r:id="rId51"/>
        </w:object>
      </w:r>
      <w:r>
        <w:rPr>
          <w:rFonts w:ascii="Century Gothic" w:hAnsi="Century Gothic"/>
          <w:sz w:val="20"/>
          <w:szCs w:val="20"/>
        </w:rPr>
        <w:t xml:space="preserve"> </w:t>
      </w:r>
      <w:r>
        <w:rPr/>
        <w:object>
          <v:shape id="ole_rId53" style="width:75pt;height:49.5pt" o:ole="">
            <v:imagedata r:id="rId54" o:title=""/>
          </v:shape>
          <o:OLEObject Type="Embed" ProgID="Package" ShapeID="ole_rId53" DrawAspect="Icon" ObjectID="_254659856" r:id="rId53"/>
        </w:object>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Se toma nota del informe remitido</w:t>
      </w:r>
      <w:r>
        <w:rPr>
          <w:rFonts w:ascii="Century Gothic" w:hAnsi="Century Gothic"/>
          <w:sz w:val="20"/>
          <w:szCs w:val="20"/>
        </w:rPr>
        <w:t xml:space="preserve"> a la </w:t>
      </w:r>
      <w:r>
        <w:rPr>
          <w:rFonts w:ascii="Century Gothic" w:hAnsi="Century Gothic"/>
          <w:spacing w:val="-2"/>
          <w:sz w:val="20"/>
          <w:szCs w:val="20"/>
        </w:rPr>
        <w:t>Oficina de Cooperación y Relaciones Internacionales con ocasión del traslado que se confirió de la solicitud de</w:t>
      </w:r>
      <w:r>
        <w:rPr>
          <w:rFonts w:ascii="Century Gothic" w:hAnsi="Century Gothic"/>
          <w:sz w:val="20"/>
          <w:szCs w:val="20"/>
        </w:rPr>
        <w:t xml:space="preserve"> la Procuraduría General de la República asociada al Mecanismo Técnico que examina el cumplimiento de los compromisos adquiridos por el Estado en la “</w:t>
      </w:r>
      <w:r>
        <w:rPr>
          <w:rFonts w:ascii="Century Gothic" w:hAnsi="Century Gothic"/>
          <w:i/>
          <w:iCs/>
          <w:sz w:val="20"/>
          <w:szCs w:val="20"/>
        </w:rPr>
        <w:t>Convención de las Naciones Unidas contra la Corrupción</w:t>
      </w:r>
      <w:r>
        <w:rPr>
          <w:rFonts w:ascii="Century Gothic" w:hAnsi="Century Gothic"/>
          <w:sz w:val="20"/>
          <w:szCs w:val="20"/>
        </w:rPr>
        <w:t xml:space="preserve">”, ratificada por Costa Rica el 9 de enero de 2007, mediante Ley N° 8557. </w:t>
      </w:r>
    </w:p>
    <w:p>
      <w:pPr>
        <w:pStyle w:val="Normal"/>
        <w:jc w:val="both"/>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XIV</w:t>
      </w:r>
    </w:p>
    <w:p>
      <w:pPr>
        <w:pStyle w:val="Normal"/>
        <w:rPr>
          <w:rFonts w:ascii="Century Gothic" w:hAnsi="Century Gothic"/>
          <w:sz w:val="20"/>
          <w:szCs w:val="20"/>
        </w:rPr>
      </w:pPr>
      <w:r>
        <w:rPr>
          <w:rFonts w:ascii="Century Gothic" w:hAnsi="Century Gothic"/>
          <w:sz w:val="20"/>
          <w:szCs w:val="20"/>
        </w:rPr>
        <w:t>Se conoce informe enviado por la Dirección de Tributación Directa:</w:t>
      </w:r>
    </w:p>
    <w:p>
      <w:pPr>
        <w:pStyle w:val="Normal"/>
        <w:rPr>
          <w:rFonts w:ascii="Century Gothic" w:hAnsi="Century Gothic"/>
          <w:sz w:val="20"/>
          <w:szCs w:val="20"/>
        </w:rPr>
      </w:pPr>
      <w:r>
        <w:rPr/>
        <w:drawing>
          <wp:inline distT="0" distB="0" distL="0" distR="0">
            <wp:extent cx="5612130" cy="7307580"/>
            <wp:effectExtent l="0" t="0" r="0" b="0"/>
            <wp:docPr id="3"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
                    <pic:cNvPicPr>
                      <a:picLocks noChangeAspect="1" noChangeArrowheads="1"/>
                    </pic:cNvPicPr>
                  </pic:nvPicPr>
                  <pic:blipFill>
                    <a:blip r:embed="rId55"/>
                    <a:stretch>
                      <a:fillRect/>
                    </a:stretch>
                  </pic:blipFill>
                  <pic:spPr bwMode="auto">
                    <a:xfrm>
                      <a:off x="0" y="0"/>
                      <a:ext cx="5612130" cy="7307580"/>
                    </a:xfrm>
                    <a:prstGeom prst="rect">
                      <a:avLst/>
                    </a:prstGeom>
                  </pic:spPr>
                </pic:pic>
              </a:graphicData>
            </a:graphic>
          </wp:inline>
        </w:drawing>
      </w:r>
      <w:r>
        <w:rPr/>
        <w:drawing>
          <wp:inline distT="0" distB="0" distL="0" distR="0">
            <wp:extent cx="5612130" cy="7313295"/>
            <wp:effectExtent l="0" t="0" r="0" b="0"/>
            <wp:docPr id="4"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descr=""/>
                    <pic:cNvPicPr>
                      <a:picLocks noChangeAspect="1" noChangeArrowheads="1"/>
                    </pic:cNvPicPr>
                  </pic:nvPicPr>
                  <pic:blipFill>
                    <a:blip r:embed="rId56"/>
                    <a:stretch>
                      <a:fillRect/>
                    </a:stretch>
                  </pic:blipFill>
                  <pic:spPr bwMode="auto">
                    <a:xfrm>
                      <a:off x="0" y="0"/>
                      <a:ext cx="5612130" cy="7313295"/>
                    </a:xfrm>
                    <a:prstGeom prst="rect">
                      <a:avLst/>
                    </a:prstGeom>
                  </pic:spPr>
                </pic:pic>
              </a:graphicData>
            </a:graphic>
          </wp:inline>
        </w:drawing>
      </w:r>
    </w:p>
    <w:p>
      <w:pPr>
        <w:pStyle w:val="Normal"/>
        <w:jc w:val="both"/>
        <w:rPr>
          <w:rFonts w:ascii="Century Gothic" w:hAnsi="Century Gothic"/>
          <w:sz w:val="20"/>
          <w:szCs w:val="20"/>
        </w:rPr>
      </w:pPr>
      <w:r>
        <w:rPr/>
        <w:object>
          <v:shape id="ole_rId57" style="width:90pt;height:58.5pt" o:ole="">
            <v:imagedata r:id="rId58" o:title=""/>
          </v:shape>
          <o:OLEObject Type="Embed" ProgID="Package" ShapeID="ole_rId57" DrawAspect="Icon" ObjectID="_1972388111" r:id="rId57"/>
        </w:object>
      </w:r>
      <w:r>
        <w:rPr>
          <w:rFonts w:ascii="Century Gothic" w:hAnsi="Century Gothic"/>
          <w:sz w:val="20"/>
          <w:szCs w:val="20"/>
        </w:rPr>
        <w:t xml:space="preserve"> </w:t>
      </w:r>
      <w:r>
        <w:rPr/>
        <w:object>
          <v:shape id="ole_rId59" style="width:75pt;height:49.5pt" o:ole="">
            <v:imagedata r:id="rId60" o:title=""/>
          </v:shape>
          <o:OLEObject Type="Embed" ProgID="AcroExch.Document.DC" ShapeID="ole_rId59" DrawAspect="Icon" ObjectID="_634462321" r:id="rId59"/>
        </w:object>
      </w:r>
    </w:p>
    <w:p>
      <w:pPr>
        <w:pStyle w:val="Normal"/>
        <w:jc w:val="both"/>
        <w:rPr>
          <w:rFonts w:ascii="Century Gothic" w:hAnsi="Century Gothic"/>
          <w:sz w:val="20"/>
          <w:szCs w:val="20"/>
        </w:rPr>
      </w:pPr>
      <w:r>
        <w:rPr>
          <w:rFonts w:ascii="Century Gothic" w:hAnsi="Century Gothic"/>
          <w:b/>
          <w:sz w:val="20"/>
          <w:szCs w:val="20"/>
          <w:u w:val="single"/>
        </w:rPr>
        <w:t>SE ACUERDA</w:t>
      </w:r>
      <w:r>
        <w:rPr>
          <w:rFonts w:ascii="Century Gothic" w:hAnsi="Century Gothic"/>
          <w:sz w:val="20"/>
          <w:szCs w:val="20"/>
        </w:rPr>
        <w:t>: Se toma nota. Solicitar a la representante de la DHR ante la Subcomisión un informe de los avances de la gestión planteada. Se declara firme este acuerdo y se dispone su comunicación a la integrante Marjorie Herrera.-</w:t>
      </w:r>
    </w:p>
    <w:p>
      <w:pPr>
        <w:pStyle w:val="Normal"/>
        <w:jc w:val="both"/>
        <w:rPr>
          <w:rFonts w:ascii="Century Gothic" w:hAnsi="Century Gothic"/>
          <w:b/>
          <w:b/>
          <w:sz w:val="20"/>
          <w:szCs w:val="20"/>
        </w:rPr>
      </w:pPr>
      <w:r>
        <w:rPr>
          <w:rFonts w:ascii="Century Gothic" w:hAnsi="Century Gothic"/>
          <w:b/>
          <w:sz w:val="20"/>
          <w:szCs w:val="20"/>
          <w:highlight w:val="yellow"/>
        </w:rPr>
        <w:t>Ejecutado.</w:t>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XV</w:t>
      </w:r>
    </w:p>
    <w:p>
      <w:pPr>
        <w:pStyle w:val="Normal"/>
        <w:jc w:val="both"/>
        <w:rPr>
          <w:rFonts w:ascii="Century Gothic" w:hAnsi="Century Gothic"/>
          <w:sz w:val="20"/>
          <w:szCs w:val="20"/>
        </w:rPr>
      </w:pPr>
      <w:r>
        <w:rPr>
          <w:rFonts w:ascii="Century Gothic" w:hAnsi="Century Gothic"/>
          <w:sz w:val="20"/>
          <w:szCs w:val="20"/>
        </w:rPr>
        <w:t>Se conoce informe enviado el 17 de julio pasado de ampliación de datos a organizaciones de personas indígenas de la zona sur.</w:t>
      </w:r>
    </w:p>
    <w:p>
      <w:pPr>
        <w:pStyle w:val="Normal"/>
        <w:jc w:val="right"/>
        <w:rPr>
          <w:rFonts w:ascii="Century Gothic" w:hAnsi="Century Gothic"/>
          <w:b/>
          <w:b/>
          <w:bCs/>
          <w:sz w:val="20"/>
          <w:szCs w:val="20"/>
        </w:rPr>
      </w:pPr>
      <w:r>
        <w:rPr>
          <w:rFonts w:ascii="Century Gothic" w:hAnsi="Century Gothic"/>
          <w:b/>
          <w:bCs/>
          <w:sz w:val="20"/>
          <w:szCs w:val="20"/>
        </w:rPr>
        <w:t>17 de julio de 2019.</w:t>
      </w:r>
    </w:p>
    <w:p>
      <w:pPr>
        <w:pStyle w:val="Normal"/>
        <w:jc w:val="both"/>
        <w:rPr>
          <w:rFonts w:ascii="Century Gothic" w:hAnsi="Century Gothic"/>
          <w:b/>
          <w:b/>
          <w:bCs/>
          <w:color w:val="000000"/>
          <w:sz w:val="20"/>
          <w:szCs w:val="20"/>
        </w:rPr>
      </w:pPr>
      <w:r>
        <w:rPr>
          <w:rFonts w:ascii="Century Gothic" w:hAnsi="Century Gothic"/>
          <w:b/>
          <w:bCs/>
          <w:color w:val="000000"/>
          <w:sz w:val="20"/>
          <w:szCs w:val="20"/>
        </w:rPr>
      </w:r>
    </w:p>
    <w:p>
      <w:pPr>
        <w:pStyle w:val="Normal"/>
        <w:jc w:val="both"/>
        <w:rPr>
          <w:rFonts w:ascii="Century Gothic" w:hAnsi="Century Gothic"/>
          <w:b/>
          <w:b/>
          <w:bCs/>
          <w:sz w:val="20"/>
          <w:szCs w:val="20"/>
        </w:rPr>
      </w:pPr>
      <w:r>
        <w:rPr>
          <w:rFonts w:ascii="Century Gothic" w:hAnsi="Century Gothic"/>
          <w:b/>
          <w:bCs/>
          <w:sz w:val="20"/>
          <w:szCs w:val="20"/>
        </w:rPr>
      </w:r>
    </w:p>
    <w:p>
      <w:pPr>
        <w:pStyle w:val="Normal"/>
        <w:jc w:val="both"/>
        <w:rPr>
          <w:rFonts w:ascii="Century Gothic" w:hAnsi="Century Gothic"/>
          <w:b/>
          <w:b/>
          <w:bCs/>
          <w:sz w:val="20"/>
          <w:szCs w:val="20"/>
        </w:rPr>
      </w:pPr>
      <w:r>
        <w:rPr>
          <w:rFonts w:ascii="Century Gothic" w:hAnsi="Century Gothic"/>
          <w:b/>
          <w:bCs/>
          <w:sz w:val="20"/>
          <w:szCs w:val="20"/>
        </w:rPr>
        <w:t>Señores y Señoras</w:t>
      </w:r>
    </w:p>
    <w:p>
      <w:pPr>
        <w:pStyle w:val="Normal"/>
        <w:jc w:val="both"/>
        <w:rPr>
          <w:rFonts w:ascii="Century Gothic" w:hAnsi="Century Gothic"/>
          <w:b/>
          <w:b/>
          <w:bCs/>
          <w:sz w:val="20"/>
          <w:szCs w:val="20"/>
        </w:rPr>
      </w:pPr>
      <w:r>
        <w:rPr>
          <w:rFonts w:ascii="Century Gothic" w:hAnsi="Century Gothic"/>
          <w:b/>
          <w:bCs/>
          <w:sz w:val="20"/>
          <w:szCs w:val="20"/>
        </w:rPr>
        <w:t>Consejo Ditsö Iriria Ajkonuk Wakpa de Salitre.</w:t>
      </w:r>
    </w:p>
    <w:p>
      <w:pPr>
        <w:pStyle w:val="Normal"/>
        <w:jc w:val="both"/>
        <w:rPr>
          <w:rFonts w:ascii="Century Gothic" w:hAnsi="Century Gothic"/>
          <w:b/>
          <w:b/>
          <w:bCs/>
          <w:sz w:val="20"/>
          <w:szCs w:val="20"/>
        </w:rPr>
      </w:pPr>
      <w:r>
        <w:rPr>
          <w:rFonts w:ascii="Century Gothic" w:hAnsi="Century Gothic"/>
          <w:b/>
          <w:bCs/>
          <w:sz w:val="20"/>
          <w:szCs w:val="20"/>
        </w:rPr>
        <w:t>Consejo Indígena Regional Pacífico Sur de Yimba Cajc.</w:t>
      </w:r>
    </w:p>
    <w:p>
      <w:pPr>
        <w:pStyle w:val="Normal"/>
        <w:jc w:val="both"/>
        <w:rPr>
          <w:rFonts w:ascii="Century Gothic" w:hAnsi="Century Gothic"/>
          <w:b/>
          <w:b/>
          <w:bCs/>
          <w:sz w:val="20"/>
          <w:szCs w:val="20"/>
        </w:rPr>
      </w:pPr>
      <w:r>
        <w:rPr>
          <w:rFonts w:ascii="Century Gothic" w:hAnsi="Century Gothic"/>
          <w:b/>
          <w:bCs/>
          <w:sz w:val="20"/>
          <w:szCs w:val="20"/>
        </w:rPr>
        <w:t>Consejo de Mayores Iriria Jtecho Wakpa de Cabagra.</w:t>
      </w:r>
    </w:p>
    <w:p>
      <w:pPr>
        <w:pStyle w:val="Normal"/>
        <w:jc w:val="both"/>
        <w:rPr>
          <w:rFonts w:ascii="Century Gothic" w:hAnsi="Century Gothic"/>
          <w:b/>
          <w:b/>
          <w:bCs/>
          <w:sz w:val="20"/>
          <w:szCs w:val="20"/>
        </w:rPr>
      </w:pPr>
      <w:r>
        <w:rPr>
          <w:rFonts w:ascii="Century Gothic" w:hAnsi="Century Gothic"/>
          <w:b/>
          <w:bCs/>
          <w:sz w:val="20"/>
          <w:szCs w:val="20"/>
        </w:rPr>
        <w:t>Recuperador@s Cabecar de China Kichá.</w:t>
      </w:r>
    </w:p>
    <w:p>
      <w:pPr>
        <w:pStyle w:val="Normal"/>
        <w:jc w:val="both"/>
        <w:rPr>
          <w:rFonts w:ascii="Century Gothic" w:hAnsi="Century Gothic"/>
          <w:b/>
          <w:b/>
          <w:bCs/>
          <w:sz w:val="20"/>
          <w:szCs w:val="20"/>
        </w:rPr>
      </w:pPr>
      <w:r>
        <w:rPr>
          <w:rFonts w:ascii="Century Gothic" w:hAnsi="Century Gothic"/>
          <w:b/>
          <w:bCs/>
          <w:sz w:val="20"/>
          <w:szCs w:val="20"/>
        </w:rPr>
        <w:t>Recuperador@s Bribris de Salitre.</w:t>
      </w:r>
    </w:p>
    <w:p>
      <w:pPr>
        <w:pStyle w:val="Normal"/>
        <w:jc w:val="both"/>
        <w:rPr>
          <w:rFonts w:ascii="Century Gothic" w:hAnsi="Century Gothic"/>
          <w:b/>
          <w:b/>
          <w:bCs/>
          <w:sz w:val="20"/>
          <w:szCs w:val="20"/>
        </w:rPr>
      </w:pPr>
      <w:r>
        <w:rPr>
          <w:rFonts w:ascii="Century Gothic" w:hAnsi="Century Gothic"/>
          <w:b/>
          <w:bCs/>
          <w:sz w:val="20"/>
          <w:szCs w:val="20"/>
        </w:rPr>
        <w:t>Recuperador@s Broran de Crun Shurin.</w:t>
      </w:r>
    </w:p>
    <w:p>
      <w:pPr>
        <w:pStyle w:val="Normal"/>
        <w:jc w:val="both"/>
        <w:rPr>
          <w:rFonts w:ascii="Century Gothic" w:hAnsi="Century Gothic"/>
          <w:b/>
          <w:b/>
          <w:bCs/>
          <w:sz w:val="20"/>
          <w:szCs w:val="20"/>
        </w:rPr>
      </w:pPr>
      <w:r>
        <w:rPr>
          <w:rFonts w:ascii="Century Gothic" w:hAnsi="Century Gothic"/>
          <w:b/>
          <w:bCs/>
          <w:sz w:val="20"/>
          <w:szCs w:val="20"/>
        </w:rPr>
        <w:t>Recuperador@s Broran de Finca San Andrés.</w:t>
      </w:r>
    </w:p>
    <w:p>
      <w:pPr>
        <w:pStyle w:val="Normal"/>
        <w:jc w:val="both"/>
        <w:rPr>
          <w:rFonts w:ascii="Century Gothic" w:hAnsi="Century Gothic"/>
          <w:b/>
          <w:b/>
          <w:bCs/>
          <w:sz w:val="20"/>
          <w:szCs w:val="20"/>
        </w:rPr>
      </w:pPr>
      <w:r>
        <w:rPr>
          <w:rFonts w:ascii="Century Gothic" w:hAnsi="Century Gothic"/>
          <w:b/>
          <w:bCs/>
          <w:sz w:val="20"/>
          <w:szCs w:val="20"/>
        </w:rPr>
        <w:t>Organización Autónoma Gwrvechi Kare del Territorio Ngäbe de Conte Burica.</w:t>
      </w:r>
    </w:p>
    <w:p>
      <w:pPr>
        <w:pStyle w:val="Normal"/>
        <w:jc w:val="both"/>
        <w:rPr>
          <w:rFonts w:ascii="Century Gothic" w:hAnsi="Century Gothic"/>
          <w:b/>
          <w:b/>
          <w:bCs/>
          <w:sz w:val="20"/>
          <w:szCs w:val="20"/>
        </w:rPr>
      </w:pPr>
      <w:r>
        <w:rPr>
          <w:rFonts w:ascii="Century Gothic" w:hAnsi="Century Gothic"/>
          <w:b/>
          <w:bCs/>
          <w:sz w:val="20"/>
          <w:szCs w:val="20"/>
        </w:rPr>
        <w:t>Asociación de Productores de Finca 10</w:t>
      </w:r>
    </w:p>
    <w:p>
      <w:pPr>
        <w:pStyle w:val="Normal"/>
        <w:jc w:val="both"/>
        <w:rPr>
          <w:rFonts w:ascii="Century Gothic" w:hAnsi="Century Gothic"/>
          <w:b/>
          <w:b/>
          <w:bCs/>
          <w:sz w:val="20"/>
          <w:szCs w:val="20"/>
        </w:rPr>
      </w:pPr>
      <w:r>
        <w:rPr>
          <w:rFonts w:ascii="Century Gothic" w:hAnsi="Century Gothic"/>
          <w:b/>
          <w:bCs/>
          <w:sz w:val="20"/>
          <w:szCs w:val="20"/>
        </w:rPr>
        <w:t>Comité de lucha por la tierra de finca Changuina</w:t>
      </w:r>
    </w:p>
    <w:p>
      <w:pPr>
        <w:pStyle w:val="Normal"/>
        <w:jc w:val="both"/>
        <w:rPr>
          <w:rFonts w:ascii="Century Gothic" w:hAnsi="Century Gothic"/>
          <w:b/>
          <w:b/>
          <w:bCs/>
          <w:sz w:val="20"/>
          <w:szCs w:val="20"/>
        </w:rPr>
      </w:pPr>
      <w:r>
        <w:rPr>
          <w:rFonts w:ascii="Century Gothic" w:hAnsi="Century Gothic"/>
          <w:b/>
          <w:bCs/>
          <w:sz w:val="20"/>
          <w:szCs w:val="20"/>
        </w:rPr>
        <w:t>Cootraosa</w:t>
      </w:r>
    </w:p>
    <w:p>
      <w:pPr>
        <w:pStyle w:val="Normal"/>
        <w:jc w:val="both"/>
        <w:rPr>
          <w:rFonts w:ascii="Century Gothic" w:hAnsi="Century Gothic"/>
          <w:b/>
          <w:b/>
          <w:bCs/>
          <w:sz w:val="20"/>
          <w:szCs w:val="20"/>
        </w:rPr>
      </w:pPr>
      <w:r>
        <w:rPr>
          <w:rFonts w:ascii="Century Gothic" w:hAnsi="Century Gothic"/>
          <w:b/>
          <w:bCs/>
          <w:sz w:val="20"/>
          <w:szCs w:val="20"/>
        </w:rPr>
        <w:t>Voces Nuestras</w:t>
      </w:r>
    </w:p>
    <w:p>
      <w:pPr>
        <w:pStyle w:val="Normal"/>
        <w:jc w:val="both"/>
        <w:rPr>
          <w:rFonts w:ascii="Century Gothic" w:hAnsi="Century Gothic"/>
          <w:b/>
          <w:b/>
          <w:bCs/>
          <w:sz w:val="20"/>
          <w:szCs w:val="20"/>
        </w:rPr>
      </w:pPr>
      <w:r>
        <w:rPr>
          <w:rFonts w:ascii="Century Gothic" w:hAnsi="Century Gothic"/>
          <w:b/>
          <w:bCs/>
          <w:sz w:val="20"/>
          <w:szCs w:val="20"/>
        </w:rPr>
        <w:t>Comité de Lucha por la tierra de kilómetro 37 de Golfito y Corredores</w:t>
      </w:r>
    </w:p>
    <w:p>
      <w:pPr>
        <w:pStyle w:val="Normal"/>
        <w:jc w:val="both"/>
        <w:rPr>
          <w:rFonts w:ascii="Century Gothic" w:hAnsi="Century Gothic"/>
          <w:b/>
          <w:b/>
          <w:bCs/>
          <w:sz w:val="20"/>
          <w:szCs w:val="20"/>
        </w:rPr>
      </w:pPr>
      <w:r>
        <w:rPr>
          <w:rFonts w:ascii="Century Gothic" w:hAnsi="Century Gothic"/>
          <w:b/>
          <w:bCs/>
          <w:sz w:val="20"/>
          <w:szCs w:val="20"/>
        </w:rPr>
        <w:t>Asociación para la defensa de los Usuarios de los Servicios Públicos (ADUSP).</w:t>
      </w:r>
    </w:p>
    <w:p>
      <w:pPr>
        <w:pStyle w:val="Normal"/>
        <w:jc w:val="both"/>
        <w:rPr>
          <w:rFonts w:ascii="Century Gothic" w:hAnsi="Century Gothic"/>
          <w:b/>
          <w:b/>
          <w:bCs/>
          <w:sz w:val="20"/>
          <w:szCs w:val="20"/>
        </w:rPr>
      </w:pPr>
      <w:r>
        <w:rPr>
          <w:rFonts w:ascii="Century Gothic" w:hAnsi="Century Gothic"/>
          <w:b/>
          <w:bCs/>
          <w:sz w:val="20"/>
          <w:szCs w:val="20"/>
        </w:rPr>
        <w:t>Comité de lucha por la tierra de Finca Venecia</w:t>
      </w:r>
    </w:p>
    <w:p>
      <w:pPr>
        <w:pStyle w:val="Normal"/>
        <w:jc w:val="both"/>
        <w:rPr>
          <w:rFonts w:ascii="Century Gothic" w:hAnsi="Century Gothic"/>
          <w:b/>
          <w:b/>
          <w:bCs/>
          <w:sz w:val="20"/>
          <w:szCs w:val="20"/>
        </w:rPr>
      </w:pPr>
      <w:r>
        <w:rPr>
          <w:rFonts w:ascii="Century Gothic" w:hAnsi="Century Gothic"/>
          <w:b/>
          <w:bCs/>
          <w:sz w:val="20"/>
          <w:szCs w:val="20"/>
        </w:rPr>
        <w:t>SOJUPANO de Palmar de Osa</w:t>
      </w:r>
    </w:p>
    <w:p>
      <w:pPr>
        <w:pStyle w:val="Normal"/>
        <w:jc w:val="both"/>
        <w:rPr>
          <w:rFonts w:ascii="Century Gothic" w:hAnsi="Century Gothic"/>
          <w:b/>
          <w:b/>
          <w:bCs/>
          <w:sz w:val="20"/>
          <w:szCs w:val="20"/>
        </w:rPr>
      </w:pPr>
      <w:r>
        <w:rPr>
          <w:rFonts w:ascii="Century Gothic" w:hAnsi="Century Gothic"/>
          <w:b/>
          <w:bCs/>
          <w:sz w:val="20"/>
          <w:szCs w:val="20"/>
        </w:rPr>
        <w:t>Tierra para el Campesino de Finca Puntarenas (TIPAELCA)</w:t>
      </w:r>
    </w:p>
    <w:p>
      <w:pPr>
        <w:pStyle w:val="Normal"/>
        <w:jc w:val="both"/>
        <w:rPr>
          <w:rFonts w:ascii="Century Gothic" w:hAnsi="Century Gothic"/>
          <w:b/>
          <w:b/>
          <w:bCs/>
          <w:sz w:val="20"/>
          <w:szCs w:val="20"/>
        </w:rPr>
      </w:pPr>
      <w:r>
        <w:rPr>
          <w:rFonts w:ascii="Century Gothic" w:hAnsi="Century Gothic"/>
          <w:b/>
          <w:bCs/>
          <w:sz w:val="20"/>
          <w:szCs w:val="20"/>
        </w:rPr>
        <w:t>SERBUSUR de Finca Puntarenas</w:t>
      </w:r>
    </w:p>
    <w:p>
      <w:pPr>
        <w:pStyle w:val="Normal"/>
        <w:jc w:val="both"/>
        <w:rPr>
          <w:rFonts w:ascii="Century Gothic" w:hAnsi="Century Gothic"/>
          <w:b/>
          <w:b/>
          <w:bCs/>
          <w:sz w:val="20"/>
          <w:szCs w:val="20"/>
        </w:rPr>
      </w:pPr>
      <w:r>
        <w:rPr>
          <w:rFonts w:ascii="Century Gothic" w:hAnsi="Century Gothic"/>
          <w:b/>
          <w:bCs/>
          <w:sz w:val="20"/>
          <w:szCs w:val="20"/>
        </w:rPr>
        <w:t>Ditsö</w:t>
      </w:r>
    </w:p>
    <w:p>
      <w:pPr>
        <w:pStyle w:val="Normal"/>
        <w:jc w:val="both"/>
        <w:rPr>
          <w:rFonts w:ascii="Century Gothic" w:hAnsi="Century Gothic"/>
          <w:b/>
          <w:b/>
          <w:bCs/>
          <w:sz w:val="20"/>
          <w:szCs w:val="20"/>
        </w:rPr>
      </w:pPr>
      <w:r>
        <w:rPr>
          <w:rFonts w:ascii="Century Gothic" w:hAnsi="Century Gothic"/>
          <w:b/>
          <w:bCs/>
          <w:sz w:val="20"/>
          <w:szCs w:val="20"/>
        </w:rPr>
        <w:t>Coordinadora de Lucha Sur Sur</w:t>
      </w:r>
    </w:p>
    <w:p>
      <w:pPr>
        <w:pStyle w:val="Normal"/>
        <w:jc w:val="both"/>
        <w:rPr>
          <w:rFonts w:ascii="Century Gothic" w:hAnsi="Century Gothic"/>
          <w:b/>
          <w:b/>
          <w:bCs/>
          <w:sz w:val="20"/>
          <w:szCs w:val="20"/>
        </w:rPr>
      </w:pPr>
      <w:r>
        <w:rPr>
          <w:rFonts w:ascii="Century Gothic" w:hAnsi="Century Gothic"/>
          <w:b/>
          <w:bCs/>
          <w:sz w:val="20"/>
          <w:szCs w:val="20"/>
        </w:rPr>
      </w:r>
    </w:p>
    <w:p>
      <w:pPr>
        <w:pStyle w:val="Normal"/>
        <w:jc w:val="both"/>
        <w:rPr>
          <w:rFonts w:ascii="Century Gothic" w:hAnsi="Century Gothic"/>
          <w:b/>
          <w:b/>
          <w:bCs/>
          <w:sz w:val="20"/>
          <w:szCs w:val="20"/>
        </w:rPr>
      </w:pPr>
      <w:r>
        <w:rPr>
          <w:rFonts w:ascii="Century Gothic" w:hAnsi="Century Gothic"/>
          <w:b/>
          <w:bCs/>
          <w:sz w:val="20"/>
          <w:szCs w:val="20"/>
        </w:rPr>
      </w:r>
    </w:p>
    <w:p>
      <w:pPr>
        <w:pStyle w:val="Normal"/>
        <w:jc w:val="both"/>
        <w:rPr>
          <w:rFonts w:ascii="Century Gothic" w:hAnsi="Century Gothic"/>
          <w:b/>
          <w:b/>
          <w:bCs/>
          <w:sz w:val="20"/>
          <w:szCs w:val="20"/>
        </w:rPr>
      </w:pPr>
      <w:r>
        <w:rPr>
          <w:rFonts w:ascii="Century Gothic" w:hAnsi="Century Gothic"/>
          <w:b/>
          <w:bCs/>
          <w:sz w:val="20"/>
          <w:szCs w:val="20"/>
        </w:rPr>
      </w:r>
    </w:p>
    <w:p>
      <w:pPr>
        <w:pStyle w:val="Normal"/>
        <w:jc w:val="both"/>
        <w:rPr>
          <w:rFonts w:ascii="Century Gothic" w:hAnsi="Century Gothic"/>
          <w:b/>
          <w:b/>
          <w:bCs/>
          <w:sz w:val="20"/>
          <w:szCs w:val="20"/>
        </w:rPr>
      </w:pPr>
      <w:r>
        <w:rPr>
          <w:rFonts w:ascii="Century Gothic" w:hAnsi="Century Gothic"/>
          <w:b/>
          <w:bCs/>
          <w:sz w:val="20"/>
          <w:szCs w:val="20"/>
        </w:rPr>
        <w:t>Estimados Señores y Señoras:</w:t>
      </w:r>
    </w:p>
    <w:p>
      <w:pPr>
        <w:pStyle w:val="Normal"/>
        <w:jc w:val="both"/>
        <w:rPr>
          <w:rFonts w:ascii="Century Gothic" w:hAnsi="Century Gothic"/>
          <w:sz w:val="20"/>
          <w:szCs w:val="20"/>
        </w:rPr>
      </w:pPr>
      <w:r>
        <w:rPr>
          <w:rFonts w:ascii="Century Gothic" w:hAnsi="Century Gothic"/>
          <w:sz w:val="20"/>
          <w:szCs w:val="20"/>
        </w:rPr>
      </w:r>
    </w:p>
    <w:p>
      <w:pPr>
        <w:pStyle w:val="Normal"/>
        <w:jc w:val="both"/>
        <w:rPr>
          <w:rFonts w:ascii="Century Gothic" w:hAnsi="Century Gothic"/>
          <w:sz w:val="20"/>
          <w:szCs w:val="20"/>
        </w:rPr>
      </w:pPr>
      <w:r>
        <w:rPr>
          <w:rFonts w:ascii="Century Gothic" w:hAnsi="Century Gothic"/>
          <w:sz w:val="20"/>
          <w:szCs w:val="20"/>
        </w:rPr>
        <w:t xml:space="preserve">            </w:t>
      </w:r>
      <w:r>
        <w:rPr>
          <w:rFonts w:ascii="Century Gothic" w:hAnsi="Century Gothic"/>
          <w:sz w:val="20"/>
          <w:szCs w:val="20"/>
        </w:rPr>
        <w:t xml:space="preserve">Reciban un atento saludo. Tengo el honor de dirigirme a Ustedes a efecto de ampliar la información suministrada en comunicado electrónico del pasado 21 de junio con ocasión del documento titulado </w:t>
      </w:r>
      <w:r>
        <w:rPr>
          <w:rFonts w:ascii="Century Gothic" w:hAnsi="Century Gothic"/>
          <w:i/>
          <w:iCs/>
          <w:sz w:val="20"/>
          <w:szCs w:val="20"/>
        </w:rPr>
        <w:t>“Pronunciamiento público por la justicia para Sergio Rojas y los pueblos originarios de la zona sur”</w:t>
      </w:r>
      <w:r>
        <w:rPr>
          <w:rFonts w:ascii="Century Gothic" w:hAnsi="Century Gothic"/>
          <w:sz w:val="20"/>
          <w:szCs w:val="20"/>
        </w:rPr>
        <w:t xml:space="preserve"> fechado 20 de junio de 2019, dirigido al Poder Ejecutivo y al Poder Judicial, ante la nueva solicitud que remiten con fecha 27 de junio de 2019, en el que literalmente se indica:</w:t>
      </w:r>
    </w:p>
    <w:p>
      <w:pPr>
        <w:pStyle w:val="Normal"/>
        <w:jc w:val="both"/>
        <w:rPr>
          <w:rFonts w:ascii="Century Gothic" w:hAnsi="Century Gothic"/>
          <w:sz w:val="20"/>
          <w:szCs w:val="20"/>
        </w:rPr>
      </w:pPr>
      <w:r>
        <w:rPr>
          <w:rFonts w:ascii="Century Gothic" w:hAnsi="Century Gothic"/>
          <w:sz w:val="20"/>
          <w:szCs w:val="20"/>
        </w:rPr>
      </w:r>
    </w:p>
    <w:p>
      <w:pPr>
        <w:pStyle w:val="Western"/>
        <w:ind w:right="108" w:hanging="0"/>
        <w:jc w:val="both"/>
        <w:rPr>
          <w:rFonts w:ascii="Century Gothic" w:hAnsi="Century Gothic"/>
          <w:b/>
          <w:b/>
          <w:bCs/>
          <w:i/>
          <w:i/>
          <w:iCs/>
          <w:color w:val="000000"/>
          <w:sz w:val="20"/>
          <w:szCs w:val="20"/>
        </w:rPr>
      </w:pPr>
      <w:r>
        <w:rPr>
          <w:rFonts w:ascii="Century Gothic" w:hAnsi="Century Gothic"/>
          <w:b/>
          <w:bCs/>
          <w:i/>
          <w:iCs/>
          <w:color w:val="000000"/>
          <w:sz w:val="20"/>
          <w:szCs w:val="20"/>
        </w:rPr>
      </w:r>
    </w:p>
    <w:p>
      <w:pPr>
        <w:pStyle w:val="Western"/>
        <w:ind w:right="108" w:hanging="0"/>
        <w:jc w:val="both"/>
        <w:rPr>
          <w:rFonts w:ascii="Century Gothic" w:hAnsi="Century Gothic"/>
          <w:i/>
          <w:i/>
          <w:iCs/>
          <w:color w:val="000000"/>
          <w:sz w:val="20"/>
          <w:szCs w:val="20"/>
        </w:rPr>
      </w:pPr>
      <w:r>
        <w:rPr>
          <w:rFonts w:ascii="Century Gothic" w:hAnsi="Century Gothic"/>
          <w:b/>
          <w:bCs/>
          <w:i/>
          <w:iCs/>
          <w:color w:val="000000"/>
          <w:sz w:val="20"/>
          <w:szCs w:val="20"/>
        </w:rPr>
        <w:t>Jueves 27 de junio de 2019</w:t>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numPr>
          <w:ilvl w:val="0"/>
          <w:numId w:val="11"/>
        </w:numPr>
        <w:ind w:left="720" w:right="108" w:hanging="360"/>
        <w:jc w:val="both"/>
        <w:rPr>
          <w:rFonts w:ascii="Century Gothic" w:hAnsi="Century Gothic"/>
          <w:i/>
          <w:i/>
          <w:iCs/>
          <w:color w:val="000000"/>
          <w:sz w:val="20"/>
          <w:szCs w:val="20"/>
        </w:rPr>
      </w:pPr>
      <w:r>
        <w:rPr>
          <w:rFonts w:ascii="Century Gothic" w:hAnsi="Century Gothic"/>
          <w:b/>
          <w:bCs/>
          <w:i/>
          <w:iCs/>
          <w:color w:val="000000"/>
          <w:sz w:val="20"/>
          <w:szCs w:val="20"/>
        </w:rPr>
        <w:t>Poder Ejecutivo no dio respuesta a los últimos planteamientos de las organizaciones de la zona sur relacionados con el asesinato de Sergio Rojas, la recuperación de tierras y el acceso a la justicia para los pueblos originarios</w:t>
      </w:r>
    </w:p>
    <w:p>
      <w:pPr>
        <w:pStyle w:val="Western"/>
        <w:numPr>
          <w:ilvl w:val="0"/>
          <w:numId w:val="11"/>
        </w:numPr>
        <w:ind w:left="720" w:right="108" w:hanging="360"/>
        <w:jc w:val="both"/>
        <w:rPr>
          <w:rFonts w:ascii="Century Gothic" w:hAnsi="Century Gothic"/>
          <w:i/>
          <w:i/>
          <w:iCs/>
          <w:color w:val="000000"/>
          <w:sz w:val="20"/>
          <w:szCs w:val="20"/>
        </w:rPr>
      </w:pPr>
      <w:r>
        <w:rPr>
          <w:rFonts w:ascii="Century Gothic" w:hAnsi="Century Gothic"/>
          <w:b/>
          <w:bCs/>
          <w:i/>
          <w:iCs/>
          <w:color w:val="000000"/>
          <w:sz w:val="20"/>
          <w:szCs w:val="20"/>
        </w:rPr>
        <w:t>Organizaciones firmantes apoyan el derecho a la huelga y la protesta social y condenan la represión del gobierno contra estudiantes, pescadores y otros sectores</w:t>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t>El jueves 20 de junio, las organizaciones de la zona sur de Costa Rica que suscriben este comunicado enviaron a los Poderes Ejecutivo y Judicial un documento titulado “Pronunciamiento Público por la Justicia para Sergio Rojas y los Pueblos Originarios de la Zona Sur” y solicitaron una respuesta de estos dos Poderes antes del día de hoy.</w:t>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t>El Poder Judicial dio respuesta el viernes 21 de junio por medio de un Informe enviado por la Jueza Damaris Vargas Vásquez, Coordinadora de la Subcomisión de Acceso a la Justicia de los Pueblos Indígenas del Poder Judicial; mientras que el Ejecutivo en esta ocasión no brindó respuesta alguna.</w:t>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ind w:right="108" w:hanging="0"/>
        <w:jc w:val="both"/>
        <w:rPr>
          <w:rFonts w:ascii="Century Gothic" w:hAnsi="Century Gothic"/>
          <w:i/>
          <w:i/>
          <w:iCs/>
          <w:color w:val="000000"/>
          <w:sz w:val="20"/>
          <w:szCs w:val="20"/>
        </w:rPr>
      </w:pPr>
      <w:r>
        <w:rPr>
          <w:rFonts w:ascii="Century Gothic" w:hAnsi="Century Gothic"/>
          <w:i/>
          <w:iCs/>
          <w:color w:val="000000"/>
          <w:sz w:val="20"/>
          <w:szCs w:val="20"/>
        </w:rPr>
        <w:t>Por lo anterior reiteramos ante el Ejecutivo las siguientes demandas y propuestas:</w:t>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numPr>
          <w:ilvl w:val="0"/>
          <w:numId w:val="2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estado costarricense cumpla realmente con el Protocolo de Seguridad suscrito con el pueblo Bribri de Salitre desde el 2017, el Plan de Seguridad para Térraba y los diferentes acuerdos que ha venido suscribiendo con los pueblos beneficiarios de las Medidas Cautelares.</w:t>
      </w:r>
    </w:p>
    <w:p>
      <w:pPr>
        <w:pStyle w:val="NormalWeb"/>
        <w:numPr>
          <w:ilvl w:val="0"/>
          <w:numId w:val="12"/>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Poder Ejecutivo ejecute los restantes 6 desalojos (de los 8 planteados) ya emitidos por el Ministerio de Seguridad Pública en el Territorio de Salitre.</w:t>
      </w:r>
    </w:p>
    <w:p>
      <w:pPr>
        <w:pStyle w:val="NormalWeb"/>
        <w:numPr>
          <w:ilvl w:val="0"/>
          <w:numId w:val="12"/>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Estado costarricense de respuesta formal a la propuesta de Protocolo de Seguridad e Integridad Territorial propuesto por el pueblo Bribri de Cabagra desde julio de 2016.</w:t>
      </w:r>
    </w:p>
    <w:p>
      <w:pPr>
        <w:pStyle w:val="NormalWeb"/>
        <w:numPr>
          <w:ilvl w:val="0"/>
          <w:numId w:val="12"/>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Estado costarricense ejecute los 13 desalojos planteados por el pueblo Bribri de Cabagra en el Protocolo indicado en el punto anterior.</w:t>
      </w:r>
    </w:p>
    <w:p>
      <w:pPr>
        <w:pStyle w:val="NormalWeb"/>
        <w:numPr>
          <w:ilvl w:val="0"/>
          <w:numId w:val="12"/>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Ejecutivo emita un Decreto Ejecutivo que formalice y de seguridad jurídica a la Base de Datos construida por el Pueblo Bröran de Térraba.</w:t>
      </w:r>
    </w:p>
    <w:p>
      <w:pPr>
        <w:pStyle w:val="NormalWeb"/>
        <w:numPr>
          <w:ilvl w:val="0"/>
          <w:numId w:val="12"/>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 xml:space="preserve">Que el Poder Ejecutivo, en este caso el Ministerio de Seguridad detenga el proceso de Desahucio Administrativo en contra de las y los recuperadores Cabecares de China Kicha, establecido por el terrateniente Angel Marin Espinoza y al cual ese Ministerio dio trámite sin la menor investigación y atención especial al tratarse de un territorio de un pueblo originario. La demanda ya fue contestada en tiempo y forma por las y los recuperadores de la finca Kono Ju. </w:t>
      </w:r>
    </w:p>
    <w:p>
      <w:pPr>
        <w:pStyle w:val="NormalWeb"/>
        <w:numPr>
          <w:ilvl w:val="0"/>
          <w:numId w:val="12"/>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realice una investigación de todo el personal policial de la Delegación de la Fuerza Pública del cantón de Buenos Aires con respecto a su actuar frente a los pueblos originarios para determinar las posibles responsabilidades y sanciones administrativas o judiciales.</w:t>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t>Por su parte, ante la respuesta del Poder Judicial del 21 de junio; expresamos que la misma no satisface nuestras expectativas y si bien es un Informe amplio en el cual se citan diferentes normativas, no se dan respuestas concretas a las demandas planteadas; por lo que reiteramos y demandamos:</w:t>
      </w:r>
    </w:p>
    <w:p>
      <w:pPr>
        <w:pStyle w:val="NormalWeb"/>
        <w:numPr>
          <w:ilvl w:val="0"/>
          <w:numId w:val="25"/>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Poder Judicial de un informe razonable sobre la investigación del asesinato de Sergio Rojas Ortiz en el plazo de 7 días hábiles de la fecha de esta misiva.</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no quede impune el asesinato de Rojas Ortiz y se determinen los responsables intelectuales y materiales de este asesinato.</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realice una investigación de todo el personal judicial del cantón de Buenos Aires con respecto a su actuar frente a los pueblos originarios para determinar las posibles responsabilidades y sanciones administrativas o judiciales.</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realice una investigación sobre el actuar del Juez del Juzgado Civil, Trabajo y Familia de Buenos Aires (Materia Agraria) Jean Carlos Cespedes Mora en relación a los casos agrarios que involucre a pueblos originarios y se le prohíba conocer este tipo de causas; debido a su relación de parentesco con el terrateniente no indígena Luis Chinchilla, quien ocupa ilegalmente tierras en los territorios de Térraba y Boruca.</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la Inspección Judicial de respuesta en el plazo de un mes hábil a los documentos que le transfirió la Subcomisión de Acceso a la Justicia para los Pueblos Indígenas del Poder Judicial; entregados por organizaciones de estos pueblos a la Subcomisión citada el 24 de agosto de 2018.</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establezca un fondo económico para sufragar los gastos en que incurren los pueblos indígenas al realizar diligencias judiciales.</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Aplicar programas de formación en derechos humanos y derechos indígenas para funcionarias (os) judiciales y policiales de Buenos Aires.</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las diferentes instancias judiciales acepten la participación, documentos, testimonios o sugerencias de las instancias tradicionales de los pueblos originarios, para que contribuyan a alcanzar la justicia pronta y cumplida.</w:t>
      </w:r>
    </w:p>
    <w:p>
      <w:pPr>
        <w:pStyle w:val="NormalWeb"/>
        <w:numPr>
          <w:ilvl w:val="0"/>
          <w:numId w:val="13"/>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Coordinar con los pueblos originarios y sus instancias propias la identificación y contratación de las y los intérpretes y traductores.</w:t>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t>Por último, las organizaciones firmantes expresan su apoyo a las diversas organizaciones sociales que luchan y defienden el derecho a la huelga y la manifestación social, por lo que desaprueban los proyectos de ley que tratan de restringir estos derechos y condenan la represión ejercida por el gobierno contra las y los estudiantes, pescadores y otros sectores sociales.</w:t>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i/>
          <w:i/>
          <w:iCs/>
          <w:color w:val="000000"/>
          <w:sz w:val="20"/>
          <w:szCs w:val="20"/>
        </w:rPr>
      </w:pPr>
      <w:r>
        <w:rPr>
          <w:rFonts w:ascii="Century Gothic" w:hAnsi="Century Gothic"/>
          <w:i/>
          <w:iCs/>
          <w:color w:val="000000"/>
          <w:sz w:val="20"/>
          <w:szCs w:val="20"/>
        </w:rPr>
      </w:r>
    </w:p>
    <w:p>
      <w:pPr>
        <w:pStyle w:val="Western"/>
        <w:jc w:val="both"/>
        <w:rPr>
          <w:rFonts w:ascii="Century Gothic" w:hAnsi="Century Gothic"/>
          <w:color w:val="000000"/>
          <w:sz w:val="20"/>
          <w:szCs w:val="20"/>
        </w:rPr>
      </w:pPr>
      <w:r>
        <w:rPr>
          <w:rFonts w:ascii="Century Gothic" w:hAnsi="Century Gothic"/>
          <w:color w:val="000000"/>
          <w:sz w:val="20"/>
          <w:szCs w:val="20"/>
        </w:rPr>
        <w:t>En relación con ocasión, les informo:</w:t>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NormalWeb"/>
        <w:numPr>
          <w:ilvl w:val="0"/>
          <w:numId w:val="26"/>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el Poder Judicial dé un informe razonable sobre la investigación del asesinato de Sergio Rojas Ortiz en el plazo de 7 días hábiles de la fecha de esta misiva.</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
        <w:spacing w:lineRule="auto" w:line="360"/>
        <w:ind w:firstLine="708"/>
        <w:jc w:val="both"/>
        <w:rPr>
          <w:rFonts w:ascii="Century Gothic" w:hAnsi="Century Gothic"/>
          <w:color w:val="333333"/>
          <w:sz w:val="20"/>
          <w:szCs w:val="20"/>
        </w:rPr>
      </w:pPr>
      <w:r>
        <w:rPr>
          <w:rFonts w:ascii="Century Gothic" w:hAnsi="Century Gothic"/>
          <w:color w:val="333333"/>
          <w:sz w:val="20"/>
          <w:szCs w:val="20"/>
        </w:rPr>
        <w:t xml:space="preserve">En relación con la información solicitada, la Fiscalía Indígena dispuso: </w:t>
      </w:r>
      <w:r>
        <w:rPr>
          <w:rFonts w:ascii="Century Gothic" w:hAnsi="Century Gothic"/>
          <w:i/>
          <w:iCs/>
          <w:color w:val="333333"/>
          <w:sz w:val="20"/>
          <w:szCs w:val="20"/>
        </w:rPr>
        <w:t>“… en virtud de la información solicitada en ocasión del comunicado de fecha 27 de junio 2019, de distintas organizaciones indígenas, en lo que respecta a los puntos señalados que le atañen al Ministerio Público, se le informa lo siguiente: El homicidio del señor Sergio Rojas Ortiz, ha sido abordado de manera prioritaria y con la especialidad requerida, actualmente el trámite del proceso aún se encuentre en la etapa preparatoria, por lo que las normas que regulan el tema de la confidencialidad o privacidad de las actuaciones, son de acatamiento obligatorio, de manera que se torna imposible brindar un informe detallado de las actuaciones que se realizan en dicha sumaria. El numeral 295 del Código Procesal Penal y el artículo 5 de la Ley Orgánica del Ministerio Público, establecen la confidencialidad que rige en la etapa de investigación, así como la restricción respecto a brindar información que atente contra el secreto de las investigaciones. Es importante reiterar el compromiso por parte del equipo designado para dicha investigación en recopilar todos aquellos elementos de prueba útil y pertinente para la resolución del caso. El pasado 01 de julio 2019 mediante la página oficial del Ministerio Público, se publicó dos retratos hablados con el fin de obtener información respecto a las personas retratadas. Como se puede ver el motivo por el cual trascendió a medios de prensa parte de las acciones que se están llevando a cabo, ello se justificó en una necesidad estrictamente procesal. Informar sobre los avances de la investigación, aparte de acarrear responsabilidades administrativas a los funcionarios y funcionarias a cargo de la investigación, podría perjudicar gravemente su avance. Así las cosas, se puede afirmar que el Ministerio Público en conjunto con la policía Judicial se encuentran trabajando en el caso la investigación de manera prioritaria</w:t>
      </w:r>
      <w:r>
        <w:rPr>
          <w:rFonts w:ascii="Century Gothic" w:hAnsi="Century Gothic"/>
          <w:color w:val="333333"/>
          <w:sz w:val="20"/>
          <w:szCs w:val="20"/>
        </w:rPr>
        <w:t>…”.</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no quede impune el asesinato de Rojas Ortiz y se determinen los responsables intelectuales y materiales de este asesinato.</w:t>
      </w:r>
    </w:p>
    <w:p>
      <w:pPr>
        <w:pStyle w:val="NormalWeb"/>
        <w:spacing w:before="280" w:after="280"/>
        <w:ind w:left="360" w:hanging="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
        <w:spacing w:lineRule="auto" w:line="360"/>
        <w:ind w:firstLine="708"/>
        <w:jc w:val="both"/>
        <w:rPr>
          <w:rFonts w:ascii="Century Gothic" w:hAnsi="Century Gothic"/>
          <w:color w:val="333333"/>
          <w:sz w:val="20"/>
          <w:szCs w:val="20"/>
        </w:rPr>
      </w:pPr>
      <w:r>
        <w:rPr>
          <w:rFonts w:ascii="Century Gothic" w:hAnsi="Century Gothic"/>
          <w:color w:val="333333"/>
          <w:sz w:val="20"/>
          <w:szCs w:val="20"/>
        </w:rPr>
        <w:t xml:space="preserve">En relación con la información solicitada, la Fiscalía Indígena dispuso: </w:t>
      </w:r>
      <w:r>
        <w:rPr>
          <w:rFonts w:ascii="Century Gothic" w:hAnsi="Century Gothic"/>
          <w:i/>
          <w:iCs/>
          <w:color w:val="333333"/>
          <w:sz w:val="20"/>
          <w:szCs w:val="20"/>
        </w:rPr>
        <w:t>“… en virtud de la información solicitada en ocasión del comunicado de fecha 27 de junio 2019, de distintas organizaciones indígenas, en lo que respecta a los puntos señalados que le atañen al Ministerio Público, se le informa lo siguiente: El homicidio del señor Sergio Rojas Ortiz, ha sido abordado de manera prioritaria y con la especialidad requerida, actualmente el trámite del proceso aún se encuentre en la etapa preparatoria, por lo que las normas que regulan el tema de la confidencialidad o privacidad de las actuaciones, son de acatamiento obligatorio, de manera que se torna imposible brindar un informe detallado de las actuaciones que se realizan en dicha sumaria. El numeral 295 del Código Procesal Penal y el artículo 5 de la Ley Orgánica del Ministerio Público, establecen la confidencialidad que rige en la etapa de investigación, así como la restricción respecto a brindar información que atente contra el secreto de las investigaciones. Es importante reiterar el compromiso por parte del equipo designado para dicha investigación en recopilar todos aquellos elementos de prueba útil y pertinente para la resolución del caso. El pasado 01 de julio 2019 mediante la página oficial del Ministerio Público, se publicó dos retratos hablados con el fin de obtener información respecto a las personas retratadas. Como se puede ver el motivo por el cual trascendió a medios de prensa parte de las acciones que se están llevando a cabo, ello se justificó en una necesidad estrictamente procesal. Informar sobre los avances de la investigación, aparte de acarrear responsabilidades administrativas a los funcionarios y funcionarias a cargo de la investigación, podría perjudicar gravemente su avance. Así las cosas, se puede afirmar que el Ministerio Público en conjunto con la policía Judicial se encuentran trabajando en el caso la investigación de manera prioritaria</w:t>
      </w:r>
      <w:r>
        <w:rPr>
          <w:rFonts w:ascii="Century Gothic" w:hAnsi="Century Gothic"/>
          <w:color w:val="333333"/>
          <w:sz w:val="20"/>
          <w:szCs w:val="20"/>
        </w:rPr>
        <w:t>…”.</w:t>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realice una investigación de todo el personal judicial del cantón de Buenos Aires con respecto a su actuar frente a los pueblos originarios para determinar las posibles responsabilidades y sanciones administrativas o judiciales.</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 xml:space="preserve">La Inspección Judicial tiene a su cargo el régimen disciplinario del Poder Judicial. Las quejas planteadas por escrito a la Subcomisión de Acceso a la Justicia de Pueblos Indígenas en 2018 con ocasión de un encuentro que tuvimos con representantes de diferentes organizaciones indígenas y la Defensoría de los Habitantes de la República, se trasladaron oportunamente a la Inspección Judicial, según consta en el informe inicial; de la misma forma que las quejas planteadas con ocasión del Encuentro sostenido el 7 de abril pasado en territorio de Salitre con personas indígenas  de los territorios Térraba y Salitre, representantes del Poder Judicial y el Poder Ejecutivo y la Defensoría de los Habitantes de la República, se hicieron de conocimiento de la Presidencia de la Corte Suprema de Justicia, la Comisión de Acceso a la Justicia, el Tribunal de la Inspección Judicial y Corte Plena. El informe generó el acuerdo de Corte Plena en el que se aprobaron 21 ejes de acción para el abordaje integral de la temática indígena, cuyo contenido se les hizo de conocimiento en el primer informe. No obstante lo anterior, copio este informe a la Inspección Judicial para lo de su cargo. </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realice una investigación sobre el actuar del Juez del Juzgado Civil, Trabajo y Familia de Buenos Aires (Materia Agraria) Jean Carlos Cespedes Mora en relación a los casos agrarios que involucre a pueblos originarios y se le prohíba conocer este tipo de causas; debido a su relación de parentesco con el terrateniente no indígena Luis Chinchilla, quien ocupa ilegalmente tierras en los territorios de Térraba y Boruca.</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 xml:space="preserve">La Subcomisión de Acceso a la Justicia de Pueblos Indígenas carece de competencia para conocer régimen disciplinario, por lo que se dispone trasladar la gestión al Tribunal de la Inspección Judicial para lo de su cargo, con la aclaración de que conforme al principio de independencia judicial para poder separar a una persona juzgadora de su cargo, deben seguirse los procedimientos de rigor que establece la Ley Orgánica del Poder Judicial. </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la Inspección Judicial de respuesta en el plazo de un mes hábil a los documentos que le transfirió la Subcomisión de Acceso a la Justicia para los Pueblos Indígenas del Poder Judicial; entregados por organizaciones de estos pueblos a la Subcomisión citada el 24 de agosto de 2018.</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Traslado para conocimiento de la Inspección Judicial está petición para lo de su cargo.</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se establezca un fondo económico para sufragar los gastos en que incurren los pueblos indígenas al realizar diligencias judiciales.</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El Poder Judicial cuenta con fondos para atender requerimientos de personas indígenas en todos los Circuitos Judicial; además, está a cargo de la Institución el pago de las personas traductoras e intérpretes; se asigna defensa pública a todas las personas indígenas de escasos recursos económicos en todas las materias –Agrario, Penal, Contencioso Administrativo, Civil, Laboral, Tránsito y otras- y se coordina con las universidades estatales el pago de las los peritajes culturales. Lo anterior, en cumplimiento del Convenio 169 de la OIT, la Ley Indígena, la Ley de Acceso a la Justicia de Pueblos Indígenas, así como los lineamientos de Corte Plena y del Consejo Superior del Poder Judicial.</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Aplicar programas de formación en derechos humanos y derechos indígenas para funcionarias (os) judiciales y policiales de Buenos Aires.</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La Subcomisión de Acceso a la Justicia de Pueblos Indígenas en coordinación con la Comisión de Acceso a la Justicia, la Unidad de Acceso a la Justicia y la Escuela Judicial, organizó en Buenos Aires de Puntarenas el “Módulo Didáctico para la Promoción de los Derechos Humanos  de los Pueblos Indígenas. Aplicación de la normativa  nacional e internacional” los días 17, 24 y 31 de mayo, 7 y 21 de junio de 2019.</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De igual forma, se está coordinando con la Escuela Judicial y la Universidad de Costa Rica el desarrollo de una capacitación integral en Derecho Indígena y además, una capacitación a las personas indígenas beneficiarias de las Medidas Cautelares 321-19 de la CIDH contra el Estado sobre el Poder Judicial, sus derechos y las acciones realizadas con el objetivo de concertar acciones; entre otras actividades de capacitación.</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Que las diferentes instancias judiciales acepten la participación, documentos, testimonios o sugerencias de las instancias tradicionales de los pueblos originarios, para que contribuyan a alcanzar la justicia pronta y cumplida.</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De los acuerdos de Corte Plena citados en el informe inicial se incorpora en los 21 ejes de acción el análisis del abordaje de la cosmovisión y costumbres de las personas indígenas en el desarrollo de acciones, y con absoluto respeto de las personas juzgadoras de todas las materias que gozan del principio de independencia judicial, se les emiten circulares que incluyen las mejores prácticas establecidas por la Comisión Interamericana de Derechos Humanos. El contenido de las circulares está contemplado en el informe anterior, sumadas muchas otras circulares emitidas por el Consejo Superior, el Ministerio Público, la Defensa Pública y la Dirección Ejecutiva, entre otras.</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NormalWeb"/>
        <w:numPr>
          <w:ilvl w:val="0"/>
          <w:numId w:val="14"/>
        </w:numPr>
        <w:spacing w:beforeAutospacing="0" w:before="0" w:afterAutospacing="0" w:after="0"/>
        <w:jc w:val="both"/>
        <w:rPr>
          <w:rFonts w:ascii="Century Gothic" w:hAnsi="Century Gothic"/>
          <w:i/>
          <w:i/>
          <w:iCs/>
          <w:color w:val="000000"/>
          <w:sz w:val="20"/>
          <w:szCs w:val="20"/>
        </w:rPr>
      </w:pPr>
      <w:r>
        <w:rPr>
          <w:rFonts w:ascii="Century Gothic" w:hAnsi="Century Gothic"/>
          <w:i/>
          <w:iCs/>
          <w:color w:val="000000"/>
          <w:sz w:val="20"/>
          <w:szCs w:val="20"/>
        </w:rPr>
        <w:t>Coordinar con los pueblos originarios y sus instancias propias la identificación y contratación de las y los intérpretes y traductores.</w:t>
      </w:r>
    </w:p>
    <w:p>
      <w:pPr>
        <w:pStyle w:val="NormalWeb"/>
        <w:spacing w:before="280" w:after="280"/>
        <w:jc w:val="both"/>
        <w:rPr>
          <w:rFonts w:ascii="Century Gothic" w:hAnsi="Century Gothic"/>
          <w:i/>
          <w:i/>
          <w:iCs/>
          <w:color w:val="000000"/>
          <w:sz w:val="20"/>
          <w:szCs w:val="20"/>
        </w:rPr>
      </w:pPr>
      <w:r>
        <w:rPr>
          <w:rFonts w:ascii="Century Gothic" w:hAnsi="Century Gothic"/>
          <w:i/>
          <w:iCs/>
          <w:color w:val="000000"/>
          <w:sz w:val="20"/>
          <w:szCs w:val="20"/>
        </w:rPr>
      </w:r>
    </w:p>
    <w:p>
      <w:pPr>
        <w:pStyle w:val="NormalWeb"/>
        <w:spacing w:before="280" w:after="280"/>
        <w:ind w:firstLine="708"/>
        <w:jc w:val="both"/>
        <w:rPr>
          <w:rFonts w:ascii="Century Gothic" w:hAnsi="Century Gothic"/>
          <w:color w:val="000000"/>
          <w:sz w:val="20"/>
          <w:szCs w:val="20"/>
        </w:rPr>
      </w:pPr>
      <w:r>
        <w:rPr>
          <w:rFonts w:ascii="Century Gothic" w:hAnsi="Century Gothic"/>
          <w:color w:val="000000"/>
          <w:sz w:val="20"/>
          <w:szCs w:val="20"/>
        </w:rPr>
        <w:t>En las diferentes visitas que se hacen a los territorios indígenas se coordina con esta población para que se sumen a las listas oficiales de mujeres y hombres indígenas traductores e intérpretes. De igual forma, la inclusión a ese proceso está abierta a todas aquellas personas indígenas que deseen sumarse y reúnan los requisitos establecidos por la Dirección Ejecutiva. Los honorarios y gastos de esas personas son pagados por el Poder Judicial y existe una circular donde se detalla el procedimiento, el cual está a su disposición.</w:t>
      </w:r>
    </w:p>
    <w:p>
      <w:pPr>
        <w:pStyle w:val="NormalWeb"/>
        <w:spacing w:before="280" w:after="280"/>
        <w:jc w:val="both"/>
        <w:rPr>
          <w:rFonts w:ascii="Century Gothic" w:hAnsi="Century Gothic"/>
          <w:color w:val="000000"/>
          <w:sz w:val="20"/>
          <w:szCs w:val="20"/>
        </w:rPr>
      </w:pPr>
      <w:r>
        <w:rPr>
          <w:rFonts w:ascii="Century Gothic" w:hAnsi="Century Gothic"/>
          <w:color w:val="000000"/>
          <w:sz w:val="20"/>
          <w:szCs w:val="20"/>
        </w:rPr>
      </w:r>
    </w:p>
    <w:p>
      <w:pPr>
        <w:pStyle w:val="Western"/>
        <w:numPr>
          <w:ilvl w:val="0"/>
          <w:numId w:val="14"/>
        </w:numPr>
        <w:jc w:val="both"/>
        <w:rPr>
          <w:rFonts w:ascii="Century Gothic" w:hAnsi="Century Gothic"/>
          <w:i/>
          <w:i/>
          <w:iCs/>
          <w:color w:val="000000"/>
          <w:sz w:val="20"/>
          <w:szCs w:val="20"/>
        </w:rPr>
      </w:pPr>
      <w:r>
        <w:rPr>
          <w:rFonts w:ascii="Century Gothic" w:hAnsi="Century Gothic"/>
          <w:i/>
          <w:iCs/>
          <w:color w:val="000000"/>
          <w:sz w:val="20"/>
          <w:szCs w:val="20"/>
        </w:rPr>
        <w:t>Por último, las organizaciones firmantes expresan su apoyo a las diversas organizaciones sociales que luchan y defienden el derecho a la huelga y la manifestación social, por lo que desaprueban los proyectos de ley que tratan de restringir estos derechos y condenan la represión ejercida por el gobierno contra las y los estudiantes, pescadores y otros sectores sociales.</w:t>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Western"/>
        <w:ind w:firstLine="708"/>
        <w:jc w:val="both"/>
        <w:rPr>
          <w:rFonts w:ascii="Century Gothic" w:hAnsi="Century Gothic"/>
          <w:color w:val="000000"/>
          <w:sz w:val="20"/>
          <w:szCs w:val="20"/>
        </w:rPr>
      </w:pPr>
      <w:r>
        <w:rPr>
          <w:rFonts w:ascii="Century Gothic" w:hAnsi="Century Gothic"/>
          <w:color w:val="000000"/>
          <w:sz w:val="20"/>
          <w:szCs w:val="20"/>
        </w:rPr>
        <w:t>Se toma nota.-</w:t>
      </w:r>
    </w:p>
    <w:p>
      <w:pPr>
        <w:pStyle w:val="Western"/>
        <w:ind w:firstLine="708"/>
        <w:jc w:val="both"/>
        <w:rPr>
          <w:rFonts w:ascii="Century Gothic" w:hAnsi="Century Gothic"/>
          <w:color w:val="000000"/>
          <w:sz w:val="20"/>
          <w:szCs w:val="20"/>
        </w:rPr>
      </w:pPr>
      <w:r>
        <w:rPr>
          <w:rFonts w:ascii="Century Gothic" w:hAnsi="Century Gothic"/>
          <w:color w:val="000000"/>
          <w:sz w:val="20"/>
          <w:szCs w:val="20"/>
        </w:rPr>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Western"/>
        <w:jc w:val="both"/>
        <w:rPr>
          <w:rFonts w:ascii="Century Gothic" w:hAnsi="Century Gothic"/>
          <w:color w:val="000000"/>
          <w:sz w:val="20"/>
          <w:szCs w:val="20"/>
        </w:rPr>
      </w:pPr>
      <w:r>
        <w:rPr>
          <w:rFonts w:ascii="Century Gothic" w:hAnsi="Century Gothic"/>
          <w:color w:val="000000"/>
          <w:sz w:val="20"/>
          <w:szCs w:val="20"/>
        </w:rPr>
        <w:t>De ustedes, atentamente,</w:t>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Western"/>
        <w:jc w:val="center"/>
        <w:rPr>
          <w:rFonts w:ascii="Century Gothic" w:hAnsi="Century Gothic"/>
          <w:b/>
          <w:b/>
          <w:bCs/>
          <w:color w:val="000000"/>
          <w:sz w:val="20"/>
          <w:szCs w:val="20"/>
        </w:rPr>
      </w:pPr>
      <w:r>
        <w:rPr>
          <w:rFonts w:ascii="Century Gothic" w:hAnsi="Century Gothic"/>
          <w:b/>
          <w:bCs/>
          <w:color w:val="000000"/>
          <w:sz w:val="20"/>
          <w:szCs w:val="20"/>
        </w:rPr>
        <w:t>Jueza Damaris Vargas Vásquez</w:t>
      </w:r>
    </w:p>
    <w:p>
      <w:pPr>
        <w:pStyle w:val="Western"/>
        <w:jc w:val="center"/>
        <w:rPr>
          <w:rFonts w:ascii="Century Gothic" w:hAnsi="Century Gothic"/>
          <w:b/>
          <w:b/>
          <w:bCs/>
          <w:color w:val="000000"/>
          <w:sz w:val="20"/>
          <w:szCs w:val="20"/>
        </w:rPr>
      </w:pPr>
      <w:r>
        <w:rPr>
          <w:rFonts w:ascii="Century Gothic" w:hAnsi="Century Gothic"/>
          <w:b/>
          <w:bCs/>
          <w:color w:val="000000"/>
          <w:sz w:val="20"/>
          <w:szCs w:val="20"/>
        </w:rPr>
        <w:t>Coordinadora</w:t>
      </w:r>
    </w:p>
    <w:p>
      <w:pPr>
        <w:pStyle w:val="Western"/>
        <w:jc w:val="center"/>
        <w:rPr>
          <w:rFonts w:ascii="Century Gothic" w:hAnsi="Century Gothic"/>
          <w:b/>
          <w:b/>
          <w:bCs/>
          <w:color w:val="000000"/>
          <w:sz w:val="20"/>
          <w:szCs w:val="20"/>
        </w:rPr>
      </w:pPr>
      <w:r>
        <w:rPr>
          <w:rFonts w:ascii="Century Gothic" w:hAnsi="Century Gothic"/>
          <w:b/>
          <w:bCs/>
          <w:color w:val="000000"/>
          <w:sz w:val="20"/>
          <w:szCs w:val="20"/>
        </w:rPr>
        <w:t>Subcomisión de Acceso a la Justicia de Pueblos Indígenas</w:t>
      </w:r>
    </w:p>
    <w:p>
      <w:pPr>
        <w:pStyle w:val="Western"/>
        <w:jc w:val="both"/>
        <w:rPr>
          <w:rFonts w:ascii="Century Gothic" w:hAnsi="Century Gothic"/>
          <w:color w:val="000000"/>
          <w:sz w:val="20"/>
          <w:szCs w:val="20"/>
        </w:rPr>
      </w:pPr>
      <w:r>
        <w:rPr>
          <w:rFonts w:ascii="Century Gothic" w:hAnsi="Century Gothic"/>
          <w:color w:val="000000"/>
          <w:sz w:val="20"/>
          <w:szCs w:val="20"/>
        </w:rPr>
      </w:r>
    </w:p>
    <w:p>
      <w:pPr>
        <w:pStyle w:val="Normal"/>
        <w:jc w:val="both"/>
        <w:rPr>
          <w:rFonts w:ascii="Century Gothic" w:hAnsi="Century Gothic"/>
          <w:i/>
          <w:i/>
          <w:iCs/>
          <w:sz w:val="20"/>
          <w:szCs w:val="20"/>
        </w:rPr>
      </w:pPr>
      <w:r>
        <w:rPr>
          <w:rFonts w:ascii="Century Gothic" w:hAnsi="Century Gothic"/>
          <w:i/>
          <w:iCs/>
          <w:sz w:val="20"/>
          <w:szCs w:val="20"/>
        </w:rPr>
        <w:t>Copias:</w:t>
      </w:r>
    </w:p>
    <w:p>
      <w:pPr>
        <w:pStyle w:val="Normal"/>
        <w:jc w:val="both"/>
        <w:rPr>
          <w:rFonts w:ascii="Century Gothic" w:hAnsi="Century Gothic"/>
          <w:i/>
          <w:i/>
          <w:iCs/>
          <w:color w:val="000000"/>
          <w:sz w:val="20"/>
          <w:szCs w:val="20"/>
        </w:rPr>
      </w:pPr>
      <w:r>
        <w:rPr>
          <w:rFonts w:ascii="Century Gothic" w:hAnsi="Century Gothic"/>
          <w:i/>
          <w:iCs/>
          <w:sz w:val="20"/>
          <w:szCs w:val="20"/>
        </w:rPr>
        <w:t>Presidencia de la Corte Suprema de Justicia</w:t>
      </w:r>
    </w:p>
    <w:p>
      <w:pPr>
        <w:pStyle w:val="Normal"/>
        <w:jc w:val="both"/>
        <w:rPr>
          <w:rFonts w:ascii="Century Gothic" w:hAnsi="Century Gothic"/>
          <w:i/>
          <w:i/>
          <w:iCs/>
          <w:sz w:val="20"/>
          <w:szCs w:val="20"/>
        </w:rPr>
      </w:pPr>
      <w:r>
        <w:rPr>
          <w:rFonts w:ascii="Century Gothic" w:hAnsi="Century Gothic"/>
          <w:i/>
          <w:iCs/>
          <w:sz w:val="20"/>
          <w:szCs w:val="20"/>
        </w:rPr>
        <w:t>Despacho de la Presidencia de la Corte Suprema de Justicia</w:t>
      </w:r>
    </w:p>
    <w:p>
      <w:pPr>
        <w:pStyle w:val="Normal"/>
        <w:jc w:val="both"/>
        <w:rPr>
          <w:rFonts w:ascii="Century Gothic" w:hAnsi="Century Gothic"/>
          <w:i/>
          <w:i/>
          <w:iCs/>
          <w:sz w:val="20"/>
          <w:szCs w:val="20"/>
        </w:rPr>
      </w:pPr>
      <w:r>
        <w:rPr>
          <w:rFonts w:ascii="Century Gothic" w:hAnsi="Century Gothic"/>
          <w:i/>
          <w:iCs/>
          <w:sz w:val="20"/>
          <w:szCs w:val="20"/>
        </w:rPr>
        <w:t>Comisión de Acceso a la Justicia</w:t>
      </w:r>
    </w:p>
    <w:p>
      <w:pPr>
        <w:pStyle w:val="Normal"/>
        <w:jc w:val="both"/>
        <w:rPr>
          <w:rFonts w:ascii="Century Gothic" w:hAnsi="Century Gothic"/>
          <w:i/>
          <w:i/>
          <w:iCs/>
          <w:sz w:val="20"/>
          <w:szCs w:val="20"/>
        </w:rPr>
      </w:pPr>
      <w:r>
        <w:rPr>
          <w:rFonts w:ascii="Century Gothic" w:hAnsi="Century Gothic"/>
          <w:i/>
          <w:iCs/>
          <w:sz w:val="20"/>
          <w:szCs w:val="20"/>
        </w:rPr>
        <w:t>Unidad de Acceso a la Justicia</w:t>
      </w:r>
    </w:p>
    <w:p>
      <w:pPr>
        <w:pStyle w:val="Normal"/>
        <w:jc w:val="both"/>
        <w:rPr>
          <w:rFonts w:ascii="Century Gothic" w:hAnsi="Century Gothic"/>
          <w:i/>
          <w:i/>
          <w:iCs/>
          <w:sz w:val="20"/>
          <w:szCs w:val="20"/>
        </w:rPr>
      </w:pPr>
      <w:r>
        <w:rPr>
          <w:rFonts w:ascii="Century Gothic" w:hAnsi="Century Gothic"/>
          <w:i/>
          <w:iCs/>
          <w:sz w:val="20"/>
          <w:szCs w:val="20"/>
        </w:rPr>
        <w:t>Subcomisión de Acceso a la Justicia</w:t>
      </w:r>
    </w:p>
    <w:p>
      <w:pPr>
        <w:pStyle w:val="Normal"/>
        <w:jc w:val="both"/>
        <w:rPr>
          <w:rFonts w:ascii="Century Gothic" w:hAnsi="Century Gothic"/>
          <w:i/>
          <w:i/>
          <w:iCs/>
          <w:sz w:val="20"/>
          <w:szCs w:val="20"/>
        </w:rPr>
      </w:pPr>
      <w:r>
        <w:rPr>
          <w:rFonts w:ascii="Century Gothic" w:hAnsi="Century Gothic"/>
          <w:i/>
          <w:iCs/>
          <w:sz w:val="20"/>
          <w:szCs w:val="20"/>
        </w:rPr>
        <w:t>Contraloría de Servicios del Poder Judicial</w:t>
      </w:r>
    </w:p>
    <w:p>
      <w:pPr>
        <w:pStyle w:val="Normal"/>
        <w:jc w:val="both"/>
        <w:rPr>
          <w:rFonts w:ascii="Century Gothic" w:hAnsi="Century Gothic"/>
          <w:i/>
          <w:i/>
          <w:iCs/>
          <w:sz w:val="20"/>
          <w:szCs w:val="20"/>
        </w:rPr>
      </w:pPr>
      <w:r>
        <w:rPr>
          <w:rFonts w:ascii="Century Gothic" w:hAnsi="Century Gothic"/>
          <w:i/>
          <w:iCs/>
          <w:sz w:val="20"/>
          <w:szCs w:val="20"/>
        </w:rPr>
        <w:t>Inspección Judicial del Poder Judicial</w:t>
      </w:r>
    </w:p>
    <w:p>
      <w:pPr>
        <w:pStyle w:val="Normal"/>
        <w:jc w:val="both"/>
        <w:rPr>
          <w:rFonts w:ascii="Century Gothic" w:hAnsi="Century Gothic"/>
          <w:i/>
          <w:i/>
          <w:iCs/>
          <w:sz w:val="20"/>
          <w:szCs w:val="20"/>
        </w:rPr>
      </w:pPr>
      <w:r>
        <w:rPr>
          <w:rFonts w:ascii="Century Gothic" w:hAnsi="Century Gothic"/>
          <w:i/>
          <w:iCs/>
          <w:sz w:val="20"/>
          <w:szCs w:val="20"/>
        </w:rPr>
        <w:t>Fiscalía General de la República</w:t>
      </w:r>
    </w:p>
    <w:p>
      <w:pPr>
        <w:pStyle w:val="Normal"/>
        <w:jc w:val="both"/>
        <w:rPr>
          <w:rFonts w:ascii="Century Gothic" w:hAnsi="Century Gothic"/>
          <w:i/>
          <w:i/>
          <w:iCs/>
          <w:sz w:val="20"/>
          <w:szCs w:val="20"/>
        </w:rPr>
      </w:pPr>
      <w:r>
        <w:rPr>
          <w:rFonts w:ascii="Century Gothic" w:hAnsi="Century Gothic"/>
          <w:i/>
          <w:iCs/>
          <w:sz w:val="20"/>
          <w:szCs w:val="20"/>
        </w:rPr>
        <w:t>Organismo de Investigación Judicial</w:t>
      </w:r>
    </w:p>
    <w:p>
      <w:pPr>
        <w:pStyle w:val="Normal"/>
        <w:jc w:val="both"/>
        <w:rPr>
          <w:rFonts w:ascii="Century Gothic" w:hAnsi="Century Gothic"/>
          <w:i/>
          <w:i/>
          <w:iCs/>
          <w:sz w:val="20"/>
          <w:szCs w:val="20"/>
        </w:rPr>
      </w:pPr>
      <w:r>
        <w:rPr>
          <w:rFonts w:ascii="Century Gothic" w:hAnsi="Century Gothic"/>
          <w:i/>
          <w:iCs/>
          <w:sz w:val="20"/>
          <w:szCs w:val="20"/>
        </w:rPr>
        <w:t>Defensa Pública</w:t>
      </w:r>
    </w:p>
    <w:p>
      <w:pPr>
        <w:pStyle w:val="Normal"/>
        <w:jc w:val="both"/>
        <w:rPr>
          <w:rFonts w:ascii="Century Gothic" w:hAnsi="Century Gothic"/>
          <w:i/>
          <w:i/>
          <w:iCs/>
          <w:sz w:val="20"/>
          <w:szCs w:val="20"/>
        </w:rPr>
      </w:pPr>
      <w:r>
        <w:rPr>
          <w:rFonts w:ascii="Century Gothic" w:hAnsi="Century Gothic"/>
          <w:i/>
          <w:iCs/>
          <w:sz w:val="20"/>
          <w:szCs w:val="20"/>
        </w:rPr>
        <w:t>Escuela Judicial</w:t>
      </w:r>
    </w:p>
    <w:p>
      <w:pPr>
        <w:pStyle w:val="Normal"/>
        <w:jc w:val="both"/>
        <w:rPr>
          <w:rFonts w:ascii="Century Gothic" w:hAnsi="Century Gothic"/>
          <w:i/>
          <w:i/>
          <w:iCs/>
          <w:sz w:val="20"/>
          <w:szCs w:val="20"/>
        </w:rPr>
      </w:pPr>
      <w:r>
        <w:rPr/>
        <w:object>
          <v:shape id="ole_rId61" style="width:75pt;height:49.5pt" o:ole="">
            <v:imagedata r:id="rId62" o:title=""/>
          </v:shape>
          <o:OLEObject Type="Embed" ProgID="Package" ShapeID="ole_rId61" DrawAspect="Icon" ObjectID="_112739247" r:id="rId61"/>
        </w:object>
      </w:r>
      <w:r>
        <w:rPr/>
        <w:object>
          <v:shape id="ole_rId63" style="width:75pt;height:49.5pt" o:ole="">
            <v:imagedata r:id="rId64" o:title=""/>
          </v:shape>
          <o:OLEObject Type="Embed" ProgID="Package" ShapeID="ole_rId63" DrawAspect="Icon" ObjectID="_804538264" r:id="rId63"/>
        </w:object>
      </w:r>
    </w:p>
    <w:p>
      <w:pPr>
        <w:pStyle w:val="Normal"/>
        <w:jc w:val="both"/>
        <w:rPr>
          <w:rFonts w:ascii="Century Gothic" w:hAnsi="Century Gothic"/>
          <w:sz w:val="20"/>
          <w:szCs w:val="20"/>
        </w:rPr>
      </w:pPr>
      <w:r>
        <w:rPr>
          <w:rFonts w:ascii="Century Gothic" w:hAnsi="Century Gothic"/>
          <w:b/>
          <w:sz w:val="20"/>
          <w:szCs w:val="20"/>
          <w:highlight w:val="yellow"/>
          <w:u w:val="single"/>
        </w:rPr>
        <w:t xml:space="preserve">SE ACUERDA: </w:t>
      </w:r>
      <w:r>
        <w:rPr>
          <w:rFonts w:ascii="Century Gothic" w:hAnsi="Century Gothic"/>
          <w:sz w:val="20"/>
          <w:szCs w:val="20"/>
          <w:highlight w:val="yellow"/>
        </w:rPr>
        <w:t>Se toma nota del informe.-</w:t>
      </w:r>
    </w:p>
    <w:p>
      <w:pPr>
        <w:pStyle w:val="Normal"/>
        <w:jc w:val="both"/>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XVI</w:t>
      </w:r>
    </w:p>
    <w:p>
      <w:pPr>
        <w:pStyle w:val="Normal"/>
        <w:jc w:val="both"/>
        <w:rPr>
          <w:rFonts w:ascii="Century Gothic" w:hAnsi="Century Gothic"/>
          <w:sz w:val="20"/>
          <w:szCs w:val="20"/>
        </w:rPr>
      </w:pPr>
      <w:r>
        <w:rPr>
          <w:rFonts w:ascii="Century Gothic" w:hAnsi="Century Gothic"/>
          <w:sz w:val="20"/>
          <w:szCs w:val="20"/>
        </w:rPr>
        <w:t>Se conoce traslado a la Inspección Judicial de gestión realizada por representantes de organizaciones indígenas de la zona sur.</w:t>
      </w:r>
    </w:p>
    <w:p>
      <w:pPr>
        <w:pStyle w:val="Normal"/>
        <w:rPr>
          <w:rFonts w:ascii="Century Gothic" w:hAnsi="Century Gothic" w:eastAsia="Times New Roman"/>
          <w:sz w:val="20"/>
          <w:szCs w:val="20"/>
          <w:lang w:val="es-ES" w:eastAsia="es-CR"/>
        </w:rPr>
      </w:pPr>
      <w:r>
        <w:rPr>
          <w:rFonts w:eastAsia="Times New Roman" w:ascii="Century Gothic" w:hAnsi="Century Gothic"/>
          <w:b/>
          <w:bCs/>
          <w:sz w:val="20"/>
          <w:szCs w:val="20"/>
          <w:lang w:val="es-ES"/>
        </w:rPr>
        <w:t>De:</w:t>
      </w:r>
      <w:r>
        <w:rPr>
          <w:rFonts w:eastAsia="Times New Roman" w:ascii="Century Gothic" w:hAnsi="Century Gothic"/>
          <w:sz w:val="20"/>
          <w:szCs w:val="20"/>
          <w:lang w:val="es-ES"/>
        </w:rPr>
        <w:t xml:space="preserve"> Damaris Vargas Vásquez </w:t>
        <w:br/>
      </w:r>
      <w:r>
        <w:rPr>
          <w:rFonts w:eastAsia="Times New Roman" w:ascii="Century Gothic" w:hAnsi="Century Gothic"/>
          <w:b/>
          <w:bCs/>
          <w:sz w:val="20"/>
          <w:szCs w:val="20"/>
          <w:lang w:val="es-ES"/>
        </w:rPr>
        <w:t>Enviado el:</w:t>
      </w:r>
      <w:r>
        <w:rPr>
          <w:rFonts w:eastAsia="Times New Roman" w:ascii="Century Gothic" w:hAnsi="Century Gothic"/>
          <w:sz w:val="20"/>
          <w:szCs w:val="20"/>
          <w:lang w:val="es-ES"/>
        </w:rPr>
        <w:t xml:space="preserve"> miércoles, 17 de julio de 2019 06:15 p.m.</w:t>
        <w:br/>
      </w:r>
      <w:r>
        <w:rPr>
          <w:rFonts w:eastAsia="Times New Roman" w:ascii="Century Gothic" w:hAnsi="Century Gothic"/>
          <w:b/>
          <w:bCs/>
          <w:sz w:val="20"/>
          <w:szCs w:val="20"/>
          <w:lang w:val="es-ES"/>
        </w:rPr>
        <w:t>Para:</w:t>
      </w:r>
      <w:r>
        <w:rPr>
          <w:rFonts w:eastAsia="Times New Roman" w:ascii="Century Gothic" w:hAnsi="Century Gothic"/>
          <w:sz w:val="20"/>
          <w:szCs w:val="20"/>
          <w:lang w:val="es-ES"/>
        </w:rPr>
        <w:t xml:space="preserve"> Jason Alonso Alfaro Carballo &lt;jalfaroc@Poder-Judicial.go.cr&gt;</w:t>
        <w:br/>
      </w:r>
      <w:r>
        <w:rPr>
          <w:rFonts w:eastAsia="Times New Roman" w:ascii="Century Gothic" w:hAnsi="Century Gothic"/>
          <w:b/>
          <w:bCs/>
          <w:sz w:val="20"/>
          <w:szCs w:val="20"/>
          <w:lang w:val="es-ES"/>
        </w:rPr>
        <w:t>Asunto:</w:t>
      </w:r>
      <w:r>
        <w:rPr>
          <w:rFonts w:eastAsia="Times New Roman" w:ascii="Century Gothic" w:hAnsi="Century Gothic"/>
          <w:sz w:val="20"/>
          <w:szCs w:val="20"/>
          <w:lang w:val="es-ES"/>
        </w:rPr>
        <w:t xml:space="preserve"> RE: saludos </w:t>
      </w:r>
    </w:p>
    <w:p>
      <w:pPr>
        <w:pStyle w:val="Normal"/>
        <w:rPr>
          <w:rFonts w:ascii="Century Gothic" w:hAnsi="Century Gothic"/>
          <w:color w:val="1F497D"/>
          <w:spacing w:val="-2"/>
          <w:sz w:val="20"/>
          <w:szCs w:val="20"/>
        </w:rPr>
      </w:pPr>
      <w:r>
        <w:rPr>
          <w:rFonts w:ascii="Century Gothic" w:hAnsi="Century Gothic"/>
          <w:color w:val="1F497D"/>
          <w:spacing w:val="-2"/>
          <w:sz w:val="20"/>
          <w:szCs w:val="20"/>
        </w:rPr>
        <w:t>Buenas tardes.</w:t>
      </w:r>
    </w:p>
    <w:p>
      <w:pPr>
        <w:pStyle w:val="Normal"/>
        <w:rPr>
          <w:rFonts w:ascii="Century Gothic" w:hAnsi="Century Gothic"/>
          <w:color w:val="1F497D"/>
          <w:spacing w:val="-2"/>
          <w:sz w:val="20"/>
          <w:szCs w:val="20"/>
        </w:rPr>
      </w:pPr>
      <w:r>
        <w:rPr>
          <w:rFonts w:ascii="Century Gothic" w:hAnsi="Century Gothic"/>
          <w:color w:val="1F497D"/>
          <w:spacing w:val="-2"/>
          <w:sz w:val="20"/>
          <w:szCs w:val="20"/>
        </w:rPr>
        <w:t>Remito para su conocimiento.-</w:t>
      </w:r>
    </w:p>
    <w:p>
      <w:pPr>
        <w:pStyle w:val="Normal"/>
        <w:rPr>
          <w:rFonts w:ascii="Century Gothic" w:hAnsi="Century Gothic"/>
          <w:b/>
          <w:b/>
          <w:bCs/>
          <w:i/>
          <w:i/>
          <w:iCs/>
          <w:color w:val="1F497D"/>
          <w:sz w:val="20"/>
          <w:szCs w:val="20"/>
        </w:rPr>
      </w:pPr>
      <w:r>
        <w:rPr>
          <w:rFonts w:ascii="Century Gothic" w:hAnsi="Century Gothic"/>
          <w:color w:val="1F497D"/>
          <w:spacing w:val="-2"/>
          <w:sz w:val="20"/>
          <w:szCs w:val="20"/>
        </w:rPr>
        <w:t>Damaris Vargas Vásquez</w:t>
      </w:r>
    </w:p>
    <w:p>
      <w:pPr>
        <w:pStyle w:val="Normal"/>
        <w:ind w:left="708" w:hanging="0"/>
        <w:rPr>
          <w:rFonts w:ascii="Century Gothic" w:hAnsi="Century Gothic"/>
          <w:color w:val="1F497D"/>
          <w:spacing w:val="-2"/>
          <w:sz w:val="20"/>
          <w:szCs w:val="20"/>
        </w:rPr>
      </w:pPr>
      <w:r>
        <w:rPr>
          <w:rFonts w:ascii="Century Gothic" w:hAnsi="Century Gothic"/>
          <w:color w:val="1F497D"/>
          <w:spacing w:val="-2"/>
          <w:sz w:val="20"/>
          <w:szCs w:val="20"/>
        </w:rPr>
      </w:r>
    </w:p>
    <w:p>
      <w:pPr>
        <w:pStyle w:val="Normal"/>
        <w:numPr>
          <w:ilvl w:val="0"/>
          <w:numId w:val="0"/>
        </w:numPr>
        <w:outlineLvl w:val="0"/>
        <w:rPr>
          <w:rFonts w:ascii="Century Gothic" w:hAnsi="Century Gothic"/>
          <w:sz w:val="20"/>
          <w:szCs w:val="20"/>
          <w:lang w:val="es-ES" w:eastAsia="es-CR"/>
        </w:rPr>
      </w:pPr>
      <w:r>
        <w:rPr>
          <w:rFonts w:ascii="Century Gothic" w:hAnsi="Century Gothic"/>
          <w:b/>
          <w:bCs/>
          <w:sz w:val="20"/>
          <w:szCs w:val="20"/>
          <w:lang w:val="es-ES"/>
        </w:rPr>
        <w:t>De:</w:t>
      </w:r>
      <w:r>
        <w:rPr>
          <w:rFonts w:ascii="Century Gothic" w:hAnsi="Century Gothic"/>
          <w:sz w:val="20"/>
          <w:szCs w:val="20"/>
          <w:lang w:val="es-ES"/>
        </w:rPr>
        <w:t xml:space="preserve"> Jason Alonso Alfaro Carballo </w:t>
        <w:br/>
      </w:r>
      <w:r>
        <w:rPr>
          <w:rFonts w:ascii="Century Gothic" w:hAnsi="Century Gothic"/>
          <w:b/>
          <w:bCs/>
          <w:sz w:val="20"/>
          <w:szCs w:val="20"/>
          <w:lang w:val="es-ES"/>
        </w:rPr>
        <w:t>Enviado el:</w:t>
      </w:r>
      <w:r>
        <w:rPr>
          <w:rFonts w:ascii="Century Gothic" w:hAnsi="Century Gothic"/>
          <w:sz w:val="20"/>
          <w:szCs w:val="20"/>
          <w:lang w:val="es-ES"/>
        </w:rPr>
        <w:t xml:space="preserve"> miércoles, 17 de julio de 2019 03:46 p.m.</w:t>
        <w:br/>
      </w:r>
      <w:r>
        <w:rPr>
          <w:rFonts w:ascii="Century Gothic" w:hAnsi="Century Gothic"/>
          <w:b/>
          <w:bCs/>
          <w:sz w:val="20"/>
          <w:szCs w:val="20"/>
          <w:lang w:val="es-ES"/>
        </w:rPr>
        <w:t>Para:</w:t>
      </w:r>
      <w:r>
        <w:rPr>
          <w:rFonts w:ascii="Century Gothic" w:hAnsi="Century Gothic"/>
          <w:sz w:val="20"/>
          <w:szCs w:val="20"/>
          <w:lang w:val="es-ES"/>
        </w:rPr>
        <w:t xml:space="preserve"> Damaris Vargas Vásquez &lt;</w:t>
      </w:r>
      <w:hyperlink r:id="rId65">
        <w:r>
          <w:rPr>
            <w:rStyle w:val="EnlacedeInternet"/>
            <w:rFonts w:ascii="Century Gothic" w:hAnsi="Century Gothic"/>
            <w:sz w:val="20"/>
            <w:szCs w:val="20"/>
          </w:rPr>
          <w:t>dvargas@Poder-Judicial.go.cr</w:t>
        </w:r>
      </w:hyperlink>
      <w:r>
        <w:rPr>
          <w:rFonts w:ascii="Century Gothic" w:hAnsi="Century Gothic"/>
          <w:sz w:val="20"/>
          <w:szCs w:val="20"/>
          <w:lang w:val="es-ES"/>
        </w:rPr>
        <w:t>&gt;</w:t>
        <w:br/>
      </w:r>
      <w:r>
        <w:rPr>
          <w:rFonts w:ascii="Century Gothic" w:hAnsi="Century Gothic"/>
          <w:b/>
          <w:bCs/>
          <w:sz w:val="20"/>
          <w:szCs w:val="20"/>
          <w:lang w:val="es-ES"/>
        </w:rPr>
        <w:t>Asunto:</w:t>
      </w:r>
      <w:r>
        <w:rPr>
          <w:rFonts w:ascii="Century Gothic" w:hAnsi="Century Gothic"/>
          <w:sz w:val="20"/>
          <w:szCs w:val="20"/>
          <w:lang w:val="es-ES"/>
        </w:rPr>
        <w:t xml:space="preserve"> Re: saludos </w:t>
      </w:r>
    </w:p>
    <w:p>
      <w:pPr>
        <w:pStyle w:val="Normal"/>
        <w:ind w:left="1416" w:hanging="0"/>
        <w:rPr>
          <w:rFonts w:ascii="Century Gothic" w:hAnsi="Century Gothic"/>
          <w:sz w:val="20"/>
          <w:szCs w:val="20"/>
        </w:rPr>
      </w:pPr>
      <w:r>
        <w:rPr>
          <w:rFonts w:ascii="Century Gothic" w:hAnsi="Century Gothic"/>
          <w:sz w:val="20"/>
          <w:szCs w:val="20"/>
        </w:rPr>
      </w:r>
    </w:p>
    <w:p>
      <w:pPr>
        <w:pStyle w:val="Western"/>
        <w:ind w:left="1416" w:right="108" w:hanging="0"/>
        <w:jc w:val="center"/>
        <w:rPr>
          <w:rFonts w:ascii="Century Gothic" w:hAnsi="Century Gothic"/>
          <w:color w:val="000000"/>
          <w:sz w:val="20"/>
          <w:szCs w:val="20"/>
        </w:rPr>
      </w:pPr>
      <w:r>
        <w:rPr>
          <w:rFonts w:ascii="Century Gothic" w:hAnsi="Century Gothic"/>
          <w:color w:val="000000"/>
          <w:sz w:val="20"/>
          <w:szCs w:val="20"/>
        </w:rPr>
      </w:r>
    </w:p>
    <w:p>
      <w:pPr>
        <w:pStyle w:val="Western"/>
        <w:ind w:left="1416" w:right="108" w:hanging="0"/>
        <w:jc w:val="center"/>
        <w:rPr>
          <w:rFonts w:ascii="Century Gothic" w:hAnsi="Century Gothic"/>
          <w:color w:val="000000"/>
          <w:sz w:val="20"/>
          <w:szCs w:val="20"/>
        </w:rPr>
      </w:pPr>
      <w:r>
        <w:rPr>
          <w:rFonts w:ascii="Century Gothic" w:hAnsi="Century Gothic"/>
          <w:b/>
          <w:bCs/>
          <w:color w:val="000000"/>
          <w:sz w:val="20"/>
          <w:szCs w:val="20"/>
        </w:rPr>
        <w:t>Comunicado de Prensa</w:t>
      </w:r>
    </w:p>
    <w:p>
      <w:pPr>
        <w:pStyle w:val="Western"/>
        <w:ind w:left="1416" w:right="108" w:hanging="0"/>
        <w:jc w:val="right"/>
        <w:rPr>
          <w:rFonts w:ascii="Century Gothic" w:hAnsi="Century Gothic"/>
          <w:color w:val="000000"/>
          <w:sz w:val="20"/>
          <w:szCs w:val="20"/>
        </w:rPr>
      </w:pPr>
      <w:r>
        <w:rPr>
          <w:rFonts w:ascii="Century Gothic" w:hAnsi="Century Gothic"/>
          <w:b/>
          <w:bCs/>
          <w:color w:val="000000"/>
          <w:sz w:val="20"/>
          <w:szCs w:val="20"/>
        </w:rPr>
        <w:t>Jueves 27 de junio de 2019</w:t>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r>
    </w:p>
    <w:p>
      <w:pPr>
        <w:pStyle w:val="Western"/>
        <w:numPr>
          <w:ilvl w:val="0"/>
          <w:numId w:val="15"/>
        </w:numPr>
        <w:tabs>
          <w:tab w:val="clear" w:pos="708"/>
          <w:tab w:val="left" w:pos="1428" w:leader="none"/>
        </w:tabs>
        <w:ind w:left="2136" w:right="108" w:hanging="360"/>
        <w:rPr>
          <w:rFonts w:ascii="Century Gothic" w:hAnsi="Century Gothic"/>
          <w:color w:val="000000"/>
          <w:sz w:val="20"/>
          <w:szCs w:val="20"/>
        </w:rPr>
      </w:pPr>
      <w:r>
        <w:rPr>
          <w:rFonts w:ascii="Century Gothic" w:hAnsi="Century Gothic"/>
          <w:b/>
          <w:bCs/>
          <w:color w:val="000000"/>
          <w:sz w:val="20"/>
          <w:szCs w:val="20"/>
        </w:rPr>
        <w:t>Poder Ejecutivo no dio respuesta a los últimos planteamientos de las organizaciones de la zona sur relacionados con el asesinato de Sergio Rojas, la recuperación de tierras y el acceso a la justicia para los pueblos originarios</w:t>
      </w:r>
    </w:p>
    <w:p>
      <w:pPr>
        <w:pStyle w:val="Western"/>
        <w:numPr>
          <w:ilvl w:val="0"/>
          <w:numId w:val="15"/>
        </w:numPr>
        <w:tabs>
          <w:tab w:val="clear" w:pos="708"/>
          <w:tab w:val="left" w:pos="1428" w:leader="none"/>
        </w:tabs>
        <w:ind w:left="2136" w:right="108" w:hanging="360"/>
        <w:rPr>
          <w:rFonts w:ascii="Century Gothic" w:hAnsi="Century Gothic"/>
          <w:color w:val="000000"/>
          <w:sz w:val="20"/>
          <w:szCs w:val="20"/>
        </w:rPr>
      </w:pPr>
      <w:r>
        <w:rPr>
          <w:rFonts w:ascii="Century Gothic" w:hAnsi="Century Gothic"/>
          <w:b/>
          <w:bCs/>
          <w:color w:val="000000"/>
          <w:sz w:val="20"/>
          <w:szCs w:val="20"/>
        </w:rPr>
        <w:t>Organizaciones firmantes apoyan el derecho a la huelga y la protesta social y condenan la represión del gobierno contra estudiantes, pescadores y otros sectores</w:t>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t>El jueves 20 de junio, las organizaciones de la zona sur de Costa Rica que suscriben este comunicado enviaron a los Poderes Ejecutivo y Judicial un documento titulado “Pronunciamiento Püblico por la Justicia para Sergio Rojas y los Pueblos Originarios de la Zona Sur” y solicitaron una respuesta de estos dos Poderes antes del día de hoy.</w:t>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t>El Poder Judicial dio respuesta el viernes 21 de junio por medio de un Informe enviado por la Jueza Damaris Vargas Vásquez, Coordinadora de la Subcomisión de Acceso a la Justicia de los Pueblos Indígenas del Poder Judicial; mientras que el Ejecutivo en esta ocasión no brindó respuesta alguna.</w:t>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r>
    </w:p>
    <w:p>
      <w:pPr>
        <w:pStyle w:val="Western"/>
        <w:ind w:left="1416" w:right="108" w:hanging="0"/>
        <w:rPr>
          <w:rFonts w:ascii="Century Gothic" w:hAnsi="Century Gothic"/>
          <w:color w:val="000000"/>
          <w:sz w:val="20"/>
          <w:szCs w:val="20"/>
        </w:rPr>
      </w:pPr>
      <w:r>
        <w:rPr>
          <w:rFonts w:ascii="Century Gothic" w:hAnsi="Century Gothic"/>
          <w:color w:val="000000"/>
          <w:sz w:val="20"/>
          <w:szCs w:val="20"/>
        </w:rPr>
        <w:t>Por lo anterior reiteramos ante el Ejecutivo las siguientes demandas y propuestas:</w:t>
      </w:r>
    </w:p>
    <w:p>
      <w:pPr>
        <w:pStyle w:val="Western"/>
        <w:ind w:left="1416" w:hanging="0"/>
        <w:rPr>
          <w:rFonts w:ascii="Century Gothic" w:hAnsi="Century Gothic"/>
          <w:color w:val="000000"/>
          <w:sz w:val="20"/>
          <w:szCs w:val="20"/>
        </w:rPr>
      </w:pPr>
      <w:r>
        <w:rPr>
          <w:rFonts w:ascii="Century Gothic" w:hAnsi="Century Gothic"/>
          <w:color w:val="000000"/>
          <w:sz w:val="20"/>
          <w:szCs w:val="20"/>
        </w:rPr>
      </w:r>
    </w:p>
    <w:p>
      <w:pPr>
        <w:pStyle w:val="NormalWeb"/>
        <w:numPr>
          <w:ilvl w:val="0"/>
          <w:numId w:val="2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el estado costarricense cumpla realmente con el Protocolo de Seguridad suscrito con el pueblo bribri de Salitre desde el 2017, el Plan de Seguridad para Térraba y los diferentes acuerdos que ha venido suscribiendo con los pueblos beneficiarios de las Medidas Cautelares.</w:t>
      </w:r>
    </w:p>
    <w:p>
      <w:pPr>
        <w:pStyle w:val="NormalWeb"/>
        <w:numPr>
          <w:ilvl w:val="0"/>
          <w:numId w:val="16"/>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el Poder Ejecutivo ejecute los restantes 6 desalojos (de los 8 planteados) ya emitidos por el Ministerio de Seguridad Pública en el Territorio de Salitre.</w:t>
      </w:r>
    </w:p>
    <w:p>
      <w:pPr>
        <w:pStyle w:val="NormalWeb"/>
        <w:numPr>
          <w:ilvl w:val="0"/>
          <w:numId w:val="16"/>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el Estado costarricense de respuesta formal a la propuesta de Protocolo de Seguridad e Integridad Territorial propuesto por el pueblo bribri de Cabagra desde julio de 2016.</w:t>
      </w:r>
    </w:p>
    <w:p>
      <w:pPr>
        <w:pStyle w:val="NormalWeb"/>
        <w:numPr>
          <w:ilvl w:val="0"/>
          <w:numId w:val="16"/>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el Estado costarricense ejecute los 13 desalojos planteados por el pueblo bribri de Cabagra en el Protocolo indicado en el punto anterior.</w:t>
      </w:r>
    </w:p>
    <w:p>
      <w:pPr>
        <w:pStyle w:val="NormalWeb"/>
        <w:numPr>
          <w:ilvl w:val="0"/>
          <w:numId w:val="16"/>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el Ejecutivo emita un Decreto Ejecutivo que formalice y de seguridad jurídica a la Base de Datos construida por el Pueblo Bröran de Térraba.</w:t>
      </w:r>
    </w:p>
    <w:p>
      <w:pPr>
        <w:pStyle w:val="NormalWeb"/>
        <w:numPr>
          <w:ilvl w:val="0"/>
          <w:numId w:val="16"/>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 xml:space="preserve">Que el Poder Ejecutivo, en este caso el Ministerio de Seguridad detenga el proceso de Desahucio Administrativo en contra de las y los recuperadores Cabecares de China Kicha, establecido por el terrateniente Angel Marin Espinoza y al cual ese Ministerio dio trámite sin la menor investigación y atención especial al tratarse de un territorio de un pueblo originario. La demanda ya fue constestada en tiempo y forma por las y los recuperadores de la finca Kono Ju. </w:t>
      </w:r>
    </w:p>
    <w:p>
      <w:pPr>
        <w:pStyle w:val="NormalWeb"/>
        <w:numPr>
          <w:ilvl w:val="0"/>
          <w:numId w:val="16"/>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se realice una investigación de todo el personal policial de la Delegación de la Fuerza Pública del cantón de Buenos Aires con respecto a su actuar frente a los pueblos originarios para determinar las posibles responsabilidades y sanciones administrativas o judiciales.</w:t>
      </w:r>
    </w:p>
    <w:p>
      <w:pPr>
        <w:pStyle w:val="Western"/>
        <w:ind w:left="1416" w:hanging="0"/>
        <w:rPr>
          <w:rFonts w:ascii="Century Gothic" w:hAnsi="Century Gothic"/>
          <w:color w:val="000000"/>
          <w:sz w:val="20"/>
          <w:szCs w:val="20"/>
        </w:rPr>
      </w:pPr>
      <w:r>
        <w:rPr>
          <w:rFonts w:ascii="Century Gothic" w:hAnsi="Century Gothic"/>
          <w:color w:val="000000"/>
          <w:sz w:val="20"/>
          <w:szCs w:val="20"/>
        </w:rPr>
        <w:t>Por su parte, ante la respuesta del Poder Judicial del 21 de junio; expresamos que la misma no satisface nuestras expectativas y si bien es un Informe amplio en el cual se citan diferentes normativas, no se dán respuestas concretas a las demandas planteadas; por lo que reiteramos y demandamos:</w:t>
      </w:r>
    </w:p>
    <w:p>
      <w:pPr>
        <w:pStyle w:val="NormalWeb"/>
        <w:numPr>
          <w:ilvl w:val="0"/>
          <w:numId w:val="28"/>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el Poder Judicial de un informe razonable sobre la investigación del asesinato de Sergio Rojas Ortiz en el plazo de 7 días hábiles de la fecha de esta misiva.</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no quede impune el asesinato de Rojas Ortiz y se determinen los responsables intelectuales y materiales de este asesinato.</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se realice una investigación de todo el personal judicial del cantón de Buenos Aires con respecto a su actuar frente a los pueblos originarios para determinar las posibles responsabilidades y sanciones administrativas o judiciales.</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se realice una investigación sobre el actuar del Juez del Juzgado Civil, Trabajo y Familia de Buenos Aires (Materia Agraria) Jean Carlos Cespedes Mora en relación a los casos agrarios que involucre a pueblos originarios y se le prohiba conocer este tipo de causas; debido a su relación de parentesco con el terrateniente no indígena Luis Chinchilla, quien ocupa ilegalmente tierras en los territorios de Térraba y Boruca.</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la Inspección Judicial de respuesta en el plazo de un mes hábil a los documentos que le transfirió la Subcomisión de Acceso a la Justicia para los Pueblos Indígenas del Poder Judicial; entregados por organizaciones de estos pueblos a la Subcomisión citada el 24 de agosto de 2018.</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se establezca un fondo económico para sufragar los gastos en que incurren los los pueblos indígenas al realizar diligencias judiciales.</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Aplicar programas de formación en derechos humanos y derechos indígenas para funcionarias (os) judiciales y policiales de Buenos Aires.</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Que las diferentes instancias judiciales acepten la participación, documentos, testimonios o sugerencias de las instancias tradicionales de los pueblos originarios, para que contribuyan a alcanzar la justicia pronta y cumplida.</w:t>
      </w:r>
    </w:p>
    <w:p>
      <w:pPr>
        <w:pStyle w:val="NormalWeb"/>
        <w:numPr>
          <w:ilvl w:val="0"/>
          <w:numId w:val="17"/>
        </w:numPr>
        <w:tabs>
          <w:tab w:val="clear" w:pos="708"/>
          <w:tab w:val="left" w:pos="1428" w:leader="none"/>
        </w:tabs>
        <w:spacing w:beforeAutospacing="0" w:before="0" w:afterAutospacing="0" w:after="0"/>
        <w:ind w:left="2136" w:hanging="360"/>
        <w:rPr>
          <w:rFonts w:ascii="Century Gothic" w:hAnsi="Century Gothic"/>
          <w:color w:val="000000"/>
          <w:sz w:val="20"/>
          <w:szCs w:val="20"/>
        </w:rPr>
      </w:pPr>
      <w:r>
        <w:rPr>
          <w:rFonts w:ascii="Century Gothic" w:hAnsi="Century Gothic"/>
          <w:color w:val="000000"/>
          <w:sz w:val="20"/>
          <w:szCs w:val="20"/>
        </w:rPr>
        <w:t>Coordinar con los pueblos originarios y sus instancias propias la identificación y contratación de las y los interpretes y traductores.</w:t>
      </w:r>
    </w:p>
    <w:p>
      <w:pPr>
        <w:pStyle w:val="Western"/>
        <w:ind w:left="1416" w:hanging="0"/>
        <w:rPr>
          <w:rFonts w:ascii="Century Gothic" w:hAnsi="Century Gothic"/>
          <w:color w:val="000000"/>
          <w:sz w:val="20"/>
          <w:szCs w:val="20"/>
        </w:rPr>
      </w:pPr>
      <w:r>
        <w:rPr>
          <w:rFonts w:ascii="Century Gothic" w:hAnsi="Century Gothic"/>
          <w:color w:val="000000"/>
          <w:sz w:val="20"/>
          <w:szCs w:val="20"/>
        </w:rPr>
        <w:t>Por último, las organizaciones firmantes expresan su apoyo a las diversas organizaciones sociales que luchan y defienden el derecho a la huelga y la manifestación social, por lo que desaprueban los proyectos de ley que tratan de restringir estos derechos y condenan la represión ejercida por el gobierno contra las y lso estudiantes, pescadores y otros sectores sociales.</w:t>
      </w:r>
    </w:p>
    <w:p>
      <w:pPr>
        <w:pStyle w:val="Western"/>
        <w:ind w:left="1416" w:hanging="0"/>
        <w:rPr>
          <w:rFonts w:ascii="Century Gothic" w:hAnsi="Century Gothic"/>
          <w:color w:val="000000"/>
          <w:sz w:val="20"/>
          <w:szCs w:val="20"/>
        </w:rPr>
      </w:pPr>
      <w:r>
        <w:rPr>
          <w:rFonts w:ascii="Century Gothic" w:hAnsi="Century Gothic"/>
          <w:color w:val="000000"/>
          <w:sz w:val="20"/>
          <w:szCs w:val="20"/>
        </w:rPr>
      </w:r>
    </w:p>
    <w:p>
      <w:pPr>
        <w:pStyle w:val="Western"/>
        <w:ind w:left="1416" w:hanging="0"/>
        <w:rPr>
          <w:rFonts w:ascii="Century Gothic" w:hAnsi="Century Gothic"/>
          <w:color w:val="000000"/>
          <w:sz w:val="20"/>
          <w:szCs w:val="20"/>
        </w:rPr>
      </w:pPr>
      <w:r>
        <w:rPr>
          <w:rFonts w:ascii="Century Gothic" w:hAnsi="Century Gothic"/>
          <w:color w:val="000000"/>
          <w:sz w:val="20"/>
          <w:szCs w:val="20"/>
        </w:rPr>
      </w:r>
    </w:p>
    <w:p>
      <w:pPr>
        <w:pStyle w:val="Western"/>
        <w:ind w:left="1416" w:hanging="0"/>
        <w:rPr>
          <w:rFonts w:ascii="Century Gothic" w:hAnsi="Century Gothic"/>
          <w:color w:val="000000"/>
          <w:sz w:val="20"/>
          <w:szCs w:val="20"/>
        </w:rPr>
      </w:pPr>
      <w:r>
        <w:rPr>
          <w:rFonts w:ascii="Century Gothic" w:hAnsi="Century Gothic"/>
          <w:color w:val="000000"/>
          <w:sz w:val="20"/>
          <w:szCs w:val="20"/>
        </w:rPr>
      </w:r>
    </w:p>
    <w:p>
      <w:pPr>
        <w:pStyle w:val="Western"/>
        <w:ind w:left="1416" w:hanging="0"/>
        <w:rPr>
          <w:rFonts w:ascii="Century Gothic" w:hAnsi="Century Gothic"/>
          <w:color w:val="000000"/>
          <w:sz w:val="20"/>
          <w:szCs w:val="20"/>
        </w:rPr>
      </w:pPr>
      <w:r>
        <w:rPr>
          <w:rFonts w:ascii="Century Gothic" w:hAnsi="Century Gothic"/>
          <w:color w:val="000000"/>
          <w:sz w:val="20"/>
          <w:szCs w:val="20"/>
        </w:rPr>
      </w:r>
    </w:p>
    <w:p>
      <w:pPr>
        <w:pStyle w:val="Western"/>
        <w:ind w:left="1416" w:hanging="0"/>
        <w:rPr>
          <w:rFonts w:ascii="Century Gothic" w:hAnsi="Century Gothic"/>
          <w:color w:val="000000"/>
          <w:sz w:val="20"/>
          <w:szCs w:val="20"/>
        </w:rPr>
      </w:pPr>
      <w:r>
        <w:rPr>
          <w:rFonts w:ascii="Century Gothic" w:hAnsi="Century Gothic"/>
          <w:color w:val="000000"/>
          <w:sz w:val="20"/>
          <w:szCs w:val="20"/>
        </w:rPr>
        <w:t>Para cualquier comunicación;</w:t>
      </w:r>
    </w:p>
    <w:p>
      <w:pPr>
        <w:pStyle w:val="Western"/>
        <w:ind w:left="1416" w:hanging="0"/>
        <w:rPr>
          <w:rFonts w:ascii="Century Gothic" w:hAnsi="Century Gothic"/>
          <w:color w:val="000000"/>
          <w:sz w:val="20"/>
          <w:szCs w:val="20"/>
        </w:rPr>
      </w:pPr>
      <w:r>
        <w:rPr>
          <w:rFonts w:ascii="Century Gothic" w:hAnsi="Century Gothic"/>
          <w:color w:val="000000"/>
          <w:sz w:val="20"/>
          <w:szCs w:val="20"/>
        </w:rPr>
        <w:t xml:space="preserve">Felipe Figueroa Morales; </w:t>
      </w:r>
      <w:hyperlink r:id="rId66">
        <w:r>
          <w:rPr>
            <w:rStyle w:val="EnlacedeInternet"/>
            <w:rFonts w:ascii="Century Gothic" w:hAnsi="Century Gothic"/>
            <w:sz w:val="20"/>
            <w:szCs w:val="20"/>
          </w:rPr>
          <w:t>felipeculturabribri@gmail.com</w:t>
        </w:r>
      </w:hyperlink>
    </w:p>
    <w:p>
      <w:pPr>
        <w:pStyle w:val="Western"/>
        <w:ind w:left="1416" w:hanging="0"/>
        <w:rPr>
          <w:rFonts w:ascii="Century Gothic" w:hAnsi="Century Gothic"/>
          <w:color w:val="000000"/>
          <w:sz w:val="20"/>
          <w:szCs w:val="20"/>
        </w:rPr>
      </w:pPr>
      <w:r>
        <w:rPr>
          <w:rFonts w:ascii="Century Gothic" w:hAnsi="Century Gothic"/>
          <w:color w:val="000000"/>
          <w:sz w:val="20"/>
          <w:szCs w:val="20"/>
        </w:rPr>
        <w:t xml:space="preserve">Maximiliano Torres Torres; </w:t>
      </w:r>
      <w:hyperlink r:id="rId67">
        <w:r>
          <w:rPr>
            <w:rStyle w:val="EnlacedeInternet"/>
            <w:rFonts w:ascii="Century Gothic" w:hAnsi="Century Gothic"/>
            <w:sz w:val="20"/>
            <w:szCs w:val="20"/>
          </w:rPr>
          <w:t>consejomayores.iriria@gmail.com</w:t>
        </w:r>
      </w:hyperlink>
    </w:p>
    <w:p>
      <w:pPr>
        <w:pStyle w:val="Western"/>
        <w:ind w:left="1416" w:hanging="0"/>
        <w:rPr>
          <w:rFonts w:ascii="Century Gothic" w:hAnsi="Century Gothic"/>
          <w:color w:val="000000"/>
          <w:sz w:val="20"/>
          <w:szCs w:val="20"/>
          <w:lang w:val="en-US"/>
        </w:rPr>
      </w:pPr>
      <w:r>
        <w:rPr>
          <w:rFonts w:ascii="Century Gothic" w:hAnsi="Century Gothic"/>
          <w:color w:val="000000"/>
          <w:sz w:val="20"/>
          <w:szCs w:val="20"/>
          <w:lang w:val="en-US"/>
        </w:rPr>
        <w:t xml:space="preserve">Roberth Morales; </w:t>
      </w:r>
      <w:hyperlink r:id="rId68">
        <w:r>
          <w:rPr>
            <w:rStyle w:val="EnlacedeInternet"/>
            <w:rFonts w:ascii="Century Gothic" w:hAnsi="Century Gothic"/>
            <w:sz w:val="20"/>
            <w:szCs w:val="20"/>
            <w:lang w:val="en-US"/>
          </w:rPr>
          <w:t>roberthmv1974@gmail.com</w:t>
        </w:r>
      </w:hyperlink>
    </w:p>
    <w:p>
      <w:pPr>
        <w:pStyle w:val="Western"/>
        <w:ind w:left="1416" w:hanging="0"/>
        <w:rPr>
          <w:rFonts w:ascii="Century Gothic" w:hAnsi="Century Gothic"/>
          <w:color w:val="000000"/>
          <w:sz w:val="20"/>
          <w:szCs w:val="20"/>
          <w:lang w:val="en-US"/>
        </w:rPr>
      </w:pPr>
      <w:r>
        <w:rPr>
          <w:rFonts w:ascii="Century Gothic" w:hAnsi="Century Gothic"/>
          <w:color w:val="000000"/>
          <w:sz w:val="20"/>
          <w:szCs w:val="20"/>
          <w:lang w:val="en-US"/>
        </w:rPr>
        <w:t xml:space="preserve">Gustavo Oreamuno V; </w:t>
      </w:r>
      <w:hyperlink r:id="rId69">
        <w:r>
          <w:rPr>
            <w:rStyle w:val="EnlacedeInternet"/>
            <w:rFonts w:ascii="Century Gothic" w:hAnsi="Century Gothic"/>
            <w:sz w:val="20"/>
            <w:szCs w:val="20"/>
            <w:lang w:val="en-US"/>
          </w:rPr>
          <w:t>tavoreamuno72@gmail.com</w:t>
        </w:r>
      </w:hyperlink>
      <w:r>
        <w:rPr>
          <w:rFonts w:ascii="Century Gothic" w:hAnsi="Century Gothic"/>
          <w:color w:val="000000"/>
          <w:sz w:val="20"/>
          <w:szCs w:val="20"/>
          <w:lang w:val="en-US"/>
        </w:rPr>
        <w:t xml:space="preserve"> </w:t>
      </w:r>
    </w:p>
    <w:p>
      <w:pPr>
        <w:pStyle w:val="Western"/>
        <w:ind w:left="1416" w:hanging="0"/>
        <w:rPr>
          <w:rFonts w:ascii="Century Gothic" w:hAnsi="Century Gothic"/>
          <w:color w:val="000000"/>
          <w:sz w:val="20"/>
          <w:szCs w:val="20"/>
          <w:lang w:val="en-US"/>
        </w:rPr>
      </w:pPr>
      <w:r>
        <w:rPr>
          <w:rFonts w:ascii="Century Gothic" w:hAnsi="Century Gothic"/>
          <w:color w:val="000000"/>
          <w:sz w:val="20"/>
          <w:szCs w:val="20"/>
          <w:lang w:val="en-US"/>
        </w:rPr>
      </w:r>
    </w:p>
    <w:p>
      <w:pPr>
        <w:pStyle w:val="Western"/>
        <w:ind w:left="1416" w:hanging="0"/>
        <w:rPr>
          <w:rFonts w:ascii="Century Gothic" w:hAnsi="Century Gothic"/>
          <w:color w:val="000000"/>
          <w:sz w:val="20"/>
          <w:szCs w:val="20"/>
        </w:rPr>
      </w:pPr>
      <w:r>
        <w:rPr>
          <w:rFonts w:ascii="Century Gothic" w:hAnsi="Century Gothic"/>
          <w:color w:val="000000"/>
          <w:sz w:val="20"/>
          <w:szCs w:val="20"/>
        </w:rPr>
        <w:t xml:space="preserve">Organizaciones firmantes: </w:t>
      </w:r>
    </w:p>
    <w:p>
      <w:pPr>
        <w:pStyle w:val="Western"/>
        <w:ind w:left="1416" w:hanging="0"/>
        <w:rPr>
          <w:rFonts w:ascii="Century Gothic" w:hAnsi="Century Gothic"/>
          <w:color w:val="000000"/>
          <w:sz w:val="20"/>
          <w:szCs w:val="20"/>
        </w:rPr>
      </w:pPr>
      <w:r>
        <w:rPr>
          <w:rFonts w:ascii="Century Gothic" w:hAnsi="Century Gothic"/>
          <w:color w:val="000000"/>
          <w:sz w:val="20"/>
          <w:szCs w:val="20"/>
          <w:lang w:val="pt-BR"/>
        </w:rPr>
        <w:t>Consejo Ditsö Iriria Ajkonuk Wakpa de Salitre.</w:t>
      </w:r>
    </w:p>
    <w:p>
      <w:pPr>
        <w:pStyle w:val="Western"/>
        <w:ind w:left="1416" w:hanging="0"/>
        <w:rPr>
          <w:rFonts w:ascii="Century Gothic" w:hAnsi="Century Gothic"/>
          <w:color w:val="000000"/>
          <w:sz w:val="20"/>
          <w:szCs w:val="20"/>
        </w:rPr>
      </w:pPr>
      <w:r>
        <w:rPr>
          <w:rFonts w:ascii="Century Gothic" w:hAnsi="Century Gothic"/>
          <w:color w:val="000000"/>
          <w:sz w:val="20"/>
          <w:szCs w:val="20"/>
        </w:rPr>
        <w:t>Consejo Indígena Regional Pacífico Sur de Yimba Cajc.</w:t>
      </w:r>
    </w:p>
    <w:p>
      <w:pPr>
        <w:pStyle w:val="Western"/>
        <w:ind w:left="1416" w:hanging="0"/>
        <w:rPr>
          <w:rFonts w:ascii="Century Gothic" w:hAnsi="Century Gothic"/>
          <w:color w:val="000000"/>
          <w:sz w:val="20"/>
          <w:szCs w:val="20"/>
        </w:rPr>
      </w:pPr>
      <w:r>
        <w:rPr>
          <w:rFonts w:ascii="Century Gothic" w:hAnsi="Century Gothic"/>
          <w:color w:val="000000"/>
          <w:sz w:val="20"/>
          <w:szCs w:val="20"/>
        </w:rPr>
        <w:t>Consejo de Mayores Iriria Jtecho Wakpa de Cabagra.</w:t>
      </w:r>
    </w:p>
    <w:p>
      <w:pPr>
        <w:pStyle w:val="Western"/>
        <w:ind w:left="1416" w:hanging="0"/>
        <w:rPr>
          <w:rFonts w:ascii="Century Gothic" w:hAnsi="Century Gothic"/>
          <w:color w:val="000000"/>
          <w:sz w:val="20"/>
          <w:szCs w:val="20"/>
        </w:rPr>
      </w:pPr>
      <w:r>
        <w:rPr>
          <w:rFonts w:ascii="Century Gothic" w:hAnsi="Century Gothic"/>
          <w:color w:val="000000"/>
          <w:sz w:val="20"/>
          <w:szCs w:val="20"/>
        </w:rPr>
        <w:t>Recuperador@s Cabecar de China Kichá.</w:t>
      </w:r>
    </w:p>
    <w:p>
      <w:pPr>
        <w:pStyle w:val="Western"/>
        <w:ind w:left="1416" w:hanging="0"/>
        <w:rPr>
          <w:rFonts w:ascii="Century Gothic" w:hAnsi="Century Gothic"/>
          <w:color w:val="000000"/>
          <w:sz w:val="20"/>
          <w:szCs w:val="20"/>
        </w:rPr>
      </w:pPr>
      <w:r>
        <w:rPr>
          <w:rFonts w:ascii="Century Gothic" w:hAnsi="Century Gothic"/>
          <w:color w:val="000000"/>
          <w:sz w:val="20"/>
          <w:szCs w:val="20"/>
        </w:rPr>
        <w:t>Recuperador@s Bribris de Salitre.</w:t>
      </w:r>
    </w:p>
    <w:p>
      <w:pPr>
        <w:pStyle w:val="Western"/>
        <w:ind w:left="1416" w:hanging="0"/>
        <w:rPr>
          <w:rFonts w:ascii="Century Gothic" w:hAnsi="Century Gothic"/>
          <w:color w:val="000000"/>
          <w:sz w:val="20"/>
          <w:szCs w:val="20"/>
        </w:rPr>
      </w:pPr>
      <w:r>
        <w:rPr>
          <w:rFonts w:ascii="Century Gothic" w:hAnsi="Century Gothic"/>
          <w:color w:val="000000"/>
          <w:sz w:val="20"/>
          <w:szCs w:val="20"/>
        </w:rPr>
        <w:t>Recuperador@s Broran de Crun Shurin.</w:t>
      </w:r>
    </w:p>
    <w:p>
      <w:pPr>
        <w:pStyle w:val="Western"/>
        <w:ind w:left="1416" w:hanging="0"/>
        <w:rPr>
          <w:rFonts w:ascii="Century Gothic" w:hAnsi="Century Gothic"/>
          <w:color w:val="000000"/>
          <w:sz w:val="20"/>
          <w:szCs w:val="20"/>
        </w:rPr>
      </w:pPr>
      <w:r>
        <w:rPr>
          <w:rFonts w:ascii="Century Gothic" w:hAnsi="Century Gothic"/>
          <w:color w:val="000000"/>
          <w:sz w:val="20"/>
          <w:szCs w:val="20"/>
        </w:rPr>
        <w:t>Recuperador@s Broran de Finca San Andrés.</w:t>
      </w:r>
    </w:p>
    <w:p>
      <w:pPr>
        <w:pStyle w:val="Western"/>
        <w:ind w:left="1416" w:hanging="0"/>
        <w:rPr>
          <w:rFonts w:ascii="Century Gothic" w:hAnsi="Century Gothic"/>
          <w:color w:val="000000"/>
          <w:sz w:val="20"/>
          <w:szCs w:val="20"/>
        </w:rPr>
      </w:pPr>
      <w:r>
        <w:rPr>
          <w:rFonts w:ascii="Century Gothic" w:hAnsi="Century Gothic"/>
          <w:color w:val="000000"/>
          <w:sz w:val="20"/>
          <w:szCs w:val="20"/>
        </w:rPr>
        <w:t>Organización Autónoma Gwrvechi Kare del Territorio Ngäbe de Conte Burica.</w:t>
      </w:r>
    </w:p>
    <w:p>
      <w:pPr>
        <w:pStyle w:val="Western"/>
        <w:ind w:left="1416" w:hanging="0"/>
        <w:rPr>
          <w:rFonts w:ascii="Century Gothic" w:hAnsi="Century Gothic"/>
          <w:color w:val="000000"/>
          <w:sz w:val="20"/>
          <w:szCs w:val="20"/>
        </w:rPr>
      </w:pPr>
      <w:r>
        <w:rPr>
          <w:rFonts w:ascii="Century Gothic" w:hAnsi="Century Gothic"/>
          <w:color w:val="000000"/>
          <w:sz w:val="20"/>
          <w:szCs w:val="20"/>
        </w:rPr>
        <w:t>Asociación de Productores de Finca 10.</w:t>
      </w:r>
    </w:p>
    <w:p>
      <w:pPr>
        <w:pStyle w:val="Western"/>
        <w:ind w:left="1416" w:hanging="0"/>
        <w:rPr>
          <w:rFonts w:ascii="Century Gothic" w:hAnsi="Century Gothic"/>
          <w:color w:val="000000"/>
          <w:sz w:val="20"/>
          <w:szCs w:val="20"/>
        </w:rPr>
      </w:pPr>
      <w:r>
        <w:rPr>
          <w:rFonts w:ascii="Century Gothic" w:hAnsi="Century Gothic"/>
          <w:color w:val="000000"/>
          <w:sz w:val="20"/>
          <w:szCs w:val="20"/>
        </w:rPr>
        <w:t>Comité de lucha por la tierra de finca Changuina.</w:t>
      </w:r>
    </w:p>
    <w:p>
      <w:pPr>
        <w:pStyle w:val="Western"/>
        <w:ind w:left="1416" w:hanging="0"/>
        <w:rPr>
          <w:rFonts w:ascii="Century Gothic" w:hAnsi="Century Gothic"/>
          <w:color w:val="000000"/>
          <w:sz w:val="20"/>
          <w:szCs w:val="20"/>
        </w:rPr>
      </w:pPr>
      <w:r>
        <w:rPr>
          <w:rFonts w:ascii="Century Gothic" w:hAnsi="Century Gothic"/>
          <w:color w:val="000000"/>
          <w:sz w:val="20"/>
          <w:szCs w:val="20"/>
        </w:rPr>
        <w:t>Cootraosa.</w:t>
        <w:br/>
        <w:t>Voces Nuestras.</w:t>
      </w:r>
    </w:p>
    <w:p>
      <w:pPr>
        <w:pStyle w:val="Western"/>
        <w:ind w:left="1416" w:hanging="0"/>
        <w:rPr>
          <w:rFonts w:ascii="Century Gothic" w:hAnsi="Century Gothic"/>
          <w:color w:val="000000"/>
          <w:sz w:val="20"/>
          <w:szCs w:val="20"/>
        </w:rPr>
      </w:pPr>
      <w:r>
        <w:rPr>
          <w:rFonts w:ascii="Century Gothic" w:hAnsi="Century Gothic"/>
          <w:color w:val="000000"/>
          <w:sz w:val="20"/>
          <w:szCs w:val="20"/>
        </w:rPr>
        <w:t>Comité de Lucha por la tierra de kilómetro 37 de Golfito y Corredores.</w:t>
      </w:r>
    </w:p>
    <w:p>
      <w:pPr>
        <w:pStyle w:val="Western"/>
        <w:ind w:left="1416" w:hanging="0"/>
        <w:rPr>
          <w:rFonts w:ascii="Century Gothic" w:hAnsi="Century Gothic"/>
          <w:color w:val="000000"/>
          <w:sz w:val="20"/>
          <w:szCs w:val="20"/>
        </w:rPr>
      </w:pPr>
      <w:r>
        <w:rPr>
          <w:rFonts w:ascii="Century Gothic" w:hAnsi="Century Gothic"/>
          <w:color w:val="000000"/>
          <w:sz w:val="20"/>
          <w:szCs w:val="20"/>
        </w:rPr>
        <w:t>Asociación para la defensa de los Usuarios de los Servicios Públicos (ADUSP).</w:t>
      </w:r>
    </w:p>
    <w:p>
      <w:pPr>
        <w:pStyle w:val="Western"/>
        <w:ind w:left="1416" w:hanging="0"/>
        <w:rPr>
          <w:rFonts w:ascii="Century Gothic" w:hAnsi="Century Gothic"/>
          <w:color w:val="000000"/>
          <w:sz w:val="20"/>
          <w:szCs w:val="20"/>
        </w:rPr>
      </w:pPr>
      <w:r>
        <w:rPr>
          <w:rFonts w:ascii="Century Gothic" w:hAnsi="Century Gothic"/>
          <w:color w:val="000000"/>
          <w:sz w:val="20"/>
          <w:szCs w:val="20"/>
        </w:rPr>
        <w:t>Comité de lucha por la tierra de Finca Venecia.</w:t>
      </w:r>
    </w:p>
    <w:p>
      <w:pPr>
        <w:pStyle w:val="Western"/>
        <w:ind w:left="1416" w:hanging="0"/>
        <w:rPr>
          <w:rFonts w:ascii="Century Gothic" w:hAnsi="Century Gothic"/>
          <w:color w:val="000000"/>
          <w:sz w:val="20"/>
          <w:szCs w:val="20"/>
        </w:rPr>
      </w:pPr>
      <w:r>
        <w:rPr>
          <w:rFonts w:ascii="Century Gothic" w:hAnsi="Century Gothic"/>
          <w:color w:val="000000"/>
          <w:sz w:val="20"/>
          <w:szCs w:val="20"/>
          <w:lang w:val="pt-BR"/>
        </w:rPr>
        <w:t>SOJUPANO de Palmar de Osa.</w:t>
      </w:r>
    </w:p>
    <w:p>
      <w:pPr>
        <w:pStyle w:val="Western"/>
        <w:ind w:left="1416" w:hanging="0"/>
        <w:rPr>
          <w:rFonts w:ascii="Century Gothic" w:hAnsi="Century Gothic"/>
          <w:color w:val="000000"/>
          <w:sz w:val="20"/>
          <w:szCs w:val="20"/>
        </w:rPr>
      </w:pPr>
      <w:r>
        <w:rPr>
          <w:rFonts w:ascii="Century Gothic" w:hAnsi="Century Gothic"/>
          <w:color w:val="000000"/>
          <w:sz w:val="20"/>
          <w:szCs w:val="20"/>
        </w:rPr>
        <w:t>Tierra para el Campesino de Finca Puntarenas (TIPAELCA).</w:t>
      </w:r>
    </w:p>
    <w:p>
      <w:pPr>
        <w:pStyle w:val="Western"/>
        <w:ind w:left="1416" w:hanging="0"/>
        <w:rPr>
          <w:rFonts w:ascii="Century Gothic" w:hAnsi="Century Gothic"/>
          <w:color w:val="000000"/>
          <w:sz w:val="20"/>
          <w:szCs w:val="20"/>
        </w:rPr>
      </w:pPr>
      <w:r>
        <w:rPr>
          <w:rFonts w:ascii="Century Gothic" w:hAnsi="Century Gothic"/>
          <w:color w:val="000000"/>
          <w:sz w:val="20"/>
          <w:szCs w:val="20"/>
        </w:rPr>
        <w:t>SERBUSUR de Finca Puntarenas.</w:t>
      </w:r>
    </w:p>
    <w:p>
      <w:pPr>
        <w:pStyle w:val="Western"/>
        <w:ind w:left="1416" w:hanging="0"/>
        <w:rPr>
          <w:rFonts w:ascii="Century Gothic" w:hAnsi="Century Gothic"/>
          <w:color w:val="000000"/>
          <w:sz w:val="20"/>
          <w:szCs w:val="20"/>
        </w:rPr>
      </w:pPr>
      <w:r>
        <w:rPr>
          <w:rFonts w:ascii="Century Gothic" w:hAnsi="Century Gothic"/>
          <w:color w:val="000000"/>
          <w:sz w:val="20"/>
          <w:szCs w:val="20"/>
        </w:rPr>
        <w:t>Ditsö.</w:t>
      </w:r>
    </w:p>
    <w:p>
      <w:pPr>
        <w:pStyle w:val="Western"/>
        <w:ind w:left="1416" w:hanging="0"/>
        <w:rPr>
          <w:rFonts w:ascii="Century Gothic" w:hAnsi="Century Gothic"/>
          <w:color w:val="000000"/>
          <w:sz w:val="20"/>
          <w:szCs w:val="20"/>
        </w:rPr>
      </w:pPr>
      <w:r>
        <w:rPr>
          <w:rFonts w:ascii="Century Gothic" w:hAnsi="Century Gothic"/>
          <w:color w:val="000000"/>
          <w:sz w:val="20"/>
          <w:szCs w:val="20"/>
        </w:rPr>
        <w:t>Coordinadora de Lucha Sur Sur.</w:t>
      </w:r>
    </w:p>
    <w:p>
      <w:pPr>
        <w:pStyle w:val="Western"/>
        <w:ind w:left="1416" w:hanging="0"/>
        <w:rPr>
          <w:rFonts w:ascii="Century Gothic" w:hAnsi="Century Gothic"/>
          <w:color w:val="000000"/>
          <w:sz w:val="20"/>
          <w:szCs w:val="20"/>
        </w:rPr>
      </w:pPr>
      <w:r>
        <w:rPr>
          <w:rFonts w:ascii="Century Gothic" w:hAnsi="Century Gothic"/>
          <w:color w:val="000000"/>
          <w:sz w:val="20"/>
          <w:szCs w:val="20"/>
        </w:rPr>
      </w:r>
    </w:p>
    <w:p>
      <w:pPr>
        <w:pStyle w:val="Normal"/>
        <w:ind w:left="1416" w:hanging="0"/>
        <w:rPr>
          <w:rFonts w:ascii="Century Gothic" w:hAnsi="Century Gothic"/>
          <w:color w:val="000000"/>
          <w:sz w:val="20"/>
          <w:szCs w:val="20"/>
        </w:rPr>
      </w:pPr>
      <w:r>
        <w:rPr>
          <w:rFonts w:ascii="Century Gothic" w:hAnsi="Century Gothic"/>
          <w:color w:val="000000"/>
          <w:sz w:val="20"/>
          <w:szCs w:val="20"/>
        </w:rPr>
      </w:r>
    </w:p>
    <w:p>
      <w:pPr>
        <w:pStyle w:val="NormalWeb"/>
        <w:spacing w:before="280" w:after="280"/>
        <w:ind w:left="1416" w:hanging="0"/>
        <w:rPr>
          <w:rFonts w:ascii="Century Gothic" w:hAnsi="Century Gothic"/>
          <w:color w:val="000000"/>
          <w:sz w:val="20"/>
          <w:szCs w:val="20"/>
        </w:rPr>
      </w:pPr>
      <w:r>
        <w:rPr>
          <w:rFonts w:ascii="Century Gothic" w:hAnsi="Century Gothic"/>
          <w:color w:val="000000"/>
          <w:sz w:val="20"/>
          <w:szCs w:val="20"/>
        </w:rPr>
      </w:r>
    </w:p>
    <w:p>
      <w:pPr>
        <w:pStyle w:val="Normal"/>
        <w:shd w:val="clear" w:color="auto" w:fill="FFFFFF"/>
        <w:ind w:left="1416" w:hanging="0"/>
        <w:rPr>
          <w:rFonts w:ascii="Century Gothic" w:hAnsi="Century Gothic"/>
          <w:color w:val="000000"/>
          <w:sz w:val="20"/>
          <w:szCs w:val="20"/>
        </w:rPr>
      </w:pPr>
      <w:r>
        <w:rPr/>
        <w:drawing>
          <wp:inline distT="0" distB="0" distL="0" distR="0">
            <wp:extent cx="5259705" cy="1097280"/>
            <wp:effectExtent l="0" t="0" r="0" b="0"/>
            <wp:docPr id="5" name="Imagen 5" descr="cid:image001.png@01D53CCB.70A978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cid:image001.png@01D53CCB.70A978C0"/>
                    <pic:cNvPicPr>
                      <a:picLocks noChangeAspect="1" noChangeArrowheads="1"/>
                    </pic:cNvPicPr>
                  </pic:nvPicPr>
                  <pic:blipFill>
                    <a:blip r:embed="rId70"/>
                    <a:stretch>
                      <a:fillRect/>
                    </a:stretch>
                  </pic:blipFill>
                  <pic:spPr bwMode="auto">
                    <a:xfrm>
                      <a:off x="0" y="0"/>
                      <a:ext cx="5259705" cy="1097280"/>
                    </a:xfrm>
                    <a:prstGeom prst="rect">
                      <a:avLst/>
                    </a:prstGeom>
                  </pic:spPr>
                </pic:pic>
              </a:graphicData>
            </a:graphic>
          </wp:inline>
        </w:drawing>
      </w:r>
    </w:p>
    <w:p>
      <w:pPr>
        <w:pStyle w:val="Normal"/>
        <w:jc w:val="center"/>
        <w:rPr>
          <w:rFonts w:ascii="Century Gothic" w:hAnsi="Century Gothic" w:eastAsia="Times New Roman"/>
          <w:sz w:val="20"/>
          <w:szCs w:val="20"/>
        </w:rPr>
      </w:pPr>
      <w:r>
        <w:rPr/>
        <mc:AlternateContent>
          <mc:Choice Requires="wps">
            <w:drawing>
              <wp:inline distT="0" distB="0" distL="0" distR="0">
                <wp:extent cx="5500370" cy="19685"/>
                <wp:effectExtent l="0" t="0" r="0" b="0"/>
                <wp:docPr id="6" name=""/>
                <a:graphic xmlns:a="http://schemas.openxmlformats.org/drawingml/2006/main">
                  <a:graphicData uri="http://schemas.microsoft.com/office/word/2010/wordprocessingShape">
                    <wps:wsp>
                      <wps:cNvSpPr/>
                      <wps:nvSpPr>
                        <wps:cNvPr id="0"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ind w:left="1416" w:hanging="0"/>
        <w:outlineLvl w:val="0"/>
        <w:rPr>
          <w:rFonts w:ascii="Century Gothic" w:hAnsi="Century Gothic"/>
          <w:sz w:val="20"/>
          <w:szCs w:val="20"/>
        </w:rPr>
      </w:pPr>
      <w:r>
        <w:rPr>
          <w:rFonts w:ascii="Century Gothic" w:hAnsi="Century Gothic"/>
          <w:b/>
          <w:bCs/>
          <w:color w:val="000000"/>
          <w:sz w:val="20"/>
          <w:szCs w:val="20"/>
        </w:rPr>
        <w:t>De:</w:t>
      </w:r>
      <w:r>
        <w:rPr>
          <w:rFonts w:ascii="Century Gothic" w:hAnsi="Century Gothic"/>
          <w:color w:val="000000"/>
          <w:sz w:val="20"/>
          <w:szCs w:val="20"/>
        </w:rPr>
        <w:t xml:space="preserve"> Damaris Vargas Vásquez</w:t>
        <w:br/>
      </w:r>
      <w:r>
        <w:rPr>
          <w:rFonts w:ascii="Century Gothic" w:hAnsi="Century Gothic"/>
          <w:b/>
          <w:bCs/>
          <w:color w:val="000000"/>
          <w:sz w:val="20"/>
          <w:szCs w:val="20"/>
        </w:rPr>
        <w:t>Enviado:</w:t>
      </w:r>
      <w:r>
        <w:rPr>
          <w:rFonts w:ascii="Century Gothic" w:hAnsi="Century Gothic"/>
          <w:color w:val="000000"/>
          <w:sz w:val="20"/>
          <w:szCs w:val="20"/>
        </w:rPr>
        <w:t xml:space="preserve"> miércoles, 17 de julio de 2019 15:25:53</w:t>
        <w:br/>
      </w:r>
      <w:r>
        <w:rPr>
          <w:rFonts w:ascii="Century Gothic" w:hAnsi="Century Gothic"/>
          <w:b/>
          <w:bCs/>
          <w:color w:val="000000"/>
          <w:sz w:val="20"/>
          <w:szCs w:val="20"/>
        </w:rPr>
        <w:t>Para:</w:t>
      </w:r>
      <w:r>
        <w:rPr>
          <w:rFonts w:ascii="Century Gothic" w:hAnsi="Century Gothic"/>
          <w:color w:val="000000"/>
          <w:sz w:val="20"/>
          <w:szCs w:val="20"/>
        </w:rPr>
        <w:t xml:space="preserve"> Jason Alonso Alfaro Carballo</w:t>
        <w:br/>
      </w:r>
      <w:r>
        <w:rPr>
          <w:rFonts w:ascii="Century Gothic" w:hAnsi="Century Gothic"/>
          <w:b/>
          <w:bCs/>
          <w:color w:val="000000"/>
          <w:sz w:val="20"/>
          <w:szCs w:val="20"/>
        </w:rPr>
        <w:t>Asunto:</w:t>
      </w:r>
      <w:r>
        <w:rPr>
          <w:rFonts w:ascii="Century Gothic" w:hAnsi="Century Gothic"/>
          <w:color w:val="000000"/>
          <w:sz w:val="20"/>
          <w:szCs w:val="20"/>
        </w:rPr>
        <w:t xml:space="preserve"> RE: saludos </w:t>
      </w:r>
    </w:p>
    <w:p>
      <w:pPr>
        <w:pStyle w:val="Normal"/>
        <w:ind w:left="1416" w:hanging="0"/>
        <w:rPr>
          <w:rFonts w:ascii="Century Gothic" w:hAnsi="Century Gothic"/>
          <w:sz w:val="20"/>
          <w:szCs w:val="20"/>
        </w:rPr>
      </w:pPr>
      <w:r>
        <w:rPr>
          <w:rFonts w:ascii="Century Gothic" w:hAnsi="Century Gothic"/>
          <w:sz w:val="20"/>
          <w:szCs w:val="20"/>
        </w:rPr>
        <w:t> </w:t>
      </w:r>
    </w:p>
    <w:p>
      <w:pPr>
        <w:pStyle w:val="Xmsonormal"/>
        <w:ind w:left="1416" w:hanging="0"/>
        <w:jc w:val="both"/>
        <w:rPr>
          <w:rFonts w:ascii="Century Gothic" w:hAnsi="Century Gothic"/>
          <w:sz w:val="20"/>
          <w:szCs w:val="20"/>
        </w:rPr>
      </w:pPr>
      <w:r>
        <w:rPr>
          <w:rFonts w:ascii="Century Gothic" w:hAnsi="Century Gothic"/>
          <w:color w:val="1F497D"/>
          <w:spacing w:val="-2"/>
          <w:sz w:val="20"/>
          <w:szCs w:val="20"/>
        </w:rPr>
        <w:t>Estimado don Jason:</w:t>
      </w:r>
    </w:p>
    <w:p>
      <w:pPr>
        <w:pStyle w:val="Xmsonormal"/>
        <w:ind w:left="1416" w:hanging="0"/>
        <w:jc w:val="both"/>
        <w:rPr>
          <w:rFonts w:ascii="Century Gothic" w:hAnsi="Century Gothic"/>
          <w:sz w:val="20"/>
          <w:szCs w:val="20"/>
        </w:rPr>
      </w:pPr>
      <w:r>
        <w:rPr>
          <w:rFonts w:ascii="Century Gothic" w:hAnsi="Century Gothic"/>
          <w:color w:val="1F497D"/>
          <w:spacing w:val="-2"/>
          <w:sz w:val="20"/>
          <w:szCs w:val="20"/>
        </w:rPr>
        <w:t> </w:t>
      </w:r>
    </w:p>
    <w:p>
      <w:pPr>
        <w:pStyle w:val="Xmsonormal"/>
        <w:ind w:left="1416" w:hanging="0"/>
        <w:jc w:val="both"/>
        <w:rPr>
          <w:rFonts w:ascii="Century Gothic" w:hAnsi="Century Gothic"/>
          <w:sz w:val="20"/>
          <w:szCs w:val="20"/>
        </w:rPr>
      </w:pPr>
      <w:r>
        <w:rPr>
          <w:rFonts w:ascii="Century Gothic" w:hAnsi="Century Gothic"/>
          <w:color w:val="1F497D"/>
          <w:spacing w:val="-2"/>
          <w:sz w:val="20"/>
          <w:szCs w:val="20"/>
        </w:rPr>
        <w:t>Reciba un atento saludo. Le informo que no es posible desde mi computadora poder abrir el documento que parece anexa a su comunicado. Le agradecería si me lo puede enviar en otro formato para poder darle respuesta lo antes posible.</w:t>
      </w:r>
    </w:p>
    <w:p>
      <w:pPr>
        <w:pStyle w:val="Xmsonormal"/>
        <w:ind w:left="1416" w:hanging="0"/>
        <w:jc w:val="both"/>
        <w:rPr>
          <w:rFonts w:ascii="Century Gothic" w:hAnsi="Century Gothic"/>
          <w:sz w:val="20"/>
          <w:szCs w:val="20"/>
        </w:rPr>
      </w:pPr>
      <w:r>
        <w:rPr>
          <w:rFonts w:ascii="Century Gothic" w:hAnsi="Century Gothic"/>
          <w:color w:val="1F497D"/>
          <w:spacing w:val="-2"/>
          <w:sz w:val="20"/>
          <w:szCs w:val="20"/>
        </w:rPr>
        <w:t> </w:t>
      </w:r>
    </w:p>
    <w:p>
      <w:pPr>
        <w:pStyle w:val="Xmsonormal"/>
        <w:ind w:left="1416" w:hanging="0"/>
        <w:jc w:val="both"/>
        <w:rPr>
          <w:rFonts w:ascii="Century Gothic" w:hAnsi="Century Gothic"/>
          <w:sz w:val="20"/>
          <w:szCs w:val="20"/>
        </w:rPr>
      </w:pPr>
      <w:r>
        <w:rPr>
          <w:rFonts w:ascii="Century Gothic" w:hAnsi="Century Gothic"/>
          <w:color w:val="1F497D"/>
          <w:spacing w:val="-2"/>
          <w:sz w:val="20"/>
          <w:szCs w:val="20"/>
        </w:rPr>
        <w:t>Cordialmente,</w:t>
      </w:r>
    </w:p>
    <w:p>
      <w:pPr>
        <w:pStyle w:val="Xmsonormal"/>
        <w:ind w:left="1416" w:hanging="0"/>
        <w:jc w:val="both"/>
        <w:rPr>
          <w:rFonts w:ascii="Century Gothic" w:hAnsi="Century Gothic"/>
          <w:sz w:val="20"/>
          <w:szCs w:val="20"/>
        </w:rPr>
      </w:pPr>
      <w:r>
        <w:rPr>
          <w:rFonts w:ascii="Century Gothic" w:hAnsi="Century Gothic"/>
          <w:i/>
          <w:iCs/>
          <w:color w:val="1F497D"/>
          <w:sz w:val="20"/>
          <w:szCs w:val="20"/>
        </w:rPr>
        <w:t> </w:t>
      </w:r>
    </w:p>
    <w:p>
      <w:pPr>
        <w:pStyle w:val="Xmsonormal"/>
        <w:ind w:left="1416" w:hanging="0"/>
        <w:jc w:val="both"/>
        <w:rPr>
          <w:rFonts w:ascii="Century Gothic" w:hAnsi="Century Gothic"/>
          <w:sz w:val="20"/>
          <w:szCs w:val="20"/>
        </w:rPr>
      </w:pPr>
      <w:r>
        <w:rPr>
          <w:rFonts w:ascii="Century Gothic" w:hAnsi="Century Gothic"/>
          <w:i/>
          <w:iCs/>
          <w:color w:val="1F4E79"/>
          <w:sz w:val="20"/>
          <w:szCs w:val="20"/>
        </w:rPr>
        <w:t>Damaris Vargas Vásquez</w:t>
      </w:r>
    </w:p>
    <w:p>
      <w:pPr>
        <w:pStyle w:val="Xmsonormal"/>
        <w:ind w:left="1416" w:hanging="0"/>
        <w:jc w:val="both"/>
        <w:rPr>
          <w:rFonts w:ascii="Century Gothic" w:hAnsi="Century Gothic"/>
          <w:sz w:val="20"/>
          <w:szCs w:val="20"/>
        </w:rPr>
      </w:pPr>
      <w:r>
        <w:rPr>
          <w:rFonts w:ascii="Century Gothic" w:hAnsi="Century Gothic"/>
          <w:i/>
          <w:iCs/>
          <w:color w:val="1F4E79"/>
          <w:sz w:val="20"/>
          <w:szCs w:val="20"/>
        </w:rPr>
        <w:t>Coordinadora Proyecto Implementación del Código Procesal Agrario</w:t>
      </w:r>
    </w:p>
    <w:p>
      <w:pPr>
        <w:pStyle w:val="Xmsonormal"/>
        <w:ind w:left="1416" w:hanging="0"/>
        <w:jc w:val="both"/>
        <w:rPr>
          <w:rFonts w:ascii="Century Gothic" w:hAnsi="Century Gothic"/>
          <w:sz w:val="20"/>
          <w:szCs w:val="20"/>
        </w:rPr>
      </w:pPr>
      <w:r>
        <w:rPr>
          <w:rFonts w:ascii="Century Gothic" w:hAnsi="Century Gothic"/>
          <w:i/>
          <w:iCs/>
          <w:color w:val="1F4E79"/>
          <w:sz w:val="20"/>
          <w:szCs w:val="20"/>
        </w:rPr>
        <w:t>Jueza decisora del Tribunal Agrario</w:t>
      </w:r>
    </w:p>
    <w:p>
      <w:pPr>
        <w:pStyle w:val="Xmsonormal"/>
        <w:ind w:left="1416" w:hanging="0"/>
        <w:jc w:val="both"/>
        <w:rPr>
          <w:rFonts w:ascii="Century Gothic" w:hAnsi="Century Gothic"/>
          <w:sz w:val="20"/>
          <w:szCs w:val="20"/>
        </w:rPr>
      </w:pPr>
      <w:r>
        <w:rPr>
          <w:rFonts w:ascii="Century Gothic" w:hAnsi="Century Gothic"/>
          <w:i/>
          <w:iCs/>
          <w:color w:val="1F4E79"/>
          <w:sz w:val="20"/>
          <w:szCs w:val="20"/>
        </w:rPr>
        <w:t>Poder Judicial</w:t>
      </w:r>
    </w:p>
    <w:p>
      <w:pPr>
        <w:pStyle w:val="Xmsonormal"/>
        <w:ind w:left="1416" w:hanging="0"/>
        <w:jc w:val="both"/>
        <w:rPr>
          <w:rFonts w:ascii="Century Gothic" w:hAnsi="Century Gothic"/>
          <w:sz w:val="20"/>
          <w:szCs w:val="20"/>
        </w:rPr>
      </w:pPr>
      <w:r>
        <w:rPr>
          <w:rFonts w:ascii="Century Gothic" w:hAnsi="Century Gothic"/>
          <w:i/>
          <w:iCs/>
          <w:color w:val="1F4E79"/>
          <w:sz w:val="20"/>
          <w:szCs w:val="20"/>
        </w:rPr>
        <w:t>Teléfonos (506) 22953081 y (506) 88118561</w:t>
      </w:r>
    </w:p>
    <w:p>
      <w:pPr>
        <w:pStyle w:val="Normal"/>
        <w:rPr>
          <w:rFonts w:ascii="Century Gothic" w:hAnsi="Century Gothic"/>
          <w:sz w:val="20"/>
          <w:szCs w:val="20"/>
        </w:rPr>
      </w:pPr>
      <w:r>
        <w:rPr>
          <w:rFonts w:ascii="Century Gothic" w:hAnsi="Century Gothic"/>
          <w:b/>
          <w:bCs/>
          <w:i/>
          <w:iCs/>
          <w:color w:val="1F497D"/>
          <w:sz w:val="20"/>
          <w:szCs w:val="20"/>
        </w:rPr>
        <w:t> </w:t>
      </w:r>
    </w:p>
    <w:p>
      <w:pPr>
        <w:pStyle w:val="Normal"/>
        <w:rPr>
          <w:rFonts w:ascii="Century Gothic" w:hAnsi="Century Gothic"/>
          <w:sz w:val="20"/>
          <w:szCs w:val="20"/>
        </w:rPr>
      </w:pPr>
      <w:r>
        <w:rPr/>
        <w:object>
          <v:shape id="ole_rId71" style="width:75pt;height:49.5pt" o:ole="">
            <v:imagedata r:id="rId72" o:title=""/>
          </v:shape>
          <o:OLEObject Type="Embed" ProgID="Package" ShapeID="ole_rId71" DrawAspect="Icon" ObjectID="_213857303" r:id="rId71"/>
        </w:object>
      </w:r>
    </w:p>
    <w:p>
      <w:pPr>
        <w:pStyle w:val="Normal"/>
        <w:jc w:val="both"/>
        <w:rPr>
          <w:rFonts w:ascii="Century Gothic" w:hAnsi="Century Gothic"/>
          <w:sz w:val="20"/>
          <w:szCs w:val="20"/>
        </w:rPr>
      </w:pPr>
      <w:r>
        <w:rPr>
          <w:rFonts w:ascii="Century Gothic" w:hAnsi="Century Gothic"/>
          <w:b/>
          <w:sz w:val="20"/>
          <w:szCs w:val="20"/>
          <w:u w:val="single"/>
        </w:rPr>
        <w:t>SE ACUERDA</w:t>
      </w:r>
      <w:r>
        <w:rPr>
          <w:rFonts w:ascii="Century Gothic" w:hAnsi="Century Gothic"/>
          <w:sz w:val="20"/>
          <w:szCs w:val="20"/>
        </w:rPr>
        <w:t>: Se toma nota del traslado hecho a la Inspección Judicial y se dispone solicitar a dicha oficina informe acerca de las acciones realizadas en relación con los requerimientos de las organizaciones de personas indígenas. Se declara firme este acuerdo y se dispone comunicarlo a la Inspección Judicial.-</w:t>
      </w:r>
    </w:p>
    <w:p>
      <w:pPr>
        <w:pStyle w:val="Normal"/>
        <w:jc w:val="both"/>
        <w:rPr>
          <w:rFonts w:ascii="Century Gothic" w:hAnsi="Century Gothic"/>
          <w:b/>
          <w:b/>
          <w:sz w:val="20"/>
          <w:szCs w:val="20"/>
        </w:rPr>
      </w:pPr>
      <w:r>
        <w:rPr>
          <w:rFonts w:ascii="Century Gothic" w:hAnsi="Century Gothic"/>
          <w:b/>
          <w:sz w:val="20"/>
          <w:szCs w:val="20"/>
          <w:highlight w:val="yellow"/>
        </w:rPr>
        <w:t>Ejecutado.</w:t>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XVII</w:t>
      </w:r>
    </w:p>
    <w:p>
      <w:pPr>
        <w:pStyle w:val="Normal"/>
        <w:jc w:val="both"/>
        <w:rPr>
          <w:rFonts w:ascii="Century Gothic" w:hAnsi="Century Gothic"/>
          <w:sz w:val="20"/>
          <w:szCs w:val="20"/>
        </w:rPr>
      </w:pPr>
      <w:r>
        <w:rPr>
          <w:rFonts w:ascii="Century Gothic" w:hAnsi="Century Gothic"/>
          <w:sz w:val="20"/>
          <w:szCs w:val="20"/>
        </w:rPr>
        <w:t>Se conoce informe enviado al Consejo Indígena Regional Pacífico Sur solicitado por su representante:</w:t>
      </w:r>
    </w:p>
    <w:p>
      <w:pPr>
        <w:pStyle w:val="Normal"/>
        <w:jc w:val="right"/>
        <w:rPr>
          <w:rFonts w:ascii="Century Gothic" w:hAnsi="Century Gothic"/>
          <w:b/>
          <w:b/>
          <w:bCs/>
          <w:sz w:val="20"/>
          <w:szCs w:val="20"/>
        </w:rPr>
      </w:pPr>
      <w:r>
        <w:rPr>
          <w:rFonts w:ascii="Century Gothic" w:hAnsi="Century Gothic"/>
          <w:b/>
          <w:bCs/>
          <w:sz w:val="20"/>
          <w:szCs w:val="20"/>
        </w:rPr>
        <w:t>San José, 17 de julio de 2019.</w:t>
      </w:r>
    </w:p>
    <w:p>
      <w:pPr>
        <w:pStyle w:val="Normal"/>
        <w:jc w:val="both"/>
        <w:rPr>
          <w:rFonts w:ascii="Century Gothic" w:hAnsi="Century Gothic"/>
          <w:b/>
          <w:b/>
          <w:bCs/>
          <w:sz w:val="20"/>
          <w:szCs w:val="20"/>
        </w:rPr>
      </w:pPr>
      <w:r>
        <w:rPr>
          <w:rFonts w:ascii="Century Gothic" w:hAnsi="Century Gothic"/>
          <w:b/>
          <w:bCs/>
          <w:sz w:val="20"/>
          <w:szCs w:val="20"/>
        </w:rPr>
        <w:t>Señoras y Señores</w:t>
      </w:r>
    </w:p>
    <w:p>
      <w:pPr>
        <w:pStyle w:val="Normal"/>
        <w:jc w:val="both"/>
        <w:rPr>
          <w:rFonts w:ascii="Century Gothic" w:hAnsi="Century Gothic"/>
          <w:b/>
          <w:b/>
          <w:bCs/>
          <w:sz w:val="20"/>
          <w:szCs w:val="20"/>
        </w:rPr>
      </w:pPr>
      <w:r>
        <w:rPr>
          <w:rFonts w:ascii="Century Gothic" w:hAnsi="Century Gothic"/>
          <w:b/>
          <w:bCs/>
          <w:sz w:val="20"/>
          <w:szCs w:val="20"/>
        </w:rPr>
        <w:t>Consejo Indígena Regional Pacífico Sur</w:t>
      </w:r>
    </w:p>
    <w:p>
      <w:pPr>
        <w:pStyle w:val="Normal"/>
        <w:jc w:val="both"/>
        <w:rPr>
          <w:rFonts w:ascii="Century Gothic" w:hAnsi="Century Gothic"/>
          <w:b/>
          <w:b/>
          <w:bCs/>
          <w:i/>
          <w:i/>
          <w:iCs/>
          <w:sz w:val="20"/>
          <w:szCs w:val="20"/>
        </w:rPr>
      </w:pPr>
      <w:r>
        <w:rPr>
          <w:rFonts w:ascii="Century Gothic" w:hAnsi="Century Gothic"/>
          <w:b/>
          <w:bCs/>
          <w:i/>
          <w:iCs/>
          <w:sz w:val="20"/>
          <w:szCs w:val="20"/>
        </w:rPr>
        <w:t>Dinora Estrada Estrada</w:t>
      </w:r>
    </w:p>
    <w:p>
      <w:pPr>
        <w:pStyle w:val="Normal"/>
        <w:jc w:val="both"/>
        <w:rPr>
          <w:rFonts w:ascii="Century Gothic" w:hAnsi="Century Gothic"/>
          <w:b/>
          <w:b/>
          <w:bCs/>
          <w:i/>
          <w:i/>
          <w:iCs/>
          <w:sz w:val="20"/>
          <w:szCs w:val="20"/>
        </w:rPr>
      </w:pPr>
      <w:r>
        <w:rPr>
          <w:rFonts w:ascii="Century Gothic" w:hAnsi="Century Gothic"/>
          <w:b/>
          <w:bCs/>
          <w:i/>
          <w:iCs/>
          <w:sz w:val="20"/>
          <w:szCs w:val="20"/>
        </w:rPr>
        <w:t>Gustavo Lázaro Rojas</w:t>
      </w:r>
    </w:p>
    <w:p>
      <w:pPr>
        <w:pStyle w:val="Normal"/>
        <w:jc w:val="both"/>
        <w:rPr>
          <w:rFonts w:ascii="Century Gothic" w:hAnsi="Century Gothic"/>
          <w:b/>
          <w:b/>
          <w:bCs/>
          <w:i/>
          <w:i/>
          <w:iCs/>
          <w:sz w:val="20"/>
          <w:szCs w:val="20"/>
        </w:rPr>
      </w:pPr>
      <w:r>
        <w:rPr>
          <w:rFonts w:ascii="Century Gothic" w:hAnsi="Century Gothic"/>
          <w:b/>
          <w:bCs/>
          <w:i/>
          <w:iCs/>
          <w:sz w:val="20"/>
          <w:szCs w:val="20"/>
        </w:rPr>
        <w:t>Adelina Morales Torres</w:t>
      </w:r>
    </w:p>
    <w:p>
      <w:pPr>
        <w:pStyle w:val="Normal"/>
        <w:jc w:val="both"/>
        <w:rPr>
          <w:rFonts w:ascii="Century Gothic" w:hAnsi="Century Gothic"/>
          <w:b/>
          <w:b/>
          <w:bCs/>
          <w:i/>
          <w:i/>
          <w:iCs/>
          <w:sz w:val="20"/>
          <w:szCs w:val="20"/>
        </w:rPr>
      </w:pPr>
      <w:r>
        <w:rPr>
          <w:rFonts w:ascii="Century Gothic" w:hAnsi="Century Gothic"/>
          <w:b/>
          <w:bCs/>
          <w:i/>
          <w:iCs/>
          <w:sz w:val="20"/>
          <w:szCs w:val="20"/>
        </w:rPr>
        <w:t>José Felipe N. Estrada</w:t>
      </w:r>
    </w:p>
    <w:p>
      <w:pPr>
        <w:pStyle w:val="Normal"/>
        <w:jc w:val="both"/>
        <w:rPr>
          <w:rFonts w:ascii="Century Gothic" w:hAnsi="Century Gothic"/>
          <w:b/>
          <w:b/>
          <w:bCs/>
          <w:i/>
          <w:i/>
          <w:iCs/>
          <w:sz w:val="20"/>
          <w:szCs w:val="20"/>
        </w:rPr>
      </w:pPr>
      <w:r>
        <w:rPr>
          <w:rFonts w:ascii="Century Gothic" w:hAnsi="Century Gothic"/>
          <w:b/>
          <w:bCs/>
          <w:i/>
          <w:iCs/>
          <w:sz w:val="20"/>
          <w:szCs w:val="20"/>
        </w:rPr>
        <w:t>Sr. Figueroa</w:t>
      </w:r>
    </w:p>
    <w:p>
      <w:pPr>
        <w:pStyle w:val="Normal"/>
        <w:jc w:val="both"/>
        <w:rPr>
          <w:rFonts w:ascii="Century Gothic" w:hAnsi="Century Gothic"/>
          <w:b/>
          <w:b/>
          <w:bCs/>
          <w:i/>
          <w:i/>
          <w:iCs/>
          <w:sz w:val="20"/>
          <w:szCs w:val="20"/>
        </w:rPr>
      </w:pPr>
      <w:r>
        <w:rPr>
          <w:rFonts w:ascii="Century Gothic" w:hAnsi="Century Gothic"/>
          <w:b/>
          <w:bCs/>
          <w:i/>
          <w:iCs/>
          <w:sz w:val="20"/>
          <w:szCs w:val="20"/>
        </w:rPr>
        <w:t>Georgina Estrada E.</w:t>
      </w:r>
    </w:p>
    <w:p>
      <w:pPr>
        <w:pStyle w:val="Normal"/>
        <w:jc w:val="both"/>
        <w:rPr>
          <w:rFonts w:ascii="Century Gothic" w:hAnsi="Century Gothic"/>
          <w:b/>
          <w:b/>
          <w:bCs/>
          <w:i/>
          <w:i/>
          <w:iCs/>
          <w:sz w:val="20"/>
          <w:szCs w:val="20"/>
        </w:rPr>
      </w:pPr>
      <w:r>
        <w:rPr>
          <w:rFonts w:ascii="Century Gothic" w:hAnsi="Century Gothic"/>
          <w:b/>
          <w:bCs/>
          <w:i/>
          <w:iCs/>
          <w:sz w:val="20"/>
          <w:szCs w:val="20"/>
        </w:rPr>
        <w:t>Luzmilda Estrada Estrada</w:t>
      </w:r>
    </w:p>
    <w:p>
      <w:pPr>
        <w:pStyle w:val="Normal"/>
        <w:jc w:val="both"/>
        <w:rPr>
          <w:rFonts w:ascii="Century Gothic" w:hAnsi="Century Gothic"/>
          <w:b/>
          <w:b/>
          <w:bCs/>
          <w:i/>
          <w:i/>
          <w:iCs/>
          <w:sz w:val="20"/>
          <w:szCs w:val="20"/>
        </w:rPr>
      </w:pPr>
      <w:r>
        <w:rPr>
          <w:rFonts w:ascii="Century Gothic" w:hAnsi="Century Gothic"/>
          <w:b/>
          <w:bCs/>
          <w:i/>
          <w:iCs/>
          <w:sz w:val="20"/>
          <w:szCs w:val="20"/>
        </w:rPr>
        <w:t>Dinorah Estrada</w:t>
      </w:r>
    </w:p>
    <w:p>
      <w:pPr>
        <w:pStyle w:val="Normal"/>
        <w:jc w:val="both"/>
        <w:rPr>
          <w:rFonts w:ascii="Century Gothic" w:hAnsi="Century Gothic"/>
          <w:i/>
          <w:i/>
          <w:iCs/>
          <w:sz w:val="20"/>
          <w:szCs w:val="20"/>
        </w:rPr>
      </w:pPr>
      <w:r>
        <w:rPr>
          <w:rFonts w:ascii="Century Gothic" w:hAnsi="Century Gothic"/>
          <w:b/>
          <w:bCs/>
          <w:i/>
          <w:iCs/>
          <w:sz w:val="20"/>
          <w:szCs w:val="20"/>
        </w:rPr>
        <w:t>Sr. Abelardo M.</w:t>
      </w:r>
    </w:p>
    <w:p>
      <w:pPr>
        <w:pStyle w:val="Normal"/>
        <w:jc w:val="both"/>
        <w:rPr>
          <w:rFonts w:ascii="Century Gothic" w:hAnsi="Century Gothic"/>
          <w:sz w:val="20"/>
          <w:szCs w:val="20"/>
        </w:rPr>
      </w:pPr>
      <w:r>
        <w:rPr>
          <w:rFonts w:ascii="Century Gothic" w:hAnsi="Century Gothic"/>
          <w:sz w:val="20"/>
          <w:szCs w:val="20"/>
        </w:rPr>
      </w:r>
    </w:p>
    <w:p>
      <w:pPr>
        <w:pStyle w:val="Normal"/>
        <w:jc w:val="both"/>
        <w:rPr>
          <w:rFonts w:ascii="Century Gothic" w:hAnsi="Century Gothic"/>
          <w:b/>
          <w:b/>
          <w:bCs/>
          <w:sz w:val="20"/>
          <w:szCs w:val="20"/>
        </w:rPr>
      </w:pPr>
      <w:r>
        <w:rPr>
          <w:rFonts w:ascii="Century Gothic" w:hAnsi="Century Gothic"/>
          <w:b/>
          <w:bCs/>
          <w:sz w:val="20"/>
          <w:szCs w:val="20"/>
        </w:rPr>
        <w:t>Estimados Señores y Señoras:</w:t>
      </w:r>
    </w:p>
    <w:p>
      <w:pPr>
        <w:pStyle w:val="Normal"/>
        <w:jc w:val="both"/>
        <w:rPr>
          <w:rFonts w:ascii="Century Gothic" w:hAnsi="Century Gothic"/>
          <w:b/>
          <w:b/>
          <w:bCs/>
          <w:sz w:val="20"/>
          <w:szCs w:val="20"/>
        </w:rPr>
      </w:pPr>
      <w:r>
        <w:rPr>
          <w:rFonts w:ascii="Century Gothic" w:hAnsi="Century Gothic"/>
          <w:b/>
          <w:bCs/>
          <w:sz w:val="20"/>
          <w:szCs w:val="20"/>
        </w:rPr>
      </w:r>
    </w:p>
    <w:p>
      <w:pPr>
        <w:pStyle w:val="Normal"/>
        <w:ind w:firstLine="708"/>
        <w:jc w:val="both"/>
        <w:rPr>
          <w:rFonts w:ascii="Century Gothic" w:hAnsi="Century Gothic"/>
          <w:sz w:val="20"/>
          <w:szCs w:val="20"/>
        </w:rPr>
      </w:pPr>
      <w:r>
        <w:rPr>
          <w:rFonts w:ascii="Century Gothic" w:hAnsi="Century Gothic"/>
          <w:sz w:val="20"/>
          <w:szCs w:val="20"/>
        </w:rPr>
        <w:t xml:space="preserve">Reciban un atento saludo. A la vez, en relación con la nota entregada a la suscrita en la condición de Coordinadora de la Subcomisión de Acceso a la Justicia de Pueblos Indígenas el pasado 26 de abril de 2019, dirigida al </w:t>
      </w:r>
      <w:r>
        <w:rPr>
          <w:rFonts w:ascii="Century Gothic" w:hAnsi="Century Gothic"/>
          <w:i/>
          <w:iCs/>
          <w:sz w:val="20"/>
          <w:szCs w:val="20"/>
        </w:rPr>
        <w:t>“Gobierno de la República de Costa Rica”</w:t>
      </w:r>
      <w:r>
        <w:rPr>
          <w:rFonts w:ascii="Century Gothic" w:hAnsi="Century Gothic"/>
          <w:sz w:val="20"/>
          <w:szCs w:val="20"/>
        </w:rPr>
        <w:t>, en la que luego de una amplia exposición de motivos, solicitan:</w:t>
      </w:r>
    </w:p>
    <w:p>
      <w:pPr>
        <w:pStyle w:val="Normal"/>
        <w:jc w:val="both"/>
        <w:rPr>
          <w:rFonts w:ascii="Century Gothic" w:hAnsi="Century Gothic"/>
          <w:i/>
          <w:i/>
          <w:iCs/>
          <w:sz w:val="20"/>
          <w:szCs w:val="20"/>
        </w:rPr>
      </w:pPr>
      <w:r>
        <w:rPr>
          <w:rFonts w:ascii="Century Gothic" w:hAnsi="Century Gothic"/>
          <w:i/>
          <w:iCs/>
          <w:sz w:val="20"/>
          <w:szCs w:val="20"/>
        </w:rPr>
        <w:t xml:space="preserve">“… </w:t>
      </w:r>
      <w:r>
        <w:rPr>
          <w:rFonts w:ascii="Century Gothic" w:hAnsi="Century Gothic"/>
          <w:i/>
          <w:iCs/>
          <w:sz w:val="20"/>
          <w:szCs w:val="20"/>
        </w:rPr>
        <w:t>Por ello expresamos al gobierno que ya en este punto es hora de que las Asociaciones de desarrollo indígena dejen de funcionar en nuestros territorios, es irresponsable por parte del  gobierno imponer estas estructuras y mantenerlas en funcionamiento dentro de nuestros territorios, es necesario que se les investigue y se les haga una auditoría  la cual estamos seguro evidenciará irregularidades en el manejo de recursos , así como injusticia cometidas a los mismos pobladores en nombre del poder que estos entes del estado tiene derecho del territorio al ser reconocidos como gobiernos locales y todas las potestades que esto les confiere, y exigimos que se acepte otro tipo de organización que sí nos represente y que surja de nuestra autonomía indígena. Solicitamos de igual manera medidas cautelares para todos los territorios indígenas a fin de resguardar las vida de sus pobladores y buscar soluciones prontas y reales en el tema de tenencia de la tierra.”</w:t>
      </w:r>
    </w:p>
    <w:p>
      <w:pPr>
        <w:pStyle w:val="Normal"/>
        <w:ind w:firstLine="708"/>
        <w:jc w:val="both"/>
        <w:rPr>
          <w:rFonts w:ascii="Century Gothic" w:hAnsi="Century Gothic"/>
          <w:sz w:val="20"/>
          <w:szCs w:val="20"/>
        </w:rPr>
      </w:pPr>
      <w:r>
        <w:rPr>
          <w:rFonts w:ascii="Century Gothic" w:hAnsi="Century Gothic"/>
          <w:sz w:val="20"/>
          <w:szCs w:val="20"/>
        </w:rPr>
        <w:t>En relación con la solicitud conforme a la cual se pretende que las Asociaciones de Desarrollo Indígena dejen de funcionar en los territorios indígenas, se les informa que no está dentro de las funciones de la Subcomisión de Acceso a la Justicia de Pueblos Indígenas esa decisión, por lo que no podría emitirse un criterio favorable o desfavorable. Se copia esta gestión a la Defensa Pública a fin de que les instruya sobre las vías adecuadas, de conformidad con lo dispuesto en la Ley de Acceso a la Justicia de Pueblos Indígenas que otorga defensa pública especializada a todas las personas indígenas de escasos recursos económicos, para que les brinde la asesoría respectiva.</w:t>
      </w:r>
    </w:p>
    <w:p>
      <w:pPr>
        <w:pStyle w:val="Normal"/>
        <w:ind w:firstLine="708"/>
        <w:jc w:val="both"/>
        <w:rPr>
          <w:rFonts w:ascii="Century Gothic" w:hAnsi="Century Gothic"/>
          <w:i/>
          <w:i/>
          <w:iCs/>
          <w:sz w:val="20"/>
          <w:szCs w:val="20"/>
        </w:rPr>
      </w:pPr>
      <w:r>
        <w:rPr>
          <w:rFonts w:ascii="Century Gothic" w:hAnsi="Century Gothic"/>
          <w:sz w:val="20"/>
          <w:szCs w:val="20"/>
        </w:rPr>
        <w:t xml:space="preserve">Sobre el segundo tema vinculado con la solicitud de implementación de </w:t>
      </w:r>
      <w:r>
        <w:rPr>
          <w:rFonts w:ascii="Century Gothic" w:hAnsi="Century Gothic"/>
          <w:i/>
          <w:iCs/>
          <w:sz w:val="20"/>
          <w:szCs w:val="20"/>
        </w:rPr>
        <w:t xml:space="preserve">medidas cautelares para todos los territorios indígenas a fin de resguardar la vida de sus pobladores y buscar soluciones prontas y reales en el tema de tenencia de la tierra, de igual forma, se les remite a la Defensa Pública a efecto de que les brinde asesoría. </w:t>
      </w:r>
    </w:p>
    <w:p>
      <w:pPr>
        <w:pStyle w:val="Normal"/>
        <w:ind w:firstLine="708"/>
        <w:jc w:val="both"/>
        <w:rPr>
          <w:rFonts w:ascii="Century Gothic" w:hAnsi="Century Gothic"/>
          <w:i/>
          <w:i/>
          <w:iCs/>
          <w:sz w:val="20"/>
          <w:szCs w:val="20"/>
        </w:rPr>
      </w:pPr>
      <w:r>
        <w:rPr>
          <w:rFonts w:ascii="Century Gothic" w:hAnsi="Century Gothic"/>
          <w:i/>
          <w:iCs/>
          <w:sz w:val="20"/>
          <w:szCs w:val="20"/>
        </w:rPr>
        <w:t>Además, se les informa sobre las decisiones de Corte Plena en las que se aprueban los 21 ejes de acción para el abordaje de la temática indígena, en especial referencia, a las Medidas Cautelares de la Comisión Interamericana de Derechos Humanos N° 321-12 contra el Estado, para su conocimiento y aprovechando, para la concertación de acciones de ustedes como personas indígenas.</w:t>
      </w:r>
    </w:p>
    <w:p>
      <w:pPr>
        <w:pStyle w:val="Normal"/>
        <w:ind w:firstLine="708"/>
        <w:jc w:val="both"/>
        <w:rPr>
          <w:rFonts w:ascii="Century Gothic" w:hAnsi="Century Gothic"/>
          <w:i/>
          <w:i/>
          <w:iCs/>
          <w:sz w:val="20"/>
          <w:szCs w:val="20"/>
        </w:rPr>
      </w:pPr>
      <w:r>
        <w:rPr>
          <w:rFonts w:ascii="Century Gothic" w:hAnsi="Century Gothic"/>
          <w:i/>
          <w:iCs/>
          <w:sz w:val="20"/>
          <w:szCs w:val="20"/>
        </w:rPr>
        <w:t>Se está en la mayor disposición de brindar colaboración en el abordaje integral de la situación indígena, dentro de las competencias legales respectivas.</w:t>
      </w:r>
    </w:p>
    <w:p>
      <w:pPr>
        <w:pStyle w:val="Normal"/>
        <w:ind w:firstLine="708"/>
        <w:jc w:val="both"/>
        <w:rPr>
          <w:rFonts w:ascii="Century Gothic" w:hAnsi="Century Gothic"/>
          <w:i/>
          <w:i/>
          <w:iCs/>
          <w:sz w:val="20"/>
          <w:szCs w:val="20"/>
        </w:rPr>
      </w:pPr>
      <w:r>
        <w:rPr>
          <w:rFonts w:ascii="Century Gothic" w:hAnsi="Century Gothic"/>
          <w:i/>
          <w:iCs/>
          <w:sz w:val="20"/>
          <w:szCs w:val="20"/>
        </w:rPr>
        <w:t>De Ustedes, atentamente,</w:t>
      </w:r>
    </w:p>
    <w:p>
      <w:pPr>
        <w:pStyle w:val="Normal"/>
        <w:jc w:val="both"/>
        <w:rPr>
          <w:rFonts w:ascii="Century Gothic" w:hAnsi="Century Gothic"/>
          <w:i/>
          <w:i/>
          <w:iCs/>
          <w:sz w:val="20"/>
          <w:szCs w:val="20"/>
        </w:rPr>
      </w:pPr>
      <w:r>
        <w:rPr>
          <w:rFonts w:ascii="Century Gothic" w:hAnsi="Century Gothic"/>
          <w:i/>
          <w:iCs/>
          <w:sz w:val="20"/>
          <w:szCs w:val="20"/>
        </w:rPr>
      </w:r>
    </w:p>
    <w:p>
      <w:pPr>
        <w:pStyle w:val="Normal"/>
        <w:jc w:val="center"/>
        <w:rPr>
          <w:rFonts w:ascii="Century Gothic" w:hAnsi="Century Gothic"/>
          <w:b/>
          <w:b/>
          <w:bCs/>
          <w:i/>
          <w:i/>
          <w:iCs/>
          <w:sz w:val="20"/>
          <w:szCs w:val="20"/>
        </w:rPr>
      </w:pPr>
      <w:r>
        <w:rPr>
          <w:rFonts w:ascii="Century Gothic" w:hAnsi="Century Gothic"/>
          <w:b/>
          <w:bCs/>
          <w:i/>
          <w:iCs/>
          <w:sz w:val="20"/>
          <w:szCs w:val="20"/>
        </w:rPr>
        <w:t>Damaris Vargas Vásquez</w:t>
      </w:r>
    </w:p>
    <w:p>
      <w:pPr>
        <w:pStyle w:val="Normal"/>
        <w:jc w:val="center"/>
        <w:rPr>
          <w:rFonts w:ascii="Century Gothic" w:hAnsi="Century Gothic"/>
          <w:b/>
          <w:b/>
          <w:bCs/>
          <w:i/>
          <w:i/>
          <w:iCs/>
          <w:sz w:val="20"/>
          <w:szCs w:val="20"/>
        </w:rPr>
      </w:pPr>
      <w:r>
        <w:rPr>
          <w:rFonts w:ascii="Century Gothic" w:hAnsi="Century Gothic"/>
          <w:b/>
          <w:bCs/>
          <w:i/>
          <w:iCs/>
          <w:sz w:val="20"/>
          <w:szCs w:val="20"/>
        </w:rPr>
        <w:t>Coordinadora</w:t>
      </w:r>
    </w:p>
    <w:p>
      <w:pPr>
        <w:pStyle w:val="Normal"/>
        <w:jc w:val="center"/>
        <w:rPr>
          <w:rFonts w:ascii="Century Gothic" w:hAnsi="Century Gothic"/>
          <w:b/>
          <w:b/>
          <w:bCs/>
          <w:i/>
          <w:i/>
          <w:iCs/>
          <w:sz w:val="20"/>
          <w:szCs w:val="20"/>
        </w:rPr>
      </w:pPr>
      <w:r>
        <w:rPr>
          <w:rFonts w:ascii="Century Gothic" w:hAnsi="Century Gothic"/>
          <w:b/>
          <w:bCs/>
          <w:i/>
          <w:iCs/>
          <w:sz w:val="20"/>
          <w:szCs w:val="20"/>
        </w:rPr>
        <w:t>Subcomisión de Acceso a la Justicia de Pueblos Indígenas</w:t>
      </w:r>
    </w:p>
    <w:p>
      <w:pPr>
        <w:pStyle w:val="Normal"/>
        <w:jc w:val="center"/>
        <w:rPr>
          <w:rFonts w:ascii="Century Gothic" w:hAnsi="Century Gothic"/>
          <w:b/>
          <w:b/>
          <w:bCs/>
          <w:i/>
          <w:i/>
          <w:iCs/>
          <w:sz w:val="20"/>
          <w:szCs w:val="20"/>
        </w:rPr>
      </w:pPr>
      <w:r>
        <w:rPr>
          <w:rFonts w:ascii="Century Gothic" w:hAnsi="Century Gothic"/>
          <w:b/>
          <w:bCs/>
          <w:i/>
          <w:iCs/>
          <w:sz w:val="20"/>
          <w:szCs w:val="20"/>
        </w:rPr>
        <w:t>Poder Judicial</w:t>
      </w:r>
    </w:p>
    <w:p>
      <w:pPr>
        <w:pStyle w:val="Normal"/>
        <w:jc w:val="both"/>
        <w:rPr>
          <w:rFonts w:ascii="Century Gothic" w:hAnsi="Century Gothic"/>
          <w:i/>
          <w:i/>
          <w:iCs/>
          <w:sz w:val="20"/>
          <w:szCs w:val="20"/>
        </w:rPr>
      </w:pPr>
      <w:r>
        <w:rPr>
          <w:rFonts w:ascii="Century Gothic" w:hAnsi="Century Gothic"/>
          <w:i/>
          <w:iCs/>
          <w:sz w:val="20"/>
          <w:szCs w:val="20"/>
        </w:rPr>
        <w:t>Copias:</w:t>
      </w:r>
    </w:p>
    <w:p>
      <w:pPr>
        <w:pStyle w:val="Normal"/>
        <w:jc w:val="both"/>
        <w:rPr>
          <w:rFonts w:ascii="Century Gothic" w:hAnsi="Century Gothic"/>
          <w:i/>
          <w:i/>
          <w:iCs/>
          <w:sz w:val="20"/>
          <w:szCs w:val="20"/>
        </w:rPr>
      </w:pPr>
      <w:r>
        <w:rPr>
          <w:rFonts w:ascii="Century Gothic" w:hAnsi="Century Gothic"/>
          <w:i/>
          <w:iCs/>
          <w:sz w:val="20"/>
          <w:szCs w:val="20"/>
        </w:rPr>
        <w:t>Presidencia de la Corte Suprema de Justicia</w:t>
      </w:r>
    </w:p>
    <w:p>
      <w:pPr>
        <w:pStyle w:val="Normal"/>
        <w:jc w:val="both"/>
        <w:rPr>
          <w:rFonts w:ascii="Century Gothic" w:hAnsi="Century Gothic"/>
          <w:i/>
          <w:i/>
          <w:iCs/>
          <w:sz w:val="20"/>
          <w:szCs w:val="20"/>
        </w:rPr>
      </w:pPr>
      <w:r>
        <w:rPr>
          <w:rFonts w:ascii="Century Gothic" w:hAnsi="Century Gothic"/>
          <w:i/>
          <w:iCs/>
          <w:sz w:val="20"/>
          <w:szCs w:val="20"/>
        </w:rPr>
        <w:t>Despacho de la Presidencia de la Corte Suprema de Justicia</w:t>
      </w:r>
    </w:p>
    <w:p>
      <w:pPr>
        <w:pStyle w:val="Normal"/>
        <w:jc w:val="both"/>
        <w:rPr>
          <w:rFonts w:ascii="Century Gothic" w:hAnsi="Century Gothic"/>
          <w:i/>
          <w:i/>
          <w:iCs/>
          <w:sz w:val="20"/>
          <w:szCs w:val="20"/>
        </w:rPr>
      </w:pPr>
      <w:r>
        <w:rPr>
          <w:rFonts w:ascii="Century Gothic" w:hAnsi="Century Gothic"/>
          <w:i/>
          <w:iCs/>
          <w:sz w:val="20"/>
          <w:szCs w:val="20"/>
        </w:rPr>
        <w:t>Comisión de Acceso a la Justicia</w:t>
      </w:r>
    </w:p>
    <w:p>
      <w:pPr>
        <w:pStyle w:val="Normal"/>
        <w:jc w:val="both"/>
        <w:rPr>
          <w:rFonts w:ascii="Century Gothic" w:hAnsi="Century Gothic"/>
          <w:i/>
          <w:i/>
          <w:iCs/>
          <w:sz w:val="20"/>
          <w:szCs w:val="20"/>
        </w:rPr>
      </w:pPr>
      <w:r>
        <w:rPr>
          <w:rFonts w:ascii="Century Gothic" w:hAnsi="Century Gothic"/>
          <w:i/>
          <w:iCs/>
          <w:sz w:val="20"/>
          <w:szCs w:val="20"/>
        </w:rPr>
        <w:t>Unidad de Acceso a la Justicia</w:t>
      </w:r>
    </w:p>
    <w:p>
      <w:pPr>
        <w:pStyle w:val="Normal"/>
        <w:jc w:val="both"/>
        <w:rPr>
          <w:rFonts w:ascii="Century Gothic" w:hAnsi="Century Gothic"/>
          <w:i/>
          <w:i/>
          <w:iCs/>
          <w:sz w:val="20"/>
          <w:szCs w:val="20"/>
        </w:rPr>
      </w:pPr>
      <w:r>
        <w:rPr>
          <w:rFonts w:ascii="Century Gothic" w:hAnsi="Century Gothic"/>
          <w:i/>
          <w:iCs/>
          <w:sz w:val="20"/>
          <w:szCs w:val="20"/>
        </w:rPr>
        <w:t>Contraloría de Servicios del Poder Judicial</w:t>
      </w:r>
    </w:p>
    <w:p>
      <w:pPr>
        <w:pStyle w:val="Normal"/>
        <w:jc w:val="both"/>
        <w:rPr>
          <w:rFonts w:ascii="Century Gothic" w:hAnsi="Century Gothic"/>
          <w:i/>
          <w:i/>
          <w:iCs/>
          <w:sz w:val="20"/>
          <w:szCs w:val="20"/>
        </w:rPr>
      </w:pPr>
      <w:r>
        <w:rPr>
          <w:rFonts w:ascii="Century Gothic" w:hAnsi="Century Gothic"/>
          <w:i/>
          <w:iCs/>
          <w:sz w:val="20"/>
          <w:szCs w:val="20"/>
        </w:rPr>
        <w:t>Defensa Pública</w:t>
      </w:r>
    </w:p>
    <w:p>
      <w:pPr>
        <w:pStyle w:val="Normal"/>
        <w:jc w:val="both"/>
        <w:rPr>
          <w:rFonts w:ascii="Century Gothic" w:hAnsi="Century Gothic"/>
          <w:i/>
          <w:i/>
          <w:iCs/>
          <w:sz w:val="20"/>
          <w:szCs w:val="20"/>
        </w:rPr>
      </w:pPr>
      <w:r>
        <w:rPr/>
        <w:object>
          <v:shape id="ole_rId73" style="width:75pt;height:49.5pt" o:ole="">
            <v:imagedata r:id="rId74" o:title=""/>
          </v:shape>
          <o:OLEObject Type="Embed" ProgID="Package" ShapeID="ole_rId73" DrawAspect="Icon" ObjectID="_279003042" r:id="rId73"/>
        </w:object>
      </w:r>
      <w:r>
        <w:rPr/>
        <w:object>
          <v:shape id="ole_rId75" style="width:75pt;height:49.5pt" o:ole="">
            <v:imagedata r:id="rId76" o:title=""/>
          </v:shape>
          <o:OLEObject Type="Embed" ProgID="Package" ShapeID="ole_rId75" DrawAspect="Icon" ObjectID="_1787667921" r:id="rId75"/>
        </w:object>
      </w:r>
    </w:p>
    <w:p>
      <w:pPr>
        <w:pStyle w:val="Normal"/>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sz w:val="20"/>
          <w:szCs w:val="20"/>
          <w:highlight w:val="yellow"/>
        </w:rPr>
        <w:t xml:space="preserve"> Se toma nota del informe remitido.-</w:t>
      </w:r>
    </w:p>
    <w:p>
      <w:pPr>
        <w:pStyle w:val="Normal"/>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XVIII</w:t>
      </w:r>
    </w:p>
    <w:p>
      <w:pPr>
        <w:pStyle w:val="Normal"/>
        <w:rPr>
          <w:rFonts w:ascii="Century Gothic" w:hAnsi="Century Gothic"/>
          <w:sz w:val="20"/>
          <w:szCs w:val="20"/>
        </w:rPr>
      </w:pPr>
      <w:r>
        <w:rPr>
          <w:rFonts w:ascii="Century Gothic" w:hAnsi="Century Gothic"/>
          <w:sz w:val="20"/>
          <w:szCs w:val="20"/>
        </w:rPr>
        <w:t>Se conoce de la siguiente gestión:</w:t>
      </w:r>
    </w:p>
    <w:p>
      <w:pPr>
        <w:pStyle w:val="Normal"/>
        <w:rPr>
          <w:rFonts w:ascii="Century Gothic" w:hAnsi="Century Gothic" w:eastAsia="Times New Roman"/>
          <w:i/>
          <w:i/>
          <w:sz w:val="20"/>
          <w:szCs w:val="20"/>
          <w:lang w:val="es-ES" w:eastAsia="es-CR"/>
        </w:rPr>
      </w:pPr>
      <w:r>
        <w:rPr>
          <w:rFonts w:eastAsia="Times New Roman" w:ascii="Century Gothic" w:hAnsi="Century Gothic"/>
          <w:b/>
          <w:bCs/>
          <w:i/>
          <w:sz w:val="20"/>
          <w:szCs w:val="20"/>
          <w:lang w:val="es-ES"/>
        </w:rPr>
        <w:t>De:</w:t>
      </w:r>
      <w:r>
        <w:rPr>
          <w:rFonts w:eastAsia="Times New Roman" w:ascii="Century Gothic" w:hAnsi="Century Gothic"/>
          <w:i/>
          <w:sz w:val="20"/>
          <w:szCs w:val="20"/>
          <w:lang w:val="es-ES"/>
        </w:rPr>
        <w:t xml:space="preserve"> ileana moya [mailto:bekwa87@gmail.com] </w:t>
        <w:br/>
      </w:r>
      <w:r>
        <w:rPr>
          <w:rFonts w:eastAsia="Times New Roman" w:ascii="Century Gothic" w:hAnsi="Century Gothic"/>
          <w:b/>
          <w:bCs/>
          <w:i/>
          <w:sz w:val="20"/>
          <w:szCs w:val="20"/>
          <w:lang w:val="es-ES"/>
        </w:rPr>
        <w:t>Enviado el:</w:t>
      </w:r>
      <w:r>
        <w:rPr>
          <w:rFonts w:eastAsia="Times New Roman" w:ascii="Century Gothic" w:hAnsi="Century Gothic"/>
          <w:i/>
          <w:sz w:val="20"/>
          <w:szCs w:val="20"/>
          <w:lang w:val="es-ES"/>
        </w:rPr>
        <w:t xml:space="preserve"> martes, 23 de julio de 2019 09:04 a.m.</w:t>
        <w:br/>
      </w:r>
      <w:r>
        <w:rPr>
          <w:rFonts w:eastAsia="Times New Roman" w:ascii="Century Gothic" w:hAnsi="Century Gothic"/>
          <w:b/>
          <w:bCs/>
          <w:i/>
          <w:sz w:val="20"/>
          <w:szCs w:val="20"/>
          <w:lang w:val="es-ES"/>
        </w:rPr>
        <w:t>Para:</w:t>
      </w:r>
      <w:r>
        <w:rPr>
          <w:rFonts w:eastAsia="Times New Roman" w:ascii="Century Gothic" w:hAnsi="Century Gothic"/>
          <w:i/>
          <w:sz w:val="20"/>
          <w:szCs w:val="20"/>
          <w:lang w:val="es-ES"/>
        </w:rPr>
        <w:t xml:space="preserve"> Damaris Vargas Vásquez &lt;dvargas@Poder-Judicial.go.cr&gt;</w:t>
        <w:br/>
      </w:r>
      <w:r>
        <w:rPr>
          <w:rFonts w:eastAsia="Times New Roman" w:ascii="Century Gothic" w:hAnsi="Century Gothic"/>
          <w:b/>
          <w:bCs/>
          <w:i/>
          <w:sz w:val="20"/>
          <w:szCs w:val="20"/>
          <w:lang w:val="es-ES"/>
        </w:rPr>
        <w:t>Asunto:</w:t>
      </w:r>
      <w:r>
        <w:rPr>
          <w:rFonts w:eastAsia="Times New Roman" w:ascii="Century Gothic" w:hAnsi="Century Gothic"/>
          <w:i/>
          <w:sz w:val="20"/>
          <w:szCs w:val="20"/>
          <w:lang w:val="es-ES"/>
        </w:rPr>
        <w:t xml:space="preserve"> Solicitud .</w:t>
      </w:r>
    </w:p>
    <w:p>
      <w:pPr>
        <w:pStyle w:val="Normal"/>
        <w:jc w:val="both"/>
        <w:rPr>
          <w:rFonts w:ascii="Century Gothic" w:hAnsi="Century Gothic"/>
          <w:i/>
          <w:i/>
          <w:sz w:val="20"/>
          <w:szCs w:val="20"/>
        </w:rPr>
      </w:pPr>
      <w:r>
        <w:rPr>
          <w:rFonts w:ascii="Century Gothic" w:hAnsi="Century Gothic"/>
          <w:i/>
          <w:sz w:val="20"/>
          <w:szCs w:val="20"/>
        </w:rPr>
        <w:t>Muy buenos dias Doña Damaris . Mi nombre es Ileana Moya Obando ced: 3-0427-0270 ,  auxiliar en idioma cabecar para el poder judicial . El motivo de mi correo es para pedirle una cita , para poder conversar sobre los intérpretes Cabécar  que requerimos capacitaciones para poder abarcar mejor nuestro trabajo de interpretes y entre otras cosas. Le envió un gran saludo y que  se encuentre muy bien. Esperó su pronta respuesta. </w:t>
      </w:r>
    </w:p>
    <w:p>
      <w:pPr>
        <w:pStyle w:val="Normal"/>
        <w:rPr>
          <w:rFonts w:ascii="Century Gothic" w:hAnsi="Century Gothic"/>
          <w:b/>
          <w:b/>
          <w:sz w:val="20"/>
          <w:szCs w:val="20"/>
          <w:u w:val="single"/>
        </w:rPr>
      </w:pPr>
      <w:r>
        <w:rPr/>
        <w:object>
          <v:shape id="ole_rId77" style="width:75pt;height:49.5pt" o:ole="">
            <v:imagedata r:id="rId78" o:title=""/>
          </v:shape>
          <o:OLEObject Type="Embed" ProgID="Package" ShapeID="ole_rId77" DrawAspect="Icon" ObjectID="_954233863" r:id="rId77"/>
        </w:object>
      </w:r>
    </w:p>
    <w:p>
      <w:pPr>
        <w:pStyle w:val="Normal"/>
        <w:jc w:val="both"/>
        <w:rPr>
          <w:rFonts w:ascii="Century Gothic" w:hAnsi="Century Gothic"/>
          <w:sz w:val="20"/>
          <w:szCs w:val="20"/>
        </w:rPr>
      </w:pPr>
      <w:r>
        <w:rPr>
          <w:rFonts w:ascii="Century Gothic" w:hAnsi="Century Gothic"/>
          <w:b/>
          <w:sz w:val="20"/>
          <w:szCs w:val="20"/>
          <w:u w:val="single"/>
        </w:rPr>
        <w:t xml:space="preserve">SE ACUERDA: </w:t>
      </w:r>
      <w:r>
        <w:rPr>
          <w:rFonts w:ascii="Century Gothic" w:hAnsi="Century Gothic"/>
          <w:sz w:val="20"/>
          <w:szCs w:val="20"/>
          <w:highlight w:val="yellow"/>
        </w:rPr>
        <w:t>1°</w:t>
      </w:r>
      <w:r>
        <w:rPr>
          <w:rFonts w:ascii="Century Gothic" w:hAnsi="Century Gothic"/>
          <w:sz w:val="20"/>
          <w:szCs w:val="20"/>
        </w:rPr>
        <w:t xml:space="preserve"> Se toma nota de la gestión planteada por la señora Ileana Moya Obando, la cual se dispone trasladar a la Dirección de la Escuela Judicial y el Consejo Directivo para que se incluya a la señora Mora Obando y demás personas de la lista oficial de personas intérpretes y traductoras indígenas en las actividades de capacitación que formen parte del Plan Anual de Capacitación en Derecho Indígena al que hace alusión la Ley de Acceso a la Justicia de Pueblos Indígenas de Costa Rica. Solicitar a la Dirección Ejecutiva la remisión de la lista oficial en referencia a esta Subcomisión y a la Escuela Judicial lo antes posible a efecto de que se materialice esa capacitación en lo que resta de 2019 y se proyecte en el Plan Anual de Capacitación Indígena de 2020. Lo anterior, con el objetivo de que esa población fortalezca sus competencias a fin de que ejecuten sus funciones en forma eficaz y eficiente, garantizando a los tribunales del país y demás oficinas judicial una traducción acorde a los requerimientos institucionales y de la población indígena. </w:t>
      </w:r>
      <w:r>
        <w:rPr>
          <w:rFonts w:ascii="Century Gothic" w:hAnsi="Century Gothic"/>
          <w:sz w:val="20"/>
          <w:szCs w:val="20"/>
          <w:highlight w:val="yellow"/>
        </w:rPr>
        <w:t>2°</w:t>
      </w:r>
      <w:r>
        <w:rPr>
          <w:rFonts w:ascii="Century Gothic" w:hAnsi="Century Gothic"/>
          <w:sz w:val="20"/>
          <w:szCs w:val="20"/>
        </w:rPr>
        <w:t xml:space="preserve"> Instar al Consejo Directivo de la Escuela Judicial y a la Escuela Judicial al cumplimiento de los acuerdos tomados por Corte Plena </w:t>
      </w:r>
      <w:r>
        <w:rPr>
          <w:rFonts w:ascii="Century Gothic" w:hAnsi="Century Gothic"/>
          <w:sz w:val="20"/>
          <w:szCs w:val="20"/>
          <w:lang w:val="es-ES_tradnl" w:eastAsia="ar-SA"/>
        </w:rPr>
        <w:t xml:space="preserve">en las sesiones </w:t>
      </w:r>
      <w:r>
        <w:rPr>
          <w:rFonts w:ascii="Century Gothic" w:hAnsi="Century Gothic"/>
          <w:bCs/>
          <w:sz w:val="20"/>
          <w:szCs w:val="20"/>
          <w:lang w:val="es-ES_tradnl" w:eastAsia="ar-SA"/>
        </w:rPr>
        <w:t>N° 25-19</w:t>
      </w:r>
      <w:r>
        <w:rPr>
          <w:rFonts w:ascii="Century Gothic" w:hAnsi="Century Gothic"/>
          <w:sz w:val="20"/>
          <w:szCs w:val="20"/>
          <w:lang w:val="es-ES_tradnl" w:eastAsia="ar-SA"/>
        </w:rPr>
        <w:t xml:space="preserve"> celebrada </w:t>
      </w:r>
      <w:r>
        <w:rPr>
          <w:rFonts w:ascii="Century Gothic" w:hAnsi="Century Gothic"/>
          <w:bCs/>
          <w:sz w:val="20"/>
          <w:szCs w:val="20"/>
          <w:lang w:val="es-ES_tradnl" w:eastAsia="ar-SA"/>
        </w:rPr>
        <w:t>el 24 de junio del año en curso</w:t>
      </w:r>
      <w:r>
        <w:rPr>
          <w:rFonts w:ascii="Century Gothic" w:hAnsi="Century Gothic"/>
          <w:sz w:val="20"/>
          <w:szCs w:val="20"/>
          <w:lang w:val="es-ES_tradnl" w:eastAsia="ar-SA"/>
        </w:rPr>
        <w:t xml:space="preserve">, Artículo II y Artículo XIX de la sesión 20-19 de 27 de mayo de 2019, con ocasión del cumplimiento de las Medidas Cautelares N 321-12 del 30 de abril de 2015, establecidas por la Comisión Interamericana de Derechos Humanos (CIDH) contra Costa Rica, y la aprobación de los 21 ejes de acción para ser desarrollados por las instancias ahí establecidas conforme a sus funciones institucionales. </w:t>
      </w:r>
      <w:r>
        <w:rPr>
          <w:rFonts w:ascii="Century Gothic" w:hAnsi="Century Gothic"/>
          <w:sz w:val="20"/>
          <w:szCs w:val="20"/>
          <w:highlight w:val="yellow"/>
          <w:lang w:val="es-ES_tradnl" w:eastAsia="ar-SA"/>
        </w:rPr>
        <w:t>3</w:t>
      </w:r>
      <w:r>
        <w:rPr>
          <w:rFonts w:ascii="Century Gothic" w:hAnsi="Century Gothic"/>
          <w:sz w:val="20"/>
          <w:szCs w:val="20"/>
          <w:lang w:val="es-ES_tradnl" w:eastAsia="ar-SA"/>
        </w:rPr>
        <w:t xml:space="preserve">° Solicitar a la Escuela Judicial y al Consejo Directivo se tomen las previsiones necesarias para que durante el 2020 se desarrolle el Plan Anual de Capacitación al que hace referencia la Ley de Acceso a la Justicia de Pueblos Indígenas de Costa Rica, el cual debe dirigirse a todo el personal del Poder Judicial vinculado con personas juzgadoras de todas las materias y personas técnicas judiciales; además de la coordinación con las Unidades de Capacitación de la Defensa Pública, Fiscalía General, OIJ y sector Administrativo, incorporando además a las personas traductoras e intérpretes indígenas. </w:t>
      </w:r>
      <w:r>
        <w:rPr>
          <w:rFonts w:ascii="Century Gothic" w:hAnsi="Century Gothic"/>
          <w:sz w:val="20"/>
          <w:szCs w:val="20"/>
          <w:highlight w:val="yellow"/>
          <w:lang w:val="es-ES_tradnl" w:eastAsia="ar-SA"/>
        </w:rPr>
        <w:t>4°</w:t>
      </w:r>
      <w:r>
        <w:rPr>
          <w:rFonts w:ascii="Century Gothic" w:hAnsi="Century Gothic"/>
          <w:sz w:val="20"/>
          <w:szCs w:val="20"/>
          <w:lang w:val="es-ES_tradnl" w:eastAsia="ar-SA"/>
        </w:rPr>
        <w:t xml:space="preserve"> </w:t>
      </w:r>
      <w:r>
        <w:rPr>
          <w:rFonts w:ascii="Century Gothic" w:hAnsi="Century Gothic"/>
          <w:sz w:val="20"/>
          <w:szCs w:val="20"/>
        </w:rPr>
        <w:t>Comuníquense estos acuerdos a la Escuela Judicial, Consejo Directivo de la Escuela Judicial, Dirección Ejecutiva y a la señora Ileana Moya Obando. Se declara firme este acuerdo por unanimidad.-</w:t>
      </w:r>
    </w:p>
    <w:p>
      <w:pPr>
        <w:pStyle w:val="Normal"/>
        <w:jc w:val="both"/>
        <w:rPr>
          <w:rFonts w:ascii="Century Gothic" w:hAnsi="Century Gothic"/>
          <w:b/>
          <w:b/>
          <w:sz w:val="20"/>
          <w:szCs w:val="20"/>
        </w:rPr>
      </w:pPr>
      <w:r>
        <w:rPr>
          <w:rFonts w:ascii="Century Gothic" w:hAnsi="Century Gothic"/>
          <w:b/>
          <w:sz w:val="20"/>
          <w:szCs w:val="20"/>
          <w:highlight w:val="yellow"/>
        </w:rPr>
        <w:t>Ejecutado.</w:t>
      </w:r>
    </w:p>
    <w:p>
      <w:pPr>
        <w:pStyle w:val="Normal"/>
        <w:jc w:val="both"/>
        <w:rPr>
          <w:rFonts w:ascii="Century Gothic" w:hAnsi="Century Gothic"/>
          <w:sz w:val="20"/>
          <w:szCs w:val="20"/>
        </w:rPr>
      </w:pPr>
      <w:r>
        <w:rPr>
          <w:rFonts w:ascii="Century Gothic" w:hAnsi="Century Gothic"/>
          <w:sz w:val="20"/>
          <w:szCs w:val="20"/>
        </w:rPr>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XIX</w:t>
      </w:r>
    </w:p>
    <w:p>
      <w:pPr>
        <w:pStyle w:val="Normal"/>
        <w:rPr>
          <w:rFonts w:ascii="Century Gothic" w:hAnsi="Century Gothic"/>
          <w:color w:val="000000"/>
          <w:sz w:val="20"/>
          <w:szCs w:val="20"/>
        </w:rPr>
      </w:pPr>
      <w:r>
        <w:rPr>
          <w:rFonts w:ascii="Century Gothic" w:hAnsi="Century Gothic"/>
          <w:sz w:val="20"/>
          <w:szCs w:val="20"/>
        </w:rPr>
        <w:t>Se conoce gestión realizada por el defensor público indígena Jesús Chaves Mora el 18 de julio pasado a la integrante de esta Subcomisión, defensora pública Ligia Jiménez Zamora, en el que señala:</w:t>
      </w:r>
    </w:p>
    <w:p>
      <w:pPr>
        <w:pStyle w:val="NormalWeb"/>
        <w:spacing w:before="280" w:after="280"/>
        <w:ind w:left="708" w:hanging="0"/>
        <w:jc w:val="both"/>
        <w:rPr>
          <w:rFonts w:ascii="Century Gothic" w:hAnsi="Century Gothic"/>
          <w:i/>
          <w:i/>
          <w:color w:val="000000"/>
          <w:sz w:val="20"/>
          <w:szCs w:val="20"/>
        </w:rPr>
      </w:pPr>
      <w:r>
        <w:rPr>
          <w:rFonts w:ascii="Century Gothic" w:hAnsi="Century Gothic"/>
          <w:i/>
          <w:color w:val="000000"/>
          <w:sz w:val="20"/>
          <w:szCs w:val="20"/>
        </w:rPr>
        <w:t>“</w:t>
      </w:r>
      <w:r>
        <w:rPr>
          <w:rFonts w:ascii="Century Gothic" w:hAnsi="Century Gothic"/>
          <w:i/>
          <w:color w:val="000000"/>
          <w:sz w:val="20"/>
          <w:szCs w:val="20"/>
        </w:rPr>
        <w:t>Estimada Licda. Jiménez Zamora. Sirva la presente para saludarle y por indicación del Lic. Mario Alberto Rosales Vargas, Coordinador a.i. de la Unidad Agraria de la Defensa Pública, hago de su conocimiento la presente situación.</w:t>
      </w:r>
    </w:p>
    <w:p>
      <w:pPr>
        <w:pStyle w:val="NormalWeb"/>
        <w:spacing w:before="280" w:after="280"/>
        <w:ind w:left="708" w:hanging="0"/>
        <w:jc w:val="both"/>
        <w:rPr>
          <w:rFonts w:ascii="Century Gothic" w:hAnsi="Century Gothic"/>
          <w:i/>
          <w:i/>
          <w:color w:val="000000"/>
          <w:sz w:val="20"/>
          <w:szCs w:val="20"/>
        </w:rPr>
      </w:pPr>
      <w:r>
        <w:rPr>
          <w:rFonts w:ascii="Century Gothic" w:hAnsi="Century Gothic"/>
          <w:i/>
          <w:color w:val="000000"/>
          <w:sz w:val="20"/>
          <w:szCs w:val="20"/>
        </w:rPr>
        <w:t xml:space="preserve">El día martes 16 de julio del presente año, me trasladé al Territorio Indígena de Salitre para participar en la audiencia señalada en el expediente 02-160032-0188-AG, del Juzgado Agrario de Buenos Aires; luego de dicho diligencia y en una pequeña reunión con el señor Francisco Salomón Ortiz Ortiz, quién funge como Presidente de la Asociación de Desarrollo Integral de Salitre, me indicó que el día lunes 15 de julio del año 2019, fue notificado del proceso judicial n° 19-003981-1027-CA, del Tribunal Contencioso Administrativo del Segundo Circuito Judicial de San José. </w:t>
      </w:r>
    </w:p>
    <w:p>
      <w:pPr>
        <w:pStyle w:val="NormalWeb"/>
        <w:spacing w:before="280" w:after="280"/>
        <w:ind w:left="708" w:hanging="0"/>
        <w:jc w:val="both"/>
        <w:rPr>
          <w:rFonts w:ascii="Century Gothic" w:hAnsi="Century Gothic"/>
          <w:i/>
          <w:i/>
          <w:color w:val="000000"/>
          <w:sz w:val="20"/>
          <w:szCs w:val="20"/>
        </w:rPr>
      </w:pPr>
      <w:r>
        <w:rPr>
          <w:rFonts w:ascii="Century Gothic" w:hAnsi="Century Gothic"/>
          <w:i/>
          <w:color w:val="000000"/>
          <w:sz w:val="20"/>
          <w:szCs w:val="20"/>
        </w:rPr>
        <w:t xml:space="preserve">De conformidad con el Ordinal n° 7 de la Ley de Acceso a la Justicia de los pueblos indígenas en Costa Rica, normativa n° 9593, se debía solicitar la defensa de dicho proceso al Tribunal Contencioso Administrativo, ya que es la administración de justicia la encargada de proveer la asistencia de una persona defensora pública especializada en derecho indígena y en la materia de competencia de forma gratuita; por tal motivo, con los pocos recursos tecnológicos que tiene la ADI, se hizo una carta, donde se solicitó por parte del Presidente de la asociación que se nombrara una persona defensora pública, dicha carta se consignó la firma y sello de la ADI, se tomo una foto y se envió al correo institucional </w:t>
      </w:r>
      <w:hyperlink r:id="rId79">
        <w:r>
          <w:rPr>
            <w:rStyle w:val="EnlacedeInternet"/>
            <w:rFonts w:ascii="Century Gothic" w:hAnsi="Century Gothic"/>
            <w:i/>
            <w:sz w:val="20"/>
            <w:szCs w:val="20"/>
          </w:rPr>
          <w:t>tproca-sgdoc@poder-judicial.go.cr</w:t>
        </w:r>
      </w:hyperlink>
      <w:r>
        <w:rPr>
          <w:rFonts w:ascii="Century Gothic" w:hAnsi="Century Gothic"/>
          <w:i/>
          <w:color w:val="000000"/>
          <w:sz w:val="20"/>
          <w:szCs w:val="20"/>
        </w:rPr>
        <w:t>, del Tribunal Contencioso Administrativo - II Circuito Judicial de San José. Cabe señalar, que en los territorios indígenas, todos muy bien conocidos por su persona, cuentan con poca tecnología, en muchos casos, ni con cobertura celular; no siendo la excepción el Territorio Indígena de Salitre.   </w:t>
      </w:r>
    </w:p>
    <w:p>
      <w:pPr>
        <w:pStyle w:val="NormalWeb"/>
        <w:spacing w:before="280" w:after="280"/>
        <w:ind w:left="708" w:hanging="0"/>
        <w:jc w:val="both"/>
        <w:rPr>
          <w:rFonts w:ascii="Century Gothic" w:hAnsi="Century Gothic"/>
          <w:i/>
          <w:i/>
          <w:color w:val="000000"/>
          <w:sz w:val="20"/>
          <w:szCs w:val="20"/>
        </w:rPr>
      </w:pPr>
      <w:r>
        <w:rPr>
          <w:rFonts w:ascii="Century Gothic" w:hAnsi="Century Gothic"/>
          <w:i/>
          <w:color w:val="000000"/>
          <w:sz w:val="20"/>
          <w:szCs w:val="20"/>
        </w:rPr>
        <w:t>Por parte del Tribunal Contencioso Administrativo, a la solicitud de persona defensora pública, enviada por correo electrónico, se contestó: "</w:t>
      </w:r>
      <w:r>
        <w:rPr>
          <w:rStyle w:val="Destacado"/>
          <w:rFonts w:ascii="Century Gothic" w:hAnsi="Century Gothic"/>
          <w:color w:val="000000"/>
          <w:sz w:val="20"/>
          <w:szCs w:val="20"/>
        </w:rPr>
        <w:t xml:space="preserve"> Señor(a) usuario de conformidad con el Reglamento sobre Expediente Judicial Electrónico, en su Capítulo III, Artículo 15 se indica que para despachos que laboren bajo el modelo electrónico, el envío de documentos (escritos, demandas nuevas o cualquier otra documentación) deberá ser realizado de forma electrónica mediante el Sistema de Gestión en Línea, provisto por el Poder Judicial, el cual se encuentra ubicado en el sitio Web oficial de la Institución </w:t>
      </w:r>
      <w:hyperlink r:id="rId80">
        <w:r>
          <w:rPr>
            <w:rStyle w:val="Destacado"/>
            <w:rFonts w:ascii="Century Gothic" w:hAnsi="Century Gothic"/>
            <w:color w:val="0000FF"/>
            <w:sz w:val="20"/>
            <w:szCs w:val="20"/>
            <w:u w:val="single"/>
          </w:rPr>
          <w:t>www.poder-judicial.go.cr</w:t>
        </w:r>
      </w:hyperlink>
      <w:r>
        <w:rPr>
          <w:rStyle w:val="Destacado"/>
          <w:rFonts w:ascii="Century Gothic" w:hAnsi="Century Gothic"/>
          <w:color w:val="000000"/>
          <w:sz w:val="20"/>
          <w:szCs w:val="20"/>
        </w:rPr>
        <w:t>. Y en su Artículo 16 se menciona que la cuenta de correo es válida únicamente para despachos que no cuenten con el sistema antes indicado en el artículo 15, el cual no es nuestro caso. (Se adjunta Circular 104-13).  </w:t>
      </w:r>
    </w:p>
    <w:p>
      <w:pPr>
        <w:pStyle w:val="Xmsoplaintext"/>
        <w:ind w:left="708" w:hanging="0"/>
        <w:jc w:val="both"/>
        <w:rPr>
          <w:rFonts w:ascii="Century Gothic" w:hAnsi="Century Gothic"/>
          <w:i/>
          <w:i/>
          <w:color w:val="000000"/>
          <w:sz w:val="20"/>
          <w:szCs w:val="20"/>
        </w:rPr>
      </w:pPr>
      <w:r>
        <w:rPr>
          <w:rStyle w:val="Destacado"/>
          <w:rFonts w:ascii="Century Gothic" w:hAnsi="Century Gothic"/>
          <w:color w:val="000000"/>
          <w:sz w:val="20"/>
          <w:szCs w:val="20"/>
        </w:rPr>
        <w:t xml:space="preserve">Por lo anterior, se le hace saber que deberá utilizar los medios permitidos para la presentación de los documentos respectivos, ya que el correo electrónico no es un medio válido para ello.(Fax 2241-5664 ó 2545-0006)". </w:t>
      </w:r>
    </w:p>
    <w:p>
      <w:pPr>
        <w:pStyle w:val="Xmsoplaintext"/>
        <w:ind w:left="708" w:hanging="0"/>
        <w:jc w:val="both"/>
        <w:rPr>
          <w:rFonts w:ascii="Century Gothic" w:hAnsi="Century Gothic"/>
          <w:i/>
          <w:i/>
          <w:color w:val="000000"/>
          <w:sz w:val="20"/>
          <w:szCs w:val="20"/>
        </w:rPr>
      </w:pPr>
      <w:r>
        <w:rPr>
          <w:rFonts w:ascii="Century Gothic" w:hAnsi="Century Gothic"/>
          <w:i/>
          <w:color w:val="000000"/>
          <w:sz w:val="20"/>
          <w:szCs w:val="20"/>
        </w:rPr>
        <w:t xml:space="preserve">El suscrito, para no provocar más violaciones d derecho a la ADI, me encargué de pasar a los Tribunales de Justicia de Pérez Zeledón a enviar dicha carta de solicitud de defensor público por fax, pero hago de su conocimiento lo sucedido para que me diga como se debe proceder con estos medios; ya que en los territorios indígenas, y propiamente en Salitre, no se cuenta con la tecnología para enviar documentos por fax, ya que no cuentan con este medio; ni equipo para escanear documentos para subirlos al Sistema de Gestión en Línea; incluso en otros territorios no hay ni internet para enviar un correo electrónico. </w:t>
      </w:r>
    </w:p>
    <w:p>
      <w:pPr>
        <w:pStyle w:val="Xmsoplaintext"/>
        <w:ind w:left="708" w:hanging="0"/>
        <w:jc w:val="both"/>
        <w:rPr>
          <w:rFonts w:ascii="Century Gothic" w:hAnsi="Century Gothic"/>
          <w:i/>
          <w:i/>
          <w:color w:val="000000"/>
          <w:sz w:val="20"/>
          <w:szCs w:val="20"/>
        </w:rPr>
      </w:pPr>
      <w:r>
        <w:rPr>
          <w:rFonts w:ascii="Century Gothic" w:hAnsi="Century Gothic"/>
          <w:i/>
          <w:color w:val="000000"/>
          <w:sz w:val="20"/>
          <w:szCs w:val="20"/>
        </w:rPr>
      </w:r>
    </w:p>
    <w:p>
      <w:pPr>
        <w:pStyle w:val="Xmsoplaintext"/>
        <w:ind w:left="708" w:hanging="0"/>
        <w:jc w:val="both"/>
        <w:rPr>
          <w:rFonts w:ascii="Century Gothic" w:hAnsi="Century Gothic"/>
          <w:i/>
          <w:i/>
          <w:color w:val="000000"/>
          <w:sz w:val="20"/>
          <w:szCs w:val="20"/>
        </w:rPr>
      </w:pPr>
      <w:r>
        <w:rPr>
          <w:rFonts w:ascii="Century Gothic" w:hAnsi="Century Gothic"/>
          <w:i/>
          <w:color w:val="000000"/>
          <w:sz w:val="20"/>
          <w:szCs w:val="20"/>
        </w:rPr>
        <w:t>Considero que el Tribunal Contencioso Administrativa, al no permitirle la solicitud por correo electrónico y obligarle a utilizarle otro medios, se le está negando el acceso a la justicia; por lo que hago de su conocimiento para ver que vías podemos tomar.”</w:t>
      </w:r>
    </w:p>
    <w:p>
      <w:pPr>
        <w:pStyle w:val="Xmsoplaintext"/>
        <w:rPr>
          <w:rFonts w:ascii="Century Gothic" w:hAnsi="Century Gothic"/>
          <w:color w:val="000000"/>
          <w:sz w:val="20"/>
          <w:szCs w:val="20"/>
        </w:rPr>
      </w:pPr>
      <w:r>
        <w:rPr>
          <w:rFonts w:ascii="Century Gothic" w:hAnsi="Century Gothic"/>
          <w:color w:val="000000"/>
          <w:sz w:val="20"/>
          <w:szCs w:val="20"/>
        </w:rPr>
      </w:r>
    </w:p>
    <w:p>
      <w:pPr>
        <w:pStyle w:val="Xmsoplaintext"/>
        <w:rPr>
          <w:rFonts w:ascii="Century Gothic" w:hAnsi="Century Gothic"/>
          <w:color w:val="000000"/>
          <w:sz w:val="20"/>
          <w:szCs w:val="20"/>
        </w:rPr>
      </w:pPr>
      <w:r>
        <w:rPr>
          <w:rFonts w:ascii="Century Gothic" w:hAnsi="Century Gothic"/>
          <w:color w:val="000000"/>
          <w:sz w:val="20"/>
          <w:szCs w:val="20"/>
        </w:rPr>
        <w:t>La secuencia de correos es la siguiente:</w:t>
      </w:r>
    </w:p>
    <w:p>
      <w:pPr>
        <w:pStyle w:val="Normal"/>
        <w:jc w:val="center"/>
        <w:rPr>
          <w:rFonts w:ascii="Century Gothic" w:hAnsi="Century Gothic" w:eastAsia="Times New Roman"/>
          <w:color w:val="000000"/>
          <w:sz w:val="20"/>
          <w:szCs w:val="20"/>
        </w:rPr>
      </w:pPr>
      <w:r>
        <w:rPr/>
        <mc:AlternateContent>
          <mc:Choice Requires="wps">
            <w:drawing>
              <wp:inline distT="0" distB="0" distL="0" distR="0">
                <wp:extent cx="5500370" cy="19685"/>
                <wp:effectExtent l="0" t="0" r="0" b="0"/>
                <wp:docPr id="7" name=""/>
                <a:graphic xmlns:a="http://schemas.openxmlformats.org/drawingml/2006/main">
                  <a:graphicData uri="http://schemas.microsoft.com/office/word/2010/wordprocessingShape">
                    <wps:wsp>
                      <wps:cNvSpPr/>
                      <wps:nvSpPr>
                        <wps:cNvPr id="1"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outlineLvl w:val="0"/>
        <w:rPr>
          <w:rFonts w:ascii="Century Gothic" w:hAnsi="Century Gothic" w:eastAsia="Times New Roman"/>
          <w:color w:val="000000"/>
          <w:sz w:val="20"/>
          <w:szCs w:val="20"/>
        </w:rPr>
      </w:pPr>
      <w:r>
        <w:rPr>
          <w:rFonts w:eastAsia="Times New Roman" w:ascii="Century Gothic" w:hAnsi="Century Gothic"/>
          <w:b/>
          <w:bCs/>
          <w:color w:val="000000"/>
          <w:sz w:val="20"/>
          <w:szCs w:val="20"/>
        </w:rPr>
        <w:t>De:</w:t>
      </w:r>
      <w:r>
        <w:rPr>
          <w:rFonts w:eastAsia="Times New Roman" w:ascii="Century Gothic" w:hAnsi="Century Gothic"/>
          <w:color w:val="000000"/>
          <w:sz w:val="20"/>
          <w:szCs w:val="20"/>
        </w:rPr>
        <w:t xml:space="preserve"> francisco ortiz ortiz &lt;</w:t>
      </w:r>
      <w:hyperlink r:id="rId81">
        <w:r>
          <w:rPr>
            <w:rStyle w:val="EnlacedeInternet"/>
            <w:rFonts w:ascii="Century Gothic" w:hAnsi="Century Gothic"/>
            <w:sz w:val="20"/>
            <w:szCs w:val="20"/>
          </w:rPr>
          <w:t>fr.ortiz@hotmail.com</w:t>
        </w:r>
      </w:hyperlink>
      <w:r>
        <w:rPr>
          <w:rFonts w:eastAsia="Times New Roman" w:ascii="Century Gothic" w:hAnsi="Century Gothic"/>
          <w:color w:val="000000"/>
          <w:sz w:val="20"/>
          <w:szCs w:val="20"/>
        </w:rPr>
        <w:t>&gt;</w:t>
        <w:br/>
      </w:r>
      <w:r>
        <w:rPr>
          <w:rFonts w:eastAsia="Times New Roman" w:ascii="Century Gothic" w:hAnsi="Century Gothic"/>
          <w:b/>
          <w:bCs/>
          <w:color w:val="000000"/>
          <w:sz w:val="20"/>
          <w:szCs w:val="20"/>
        </w:rPr>
        <w:t>Enviado:</w:t>
      </w:r>
      <w:r>
        <w:rPr>
          <w:rFonts w:eastAsia="Times New Roman" w:ascii="Century Gothic" w:hAnsi="Century Gothic"/>
          <w:color w:val="000000"/>
          <w:sz w:val="20"/>
          <w:szCs w:val="20"/>
        </w:rPr>
        <w:t xml:space="preserve"> martes, 16 de julio de 2019 14:50</w:t>
        <w:br/>
      </w:r>
      <w:r>
        <w:rPr>
          <w:rFonts w:eastAsia="Times New Roman" w:ascii="Century Gothic" w:hAnsi="Century Gothic"/>
          <w:b/>
          <w:bCs/>
          <w:color w:val="000000"/>
          <w:sz w:val="20"/>
          <w:szCs w:val="20"/>
        </w:rPr>
        <w:t>Para:</w:t>
      </w:r>
      <w:r>
        <w:rPr>
          <w:rFonts w:eastAsia="Times New Roman" w:ascii="Century Gothic" w:hAnsi="Century Gothic"/>
          <w:color w:val="000000"/>
          <w:sz w:val="20"/>
          <w:szCs w:val="20"/>
        </w:rPr>
        <w:t xml:space="preserve"> Jesus Chaves Mora &lt;</w:t>
      </w:r>
      <w:hyperlink r:id="rId82">
        <w:r>
          <w:rPr>
            <w:rStyle w:val="EnlacedeInternet"/>
            <w:rFonts w:ascii="Century Gothic" w:hAnsi="Century Gothic"/>
            <w:sz w:val="20"/>
            <w:szCs w:val="20"/>
          </w:rPr>
          <w:t>jechaves@Poder-Judicial.go.cr</w:t>
        </w:r>
      </w:hyperlink>
      <w:r>
        <w:rPr>
          <w:rFonts w:eastAsia="Times New Roman" w:ascii="Century Gothic" w:hAnsi="Century Gothic"/>
          <w:color w:val="000000"/>
          <w:sz w:val="20"/>
          <w:szCs w:val="20"/>
        </w:rPr>
        <w:t>&gt;</w:t>
        <w:br/>
      </w:r>
      <w:r>
        <w:rPr>
          <w:rFonts w:eastAsia="Times New Roman" w:ascii="Century Gothic" w:hAnsi="Century Gothic"/>
          <w:b/>
          <w:bCs/>
          <w:color w:val="000000"/>
          <w:sz w:val="20"/>
          <w:szCs w:val="20"/>
        </w:rPr>
        <w:t>Asunto:</w:t>
      </w:r>
      <w:r>
        <w:rPr>
          <w:rFonts w:eastAsia="Times New Roman" w:ascii="Century Gothic" w:hAnsi="Century Gothic"/>
          <w:color w:val="000000"/>
          <w:sz w:val="20"/>
          <w:szCs w:val="20"/>
        </w:rPr>
        <w:t xml:space="preserve"> RV: Solicitud defensor público. Exp: 19-003938-1027-CA </w:t>
      </w:r>
    </w:p>
    <w:p>
      <w:pPr>
        <w:pStyle w:val="Normal"/>
        <w:rPr>
          <w:rFonts w:ascii="Century Gothic" w:hAnsi="Century Gothic" w:eastAsia="Times New Roman"/>
          <w:color w:val="000000"/>
          <w:sz w:val="20"/>
          <w:szCs w:val="20"/>
        </w:rPr>
      </w:pPr>
      <w:r>
        <w:rPr>
          <w:rFonts w:eastAsia="Times New Roman" w:ascii="Century Gothic" w:hAnsi="Century Gothic"/>
          <w:color w:val="000000"/>
          <w:sz w:val="20"/>
          <w:szCs w:val="20"/>
        </w:rPr>
        <w:t> </w:t>
      </w:r>
      <w:r>
        <w:rPr/>
        <mc:AlternateContent>
          <mc:Choice Requires="wps">
            <w:drawing>
              <wp:inline distT="0" distB="0" distL="0" distR="0">
                <wp:extent cx="5500370" cy="19685"/>
                <wp:effectExtent l="0" t="0" r="0" b="0"/>
                <wp:docPr id="8" name=""/>
                <a:graphic xmlns:a="http://schemas.openxmlformats.org/drawingml/2006/main">
                  <a:graphicData uri="http://schemas.microsoft.com/office/word/2010/wordprocessingShape">
                    <wps:wsp>
                      <wps:cNvSpPr/>
                      <wps:nvSpPr>
                        <wps:cNvPr id="2"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outlineLvl w:val="0"/>
        <w:rPr>
          <w:rFonts w:ascii="Century Gothic" w:hAnsi="Century Gothic" w:eastAsia="Times New Roman"/>
          <w:color w:val="000000"/>
          <w:sz w:val="20"/>
          <w:szCs w:val="20"/>
        </w:rPr>
      </w:pPr>
      <w:r>
        <w:rPr>
          <w:rFonts w:eastAsia="Times New Roman" w:ascii="Century Gothic" w:hAnsi="Century Gothic"/>
          <w:b/>
          <w:bCs/>
          <w:color w:val="000000"/>
          <w:sz w:val="20"/>
          <w:szCs w:val="20"/>
        </w:rPr>
        <w:t>De:</w:t>
      </w:r>
      <w:r>
        <w:rPr>
          <w:rFonts w:eastAsia="Times New Roman" w:ascii="Century Gothic" w:hAnsi="Century Gothic"/>
          <w:color w:val="000000"/>
          <w:sz w:val="20"/>
          <w:szCs w:val="20"/>
        </w:rPr>
        <w:t xml:space="preserve"> Tribunal Contencioso Administrativo - II Circuito Judicial de San José &lt;</w:t>
      </w:r>
      <w:hyperlink r:id="rId83">
        <w:r>
          <w:rPr>
            <w:rStyle w:val="EnlacedeInternet"/>
            <w:rFonts w:ascii="Century Gothic" w:hAnsi="Century Gothic"/>
            <w:sz w:val="20"/>
            <w:szCs w:val="20"/>
          </w:rPr>
          <w:t>tproca-sgdoc@poder-judicial.go.cr</w:t>
        </w:r>
      </w:hyperlink>
      <w:r>
        <w:rPr>
          <w:rFonts w:eastAsia="Times New Roman" w:ascii="Century Gothic" w:hAnsi="Century Gothic"/>
          <w:color w:val="000000"/>
          <w:sz w:val="20"/>
          <w:szCs w:val="20"/>
        </w:rPr>
        <w:t>&gt;</w:t>
        <w:br/>
      </w:r>
      <w:r>
        <w:rPr>
          <w:rFonts w:eastAsia="Times New Roman" w:ascii="Century Gothic" w:hAnsi="Century Gothic"/>
          <w:b/>
          <w:bCs/>
          <w:color w:val="000000"/>
          <w:sz w:val="20"/>
          <w:szCs w:val="20"/>
        </w:rPr>
        <w:t>Enviado:</w:t>
      </w:r>
      <w:r>
        <w:rPr>
          <w:rFonts w:eastAsia="Times New Roman" w:ascii="Century Gothic" w:hAnsi="Century Gothic"/>
          <w:color w:val="000000"/>
          <w:sz w:val="20"/>
          <w:szCs w:val="20"/>
        </w:rPr>
        <w:t xml:space="preserve"> martes, 16 de julio de 2019 13:22</w:t>
        <w:br/>
      </w:r>
      <w:r>
        <w:rPr>
          <w:rFonts w:eastAsia="Times New Roman" w:ascii="Century Gothic" w:hAnsi="Century Gothic"/>
          <w:b/>
          <w:bCs/>
          <w:color w:val="000000"/>
          <w:sz w:val="20"/>
          <w:szCs w:val="20"/>
        </w:rPr>
        <w:t>Para:</w:t>
      </w:r>
      <w:r>
        <w:rPr>
          <w:rFonts w:eastAsia="Times New Roman" w:ascii="Century Gothic" w:hAnsi="Century Gothic"/>
          <w:color w:val="000000"/>
          <w:sz w:val="20"/>
          <w:szCs w:val="20"/>
        </w:rPr>
        <w:t xml:space="preserve"> francisco ortiz ortiz</w:t>
        <w:br/>
      </w:r>
      <w:r>
        <w:rPr>
          <w:rFonts w:eastAsia="Times New Roman" w:ascii="Century Gothic" w:hAnsi="Century Gothic"/>
          <w:b/>
          <w:bCs/>
          <w:color w:val="000000"/>
          <w:sz w:val="20"/>
          <w:szCs w:val="20"/>
        </w:rPr>
        <w:t>Asunto:</w:t>
      </w:r>
      <w:r>
        <w:rPr>
          <w:rFonts w:eastAsia="Times New Roman" w:ascii="Century Gothic" w:hAnsi="Century Gothic"/>
          <w:color w:val="000000"/>
          <w:sz w:val="20"/>
          <w:szCs w:val="20"/>
        </w:rPr>
        <w:t xml:space="preserve"> RE: Solicitud defensor público. Exp: 19-003938-1027-CA </w:t>
      </w:r>
    </w:p>
    <w:p>
      <w:pPr>
        <w:pStyle w:val="Normal"/>
        <w:rPr>
          <w:rFonts w:ascii="Century Gothic" w:hAnsi="Century Gothic" w:eastAsia="Times New Roman"/>
          <w:color w:val="000000"/>
          <w:sz w:val="20"/>
          <w:szCs w:val="20"/>
        </w:rPr>
      </w:pPr>
      <w:r>
        <w:rPr>
          <w:rFonts w:eastAsia="Times New Roman" w:ascii="Century Gothic" w:hAnsi="Century Gothic"/>
          <w:color w:val="000000"/>
          <w:sz w:val="20"/>
          <w:szCs w:val="20"/>
        </w:rPr>
        <w:t> </w:t>
      </w:r>
    </w:p>
    <w:p>
      <w:pPr>
        <w:pStyle w:val="Xmsoplaintext"/>
        <w:rPr>
          <w:rFonts w:ascii="Century Gothic" w:hAnsi="Century Gothic"/>
          <w:color w:val="000000"/>
          <w:sz w:val="20"/>
          <w:szCs w:val="20"/>
        </w:rPr>
      </w:pPr>
      <w:r>
        <w:rPr>
          <w:rFonts w:ascii="Century Gothic" w:hAnsi="Century Gothic"/>
          <w:color w:val="000000"/>
          <w:sz w:val="20"/>
          <w:szCs w:val="20"/>
        </w:rPr>
        <w:t xml:space="preserve">Señor(a) usuario de conformidad con el Reglamento sobre Expediente Judicial Electrónico, en su Capítulo III, Artículo 15 se indica que para despachos que laboren bajo el modelo electrónico, el envío de documentos (escritos, demandas nuevas o cualquier otra documentación) deberá ser realizado de forma electrónica mediante el Sistema de Gestión en Línea, provisto por el Poder Judicial, el cual se encuentra ubicado en el sitio Web oficial de la Institución </w:t>
      </w:r>
      <w:hyperlink r:id="rId84">
        <w:r>
          <w:rPr>
            <w:rStyle w:val="EnlacedeInternet"/>
            <w:rFonts w:ascii="Century Gothic" w:hAnsi="Century Gothic"/>
            <w:sz w:val="20"/>
            <w:szCs w:val="20"/>
          </w:rPr>
          <w:t>www.poder-judicial.go.cr</w:t>
        </w:r>
      </w:hyperlink>
      <w:r>
        <w:rPr>
          <w:rFonts w:ascii="Century Gothic" w:hAnsi="Century Gothic"/>
          <w:color w:val="000000"/>
          <w:sz w:val="20"/>
          <w:szCs w:val="20"/>
        </w:rPr>
        <w:t xml:space="preserve">. Y en su Artículo 16 se menciona que la cuenta de correo es válida únicamente para despachos que no cuenten con el sistema antes indicado en el artículo 15, el cual no es nuestro caso. (Se adjunta Circular 104-13). </w:t>
      </w:r>
    </w:p>
    <w:p>
      <w:pPr>
        <w:pStyle w:val="Xmsoplaintext"/>
        <w:rPr>
          <w:rFonts w:ascii="Century Gothic" w:hAnsi="Century Gothic"/>
          <w:color w:val="000000"/>
          <w:sz w:val="20"/>
          <w:szCs w:val="20"/>
        </w:rPr>
      </w:pPr>
      <w:r>
        <w:rPr>
          <w:rFonts w:ascii="Century Gothic" w:hAnsi="Century Gothic"/>
          <w:color w:val="000000"/>
          <w:sz w:val="20"/>
          <w:szCs w:val="20"/>
        </w:rPr>
        <w:t> </w:t>
      </w:r>
    </w:p>
    <w:p>
      <w:pPr>
        <w:pStyle w:val="Xmsoplaintext"/>
        <w:rPr>
          <w:rFonts w:ascii="Century Gothic" w:hAnsi="Century Gothic"/>
          <w:color w:val="000000"/>
          <w:sz w:val="20"/>
          <w:szCs w:val="20"/>
        </w:rPr>
      </w:pPr>
      <w:r>
        <w:rPr>
          <w:rFonts w:ascii="Century Gothic" w:hAnsi="Century Gothic"/>
          <w:color w:val="000000"/>
          <w:sz w:val="20"/>
          <w:szCs w:val="20"/>
        </w:rPr>
        <w:t>Por lo anterior, se le hace saber que deberá utilizar los medios permitidos para la presentación de los documentos respectivos, ya que el correo electrónico no es un medio válido para ello.(Fax 2241-5664 ó 2545-0006).</w:t>
      </w:r>
    </w:p>
    <w:p>
      <w:pPr>
        <w:pStyle w:val="Xmsonormal"/>
        <w:rPr>
          <w:rFonts w:ascii="Century Gothic" w:hAnsi="Century Gothic"/>
          <w:color w:val="000000"/>
          <w:sz w:val="20"/>
          <w:szCs w:val="20"/>
        </w:rPr>
      </w:pPr>
      <w:r>
        <w:rPr>
          <w:rFonts w:ascii="Century Gothic" w:hAnsi="Century Gothic"/>
          <w:color w:val="1F497D"/>
          <w:sz w:val="20"/>
          <w:szCs w:val="20"/>
        </w:rPr>
        <w:t> </w:t>
      </w:r>
    </w:p>
    <w:p>
      <w:pPr>
        <w:pStyle w:val="Xmsonormal"/>
        <w:rPr>
          <w:rFonts w:ascii="Century Gothic" w:hAnsi="Century Gothic"/>
          <w:color w:val="000000"/>
          <w:sz w:val="20"/>
          <w:szCs w:val="20"/>
        </w:rPr>
      </w:pPr>
      <w:r>
        <w:rPr>
          <w:rFonts w:ascii="Century Gothic" w:hAnsi="Century Gothic"/>
          <w:color w:val="1F497D"/>
          <w:sz w:val="20"/>
          <w:szCs w:val="20"/>
        </w:rPr>
        <w:t> </w:t>
      </w:r>
    </w:p>
    <w:p>
      <w:pPr>
        <w:pStyle w:val="Xmsonormal"/>
        <w:numPr>
          <w:ilvl w:val="0"/>
          <w:numId w:val="0"/>
        </w:numPr>
        <w:outlineLvl w:val="0"/>
        <w:rPr>
          <w:rFonts w:ascii="Century Gothic" w:hAnsi="Century Gothic"/>
          <w:color w:val="000000"/>
          <w:sz w:val="20"/>
          <w:szCs w:val="20"/>
        </w:rPr>
      </w:pPr>
      <w:r>
        <w:rPr>
          <w:rFonts w:cs="Tahoma" w:ascii="Century Gothic" w:hAnsi="Century Gothic"/>
          <w:b/>
          <w:bCs/>
          <w:color w:val="000000"/>
          <w:sz w:val="20"/>
          <w:szCs w:val="20"/>
        </w:rPr>
        <w:t>De:</w:t>
      </w:r>
      <w:r>
        <w:rPr>
          <w:rFonts w:cs="Tahoma" w:ascii="Century Gothic" w:hAnsi="Century Gothic"/>
          <w:color w:val="000000"/>
          <w:sz w:val="20"/>
          <w:szCs w:val="20"/>
        </w:rPr>
        <w:t xml:space="preserve"> francisco ortiz ortiz [</w:t>
      </w:r>
      <w:hyperlink r:id="rId85">
        <w:r>
          <w:rPr>
            <w:rStyle w:val="EnlacedeInternet"/>
            <w:rFonts w:cs="Tahoma" w:ascii="Century Gothic" w:hAnsi="Century Gothic"/>
            <w:sz w:val="20"/>
            <w:szCs w:val="20"/>
          </w:rPr>
          <w:t>mailto:fr.ortiz@hotmail.com</w:t>
        </w:r>
      </w:hyperlink>
      <w:r>
        <w:rPr>
          <w:rFonts w:cs="Tahoma" w:ascii="Century Gothic" w:hAnsi="Century Gothic"/>
          <w:color w:val="000000"/>
          <w:sz w:val="20"/>
          <w:szCs w:val="20"/>
        </w:rPr>
        <w:t xml:space="preserve">] </w:t>
        <w:br/>
      </w:r>
      <w:r>
        <w:rPr>
          <w:rFonts w:cs="Tahoma" w:ascii="Century Gothic" w:hAnsi="Century Gothic"/>
          <w:b/>
          <w:bCs/>
          <w:color w:val="000000"/>
          <w:sz w:val="20"/>
          <w:szCs w:val="20"/>
        </w:rPr>
        <w:t>Enviado el:</w:t>
      </w:r>
      <w:r>
        <w:rPr>
          <w:rFonts w:cs="Tahoma" w:ascii="Century Gothic" w:hAnsi="Century Gothic"/>
          <w:color w:val="000000"/>
          <w:sz w:val="20"/>
          <w:szCs w:val="20"/>
        </w:rPr>
        <w:t xml:space="preserve"> martes, 16 de julio de 2019 13:15</w:t>
        <w:br/>
      </w:r>
      <w:r>
        <w:rPr>
          <w:rFonts w:cs="Tahoma" w:ascii="Century Gothic" w:hAnsi="Century Gothic"/>
          <w:b/>
          <w:bCs/>
          <w:color w:val="000000"/>
          <w:sz w:val="20"/>
          <w:szCs w:val="20"/>
        </w:rPr>
        <w:t>Para:</w:t>
      </w:r>
      <w:r>
        <w:rPr>
          <w:rFonts w:cs="Tahoma" w:ascii="Century Gothic" w:hAnsi="Century Gothic"/>
          <w:color w:val="000000"/>
          <w:sz w:val="20"/>
          <w:szCs w:val="20"/>
        </w:rPr>
        <w:t xml:space="preserve"> Tribunal Contencioso Administrativo - II Circuito Judicial de San José</w:t>
        <w:br/>
      </w:r>
      <w:r>
        <w:rPr>
          <w:rFonts w:cs="Tahoma" w:ascii="Century Gothic" w:hAnsi="Century Gothic"/>
          <w:b/>
          <w:bCs/>
          <w:color w:val="000000"/>
          <w:sz w:val="20"/>
          <w:szCs w:val="20"/>
        </w:rPr>
        <w:t>Asunto:</w:t>
      </w:r>
      <w:r>
        <w:rPr>
          <w:rFonts w:cs="Tahoma" w:ascii="Century Gothic" w:hAnsi="Century Gothic"/>
          <w:color w:val="000000"/>
          <w:sz w:val="20"/>
          <w:szCs w:val="20"/>
        </w:rPr>
        <w:t xml:space="preserve"> Solicitud defensor público. Exp: 19-003938-1027-CA </w:t>
      </w:r>
    </w:p>
    <w:p>
      <w:pPr>
        <w:pStyle w:val="Xmsonormal"/>
        <w:rPr>
          <w:rFonts w:ascii="Century Gothic" w:hAnsi="Century Gothic"/>
          <w:color w:val="000000"/>
          <w:sz w:val="20"/>
          <w:szCs w:val="20"/>
        </w:rPr>
      </w:pPr>
      <w:r>
        <w:rPr>
          <w:rFonts w:ascii="Century Gothic" w:hAnsi="Century Gothic"/>
          <w:color w:val="000000"/>
          <w:sz w:val="20"/>
          <w:szCs w:val="20"/>
        </w:rPr>
        <w:t> </w:t>
      </w:r>
    </w:p>
    <w:p>
      <w:pPr>
        <w:pStyle w:val="Xmsonormal"/>
        <w:rPr>
          <w:rFonts w:ascii="Century Gothic" w:hAnsi="Century Gothic"/>
          <w:color w:val="000000"/>
          <w:sz w:val="20"/>
          <w:szCs w:val="20"/>
        </w:rPr>
      </w:pPr>
      <w:r>
        <w:rPr>
          <w:rFonts w:ascii="Century Gothic" w:hAnsi="Century Gothic"/>
          <w:color w:val="000000"/>
          <w:sz w:val="20"/>
          <w:szCs w:val="20"/>
        </w:rPr>
        <w:t>Señores:</w:t>
      </w:r>
    </w:p>
    <w:p>
      <w:pPr>
        <w:pStyle w:val="Xmsonormal"/>
        <w:rPr>
          <w:rFonts w:ascii="Century Gothic" w:hAnsi="Century Gothic"/>
          <w:color w:val="000000"/>
          <w:sz w:val="20"/>
          <w:szCs w:val="20"/>
        </w:rPr>
      </w:pPr>
      <w:r>
        <w:rPr>
          <w:rFonts w:ascii="Century Gothic" w:hAnsi="Century Gothic"/>
          <w:color w:val="000000"/>
          <w:sz w:val="20"/>
          <w:szCs w:val="20"/>
        </w:rPr>
        <w:t>Tribunal Contencioso Administrativo. </w:t>
      </w:r>
    </w:p>
    <w:p>
      <w:pPr>
        <w:pStyle w:val="Xmsonormal"/>
        <w:rPr>
          <w:rFonts w:ascii="Century Gothic" w:hAnsi="Century Gothic"/>
          <w:color w:val="000000"/>
          <w:sz w:val="20"/>
          <w:szCs w:val="20"/>
        </w:rPr>
      </w:pPr>
      <w:r>
        <w:rPr>
          <w:rFonts w:ascii="Century Gothic" w:hAnsi="Century Gothic"/>
          <w:color w:val="000000"/>
          <w:sz w:val="20"/>
          <w:szCs w:val="20"/>
        </w:rPr>
        <w:t> </w:t>
      </w:r>
    </w:p>
    <w:p>
      <w:pPr>
        <w:pStyle w:val="Xmsonormal"/>
        <w:rPr>
          <w:rFonts w:ascii="Century Gothic" w:hAnsi="Century Gothic"/>
          <w:color w:val="000000"/>
          <w:sz w:val="20"/>
          <w:szCs w:val="20"/>
        </w:rPr>
      </w:pPr>
      <w:r>
        <w:rPr>
          <w:rFonts w:ascii="Century Gothic" w:hAnsi="Century Gothic"/>
          <w:color w:val="000000"/>
          <w:sz w:val="20"/>
          <w:szCs w:val="20"/>
        </w:rPr>
        <w:t xml:space="preserve">  </w:t>
      </w:r>
      <w:r>
        <w:rPr>
          <w:rFonts w:ascii="Century Gothic" w:hAnsi="Century Gothic"/>
          <w:color w:val="000000"/>
          <w:sz w:val="20"/>
          <w:szCs w:val="20"/>
        </w:rPr>
        <w:t>Siendo imposible trasladarme hasta este Tribunal, ya que queda muy lejos del territorio indígena, solicito a ustedes de conformidad con la Ley de la Carta de los Pueblos Indígenas, se nombre un defensor público en el expediente 19-003938-1027-CA, para que represente a la ADI de Salitre. </w:t>
      </w:r>
    </w:p>
    <w:p>
      <w:pPr>
        <w:pStyle w:val="Xmsonormal"/>
        <w:rPr>
          <w:rFonts w:ascii="Century Gothic" w:hAnsi="Century Gothic"/>
          <w:color w:val="000000"/>
          <w:sz w:val="20"/>
          <w:szCs w:val="20"/>
        </w:rPr>
      </w:pPr>
      <w:r>
        <w:rPr>
          <w:rFonts w:ascii="Century Gothic" w:hAnsi="Century Gothic"/>
          <w:color w:val="000000"/>
          <w:sz w:val="20"/>
          <w:szCs w:val="20"/>
        </w:rPr>
        <w:t> </w:t>
      </w:r>
    </w:p>
    <w:p>
      <w:pPr>
        <w:pStyle w:val="Xmsonormal"/>
        <w:rPr>
          <w:rFonts w:ascii="Century Gothic" w:hAnsi="Century Gothic"/>
          <w:color w:val="000000"/>
          <w:sz w:val="20"/>
          <w:szCs w:val="20"/>
        </w:rPr>
      </w:pPr>
      <w:r>
        <w:rPr>
          <w:rFonts w:ascii="Century Gothic" w:hAnsi="Century Gothic"/>
          <w:color w:val="000000"/>
          <w:sz w:val="20"/>
          <w:szCs w:val="20"/>
        </w:rPr>
        <w:t>Agradezco su colaboración, y adjunta carta de la solicitud. </w:t>
      </w:r>
    </w:p>
    <w:p>
      <w:pPr>
        <w:pStyle w:val="Xmsonormal"/>
        <w:rPr>
          <w:rFonts w:ascii="Century Gothic" w:hAnsi="Century Gothic"/>
          <w:color w:val="000000"/>
          <w:sz w:val="20"/>
          <w:szCs w:val="20"/>
        </w:rPr>
      </w:pPr>
      <w:r>
        <w:rPr>
          <w:rFonts w:ascii="Century Gothic" w:hAnsi="Century Gothic"/>
          <w:color w:val="000000"/>
          <w:sz w:val="20"/>
          <w:szCs w:val="20"/>
        </w:rPr>
        <w:t> </w:t>
      </w:r>
    </w:p>
    <w:p>
      <w:pPr>
        <w:pStyle w:val="Xmsonormal"/>
        <w:rPr>
          <w:rFonts w:ascii="Century Gothic" w:hAnsi="Century Gothic"/>
          <w:color w:val="000000"/>
          <w:sz w:val="20"/>
          <w:szCs w:val="20"/>
        </w:rPr>
      </w:pPr>
      <w:r>
        <w:rPr>
          <w:rFonts w:ascii="Century Gothic" w:hAnsi="Century Gothic"/>
          <w:color w:val="000000"/>
          <w:sz w:val="20"/>
          <w:szCs w:val="20"/>
        </w:rPr>
        <w:t>Agradezco si me dan un recibido. </w:t>
      </w:r>
    </w:p>
    <w:p>
      <w:pPr>
        <w:pStyle w:val="Normal"/>
        <w:rPr>
          <w:rFonts w:ascii="Century Gothic" w:hAnsi="Century Gothic"/>
          <w:b/>
          <w:b/>
          <w:sz w:val="20"/>
          <w:szCs w:val="20"/>
          <w:u w:val="single"/>
        </w:rPr>
      </w:pPr>
      <w:r>
        <w:rPr>
          <w:rFonts w:ascii="Century Gothic" w:hAnsi="Century Gothic"/>
          <w:color w:val="000000"/>
          <w:sz w:val="20"/>
          <w:szCs w:val="20"/>
        </w:rPr>
        <w:t> </w:t>
      </w:r>
      <w:bookmarkStart w:id="1" w:name="_MailOriginal"/>
      <w:bookmarkEnd w:id="1"/>
    </w:p>
    <w:p>
      <w:pPr>
        <w:pStyle w:val="Normal"/>
        <w:jc w:val="both"/>
        <w:rPr>
          <w:rFonts w:ascii="Century Gothic" w:hAnsi="Century Gothic"/>
          <w:sz w:val="20"/>
          <w:szCs w:val="20"/>
        </w:rPr>
      </w:pPr>
      <w:r>
        <w:rPr/>
        <w:object>
          <v:shape id="ole_rId86" style="width:75pt;height:49.5pt" o:ole="">
            <v:imagedata r:id="rId87" o:title=""/>
          </v:shape>
          <o:OLEObject Type="Embed" ProgID="Package" ShapeID="ole_rId86" DrawAspect="Icon" ObjectID="_1718972381" r:id="rId86"/>
        </w:object>
      </w:r>
    </w:p>
    <w:p>
      <w:pPr>
        <w:pStyle w:val="Normal"/>
        <w:jc w:val="both"/>
        <w:rPr>
          <w:rFonts w:ascii="Century Gothic" w:hAnsi="Century Gothic"/>
          <w:sz w:val="20"/>
          <w:szCs w:val="20"/>
        </w:rPr>
      </w:pPr>
      <w:r>
        <w:rPr/>
        <w:object>
          <v:shape id="ole_rId88" style="width:75pt;height:49.5pt" o:ole="">
            <v:imagedata r:id="rId89" o:title=""/>
          </v:shape>
          <o:OLEObject Type="Embed" ProgID="Package" ShapeID="ole_rId88" DrawAspect="Icon" ObjectID="_1389685466" r:id="rId88"/>
        </w:object>
      </w:r>
    </w:p>
    <w:p>
      <w:pPr>
        <w:pStyle w:val="Normal"/>
        <w:jc w:val="both"/>
        <w:rPr>
          <w:rFonts w:ascii="Century Gothic" w:hAnsi="Century Gothic"/>
          <w:sz w:val="20"/>
          <w:szCs w:val="20"/>
        </w:rPr>
      </w:pPr>
      <w:r>
        <w:rPr>
          <w:rFonts w:ascii="Century Gothic" w:hAnsi="Century Gothic"/>
          <w:b/>
          <w:sz w:val="20"/>
          <w:szCs w:val="20"/>
          <w:u w:val="single"/>
        </w:rPr>
        <w:t>SE ACUERDA</w:t>
      </w:r>
      <w:r>
        <w:rPr>
          <w:rFonts w:ascii="Century Gothic" w:hAnsi="Century Gothic"/>
          <w:sz w:val="20"/>
          <w:szCs w:val="20"/>
        </w:rPr>
        <w:t>: Solicitar a la integrante Ligia Jiménez un informe de los avances de la gestión planteada por el señor Jesús Chaves; además, un informe de los lineamientos emitidos por la Defensa Pública acerca de la forma en que se está asumiendo el servicio de defensa pública a las personas indígenas en las diferentes materias, así como los nombres y direcciones electrónicas de las personas defensas públicas encargadas con el objetivo de hacerla de conocimiento de la población indígena para facilitar su acceso a la justicia. Se declara firme este acuerdo por unanimidad para su ejecución.-</w:t>
      </w:r>
    </w:p>
    <w:p>
      <w:pPr>
        <w:pStyle w:val="Normal"/>
        <w:jc w:val="both"/>
        <w:rPr>
          <w:rFonts w:ascii="Century Gothic" w:hAnsi="Century Gothic"/>
          <w:b/>
          <w:b/>
          <w:sz w:val="20"/>
          <w:szCs w:val="20"/>
        </w:rPr>
      </w:pPr>
      <w:r>
        <w:rPr>
          <w:rFonts w:ascii="Century Gothic" w:hAnsi="Century Gothic"/>
          <w:b/>
          <w:sz w:val="20"/>
          <w:szCs w:val="20"/>
          <w:highlight w:val="yellow"/>
        </w:rPr>
        <w:t>Ejecutado.</w:t>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XX</w:t>
      </w:r>
      <w:r>
        <w:rPr>
          <w:rFonts w:ascii="Century Gothic" w:hAnsi="Century Gothic"/>
          <w:b/>
          <w:sz w:val="20"/>
          <w:szCs w:val="20"/>
          <w:u w:val="single"/>
        </w:rPr>
        <w:t>I</w:t>
      </w:r>
    </w:p>
    <w:p>
      <w:pPr>
        <w:pStyle w:val="Normal"/>
        <w:jc w:val="both"/>
        <w:rPr>
          <w:rFonts w:ascii="Century Gothic" w:hAnsi="Century Gothic"/>
          <w:sz w:val="20"/>
          <w:szCs w:val="20"/>
        </w:rPr>
      </w:pPr>
      <w:r>
        <w:rPr>
          <w:rFonts w:ascii="Century Gothic" w:hAnsi="Century Gothic"/>
          <w:sz w:val="20"/>
          <w:szCs w:val="20"/>
        </w:rPr>
        <w:t>Se conoce de la siguiente gestión realizada por el señor Edgar Atencio Rodríguez y el avance del seguimiento:</w:t>
      </w:r>
    </w:p>
    <w:p>
      <w:pPr>
        <w:pStyle w:val="Normal"/>
        <w:rPr>
          <w:rFonts w:ascii="Century Gothic" w:hAnsi="Century Gothic" w:eastAsia="Times New Roman"/>
          <w:sz w:val="20"/>
          <w:szCs w:val="20"/>
          <w:lang w:val="es-ES" w:eastAsia="es-CR"/>
        </w:rPr>
      </w:pPr>
      <w:r>
        <w:rPr>
          <w:rFonts w:eastAsia="Times New Roman" w:ascii="Century Gothic" w:hAnsi="Century Gothic"/>
          <w:b/>
          <w:bCs/>
          <w:sz w:val="20"/>
          <w:szCs w:val="20"/>
          <w:lang w:val="es-ES"/>
        </w:rPr>
        <w:t>De:</w:t>
      </w:r>
      <w:r>
        <w:rPr>
          <w:rFonts w:eastAsia="Times New Roman" w:ascii="Century Gothic" w:hAnsi="Century Gothic"/>
          <w:sz w:val="20"/>
          <w:szCs w:val="20"/>
          <w:lang w:val="es-ES"/>
        </w:rPr>
        <w:t xml:space="preserve"> Damaris Vargas Vásquez </w:t>
        <w:br/>
      </w:r>
      <w:r>
        <w:rPr>
          <w:rFonts w:eastAsia="Times New Roman" w:ascii="Century Gothic" w:hAnsi="Century Gothic"/>
          <w:b/>
          <w:bCs/>
          <w:sz w:val="20"/>
          <w:szCs w:val="20"/>
          <w:lang w:val="es-ES"/>
        </w:rPr>
        <w:t>Enviado el:</w:t>
      </w:r>
      <w:r>
        <w:rPr>
          <w:rFonts w:eastAsia="Times New Roman" w:ascii="Century Gothic" w:hAnsi="Century Gothic"/>
          <w:sz w:val="20"/>
          <w:szCs w:val="20"/>
          <w:lang w:val="es-ES"/>
        </w:rPr>
        <w:t xml:space="preserve"> martes, 23 de julio de 2019 06:22 p.m.</w:t>
        <w:br/>
      </w:r>
      <w:r>
        <w:rPr>
          <w:rFonts w:eastAsia="Times New Roman" w:ascii="Century Gothic" w:hAnsi="Century Gothic"/>
          <w:b/>
          <w:bCs/>
          <w:sz w:val="20"/>
          <w:szCs w:val="20"/>
          <w:lang w:val="es-ES"/>
        </w:rPr>
        <w:t>Para:</w:t>
      </w:r>
      <w:r>
        <w:rPr>
          <w:rFonts w:eastAsia="Times New Roman" w:ascii="Century Gothic" w:hAnsi="Century Gothic"/>
          <w:sz w:val="20"/>
          <w:szCs w:val="20"/>
          <w:lang w:val="es-ES"/>
        </w:rPr>
        <w:t xml:space="preserve"> Yolanda Alvarado Vargas &lt;yalvaradov@Poder-Judicial.go.cr&gt;</w:t>
        <w:br/>
      </w:r>
      <w:r>
        <w:rPr>
          <w:rFonts w:eastAsia="Times New Roman" w:ascii="Century Gothic" w:hAnsi="Century Gothic"/>
          <w:b/>
          <w:bCs/>
          <w:sz w:val="20"/>
          <w:szCs w:val="20"/>
          <w:lang w:val="es-ES"/>
        </w:rPr>
        <w:t>CC:</w:t>
      </w:r>
      <w:r>
        <w:rPr>
          <w:rFonts w:eastAsia="Times New Roman" w:ascii="Century Gothic" w:hAnsi="Century Gothic"/>
          <w:sz w:val="20"/>
          <w:szCs w:val="20"/>
          <w:lang w:val="es-ES"/>
        </w:rPr>
        <w:t xml:space="preserve"> Administracion Regional de Limon &lt;reg_limon@Poder-Judicial.go.cr&gt;; Contraloría de Servicios de Limón &lt;contraloria-lim@Poder-Judicial.go.cr&gt;; Ngäbe Ngabere &lt;eatencio7@gmail.com&gt;; Subcomisión de Pueblos Indígenas &lt;spindigenas@Poder-Judicial.go.cr&gt;</w:t>
        <w:br/>
      </w:r>
      <w:r>
        <w:rPr>
          <w:rFonts w:eastAsia="Times New Roman" w:ascii="Century Gothic" w:hAnsi="Century Gothic"/>
          <w:b/>
          <w:bCs/>
          <w:sz w:val="20"/>
          <w:szCs w:val="20"/>
          <w:lang w:val="es-ES"/>
        </w:rPr>
        <w:t>Asunto:</w:t>
      </w:r>
      <w:r>
        <w:rPr>
          <w:rFonts w:eastAsia="Times New Roman" w:ascii="Century Gothic" w:hAnsi="Century Gothic"/>
          <w:sz w:val="20"/>
          <w:szCs w:val="20"/>
          <w:lang w:val="es-ES"/>
        </w:rPr>
        <w:t xml:space="preserve"> Seguimiento a gestión planteada por el señor Edgar Atencio Rodríguez </w:t>
      </w:r>
    </w:p>
    <w:p>
      <w:pPr>
        <w:pStyle w:val="Normal"/>
        <w:ind w:left="708" w:hanging="0"/>
        <w:rPr>
          <w:rFonts w:ascii="Century Gothic" w:hAnsi="Century Gothic"/>
          <w:sz w:val="20"/>
          <w:szCs w:val="20"/>
        </w:rPr>
      </w:pPr>
      <w:r>
        <w:rPr>
          <w:rFonts w:ascii="Century Gothic" w:hAnsi="Century Gothic"/>
          <w:sz w:val="20"/>
          <w:szCs w:val="20"/>
        </w:rPr>
      </w:r>
    </w:p>
    <w:p>
      <w:pPr>
        <w:pStyle w:val="Normal"/>
        <w:ind w:left="708" w:hanging="0"/>
        <w:jc w:val="right"/>
        <w:rPr>
          <w:rFonts w:ascii="Century Gothic" w:hAnsi="Century Gothic"/>
          <w:b/>
          <w:b/>
          <w:bCs/>
          <w:spacing w:val="-2"/>
          <w:sz w:val="20"/>
          <w:szCs w:val="20"/>
        </w:rPr>
      </w:pPr>
      <w:r>
        <w:rPr>
          <w:rFonts w:ascii="Century Gothic" w:hAnsi="Century Gothic"/>
          <w:b/>
          <w:bCs/>
          <w:spacing w:val="-2"/>
          <w:sz w:val="20"/>
          <w:szCs w:val="20"/>
        </w:rPr>
        <w:t>Julio, 23 de 2019.</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Señora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Licda. Yolanda Alvarado Vargas</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Coordinadora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Tribunal de Juicio de Bribri, Talamanca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Primer Circuito Judicial de la Zona Atlántica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Estimada doña Yolanda:</w:t>
      </w:r>
    </w:p>
    <w:p>
      <w:pPr>
        <w:pStyle w:val="Normal"/>
        <w:ind w:left="708" w:hanging="0"/>
        <w:jc w:val="both"/>
        <w:rPr>
          <w:rFonts w:ascii="Century Gothic" w:hAnsi="Century Gothic"/>
          <w:spacing w:val="-2"/>
          <w:sz w:val="20"/>
          <w:szCs w:val="20"/>
        </w:rPr>
      </w:pPr>
      <w:r>
        <w:rPr>
          <w:rFonts w:ascii="Century Gothic" w:hAnsi="Century Gothic"/>
          <w:spacing w:val="-2"/>
          <w:sz w:val="20"/>
          <w:szCs w:val="20"/>
        </w:rPr>
      </w:r>
    </w:p>
    <w:p>
      <w:pPr>
        <w:pStyle w:val="Normal"/>
        <w:ind w:left="708" w:firstLine="708"/>
        <w:jc w:val="both"/>
        <w:rPr>
          <w:rFonts w:ascii="Century Gothic" w:hAnsi="Century Gothic"/>
          <w:sz w:val="20"/>
          <w:szCs w:val="20"/>
          <w:lang w:eastAsia="es-CR"/>
        </w:rPr>
      </w:pPr>
      <w:r>
        <w:rPr>
          <w:rFonts w:ascii="Century Gothic" w:hAnsi="Century Gothic"/>
          <w:spacing w:val="-2"/>
          <w:sz w:val="20"/>
          <w:szCs w:val="20"/>
        </w:rPr>
        <w:t>Reciba un atento saludo. A la vez, hago de su conocimiento</w:t>
      </w:r>
      <w:r>
        <w:rPr>
          <w:rFonts w:ascii="Century Gothic" w:hAnsi="Century Gothic"/>
          <w:sz w:val="20"/>
          <w:szCs w:val="20"/>
        </w:rPr>
        <w:t xml:space="preserve"> la gestión planteada por el señor Edgar Atencio Rodríguez, con cédula de identidad 603190447, quien es indígena Ngäbe, en la que literalmente señala:</w:t>
      </w:r>
    </w:p>
    <w:p>
      <w:pPr>
        <w:pStyle w:val="Normal"/>
        <w:ind w:left="708" w:hanging="0"/>
        <w:jc w:val="both"/>
        <w:rPr>
          <w:rFonts w:ascii="Century Gothic" w:hAnsi="Century Gothic"/>
          <w:sz w:val="20"/>
          <w:szCs w:val="20"/>
        </w:rPr>
      </w:pPr>
      <w:r>
        <w:rPr>
          <w:rFonts w:ascii="Century Gothic" w:hAnsi="Century Gothic"/>
          <w:sz w:val="20"/>
          <w:szCs w:val="20"/>
        </w:rPr>
      </w:r>
    </w:p>
    <w:p>
      <w:pPr>
        <w:pStyle w:val="Normal"/>
        <w:ind w:left="1416" w:hanging="0"/>
        <w:jc w:val="both"/>
        <w:rPr>
          <w:rFonts w:ascii="Century Gothic" w:hAnsi="Century Gothic"/>
          <w:i/>
          <w:i/>
          <w:iCs/>
          <w:sz w:val="20"/>
          <w:szCs w:val="20"/>
        </w:rPr>
      </w:pPr>
      <w:r>
        <w:rPr>
          <w:rFonts w:ascii="Century Gothic" w:hAnsi="Century Gothic"/>
          <w:i/>
          <w:iCs/>
          <w:sz w:val="20"/>
          <w:szCs w:val="20"/>
        </w:rPr>
        <w:t xml:space="preserve">“… </w:t>
      </w:r>
      <w:r>
        <w:rPr>
          <w:rFonts w:ascii="Century Gothic" w:hAnsi="Century Gothic"/>
          <w:i/>
          <w:iCs/>
          <w:sz w:val="20"/>
          <w:szCs w:val="20"/>
        </w:rPr>
        <w:t>doy servicio de intérprete en dicho idioma para la Corte Suprema de Justicia, primero felicitarlos por tan excelente labor en pro de la personas más vulnerables y más marginados de este país,  antes ustedes deseo hacer queja, el día 4 de diciembre serví de interprete para el juicios del Expediente: 18-000413-0597-PE en el Tribunales de Juicios de Bribri de Talamanca, lo cual a la fecha, para dicho caso realice 5 diligencias, todos a solicitud del Tribunal, sin embargos luego de múltiples llamadas se ha cancelado tres de los cinco, en algunos caso los horarios de interprete se pagó 16900 y otros, además el pasado viernes 19 de junio del 2019, nuevamente a solicitud del mismo Tribunal realice un servicio de interprete, para el expediente 18-000410-0829-PE, quisiera NO esperar más de siete meses y hacer dichas llamadas, por lo que, acudo ante ustedes para que ayuden a agilizar dichos tramites y además hacer los pagos de acuerdos a los estipulados en la normativas para Interprete.”</w:t>
      </w:r>
    </w:p>
    <w:p>
      <w:pPr>
        <w:pStyle w:val="Normal"/>
        <w:ind w:left="708" w:hanging="0"/>
        <w:jc w:val="both"/>
        <w:rPr>
          <w:rFonts w:ascii="Century Gothic" w:hAnsi="Century Gothic"/>
          <w:i/>
          <w:i/>
          <w:iCs/>
          <w:sz w:val="20"/>
          <w:szCs w:val="20"/>
        </w:rPr>
      </w:pPr>
      <w:r>
        <w:rPr>
          <w:rFonts w:ascii="Century Gothic" w:hAnsi="Century Gothic"/>
          <w:i/>
          <w:iCs/>
          <w:sz w:val="20"/>
          <w:szCs w:val="20"/>
        </w:rPr>
      </w:r>
    </w:p>
    <w:p>
      <w:pPr>
        <w:pStyle w:val="Normal"/>
        <w:ind w:left="708" w:hanging="0"/>
        <w:jc w:val="both"/>
        <w:rPr>
          <w:rFonts w:ascii="Century Gothic" w:hAnsi="Century Gothic"/>
          <w:sz w:val="20"/>
          <w:szCs w:val="20"/>
        </w:rPr>
      </w:pPr>
      <w:r>
        <w:rPr>
          <w:rFonts w:ascii="Century Gothic" w:hAnsi="Century Gothic"/>
          <w:sz w:val="20"/>
          <w:szCs w:val="20"/>
        </w:rPr>
        <w:t xml:space="preserve">          </w:t>
      </w:r>
      <w:r>
        <w:rPr>
          <w:rFonts w:ascii="Century Gothic" w:hAnsi="Century Gothic"/>
          <w:sz w:val="20"/>
          <w:szCs w:val="20"/>
        </w:rPr>
        <w:t>Traslado para su conocimiento la gestión del señor Atencio Rodríguez con el objetivo de que se le dé la prioridad respectiva por tratarse de una persona indígena, en cumplimiento de Convenio 169 de OIT, las circulares y  lineamientos institucionales y la Ley de Acceso a la Justicia de Pueblos Indígenas de Costa Rica.</w:t>
      </w:r>
    </w:p>
    <w:p>
      <w:pPr>
        <w:pStyle w:val="Normal"/>
        <w:ind w:left="708" w:hanging="0"/>
        <w:jc w:val="both"/>
        <w:rPr>
          <w:rFonts w:ascii="Century Gothic" w:hAnsi="Century Gothic"/>
          <w:sz w:val="20"/>
          <w:szCs w:val="20"/>
        </w:rPr>
      </w:pPr>
      <w:r>
        <w:rPr>
          <w:rFonts w:ascii="Century Gothic" w:hAnsi="Century Gothic"/>
          <w:sz w:val="20"/>
          <w:szCs w:val="20"/>
        </w:rPr>
      </w:r>
    </w:p>
    <w:p>
      <w:pPr>
        <w:pStyle w:val="Normal"/>
        <w:ind w:left="708" w:hanging="0"/>
        <w:jc w:val="both"/>
        <w:rPr>
          <w:rFonts w:ascii="Century Gothic" w:hAnsi="Century Gothic"/>
          <w:sz w:val="20"/>
          <w:szCs w:val="20"/>
        </w:rPr>
      </w:pPr>
      <w:r>
        <w:rPr>
          <w:rFonts w:ascii="Century Gothic" w:hAnsi="Century Gothic"/>
          <w:sz w:val="20"/>
          <w:szCs w:val="20"/>
        </w:rPr>
        <w:t xml:space="preserve">          </w:t>
      </w:r>
      <w:r>
        <w:rPr>
          <w:rFonts w:ascii="Century Gothic" w:hAnsi="Century Gothic"/>
          <w:sz w:val="20"/>
          <w:szCs w:val="20"/>
        </w:rPr>
        <w:t>Desde la Subcomisión de Acceso a la Justicia de Pueblos Indígenas, me pongo a su disposición en lo que pueda colaborar con Usted como jueza Coordinadora del Tribunal de Juicio de Bribrí de Talamanca, la Administración Regional y la Contraloría de Servicios del Primer Circuito de la Zona Atlántica, a fin de que el protocolo de atención de este tipo de asuntos se realice con la celeridad y oportunidad que exige la normativa nacional e internacional de las personas indígenas.</w:t>
      </w:r>
    </w:p>
    <w:p>
      <w:pPr>
        <w:pStyle w:val="Normal"/>
        <w:ind w:left="708" w:hanging="0"/>
        <w:jc w:val="both"/>
        <w:rPr>
          <w:rFonts w:ascii="Century Gothic" w:hAnsi="Century Gothic"/>
          <w:sz w:val="20"/>
          <w:szCs w:val="20"/>
        </w:rPr>
      </w:pPr>
      <w:r>
        <w:rPr>
          <w:rFonts w:ascii="Century Gothic" w:hAnsi="Century Gothic"/>
          <w:sz w:val="20"/>
          <w:szCs w:val="20"/>
        </w:rPr>
      </w:r>
    </w:p>
    <w:p>
      <w:pPr>
        <w:pStyle w:val="Normal"/>
        <w:ind w:left="708" w:hanging="0"/>
        <w:jc w:val="both"/>
        <w:rPr>
          <w:rFonts w:ascii="Century Gothic" w:hAnsi="Century Gothic"/>
          <w:spacing w:val="-2"/>
          <w:sz w:val="20"/>
          <w:szCs w:val="20"/>
        </w:rPr>
      </w:pPr>
      <w:r>
        <w:rPr>
          <w:rFonts w:ascii="Century Gothic" w:hAnsi="Century Gothic"/>
          <w:sz w:val="20"/>
          <w:szCs w:val="20"/>
        </w:rPr>
        <w:t xml:space="preserve">          </w:t>
      </w:r>
      <w:r>
        <w:rPr>
          <w:rFonts w:ascii="Century Gothic" w:hAnsi="Century Gothic"/>
          <w:spacing w:val="-2"/>
          <w:sz w:val="20"/>
          <w:szCs w:val="20"/>
        </w:rPr>
        <w:t>Saludos cordiales,</w:t>
      </w:r>
    </w:p>
    <w:p>
      <w:pPr>
        <w:pStyle w:val="Normal"/>
        <w:ind w:left="708" w:hanging="0"/>
        <w:jc w:val="both"/>
        <w:rPr>
          <w:rFonts w:ascii="Century Gothic" w:hAnsi="Century Gothic"/>
          <w:spacing w:val="-2"/>
          <w:sz w:val="20"/>
          <w:szCs w:val="20"/>
        </w:rPr>
      </w:pPr>
      <w:r>
        <w:rPr>
          <w:rFonts w:ascii="Century Gothic" w:hAnsi="Century Gothic"/>
          <w:spacing w:val="-2"/>
          <w:sz w:val="20"/>
          <w:szCs w:val="20"/>
        </w:rPr>
      </w:r>
    </w:p>
    <w:p>
      <w:pPr>
        <w:pStyle w:val="Normal"/>
        <w:ind w:left="708" w:hanging="0"/>
        <w:jc w:val="center"/>
        <w:rPr>
          <w:rFonts w:ascii="Century Gothic" w:hAnsi="Century Gothic"/>
          <w:b/>
          <w:b/>
          <w:bCs/>
          <w:i/>
          <w:i/>
          <w:iCs/>
          <w:spacing w:val="-2"/>
          <w:sz w:val="20"/>
          <w:szCs w:val="20"/>
        </w:rPr>
      </w:pPr>
      <w:r>
        <w:rPr>
          <w:rFonts w:ascii="Century Gothic" w:hAnsi="Century Gothic"/>
          <w:b/>
          <w:bCs/>
          <w:i/>
          <w:iCs/>
          <w:spacing w:val="-2"/>
          <w:sz w:val="20"/>
          <w:szCs w:val="20"/>
        </w:rPr>
        <w:t>Jueza Damaris Vargas Vásquez</w:t>
      </w:r>
    </w:p>
    <w:p>
      <w:pPr>
        <w:pStyle w:val="Normal"/>
        <w:ind w:left="708" w:hanging="0"/>
        <w:jc w:val="center"/>
        <w:rPr>
          <w:rFonts w:ascii="Century Gothic" w:hAnsi="Century Gothic"/>
          <w:b/>
          <w:b/>
          <w:bCs/>
          <w:i/>
          <w:i/>
          <w:iCs/>
          <w:spacing w:val="-2"/>
          <w:sz w:val="20"/>
          <w:szCs w:val="20"/>
        </w:rPr>
      </w:pPr>
      <w:r>
        <w:rPr>
          <w:rFonts w:ascii="Century Gothic" w:hAnsi="Century Gothic"/>
          <w:b/>
          <w:bCs/>
          <w:i/>
          <w:iCs/>
          <w:spacing w:val="-2"/>
          <w:sz w:val="20"/>
          <w:szCs w:val="20"/>
        </w:rPr>
        <w:t>Coordinadora</w:t>
      </w:r>
    </w:p>
    <w:p>
      <w:pPr>
        <w:pStyle w:val="Normal"/>
        <w:ind w:left="708" w:hanging="0"/>
        <w:jc w:val="center"/>
        <w:rPr>
          <w:rFonts w:ascii="Century Gothic" w:hAnsi="Century Gothic"/>
          <w:b/>
          <w:b/>
          <w:bCs/>
          <w:i/>
          <w:i/>
          <w:iCs/>
          <w:spacing w:val="-2"/>
          <w:sz w:val="20"/>
          <w:szCs w:val="20"/>
        </w:rPr>
      </w:pPr>
      <w:r>
        <w:rPr>
          <w:rFonts w:ascii="Century Gothic" w:hAnsi="Century Gothic"/>
          <w:b/>
          <w:bCs/>
          <w:i/>
          <w:iCs/>
          <w:spacing w:val="-2"/>
          <w:sz w:val="20"/>
          <w:szCs w:val="20"/>
        </w:rPr>
        <w:t>Subcomisión Acceso a la Justicia de Pueblos Indígenas</w:t>
      </w:r>
    </w:p>
    <w:p>
      <w:pPr>
        <w:pStyle w:val="Normal"/>
        <w:ind w:left="708" w:hanging="0"/>
        <w:jc w:val="both"/>
        <w:rPr>
          <w:rFonts w:ascii="Century Gothic" w:hAnsi="Century Gothic"/>
          <w:b/>
          <w:b/>
          <w:bCs/>
          <w:sz w:val="20"/>
          <w:szCs w:val="20"/>
          <w:lang w:eastAsia="es-CR"/>
        </w:rPr>
      </w:pPr>
      <w:r>
        <w:rPr>
          <w:rFonts w:ascii="Century Gothic" w:hAnsi="Century Gothic"/>
          <w:b/>
          <w:bCs/>
          <w:sz w:val="20"/>
          <w:szCs w:val="20"/>
          <w:lang w:eastAsia="es-CR"/>
        </w:rPr>
      </w:r>
    </w:p>
    <w:p>
      <w:pPr>
        <w:pStyle w:val="Normal"/>
        <w:ind w:left="708" w:hanging="0"/>
        <w:jc w:val="both"/>
        <w:rPr>
          <w:rFonts w:ascii="Century Gothic" w:hAnsi="Century Gothic"/>
          <w:i/>
          <w:i/>
          <w:iCs/>
          <w:sz w:val="20"/>
          <w:szCs w:val="20"/>
        </w:rPr>
      </w:pPr>
      <w:r>
        <w:rPr>
          <w:rFonts w:ascii="Century Gothic" w:hAnsi="Century Gothic"/>
          <w:i/>
          <w:iCs/>
          <w:sz w:val="20"/>
          <w:szCs w:val="20"/>
        </w:rPr>
        <w:t>Copias:</w:t>
      </w:r>
    </w:p>
    <w:p>
      <w:pPr>
        <w:pStyle w:val="Normal"/>
        <w:ind w:left="708" w:hanging="0"/>
        <w:jc w:val="both"/>
        <w:rPr>
          <w:rFonts w:ascii="Century Gothic" w:hAnsi="Century Gothic"/>
          <w:i/>
          <w:i/>
          <w:iCs/>
          <w:sz w:val="20"/>
          <w:szCs w:val="20"/>
        </w:rPr>
      </w:pPr>
      <w:r>
        <w:rPr>
          <w:rFonts w:ascii="Century Gothic" w:hAnsi="Century Gothic"/>
          <w:i/>
          <w:iCs/>
          <w:sz w:val="20"/>
          <w:szCs w:val="20"/>
        </w:rPr>
        <w:t>Edgar Atencio Rodríguez</w:t>
      </w:r>
    </w:p>
    <w:p>
      <w:pPr>
        <w:pStyle w:val="Normal"/>
        <w:ind w:left="708" w:hanging="0"/>
        <w:jc w:val="both"/>
        <w:rPr>
          <w:rFonts w:ascii="Century Gothic" w:hAnsi="Century Gothic"/>
          <w:i/>
          <w:i/>
          <w:iCs/>
          <w:sz w:val="20"/>
          <w:szCs w:val="20"/>
        </w:rPr>
      </w:pPr>
      <w:r>
        <w:rPr>
          <w:rFonts w:ascii="Century Gothic" w:hAnsi="Century Gothic"/>
          <w:i/>
          <w:iCs/>
          <w:sz w:val="20"/>
          <w:szCs w:val="20"/>
        </w:rPr>
        <w:t>Subcomisión de Acceso a la Justicia de Pueblos Indígenas</w:t>
      </w:r>
    </w:p>
    <w:p>
      <w:pPr>
        <w:pStyle w:val="Normal"/>
        <w:ind w:left="708" w:hanging="0"/>
        <w:jc w:val="both"/>
        <w:rPr>
          <w:rFonts w:ascii="Century Gothic" w:hAnsi="Century Gothic"/>
          <w:i/>
          <w:i/>
          <w:iCs/>
          <w:sz w:val="20"/>
          <w:szCs w:val="20"/>
        </w:rPr>
      </w:pPr>
      <w:r>
        <w:rPr>
          <w:rFonts w:ascii="Century Gothic" w:hAnsi="Century Gothic"/>
          <w:i/>
          <w:iCs/>
          <w:sz w:val="20"/>
          <w:szCs w:val="20"/>
        </w:rPr>
        <w:t>Contraloría de Servicios del I Circuito Judicial de la Zona Atlántica</w:t>
      </w:r>
    </w:p>
    <w:p>
      <w:pPr>
        <w:pStyle w:val="Normal"/>
        <w:ind w:left="708" w:hanging="0"/>
        <w:jc w:val="both"/>
        <w:rPr>
          <w:rFonts w:ascii="Century Gothic" w:hAnsi="Century Gothic"/>
          <w:i/>
          <w:i/>
          <w:iCs/>
          <w:sz w:val="20"/>
          <w:szCs w:val="20"/>
        </w:rPr>
      </w:pPr>
      <w:r>
        <w:rPr>
          <w:rFonts w:ascii="Century Gothic" w:hAnsi="Century Gothic"/>
          <w:i/>
          <w:iCs/>
          <w:sz w:val="20"/>
          <w:szCs w:val="20"/>
        </w:rPr>
        <w:t>Administración Regional del I Circuito Judicial de la Zona Atlántica</w:t>
      </w:r>
    </w:p>
    <w:p>
      <w:pPr>
        <w:pStyle w:val="Normal"/>
        <w:ind w:left="708" w:hanging="0"/>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rPr>
          <w:rFonts w:ascii="Century Gothic" w:hAnsi="Century Gothic"/>
          <w:color w:val="1F497D"/>
          <w:spacing w:val="-2"/>
          <w:sz w:val="20"/>
          <w:szCs w:val="20"/>
        </w:rPr>
      </w:pPr>
      <w:r>
        <w:rPr>
          <w:rFonts w:ascii="Century Gothic" w:hAnsi="Century Gothic"/>
          <w:color w:val="1F497D"/>
          <w:spacing w:val="-2"/>
          <w:sz w:val="20"/>
          <w:szCs w:val="20"/>
        </w:rPr>
      </w:r>
    </w:p>
    <w:p>
      <w:pPr>
        <w:pStyle w:val="Normal"/>
        <w:numPr>
          <w:ilvl w:val="0"/>
          <w:numId w:val="0"/>
        </w:numPr>
        <w:ind w:left="1416" w:hanging="0"/>
        <w:outlineLvl w:val="0"/>
        <w:rPr>
          <w:rFonts w:ascii="Century Gothic" w:hAnsi="Century Gothic"/>
          <w:sz w:val="20"/>
          <w:szCs w:val="20"/>
          <w:lang w:val="es-ES" w:eastAsia="es-CR"/>
        </w:rPr>
      </w:pPr>
      <w:r>
        <w:rPr>
          <w:rFonts w:ascii="Century Gothic" w:hAnsi="Century Gothic"/>
          <w:b/>
          <w:bCs/>
          <w:sz w:val="20"/>
          <w:szCs w:val="20"/>
          <w:lang w:val="es-ES"/>
        </w:rPr>
        <w:t>De:</w:t>
      </w:r>
      <w:r>
        <w:rPr>
          <w:rFonts w:ascii="Century Gothic" w:hAnsi="Century Gothic"/>
          <w:sz w:val="20"/>
          <w:szCs w:val="20"/>
          <w:lang w:val="es-ES"/>
        </w:rPr>
        <w:t xml:space="preserve"> Ngäbe Ngabere [</w:t>
      </w:r>
      <w:hyperlink r:id="rId90">
        <w:r>
          <w:rPr>
            <w:rStyle w:val="EnlacedeInternet"/>
            <w:rFonts w:ascii="Century Gothic" w:hAnsi="Century Gothic"/>
            <w:sz w:val="20"/>
            <w:szCs w:val="20"/>
          </w:rPr>
          <w:t>mailto:eatencio7@gmail.com</w:t>
        </w:r>
      </w:hyperlink>
      <w:r>
        <w:rPr>
          <w:rFonts w:ascii="Century Gothic" w:hAnsi="Century Gothic"/>
          <w:sz w:val="20"/>
          <w:szCs w:val="20"/>
          <w:lang w:val="es-ES"/>
        </w:rPr>
        <w:t xml:space="preserve">] </w:t>
        <w:br/>
      </w:r>
      <w:r>
        <w:rPr>
          <w:rFonts w:ascii="Century Gothic" w:hAnsi="Century Gothic"/>
          <w:b/>
          <w:bCs/>
          <w:sz w:val="20"/>
          <w:szCs w:val="20"/>
          <w:lang w:val="es-ES"/>
        </w:rPr>
        <w:t>Enviado el:</w:t>
      </w:r>
      <w:r>
        <w:rPr>
          <w:rFonts w:ascii="Century Gothic" w:hAnsi="Century Gothic"/>
          <w:sz w:val="20"/>
          <w:szCs w:val="20"/>
          <w:lang w:val="es-ES"/>
        </w:rPr>
        <w:t xml:space="preserve"> lunes, 22 de julio de 2019 10:59 a.m.</w:t>
        <w:br/>
      </w:r>
      <w:r>
        <w:rPr>
          <w:rFonts w:ascii="Century Gothic" w:hAnsi="Century Gothic"/>
          <w:b/>
          <w:bCs/>
          <w:sz w:val="20"/>
          <w:szCs w:val="20"/>
          <w:lang w:val="es-ES"/>
        </w:rPr>
        <w:t>Para:</w:t>
      </w:r>
      <w:r>
        <w:rPr>
          <w:rFonts w:ascii="Century Gothic" w:hAnsi="Century Gothic"/>
          <w:sz w:val="20"/>
          <w:szCs w:val="20"/>
          <w:lang w:val="es-ES"/>
        </w:rPr>
        <w:t xml:space="preserve"> Damaris Vargas Vásquez &lt;</w:t>
      </w:r>
      <w:hyperlink r:id="rId91">
        <w:r>
          <w:rPr>
            <w:rStyle w:val="EnlacedeInternet"/>
            <w:rFonts w:ascii="Century Gothic" w:hAnsi="Century Gothic"/>
            <w:sz w:val="20"/>
            <w:szCs w:val="20"/>
          </w:rPr>
          <w:t>dvargas@Poder-Judicial.go.cr</w:t>
        </w:r>
      </w:hyperlink>
      <w:r>
        <w:rPr>
          <w:rFonts w:ascii="Century Gothic" w:hAnsi="Century Gothic"/>
          <w:sz w:val="20"/>
          <w:szCs w:val="20"/>
          <w:lang w:val="es-ES"/>
        </w:rPr>
        <w:t>&gt;</w:t>
        <w:br/>
      </w:r>
      <w:r>
        <w:rPr>
          <w:rFonts w:ascii="Century Gothic" w:hAnsi="Century Gothic"/>
          <w:b/>
          <w:bCs/>
          <w:sz w:val="20"/>
          <w:szCs w:val="20"/>
          <w:lang w:val="es-ES"/>
        </w:rPr>
        <w:t>Asunto:</w:t>
      </w:r>
      <w:r>
        <w:rPr>
          <w:rFonts w:ascii="Century Gothic" w:hAnsi="Century Gothic"/>
          <w:sz w:val="20"/>
          <w:szCs w:val="20"/>
          <w:lang w:val="es-ES"/>
        </w:rPr>
        <w:t xml:space="preserve"> Apoyo:</w:t>
      </w:r>
    </w:p>
    <w:p>
      <w:pPr>
        <w:pStyle w:val="Normal"/>
        <w:ind w:left="1416" w:hanging="0"/>
        <w:rPr>
          <w:rFonts w:ascii="Century Gothic" w:hAnsi="Century Gothic"/>
          <w:sz w:val="20"/>
          <w:szCs w:val="20"/>
        </w:rPr>
      </w:pPr>
      <w:r>
        <w:rPr>
          <w:rFonts w:ascii="Century Gothic" w:hAnsi="Century Gothic"/>
          <w:sz w:val="20"/>
          <w:szCs w:val="20"/>
        </w:rPr>
      </w:r>
    </w:p>
    <w:p>
      <w:pPr>
        <w:pStyle w:val="Normal"/>
        <w:ind w:left="1416" w:hanging="0"/>
        <w:jc w:val="both"/>
        <w:rPr>
          <w:rFonts w:ascii="Century Gothic" w:hAnsi="Century Gothic"/>
          <w:sz w:val="20"/>
          <w:szCs w:val="20"/>
        </w:rPr>
      </w:pPr>
      <w:r>
        <w:rPr>
          <w:rFonts w:ascii="Century Gothic" w:hAnsi="Century Gothic"/>
          <w:sz w:val="20"/>
          <w:szCs w:val="20"/>
        </w:rPr>
        <w:t>Buenos días, mi nombre es Edgar Atencio Rodríguez, con cédula 603190447, soy Ngäbe y doy servicio de interprete en dicho idioma para la Corte Suprema de Justicias, primero felicitarlos por tan excelente labor en pro de la personas mas vulnerables y mas marginados de este país,  antes ustedes deseo hacer queja, el día 4 de diciembre serví de interprete para el juicios del Expediente:</w:t>
        <w:br/>
        <w:t>18-000413-0597-PE en el Tribunales de Juicios de Bribri de Talamanca, lo cual a la fecha, para dicho caso realice 5 diligencias, todos a solicitud del Tribunal, sin embargos luego de múltiples llamadas se a cancelado tres de los cinco, en algunos caso los horarios de interprete se pago 16900 y otros, ademas el pasado viernes 19 de junio del 2019, nuevamente a solicitud del mismo Tribunal realice un servicio de interprete, para el expediente 18-000410-0829-PE, quisiera NO esperar mas de siete meses y hacer dichas llamadas, por lo que, acudo ante ustedes para que ayuden ha agilizar dichos tramites y ademas hacer los pagos de acuerdos a los estipulados en la normativas para Interprete.</w:t>
      </w:r>
    </w:p>
    <w:p>
      <w:pPr>
        <w:pStyle w:val="Normal"/>
        <w:ind w:left="1416" w:hanging="0"/>
        <w:jc w:val="both"/>
        <w:rPr>
          <w:rFonts w:ascii="Century Gothic" w:hAnsi="Century Gothic"/>
          <w:sz w:val="20"/>
          <w:szCs w:val="20"/>
        </w:rPr>
      </w:pPr>
      <w:r>
        <w:rPr>
          <w:rFonts w:ascii="Century Gothic" w:hAnsi="Century Gothic"/>
          <w:sz w:val="20"/>
          <w:szCs w:val="20"/>
        </w:rPr>
      </w:r>
    </w:p>
    <w:p>
      <w:pPr>
        <w:pStyle w:val="Normal"/>
        <w:ind w:left="1416" w:hanging="0"/>
        <w:jc w:val="both"/>
        <w:rPr>
          <w:rFonts w:ascii="Century Gothic" w:hAnsi="Century Gothic"/>
          <w:sz w:val="20"/>
          <w:szCs w:val="20"/>
        </w:rPr>
      </w:pPr>
      <w:r>
        <w:rPr>
          <w:rFonts w:ascii="Century Gothic" w:hAnsi="Century Gothic"/>
          <w:sz w:val="20"/>
          <w:szCs w:val="20"/>
        </w:rPr>
        <w:t>Mí más sincero respecto por tan noble labor que realizan en pro de la defensa d las personas mas vulnerables y mas marginados.</w:t>
      </w:r>
    </w:p>
    <w:p>
      <w:pPr>
        <w:pStyle w:val="Normal"/>
        <w:ind w:left="1416" w:hanging="0"/>
        <w:jc w:val="both"/>
        <w:rPr>
          <w:rFonts w:ascii="Century Gothic" w:hAnsi="Century Gothic"/>
          <w:sz w:val="20"/>
          <w:szCs w:val="20"/>
        </w:rPr>
      </w:pPr>
      <w:r>
        <w:rPr>
          <w:rFonts w:ascii="Century Gothic" w:hAnsi="Century Gothic"/>
          <w:sz w:val="20"/>
          <w:szCs w:val="20"/>
        </w:rPr>
        <w:t>Éxitos en sus gestiones diarios </w:t>
      </w:r>
    </w:p>
    <w:p>
      <w:pPr>
        <w:pStyle w:val="Normal"/>
        <w:ind w:left="1416" w:hanging="0"/>
        <w:rPr>
          <w:rFonts w:ascii="Century Gothic" w:hAnsi="Century Gothic"/>
          <w:sz w:val="20"/>
          <w:szCs w:val="20"/>
        </w:rPr>
      </w:pPr>
      <w:r>
        <w:rPr>
          <w:rFonts w:ascii="Century Gothic" w:hAnsi="Century Gothic"/>
          <w:sz w:val="20"/>
          <w:szCs w:val="20"/>
        </w:rPr>
        <w:t>Edgar AtencioR</w:t>
      </w:r>
    </w:p>
    <w:p>
      <w:pPr>
        <w:pStyle w:val="Normal"/>
        <w:ind w:left="1416" w:hanging="0"/>
        <w:rPr>
          <w:rFonts w:ascii="Century Gothic" w:hAnsi="Century Gothic"/>
          <w:sz w:val="20"/>
          <w:szCs w:val="20"/>
        </w:rPr>
      </w:pPr>
      <w:r>
        <w:rPr>
          <w:rFonts w:ascii="Century Gothic" w:hAnsi="Century Gothic"/>
          <w:sz w:val="20"/>
          <w:szCs w:val="20"/>
        </w:rPr>
        <w:t>Tel: 8588-4624</w:t>
      </w:r>
    </w:p>
    <w:p>
      <w:pPr>
        <w:pStyle w:val="Normal"/>
        <w:rPr>
          <w:rFonts w:ascii="Century Gothic" w:hAnsi="Century Gothic"/>
          <w:sz w:val="20"/>
          <w:szCs w:val="20"/>
        </w:rPr>
      </w:pPr>
      <w:r>
        <w:rPr>
          <w:rFonts w:ascii="Century Gothic" w:hAnsi="Century Gothic"/>
          <w:sz w:val="20"/>
          <w:szCs w:val="20"/>
        </w:rPr>
        <w:t>La jueza Coordinadora del Tribunal referido, remitió los siguientes comunicados:</w:t>
      </w:r>
    </w:p>
    <w:p>
      <w:pPr>
        <w:pStyle w:val="Normal"/>
        <w:numPr>
          <w:ilvl w:val="0"/>
          <w:numId w:val="0"/>
        </w:numPr>
        <w:spacing w:before="0" w:after="240"/>
        <w:ind w:left="708" w:hanging="0"/>
        <w:outlineLvl w:val="0"/>
        <w:rPr>
          <w:rFonts w:ascii="Century Gothic" w:hAnsi="Century Gothic" w:eastAsia="Times New Roman"/>
          <w:i/>
          <w:i/>
          <w:sz w:val="20"/>
          <w:szCs w:val="20"/>
        </w:rPr>
      </w:pPr>
      <w:r>
        <w:rPr>
          <w:rFonts w:eastAsia="Times New Roman" w:ascii="Century Gothic" w:hAnsi="Century Gothic"/>
          <w:b/>
          <w:bCs/>
          <w:i/>
          <w:sz w:val="20"/>
          <w:szCs w:val="20"/>
        </w:rPr>
        <w:t>De:</w:t>
      </w:r>
      <w:r>
        <w:rPr>
          <w:rFonts w:eastAsia="Times New Roman" w:ascii="Century Gothic" w:hAnsi="Century Gothic"/>
          <w:i/>
          <w:sz w:val="20"/>
          <w:szCs w:val="20"/>
        </w:rPr>
        <w:t xml:space="preserve"> Leslie Soro Pacheco &lt;</w:t>
      </w:r>
      <w:hyperlink r:id="rId92">
        <w:r>
          <w:rPr>
            <w:rStyle w:val="EnlacedeInternet"/>
            <w:rFonts w:ascii="Century Gothic" w:hAnsi="Century Gothic"/>
            <w:i/>
            <w:sz w:val="20"/>
            <w:szCs w:val="20"/>
          </w:rPr>
          <w:t>lsoro@Poder-Judicial.go.cr</w:t>
        </w:r>
      </w:hyperlink>
      <w:r>
        <w:rPr>
          <w:rFonts w:eastAsia="Times New Roman" w:ascii="Century Gothic" w:hAnsi="Century Gothic"/>
          <w:i/>
          <w:sz w:val="20"/>
          <w:szCs w:val="20"/>
        </w:rPr>
        <w:t>&gt;</w:t>
        <w:br/>
      </w:r>
      <w:r>
        <w:rPr>
          <w:rFonts w:eastAsia="Times New Roman" w:ascii="Century Gothic" w:hAnsi="Century Gothic"/>
          <w:b/>
          <w:bCs/>
          <w:i/>
          <w:sz w:val="20"/>
          <w:szCs w:val="20"/>
        </w:rPr>
        <w:t>Fecha:</w:t>
      </w:r>
      <w:r>
        <w:rPr>
          <w:rFonts w:eastAsia="Times New Roman" w:ascii="Century Gothic" w:hAnsi="Century Gothic"/>
          <w:i/>
          <w:sz w:val="20"/>
          <w:szCs w:val="20"/>
        </w:rPr>
        <w:t xml:space="preserve"> 29 de julio de 2019, 10:04:53 GMT-6</w:t>
        <w:br/>
      </w:r>
      <w:r>
        <w:rPr>
          <w:rFonts w:eastAsia="Times New Roman" w:ascii="Century Gothic" w:hAnsi="Century Gothic"/>
          <w:b/>
          <w:bCs/>
          <w:i/>
          <w:sz w:val="20"/>
          <w:szCs w:val="20"/>
        </w:rPr>
        <w:t>Para:</w:t>
      </w:r>
      <w:r>
        <w:rPr>
          <w:rFonts w:eastAsia="Times New Roman" w:ascii="Century Gothic" w:hAnsi="Century Gothic"/>
          <w:i/>
          <w:sz w:val="20"/>
          <w:szCs w:val="20"/>
        </w:rPr>
        <w:t xml:space="preserve"> Yolanda Alvarado Vargas &lt;</w:t>
      </w:r>
      <w:hyperlink r:id="rId93">
        <w:r>
          <w:rPr>
            <w:rStyle w:val="EnlacedeInternet"/>
            <w:rFonts w:ascii="Century Gothic" w:hAnsi="Century Gothic"/>
            <w:i/>
            <w:sz w:val="20"/>
            <w:szCs w:val="20"/>
          </w:rPr>
          <w:t>yalvaradov@Poder-Judicial.go.cr</w:t>
        </w:r>
      </w:hyperlink>
      <w:r>
        <w:rPr>
          <w:rFonts w:eastAsia="Times New Roman" w:ascii="Century Gothic" w:hAnsi="Century Gothic"/>
          <w:i/>
          <w:sz w:val="20"/>
          <w:szCs w:val="20"/>
        </w:rPr>
        <w:t>&gt;</w:t>
        <w:br/>
      </w:r>
      <w:r>
        <w:rPr>
          <w:rFonts w:eastAsia="Times New Roman" w:ascii="Century Gothic" w:hAnsi="Century Gothic"/>
          <w:b/>
          <w:bCs/>
          <w:i/>
          <w:sz w:val="20"/>
          <w:szCs w:val="20"/>
        </w:rPr>
        <w:t>Cc:</w:t>
      </w:r>
      <w:r>
        <w:rPr>
          <w:rFonts w:eastAsia="Times New Roman" w:ascii="Century Gothic" w:hAnsi="Century Gothic"/>
          <w:i/>
          <w:sz w:val="20"/>
          <w:szCs w:val="20"/>
        </w:rPr>
        <w:t xml:space="preserve"> Damaris Vargas Vásquez &lt;</w:t>
      </w:r>
      <w:hyperlink r:id="rId94">
        <w:r>
          <w:rPr>
            <w:rStyle w:val="EnlacedeInternet"/>
            <w:rFonts w:ascii="Century Gothic" w:hAnsi="Century Gothic"/>
            <w:i/>
            <w:sz w:val="20"/>
            <w:szCs w:val="20"/>
          </w:rPr>
          <w:t>dvargas@Poder-Judicial.go.cr</w:t>
        </w:r>
      </w:hyperlink>
      <w:r>
        <w:rPr>
          <w:rFonts w:eastAsia="Times New Roman" w:ascii="Century Gothic" w:hAnsi="Century Gothic"/>
          <w:i/>
          <w:sz w:val="20"/>
          <w:szCs w:val="20"/>
        </w:rPr>
        <w:t>&gt;, Subcomisión de Pueblos Indígenas &lt;</w:t>
      </w:r>
      <w:hyperlink r:id="rId95">
        <w:r>
          <w:rPr>
            <w:rStyle w:val="EnlacedeInternet"/>
            <w:rFonts w:ascii="Century Gothic" w:hAnsi="Century Gothic"/>
            <w:i/>
            <w:sz w:val="20"/>
            <w:szCs w:val="20"/>
          </w:rPr>
          <w:t>spindigenas@Poder-Judicial.go.cr</w:t>
        </w:r>
      </w:hyperlink>
      <w:r>
        <w:rPr>
          <w:rFonts w:eastAsia="Times New Roman" w:ascii="Century Gothic" w:hAnsi="Century Gothic"/>
          <w:i/>
          <w:sz w:val="20"/>
          <w:szCs w:val="20"/>
        </w:rPr>
        <w:t>&gt;, Contraloría de Servicios de Limón &lt;</w:t>
      </w:r>
      <w:hyperlink r:id="rId96">
        <w:r>
          <w:rPr>
            <w:rStyle w:val="EnlacedeInternet"/>
            <w:rFonts w:ascii="Century Gothic" w:hAnsi="Century Gothic"/>
            <w:i/>
            <w:sz w:val="20"/>
            <w:szCs w:val="20"/>
          </w:rPr>
          <w:t>contraloria-lim@Poder-Judicial.go.cr</w:t>
        </w:r>
      </w:hyperlink>
      <w:r>
        <w:rPr>
          <w:rFonts w:eastAsia="Times New Roman" w:ascii="Century Gothic" w:hAnsi="Century Gothic"/>
          <w:i/>
          <w:sz w:val="20"/>
          <w:szCs w:val="20"/>
        </w:rPr>
        <w:t>&gt;, Administracion Regional de Limon &lt;</w:t>
      </w:r>
      <w:hyperlink r:id="rId97">
        <w:r>
          <w:rPr>
            <w:rStyle w:val="EnlacedeInternet"/>
            <w:rFonts w:ascii="Century Gothic" w:hAnsi="Century Gothic"/>
            <w:i/>
            <w:sz w:val="20"/>
            <w:szCs w:val="20"/>
          </w:rPr>
          <w:t>reg_limon@Poder-Judicial.go.cr</w:t>
        </w:r>
      </w:hyperlink>
      <w:r>
        <w:rPr>
          <w:rFonts w:eastAsia="Times New Roman" w:ascii="Century Gothic" w:hAnsi="Century Gothic"/>
          <w:i/>
          <w:sz w:val="20"/>
          <w:szCs w:val="20"/>
        </w:rPr>
        <w:t>&gt;</w:t>
        <w:br/>
      </w:r>
      <w:r>
        <w:rPr>
          <w:rFonts w:eastAsia="Times New Roman" w:ascii="Century Gothic" w:hAnsi="Century Gothic"/>
          <w:b/>
          <w:bCs/>
          <w:i/>
          <w:sz w:val="20"/>
          <w:szCs w:val="20"/>
        </w:rPr>
        <w:t>Asunto:</w:t>
      </w:r>
      <w:r>
        <w:rPr>
          <w:rFonts w:eastAsia="Times New Roman" w:ascii="Century Gothic" w:hAnsi="Century Gothic"/>
          <w:i/>
          <w:sz w:val="20"/>
          <w:szCs w:val="20"/>
        </w:rPr>
        <w:t xml:space="preserve"> </w:t>
      </w:r>
      <w:r>
        <w:rPr>
          <w:rFonts w:eastAsia="Times New Roman" w:ascii="Century Gothic" w:hAnsi="Century Gothic"/>
          <w:b/>
          <w:bCs/>
          <w:i/>
          <w:sz w:val="20"/>
          <w:szCs w:val="20"/>
        </w:rPr>
        <w:t xml:space="preserve">Re: Seguimiento a gestión planteada por el señor Edgar Atencio Rodríguez </w:t>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t>Buen día, Licda. Yolanda</w:t>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t>Con respecto a los pagos de don Édgar Atencio, sí se ha encontrado un notable atraso, primeramente existió un atraso a la hora de generar los AG, por varias circunstancias, entre ellas soy la única técnica del tribunal en Bribrí, donde debo realizar una distintas tareas, y para no llegar a tener más atraso con los intérpretes la compañera Saray (técnica del Tribunal en Limón) tuvo la amabilidad de colaborarme en un principio con los pagos al citado intérprete, donde ya se le pagaron 3 de ellos, en uno de los pagos que hace referencia don Édgar específicamente el AG-01520-2019 ya se encuentra aprobado y al momento que mi persona se enteró le envié el respectivo correo al señor Édgar para que realizara la correspodiente factura así lo hizo más sin embargo generó un dato erróneo siendo el agregar la fecha de diciembre del 2019 siendo lo correcto 2018, esto se le hizo saber el 19-07-2019, posterior a ello don Edgar volvió a generar la factura y para este momento se esta recabando la firma de la jueza encargada para entregarla en la Administración, y con respecto al otro AG el 01522-2019, le adjunto el estado en este momento,</w:t>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drawing>
          <wp:anchor behindDoc="0" distT="0" distB="0" distL="114300" distR="114300" simplePos="0" locked="0" layoutInCell="0" allowOverlap="1" relativeHeight="9">
            <wp:simplePos x="0" y="0"/>
            <wp:positionH relativeFrom="column">
              <wp:posOffset>-1905</wp:posOffset>
            </wp:positionH>
            <wp:positionV relativeFrom="paragraph">
              <wp:posOffset>-175260</wp:posOffset>
            </wp:positionV>
            <wp:extent cx="5380355" cy="7749540"/>
            <wp:effectExtent l="0" t="0" r="0" b="0"/>
            <wp:wrapSquare wrapText="bothSides"/>
            <wp:docPr id="9" name="Imagen 7" descr="cid:e60649e6-4c29-4d55-80c5-ae8c3af35c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7" descr="cid:e60649e6-4c29-4d55-80c5-ae8c3af35cf3"/>
                    <pic:cNvPicPr>
                      <a:picLocks noChangeAspect="1" noChangeArrowheads="1"/>
                    </pic:cNvPicPr>
                  </pic:nvPicPr>
                  <pic:blipFill>
                    <a:blip r:embed="rId98"/>
                    <a:stretch>
                      <a:fillRect/>
                    </a:stretch>
                  </pic:blipFill>
                  <pic:spPr bwMode="auto">
                    <a:xfrm>
                      <a:off x="0" y="0"/>
                      <a:ext cx="5380355" cy="7749540"/>
                    </a:xfrm>
                    <a:prstGeom prst="rect">
                      <a:avLst/>
                    </a:prstGeom>
                  </pic:spPr>
                </pic:pic>
              </a:graphicData>
            </a:graphic>
          </wp:anchor>
        </w:drawing>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t>Lo anterior se realizará el trámite durante el día de hoy.</w:t>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t>Sin más por el momento</w:t>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r>
    </w:p>
    <w:p>
      <w:pPr>
        <w:pStyle w:val="NormalWeb"/>
        <w:spacing w:before="280" w:after="280"/>
        <w:ind w:left="708" w:hanging="0"/>
        <w:rPr>
          <w:rFonts w:ascii="Century Gothic" w:hAnsi="Century Gothic" w:cs="Arial"/>
          <w:i/>
          <w:i/>
          <w:color w:val="000000"/>
          <w:sz w:val="20"/>
          <w:szCs w:val="20"/>
        </w:rPr>
      </w:pPr>
      <w:r>
        <w:rPr>
          <w:rFonts w:cs="Arial" w:ascii="Century Gothic" w:hAnsi="Century Gothic"/>
          <w:i/>
          <w:color w:val="000000"/>
          <w:sz w:val="20"/>
          <w:szCs w:val="20"/>
        </w:rPr>
      </w:r>
    </w:p>
    <w:p>
      <w:pPr>
        <w:pStyle w:val="NormalWeb"/>
        <w:spacing w:before="280" w:after="280"/>
        <w:ind w:left="708" w:hanging="0"/>
        <w:rPr>
          <w:rFonts w:ascii="Century Gothic" w:hAnsi="Century Gothic" w:cs="Tahoma"/>
          <w:i/>
          <w:i/>
          <w:color w:val="000000"/>
          <w:sz w:val="20"/>
          <w:szCs w:val="20"/>
        </w:rPr>
      </w:pPr>
      <w:r>
        <w:rPr>
          <w:rStyle w:val="Destacado"/>
          <w:rFonts w:cs="Tahoma" w:ascii="Century Gothic" w:hAnsi="Century Gothic"/>
          <w:color w:val="333399"/>
          <w:sz w:val="20"/>
          <w:szCs w:val="20"/>
          <w:shd w:fill="FFFFFF" w:val="clear"/>
        </w:rPr>
        <w:t>Leslie Soro Pacheco</w:t>
      </w:r>
    </w:p>
    <w:p>
      <w:pPr>
        <w:pStyle w:val="NormalWeb"/>
        <w:spacing w:before="280" w:after="280"/>
        <w:ind w:left="708" w:hanging="0"/>
        <w:rPr>
          <w:rFonts w:ascii="Century Gothic" w:hAnsi="Century Gothic" w:cs="Tahoma"/>
          <w:i/>
          <w:i/>
          <w:color w:val="000000"/>
          <w:sz w:val="20"/>
          <w:szCs w:val="20"/>
        </w:rPr>
      </w:pPr>
      <w:r>
        <w:rPr>
          <w:rStyle w:val="Destacado"/>
          <w:rFonts w:cs="Tahoma" w:ascii="Century Gothic" w:hAnsi="Century Gothic"/>
          <w:color w:val="333399"/>
          <w:sz w:val="20"/>
          <w:szCs w:val="20"/>
          <w:shd w:fill="FFFFFF" w:val="clear"/>
        </w:rPr>
        <w:t xml:space="preserve">Técnica Judicial 3.- </w:t>
      </w:r>
    </w:p>
    <w:p>
      <w:pPr>
        <w:pStyle w:val="NormalWeb"/>
        <w:spacing w:before="280" w:after="280"/>
        <w:ind w:left="708" w:hanging="0"/>
        <w:rPr>
          <w:rFonts w:ascii="Century Gothic" w:hAnsi="Century Gothic" w:cs="Tahoma"/>
          <w:i/>
          <w:i/>
          <w:color w:val="000000"/>
          <w:sz w:val="20"/>
          <w:szCs w:val="20"/>
        </w:rPr>
      </w:pPr>
      <w:r>
        <w:rPr>
          <w:rStyle w:val="Destacado"/>
          <w:rFonts w:cs="Tahoma" w:ascii="Century Gothic" w:hAnsi="Century Gothic"/>
          <w:color w:val="333399"/>
          <w:sz w:val="20"/>
          <w:szCs w:val="20"/>
          <w:shd w:fill="FFFFFF" w:val="clear"/>
        </w:rPr>
        <w:t>Tribunal de Juicio de Limón</w:t>
      </w:r>
    </w:p>
    <w:p>
      <w:pPr>
        <w:pStyle w:val="NormalWeb"/>
        <w:spacing w:before="280" w:after="280"/>
        <w:ind w:left="708" w:hanging="0"/>
        <w:rPr>
          <w:rFonts w:ascii="Century Gothic" w:hAnsi="Century Gothic" w:cs="Tahoma"/>
          <w:i/>
          <w:i/>
          <w:color w:val="000000"/>
          <w:sz w:val="20"/>
          <w:szCs w:val="20"/>
        </w:rPr>
      </w:pPr>
      <w:r>
        <w:rPr>
          <w:rFonts w:cs="Tahoma" w:ascii="Century Gothic" w:hAnsi="Century Gothic"/>
          <w:i/>
          <w:color w:val="000000"/>
          <w:sz w:val="20"/>
          <w:szCs w:val="20"/>
        </w:rPr>
      </w:r>
    </w:p>
    <w:p>
      <w:pPr>
        <w:pStyle w:val="Normal"/>
        <w:jc w:val="center"/>
        <w:rPr>
          <w:rFonts w:ascii="Century Gothic" w:hAnsi="Century Gothic" w:eastAsia="Times New Roman" w:cs="Times New Roman"/>
          <w:i/>
          <w:i/>
          <w:sz w:val="20"/>
          <w:szCs w:val="20"/>
        </w:rPr>
      </w:pPr>
      <w:r>
        <w:rPr/>
        <mc:AlternateContent>
          <mc:Choice Requires="wps">
            <w:drawing>
              <wp:inline distT="0" distB="0" distL="0" distR="0">
                <wp:extent cx="5500370" cy="19685"/>
                <wp:effectExtent l="0" t="0" r="0" b="0"/>
                <wp:docPr id="10" name=""/>
                <a:graphic xmlns:a="http://schemas.openxmlformats.org/drawingml/2006/main">
                  <a:graphicData uri="http://schemas.microsoft.com/office/word/2010/wordprocessingShape">
                    <wps:wsp>
                      <wps:cNvSpPr/>
                      <wps:nvSpPr>
                        <wps:cNvPr id="3"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ind w:left="708" w:hanging="0"/>
        <w:outlineLvl w:val="0"/>
        <w:rPr>
          <w:rFonts w:ascii="Century Gothic" w:hAnsi="Century Gothic" w:eastAsia="Times New Roman"/>
          <w:i/>
          <w:i/>
          <w:sz w:val="20"/>
          <w:szCs w:val="20"/>
        </w:rPr>
      </w:pPr>
      <w:r>
        <w:rPr>
          <w:rFonts w:eastAsia="Times New Roman" w:ascii="Century Gothic" w:hAnsi="Century Gothic"/>
          <w:b/>
          <w:bCs/>
          <w:i/>
          <w:color w:val="000000"/>
          <w:sz w:val="20"/>
          <w:szCs w:val="20"/>
        </w:rPr>
        <w:t>De:</w:t>
      </w:r>
      <w:r>
        <w:rPr>
          <w:rFonts w:eastAsia="Times New Roman" w:ascii="Century Gothic" w:hAnsi="Century Gothic"/>
          <w:i/>
          <w:color w:val="000000"/>
          <w:sz w:val="20"/>
          <w:szCs w:val="20"/>
        </w:rPr>
        <w:t xml:space="preserve"> Yolanda Alvarado Vargas &lt;</w:t>
      </w:r>
      <w:hyperlink r:id="rId99">
        <w:r>
          <w:rPr>
            <w:rStyle w:val="EnlacedeInternet"/>
            <w:rFonts w:ascii="Century Gothic" w:hAnsi="Century Gothic"/>
            <w:i/>
            <w:sz w:val="20"/>
            <w:szCs w:val="20"/>
          </w:rPr>
          <w:t>yalvaradov@Poder-Judicial.go.cr</w:t>
        </w:r>
      </w:hyperlink>
      <w:r>
        <w:rPr>
          <w:rFonts w:eastAsia="Times New Roman" w:ascii="Century Gothic" w:hAnsi="Century Gothic"/>
          <w:i/>
          <w:color w:val="000000"/>
          <w:sz w:val="20"/>
          <w:szCs w:val="20"/>
        </w:rPr>
        <w:t>&gt;</w:t>
        <w:br/>
      </w:r>
      <w:r>
        <w:rPr>
          <w:rFonts w:eastAsia="Times New Roman" w:ascii="Century Gothic" w:hAnsi="Century Gothic"/>
          <w:b/>
          <w:bCs/>
          <w:i/>
          <w:color w:val="000000"/>
          <w:sz w:val="20"/>
          <w:szCs w:val="20"/>
        </w:rPr>
        <w:t>Enviado:</w:t>
      </w:r>
      <w:r>
        <w:rPr>
          <w:rFonts w:eastAsia="Times New Roman" w:ascii="Century Gothic" w:hAnsi="Century Gothic"/>
          <w:i/>
          <w:color w:val="000000"/>
          <w:sz w:val="20"/>
          <w:szCs w:val="20"/>
        </w:rPr>
        <w:t xml:space="preserve"> viernes, 26 de julio de 2019 09:41:12</w:t>
        <w:br/>
      </w:r>
      <w:r>
        <w:rPr>
          <w:rFonts w:eastAsia="Times New Roman" w:ascii="Century Gothic" w:hAnsi="Century Gothic"/>
          <w:b/>
          <w:bCs/>
          <w:i/>
          <w:color w:val="000000"/>
          <w:sz w:val="20"/>
          <w:szCs w:val="20"/>
        </w:rPr>
        <w:t>Para:</w:t>
      </w:r>
      <w:r>
        <w:rPr>
          <w:rFonts w:eastAsia="Times New Roman" w:ascii="Century Gothic" w:hAnsi="Century Gothic"/>
          <w:i/>
          <w:color w:val="000000"/>
          <w:sz w:val="20"/>
          <w:szCs w:val="20"/>
        </w:rPr>
        <w:t xml:space="preserve"> Leslie Soro Pacheco &lt;</w:t>
      </w:r>
      <w:hyperlink r:id="rId100">
        <w:r>
          <w:rPr>
            <w:rStyle w:val="EnlacedeInternet"/>
            <w:rFonts w:ascii="Century Gothic" w:hAnsi="Century Gothic"/>
            <w:i/>
            <w:sz w:val="20"/>
            <w:szCs w:val="20"/>
          </w:rPr>
          <w:t>lsoro@Poder-Judicial.go.cr</w:t>
        </w:r>
      </w:hyperlink>
      <w:r>
        <w:rPr>
          <w:rFonts w:eastAsia="Times New Roman" w:ascii="Century Gothic" w:hAnsi="Century Gothic"/>
          <w:i/>
          <w:color w:val="000000"/>
          <w:sz w:val="20"/>
          <w:szCs w:val="20"/>
        </w:rPr>
        <w:t>&gt;</w:t>
        <w:br/>
      </w:r>
      <w:r>
        <w:rPr>
          <w:rFonts w:eastAsia="Times New Roman" w:ascii="Century Gothic" w:hAnsi="Century Gothic"/>
          <w:b/>
          <w:bCs/>
          <w:i/>
          <w:color w:val="000000"/>
          <w:sz w:val="20"/>
          <w:szCs w:val="20"/>
        </w:rPr>
        <w:t>Cc:</w:t>
      </w:r>
      <w:r>
        <w:rPr>
          <w:rFonts w:eastAsia="Times New Roman" w:ascii="Century Gothic" w:hAnsi="Century Gothic"/>
          <w:i/>
          <w:color w:val="000000"/>
          <w:sz w:val="20"/>
          <w:szCs w:val="20"/>
        </w:rPr>
        <w:t xml:space="preserve"> Damaris Vargas Vásquez &lt;</w:t>
      </w:r>
      <w:hyperlink r:id="rId101">
        <w:r>
          <w:rPr>
            <w:rStyle w:val="EnlacedeInternet"/>
            <w:rFonts w:ascii="Century Gothic" w:hAnsi="Century Gothic"/>
            <w:i/>
            <w:sz w:val="20"/>
            <w:szCs w:val="20"/>
          </w:rPr>
          <w:t>dvargas@Poder-Judicial.go.cr</w:t>
        </w:r>
      </w:hyperlink>
      <w:r>
        <w:rPr>
          <w:rFonts w:eastAsia="Times New Roman" w:ascii="Century Gothic" w:hAnsi="Century Gothic"/>
          <w:i/>
          <w:color w:val="000000"/>
          <w:sz w:val="20"/>
          <w:szCs w:val="20"/>
        </w:rPr>
        <w:t>&gt;; Subcomisión de Pueblos Indígenas &lt;</w:t>
      </w:r>
      <w:hyperlink r:id="rId102">
        <w:r>
          <w:rPr>
            <w:rStyle w:val="EnlacedeInternet"/>
            <w:rFonts w:ascii="Century Gothic" w:hAnsi="Century Gothic"/>
            <w:i/>
            <w:sz w:val="20"/>
            <w:szCs w:val="20"/>
          </w:rPr>
          <w:t>spindigenas@Poder-Judicial.go.cr</w:t>
        </w:r>
      </w:hyperlink>
      <w:r>
        <w:rPr>
          <w:rFonts w:eastAsia="Times New Roman" w:ascii="Century Gothic" w:hAnsi="Century Gothic"/>
          <w:i/>
          <w:color w:val="000000"/>
          <w:sz w:val="20"/>
          <w:szCs w:val="20"/>
        </w:rPr>
        <w:t>&gt;; Contraloría de Servicios de Limón &lt;</w:t>
      </w:r>
      <w:hyperlink r:id="rId103">
        <w:r>
          <w:rPr>
            <w:rStyle w:val="EnlacedeInternet"/>
            <w:rFonts w:ascii="Century Gothic" w:hAnsi="Century Gothic"/>
            <w:i/>
            <w:sz w:val="20"/>
            <w:szCs w:val="20"/>
          </w:rPr>
          <w:t>contraloria-lim@Poder-Judicial.go.cr</w:t>
        </w:r>
      </w:hyperlink>
      <w:r>
        <w:rPr>
          <w:rFonts w:eastAsia="Times New Roman" w:ascii="Century Gothic" w:hAnsi="Century Gothic"/>
          <w:i/>
          <w:color w:val="000000"/>
          <w:sz w:val="20"/>
          <w:szCs w:val="20"/>
        </w:rPr>
        <w:t>&gt;; Administracion Regional de Limon &lt;</w:t>
      </w:r>
      <w:hyperlink r:id="rId104">
        <w:r>
          <w:rPr>
            <w:rStyle w:val="EnlacedeInternet"/>
            <w:rFonts w:ascii="Century Gothic" w:hAnsi="Century Gothic"/>
            <w:i/>
            <w:sz w:val="20"/>
            <w:szCs w:val="20"/>
          </w:rPr>
          <w:t>reg_limon@Poder-Judicial.go.cr</w:t>
        </w:r>
      </w:hyperlink>
      <w:r>
        <w:rPr>
          <w:rFonts w:eastAsia="Times New Roman" w:ascii="Century Gothic" w:hAnsi="Century Gothic"/>
          <w:i/>
          <w:color w:val="000000"/>
          <w:sz w:val="20"/>
          <w:szCs w:val="20"/>
        </w:rPr>
        <w:t>&gt;</w:t>
        <w:br/>
      </w:r>
      <w:r>
        <w:rPr>
          <w:rFonts w:eastAsia="Times New Roman" w:ascii="Century Gothic" w:hAnsi="Century Gothic"/>
          <w:b/>
          <w:bCs/>
          <w:i/>
          <w:color w:val="000000"/>
          <w:sz w:val="20"/>
          <w:szCs w:val="20"/>
        </w:rPr>
        <w:t>Asunto:</w:t>
      </w:r>
      <w:r>
        <w:rPr>
          <w:rFonts w:eastAsia="Times New Roman" w:ascii="Century Gothic" w:hAnsi="Century Gothic"/>
          <w:i/>
          <w:color w:val="000000"/>
          <w:sz w:val="20"/>
          <w:szCs w:val="20"/>
        </w:rPr>
        <w:t xml:space="preserve"> RV: Seguimiento a gestión planteada por el señor Edgar Atencio Rodríguez </w:t>
      </w:r>
    </w:p>
    <w:p>
      <w:pPr>
        <w:pStyle w:val="Normal"/>
        <w:ind w:left="708" w:hanging="0"/>
        <w:rPr>
          <w:rFonts w:ascii="Century Gothic" w:hAnsi="Century Gothic" w:eastAsia="Times New Roman"/>
          <w:i/>
          <w:i/>
          <w:sz w:val="20"/>
          <w:szCs w:val="20"/>
        </w:rPr>
      </w:pPr>
      <w:r>
        <w:rPr>
          <w:rFonts w:eastAsia="Times New Roman" w:ascii="Century Gothic" w:hAnsi="Century Gothic"/>
          <w:i/>
          <w:sz w:val="20"/>
          <w:szCs w:val="20"/>
        </w:rPr>
        <w:t> </w:t>
      </w:r>
    </w:p>
    <w:p>
      <w:pPr>
        <w:pStyle w:val="Normal"/>
        <w:ind w:left="708" w:hanging="0"/>
        <w:rPr>
          <w:rFonts w:ascii="Century Gothic" w:hAnsi="Century Gothic" w:eastAsia="Times New Roman"/>
          <w:i/>
          <w:i/>
          <w:color w:val="000000"/>
          <w:sz w:val="20"/>
          <w:szCs w:val="20"/>
        </w:rPr>
      </w:pPr>
      <w:r>
        <w:rPr>
          <w:rFonts w:eastAsia="Times New Roman" w:ascii="Century Gothic" w:hAnsi="Century Gothic"/>
          <w:i/>
          <w:color w:val="000000"/>
          <w:sz w:val="20"/>
          <w:szCs w:val="20"/>
        </w:rPr>
        <w:t>Buenos días Leslie, de conocimiento que en éste momento se encuentra de vacaciones, le solicito de forma amable en cuanto se entere de éste correo, proceda a informarme de forma concreta los trámites que se han dado respecto a la intervención como intérprete en idioma Ngäbe del señor  Edgar Atencio Rodríguez, con cédula 603190447 y sus respectivos pagos.-  Lo anterior, a fin de dar respuesta a la solicitud que nos realiza  la señora Jueza Damaris Vargas Vásquez, Coordinadora, Subcomisión Acceso a la Justicia de Pueblos Indígenas.-</w:t>
      </w:r>
    </w:p>
    <w:p>
      <w:pPr>
        <w:pStyle w:val="Normal"/>
        <w:ind w:left="708" w:hanging="0"/>
        <w:rPr>
          <w:rFonts w:ascii="Century Gothic" w:hAnsi="Century Gothic" w:eastAsia="Times New Roman"/>
          <w:i/>
          <w:i/>
          <w:color w:val="000000"/>
          <w:sz w:val="20"/>
          <w:szCs w:val="20"/>
        </w:rPr>
      </w:pPr>
      <w:r>
        <w:rPr>
          <w:rFonts w:eastAsia="Times New Roman" w:ascii="Century Gothic" w:hAnsi="Century Gothic"/>
          <w:i/>
          <w:color w:val="000000"/>
          <w:sz w:val="20"/>
          <w:szCs w:val="20"/>
        </w:rPr>
      </w:r>
    </w:p>
    <w:p>
      <w:pPr>
        <w:pStyle w:val="Normal"/>
        <w:ind w:left="708" w:hanging="0"/>
        <w:rPr>
          <w:rFonts w:ascii="Century Gothic" w:hAnsi="Century Gothic" w:eastAsia="Times New Roman"/>
          <w:i/>
          <w:i/>
          <w:color w:val="000000"/>
          <w:sz w:val="20"/>
          <w:szCs w:val="20"/>
        </w:rPr>
      </w:pPr>
      <w:r>
        <w:rPr>
          <w:rFonts w:eastAsia="Times New Roman" w:ascii="Century Gothic" w:hAnsi="Century Gothic"/>
          <w:i/>
          <w:color w:val="000000"/>
          <w:sz w:val="20"/>
          <w:szCs w:val="20"/>
        </w:rPr>
        <w:t>Se adjunta seguidilla de correos institucionales.-</w:t>
      </w:r>
    </w:p>
    <w:p>
      <w:pPr>
        <w:pStyle w:val="Normal"/>
        <w:ind w:left="708" w:hanging="0"/>
        <w:rPr>
          <w:rFonts w:ascii="Century Gothic" w:hAnsi="Century Gothic" w:eastAsia="Times New Roman"/>
          <w:i/>
          <w:i/>
          <w:color w:val="000000"/>
          <w:sz w:val="20"/>
          <w:szCs w:val="20"/>
        </w:rPr>
      </w:pPr>
      <w:r>
        <w:rPr>
          <w:rFonts w:eastAsia="Times New Roman" w:ascii="Century Gothic" w:hAnsi="Century Gothic"/>
          <w:i/>
          <w:color w:val="000000"/>
          <w:sz w:val="20"/>
          <w:szCs w:val="20"/>
        </w:rPr>
      </w:r>
    </w:p>
    <w:p>
      <w:pPr>
        <w:pStyle w:val="Normal"/>
        <w:ind w:left="708" w:hanging="0"/>
        <w:rPr>
          <w:rFonts w:ascii="Century Gothic" w:hAnsi="Century Gothic" w:eastAsia="Times New Roman"/>
          <w:i/>
          <w:i/>
          <w:color w:val="000000"/>
          <w:sz w:val="20"/>
          <w:szCs w:val="20"/>
        </w:rPr>
      </w:pPr>
      <w:r>
        <w:rPr>
          <w:rFonts w:eastAsia="Times New Roman" w:ascii="Century Gothic" w:hAnsi="Century Gothic"/>
          <w:i/>
          <w:color w:val="000000"/>
          <w:sz w:val="20"/>
          <w:szCs w:val="20"/>
        </w:rPr>
      </w:r>
    </w:p>
    <w:p>
      <w:pPr>
        <w:pStyle w:val="NormalWeb"/>
        <w:spacing w:before="280" w:after="280"/>
        <w:ind w:left="708" w:hanging="0"/>
        <w:jc w:val="both"/>
        <w:rPr>
          <w:rFonts w:ascii="Century Gothic" w:hAnsi="Century Gothic"/>
          <w:i/>
          <w:i/>
          <w:color w:val="000000"/>
          <w:sz w:val="20"/>
          <w:szCs w:val="20"/>
        </w:rPr>
      </w:pPr>
      <w:r>
        <w:rPr/>
        <w:drawing>
          <wp:inline distT="0" distB="0" distL="0" distR="0">
            <wp:extent cx="4300855" cy="1079500"/>
            <wp:effectExtent l="0" t="0" r="0" b="0"/>
            <wp:docPr id="11" name="Imagen 6" descr="cid:a1679edb-cc6c-4859-ba6d-d0da2660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6" descr="cid:a1679edb-cc6c-4859-ba6d-d0da26604439"/>
                    <pic:cNvPicPr>
                      <a:picLocks noChangeAspect="1" noChangeArrowheads="1"/>
                    </pic:cNvPicPr>
                  </pic:nvPicPr>
                  <pic:blipFill>
                    <a:blip r:embed="rId105"/>
                    <a:stretch>
                      <a:fillRect/>
                    </a:stretch>
                  </pic:blipFill>
                  <pic:spPr bwMode="auto">
                    <a:xfrm>
                      <a:off x="0" y="0"/>
                      <a:ext cx="4300855" cy="1079500"/>
                    </a:xfrm>
                    <a:prstGeom prst="rect">
                      <a:avLst/>
                    </a:prstGeom>
                  </pic:spPr>
                </pic:pic>
              </a:graphicData>
            </a:graphic>
          </wp:inline>
        </w:drawing>
      </w:r>
    </w:p>
    <w:p>
      <w:pPr>
        <w:pStyle w:val="NormalWeb"/>
        <w:spacing w:before="280" w:after="280"/>
        <w:ind w:left="708" w:hanging="0"/>
        <w:rPr>
          <w:rFonts w:ascii="Century Gothic" w:hAnsi="Century Gothic"/>
          <w:i/>
          <w:i/>
          <w:sz w:val="20"/>
          <w:szCs w:val="20"/>
        </w:rPr>
      </w:pPr>
      <w:r>
        <w:rPr>
          <w:rFonts w:ascii="Century Gothic" w:hAnsi="Century Gothic"/>
          <w:i/>
          <w:sz w:val="20"/>
          <w:szCs w:val="20"/>
        </w:rPr>
      </w:r>
    </w:p>
    <w:p>
      <w:pPr>
        <w:pStyle w:val="Normal"/>
        <w:rPr>
          <w:rFonts w:ascii="Century Gothic" w:hAnsi="Century Gothic"/>
          <w:sz w:val="20"/>
          <w:szCs w:val="20"/>
        </w:rPr>
      </w:pPr>
      <w:r>
        <w:rPr>
          <w:rFonts w:ascii="Century Gothic" w:hAnsi="Century Gothic"/>
          <w:sz w:val="20"/>
          <w:szCs w:val="20"/>
        </w:rPr>
      </w:r>
    </w:p>
    <w:p>
      <w:pPr>
        <w:pStyle w:val="Normal"/>
        <w:jc w:val="both"/>
        <w:rPr>
          <w:rFonts w:ascii="Century Gothic" w:hAnsi="Century Gothic"/>
          <w:sz w:val="20"/>
          <w:szCs w:val="20"/>
        </w:rPr>
      </w:pPr>
      <w:r>
        <w:rPr>
          <w:rFonts w:ascii="Century Gothic" w:hAnsi="Century Gothic"/>
          <w:b/>
          <w:sz w:val="20"/>
          <w:szCs w:val="20"/>
          <w:highlight w:val="yellow"/>
          <w:u w:val="single"/>
        </w:rPr>
        <w:t>SE ACUERDA:</w:t>
      </w:r>
      <w:r>
        <w:rPr>
          <w:rFonts w:ascii="Century Gothic" w:hAnsi="Century Gothic"/>
          <w:b/>
          <w:sz w:val="20"/>
          <w:szCs w:val="20"/>
          <w:u w:val="single"/>
        </w:rPr>
        <w:t xml:space="preserve"> </w:t>
      </w:r>
      <w:r>
        <w:rPr>
          <w:rFonts w:ascii="Century Gothic" w:hAnsi="Century Gothic"/>
          <w:sz w:val="20"/>
          <w:szCs w:val="20"/>
        </w:rPr>
        <w:t>Se toma nota y se dispone consultar al Tribunal de Juicio de Talamanca Bribri si ya el señor Edgar Atencio Rodríguez se le canceló la suma correspondiente a sus servicios; además, una propuesta de acciones para que ese proceso de pago de servicios de traducción se realice de forma más eficaz y eficiente, en coordinación con la Administración Regional y la Contraloría de Servicios del Primer Circuito Judicial de la Zona Atlántica. Comuníquese este acuerdo al señor Atencio a las oficinas indicadas. Se declara firme este acuerdo por unanimidad para su ejecución.-</w:t>
      </w:r>
    </w:p>
    <w:p>
      <w:pPr>
        <w:pStyle w:val="Normal"/>
        <w:rPr>
          <w:rFonts w:ascii="Century Gothic" w:hAnsi="Century Gothic"/>
          <w:b/>
          <w:b/>
          <w:sz w:val="20"/>
          <w:szCs w:val="20"/>
        </w:rPr>
      </w:pPr>
      <w:r>
        <w:rPr>
          <w:rFonts w:ascii="Century Gothic" w:hAnsi="Century Gothic"/>
          <w:b/>
          <w:sz w:val="20"/>
          <w:szCs w:val="20"/>
          <w:highlight w:val="yellow"/>
        </w:rPr>
        <w:t>Ejecutado.</w:t>
      </w:r>
    </w:p>
    <w:p>
      <w:pPr>
        <w:pStyle w:val="Normal"/>
        <w:jc w:val="center"/>
        <w:rPr>
          <w:rFonts w:ascii="Century Gothic" w:hAnsi="Century Gothic"/>
          <w:b/>
          <w:b/>
          <w:sz w:val="20"/>
          <w:szCs w:val="20"/>
          <w:u w:val="single"/>
        </w:rPr>
      </w:pPr>
      <w:r>
        <w:rPr>
          <w:rFonts w:ascii="Century Gothic" w:hAnsi="Century Gothic"/>
          <w:b/>
          <w:sz w:val="20"/>
          <w:szCs w:val="20"/>
          <w:highlight w:val="yellow"/>
          <w:u w:val="single"/>
        </w:rPr>
        <w:t>ARTICULO XXII</w:t>
      </w:r>
    </w:p>
    <w:p>
      <w:pPr>
        <w:pStyle w:val="Normal"/>
        <w:rPr>
          <w:rFonts w:ascii="Century Gothic" w:hAnsi="Century Gothic"/>
          <w:sz w:val="20"/>
          <w:szCs w:val="20"/>
        </w:rPr>
      </w:pPr>
      <w:r>
        <w:rPr>
          <w:rFonts w:ascii="Century Gothic" w:hAnsi="Century Gothic"/>
          <w:sz w:val="20"/>
          <w:szCs w:val="20"/>
        </w:rPr>
        <w:t xml:space="preserve">Se conoce gestión planteada por el señor Candelario Gómez Galindo y traslado hecho al Tribunal de Juicio de Talamanca para su diligenciamiento oportuno: </w:t>
      </w:r>
    </w:p>
    <w:p>
      <w:pPr>
        <w:pStyle w:val="Normal"/>
        <w:rPr>
          <w:rFonts w:ascii="Century Gothic" w:hAnsi="Century Gothic"/>
          <w:color w:val="993366"/>
          <w:spacing w:val="-2"/>
          <w:sz w:val="20"/>
          <w:szCs w:val="20"/>
        </w:rPr>
      </w:pPr>
      <w:r>
        <w:rPr>
          <w:rFonts w:ascii="Century Gothic" w:hAnsi="Century Gothic"/>
          <w:color w:val="993366"/>
          <w:spacing w:val="-2"/>
          <w:sz w:val="20"/>
          <w:szCs w:val="20"/>
        </w:rPr>
      </w:r>
    </w:p>
    <w:p>
      <w:pPr>
        <w:pStyle w:val="Normal"/>
        <w:ind w:left="708" w:hanging="0"/>
        <w:rPr>
          <w:rFonts w:ascii="Century Gothic" w:hAnsi="Century Gothic" w:eastAsia="Times New Roman"/>
          <w:sz w:val="20"/>
          <w:szCs w:val="20"/>
          <w:lang w:val="es-ES" w:eastAsia="es-CR"/>
        </w:rPr>
      </w:pPr>
      <w:r>
        <w:rPr>
          <w:rFonts w:eastAsia="Times New Roman" w:ascii="Century Gothic" w:hAnsi="Century Gothic"/>
          <w:b/>
          <w:bCs/>
          <w:sz w:val="20"/>
          <w:szCs w:val="20"/>
          <w:lang w:val="es-ES"/>
        </w:rPr>
        <w:t>De:</w:t>
      </w:r>
      <w:r>
        <w:rPr>
          <w:rFonts w:eastAsia="Times New Roman" w:ascii="Century Gothic" w:hAnsi="Century Gothic"/>
          <w:sz w:val="20"/>
          <w:szCs w:val="20"/>
          <w:lang w:val="es-ES"/>
        </w:rPr>
        <w:t xml:space="preserve"> Damaris Vargas Vásquez </w:t>
        <w:br/>
      </w:r>
      <w:r>
        <w:rPr>
          <w:rFonts w:eastAsia="Times New Roman" w:ascii="Century Gothic" w:hAnsi="Century Gothic"/>
          <w:b/>
          <w:bCs/>
          <w:sz w:val="20"/>
          <w:szCs w:val="20"/>
          <w:lang w:val="es-ES"/>
        </w:rPr>
        <w:t>Enviado el:</w:t>
      </w:r>
      <w:r>
        <w:rPr>
          <w:rFonts w:eastAsia="Times New Roman" w:ascii="Century Gothic" w:hAnsi="Century Gothic"/>
          <w:sz w:val="20"/>
          <w:szCs w:val="20"/>
          <w:lang w:val="es-ES"/>
        </w:rPr>
        <w:t xml:space="preserve"> miércoles, 24 de julio de 2019 03:28 p.m.</w:t>
        <w:br/>
      </w:r>
      <w:r>
        <w:rPr>
          <w:rFonts w:eastAsia="Times New Roman" w:ascii="Century Gothic" w:hAnsi="Century Gothic"/>
          <w:b/>
          <w:bCs/>
          <w:sz w:val="20"/>
          <w:szCs w:val="20"/>
          <w:lang w:val="es-ES"/>
        </w:rPr>
        <w:t>Para:</w:t>
      </w:r>
      <w:r>
        <w:rPr>
          <w:rFonts w:eastAsia="Times New Roman" w:ascii="Century Gothic" w:hAnsi="Century Gothic"/>
          <w:sz w:val="20"/>
          <w:szCs w:val="20"/>
          <w:lang w:val="es-ES"/>
        </w:rPr>
        <w:t xml:space="preserve"> Yolanda Alvarado Vargas &lt;yalvaradov@Poder-Judicial.go.cr&gt;</w:t>
        <w:br/>
      </w:r>
      <w:r>
        <w:rPr>
          <w:rFonts w:eastAsia="Times New Roman" w:ascii="Century Gothic" w:hAnsi="Century Gothic"/>
          <w:b/>
          <w:bCs/>
          <w:sz w:val="20"/>
          <w:szCs w:val="20"/>
          <w:lang w:val="es-ES"/>
        </w:rPr>
        <w:t>CC:</w:t>
      </w:r>
      <w:r>
        <w:rPr>
          <w:rFonts w:eastAsia="Times New Roman" w:ascii="Century Gothic" w:hAnsi="Century Gothic"/>
          <w:sz w:val="20"/>
          <w:szCs w:val="20"/>
          <w:lang w:val="es-ES"/>
        </w:rPr>
        <w:t xml:space="preserve"> Candelario Gomez &lt;candelariogg@yahoo.es&gt;; Ligia Jeannette Jiménez Zamora &lt;ljimenezz@Poder-Judicial.go.cr&gt;; Subcomisión de Pueblos Indígenas &lt;spindigenas@Poder-Judicial.go.cr&gt;; Administracion Regional de Limon &lt;reg_limon@Poder-Judicial.go.cr&gt;; Contraloría de Servicios de Limón &lt;contraloria-lim@Poder-Judicial.go.cr&gt;</w:t>
        <w:br/>
      </w:r>
      <w:r>
        <w:rPr>
          <w:rFonts w:eastAsia="Times New Roman" w:ascii="Century Gothic" w:hAnsi="Century Gothic"/>
          <w:b/>
          <w:bCs/>
          <w:sz w:val="20"/>
          <w:szCs w:val="20"/>
          <w:lang w:val="es-ES"/>
        </w:rPr>
        <w:t>Asunto:</w:t>
      </w:r>
      <w:r>
        <w:rPr>
          <w:rFonts w:eastAsia="Times New Roman" w:ascii="Century Gothic" w:hAnsi="Century Gothic"/>
          <w:sz w:val="20"/>
          <w:szCs w:val="20"/>
          <w:lang w:val="es-ES"/>
        </w:rPr>
        <w:t xml:space="preserve"> Seguimiento a gestión presentada por el señor Calendario Gómez Galindo</w:t>
      </w:r>
    </w:p>
    <w:p>
      <w:pPr>
        <w:pStyle w:val="Normal"/>
        <w:ind w:left="708" w:hanging="0"/>
        <w:rPr>
          <w:rFonts w:ascii="Century Gothic" w:hAnsi="Century Gothic"/>
          <w:sz w:val="20"/>
          <w:szCs w:val="20"/>
        </w:rPr>
      </w:pPr>
      <w:r>
        <w:rPr>
          <w:rFonts w:ascii="Century Gothic" w:hAnsi="Century Gothic"/>
          <w:sz w:val="20"/>
          <w:szCs w:val="20"/>
        </w:rPr>
      </w:r>
    </w:p>
    <w:p>
      <w:pPr>
        <w:pStyle w:val="Normal"/>
        <w:ind w:left="708" w:hanging="0"/>
        <w:jc w:val="right"/>
        <w:rPr>
          <w:rFonts w:ascii="Century Gothic" w:hAnsi="Century Gothic"/>
          <w:b/>
          <w:b/>
          <w:bCs/>
          <w:spacing w:val="-2"/>
          <w:sz w:val="20"/>
          <w:szCs w:val="20"/>
        </w:rPr>
      </w:pPr>
      <w:r>
        <w:rPr>
          <w:rFonts w:ascii="Century Gothic" w:hAnsi="Century Gothic"/>
          <w:b/>
          <w:bCs/>
          <w:spacing w:val="-2"/>
          <w:sz w:val="20"/>
          <w:szCs w:val="20"/>
        </w:rPr>
      </w:r>
    </w:p>
    <w:p>
      <w:pPr>
        <w:pStyle w:val="Normal"/>
        <w:ind w:left="708" w:hanging="0"/>
        <w:jc w:val="right"/>
        <w:rPr>
          <w:rFonts w:ascii="Century Gothic" w:hAnsi="Century Gothic"/>
          <w:b/>
          <w:b/>
          <w:bCs/>
          <w:spacing w:val="-2"/>
          <w:sz w:val="20"/>
          <w:szCs w:val="20"/>
        </w:rPr>
      </w:pPr>
      <w:r>
        <w:rPr>
          <w:rFonts w:ascii="Century Gothic" w:hAnsi="Century Gothic"/>
          <w:b/>
          <w:bCs/>
          <w:spacing w:val="-2"/>
          <w:sz w:val="20"/>
          <w:szCs w:val="20"/>
        </w:rPr>
        <w:t>Julio, 24 de 2019.</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Señora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Licda. Yolanda Alvarado Vargas</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Jueza Coordinadora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Tribunal de Juicio de Bribri, Talamanca</w:t>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r>
    </w:p>
    <w:p>
      <w:pPr>
        <w:pStyle w:val="Normal"/>
        <w:ind w:left="708" w:hanging="0"/>
        <w:jc w:val="both"/>
        <w:rPr>
          <w:rFonts w:ascii="Century Gothic" w:hAnsi="Century Gothic"/>
          <w:b/>
          <w:b/>
          <w:bCs/>
          <w:spacing w:val="-2"/>
          <w:sz w:val="20"/>
          <w:szCs w:val="20"/>
        </w:rPr>
      </w:pPr>
      <w:r>
        <w:rPr>
          <w:rFonts w:ascii="Century Gothic" w:hAnsi="Century Gothic"/>
          <w:b/>
          <w:bCs/>
          <w:spacing w:val="-2"/>
          <w:sz w:val="20"/>
          <w:szCs w:val="20"/>
        </w:rPr>
        <w:t>Estimada doña Yolanda:</w:t>
      </w:r>
    </w:p>
    <w:p>
      <w:pPr>
        <w:pStyle w:val="Normal"/>
        <w:ind w:left="708" w:hanging="0"/>
        <w:jc w:val="both"/>
        <w:rPr>
          <w:rFonts w:ascii="Century Gothic" w:hAnsi="Century Gothic"/>
          <w:spacing w:val="-2"/>
          <w:sz w:val="20"/>
          <w:szCs w:val="20"/>
        </w:rPr>
      </w:pPr>
      <w:r>
        <w:rPr>
          <w:rFonts w:ascii="Century Gothic" w:hAnsi="Century Gothic"/>
          <w:spacing w:val="-2"/>
          <w:sz w:val="20"/>
          <w:szCs w:val="20"/>
        </w:rPr>
      </w:r>
    </w:p>
    <w:p>
      <w:pPr>
        <w:pStyle w:val="Normal"/>
        <w:ind w:left="708" w:firstLine="708"/>
        <w:jc w:val="both"/>
        <w:rPr>
          <w:rFonts w:ascii="Century Gothic" w:hAnsi="Century Gothic"/>
          <w:sz w:val="20"/>
          <w:szCs w:val="20"/>
          <w:lang w:eastAsia="es-CR"/>
        </w:rPr>
      </w:pPr>
      <w:r>
        <w:rPr>
          <w:rFonts w:ascii="Century Gothic" w:hAnsi="Century Gothic"/>
          <w:spacing w:val="-2"/>
          <w:sz w:val="20"/>
          <w:szCs w:val="20"/>
        </w:rPr>
        <w:t>Reciba un atento saludo. A la vez, hago de su conocimiento</w:t>
      </w:r>
      <w:r>
        <w:rPr>
          <w:rFonts w:ascii="Century Gothic" w:hAnsi="Century Gothic"/>
          <w:sz w:val="20"/>
          <w:szCs w:val="20"/>
        </w:rPr>
        <w:t xml:space="preserve"> la gestión planteada mediante comunicado electrónico enviado el día de hoy a la Defensa Publica y a la suscrita como Coordinadora de la Subcomisión de Acceso a la Justicia de Pueblos Indígenas, por el señor Candelario Gómez Galindo, con cédula de identidad 159100363611, en la que literalmente señala:</w:t>
      </w:r>
    </w:p>
    <w:p>
      <w:pPr>
        <w:pStyle w:val="Normal"/>
        <w:ind w:left="708" w:hanging="0"/>
        <w:jc w:val="both"/>
        <w:rPr>
          <w:rFonts w:ascii="Century Gothic" w:hAnsi="Century Gothic"/>
          <w:sz w:val="20"/>
          <w:szCs w:val="20"/>
        </w:rPr>
      </w:pPr>
      <w:r>
        <w:rPr>
          <w:rFonts w:ascii="Century Gothic" w:hAnsi="Century Gothic"/>
          <w:sz w:val="20"/>
          <w:szCs w:val="20"/>
        </w:rPr>
      </w:r>
    </w:p>
    <w:p>
      <w:pPr>
        <w:pStyle w:val="Normal"/>
        <w:ind w:left="1416" w:hanging="0"/>
        <w:jc w:val="both"/>
        <w:rPr>
          <w:rFonts w:ascii="Century Gothic" w:hAnsi="Century Gothic"/>
          <w:i/>
          <w:i/>
          <w:iCs/>
          <w:sz w:val="20"/>
          <w:szCs w:val="20"/>
        </w:rPr>
      </w:pPr>
      <w:r>
        <w:rPr>
          <w:rFonts w:ascii="Century Gothic" w:hAnsi="Century Gothic"/>
          <w:i/>
          <w:iCs/>
          <w:sz w:val="20"/>
          <w:szCs w:val="20"/>
        </w:rPr>
        <w:t xml:space="preserve">“… </w:t>
      </w:r>
      <w:r>
        <w:rPr>
          <w:rFonts w:ascii="Century Gothic" w:hAnsi="Century Gothic"/>
          <w:i/>
          <w:iCs/>
          <w:sz w:val="20"/>
          <w:szCs w:val="20"/>
        </w:rPr>
        <w:t>La presente es para hacer de su conocimiento las irregularidades que vengo presentando con el tribunal de Bribri con respecto a los pagos de honorarios de intérprete para el juicio del Expediente: 18-000410-0829-PE. Dichos servicios se brindaron desde el 7 de junio seguido de la misma causa se continuo 3 audiencia más y otro juicio del expediente 19-000244-0597-PE. Al día de hoy son 5 facturas en total de los cuales no se ha cancelado ninguno, como comprenderá dichos servicios todos se llevó a cabo como lo solicitó el tribunal y con mis recursos propios. Además en el mismo despacho Judicial he recibido la notificación de un  técnico judicial para servir de interprete y alega que lo único que puede pagar por el traslado serian la suma de 50,000 mil colones sabiendo que la distancia que hay desde san Marcos de Tarrazú a San José, y de San José a Bribri es una distancia que superan los 7  a más horas de ida si no existieran presas de Cartago a San José, todos saben que la ruta 32 por la ampliación de las vías que viene desde la republica hasta Limón Centro nos encontramos con las diferentes presas en el trayecto que los atrasos van desde 1 hora o más de 3 horas en algunos casos. Esto sin mencionar que para la última diligencia por la huelga de los Estudiantes y los Camioneros me quedé encerrado más de cuatro días en Sixaola por el cierre no había servicios de transportes público. Hago todo estas y otros observaciones porque no se están ajustándose a la circular Numero 107-2014 (reglas para el pago de honorario de los interprete de lengua costarricense LESCO), además del inciso 3; entre otros cumplo con el inciso 9 del mismo circular que emite la dirección Ejecutiva del Poder Judicial. Por lo tanto, estoy con todos mis Derechos y la obligación de elevar dichos In situ ante su autoridad; ya que no soy el único intérprete al que se le viola la normativa establecido en el circular Número 107-2014. Dado que varios compañeros manifiestan la misma situación; aclaro esta situación solo lo tenemos con el tribunal de Bribri.  El Objetivo de dar a conocer la situación enunciada es con la finalidad de que, así como nuestros servicios es de mucha utilidad para el tribunal así debe cumplir con la normativa de la circular ya mencionado sin demora alguna, puesto que como interprete cumplo con toda la normativa establecido por la circular y el convenio 169 y las Declaraciones de las Naciones Unidas para pueblos Indígenas…”</w:t>
      </w:r>
    </w:p>
    <w:p>
      <w:pPr>
        <w:pStyle w:val="Normal"/>
        <w:ind w:left="1416" w:hanging="0"/>
        <w:jc w:val="both"/>
        <w:rPr>
          <w:rFonts w:ascii="Century Gothic" w:hAnsi="Century Gothic"/>
          <w:i/>
          <w:i/>
          <w:iCs/>
          <w:sz w:val="20"/>
          <w:szCs w:val="20"/>
        </w:rPr>
      </w:pPr>
      <w:r>
        <w:rPr>
          <w:rFonts w:ascii="Century Gothic" w:hAnsi="Century Gothic"/>
          <w:i/>
          <w:iCs/>
          <w:sz w:val="20"/>
          <w:szCs w:val="20"/>
        </w:rPr>
      </w:r>
    </w:p>
    <w:p>
      <w:pPr>
        <w:pStyle w:val="Normal"/>
        <w:ind w:left="708" w:hanging="0"/>
        <w:jc w:val="both"/>
        <w:rPr>
          <w:rFonts w:ascii="Century Gothic" w:hAnsi="Century Gothic"/>
          <w:sz w:val="20"/>
          <w:szCs w:val="20"/>
        </w:rPr>
      </w:pPr>
      <w:r>
        <w:rPr>
          <w:rFonts w:ascii="Century Gothic" w:hAnsi="Century Gothic"/>
          <w:sz w:val="20"/>
          <w:szCs w:val="20"/>
        </w:rPr>
        <w:t xml:space="preserve">          </w:t>
      </w:r>
      <w:r>
        <w:rPr>
          <w:rFonts w:ascii="Century Gothic" w:hAnsi="Century Gothic"/>
          <w:sz w:val="20"/>
          <w:szCs w:val="20"/>
        </w:rPr>
        <w:t>Traslado para su conocimiento la gestión del señor Gómez Galindo con el objetivo de que se dé la prioridad respectiva por tratarse de una persona indígena, en cumplimiento de Convenio 169 de la OIT, las circulares y  lineamientos institucionales y la Ley de Acceso a la Justicia de Pueblos Indígenas de Costa Rica.</w:t>
      </w:r>
    </w:p>
    <w:p>
      <w:pPr>
        <w:pStyle w:val="Normal"/>
        <w:ind w:left="708" w:hanging="0"/>
        <w:jc w:val="both"/>
        <w:rPr>
          <w:rFonts w:ascii="Century Gothic" w:hAnsi="Century Gothic"/>
          <w:sz w:val="20"/>
          <w:szCs w:val="20"/>
        </w:rPr>
      </w:pPr>
      <w:r>
        <w:rPr>
          <w:rFonts w:ascii="Century Gothic" w:hAnsi="Century Gothic"/>
          <w:sz w:val="20"/>
          <w:szCs w:val="20"/>
        </w:rPr>
      </w:r>
    </w:p>
    <w:p>
      <w:pPr>
        <w:pStyle w:val="Normal"/>
        <w:ind w:left="708" w:hanging="0"/>
        <w:jc w:val="both"/>
        <w:rPr>
          <w:rFonts w:ascii="Century Gothic" w:hAnsi="Century Gothic"/>
          <w:sz w:val="20"/>
          <w:szCs w:val="20"/>
        </w:rPr>
      </w:pPr>
      <w:r>
        <w:rPr>
          <w:rFonts w:ascii="Century Gothic" w:hAnsi="Century Gothic"/>
          <w:sz w:val="20"/>
          <w:szCs w:val="20"/>
        </w:rPr>
        <w:t xml:space="preserve">          </w:t>
      </w:r>
      <w:r>
        <w:rPr>
          <w:rFonts w:ascii="Century Gothic" w:hAnsi="Century Gothic"/>
          <w:sz w:val="20"/>
          <w:szCs w:val="20"/>
        </w:rPr>
        <w:t>Desde la Subcomisión de Acceso a la Justicia de Pueblos Indígenas, me pongo a su disposición en lo que pueda colaborar con Usted como jueza Coordinadora del Tribunal de Juicio de Bribrí de Talamanca, la Administración Regional y la Contraloría de Servicios del Primer Circuito de la Zona Atlántica, a fin de que el protocolo de atención de este tipo de asuntos se realice con la celeridad y oportunidad que exige la normativa nacional e internacional de las personas indígenas.</w:t>
      </w:r>
    </w:p>
    <w:p>
      <w:pPr>
        <w:pStyle w:val="Normal"/>
        <w:ind w:left="708" w:hanging="0"/>
        <w:jc w:val="both"/>
        <w:rPr>
          <w:rFonts w:ascii="Century Gothic" w:hAnsi="Century Gothic"/>
          <w:sz w:val="20"/>
          <w:szCs w:val="20"/>
        </w:rPr>
      </w:pPr>
      <w:r>
        <w:rPr>
          <w:rFonts w:ascii="Century Gothic" w:hAnsi="Century Gothic"/>
          <w:sz w:val="20"/>
          <w:szCs w:val="20"/>
        </w:rPr>
      </w:r>
    </w:p>
    <w:p>
      <w:pPr>
        <w:pStyle w:val="Normal"/>
        <w:ind w:left="708" w:hanging="0"/>
        <w:jc w:val="both"/>
        <w:rPr>
          <w:rFonts w:ascii="Century Gothic" w:hAnsi="Century Gothic"/>
          <w:spacing w:val="-2"/>
          <w:sz w:val="20"/>
          <w:szCs w:val="20"/>
        </w:rPr>
      </w:pPr>
      <w:r>
        <w:rPr>
          <w:rFonts w:ascii="Century Gothic" w:hAnsi="Century Gothic"/>
          <w:sz w:val="20"/>
          <w:szCs w:val="20"/>
        </w:rPr>
        <w:t xml:space="preserve">          </w:t>
      </w:r>
      <w:r>
        <w:rPr>
          <w:rFonts w:ascii="Century Gothic" w:hAnsi="Century Gothic"/>
          <w:spacing w:val="-2"/>
          <w:sz w:val="20"/>
          <w:szCs w:val="20"/>
        </w:rPr>
        <w:t>Saludos cordiales,</w:t>
      </w:r>
    </w:p>
    <w:p>
      <w:pPr>
        <w:pStyle w:val="Normal"/>
        <w:ind w:left="708" w:hanging="0"/>
        <w:jc w:val="both"/>
        <w:rPr>
          <w:rFonts w:ascii="Century Gothic" w:hAnsi="Century Gothic"/>
          <w:spacing w:val="-2"/>
          <w:sz w:val="20"/>
          <w:szCs w:val="20"/>
        </w:rPr>
      </w:pPr>
      <w:r>
        <w:rPr>
          <w:rFonts w:ascii="Century Gothic" w:hAnsi="Century Gothic"/>
          <w:spacing w:val="-2"/>
          <w:sz w:val="20"/>
          <w:szCs w:val="20"/>
        </w:rPr>
      </w:r>
    </w:p>
    <w:p>
      <w:pPr>
        <w:pStyle w:val="Normal"/>
        <w:ind w:left="708" w:hanging="0"/>
        <w:jc w:val="both"/>
        <w:rPr>
          <w:rFonts w:ascii="Century Gothic" w:hAnsi="Century Gothic"/>
          <w:spacing w:val="-2"/>
          <w:sz w:val="20"/>
          <w:szCs w:val="20"/>
        </w:rPr>
      </w:pPr>
      <w:r>
        <w:rPr>
          <w:rFonts w:ascii="Century Gothic" w:hAnsi="Century Gothic"/>
          <w:spacing w:val="-2"/>
          <w:sz w:val="20"/>
          <w:szCs w:val="20"/>
        </w:rPr>
      </w:r>
    </w:p>
    <w:p>
      <w:pPr>
        <w:pStyle w:val="Normal"/>
        <w:ind w:left="708" w:hanging="0"/>
        <w:jc w:val="center"/>
        <w:rPr>
          <w:rFonts w:ascii="Century Gothic" w:hAnsi="Century Gothic"/>
          <w:b/>
          <w:b/>
          <w:bCs/>
          <w:i/>
          <w:i/>
          <w:iCs/>
          <w:spacing w:val="-2"/>
          <w:sz w:val="20"/>
          <w:szCs w:val="20"/>
        </w:rPr>
      </w:pPr>
      <w:r>
        <w:rPr>
          <w:rFonts w:ascii="Century Gothic" w:hAnsi="Century Gothic"/>
          <w:b/>
          <w:bCs/>
          <w:i/>
          <w:iCs/>
          <w:spacing w:val="-2"/>
          <w:sz w:val="20"/>
          <w:szCs w:val="20"/>
        </w:rPr>
        <w:t>Jueza Damaris Vargas Vásquez</w:t>
      </w:r>
    </w:p>
    <w:p>
      <w:pPr>
        <w:pStyle w:val="Normal"/>
        <w:ind w:left="708" w:hanging="0"/>
        <w:jc w:val="center"/>
        <w:rPr>
          <w:rFonts w:ascii="Century Gothic" w:hAnsi="Century Gothic"/>
          <w:b/>
          <w:b/>
          <w:bCs/>
          <w:i/>
          <w:i/>
          <w:iCs/>
          <w:spacing w:val="-2"/>
          <w:sz w:val="20"/>
          <w:szCs w:val="20"/>
        </w:rPr>
      </w:pPr>
      <w:r>
        <w:rPr>
          <w:rFonts w:ascii="Century Gothic" w:hAnsi="Century Gothic"/>
          <w:b/>
          <w:bCs/>
          <w:i/>
          <w:iCs/>
          <w:spacing w:val="-2"/>
          <w:sz w:val="20"/>
          <w:szCs w:val="20"/>
        </w:rPr>
        <w:t>Coordinadora</w:t>
      </w:r>
    </w:p>
    <w:p>
      <w:pPr>
        <w:pStyle w:val="Normal"/>
        <w:ind w:left="708" w:hanging="0"/>
        <w:jc w:val="center"/>
        <w:rPr>
          <w:rFonts w:ascii="Century Gothic" w:hAnsi="Century Gothic"/>
          <w:b/>
          <w:b/>
          <w:bCs/>
          <w:i/>
          <w:i/>
          <w:iCs/>
          <w:spacing w:val="-2"/>
          <w:sz w:val="20"/>
          <w:szCs w:val="20"/>
        </w:rPr>
      </w:pPr>
      <w:r>
        <w:rPr>
          <w:rFonts w:ascii="Century Gothic" w:hAnsi="Century Gothic"/>
          <w:b/>
          <w:bCs/>
          <w:i/>
          <w:iCs/>
          <w:spacing w:val="-2"/>
          <w:sz w:val="20"/>
          <w:szCs w:val="20"/>
        </w:rPr>
        <w:t>Subcomisión Acceso a la Justicia de Pueblos Indígenas</w:t>
      </w:r>
    </w:p>
    <w:p>
      <w:pPr>
        <w:pStyle w:val="Normal"/>
        <w:rPr>
          <w:rFonts w:ascii="Century Gothic" w:hAnsi="Century Gothic"/>
          <w:sz w:val="20"/>
          <w:szCs w:val="20"/>
        </w:rPr>
      </w:pPr>
      <w:r>
        <w:rPr>
          <w:rFonts w:ascii="Century Gothic" w:hAnsi="Century Gothic"/>
          <w:sz w:val="20"/>
          <w:szCs w:val="20"/>
        </w:rPr>
      </w:r>
    </w:p>
    <w:p>
      <w:pPr>
        <w:pStyle w:val="Normal"/>
        <w:ind w:left="708" w:hanging="0"/>
        <w:rPr>
          <w:rFonts w:ascii="Century Gothic" w:hAnsi="Century Gothic" w:eastAsia="Times New Roman"/>
          <w:sz w:val="20"/>
          <w:szCs w:val="20"/>
          <w:lang w:val="es-ES" w:eastAsia="es-CR"/>
        </w:rPr>
      </w:pPr>
      <w:r>
        <w:rPr>
          <w:rFonts w:eastAsia="Times New Roman" w:ascii="Century Gothic" w:hAnsi="Century Gothic"/>
          <w:b/>
          <w:bCs/>
          <w:sz w:val="20"/>
          <w:szCs w:val="20"/>
          <w:lang w:val="es-ES"/>
        </w:rPr>
        <w:t>De:</w:t>
      </w:r>
      <w:r>
        <w:rPr>
          <w:rFonts w:eastAsia="Times New Roman" w:ascii="Century Gothic" w:hAnsi="Century Gothic"/>
          <w:sz w:val="20"/>
          <w:szCs w:val="20"/>
          <w:lang w:val="es-ES"/>
        </w:rPr>
        <w:t xml:space="preserve"> Damaris Vargas Vásquez </w:t>
        <w:br/>
      </w:r>
      <w:r>
        <w:rPr>
          <w:rFonts w:eastAsia="Times New Roman" w:ascii="Century Gothic" w:hAnsi="Century Gothic"/>
          <w:b/>
          <w:bCs/>
          <w:sz w:val="20"/>
          <w:szCs w:val="20"/>
          <w:lang w:val="es-ES"/>
        </w:rPr>
        <w:t>Enviado el:</w:t>
      </w:r>
      <w:r>
        <w:rPr>
          <w:rFonts w:eastAsia="Times New Roman" w:ascii="Century Gothic" w:hAnsi="Century Gothic"/>
          <w:sz w:val="20"/>
          <w:szCs w:val="20"/>
          <w:lang w:val="es-ES"/>
        </w:rPr>
        <w:t xml:space="preserve"> miércoles, 24 de julio de 2019 03:33 p.m.</w:t>
        <w:br/>
      </w:r>
      <w:r>
        <w:rPr>
          <w:rFonts w:eastAsia="Times New Roman" w:ascii="Century Gothic" w:hAnsi="Century Gothic"/>
          <w:b/>
          <w:bCs/>
          <w:sz w:val="20"/>
          <w:szCs w:val="20"/>
          <w:lang w:val="es-ES"/>
        </w:rPr>
        <w:t>Para:</w:t>
      </w:r>
      <w:r>
        <w:rPr>
          <w:rFonts w:eastAsia="Times New Roman" w:ascii="Century Gothic" w:hAnsi="Century Gothic"/>
          <w:sz w:val="20"/>
          <w:szCs w:val="20"/>
          <w:lang w:val="es-ES"/>
        </w:rPr>
        <w:t xml:space="preserve"> Candelario Gomez &lt;candelariogg@yahoo.es&gt;; Ligia Jeannette Jiménez Zamora &lt;ljimenezz@Poder-Judicial.go.cr&gt;</w:t>
        <w:br/>
      </w:r>
      <w:r>
        <w:rPr>
          <w:rFonts w:eastAsia="Times New Roman" w:ascii="Century Gothic" w:hAnsi="Century Gothic"/>
          <w:b/>
          <w:bCs/>
          <w:sz w:val="20"/>
          <w:szCs w:val="20"/>
          <w:lang w:val="es-ES"/>
        </w:rPr>
        <w:t>CC:</w:t>
      </w:r>
      <w:r>
        <w:rPr>
          <w:rFonts w:eastAsia="Times New Roman" w:ascii="Century Gothic" w:hAnsi="Century Gothic"/>
          <w:sz w:val="20"/>
          <w:szCs w:val="20"/>
          <w:lang w:val="es-ES"/>
        </w:rPr>
        <w:t xml:space="preserve"> Subcomisión de Pueblos Indígenas &lt;spindigenas@Poder-Judicial.go.cr&gt;</w:t>
        <w:br/>
      </w:r>
      <w:r>
        <w:rPr>
          <w:rFonts w:eastAsia="Times New Roman" w:ascii="Century Gothic" w:hAnsi="Century Gothic"/>
          <w:b/>
          <w:bCs/>
          <w:sz w:val="20"/>
          <w:szCs w:val="20"/>
          <w:lang w:val="es-ES"/>
        </w:rPr>
        <w:t>Asunto:</w:t>
      </w:r>
      <w:r>
        <w:rPr>
          <w:rFonts w:eastAsia="Times New Roman" w:ascii="Century Gothic" w:hAnsi="Century Gothic"/>
          <w:sz w:val="20"/>
          <w:szCs w:val="20"/>
          <w:lang w:val="es-ES"/>
        </w:rPr>
        <w:t xml:space="preserve"> RE: Incumplimiento de los pagos de honorario de los interprete.</w:t>
      </w:r>
    </w:p>
    <w:p>
      <w:pPr>
        <w:pStyle w:val="Normal"/>
        <w:ind w:left="708" w:hanging="0"/>
        <w:rPr>
          <w:rFonts w:ascii="Century Gothic" w:hAnsi="Century Gothic"/>
          <w:sz w:val="20"/>
          <w:szCs w:val="20"/>
        </w:rPr>
      </w:pPr>
      <w:r>
        <w:rPr>
          <w:rFonts w:ascii="Century Gothic" w:hAnsi="Century Gothic"/>
          <w:sz w:val="20"/>
          <w:szCs w:val="20"/>
        </w:rPr>
      </w:r>
    </w:p>
    <w:p>
      <w:pPr>
        <w:pStyle w:val="Normal"/>
        <w:ind w:left="708" w:hanging="0"/>
        <w:rPr>
          <w:rFonts w:ascii="Century Gothic" w:hAnsi="Century Gothic"/>
          <w:color w:val="1F497D"/>
          <w:spacing w:val="-2"/>
          <w:sz w:val="20"/>
          <w:szCs w:val="20"/>
        </w:rPr>
      </w:pPr>
      <w:r>
        <w:rPr>
          <w:rFonts w:ascii="Century Gothic" w:hAnsi="Century Gothic"/>
          <w:color w:val="1F497D"/>
          <w:spacing w:val="-2"/>
          <w:sz w:val="20"/>
          <w:szCs w:val="20"/>
        </w:rPr>
        <w:t>Buenas tardes don Candelario:</w:t>
      </w:r>
    </w:p>
    <w:p>
      <w:pPr>
        <w:pStyle w:val="Normal"/>
        <w:ind w:left="708" w:hanging="0"/>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t>Acuso recibido de su comunicado. A la vez, hago de su conocimiento que no ostento el cargo de Magistrada, por lo que le pido por favor se refiera a mi como Jueza Coordinadora de la Subcomisión de Acceso a la Justicia de Pueblos Indígenas, desde donde estoy para servirle en todo lo que pueda colaborar.</w:t>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t xml:space="preserve">La Subcomisión carece de competencia de régimen disciplinario, razón por la cual trasladaré a las autoridades correspondientes su gestión a efecto de que procedan lo antes posible a responden su petición. </w:t>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t>Se dará seguimiento a su gestión, por lo que le pido que si tiene información adicional, no dude en enviarla.</w:t>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t>Cordialmente,</w:t>
      </w:r>
    </w:p>
    <w:p>
      <w:pPr>
        <w:pStyle w:val="Normal"/>
        <w:ind w:left="708" w:hanging="0"/>
        <w:jc w:val="both"/>
        <w:rPr>
          <w:rFonts w:ascii="Century Gothic" w:hAnsi="Century Gothic"/>
          <w:color w:val="1F497D"/>
          <w:spacing w:val="-2"/>
          <w:sz w:val="20"/>
          <w:szCs w:val="20"/>
        </w:rPr>
      </w:pPr>
      <w:r>
        <w:rPr>
          <w:rFonts w:ascii="Century Gothic" w:hAnsi="Century Gothic"/>
          <w:color w:val="1F497D"/>
          <w:spacing w:val="-2"/>
          <w:sz w:val="20"/>
          <w:szCs w:val="20"/>
        </w:rPr>
      </w:r>
    </w:p>
    <w:p>
      <w:pPr>
        <w:pStyle w:val="Normal"/>
        <w:ind w:left="708" w:hanging="0"/>
        <w:jc w:val="both"/>
        <w:rPr>
          <w:rFonts w:ascii="Century Gothic" w:hAnsi="Century Gothic"/>
          <w:i/>
          <w:i/>
          <w:iCs/>
          <w:color w:val="1F497D"/>
          <w:spacing w:val="-2"/>
          <w:sz w:val="20"/>
          <w:szCs w:val="20"/>
        </w:rPr>
      </w:pPr>
      <w:r>
        <w:rPr>
          <w:rFonts w:ascii="Century Gothic" w:hAnsi="Century Gothic"/>
          <w:i/>
          <w:iCs/>
          <w:color w:val="1F497D"/>
          <w:spacing w:val="-2"/>
          <w:sz w:val="20"/>
          <w:szCs w:val="20"/>
        </w:rPr>
        <w:t>Jueza Damaris Vargas Vásquez</w:t>
      </w:r>
    </w:p>
    <w:p>
      <w:pPr>
        <w:pStyle w:val="Normal"/>
        <w:ind w:left="708" w:hanging="0"/>
        <w:jc w:val="both"/>
        <w:rPr>
          <w:rFonts w:ascii="Century Gothic" w:hAnsi="Century Gothic"/>
          <w:i/>
          <w:i/>
          <w:iCs/>
          <w:color w:val="1F497D"/>
          <w:spacing w:val="-2"/>
          <w:sz w:val="20"/>
          <w:szCs w:val="20"/>
        </w:rPr>
      </w:pPr>
      <w:r>
        <w:rPr>
          <w:rFonts w:ascii="Century Gothic" w:hAnsi="Century Gothic"/>
          <w:i/>
          <w:iCs/>
          <w:color w:val="1F497D"/>
          <w:spacing w:val="-2"/>
          <w:sz w:val="20"/>
          <w:szCs w:val="20"/>
        </w:rPr>
        <w:t xml:space="preserve">Coordinadora </w:t>
      </w:r>
    </w:p>
    <w:p>
      <w:pPr>
        <w:pStyle w:val="Normal"/>
        <w:ind w:left="708" w:hanging="0"/>
        <w:jc w:val="both"/>
        <w:rPr>
          <w:rFonts w:ascii="Century Gothic" w:hAnsi="Century Gothic"/>
          <w:i/>
          <w:i/>
          <w:iCs/>
          <w:color w:val="1F497D"/>
          <w:spacing w:val="-2"/>
          <w:sz w:val="20"/>
          <w:szCs w:val="20"/>
        </w:rPr>
      </w:pPr>
      <w:r>
        <w:rPr>
          <w:rFonts w:ascii="Century Gothic" w:hAnsi="Century Gothic"/>
          <w:i/>
          <w:iCs/>
          <w:color w:val="1F497D"/>
          <w:spacing w:val="-2"/>
          <w:sz w:val="20"/>
          <w:szCs w:val="20"/>
        </w:rPr>
        <w:t>Subcomisión de Acceso a la Justicia de Pueblos Indígenas</w:t>
      </w:r>
    </w:p>
    <w:p>
      <w:pPr>
        <w:pStyle w:val="Normal"/>
        <w:rPr>
          <w:rFonts w:ascii="Century Gothic" w:hAnsi="Century Gothic"/>
          <w:b/>
          <w:b/>
          <w:bCs/>
          <w:i/>
          <w:i/>
          <w:iCs/>
          <w:color w:val="1F497D"/>
          <w:sz w:val="20"/>
          <w:szCs w:val="20"/>
          <w:lang w:eastAsia="es-CR"/>
        </w:rPr>
      </w:pPr>
      <w:r>
        <w:rPr>
          <w:rFonts w:ascii="Century Gothic" w:hAnsi="Century Gothic"/>
          <w:b/>
          <w:bCs/>
          <w:i/>
          <w:iCs/>
          <w:color w:val="1F497D"/>
          <w:sz w:val="20"/>
          <w:szCs w:val="20"/>
          <w:lang w:eastAsia="es-CR"/>
        </w:rPr>
      </w:r>
    </w:p>
    <w:p>
      <w:pPr>
        <w:pStyle w:val="Normal"/>
        <w:rPr>
          <w:rFonts w:ascii="Century Gothic" w:hAnsi="Century Gothic"/>
          <w:sz w:val="20"/>
          <w:szCs w:val="20"/>
        </w:rPr>
      </w:pPr>
      <w:r>
        <w:rPr>
          <w:rFonts w:ascii="Century Gothic" w:hAnsi="Century Gothic"/>
          <w:sz w:val="20"/>
          <w:szCs w:val="20"/>
        </w:rPr>
        <w:t>La jueza Coordinadora del Tribunal remitió el siguiente comunicado:</w:t>
      </w:r>
    </w:p>
    <w:p>
      <w:pPr>
        <w:pStyle w:val="Normal"/>
        <w:ind w:left="708" w:hanging="0"/>
        <w:rPr>
          <w:rFonts w:ascii="Century Gothic" w:hAnsi="Century Gothic" w:eastAsia="Times New Roman"/>
          <w:sz w:val="20"/>
          <w:szCs w:val="20"/>
          <w:lang w:val="es-ES" w:eastAsia="es-CR"/>
        </w:rPr>
      </w:pPr>
      <w:r>
        <w:rPr>
          <w:rFonts w:eastAsia="Times New Roman" w:ascii="Century Gothic" w:hAnsi="Century Gothic"/>
          <w:b/>
          <w:bCs/>
          <w:sz w:val="20"/>
          <w:szCs w:val="20"/>
          <w:lang w:val="es-ES"/>
        </w:rPr>
        <w:t>De:</w:t>
      </w:r>
      <w:r>
        <w:rPr>
          <w:rFonts w:eastAsia="Times New Roman" w:ascii="Century Gothic" w:hAnsi="Century Gothic"/>
          <w:sz w:val="20"/>
          <w:szCs w:val="20"/>
          <w:lang w:val="es-ES"/>
        </w:rPr>
        <w:t xml:space="preserve"> Yolanda Alvarado Vargas </w:t>
        <w:br/>
      </w:r>
      <w:r>
        <w:rPr>
          <w:rFonts w:eastAsia="Times New Roman" w:ascii="Century Gothic" w:hAnsi="Century Gothic"/>
          <w:b/>
          <w:bCs/>
          <w:sz w:val="20"/>
          <w:szCs w:val="20"/>
          <w:lang w:val="es-ES"/>
        </w:rPr>
        <w:t>Enviado el:</w:t>
      </w:r>
      <w:r>
        <w:rPr>
          <w:rFonts w:eastAsia="Times New Roman" w:ascii="Century Gothic" w:hAnsi="Century Gothic"/>
          <w:sz w:val="20"/>
          <w:szCs w:val="20"/>
          <w:lang w:val="es-ES"/>
        </w:rPr>
        <w:t xml:space="preserve"> jueves, 01 de agosto de 2019 03:43 p.m.</w:t>
        <w:br/>
      </w:r>
      <w:r>
        <w:rPr>
          <w:rFonts w:eastAsia="Times New Roman" w:ascii="Century Gothic" w:hAnsi="Century Gothic"/>
          <w:b/>
          <w:bCs/>
          <w:sz w:val="20"/>
          <w:szCs w:val="20"/>
          <w:lang w:val="es-ES"/>
        </w:rPr>
        <w:t>Para:</w:t>
      </w:r>
      <w:r>
        <w:rPr>
          <w:rFonts w:eastAsia="Times New Roman" w:ascii="Century Gothic" w:hAnsi="Century Gothic"/>
          <w:sz w:val="20"/>
          <w:szCs w:val="20"/>
          <w:lang w:val="es-ES"/>
        </w:rPr>
        <w:t xml:space="preserve"> Damaris Vargas Vásquez &lt;dvargas@Poder-Judicial.go.cr&gt;</w:t>
        <w:br/>
      </w:r>
      <w:r>
        <w:rPr>
          <w:rFonts w:eastAsia="Times New Roman" w:ascii="Century Gothic" w:hAnsi="Century Gothic"/>
          <w:b/>
          <w:bCs/>
          <w:sz w:val="20"/>
          <w:szCs w:val="20"/>
          <w:lang w:val="es-ES"/>
        </w:rPr>
        <w:t>Asunto:</w:t>
      </w:r>
      <w:r>
        <w:rPr>
          <w:rFonts w:eastAsia="Times New Roman" w:ascii="Century Gothic" w:hAnsi="Century Gothic"/>
          <w:sz w:val="20"/>
          <w:szCs w:val="20"/>
          <w:lang w:val="es-ES"/>
        </w:rPr>
        <w:t xml:space="preserve"> Fwd: Seguimiento a gestión planteada por el señor Edgar Atencio Rodríguez </w:t>
      </w:r>
    </w:p>
    <w:p>
      <w:pPr>
        <w:pStyle w:val="Normal"/>
        <w:ind w:left="708" w:hanging="0"/>
        <w:rPr>
          <w:rFonts w:ascii="Century Gothic" w:hAnsi="Century Gothic"/>
          <w:sz w:val="20"/>
          <w:szCs w:val="20"/>
        </w:rPr>
      </w:pPr>
      <w:r>
        <w:rPr>
          <w:rFonts w:ascii="Century Gothic" w:hAnsi="Century Gothic"/>
          <w:sz w:val="20"/>
          <w:szCs w:val="20"/>
        </w:rPr>
      </w:r>
    </w:p>
    <w:p>
      <w:pPr>
        <w:pStyle w:val="Normal"/>
        <w:ind w:left="708" w:hanging="0"/>
        <w:rPr>
          <w:rFonts w:ascii="Century Gothic" w:hAnsi="Century Gothic" w:eastAsia="Times New Roman"/>
          <w:sz w:val="20"/>
          <w:szCs w:val="20"/>
        </w:rPr>
      </w:pPr>
      <w:r>
        <w:rPr>
          <w:rFonts w:eastAsia="Times New Roman" w:ascii="Century Gothic" w:hAnsi="Century Gothic"/>
          <w:sz w:val="20"/>
          <w:szCs w:val="20"/>
        </w:rPr>
        <w:t> </w:t>
      </w:r>
      <w:r>
        <w:rPr>
          <w:rFonts w:eastAsia="Times New Roman" w:ascii="Century Gothic" w:hAnsi="Century Gothic"/>
          <w:sz w:val="20"/>
          <w:szCs w:val="20"/>
        </w:rPr>
        <w:t>Buenas tardes doña Damaris le remito atenta a su solicitud la información requerida del trámite que se requiere para el pago del intérprete.  Trámite que por demás es sumamente engorroso como bien puede usted apreciarlo, por otra parte hemos tenido que traer intérpretes en idioma Ngäbe desde la Zona de Los Santos, cuando a escasos kilómetros podíamos localizar alguno o alguna. Para mayor abundamiento, la exigencia a que los intérpretes en Bribrí, Cabécar y Ngäbe sean con base a la lista de intérpretes oficial es en ocasiones imposible, desproporcionado y requiere de una inversión de recursos sumamente honerosa para nuestra institución, algo que a todas luces está desajustado a las medidas de accesibilidad de la población indígena que establecen la Normativa que rige. Agradezco sus buenos oficios respecto a un tema que por demás he tenido también el gusto de conversarlo con usted por teléfono.</w:t>
      </w:r>
    </w:p>
    <w:p>
      <w:pPr>
        <w:pStyle w:val="Normal"/>
        <w:spacing w:before="0" w:after="240"/>
        <w:ind w:left="708" w:hanging="0"/>
        <w:rPr>
          <w:rFonts w:ascii="Century Gothic" w:hAnsi="Century Gothic" w:eastAsia="Times New Roman"/>
          <w:sz w:val="20"/>
          <w:szCs w:val="20"/>
        </w:rPr>
      </w:pPr>
      <w:r>
        <w:rPr>
          <w:rFonts w:eastAsia="Times New Roman" w:ascii="Century Gothic" w:hAnsi="Century Gothic"/>
          <w:sz w:val="20"/>
          <w:szCs w:val="20"/>
        </w:rPr>
        <w:t>Disculpe la respuesta por medio de mi teléfono personal, pero me encuentro en este momento en Suretka precisamente en Juicio. </w:t>
      </w:r>
    </w:p>
    <w:p>
      <w:pPr>
        <w:pStyle w:val="Normal"/>
        <w:rPr>
          <w:rFonts w:ascii="Century Gothic" w:hAnsi="Century Gothic"/>
          <w:color w:val="1F497D"/>
          <w:spacing w:val="-2"/>
          <w:sz w:val="20"/>
          <w:szCs w:val="20"/>
        </w:rPr>
      </w:pPr>
      <w:r>
        <w:rPr>
          <w:rFonts w:ascii="Century Gothic" w:hAnsi="Century Gothic"/>
          <w:color w:val="1F497D"/>
          <w:spacing w:val="-2"/>
          <w:sz w:val="20"/>
          <w:szCs w:val="20"/>
        </w:rPr>
        <w:t xml:space="preserve">Además, </w:t>
      </w:r>
    </w:p>
    <w:p>
      <w:pPr>
        <w:pStyle w:val="Normal"/>
        <w:ind w:left="708" w:hanging="0"/>
        <w:rPr>
          <w:rFonts w:ascii="Century Gothic" w:hAnsi="Century Gothic" w:eastAsia="Times New Roman"/>
          <w:sz w:val="20"/>
          <w:szCs w:val="20"/>
          <w:lang w:val="es-ES" w:eastAsia="es-CR"/>
        </w:rPr>
      </w:pPr>
      <w:r>
        <w:rPr>
          <w:rFonts w:eastAsia="Times New Roman" w:ascii="Century Gothic" w:hAnsi="Century Gothic"/>
          <w:b/>
          <w:bCs/>
          <w:sz w:val="20"/>
          <w:szCs w:val="20"/>
          <w:lang w:val="es-ES"/>
        </w:rPr>
        <w:t>De:</w:t>
      </w:r>
      <w:r>
        <w:rPr>
          <w:rFonts w:eastAsia="Times New Roman" w:ascii="Century Gothic" w:hAnsi="Century Gothic"/>
          <w:sz w:val="20"/>
          <w:szCs w:val="20"/>
          <w:lang w:val="es-ES"/>
        </w:rPr>
        <w:t xml:space="preserve"> Leslie Soro Pacheco </w:t>
        <w:br/>
      </w:r>
      <w:r>
        <w:rPr>
          <w:rFonts w:eastAsia="Times New Roman" w:ascii="Century Gothic" w:hAnsi="Century Gothic"/>
          <w:b/>
          <w:bCs/>
          <w:sz w:val="20"/>
          <w:szCs w:val="20"/>
          <w:lang w:val="es-ES"/>
        </w:rPr>
        <w:t>Enviado el:</w:t>
      </w:r>
      <w:r>
        <w:rPr>
          <w:rFonts w:eastAsia="Times New Roman" w:ascii="Century Gothic" w:hAnsi="Century Gothic"/>
          <w:sz w:val="20"/>
          <w:szCs w:val="20"/>
          <w:lang w:val="es-ES"/>
        </w:rPr>
        <w:t xml:space="preserve"> lunes, 29 de julio de 2019 10:05 a.m.</w:t>
        <w:br/>
      </w:r>
      <w:r>
        <w:rPr>
          <w:rFonts w:eastAsia="Times New Roman" w:ascii="Century Gothic" w:hAnsi="Century Gothic"/>
          <w:b/>
          <w:bCs/>
          <w:sz w:val="20"/>
          <w:szCs w:val="20"/>
          <w:lang w:val="es-ES"/>
        </w:rPr>
        <w:t>Para:</w:t>
      </w:r>
      <w:r>
        <w:rPr>
          <w:rFonts w:eastAsia="Times New Roman" w:ascii="Century Gothic" w:hAnsi="Century Gothic"/>
          <w:sz w:val="20"/>
          <w:szCs w:val="20"/>
          <w:lang w:val="es-ES"/>
        </w:rPr>
        <w:t xml:space="preserve"> Yolanda Alvarado Vargas &lt;yalvaradov@Poder-Judicial.go.cr&gt;</w:t>
        <w:br/>
      </w:r>
      <w:r>
        <w:rPr>
          <w:rFonts w:eastAsia="Times New Roman" w:ascii="Century Gothic" w:hAnsi="Century Gothic"/>
          <w:b/>
          <w:bCs/>
          <w:sz w:val="20"/>
          <w:szCs w:val="20"/>
          <w:lang w:val="es-ES"/>
        </w:rPr>
        <w:t>CC:</w:t>
      </w:r>
      <w:r>
        <w:rPr>
          <w:rFonts w:eastAsia="Times New Roman" w:ascii="Century Gothic" w:hAnsi="Century Gothic"/>
          <w:sz w:val="20"/>
          <w:szCs w:val="20"/>
          <w:lang w:val="es-ES"/>
        </w:rPr>
        <w:t xml:space="preserve"> Damaris Vargas Vásquez &lt;dvargas@Poder-Judicial.go.cr&gt;; Subcomisión de Pueblos Indígenas &lt;spindigenas@Poder-Judicial.go.cr&gt;; Contraloría de Servicios de Limón &lt;contraloria-lim@Poder-Judicial.go.cr&gt;; Administracion Regional de Limon &lt;reg_limon@Poder-Judicial.go.cr&gt;</w:t>
        <w:br/>
      </w:r>
      <w:r>
        <w:rPr>
          <w:rFonts w:eastAsia="Times New Roman" w:ascii="Century Gothic" w:hAnsi="Century Gothic"/>
          <w:b/>
          <w:bCs/>
          <w:sz w:val="20"/>
          <w:szCs w:val="20"/>
          <w:lang w:val="es-ES"/>
        </w:rPr>
        <w:t>Asunto:</w:t>
      </w:r>
      <w:r>
        <w:rPr>
          <w:rFonts w:eastAsia="Times New Roman" w:ascii="Century Gothic" w:hAnsi="Century Gothic"/>
          <w:sz w:val="20"/>
          <w:szCs w:val="20"/>
          <w:lang w:val="es-ES"/>
        </w:rPr>
        <w:t xml:space="preserve"> Re: Seguimiento a gestión planteada por el señor Edgar Atencio Rodríguez </w:t>
      </w:r>
    </w:p>
    <w:p>
      <w:pPr>
        <w:pStyle w:val="Normal"/>
        <w:ind w:left="708" w:hanging="0"/>
        <w:rPr>
          <w:rFonts w:ascii="Century Gothic" w:hAnsi="Century Gothic"/>
          <w:sz w:val="20"/>
          <w:szCs w:val="20"/>
        </w:rPr>
      </w:pPr>
      <w:r>
        <w:rPr>
          <w:rFonts w:ascii="Century Gothic" w:hAnsi="Century Gothic"/>
          <w:sz w:val="20"/>
          <w:szCs w:val="20"/>
        </w:rPr>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t>Buen día, Licda. Yolanda</w:t>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t>Con respecto a los pagos de don Édgar Atencio, sí se ha encontrado un notable atraso, primeramente existió un atraso a la hora de generar los AG, por varias circunstancias, entre ellas soy la única técnica del tribunal en Bribrí, donde debo realizar una distintas tareas, y para no llegar a tener más atraso con los intérpretes la compañera Saray (técnica del Tribunal en Limón) tuvo la amabilidad de colaborarme en un principio con los pagos al citado intérprete, donde ya se le pagaron 3 de ellos, en uno de los pagos que hace referencia don Édgar específicamente el AG-01520-2019 ya se encuentra aprobado y al momento que mi persona se enteró le envié el respectivo correo al señor Édgar para que realizara la correspodiente factura así lo hizo más sin embargo generó un dato erróneo siendo el agregar la fecha de diciembre del 2019 siendo lo correcto 2018, esto se le hizo saber el 19-07-2019, posterior a ello don Edgar volvió a generar la factura y para este momento se esta recabando la firma de la jueza encargada para entregarla en la Administración, y con respecto al otro AG el 01522-2019, le adjunto el estado en este momento,</w:t>
      </w:r>
    </w:p>
    <w:p>
      <w:pPr>
        <w:pStyle w:val="NormalWeb"/>
        <w:spacing w:before="280" w:after="280"/>
        <w:ind w:left="708" w:hanging="0"/>
        <w:rPr>
          <w:rFonts w:ascii="Century Gothic" w:hAnsi="Century Gothic" w:cs="Arial"/>
          <w:color w:val="000000"/>
          <w:sz w:val="20"/>
          <w:szCs w:val="20"/>
        </w:rPr>
      </w:pPr>
      <w:r>
        <w:rPr/>
        <w:drawing>
          <wp:inline distT="0" distB="0" distL="0" distR="0">
            <wp:extent cx="4447540" cy="5196840"/>
            <wp:effectExtent l="0" t="0" r="0" b="0"/>
            <wp:docPr id="12" name="Imagen 8" descr="cid:e60649e6-4c29-4d55-80c5-ae8c3af35c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8" descr="cid:e60649e6-4c29-4d55-80c5-ae8c3af35cf3"/>
                    <pic:cNvPicPr>
                      <a:picLocks noChangeAspect="1" noChangeArrowheads="1"/>
                    </pic:cNvPicPr>
                  </pic:nvPicPr>
                  <pic:blipFill>
                    <a:blip r:embed="rId106"/>
                    <a:stretch>
                      <a:fillRect/>
                    </a:stretch>
                  </pic:blipFill>
                  <pic:spPr bwMode="auto">
                    <a:xfrm>
                      <a:off x="0" y="0"/>
                      <a:ext cx="4447540" cy="5196840"/>
                    </a:xfrm>
                    <a:prstGeom prst="rect">
                      <a:avLst/>
                    </a:prstGeom>
                  </pic:spPr>
                </pic:pic>
              </a:graphicData>
            </a:graphic>
          </wp:inline>
        </w:drawing>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t>Lo anterior se realizará el trámite durante el día de hoy.</w:t>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t>Sin más por el momento</w:t>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r>
    </w:p>
    <w:p>
      <w:pPr>
        <w:pStyle w:val="NormalWeb"/>
        <w:spacing w:before="280" w:after="280"/>
        <w:ind w:left="708" w:hanging="0"/>
        <w:rPr>
          <w:rFonts w:ascii="Century Gothic" w:hAnsi="Century Gothic" w:cs="Arial"/>
          <w:color w:val="000000"/>
          <w:sz w:val="20"/>
          <w:szCs w:val="20"/>
        </w:rPr>
      </w:pPr>
      <w:r>
        <w:rPr>
          <w:rFonts w:cs="Arial" w:ascii="Century Gothic" w:hAnsi="Century Gothic"/>
          <w:color w:val="000000"/>
          <w:sz w:val="20"/>
          <w:szCs w:val="20"/>
        </w:rPr>
      </w:r>
    </w:p>
    <w:p>
      <w:pPr>
        <w:pStyle w:val="NormalWeb"/>
        <w:spacing w:before="280" w:after="280"/>
        <w:ind w:left="708" w:hanging="0"/>
        <w:rPr>
          <w:rFonts w:ascii="Century Gothic" w:hAnsi="Century Gothic" w:cs="Tahoma"/>
          <w:color w:val="000000"/>
          <w:sz w:val="20"/>
          <w:szCs w:val="20"/>
        </w:rPr>
      </w:pPr>
      <w:r>
        <w:rPr>
          <w:rStyle w:val="Destacado"/>
          <w:rFonts w:cs="Tahoma" w:ascii="Century Gothic" w:hAnsi="Century Gothic"/>
          <w:color w:val="333399"/>
          <w:sz w:val="20"/>
          <w:szCs w:val="20"/>
          <w:shd w:fill="FFFFFF" w:val="clear"/>
        </w:rPr>
        <w:t>Leslie Soro Pacheco</w:t>
      </w:r>
    </w:p>
    <w:p>
      <w:pPr>
        <w:pStyle w:val="NormalWeb"/>
        <w:spacing w:before="280" w:after="280"/>
        <w:ind w:left="708" w:hanging="0"/>
        <w:rPr>
          <w:rFonts w:ascii="Century Gothic" w:hAnsi="Century Gothic" w:cs="Tahoma"/>
          <w:color w:val="000000"/>
          <w:sz w:val="20"/>
          <w:szCs w:val="20"/>
        </w:rPr>
      </w:pPr>
      <w:r>
        <w:rPr>
          <w:rStyle w:val="Destacado"/>
          <w:rFonts w:cs="Tahoma" w:ascii="Century Gothic" w:hAnsi="Century Gothic"/>
          <w:color w:val="333399"/>
          <w:sz w:val="20"/>
          <w:szCs w:val="20"/>
          <w:shd w:fill="FFFFFF" w:val="clear"/>
        </w:rPr>
        <w:t xml:space="preserve">Técnica Judicial 3.- </w:t>
      </w:r>
    </w:p>
    <w:p>
      <w:pPr>
        <w:pStyle w:val="NormalWeb"/>
        <w:spacing w:before="280" w:after="280"/>
        <w:ind w:left="708" w:hanging="0"/>
        <w:rPr>
          <w:rFonts w:ascii="Century Gothic" w:hAnsi="Century Gothic" w:cs="Tahoma"/>
          <w:color w:val="000000"/>
          <w:sz w:val="20"/>
          <w:szCs w:val="20"/>
        </w:rPr>
      </w:pPr>
      <w:r>
        <w:rPr>
          <w:rStyle w:val="Destacado"/>
          <w:rFonts w:cs="Tahoma" w:ascii="Century Gothic" w:hAnsi="Century Gothic"/>
          <w:color w:val="333399"/>
          <w:sz w:val="20"/>
          <w:szCs w:val="20"/>
          <w:shd w:fill="FFFFFF" w:val="clear"/>
        </w:rPr>
        <w:t>Tribunal de Juicio de Limón</w:t>
      </w:r>
    </w:p>
    <w:p>
      <w:pPr>
        <w:pStyle w:val="NormalWeb"/>
        <w:spacing w:before="280" w:after="280"/>
        <w:ind w:left="708" w:hanging="0"/>
        <w:rPr>
          <w:rFonts w:ascii="Century Gothic" w:hAnsi="Century Gothic" w:cs="Tahoma"/>
          <w:color w:val="000000"/>
          <w:sz w:val="20"/>
          <w:szCs w:val="20"/>
        </w:rPr>
      </w:pPr>
      <w:r>
        <w:rPr>
          <w:rFonts w:cs="Tahoma" w:ascii="Century Gothic" w:hAnsi="Century Gothic"/>
          <w:color w:val="000000"/>
          <w:sz w:val="20"/>
          <w:szCs w:val="20"/>
        </w:rPr>
      </w:r>
    </w:p>
    <w:p>
      <w:pPr>
        <w:pStyle w:val="Normal"/>
        <w:jc w:val="center"/>
        <w:rPr>
          <w:rFonts w:ascii="Century Gothic" w:hAnsi="Century Gothic" w:eastAsia="Times New Roman" w:cs="Times New Roman"/>
          <w:sz w:val="20"/>
          <w:szCs w:val="20"/>
        </w:rPr>
      </w:pPr>
      <w:r>
        <w:rPr/>
        <mc:AlternateContent>
          <mc:Choice Requires="wps">
            <w:drawing>
              <wp:inline distT="0" distB="0" distL="0" distR="0">
                <wp:extent cx="5500370" cy="19685"/>
                <wp:effectExtent l="0" t="0" r="0" b="0"/>
                <wp:docPr id="13" name=""/>
                <a:graphic xmlns:a="http://schemas.openxmlformats.org/drawingml/2006/main">
                  <a:graphicData uri="http://schemas.microsoft.com/office/word/2010/wordprocessingShape">
                    <wps:wsp>
                      <wps:cNvSpPr/>
                      <wps:nvSpPr>
                        <wps:cNvPr id="4" name="Rectangle 1"/>
                        <wps:cNvSpPr/>
                      </wps:nvSpPr>
                      <wps:spPr>
                        <a:xfrm>
                          <a:off x="0" y="0"/>
                          <a:ext cx="5499720" cy="1908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55pt;width:433pt;height:1.4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ind w:left="708" w:hanging="0"/>
        <w:outlineLvl w:val="0"/>
        <w:rPr>
          <w:rFonts w:ascii="Century Gothic" w:hAnsi="Century Gothic" w:eastAsia="Times New Roman"/>
          <w:sz w:val="20"/>
          <w:szCs w:val="20"/>
        </w:rPr>
      </w:pPr>
      <w:r>
        <w:rPr>
          <w:rFonts w:eastAsia="Times New Roman" w:ascii="Century Gothic" w:hAnsi="Century Gothic"/>
          <w:b/>
          <w:bCs/>
          <w:color w:val="000000"/>
          <w:sz w:val="20"/>
          <w:szCs w:val="20"/>
        </w:rPr>
        <w:t>De:</w:t>
      </w:r>
      <w:r>
        <w:rPr>
          <w:rFonts w:eastAsia="Times New Roman" w:ascii="Century Gothic" w:hAnsi="Century Gothic"/>
          <w:color w:val="000000"/>
          <w:sz w:val="20"/>
          <w:szCs w:val="20"/>
        </w:rPr>
        <w:t xml:space="preserve"> Yolanda Alvarado Vargas &lt;</w:t>
      </w:r>
      <w:hyperlink r:id="rId107">
        <w:r>
          <w:rPr>
            <w:rStyle w:val="EnlacedeInternet"/>
            <w:rFonts w:ascii="Century Gothic" w:hAnsi="Century Gothic"/>
            <w:sz w:val="20"/>
            <w:szCs w:val="20"/>
          </w:rPr>
          <w:t>yalvaradov@Poder-Judicial.go.cr</w:t>
        </w:r>
      </w:hyperlink>
      <w:r>
        <w:rPr>
          <w:rFonts w:eastAsia="Times New Roman" w:ascii="Century Gothic" w:hAnsi="Century Gothic"/>
          <w:color w:val="000000"/>
          <w:sz w:val="20"/>
          <w:szCs w:val="20"/>
        </w:rPr>
        <w:t>&gt;</w:t>
        <w:br/>
      </w:r>
      <w:r>
        <w:rPr>
          <w:rFonts w:eastAsia="Times New Roman" w:ascii="Century Gothic" w:hAnsi="Century Gothic"/>
          <w:b/>
          <w:bCs/>
          <w:color w:val="000000"/>
          <w:sz w:val="20"/>
          <w:szCs w:val="20"/>
        </w:rPr>
        <w:t>Enviado:</w:t>
      </w:r>
      <w:r>
        <w:rPr>
          <w:rFonts w:eastAsia="Times New Roman" w:ascii="Century Gothic" w:hAnsi="Century Gothic"/>
          <w:color w:val="000000"/>
          <w:sz w:val="20"/>
          <w:szCs w:val="20"/>
        </w:rPr>
        <w:t xml:space="preserve"> viernes, 26 de julio de 2019 09:41:12</w:t>
        <w:br/>
      </w:r>
      <w:r>
        <w:rPr>
          <w:rFonts w:eastAsia="Times New Roman" w:ascii="Century Gothic" w:hAnsi="Century Gothic"/>
          <w:b/>
          <w:bCs/>
          <w:color w:val="000000"/>
          <w:sz w:val="20"/>
          <w:szCs w:val="20"/>
        </w:rPr>
        <w:t>Para:</w:t>
      </w:r>
      <w:r>
        <w:rPr>
          <w:rFonts w:eastAsia="Times New Roman" w:ascii="Century Gothic" w:hAnsi="Century Gothic"/>
          <w:color w:val="000000"/>
          <w:sz w:val="20"/>
          <w:szCs w:val="20"/>
        </w:rPr>
        <w:t xml:space="preserve"> Leslie Soro Pacheco &lt;</w:t>
      </w:r>
      <w:hyperlink r:id="rId108">
        <w:r>
          <w:rPr>
            <w:rStyle w:val="EnlacedeInternet"/>
            <w:rFonts w:ascii="Century Gothic" w:hAnsi="Century Gothic"/>
            <w:sz w:val="20"/>
            <w:szCs w:val="20"/>
          </w:rPr>
          <w:t>lsoro@Poder-Judicial.go.cr</w:t>
        </w:r>
      </w:hyperlink>
      <w:r>
        <w:rPr>
          <w:rFonts w:eastAsia="Times New Roman" w:ascii="Century Gothic" w:hAnsi="Century Gothic"/>
          <w:color w:val="000000"/>
          <w:sz w:val="20"/>
          <w:szCs w:val="20"/>
        </w:rPr>
        <w:t>&gt;</w:t>
        <w:br/>
      </w:r>
      <w:r>
        <w:rPr>
          <w:rFonts w:eastAsia="Times New Roman" w:ascii="Century Gothic" w:hAnsi="Century Gothic"/>
          <w:b/>
          <w:bCs/>
          <w:color w:val="000000"/>
          <w:sz w:val="20"/>
          <w:szCs w:val="20"/>
        </w:rPr>
        <w:t>Cc:</w:t>
      </w:r>
      <w:r>
        <w:rPr>
          <w:rFonts w:eastAsia="Times New Roman" w:ascii="Century Gothic" w:hAnsi="Century Gothic"/>
          <w:color w:val="000000"/>
          <w:sz w:val="20"/>
          <w:szCs w:val="20"/>
        </w:rPr>
        <w:t xml:space="preserve"> Damaris Vargas Vásquez &lt;</w:t>
      </w:r>
      <w:hyperlink r:id="rId109">
        <w:r>
          <w:rPr>
            <w:rStyle w:val="EnlacedeInternet"/>
            <w:rFonts w:ascii="Century Gothic" w:hAnsi="Century Gothic"/>
            <w:sz w:val="20"/>
            <w:szCs w:val="20"/>
          </w:rPr>
          <w:t>dvargas@Poder-Judicial.go.cr</w:t>
        </w:r>
      </w:hyperlink>
      <w:r>
        <w:rPr>
          <w:rFonts w:eastAsia="Times New Roman" w:ascii="Century Gothic" w:hAnsi="Century Gothic"/>
          <w:color w:val="000000"/>
          <w:sz w:val="20"/>
          <w:szCs w:val="20"/>
        </w:rPr>
        <w:t>&gt;; Subcomisión de Pueblos Indígenas &lt;</w:t>
      </w:r>
      <w:hyperlink r:id="rId110">
        <w:r>
          <w:rPr>
            <w:rStyle w:val="EnlacedeInternet"/>
            <w:rFonts w:ascii="Century Gothic" w:hAnsi="Century Gothic"/>
            <w:sz w:val="20"/>
            <w:szCs w:val="20"/>
          </w:rPr>
          <w:t>spindigenas@Poder-Judicial.go.cr</w:t>
        </w:r>
      </w:hyperlink>
      <w:r>
        <w:rPr>
          <w:rFonts w:eastAsia="Times New Roman" w:ascii="Century Gothic" w:hAnsi="Century Gothic"/>
          <w:color w:val="000000"/>
          <w:sz w:val="20"/>
          <w:szCs w:val="20"/>
        </w:rPr>
        <w:t>&gt;; Contraloría de Servicios de Limón &lt;</w:t>
      </w:r>
      <w:hyperlink r:id="rId111">
        <w:r>
          <w:rPr>
            <w:rStyle w:val="EnlacedeInternet"/>
            <w:rFonts w:ascii="Century Gothic" w:hAnsi="Century Gothic"/>
            <w:sz w:val="20"/>
            <w:szCs w:val="20"/>
          </w:rPr>
          <w:t>contraloria-lim@Poder-Judicial.go.cr</w:t>
        </w:r>
      </w:hyperlink>
      <w:r>
        <w:rPr>
          <w:rFonts w:eastAsia="Times New Roman" w:ascii="Century Gothic" w:hAnsi="Century Gothic"/>
          <w:color w:val="000000"/>
          <w:sz w:val="20"/>
          <w:szCs w:val="20"/>
        </w:rPr>
        <w:t>&gt;; Administracion Regional de Limon &lt;</w:t>
      </w:r>
      <w:hyperlink r:id="rId112">
        <w:r>
          <w:rPr>
            <w:rStyle w:val="EnlacedeInternet"/>
            <w:rFonts w:ascii="Century Gothic" w:hAnsi="Century Gothic"/>
            <w:sz w:val="20"/>
            <w:szCs w:val="20"/>
          </w:rPr>
          <w:t>reg_limon@Poder-Judicial.go.cr</w:t>
        </w:r>
      </w:hyperlink>
      <w:r>
        <w:rPr>
          <w:rFonts w:eastAsia="Times New Roman" w:ascii="Century Gothic" w:hAnsi="Century Gothic"/>
          <w:color w:val="000000"/>
          <w:sz w:val="20"/>
          <w:szCs w:val="20"/>
        </w:rPr>
        <w:t>&gt;</w:t>
        <w:br/>
      </w:r>
      <w:r>
        <w:rPr>
          <w:rFonts w:eastAsia="Times New Roman" w:ascii="Century Gothic" w:hAnsi="Century Gothic"/>
          <w:b/>
          <w:bCs/>
          <w:color w:val="000000"/>
          <w:sz w:val="20"/>
          <w:szCs w:val="20"/>
        </w:rPr>
        <w:t>Asunto:</w:t>
      </w:r>
      <w:r>
        <w:rPr>
          <w:rFonts w:eastAsia="Times New Roman" w:ascii="Century Gothic" w:hAnsi="Century Gothic"/>
          <w:color w:val="000000"/>
          <w:sz w:val="20"/>
          <w:szCs w:val="20"/>
        </w:rPr>
        <w:t xml:space="preserve"> RV: Seguimiento a gestión planteada por el señor Edgar Atencio Rodríguez </w:t>
      </w:r>
    </w:p>
    <w:p>
      <w:pPr>
        <w:pStyle w:val="Normal"/>
        <w:ind w:left="708" w:hanging="0"/>
        <w:rPr>
          <w:rFonts w:ascii="Century Gothic" w:hAnsi="Century Gothic" w:eastAsia="Times New Roman"/>
          <w:sz w:val="20"/>
          <w:szCs w:val="20"/>
        </w:rPr>
      </w:pPr>
      <w:r>
        <w:rPr>
          <w:rFonts w:eastAsia="Times New Roman" w:ascii="Century Gothic" w:hAnsi="Century Gothic"/>
          <w:sz w:val="20"/>
          <w:szCs w:val="20"/>
        </w:rPr>
        <w:t> </w:t>
      </w:r>
    </w:p>
    <w:p>
      <w:pPr>
        <w:pStyle w:val="Normal"/>
        <w:ind w:left="708" w:hanging="0"/>
        <w:jc w:val="both"/>
        <w:rPr>
          <w:rFonts w:ascii="Century Gothic" w:hAnsi="Century Gothic" w:eastAsia="Times New Roman"/>
          <w:color w:val="000000"/>
          <w:sz w:val="20"/>
          <w:szCs w:val="20"/>
        </w:rPr>
      </w:pPr>
      <w:r>
        <w:rPr>
          <w:rFonts w:eastAsia="Times New Roman" w:ascii="Century Gothic" w:hAnsi="Century Gothic"/>
          <w:color w:val="000000"/>
          <w:sz w:val="20"/>
          <w:szCs w:val="20"/>
        </w:rPr>
        <w:t>Buenos días Leslie, de conocimiento que en éste momento se encuentra de vacaciones, le solicito de forma amable en cuanto se entere de éste correo, proceda a informarme de forma concreta los trámites que se han dado respecto a la intervención como intérprete en idioma Ngäbe del señor  Edgar Atencio Rodríguez, con cédula 603190447 y sus respectivos pagos.-  Lo anterior, a fin de dar respuesta a la solicitud que nos realiza  la señora Jueza Damaris Vargas Vásquez, Coordinadora, Subcomisión Acceso a la Justicia de Pueblos Indígenas.-</w:t>
      </w:r>
    </w:p>
    <w:p>
      <w:pPr>
        <w:pStyle w:val="Normal"/>
        <w:ind w:left="708" w:hanging="0"/>
        <w:rPr>
          <w:rFonts w:ascii="Century Gothic" w:hAnsi="Century Gothic" w:eastAsia="Times New Roman"/>
          <w:color w:val="000000"/>
          <w:sz w:val="20"/>
          <w:szCs w:val="20"/>
        </w:rPr>
      </w:pPr>
      <w:r>
        <w:rPr>
          <w:rFonts w:eastAsia="Times New Roman" w:ascii="Century Gothic" w:hAnsi="Century Gothic"/>
          <w:color w:val="000000"/>
          <w:sz w:val="20"/>
          <w:szCs w:val="20"/>
        </w:rPr>
      </w:r>
    </w:p>
    <w:p>
      <w:pPr>
        <w:pStyle w:val="Normal"/>
        <w:ind w:left="708" w:hanging="0"/>
        <w:rPr>
          <w:rFonts w:ascii="Century Gothic" w:hAnsi="Century Gothic" w:eastAsia="Times New Roman"/>
          <w:color w:val="000000"/>
          <w:sz w:val="20"/>
          <w:szCs w:val="20"/>
        </w:rPr>
      </w:pPr>
      <w:r>
        <w:rPr>
          <w:rFonts w:eastAsia="Times New Roman" w:ascii="Century Gothic" w:hAnsi="Century Gothic"/>
          <w:color w:val="000000"/>
          <w:sz w:val="20"/>
          <w:szCs w:val="20"/>
        </w:rPr>
        <w:t>Se adjunta seguidilla de correos institucionales.-</w:t>
      </w:r>
    </w:p>
    <w:p>
      <w:pPr>
        <w:pStyle w:val="Normal"/>
        <w:rPr>
          <w:rFonts w:ascii="Century Gothic" w:hAnsi="Century Gothic"/>
          <w:sz w:val="20"/>
          <w:szCs w:val="20"/>
        </w:rPr>
      </w:pPr>
      <w:r>
        <w:rPr>
          <w:rFonts w:ascii="Century Gothic" w:hAnsi="Century Gothic"/>
          <w:sz w:val="20"/>
          <w:szCs w:val="20"/>
        </w:rPr>
      </w:r>
    </w:p>
    <w:p>
      <w:pPr>
        <w:pStyle w:val="Normal"/>
        <w:jc w:val="both"/>
        <w:rPr>
          <w:rFonts w:ascii="Century Gothic" w:hAnsi="Century Gothic"/>
          <w:sz w:val="20"/>
          <w:szCs w:val="20"/>
        </w:rPr>
      </w:pPr>
      <w:r>
        <w:rPr>
          <w:rFonts w:ascii="Century Gothic" w:hAnsi="Century Gothic"/>
          <w:sz w:val="20"/>
          <w:szCs w:val="20"/>
        </w:rPr>
      </w:r>
    </w:p>
    <w:p>
      <w:pPr>
        <w:pStyle w:val="Normal"/>
        <w:jc w:val="both"/>
        <w:rPr>
          <w:rFonts w:ascii="Century Gothic" w:hAnsi="Century Gothic"/>
          <w:sz w:val="20"/>
          <w:szCs w:val="20"/>
        </w:rPr>
      </w:pPr>
      <w:r>
        <w:rPr>
          <w:rFonts w:ascii="Century Gothic" w:hAnsi="Century Gothic"/>
          <w:sz w:val="20"/>
          <w:szCs w:val="20"/>
        </w:rPr>
      </w:r>
    </w:p>
    <w:p>
      <w:pPr>
        <w:pStyle w:val="Normal"/>
        <w:jc w:val="both"/>
        <w:rPr>
          <w:rFonts w:ascii="Century Gothic" w:hAnsi="Century Gothic" w:eastAsia="Times New Roman"/>
          <w:sz w:val="20"/>
          <w:szCs w:val="20"/>
        </w:rPr>
      </w:pPr>
      <w:r>
        <w:rPr>
          <w:rFonts w:ascii="Century Gothic" w:hAnsi="Century Gothic"/>
          <w:b/>
          <w:sz w:val="20"/>
          <w:szCs w:val="20"/>
          <w:highlight w:val="yellow"/>
          <w:u w:val="single"/>
        </w:rPr>
        <w:t>SE ACUERDA:</w:t>
      </w:r>
      <w:r>
        <w:rPr>
          <w:rFonts w:ascii="Century Gothic" w:hAnsi="Century Gothic"/>
          <w:b/>
          <w:sz w:val="20"/>
          <w:szCs w:val="20"/>
          <w:highlight w:val="yellow"/>
        </w:rPr>
        <w:t xml:space="preserve"> 1° </w:t>
      </w:r>
      <w:r>
        <w:rPr>
          <w:rFonts w:ascii="Century Gothic" w:hAnsi="Century Gothic"/>
          <w:sz w:val="20"/>
          <w:szCs w:val="20"/>
        </w:rPr>
        <w:t>Se toma nota y se dispone consultar al Tribunal de Juicio de Talamanca Bribri si ya al señor Candelario Gómez Galindo se le canceló la suma correspondiente a sus servicios; y una propuesta de acciones para que ese proceso de pago de servicios de traducción se realice de forma más eficaz y eficiente, en coordinación con la Administración Regional y la Contraloría de Servicios del Primer Circuito Judicial de la Zona Atlántica. Trasladar a la Dirección Ejecutiva la solicitud planteada por la Jueza Yolanda Alvarado Vargas del Tribunal de Bribri Talamanca en el que señala han tenido que traer intérpretes</w:t>
      </w:r>
      <w:r>
        <w:rPr>
          <w:rFonts w:eastAsia="Times New Roman" w:ascii="Century Gothic" w:hAnsi="Century Gothic"/>
          <w:sz w:val="20"/>
          <w:szCs w:val="20"/>
        </w:rPr>
        <w:t xml:space="preserve"> en idioma Ngäbe desde la Zona de Los Santos, cuando a escasos kilómetros pueden localizar personas que podrían dar tal servicio; y donde agrega, </w:t>
      </w:r>
      <w:r>
        <w:rPr>
          <w:rFonts w:eastAsia="Times New Roman" w:ascii="Century Gothic" w:hAnsi="Century Gothic"/>
          <w:i/>
          <w:sz w:val="20"/>
          <w:szCs w:val="20"/>
        </w:rPr>
        <w:t xml:space="preserve">“la exigencia de que los intérpretes en Bribrí, Cabécar y Ngäbe sean con base a la lista de intérpretes oficial es en ocasiones imposible, desproporcionado y requiere de una inversión de recursos sumamente onerosa para nuestra institución, algo que a todas luces está desajustado a las medidas de accesibilidad de la población indígena que establecen la Normativa que rige”. </w:t>
      </w:r>
      <w:r>
        <w:rPr>
          <w:rFonts w:eastAsia="Times New Roman" w:ascii="Century Gothic" w:hAnsi="Century Gothic"/>
          <w:sz w:val="20"/>
          <w:szCs w:val="20"/>
        </w:rPr>
        <w:t>Lo anterior, con el objetivo de que se valore facilitar el proceso de designación de personas intérpretes y traductoras, la ampliación de la lista para que no tengan que designarse en lugares distantes a sus comunidades, que las mujeres indígenas cuentes con mujeres traductoras e intérpretes en cumplimiento de la Ley de Acceso a la Justicia de Pueblos Indígenas, entre otros aspectos que coadyuven a facilitar el acceso a la justicia con esa población, la cual es importante sea consultada para conocer sus impresiones desde su cosmovisión y costumbres. Se declara firme este acuerdo por unanimidad para su ejecución. Comuníquese al señor Gómez Galindo, la Dirección Ejecutiva y la señora Yolanda Alvarado del Tribunal Bribri de Talamanca.-</w:t>
      </w:r>
    </w:p>
    <w:p>
      <w:pPr>
        <w:pStyle w:val="Normal"/>
        <w:jc w:val="both"/>
        <w:rPr>
          <w:rFonts w:ascii="Century Gothic" w:hAnsi="Century Gothic"/>
          <w:b/>
          <w:b/>
          <w:sz w:val="20"/>
          <w:szCs w:val="20"/>
        </w:rPr>
      </w:pPr>
      <w:r>
        <w:rPr>
          <w:rFonts w:eastAsia="Times New Roman" w:ascii="Century Gothic" w:hAnsi="Century Gothic"/>
          <w:b/>
          <w:sz w:val="20"/>
          <w:szCs w:val="20"/>
          <w:highlight w:val="yellow"/>
        </w:rPr>
        <w:t>Ejecutado.</w:t>
      </w:r>
    </w:p>
    <w:p>
      <w:pPr>
        <w:pStyle w:val="Normal"/>
        <w:rPr>
          <w:rFonts w:ascii="Century Gothic" w:hAnsi="Century Gothic"/>
          <w:b/>
          <w:b/>
          <w:sz w:val="20"/>
          <w:szCs w:val="20"/>
          <w:u w:val="single"/>
        </w:rPr>
      </w:pPr>
      <w:r>
        <w:rPr>
          <w:rFonts w:ascii="Century Gothic" w:hAnsi="Century Gothic"/>
          <w:b/>
          <w:sz w:val="20"/>
          <w:szCs w:val="20"/>
          <w:u w:val="single"/>
        </w:rPr>
      </w:r>
    </w:p>
    <w:p>
      <w:pPr>
        <w:pStyle w:val="Normal"/>
        <w:jc w:val="center"/>
        <w:rPr>
          <w:rFonts w:ascii="Century Gothic" w:hAnsi="Century Gothic"/>
          <w:sz w:val="20"/>
          <w:szCs w:val="20"/>
        </w:rPr>
      </w:pPr>
      <w:r>
        <w:rPr>
          <w:rFonts w:ascii="Century Gothic" w:hAnsi="Century Gothic"/>
          <w:b/>
          <w:sz w:val="20"/>
          <w:szCs w:val="20"/>
          <w:highlight w:val="yellow"/>
          <w:u w:val="single"/>
        </w:rPr>
        <w:t>ARTICULO XXIII</w:t>
      </w:r>
    </w:p>
    <w:p>
      <w:pPr>
        <w:pStyle w:val="Normal"/>
        <w:jc w:val="both"/>
        <w:rPr>
          <w:rFonts w:ascii="Century Gothic" w:hAnsi="Century Gothic"/>
          <w:sz w:val="20"/>
          <w:szCs w:val="20"/>
        </w:rPr>
      </w:pPr>
      <w:r>
        <w:rPr>
          <w:rFonts w:ascii="Century Gothic" w:hAnsi="Century Gothic"/>
          <w:sz w:val="20"/>
          <w:szCs w:val="20"/>
        </w:rPr>
        <w:t>Se conoce gestión presentada por la señora Patricia Bonilla Rodríguez, jefa del Centro de Información Jurisprudencial, en la que señala:</w:t>
      </w:r>
    </w:p>
    <w:p>
      <w:pPr>
        <w:pStyle w:val="Normal"/>
        <w:numPr>
          <w:ilvl w:val="0"/>
          <w:numId w:val="0"/>
        </w:numPr>
        <w:outlineLvl w:val="0"/>
        <w:rPr>
          <w:rFonts w:ascii="Century Gothic" w:hAnsi="Century Gothic"/>
          <w:sz w:val="20"/>
          <w:szCs w:val="20"/>
          <w:lang w:val="es-ES" w:eastAsia="es-CR"/>
        </w:rPr>
      </w:pPr>
      <w:r>
        <w:rPr>
          <w:rFonts w:ascii="Century Gothic" w:hAnsi="Century Gothic"/>
          <w:b/>
          <w:bCs/>
          <w:sz w:val="20"/>
          <w:szCs w:val="20"/>
          <w:lang w:val="es-ES" w:eastAsia="es-CR"/>
        </w:rPr>
        <w:t>De:</w:t>
      </w:r>
      <w:r>
        <w:rPr>
          <w:rFonts w:ascii="Century Gothic" w:hAnsi="Century Gothic"/>
          <w:sz w:val="20"/>
          <w:szCs w:val="20"/>
          <w:lang w:val="es-ES" w:eastAsia="es-CR"/>
        </w:rPr>
        <w:t xml:space="preserve"> Patricia Bonilla Rodríguez </w:t>
        <w:br/>
      </w:r>
      <w:r>
        <w:rPr>
          <w:rFonts w:ascii="Century Gothic" w:hAnsi="Century Gothic"/>
          <w:b/>
          <w:bCs/>
          <w:sz w:val="20"/>
          <w:szCs w:val="20"/>
          <w:lang w:val="es-ES" w:eastAsia="es-CR"/>
        </w:rPr>
        <w:t>Enviado el:</w:t>
      </w:r>
      <w:r>
        <w:rPr>
          <w:rFonts w:ascii="Century Gothic" w:hAnsi="Century Gothic"/>
          <w:sz w:val="20"/>
          <w:szCs w:val="20"/>
          <w:lang w:val="es-ES" w:eastAsia="es-CR"/>
        </w:rPr>
        <w:t xml:space="preserve"> lunes, 29 de julio de 2019 10:15 a.m.</w:t>
        <w:br/>
      </w:r>
      <w:r>
        <w:rPr>
          <w:rFonts w:ascii="Century Gothic" w:hAnsi="Century Gothic"/>
          <w:b/>
          <w:bCs/>
          <w:sz w:val="20"/>
          <w:szCs w:val="20"/>
          <w:lang w:val="es-ES" w:eastAsia="es-CR"/>
        </w:rPr>
        <w:t>Para:</w:t>
      </w:r>
      <w:r>
        <w:rPr>
          <w:rFonts w:ascii="Century Gothic" w:hAnsi="Century Gothic"/>
          <w:sz w:val="20"/>
          <w:szCs w:val="20"/>
          <w:lang w:val="es-ES" w:eastAsia="es-CR"/>
        </w:rPr>
        <w:t xml:space="preserve"> Damaris Vargas Vásquez &lt;</w:t>
      </w:r>
      <w:hyperlink r:id="rId113">
        <w:r>
          <w:rPr>
            <w:rStyle w:val="EnlacedeInternet"/>
            <w:rFonts w:ascii="Century Gothic" w:hAnsi="Century Gothic"/>
            <w:sz w:val="20"/>
            <w:szCs w:val="20"/>
            <w:lang w:eastAsia="es-CR"/>
          </w:rPr>
          <w:t>dvargas@Poder-Judicial.go.cr</w:t>
        </w:r>
      </w:hyperlink>
      <w:r>
        <w:rPr>
          <w:rFonts w:ascii="Century Gothic" w:hAnsi="Century Gothic"/>
          <w:sz w:val="20"/>
          <w:szCs w:val="20"/>
          <w:lang w:val="es-ES" w:eastAsia="es-CR"/>
        </w:rPr>
        <w:t>&gt;</w:t>
        <w:br/>
      </w:r>
      <w:r>
        <w:rPr>
          <w:rFonts w:ascii="Century Gothic" w:hAnsi="Century Gothic"/>
          <w:b/>
          <w:bCs/>
          <w:sz w:val="20"/>
          <w:szCs w:val="20"/>
          <w:lang w:val="es-ES" w:eastAsia="es-CR"/>
        </w:rPr>
        <w:t>CC:</w:t>
      </w:r>
      <w:r>
        <w:rPr>
          <w:rFonts w:ascii="Century Gothic" w:hAnsi="Century Gothic"/>
          <w:sz w:val="20"/>
          <w:szCs w:val="20"/>
          <w:lang w:val="es-ES" w:eastAsia="es-CR"/>
        </w:rPr>
        <w:t xml:space="preserve"> Karla Leiva Canales &lt;</w:t>
      </w:r>
      <w:hyperlink r:id="rId114">
        <w:r>
          <w:rPr>
            <w:rStyle w:val="EnlacedeInternet"/>
            <w:rFonts w:ascii="Century Gothic" w:hAnsi="Century Gothic"/>
            <w:sz w:val="20"/>
            <w:szCs w:val="20"/>
            <w:lang w:eastAsia="es-CR"/>
          </w:rPr>
          <w:t>kleivac@Poder-Judicial.go.cr</w:t>
        </w:r>
      </w:hyperlink>
      <w:r>
        <w:rPr>
          <w:rFonts w:ascii="Century Gothic" w:hAnsi="Century Gothic"/>
          <w:sz w:val="20"/>
          <w:szCs w:val="20"/>
          <w:lang w:val="es-ES" w:eastAsia="es-CR"/>
        </w:rPr>
        <w:t>&gt;; Centro de Informacion Jurisprudencial (Cuenta Oficial Autorizada) &lt;</w:t>
      </w:r>
      <w:hyperlink r:id="rId115">
        <w:r>
          <w:rPr>
            <w:rStyle w:val="EnlacedeInternet"/>
            <w:rFonts w:ascii="Century Gothic" w:hAnsi="Century Gothic"/>
            <w:sz w:val="20"/>
            <w:szCs w:val="20"/>
            <w:lang w:eastAsia="es-CR"/>
          </w:rPr>
          <w:t>centroinformacion@Poder-Judicial.go.cr</w:t>
        </w:r>
      </w:hyperlink>
      <w:r>
        <w:rPr>
          <w:rFonts w:ascii="Century Gothic" w:hAnsi="Century Gothic"/>
          <w:sz w:val="20"/>
          <w:szCs w:val="20"/>
          <w:lang w:val="es-ES" w:eastAsia="es-CR"/>
        </w:rPr>
        <w:t>&gt;</w:t>
        <w:br/>
      </w:r>
      <w:r>
        <w:rPr>
          <w:rFonts w:ascii="Century Gothic" w:hAnsi="Century Gothic"/>
          <w:b/>
          <w:bCs/>
          <w:sz w:val="20"/>
          <w:szCs w:val="20"/>
          <w:lang w:val="es-ES" w:eastAsia="es-CR"/>
        </w:rPr>
        <w:t>Asunto:</w:t>
      </w:r>
      <w:r>
        <w:rPr>
          <w:rFonts w:ascii="Century Gothic" w:hAnsi="Century Gothic"/>
          <w:sz w:val="20"/>
          <w:szCs w:val="20"/>
          <w:lang w:val="es-ES" w:eastAsia="es-CR"/>
        </w:rPr>
        <w:t xml:space="preserve"> Peritajes antropológicos</w:t>
        <w:br/>
      </w:r>
      <w:r>
        <w:rPr>
          <w:rFonts w:ascii="Century Gothic" w:hAnsi="Century Gothic"/>
          <w:b/>
          <w:bCs/>
          <w:sz w:val="20"/>
          <w:szCs w:val="20"/>
          <w:lang w:val="es-ES" w:eastAsia="es-CR"/>
        </w:rPr>
        <w:t>Importancia:</w:t>
      </w:r>
      <w:r>
        <w:rPr>
          <w:rFonts w:ascii="Century Gothic" w:hAnsi="Century Gothic"/>
          <w:sz w:val="20"/>
          <w:szCs w:val="20"/>
          <w:lang w:val="es-ES" w:eastAsia="es-CR"/>
        </w:rPr>
        <w:t xml:space="preserve"> Alta</w:t>
      </w:r>
    </w:p>
    <w:p>
      <w:pPr>
        <w:pStyle w:val="Normal"/>
        <w:jc w:val="both"/>
        <w:rPr>
          <w:rFonts w:ascii="Century Gothic" w:hAnsi="Century Gothic"/>
          <w:sz w:val="20"/>
          <w:szCs w:val="20"/>
        </w:rPr>
      </w:pPr>
      <w:r>
        <w:rPr>
          <w:rFonts w:ascii="Century Gothic" w:hAnsi="Century Gothic"/>
          <w:sz w:val="20"/>
          <w:szCs w:val="20"/>
        </w:rPr>
        <w:t>Estimada doña Damaris, buenos días.  Con el fin de establecer el protocolo cuyo objetivo será “</w:t>
      </w:r>
      <w:r>
        <w:rPr>
          <w:rFonts w:ascii="Century Gothic" w:hAnsi="Century Gothic"/>
          <w:i/>
          <w:iCs/>
          <w:sz w:val="20"/>
          <w:szCs w:val="20"/>
        </w:rPr>
        <w:t>Establecer el procedimiento  a seguir para la implementación de  un sistema que permita controlar, almacenar y  recuperar de forma adecuada, la información producida o recibida en los diferentes despachos judiciales con ocasión de la emisión de traducción y de peritajes antropológicos llevados a cabo en los procesos judiciales que involucren a personas indígenas</w:t>
      </w:r>
      <w:r>
        <w:rPr>
          <w:rFonts w:ascii="Century Gothic" w:hAnsi="Century Gothic"/>
          <w:sz w:val="20"/>
          <w:szCs w:val="20"/>
        </w:rPr>
        <w:t>”, requerimos saber la forma en que actualmente dichos peritajes se almacenan en los expedientes judiciales, y si estos se registran en los sistemas de gestión.</w:t>
      </w:r>
    </w:p>
    <w:p>
      <w:pPr>
        <w:pStyle w:val="Normal"/>
        <w:rPr>
          <w:rFonts w:ascii="Century Gothic" w:hAnsi="Century Gothic"/>
          <w:sz w:val="20"/>
          <w:szCs w:val="20"/>
        </w:rPr>
      </w:pPr>
      <w:r>
        <w:rPr>
          <w:rFonts w:ascii="Century Gothic" w:hAnsi="Century Gothic"/>
          <w:sz w:val="20"/>
          <w:szCs w:val="20"/>
        </w:rPr>
      </w:r>
    </w:p>
    <w:p>
      <w:pPr>
        <w:pStyle w:val="Normal"/>
        <w:rPr>
          <w:rFonts w:ascii="Century Gothic" w:hAnsi="Century Gothic"/>
          <w:sz w:val="20"/>
          <w:szCs w:val="20"/>
        </w:rPr>
      </w:pPr>
      <w:r>
        <w:rPr>
          <w:rFonts w:ascii="Century Gothic" w:hAnsi="Century Gothic"/>
          <w:sz w:val="20"/>
          <w:szCs w:val="20"/>
        </w:rPr>
        <w:t>Además, la respuesta remitida ante tal gestión:</w:t>
      </w:r>
    </w:p>
    <w:p>
      <w:pPr>
        <w:pStyle w:val="Normal"/>
        <w:rPr>
          <w:rFonts w:ascii="Century Gothic" w:hAnsi="Century Gothic" w:eastAsia="Times New Roman"/>
          <w:sz w:val="20"/>
          <w:szCs w:val="20"/>
          <w:lang w:val="es-ES" w:eastAsia="es-CR"/>
        </w:rPr>
      </w:pPr>
      <w:r>
        <w:rPr>
          <w:rFonts w:eastAsia="Times New Roman" w:ascii="Century Gothic" w:hAnsi="Century Gothic"/>
          <w:b/>
          <w:bCs/>
          <w:sz w:val="20"/>
          <w:szCs w:val="20"/>
          <w:lang w:val="es-ES" w:eastAsia="es-CR"/>
        </w:rPr>
        <w:t>De:</w:t>
      </w:r>
      <w:r>
        <w:rPr>
          <w:rFonts w:eastAsia="Times New Roman" w:ascii="Century Gothic" w:hAnsi="Century Gothic"/>
          <w:sz w:val="20"/>
          <w:szCs w:val="20"/>
          <w:lang w:val="es-ES" w:eastAsia="es-CR"/>
        </w:rPr>
        <w:t xml:space="preserve"> Damaris Vargas Vásquez </w:t>
        <w:br/>
      </w:r>
      <w:r>
        <w:rPr>
          <w:rFonts w:eastAsia="Times New Roman" w:ascii="Century Gothic" w:hAnsi="Century Gothic"/>
          <w:b/>
          <w:bCs/>
          <w:sz w:val="20"/>
          <w:szCs w:val="20"/>
          <w:lang w:val="es-ES" w:eastAsia="es-CR"/>
        </w:rPr>
        <w:t>Enviado el:</w:t>
      </w:r>
      <w:r>
        <w:rPr>
          <w:rFonts w:eastAsia="Times New Roman" w:ascii="Century Gothic" w:hAnsi="Century Gothic"/>
          <w:sz w:val="20"/>
          <w:szCs w:val="20"/>
          <w:lang w:val="es-ES" w:eastAsia="es-CR"/>
        </w:rPr>
        <w:t xml:space="preserve"> martes, 30 de julio de 2019 05:11 p.m.</w:t>
        <w:br/>
      </w:r>
      <w:r>
        <w:rPr>
          <w:rFonts w:eastAsia="Times New Roman" w:ascii="Century Gothic" w:hAnsi="Century Gothic"/>
          <w:b/>
          <w:bCs/>
          <w:sz w:val="20"/>
          <w:szCs w:val="20"/>
          <w:lang w:val="es-ES" w:eastAsia="es-CR"/>
        </w:rPr>
        <w:t>Para:</w:t>
      </w:r>
      <w:r>
        <w:rPr>
          <w:rFonts w:eastAsia="Times New Roman" w:ascii="Century Gothic" w:hAnsi="Century Gothic"/>
          <w:sz w:val="20"/>
          <w:szCs w:val="20"/>
          <w:lang w:val="es-ES" w:eastAsia="es-CR"/>
        </w:rPr>
        <w:t xml:space="preserve"> Patricia Bonilla Rodríguez &lt;pbonilla@Poder-Judicial.go.cr&gt;</w:t>
        <w:br/>
      </w:r>
      <w:r>
        <w:rPr>
          <w:rFonts w:eastAsia="Times New Roman" w:ascii="Century Gothic" w:hAnsi="Century Gothic"/>
          <w:b/>
          <w:bCs/>
          <w:sz w:val="20"/>
          <w:szCs w:val="20"/>
          <w:lang w:val="es-ES" w:eastAsia="es-CR"/>
        </w:rPr>
        <w:t>CC:</w:t>
      </w:r>
      <w:r>
        <w:rPr>
          <w:rFonts w:eastAsia="Times New Roman" w:ascii="Century Gothic" w:hAnsi="Century Gothic"/>
          <w:sz w:val="20"/>
          <w:szCs w:val="20"/>
          <w:lang w:val="es-ES" w:eastAsia="es-CR"/>
        </w:rPr>
        <w:t xml:space="preserve"> Karla Leiva Canales &lt;kleivac@Poder-Judicial.go.cr&gt;; Centro de Informacion Jurisprudencial (Cuenta Oficial Autorizada) &lt;centroinformacion@Poder-Judicial.go.cr&gt;; Marcos Guevara Berger &lt;MARCOS.GUEVARA@ucr.ac.cr&gt;</w:t>
        <w:br/>
      </w:r>
      <w:r>
        <w:rPr>
          <w:rFonts w:eastAsia="Times New Roman" w:ascii="Century Gothic" w:hAnsi="Century Gothic"/>
          <w:b/>
          <w:bCs/>
          <w:sz w:val="20"/>
          <w:szCs w:val="20"/>
          <w:lang w:val="es-ES" w:eastAsia="es-CR"/>
        </w:rPr>
        <w:t>Asunto:</w:t>
      </w:r>
      <w:r>
        <w:rPr>
          <w:rFonts w:eastAsia="Times New Roman" w:ascii="Century Gothic" w:hAnsi="Century Gothic"/>
          <w:sz w:val="20"/>
          <w:szCs w:val="20"/>
          <w:lang w:val="es-ES" w:eastAsia="es-CR"/>
        </w:rPr>
        <w:t xml:space="preserve"> RE: Peritajes antropológicos</w:t>
      </w:r>
    </w:p>
    <w:p>
      <w:pPr>
        <w:pStyle w:val="Normal"/>
        <w:jc w:val="both"/>
        <w:rPr>
          <w:rFonts w:ascii="Century Gothic" w:hAnsi="Century Gothic"/>
          <w:spacing w:val="-2"/>
          <w:sz w:val="20"/>
          <w:szCs w:val="20"/>
        </w:rPr>
      </w:pPr>
      <w:r>
        <w:rPr>
          <w:rFonts w:ascii="Century Gothic" w:hAnsi="Century Gothic"/>
          <w:spacing w:val="-2"/>
          <w:sz w:val="20"/>
          <w:szCs w:val="20"/>
        </w:rPr>
        <w:t>Estimada doña Patricia:</w:t>
      </w:r>
    </w:p>
    <w:p>
      <w:pPr>
        <w:pStyle w:val="Normal"/>
        <w:jc w:val="both"/>
        <w:rPr>
          <w:rFonts w:ascii="Century Gothic" w:hAnsi="Century Gothic"/>
          <w:spacing w:val="-2"/>
          <w:sz w:val="20"/>
          <w:szCs w:val="20"/>
        </w:rPr>
      </w:pPr>
      <w:r>
        <w:rPr>
          <w:rFonts w:ascii="Century Gothic" w:hAnsi="Century Gothic"/>
          <w:spacing w:val="-2"/>
          <w:sz w:val="20"/>
          <w:szCs w:val="20"/>
        </w:rPr>
        <w:t>En la Jurisdicción Agraria todos los despachos son electrónicos; solo 6 tienen expedientes híbridos que corresponden a asuntos que iniciaron escritos y no fueron escaneados, son los menos. En el sistema de gestión los peritajes se agregan como un archivo electrónico, lo cual no afecta su publicidad debido a que a los expedientes solo tienen acceso las partes involucradas.</w:t>
      </w:r>
    </w:p>
    <w:p>
      <w:pPr>
        <w:pStyle w:val="Normal"/>
        <w:jc w:val="both"/>
        <w:rPr>
          <w:rFonts w:ascii="Century Gothic" w:hAnsi="Century Gothic"/>
          <w:spacing w:val="-2"/>
          <w:sz w:val="20"/>
          <w:szCs w:val="20"/>
        </w:rPr>
      </w:pPr>
      <w:r>
        <w:rPr>
          <w:rFonts w:ascii="Century Gothic" w:hAnsi="Century Gothic"/>
          <w:spacing w:val="-2"/>
          <w:sz w:val="20"/>
          <w:szCs w:val="20"/>
        </w:rPr>
        <w:t>Cualquier otra consulta, estoy para servirle. Copio al Dr. Marcos Guevara para conocer sus impresiones sobre el tema.</w:t>
      </w:r>
    </w:p>
    <w:p>
      <w:pPr>
        <w:pStyle w:val="Normal"/>
        <w:jc w:val="both"/>
        <w:rPr>
          <w:rFonts w:ascii="Century Gothic" w:hAnsi="Century Gothic"/>
          <w:spacing w:val="-2"/>
          <w:sz w:val="20"/>
          <w:szCs w:val="20"/>
        </w:rPr>
      </w:pPr>
      <w:r>
        <w:rPr>
          <w:rFonts w:ascii="Century Gothic" w:hAnsi="Century Gothic"/>
          <w:spacing w:val="-2"/>
          <w:sz w:val="20"/>
          <w:szCs w:val="20"/>
        </w:rPr>
        <w:t>Saludos cordiales,</w:t>
      </w:r>
    </w:p>
    <w:p>
      <w:pPr>
        <w:pStyle w:val="Normal"/>
        <w:jc w:val="both"/>
        <w:rPr>
          <w:rFonts w:ascii="Century Gothic" w:hAnsi="Century Gothic"/>
          <w:i/>
          <w:i/>
          <w:iCs/>
          <w:sz w:val="20"/>
          <w:szCs w:val="20"/>
          <w:lang w:eastAsia="es-CR"/>
        </w:rPr>
      </w:pPr>
      <w:r>
        <w:rPr>
          <w:rFonts w:ascii="Century Gothic" w:hAnsi="Century Gothic"/>
          <w:i/>
          <w:iCs/>
          <w:sz w:val="20"/>
          <w:szCs w:val="20"/>
          <w:lang w:eastAsia="es-CR"/>
        </w:rPr>
        <w:t>Damaris Vargas Vásquez</w:t>
      </w:r>
    </w:p>
    <w:p>
      <w:pPr>
        <w:pStyle w:val="Normal"/>
        <w:jc w:val="both"/>
        <w:rPr>
          <w:rFonts w:ascii="Century Gothic" w:hAnsi="Century Gothic"/>
          <w:sz w:val="20"/>
          <w:szCs w:val="20"/>
        </w:rPr>
      </w:pPr>
      <w:r>
        <w:rPr>
          <w:rFonts w:ascii="Century Gothic" w:hAnsi="Century Gothic"/>
          <w:sz w:val="20"/>
          <w:szCs w:val="20"/>
        </w:rPr>
      </w:r>
    </w:p>
    <w:p>
      <w:pPr>
        <w:pStyle w:val="Normal"/>
        <w:rPr>
          <w:rFonts w:ascii="Century Gothic" w:hAnsi="Century Gothic"/>
          <w:sz w:val="20"/>
          <w:szCs w:val="20"/>
        </w:rPr>
      </w:pPr>
      <w:r>
        <w:rPr>
          <w:rFonts w:ascii="Century Gothic" w:hAnsi="Century Gothic"/>
          <w:b/>
          <w:sz w:val="20"/>
          <w:szCs w:val="20"/>
          <w:highlight w:val="yellow"/>
          <w:u w:val="single"/>
        </w:rPr>
        <w:t xml:space="preserve">SE ACUERDA: </w:t>
      </w:r>
      <w:r>
        <w:rPr>
          <w:rFonts w:ascii="Century Gothic" w:hAnsi="Century Gothic"/>
          <w:sz w:val="20"/>
          <w:szCs w:val="20"/>
          <w:highlight w:val="yellow"/>
        </w:rPr>
        <w:t>Se toma nota.-</w:t>
      </w:r>
    </w:p>
    <w:p>
      <w:pPr>
        <w:pStyle w:val="Normal"/>
        <w:rPr>
          <w:rFonts w:ascii="Century Gothic" w:hAnsi="Century Gothic"/>
          <w:sz w:val="20"/>
          <w:szCs w:val="20"/>
        </w:rPr>
      </w:pPr>
      <w:r>
        <w:rPr>
          <w:rFonts w:ascii="Century Gothic" w:hAnsi="Century Gothic"/>
          <w:sz w:val="20"/>
          <w:szCs w:val="20"/>
        </w:rPr>
      </w:r>
    </w:p>
    <w:p>
      <w:pPr>
        <w:pStyle w:val="Normal"/>
        <w:rPr>
          <w:rFonts w:ascii="Century Gothic" w:hAnsi="Century Gothic"/>
          <w:sz w:val="20"/>
          <w:szCs w:val="20"/>
        </w:rPr>
      </w:pPr>
      <w:r>
        <w:rPr>
          <w:rFonts w:ascii="Century Gothic" w:hAnsi="Century Gothic"/>
          <w:sz w:val="20"/>
          <w:szCs w:val="20"/>
        </w:rPr>
        <w:t>Se da por concluida la sesión al ser las diecisiete horas.-</w:t>
      </w:r>
    </w:p>
    <w:p>
      <w:pPr>
        <w:pStyle w:val="Normal"/>
        <w:rPr>
          <w:rFonts w:ascii="Century Gothic" w:hAnsi="Century Gothic"/>
          <w:i/>
          <w:i/>
          <w:sz w:val="20"/>
          <w:szCs w:val="20"/>
        </w:rPr>
      </w:pPr>
      <w:r>
        <w:rPr>
          <w:rFonts w:ascii="Century Gothic" w:hAnsi="Century Gothic"/>
          <w:i/>
          <w:sz w:val="20"/>
          <w:szCs w:val="20"/>
        </w:rPr>
      </w:r>
    </w:p>
    <w:p>
      <w:pPr>
        <w:pStyle w:val="Normal"/>
        <w:rPr>
          <w:rFonts w:ascii="Century Gothic" w:hAnsi="Century Gothic"/>
          <w:i/>
          <w:i/>
          <w:sz w:val="20"/>
          <w:szCs w:val="20"/>
        </w:rPr>
      </w:pPr>
      <w:r>
        <w:rPr>
          <w:rFonts w:ascii="Century Gothic" w:hAnsi="Century Gothic"/>
          <w:i/>
          <w:sz w:val="20"/>
          <w:szCs w:val="20"/>
        </w:rPr>
        <w:t>Damaris Vargas Vásquez</w:t>
      </w:r>
    </w:p>
    <w:p>
      <w:pPr>
        <w:pStyle w:val="Normal"/>
        <w:rPr>
          <w:rFonts w:ascii="Century Gothic" w:hAnsi="Century Gothic"/>
          <w:i/>
          <w:i/>
          <w:sz w:val="20"/>
          <w:szCs w:val="20"/>
        </w:rPr>
      </w:pPr>
      <w:r>
        <w:rPr>
          <w:rFonts w:ascii="Century Gothic" w:hAnsi="Century Gothic"/>
          <w:i/>
          <w:sz w:val="20"/>
          <w:szCs w:val="20"/>
        </w:rPr>
        <w:t>Coordinadora</w:t>
      </w:r>
    </w:p>
    <w:p>
      <w:pPr>
        <w:pStyle w:val="Normal"/>
        <w:spacing w:before="0" w:after="160"/>
        <w:rPr>
          <w:rFonts w:ascii="Century Gothic" w:hAnsi="Century Gothic"/>
          <w:i/>
          <w:i/>
          <w:sz w:val="20"/>
          <w:szCs w:val="20"/>
        </w:rPr>
      </w:pPr>
      <w:r>
        <w:rPr>
          <w:rFonts w:ascii="Century Gothic" w:hAnsi="Century Gothic"/>
          <w:i/>
          <w:sz w:val="20"/>
          <w:szCs w:val="20"/>
        </w:rPr>
        <w:t>Subcomisión Acceso a la Justicia de Pueblos Indígenas</w:t>
      </w:r>
    </w:p>
    <w:sectPr>
      <w:headerReference w:type="default" r:id="rId116"/>
      <w:type w:val="nextPage"/>
      <w:pgSz w:w="12240" w:h="15840"/>
      <w:pgMar w:left="1701" w:right="1701" w:header="708" w:top="1417" w:footer="0" w:bottom="1417" w:gutter="0"/>
      <w:pgNumType w:fmt="decimal"/>
      <w:formProt w:val="false"/>
      <w:textDirection w:val="lrTb"/>
      <w:docGrid w:type="default" w:linePitch="360" w:charSpace="4096"/>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J" w:date="2019-08-22T16:09:00Z" w:initials="PJ">
    <w:p>
      <w:r>
        <w:rPr>
          <w:rFonts w:ascii="Liberation Serif" w:hAnsi="Liberation Serif" w:eastAsia="Segoe UI" w:cs="Tahoma"/>
          <w:sz w:val="24"/>
          <w:szCs w:val="24"/>
          <w:lang w:val="en-US" w:eastAsia="en-US" w:bidi="en-US"/>
        </w:rPr>
        <w:t xml:space="preserve">Queda pendiente a la espera de definir si se va a ejecutar o no. Indicación de Melissa. </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Courier New">
    <w:charset w:val="00"/>
    <w:family w:val="roman"/>
    <w:pitch w:val="variable"/>
  </w:font>
  <w:font w:name="Tahoma">
    <w:charset w:val="00"/>
    <w:family w:val="roman"/>
    <w:pitch w:val="variable"/>
  </w:font>
  <w:font w:name="Liberation Sans">
    <w:altName w:val="Arial"/>
    <w:charset w:val="00"/>
    <w:family w:val="swiss"/>
    <w:pitch w:val="variable"/>
  </w:font>
  <w:font w:name="Verdana">
    <w:charset w:val="00"/>
    <w:family w:val="roman"/>
    <w:pitch w:val="variable"/>
  </w:font>
  <w:font w:name="Georgia">
    <w:charset w:val="00"/>
    <w:family w:val="roman"/>
    <w:pitch w:val="variable"/>
  </w:font>
  <w:font w:name="Century Gothic">
    <w:charset w:val="00"/>
    <w:family w:val="roman"/>
    <w:pitch w:val="variable"/>
  </w:font>
  <w:font w:name="Wingdings">
    <w:charset w:val="02"/>
    <w:family w:val="auto"/>
    <w:pitch w:val="variable"/>
  </w:font>
  <w:font w:name="Courier New">
    <w:charset w:val="01"/>
    <w:family w:val="modern"/>
    <w:pitch w:val="fixed"/>
  </w:font>
  <w:font w:name="Symbol">
    <w:charset w:val="02"/>
    <w:family w:val="auto"/>
    <w:pitch w:val="default"/>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before="0" w:after="0"/>
      <w:ind w:right="8" w:hanging="0"/>
      <w:jc w:val="center"/>
      <w:rPr/>
    </w:pPr>
    <w:r>
      <w:rPr>
        <w:rFonts w:eastAsia="Calibri" w:cs="Calibri"/>
        <w:b/>
        <w:i/>
      </w:rPr>
      <w:t xml:space="preserve">Subcomisión de Acceso a la Justicia de Pueblos Indígenas </w:t>
    </w:r>
  </w:p>
  <w:p>
    <w:pPr>
      <w:pStyle w:val="Normal"/>
      <w:spacing w:lineRule="auto" w:line="237" w:before="0" w:after="0"/>
      <w:ind w:left="3791" w:right="2392" w:hanging="814"/>
      <w:rPr/>
    </w:pPr>
    <w:r>
      <w:rPr>
        <w:rFonts w:eastAsia="Calibri" w:cs="Calibri"/>
        <w:b/>
        <w:i/>
      </w:rPr>
      <w:t xml:space="preserve">Comisión de Acceso a la Justicia Poder Judicial </w:t>
    </w:r>
  </w:p>
  <w:p>
    <w:pPr>
      <w:pStyle w:val="Normal"/>
      <w:spacing w:before="0" w:after="0"/>
      <w:rPr/>
    </w:pPr>
    <w:r>
      <w:rPr>
        <w:rFonts w:eastAsia="Calibri" w:cs="Calibri"/>
      </w:rPr>
      <w:t xml:space="preserve"> </w:t>
    </w:r>
  </w:p>
  <w:p>
    <w:pPr>
      <w:pStyle w:val="Normal"/>
      <w:spacing w:before="0" w:after="0"/>
      <w:rPr/>
    </w:pPr>
    <w:r>
      <w:rPr>
        <w:rFonts w:eastAsia="Calibri" w:cs="Calibri"/>
      </w:rPr>
      <w:t xml:space="preserve">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rPr>
        <w:sz w:val="24"/>
        <w:rFonts w:ascii="Calibri" w:hAnsi="Calibri"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lvl w:ilvl="0">
      <w:start w:val="1"/>
      <w:numFmt w:val="bullet"/>
      <w:lvlText w:val=""/>
      <w:lvlJc w:val="left"/>
      <w:pPr>
        <w:tabs>
          <w:tab w:val="num" w:pos="0"/>
        </w:tabs>
        <w:ind w:left="778" w:hanging="360"/>
      </w:pPr>
      <w:rPr>
        <w:rFonts w:ascii="Wingdings" w:hAnsi="Wingdings" w:cs="Wingdings" w:hint="default"/>
      </w:rPr>
    </w:lvl>
    <w:lvl w:ilvl="1">
      <w:start w:val="1"/>
      <w:numFmt w:val="bullet"/>
      <w:lvlText w:val="o"/>
      <w:lvlJc w:val="left"/>
      <w:pPr>
        <w:tabs>
          <w:tab w:val="num" w:pos="0"/>
        </w:tabs>
        <w:ind w:left="1498" w:hanging="360"/>
      </w:pPr>
      <w:rPr>
        <w:rFonts w:ascii="Courier New" w:hAnsi="Courier New" w:cs="Courier New" w:hint="default"/>
      </w:rPr>
    </w:lvl>
    <w:lvl w:ilvl="2">
      <w:start w:val="1"/>
      <w:numFmt w:val="bullet"/>
      <w:lvlText w:val=""/>
      <w:lvlJc w:val="left"/>
      <w:pPr>
        <w:tabs>
          <w:tab w:val="num" w:pos="0"/>
        </w:tabs>
        <w:ind w:left="2218" w:hanging="360"/>
      </w:pPr>
      <w:rPr>
        <w:rFonts w:ascii="Wingdings" w:hAnsi="Wingdings" w:cs="Wingdings" w:hint="default"/>
      </w:rPr>
    </w:lvl>
    <w:lvl w:ilvl="3">
      <w:start w:val="1"/>
      <w:numFmt w:val="bullet"/>
      <w:lvlText w:val=""/>
      <w:lvlJc w:val="left"/>
      <w:pPr>
        <w:tabs>
          <w:tab w:val="num" w:pos="0"/>
        </w:tabs>
        <w:ind w:left="2938" w:hanging="360"/>
      </w:pPr>
      <w:rPr>
        <w:rFonts w:ascii="Symbol" w:hAnsi="Symbol" w:cs="Symbol" w:hint="default"/>
      </w:rPr>
    </w:lvl>
    <w:lvl w:ilvl="4">
      <w:start w:val="1"/>
      <w:numFmt w:val="bullet"/>
      <w:lvlText w:val="o"/>
      <w:lvlJc w:val="left"/>
      <w:pPr>
        <w:tabs>
          <w:tab w:val="num" w:pos="0"/>
        </w:tabs>
        <w:ind w:left="3658" w:hanging="360"/>
      </w:pPr>
      <w:rPr>
        <w:rFonts w:ascii="Courier New" w:hAnsi="Courier New" w:cs="Courier New" w:hint="default"/>
      </w:rPr>
    </w:lvl>
    <w:lvl w:ilvl="5">
      <w:start w:val="1"/>
      <w:numFmt w:val="bullet"/>
      <w:lvlText w:val=""/>
      <w:lvlJc w:val="left"/>
      <w:pPr>
        <w:tabs>
          <w:tab w:val="num" w:pos="0"/>
        </w:tabs>
        <w:ind w:left="4378" w:hanging="360"/>
      </w:pPr>
      <w:rPr>
        <w:rFonts w:ascii="Wingdings" w:hAnsi="Wingdings" w:cs="Wingdings" w:hint="default"/>
      </w:rPr>
    </w:lvl>
    <w:lvl w:ilvl="6">
      <w:start w:val="1"/>
      <w:numFmt w:val="bullet"/>
      <w:lvlText w:val=""/>
      <w:lvlJc w:val="left"/>
      <w:pPr>
        <w:tabs>
          <w:tab w:val="num" w:pos="0"/>
        </w:tabs>
        <w:ind w:left="5098" w:hanging="360"/>
      </w:pPr>
      <w:rPr>
        <w:rFonts w:ascii="Symbol" w:hAnsi="Symbol" w:cs="Symbol" w:hint="default"/>
      </w:rPr>
    </w:lvl>
    <w:lvl w:ilvl="7">
      <w:start w:val="1"/>
      <w:numFmt w:val="bullet"/>
      <w:lvlText w:val="o"/>
      <w:lvlJc w:val="left"/>
      <w:pPr>
        <w:tabs>
          <w:tab w:val="num" w:pos="0"/>
        </w:tabs>
        <w:ind w:left="5818" w:hanging="360"/>
      </w:pPr>
      <w:rPr>
        <w:rFonts w:ascii="Courier New" w:hAnsi="Courier New" w:cs="Courier New" w:hint="default"/>
      </w:rPr>
    </w:lvl>
    <w:lvl w:ilvl="8">
      <w:start w:val="1"/>
      <w:numFmt w:val="bullet"/>
      <w:lvlText w:val=""/>
      <w:lvlJc w:val="left"/>
      <w:pPr>
        <w:tabs>
          <w:tab w:val="num" w:pos="0"/>
        </w:tabs>
        <w:ind w:left="6538" w:hanging="360"/>
      </w:pPr>
      <w:rPr>
        <w:rFonts w:ascii="Wingdings" w:hAnsi="Wingdings" w:cs="Wingdings" w:hint="default"/>
      </w:rPr>
    </w:lvl>
  </w:abstractNum>
  <w:abstractNum w:abstractNumId="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8">
    <w:lvl w:ilvl="0">
      <w:start w:val="1"/>
      <w:numFmt w:val="lowerLetter"/>
      <w:lvlText w:val="%1."/>
      <w:lvlJc w:val="left"/>
      <w:pPr>
        <w:tabs>
          <w:tab w:val="num" w:pos="0"/>
        </w:tabs>
        <w:ind w:left="1662" w:hanging="360"/>
      </w:pPr>
      <w:rPr>
        <w:sz w:val="22"/>
        <w:spacing w:val="-1"/>
        <w:szCs w:val="22"/>
        <w:w w:val="116"/>
        <w:rFonts w:ascii="Georgia" w:hAnsi="Georgia" w:eastAsia="Georgia" w:cs="Georgia"/>
        <w:lang w:val="es-CR" w:eastAsia="es-CR" w:bidi="es-CR"/>
      </w:rPr>
    </w:lvl>
    <w:lvl w:ilvl="1">
      <w:start w:val="0"/>
      <w:numFmt w:val="bullet"/>
      <w:lvlText w:val=""/>
      <w:lvlJc w:val="left"/>
      <w:pPr>
        <w:tabs>
          <w:tab w:val="num" w:pos="0"/>
        </w:tabs>
        <w:ind w:left="2424" w:hanging="360"/>
      </w:pPr>
      <w:rPr>
        <w:rFonts w:ascii="Symbol" w:hAnsi="Symbol" w:cs="Symbol" w:hint="default"/>
      </w:rPr>
    </w:lvl>
    <w:lvl w:ilvl="2">
      <w:start w:val="0"/>
      <w:numFmt w:val="bullet"/>
      <w:lvlText w:val=""/>
      <w:lvlJc w:val="left"/>
      <w:pPr>
        <w:tabs>
          <w:tab w:val="num" w:pos="0"/>
        </w:tabs>
        <w:ind w:left="3188" w:hanging="360"/>
      </w:pPr>
      <w:rPr>
        <w:rFonts w:ascii="Symbol" w:hAnsi="Symbol" w:cs="Symbol" w:hint="default"/>
      </w:rPr>
    </w:lvl>
    <w:lvl w:ilvl="3">
      <w:start w:val="0"/>
      <w:numFmt w:val="bullet"/>
      <w:lvlText w:val=""/>
      <w:lvlJc w:val="left"/>
      <w:pPr>
        <w:tabs>
          <w:tab w:val="num" w:pos="0"/>
        </w:tabs>
        <w:ind w:left="3952" w:hanging="360"/>
      </w:pPr>
      <w:rPr>
        <w:rFonts w:ascii="Symbol" w:hAnsi="Symbol" w:cs="Symbol" w:hint="default"/>
      </w:rPr>
    </w:lvl>
    <w:lvl w:ilvl="4">
      <w:start w:val="0"/>
      <w:numFmt w:val="bullet"/>
      <w:lvlText w:val=""/>
      <w:lvlJc w:val="left"/>
      <w:pPr>
        <w:tabs>
          <w:tab w:val="num" w:pos="0"/>
        </w:tabs>
        <w:ind w:left="4716" w:hanging="360"/>
      </w:pPr>
      <w:rPr>
        <w:rFonts w:ascii="Symbol" w:hAnsi="Symbol" w:cs="Symbol" w:hint="default"/>
      </w:rPr>
    </w:lvl>
    <w:lvl w:ilvl="5">
      <w:start w:val="0"/>
      <w:numFmt w:val="bullet"/>
      <w:lvlText w:val=""/>
      <w:lvlJc w:val="left"/>
      <w:pPr>
        <w:tabs>
          <w:tab w:val="num" w:pos="0"/>
        </w:tabs>
        <w:ind w:left="5480" w:hanging="360"/>
      </w:pPr>
      <w:rPr>
        <w:rFonts w:ascii="Symbol" w:hAnsi="Symbol" w:cs="Symbol" w:hint="default"/>
      </w:rPr>
    </w:lvl>
    <w:lvl w:ilvl="6">
      <w:start w:val="0"/>
      <w:numFmt w:val="bullet"/>
      <w:lvlText w:val=""/>
      <w:lvlJc w:val="left"/>
      <w:pPr>
        <w:tabs>
          <w:tab w:val="num" w:pos="0"/>
        </w:tabs>
        <w:ind w:left="6244" w:hanging="360"/>
      </w:pPr>
      <w:rPr>
        <w:rFonts w:ascii="Symbol" w:hAnsi="Symbol" w:cs="Symbol" w:hint="default"/>
      </w:rPr>
    </w:lvl>
    <w:lvl w:ilvl="7">
      <w:start w:val="0"/>
      <w:numFmt w:val="bullet"/>
      <w:lvlText w:val=""/>
      <w:lvlJc w:val="left"/>
      <w:pPr>
        <w:tabs>
          <w:tab w:val="num" w:pos="0"/>
        </w:tabs>
        <w:ind w:left="7008" w:hanging="360"/>
      </w:pPr>
      <w:rPr>
        <w:rFonts w:ascii="Symbol" w:hAnsi="Symbol" w:cs="Symbol" w:hint="default"/>
      </w:rPr>
    </w:lvl>
    <w:lvl w:ilvl="8">
      <w:start w:val="0"/>
      <w:numFmt w:val="bullet"/>
      <w:lvlText w:val=""/>
      <w:lvlJc w:val="left"/>
      <w:pPr>
        <w:tabs>
          <w:tab w:val="num" w:pos="0"/>
        </w:tabs>
        <w:ind w:left="7772" w:hanging="360"/>
      </w:pPr>
      <w:rPr>
        <w:rFonts w:ascii="Symbol" w:hAnsi="Symbol" w:cs="Symbol" w:hint="default"/>
      </w:rPr>
    </w:lvl>
  </w:abstractNum>
  <w:abstractNum w:abstractNumId="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1">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
    <w:lvlOverride w:ilvl="0">
      <w:startOverride w:val="1"/>
    </w:lvlOverride>
  </w:num>
  <w:num w:numId="20">
    <w:abstractNumId w:val="2"/>
    <w:lvlOverride w:ilvl="0">
      <w:startOverride w:val="1"/>
    </w:lvlOverride>
  </w:num>
  <w:num w:numId="21">
    <w:abstractNumId w:val="5"/>
    <w:lvlOverride w:ilvl="0">
      <w:startOverride w:val="1"/>
    </w:lvlOverride>
  </w:num>
  <w:num w:numId="22">
    <w:abstractNumId w:val="7"/>
    <w:lvlOverride w:ilvl="0">
      <w:startOverride w:val="1"/>
    </w:lvlOverride>
  </w:num>
  <w:num w:numId="23">
    <w:abstractNumId w:val="9"/>
    <w:lvlOverride w:ilvl="0">
      <w:startOverride w:val="1"/>
    </w:lvlOverride>
  </w:num>
  <w:num w:numId="24">
    <w:abstractNumId w:val="12"/>
    <w:lvlOverride w:ilvl="0">
      <w:startOverride w:val="1"/>
    </w:lvlOverride>
  </w:num>
  <w:num w:numId="25">
    <w:abstractNumId w:val="13"/>
    <w:lvlOverride w:ilvl="0">
      <w:startOverride w:val="1"/>
    </w:lvlOverride>
  </w:num>
  <w:num w:numId="26">
    <w:abstractNumId w:val="14"/>
    <w:lvlOverride w:ilvl="0">
      <w:startOverride w:val="1"/>
    </w:lvlOverride>
  </w:num>
  <w:num w:numId="27">
    <w:abstractNumId w:val="16"/>
    <w:lvlOverride w:ilvl="0">
      <w:startOverride w:val="1"/>
    </w:lvlOverride>
  </w:num>
  <w:num w:numId="28">
    <w:abstractNumId w:val="17"/>
    <w:lvlOverride w:ilvl="0">
      <w:startOverride w:val="1"/>
    </w:lvlOverride>
  </w:num>
</w:numbering>
</file>

<file path=word/settings.xml><?xml version="1.0" encoding="utf-8"?>
<w:settings xmlns:w="http://schemas.openxmlformats.org/wordprocessingml/2006/main">
  <w:zoom w:percent="19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7">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styleId="Normal" w:default="1">
    <w:name w:val="Normal"/>
    <w:qFormat/>
    <w:rsid w:val="005c23f4"/>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910a94"/>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Ttulo2">
    <w:name w:val="Heading 2"/>
    <w:basedOn w:val="Normal"/>
    <w:next w:val="Normal"/>
    <w:link w:val="Ttulo2Car"/>
    <w:qFormat/>
    <w:rsid w:val="005c23f4"/>
    <w:pPr>
      <w:keepNext w:val="true"/>
      <w:suppressAutoHyphens w:val="true"/>
      <w:spacing w:lineRule="auto" w:line="240" w:before="240" w:after="60"/>
      <w:outlineLvl w:val="1"/>
    </w:pPr>
    <w:rPr>
      <w:rFonts w:ascii="Arial" w:hAnsi="Arial" w:eastAsia="Times New Roman" w:cs="Arial"/>
      <w:b/>
      <w:bCs/>
      <w:i/>
      <w:iCs/>
      <w:sz w:val="28"/>
      <w:szCs w:val="28"/>
      <w:lang w:val="es-ES" w:eastAsia="ar-SA"/>
    </w:rPr>
  </w:style>
  <w:style w:type="paragraph" w:styleId="Ttulo3">
    <w:name w:val="Heading 3"/>
    <w:basedOn w:val="Normal"/>
    <w:next w:val="Normal"/>
    <w:link w:val="Ttulo3Car"/>
    <w:uiPriority w:val="9"/>
    <w:unhideWhenUsed/>
    <w:qFormat/>
    <w:rsid w:val="005c23f4"/>
    <w:pPr>
      <w:keepNext w:val="true"/>
      <w:keepLines/>
      <w:spacing w:before="40" w:after="0"/>
      <w:outlineLvl w:val="2"/>
    </w:pPr>
    <w:rPr>
      <w:rFonts w:ascii="Calibri Light" w:hAnsi="Calibri Light" w:eastAsia="" w:cs="" w:asciiTheme="majorHAnsi" w:cstheme="majorBidi" w:eastAsiaTheme="majorEastAsia" w:hAnsiTheme="majorHAnsi"/>
      <w:color w:val="1F4D78" w:themeColor="accent1" w:themeShade="7f"/>
      <w:sz w:val="24"/>
      <w:szCs w:val="24"/>
    </w:rPr>
  </w:style>
  <w:style w:type="paragraph" w:styleId="Ttulo4">
    <w:name w:val="Heading 4"/>
    <w:basedOn w:val="Normal"/>
    <w:link w:val="Ttulo4Car"/>
    <w:uiPriority w:val="9"/>
    <w:qFormat/>
    <w:rsid w:val="00fa5a6f"/>
    <w:pPr>
      <w:spacing w:lineRule="auto" w:line="240" w:beforeAutospacing="1" w:after="120"/>
      <w:outlineLvl w:val="3"/>
    </w:pPr>
    <w:rPr>
      <w:rFonts w:ascii="Times New Roman" w:hAnsi="Times New Roman" w:eastAsia="Times New Roman" w:cs="Times New Roman"/>
      <w:b/>
      <w:bCs/>
      <w:color w:val="333333"/>
      <w:sz w:val="24"/>
      <w:szCs w:val="24"/>
      <w:lang w:eastAsia="es-CR"/>
    </w:rPr>
  </w:style>
  <w:style w:type="paragraph" w:styleId="Ttulo5">
    <w:name w:val="Heading 5"/>
    <w:basedOn w:val="Normal"/>
    <w:link w:val="Ttulo5Car"/>
    <w:uiPriority w:val="9"/>
    <w:qFormat/>
    <w:rsid w:val="00fa5a6f"/>
    <w:pPr>
      <w:spacing w:lineRule="auto" w:line="240" w:beforeAutospacing="1" w:after="120"/>
      <w:outlineLvl w:val="4"/>
    </w:pPr>
    <w:rPr>
      <w:rFonts w:ascii="Times New Roman" w:hAnsi="Times New Roman" w:eastAsia="Times New Roman" w:cs="Times New Roman"/>
      <w:b/>
      <w:bCs/>
      <w:color w:val="333333"/>
      <w:sz w:val="23"/>
      <w:szCs w:val="23"/>
      <w:lang w:eastAsia="es-CR"/>
    </w:rPr>
  </w:style>
  <w:style w:type="paragraph" w:styleId="Ttulo6">
    <w:name w:val="Heading 6"/>
    <w:basedOn w:val="Normal"/>
    <w:link w:val="Ttulo6Car"/>
    <w:uiPriority w:val="9"/>
    <w:qFormat/>
    <w:rsid w:val="00fa5a6f"/>
    <w:pPr>
      <w:spacing w:lineRule="auto" w:line="240" w:beforeAutospacing="1" w:afterAutospacing="1"/>
      <w:outlineLvl w:val="5"/>
    </w:pPr>
    <w:rPr>
      <w:rFonts w:ascii="Times New Roman" w:hAnsi="Times New Roman" w:eastAsia="Times New Roman" w:cs="Times New Roman"/>
      <w:sz w:val="24"/>
      <w:szCs w:val="24"/>
      <w:lang w:eastAsia="es-CR"/>
    </w:rPr>
  </w:style>
  <w:style w:type="paragraph" w:styleId="Ttulo7">
    <w:name w:val="Heading 7"/>
    <w:basedOn w:val="Normal"/>
    <w:next w:val="Normal"/>
    <w:link w:val="Ttulo7Car"/>
    <w:uiPriority w:val="9"/>
    <w:semiHidden/>
    <w:unhideWhenUsed/>
    <w:qFormat/>
    <w:rsid w:val="00285001"/>
    <w:pPr>
      <w:keepNext w:val="true"/>
      <w:keepLines/>
      <w:spacing w:before="40" w:after="0"/>
      <w:outlineLvl w:val="6"/>
    </w:pPr>
    <w:rPr>
      <w:rFonts w:ascii="Calibri Light" w:hAnsi="Calibri Light" w:eastAsia="" w:cs="" w:asciiTheme="majorHAnsi" w:cstheme="majorBidi" w:eastAsiaTheme="majorEastAsia" w:hAnsiTheme="majorHAnsi"/>
      <w:i/>
      <w:iCs/>
      <w:color w:val="1F4D78" w:themeColor="accent1" w:themeShade="7f"/>
    </w:rPr>
  </w:style>
  <w:style w:type="character" w:styleId="DefaultParagraphFont" w:default="1">
    <w:name w:val="Default Paragraph Font"/>
    <w:uiPriority w:val="1"/>
    <w:semiHidden/>
    <w:unhideWhenUsed/>
    <w:qFormat/>
    <w:rPr/>
  </w:style>
  <w:style w:type="character" w:styleId="Ttulo2Car" w:customStyle="1">
    <w:name w:val="Título 2 Car"/>
    <w:basedOn w:val="DefaultParagraphFont"/>
    <w:link w:val="Ttulo2"/>
    <w:qFormat/>
    <w:rsid w:val="005c23f4"/>
    <w:rPr>
      <w:rFonts w:ascii="Arial" w:hAnsi="Arial" w:eastAsia="Times New Roman" w:cs="Arial"/>
      <w:b/>
      <w:bCs/>
      <w:i/>
      <w:iCs/>
      <w:sz w:val="28"/>
      <w:szCs w:val="28"/>
      <w:lang w:val="es-ES" w:eastAsia="ar-SA"/>
    </w:rPr>
  </w:style>
  <w:style w:type="character" w:styleId="Ttulo3Car" w:customStyle="1">
    <w:name w:val="Título 3 Car"/>
    <w:basedOn w:val="DefaultParagraphFont"/>
    <w:link w:val="Ttulo3"/>
    <w:uiPriority w:val="9"/>
    <w:qFormat/>
    <w:rsid w:val="005c23f4"/>
    <w:rPr>
      <w:rFonts w:ascii="Calibri Light" w:hAnsi="Calibri Light" w:eastAsia="" w:cs="" w:asciiTheme="majorHAnsi" w:cstheme="majorBidi" w:eastAsiaTheme="majorEastAsia" w:hAnsiTheme="majorHAnsi"/>
      <w:color w:val="1F4D78" w:themeColor="accent1" w:themeShade="7f"/>
      <w:sz w:val="24"/>
      <w:szCs w:val="24"/>
    </w:rPr>
  </w:style>
  <w:style w:type="character" w:styleId="Strong">
    <w:name w:val="Strong"/>
    <w:basedOn w:val="DefaultParagraphFont"/>
    <w:uiPriority w:val="22"/>
    <w:qFormat/>
    <w:rsid w:val="00107f52"/>
    <w:rPr>
      <w:b/>
      <w:bCs/>
    </w:rPr>
  </w:style>
  <w:style w:type="character" w:styleId="EnlacedeInternet">
    <w:name w:val="Enlace de Internet"/>
    <w:basedOn w:val="DefaultParagraphFont"/>
    <w:uiPriority w:val="99"/>
    <w:semiHidden/>
    <w:unhideWhenUsed/>
    <w:rsid w:val="00e459e6"/>
    <w:rPr>
      <w:color w:val="0563C1"/>
      <w:u w:val="single"/>
    </w:rPr>
  </w:style>
  <w:style w:type="character" w:styleId="Ttulo1Car" w:customStyle="1">
    <w:name w:val="Título 1 Car"/>
    <w:basedOn w:val="DefaultParagraphFont"/>
    <w:link w:val="Ttulo1"/>
    <w:uiPriority w:val="9"/>
    <w:qFormat/>
    <w:rsid w:val="00910a94"/>
    <w:rPr>
      <w:rFonts w:ascii="Calibri Light" w:hAnsi="Calibri Light" w:eastAsia="" w:cs="" w:asciiTheme="majorHAnsi" w:cstheme="majorBidi" w:eastAsiaTheme="majorEastAsia" w:hAnsiTheme="majorHAnsi"/>
      <w:color w:val="2E74B5" w:themeColor="accent1" w:themeShade="bf"/>
      <w:sz w:val="32"/>
      <w:szCs w:val="32"/>
    </w:rPr>
  </w:style>
  <w:style w:type="character" w:styleId="Ttulo4Car" w:customStyle="1">
    <w:name w:val="Título 4 Car"/>
    <w:basedOn w:val="DefaultParagraphFont"/>
    <w:link w:val="Ttulo4"/>
    <w:uiPriority w:val="9"/>
    <w:qFormat/>
    <w:rsid w:val="00fa5a6f"/>
    <w:rPr>
      <w:rFonts w:ascii="Times New Roman" w:hAnsi="Times New Roman" w:eastAsia="Times New Roman" w:cs="Times New Roman"/>
      <w:b/>
      <w:bCs/>
      <w:color w:val="333333"/>
      <w:sz w:val="24"/>
      <w:szCs w:val="24"/>
      <w:lang w:eastAsia="es-CR"/>
    </w:rPr>
  </w:style>
  <w:style w:type="character" w:styleId="Ttulo5Car" w:customStyle="1">
    <w:name w:val="Título 5 Car"/>
    <w:basedOn w:val="DefaultParagraphFont"/>
    <w:link w:val="Ttulo5"/>
    <w:uiPriority w:val="9"/>
    <w:qFormat/>
    <w:rsid w:val="00fa5a6f"/>
    <w:rPr>
      <w:rFonts w:ascii="Times New Roman" w:hAnsi="Times New Roman" w:eastAsia="Times New Roman" w:cs="Times New Roman"/>
      <w:b/>
      <w:bCs/>
      <w:color w:val="333333"/>
      <w:sz w:val="23"/>
      <w:szCs w:val="23"/>
      <w:lang w:eastAsia="es-CR"/>
    </w:rPr>
  </w:style>
  <w:style w:type="character" w:styleId="Ttulo6Car" w:customStyle="1">
    <w:name w:val="Título 6 Car"/>
    <w:basedOn w:val="DefaultParagraphFont"/>
    <w:link w:val="Ttulo6"/>
    <w:uiPriority w:val="9"/>
    <w:qFormat/>
    <w:rsid w:val="00fa5a6f"/>
    <w:rPr>
      <w:rFonts w:ascii="Times New Roman" w:hAnsi="Times New Roman" w:eastAsia="Times New Roman" w:cs="Times New Roman"/>
      <w:sz w:val="24"/>
      <w:szCs w:val="24"/>
      <w:lang w:eastAsia="es-CR"/>
    </w:rPr>
  </w:style>
  <w:style w:type="character" w:styleId="EnlacedeInternetvisitado">
    <w:name w:val="Enlace de Internet visitado"/>
    <w:basedOn w:val="DefaultParagraphFont"/>
    <w:uiPriority w:val="99"/>
    <w:semiHidden/>
    <w:unhideWhenUsed/>
    <w:rsid w:val="00fa5a6f"/>
    <w:rPr>
      <w:color w:val="0D499C"/>
      <w:u w:val="single"/>
    </w:rPr>
  </w:style>
  <w:style w:type="character" w:styleId="Destacado">
    <w:name w:val="Destacado"/>
    <w:basedOn w:val="DefaultParagraphFont"/>
    <w:uiPriority w:val="20"/>
    <w:qFormat/>
    <w:rsid w:val="00fa5a6f"/>
    <w:rPr>
      <w:i/>
      <w:iCs/>
    </w:rPr>
  </w:style>
  <w:style w:type="character" w:styleId="HTMLconformatoprevioCar" w:customStyle="1">
    <w:name w:val="HTML con formato previo Car"/>
    <w:basedOn w:val="DefaultParagraphFont"/>
    <w:link w:val="HTMLconformatoprevio"/>
    <w:uiPriority w:val="99"/>
    <w:semiHidden/>
    <w:qFormat/>
    <w:rsid w:val="00fa5a6f"/>
    <w:rPr>
      <w:rFonts w:ascii="Courier New" w:hAnsi="Courier New" w:eastAsia="Times New Roman" w:cs="Courier New"/>
      <w:sz w:val="20"/>
      <w:szCs w:val="20"/>
      <w:lang w:eastAsia="es-CR"/>
    </w:rPr>
  </w:style>
  <w:style w:type="character" w:styleId="Captiondate1" w:customStyle="1">
    <w:name w:val="captiondate1"/>
    <w:basedOn w:val="DefaultParagraphFont"/>
    <w:qFormat/>
    <w:rsid w:val="00fa5a6f"/>
    <w:rPr>
      <w:color w:val="FFCC66"/>
    </w:rPr>
  </w:style>
  <w:style w:type="character" w:styleId="Vidtitlename" w:customStyle="1">
    <w:name w:val="vidtitlename"/>
    <w:basedOn w:val="DefaultParagraphFont"/>
    <w:qFormat/>
    <w:rsid w:val="00fa5a6f"/>
    <w:rPr/>
  </w:style>
  <w:style w:type="character" w:styleId="Footnote1" w:customStyle="1">
    <w:name w:val="footnote1"/>
    <w:basedOn w:val="DefaultParagraphFont"/>
    <w:qFormat/>
    <w:rsid w:val="00fa5a6f"/>
    <w:rPr>
      <w:sz w:val="20"/>
      <w:szCs w:val="20"/>
    </w:rPr>
  </w:style>
  <w:style w:type="character" w:styleId="Vidtitlename1" w:customStyle="1">
    <w:name w:val="vidtitlename1"/>
    <w:basedOn w:val="DefaultParagraphFont"/>
    <w:qFormat/>
    <w:rsid w:val="00fa5a6f"/>
    <w:rPr>
      <w:b/>
      <w:bCs/>
      <w:sz w:val="26"/>
      <w:szCs w:val="26"/>
    </w:rPr>
  </w:style>
  <w:style w:type="character" w:styleId="Footnote4" w:customStyle="1">
    <w:name w:val="footnote4"/>
    <w:basedOn w:val="DefaultParagraphFont"/>
    <w:qFormat/>
    <w:rsid w:val="00fa5a6f"/>
    <w:rPr>
      <w:sz w:val="19"/>
      <w:szCs w:val="19"/>
    </w:rPr>
  </w:style>
  <w:style w:type="character" w:styleId="ZPrincipiodelformularioCar" w:customStyle="1">
    <w:name w:val="z-Principio del formulario Car"/>
    <w:basedOn w:val="DefaultParagraphFont"/>
    <w:link w:val="z-Principiodelformulario"/>
    <w:uiPriority w:val="99"/>
    <w:semiHidden/>
    <w:qFormat/>
    <w:rsid w:val="00fa5a6f"/>
    <w:rPr>
      <w:rFonts w:ascii="Arial" w:hAnsi="Arial" w:eastAsia="Times New Roman" w:cs="Arial"/>
      <w:vanish/>
      <w:sz w:val="16"/>
      <w:szCs w:val="16"/>
      <w:lang w:eastAsia="es-CR"/>
    </w:rPr>
  </w:style>
  <w:style w:type="character" w:styleId="ZFinaldelformularioCar" w:customStyle="1">
    <w:name w:val="z-Final del formulario Car"/>
    <w:basedOn w:val="DefaultParagraphFont"/>
    <w:link w:val="z-Finaldelformulario"/>
    <w:uiPriority w:val="99"/>
    <w:semiHidden/>
    <w:qFormat/>
    <w:rsid w:val="00fa5a6f"/>
    <w:rPr>
      <w:rFonts w:ascii="Arial" w:hAnsi="Arial" w:eastAsia="Times New Roman" w:cs="Arial"/>
      <w:vanish/>
      <w:sz w:val="16"/>
      <w:szCs w:val="16"/>
      <w:lang w:eastAsia="es-CR"/>
    </w:rPr>
  </w:style>
  <w:style w:type="character" w:styleId="Anunciotxtcomunicados" w:customStyle="1">
    <w:name w:val="anunciotxtcomunicados"/>
    <w:basedOn w:val="DefaultParagraphFont"/>
    <w:qFormat/>
    <w:rsid w:val="00fa5a6f"/>
    <w:rPr/>
  </w:style>
  <w:style w:type="character" w:styleId="Ttulo7Car" w:customStyle="1">
    <w:name w:val="Título 7 Car"/>
    <w:basedOn w:val="DefaultParagraphFont"/>
    <w:link w:val="Ttulo7"/>
    <w:uiPriority w:val="9"/>
    <w:semiHidden/>
    <w:qFormat/>
    <w:rsid w:val="00285001"/>
    <w:rPr>
      <w:rFonts w:ascii="Calibri Light" w:hAnsi="Calibri Light" w:eastAsia="" w:cs="" w:asciiTheme="majorHAnsi" w:cstheme="majorBidi" w:eastAsiaTheme="majorEastAsia" w:hAnsiTheme="majorHAnsi"/>
      <w:i/>
      <w:iCs/>
      <w:color w:val="1F4D78" w:themeColor="accent1" w:themeShade="7f"/>
    </w:rPr>
  </w:style>
  <w:style w:type="character" w:styleId="Ancladenotaalpie">
    <w:name w:val="Ancla de nota al pie"/>
    <w:rPr>
      <w:vertAlign w:val="superscript"/>
    </w:rPr>
  </w:style>
  <w:style w:type="character" w:styleId="FootnoteCharacters">
    <w:name w:val="Footnote Characters"/>
    <w:qFormat/>
    <w:rsid w:val="00b55941"/>
    <w:rPr>
      <w:vertAlign w:val="superscript"/>
    </w:rPr>
  </w:style>
  <w:style w:type="character" w:styleId="TextonotapieCar" w:customStyle="1">
    <w:name w:val="Texto nota pie Car"/>
    <w:basedOn w:val="DefaultParagraphFont"/>
    <w:link w:val="Textonotapie"/>
    <w:qFormat/>
    <w:rsid w:val="00b55941"/>
    <w:rPr>
      <w:rFonts w:ascii="Times New Roman" w:hAnsi="Times New Roman" w:eastAsia="Times New Roman" w:cs="Times New Roman"/>
      <w:sz w:val="20"/>
      <w:szCs w:val="20"/>
      <w:lang w:val="es-ES" w:eastAsia="zh-CN"/>
    </w:rPr>
  </w:style>
  <w:style w:type="character" w:styleId="TextoindependienteCar" w:customStyle="1">
    <w:name w:val="Texto independiente Car"/>
    <w:basedOn w:val="DefaultParagraphFont"/>
    <w:link w:val="Textoindependiente"/>
    <w:qFormat/>
    <w:rsid w:val="00661572"/>
    <w:rPr>
      <w:rFonts w:ascii="Times New Roman" w:hAnsi="Times New Roman" w:eastAsia="Times New Roman" w:cs="Times New Roman"/>
      <w:sz w:val="24"/>
      <w:szCs w:val="24"/>
      <w:lang w:val="es-ES" w:eastAsia="ar-SA"/>
    </w:rPr>
  </w:style>
  <w:style w:type="character" w:styleId="EncabezadoCar" w:customStyle="1">
    <w:name w:val="Encabezado Car"/>
    <w:basedOn w:val="DefaultParagraphFont"/>
    <w:link w:val="Encabezado"/>
    <w:uiPriority w:val="99"/>
    <w:semiHidden/>
    <w:qFormat/>
    <w:rsid w:val="00f732e0"/>
    <w:rPr>
      <w:rFonts w:ascii="Times New Roman" w:hAnsi="Times New Roman" w:cs="Times New Roman"/>
      <w:sz w:val="24"/>
      <w:szCs w:val="24"/>
      <w:lang w:eastAsia="es-CR"/>
    </w:rPr>
  </w:style>
  <w:style w:type="character" w:styleId="PiedepginaCar" w:customStyle="1">
    <w:name w:val="Pie de página Car"/>
    <w:basedOn w:val="DefaultParagraphFont"/>
    <w:link w:val="Piedepgina"/>
    <w:uiPriority w:val="99"/>
    <w:semiHidden/>
    <w:qFormat/>
    <w:rsid w:val="003d723d"/>
    <w:rPr/>
  </w:style>
  <w:style w:type="character" w:styleId="TextodegloboCar" w:customStyle="1">
    <w:name w:val="Texto de globo Car"/>
    <w:basedOn w:val="DefaultParagraphFont"/>
    <w:link w:val="Textodeglobo"/>
    <w:uiPriority w:val="99"/>
    <w:semiHidden/>
    <w:qFormat/>
    <w:rsid w:val="003d723d"/>
    <w:rPr>
      <w:rFonts w:ascii="Tahoma" w:hAnsi="Tahoma" w:cs="Tahoma"/>
      <w:sz w:val="16"/>
      <w:szCs w:val="16"/>
    </w:rPr>
  </w:style>
  <w:style w:type="character" w:styleId="Annotationreference">
    <w:name w:val="annotation reference"/>
    <w:basedOn w:val="DefaultParagraphFont"/>
    <w:uiPriority w:val="99"/>
    <w:semiHidden/>
    <w:unhideWhenUsed/>
    <w:qFormat/>
    <w:rsid w:val="003d723d"/>
    <w:rPr>
      <w:sz w:val="16"/>
      <w:szCs w:val="16"/>
    </w:rPr>
  </w:style>
  <w:style w:type="character" w:styleId="TextocomentarioCar" w:customStyle="1">
    <w:name w:val="Texto comentario Car"/>
    <w:basedOn w:val="DefaultParagraphFont"/>
    <w:link w:val="Textocomentario"/>
    <w:uiPriority w:val="99"/>
    <w:semiHidden/>
    <w:qFormat/>
    <w:rsid w:val="003d723d"/>
    <w:rPr>
      <w:sz w:val="20"/>
      <w:szCs w:val="20"/>
    </w:rPr>
  </w:style>
  <w:style w:type="character" w:styleId="AsuntodelcomentarioCar" w:customStyle="1">
    <w:name w:val="Asunto del comentario Car"/>
    <w:basedOn w:val="TextocomentarioCar"/>
    <w:link w:val="Asuntodelcomentario"/>
    <w:uiPriority w:val="99"/>
    <w:semiHidden/>
    <w:qFormat/>
    <w:rsid w:val="003d723d"/>
    <w:rPr>
      <w:b/>
      <w:bCs/>
      <w:sz w:val="20"/>
      <w:szCs w:val="20"/>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661572"/>
    <w:pPr>
      <w:suppressAutoHyphens w:val="true"/>
      <w:spacing w:lineRule="auto" w:line="240" w:before="0" w:after="120"/>
    </w:pPr>
    <w:rPr>
      <w:rFonts w:ascii="Times New Roman" w:hAnsi="Times New Roman" w:eastAsia="Times New Roman" w:cs="Times New Roman"/>
      <w:sz w:val="24"/>
      <w:szCs w:val="24"/>
      <w:lang w:val="es-ES" w:eastAsia="ar-SA"/>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NoSpacing">
    <w:name w:val="No Spacing"/>
    <w:uiPriority w:val="1"/>
    <w:qFormat/>
    <w:rsid w:val="005c23f4"/>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NormalWeb">
    <w:name w:val="Normal (Web)"/>
    <w:basedOn w:val="Normal"/>
    <w:uiPriority w:val="99"/>
    <w:unhideWhenUsed/>
    <w:qFormat/>
    <w:rsid w:val="00107f52"/>
    <w:pPr>
      <w:spacing w:lineRule="auto" w:line="240" w:beforeAutospacing="1" w:afterAutospacing="1"/>
    </w:pPr>
    <w:rPr>
      <w:rFonts w:ascii="Times New Roman" w:hAnsi="Times New Roman" w:cs="Times New Roman"/>
      <w:sz w:val="24"/>
      <w:szCs w:val="24"/>
      <w:lang w:eastAsia="es-CR"/>
    </w:rPr>
  </w:style>
  <w:style w:type="paragraph" w:styleId="Western" w:customStyle="1">
    <w:name w:val="western"/>
    <w:basedOn w:val="Normal"/>
    <w:uiPriority w:val="99"/>
    <w:semiHidden/>
    <w:qFormat/>
    <w:rsid w:val="00e459e6"/>
    <w:pPr>
      <w:spacing w:lineRule="auto" w:line="240" w:before="0" w:after="0"/>
    </w:pPr>
    <w:rPr>
      <w:rFonts w:ascii="Calibri" w:hAnsi="Calibri" w:cs="Times New Roman"/>
      <w:lang w:eastAsia="es-CR"/>
    </w:rPr>
  </w:style>
  <w:style w:type="paragraph" w:styleId="HTMLPreformatted">
    <w:name w:val="HTML Preformatted"/>
    <w:basedOn w:val="Normal"/>
    <w:link w:val="HTMLconformatoprevioCar"/>
    <w:uiPriority w:val="99"/>
    <w:semiHidden/>
    <w:unhideWhenUsed/>
    <w:qFormat/>
    <w:rsid w:val="00fa5a6f"/>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pPr>
    <w:rPr>
      <w:rFonts w:ascii="Courier New" w:hAnsi="Courier New" w:eastAsia="Times New Roman" w:cs="Courier New"/>
      <w:sz w:val="20"/>
      <w:szCs w:val="20"/>
      <w:lang w:eastAsia="es-CR"/>
    </w:rPr>
  </w:style>
  <w:style w:type="paragraph" w:styleId="Last" w:customStyle="1">
    <w:name w:val="las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title" w:customStyle="1">
    <w:name w:val="vid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cusfield" w:customStyle="1">
    <w:name w:val="focusfield"/>
    <w:basedOn w:val="Normal"/>
    <w:qFormat/>
    <w:rsid w:val="00fa5a6f"/>
    <w:pPr>
      <w:pBdr>
        <w:top w:val="dotted" w:sz="6" w:space="0" w:color="C3C3C3"/>
        <w:left w:val="dotted" w:sz="6" w:space="0" w:color="C3C3C3"/>
        <w:bottom w:val="dotted" w:sz="6" w:space="0" w:color="C3C3C3"/>
        <w:right w:val="dotted" w:sz="6" w:space="0" w:color="C3C3C3"/>
      </w:pBdr>
      <w:spacing w:lineRule="auto" w:line="240" w:beforeAutospacing="1" w:afterAutospacing="1"/>
    </w:pPr>
    <w:rPr>
      <w:rFonts w:ascii="Times New Roman" w:hAnsi="Times New Roman" w:eastAsia="Times New Roman" w:cs="Times New Roman"/>
      <w:sz w:val="24"/>
      <w:szCs w:val="24"/>
      <w:lang w:eastAsia="es-CR"/>
    </w:rPr>
  </w:style>
  <w:style w:type="paragraph" w:styleId="Idlefield" w:customStyle="1">
    <w:name w:val="idlefield"/>
    <w:basedOn w:val="Normal"/>
    <w:qFormat/>
    <w:rsid w:val="00fa5a6f"/>
    <w:pPr>
      <w:pBdr>
        <w:top w:val="dotted" w:sz="6" w:space="0" w:color="D3D1D1"/>
        <w:left w:val="dotted" w:sz="6" w:space="0" w:color="D3D1D1"/>
        <w:bottom w:val="dotted" w:sz="6" w:space="0" w:color="D3D1D1"/>
        <w:right w:val="dotted" w:sz="6" w:space="0" w:color="D3D1D1"/>
      </w:pBdr>
      <w:spacing w:lineRule="auto" w:line="240" w:beforeAutospacing="1" w:afterAutospacing="1"/>
    </w:pPr>
    <w:rPr>
      <w:rFonts w:ascii="Times New Roman" w:hAnsi="Times New Roman" w:eastAsia="Times New Roman" w:cs="Times New Roman"/>
      <w:sz w:val="24"/>
      <w:szCs w:val="24"/>
      <w:lang w:eastAsia="es-CR"/>
    </w:rPr>
  </w:style>
  <w:style w:type="paragraph" w:styleId="Tabdata" w:customStyle="1">
    <w:name w:val="tabdata"/>
    <w:basedOn w:val="Normal"/>
    <w:qFormat/>
    <w:rsid w:val="00fa5a6f"/>
    <w:pPr>
      <w:pBdr>
        <w:bottom w:val="dotted" w:sz="6" w:space="0" w:color="ACA899"/>
      </w:pBdr>
      <w:spacing w:lineRule="auto" w:line="240" w:beforeAutospacing="1" w:afterAutospacing="1"/>
      <w:ind w:left="90" w:hanging="0"/>
    </w:pPr>
    <w:rPr>
      <w:rFonts w:ascii="Times New Roman" w:hAnsi="Times New Roman" w:eastAsia="Times New Roman" w:cs="Times New Roman"/>
      <w:sz w:val="24"/>
      <w:szCs w:val="24"/>
      <w:lang w:eastAsia="es-CR"/>
    </w:rPr>
  </w:style>
  <w:style w:type="paragraph" w:styleId="Slogan" w:customStyle="1">
    <w:name w:val="slogan"/>
    <w:basedOn w:val="Normal"/>
    <w:qFormat/>
    <w:rsid w:val="00fa5a6f"/>
    <w:pPr>
      <w:spacing w:lineRule="auto" w:line="240" w:beforeAutospacing="1" w:afterAutospacing="1"/>
    </w:pPr>
    <w:rPr>
      <w:rFonts w:ascii="Tahoma" w:hAnsi="Tahoma" w:eastAsia="Times New Roman" w:cs="Tahoma"/>
      <w:color w:val="F47B29"/>
      <w:sz w:val="17"/>
      <w:szCs w:val="17"/>
      <w:lang w:eastAsia="es-CR"/>
    </w:rPr>
  </w:style>
  <w:style w:type="paragraph" w:styleId="Sfmenu" w:customStyle="1">
    <w:name w:val="sf-menu"/>
    <w:basedOn w:val="Normal"/>
    <w:qFormat/>
    <w:rsid w:val="00fa5a6f"/>
    <w:pPr>
      <w:pBdr>
        <w:top w:val="dotted" w:sz="6" w:space="0" w:color="D3D1D1"/>
        <w:bottom w:val="dotted" w:sz="6" w:space="0" w:color="D3D1D1"/>
      </w:pBdr>
      <w:shd w:val="clear" w:color="auto" w:fill="FFFFFF"/>
      <w:spacing w:lineRule="auto" w:line="240" w:before="0" w:after="0"/>
    </w:pPr>
    <w:rPr>
      <w:rFonts w:ascii="Times New Roman" w:hAnsi="Times New Roman" w:eastAsia="Times New Roman" w:cs="Times New Roman"/>
      <w:sz w:val="24"/>
      <w:szCs w:val="24"/>
      <w:lang w:eastAsia="es-CR"/>
    </w:rPr>
  </w:style>
  <w:style w:type="paragraph" w:styleId="Sfsubindicator" w:customStyle="1">
    <w:name w:val="sf-sub-indicator"/>
    <w:basedOn w:val="Normal"/>
    <w:qFormat/>
    <w:rsid w:val="00fa5a6f"/>
    <w:pPr>
      <w:spacing w:lineRule="auto" w:line="240" w:beforeAutospacing="1" w:afterAutospacing="1"/>
      <w:ind w:firstLine="22384"/>
    </w:pPr>
    <w:rPr>
      <w:rFonts w:ascii="Times New Roman" w:hAnsi="Times New Roman" w:eastAsia="Times New Roman" w:cs="Times New Roman"/>
      <w:sz w:val="24"/>
      <w:szCs w:val="24"/>
      <w:lang w:eastAsia="es-CR"/>
    </w:rPr>
  </w:style>
  <w:style w:type="paragraph" w:styleId="Megawrapperone" w:customStyle="1">
    <w:name w:val="megawrapper_one"/>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wrappertwo" w:customStyle="1">
    <w:name w:val="megawrapper_two"/>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wrapperthree" w:customStyle="1">
    <w:name w:val="megawrapper_three"/>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wrapperfour" w:customStyle="1">
    <w:name w:val="megawrapper_four"/>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Megacolumn1" w:customStyle="1">
    <w:name w:val="megacolumn_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column2" w:customStyle="1">
    <w:name w:val="megacolumn_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column3" w:customStyle="1">
    <w:name w:val="megacolumn_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column4" w:customStyle="1">
    <w:name w:val="megacolumn_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footer" w:customStyle="1">
    <w:name w:val="megafooter"/>
    <w:basedOn w:val="Normal"/>
    <w:qFormat/>
    <w:rsid w:val="00fa5a6f"/>
    <w:pPr>
      <w:spacing w:lineRule="auto" w:line="240" w:beforeAutospacing="1" w:afterAutospacing="1"/>
    </w:pPr>
    <w:rPr>
      <w:rFonts w:ascii="Times New Roman" w:hAnsi="Times New Roman" w:eastAsia="Times New Roman" w:cs="Times New Roman"/>
      <w:color w:val="333333"/>
      <w:sz w:val="24"/>
      <w:szCs w:val="24"/>
      <w:lang w:eastAsia="es-CR"/>
    </w:rPr>
  </w:style>
  <w:style w:type="paragraph" w:styleId="Megac" w:customStyle="1">
    <w:name w:val="mega_c"/>
    <w:basedOn w:val="Normal"/>
    <w:qFormat/>
    <w:rsid w:val="00fa5a6f"/>
    <w:pPr>
      <w:pBdr>
        <w:right w:val="dotted" w:sz="6" w:space="0" w:color="D3D1D1"/>
      </w:pBdr>
      <w:spacing w:lineRule="auto" w:line="240" w:beforeAutospacing="1" w:afterAutospacing="1"/>
    </w:pPr>
    <w:rPr>
      <w:rFonts w:ascii="Times New Roman" w:hAnsi="Times New Roman" w:eastAsia="Times New Roman" w:cs="Times New Roman"/>
      <w:sz w:val="24"/>
      <w:szCs w:val="24"/>
      <w:lang w:eastAsia="es-CR"/>
    </w:rPr>
  </w:style>
  <w:style w:type="paragraph" w:styleId="Cycler" w:customStyle="1">
    <w:name w:val="cycler"/>
    <w:basedOn w:val="Normal"/>
    <w:qFormat/>
    <w:rsid w:val="00fa5a6f"/>
    <w:pPr>
      <w:spacing w:lineRule="auto" w:line="240" w:beforeAutospacing="1" w:afterAutospacing="1"/>
    </w:pPr>
    <w:rPr>
      <w:rFonts w:ascii="Verdana" w:hAnsi="Verdana" w:eastAsia="Times New Roman" w:cs="Times New Roman"/>
      <w:sz w:val="24"/>
      <w:szCs w:val="24"/>
      <w:lang w:eastAsia="es-CR"/>
    </w:rPr>
  </w:style>
  <w:style w:type="paragraph" w:styleId="Captiondate" w:customStyle="1">
    <w:name w:val="captiondate"/>
    <w:basedOn w:val="Normal"/>
    <w:qFormat/>
    <w:rsid w:val="00fa5a6f"/>
    <w:pPr>
      <w:spacing w:lineRule="auto" w:line="240" w:beforeAutospacing="1" w:afterAutospacing="1"/>
    </w:pPr>
    <w:rPr>
      <w:rFonts w:ascii="Times New Roman" w:hAnsi="Times New Roman" w:eastAsia="Times New Roman" w:cs="Times New Roman"/>
      <w:color w:val="FFCC66"/>
      <w:sz w:val="24"/>
      <w:szCs w:val="24"/>
      <w:lang w:eastAsia="es-CR"/>
    </w:rPr>
  </w:style>
  <w:style w:type="paragraph" w:styleId="Headtitle" w:customStyle="1">
    <w:name w:val="headtitle"/>
    <w:basedOn w:val="Normal"/>
    <w:qFormat/>
    <w:rsid w:val="00fa5a6f"/>
    <w:pPr>
      <w:spacing w:lineRule="auto" w:line="240" w:before="192" w:after="0"/>
      <w:ind w:left="192" w:hanging="0"/>
    </w:pPr>
    <w:rPr>
      <w:rFonts w:ascii="Times New Roman" w:hAnsi="Times New Roman" w:eastAsia="Times New Roman" w:cs="Times New Roman"/>
      <w:b/>
      <w:bCs/>
      <w:color w:val="777777"/>
      <w:sz w:val="24"/>
      <w:szCs w:val="24"/>
      <w:lang w:eastAsia="es-CR"/>
    </w:rPr>
  </w:style>
  <w:style w:type="paragraph" w:styleId="Areaitem" w:customStyle="1">
    <w:name w:val="areaitem"/>
    <w:basedOn w:val="Normal"/>
    <w:qFormat/>
    <w:rsid w:val="00fa5a6f"/>
    <w:pPr>
      <w:spacing w:lineRule="auto" w:line="240" w:before="0" w:after="288"/>
    </w:pPr>
    <w:rPr>
      <w:rFonts w:ascii="Times New Roman" w:hAnsi="Times New Roman" w:eastAsia="Times New Roman" w:cs="Times New Roman"/>
      <w:sz w:val="24"/>
      <w:szCs w:val="24"/>
      <w:lang w:eastAsia="es-CR"/>
    </w:rPr>
  </w:style>
  <w:style w:type="paragraph" w:styleId="Boxbluegrid" w:customStyle="1">
    <w:name w:val="boxbluegrid"/>
    <w:basedOn w:val="Normal"/>
    <w:qFormat/>
    <w:rsid w:val="00fa5a6f"/>
    <w:pPr>
      <w:pBdr>
        <w:top w:val="single" w:sz="6" w:space="0" w:color="D1DFEF"/>
        <w:left w:val="single" w:sz="6" w:space="0" w:color="D1DFEF"/>
        <w:bottom w:val="single" w:sz="6" w:space="0" w:color="D1DFEF"/>
        <w:right w:val="single" w:sz="6" w:space="0" w:color="D1DFEF"/>
      </w:pBdr>
      <w:shd w:val="clear" w:color="auto" w:fill="EFF4FC"/>
      <w:spacing w:lineRule="auto" w:line="240" w:before="0" w:after="240"/>
      <w:ind w:left="240" w:hanging="0"/>
    </w:pPr>
    <w:rPr>
      <w:rFonts w:ascii="Times New Roman" w:hAnsi="Times New Roman" w:eastAsia="Times New Roman" w:cs="Times New Roman"/>
      <w:sz w:val="24"/>
      <w:szCs w:val="24"/>
      <w:lang w:eastAsia="es-CR"/>
    </w:rPr>
  </w:style>
  <w:style w:type="paragraph" w:styleId="Thirdwidth" w:customStyle="1">
    <w:name w:val="thirdwidth"/>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oxgrid" w:customStyle="1">
    <w:name w:val="boxgrid"/>
    <w:basedOn w:val="Normal"/>
    <w:qFormat/>
    <w:rsid w:val="00fa5a6f"/>
    <w:pPr>
      <w:pBdr>
        <w:top w:val="single" w:sz="6" w:space="0" w:color="CCCCCC"/>
        <w:left w:val="single" w:sz="6" w:space="0" w:color="CCCCCC"/>
        <w:bottom w:val="single" w:sz="6" w:space="0" w:color="CCCCCC"/>
        <w:right w:val="single" w:sz="6" w:space="0" w:color="CCCCCC"/>
      </w:pBdr>
      <w:spacing w:lineRule="auto" w:line="240" w:before="120" w:after="120"/>
      <w:ind w:left="120" w:right="120" w:hanging="0"/>
    </w:pPr>
    <w:rPr>
      <w:rFonts w:ascii="Times New Roman" w:hAnsi="Times New Roman" w:eastAsia="Times New Roman" w:cs="Times New Roman"/>
      <w:sz w:val="24"/>
      <w:szCs w:val="24"/>
      <w:lang w:eastAsia="es-CR"/>
    </w:rPr>
  </w:style>
  <w:style w:type="paragraph" w:styleId="Boxcaption" w:customStyle="1">
    <w:name w:val="boxcaption"/>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Introtext" w:customStyle="1">
    <w:name w:val="introtex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ociallinks" w:customStyle="1">
    <w:name w:val="sociallinks"/>
    <w:basedOn w:val="Normal"/>
    <w:qFormat/>
    <w:rsid w:val="00fa5a6f"/>
    <w:pPr>
      <w:spacing w:lineRule="auto" w:line="240" w:before="0" w:after="0"/>
      <w:ind w:left="240" w:hanging="0"/>
    </w:pPr>
    <w:rPr>
      <w:rFonts w:ascii="Times New Roman" w:hAnsi="Times New Roman" w:eastAsia="Times New Roman" w:cs="Times New Roman"/>
      <w:sz w:val="24"/>
      <w:szCs w:val="24"/>
      <w:lang w:eastAsia="es-CR"/>
    </w:rPr>
  </w:style>
  <w:style w:type="paragraph" w:styleId="Socialicons" w:customStyle="1">
    <w:name w:val="socialicons"/>
    <w:basedOn w:val="Normal"/>
    <w:qFormat/>
    <w:rsid w:val="00fa5a6f"/>
    <w:pPr>
      <w:spacing w:lineRule="auto" w:line="240" w:beforeAutospacing="1" w:afterAutospacing="1"/>
      <w:textAlignment w:val="center"/>
    </w:pPr>
    <w:rPr>
      <w:rFonts w:ascii="Times New Roman" w:hAnsi="Times New Roman" w:eastAsia="Times New Roman" w:cs="Times New Roman"/>
      <w:sz w:val="24"/>
      <w:szCs w:val="24"/>
      <w:lang w:eastAsia="es-CR"/>
    </w:rPr>
  </w:style>
  <w:style w:type="paragraph" w:styleId="Haiti" w:customStyle="1">
    <w:name w:val="haiti"/>
    <w:basedOn w:val="Normal"/>
    <w:qFormat/>
    <w:rsid w:val="00fa5a6f"/>
    <w:pPr>
      <w:spacing w:lineRule="auto" w:line="240" w:before="0" w:after="240"/>
      <w:ind w:left="240" w:hanging="0"/>
    </w:pPr>
    <w:rPr>
      <w:rFonts w:ascii="Times New Roman" w:hAnsi="Times New Roman" w:eastAsia="Times New Roman" w:cs="Times New Roman"/>
      <w:sz w:val="24"/>
      <w:szCs w:val="24"/>
      <w:lang w:eastAsia="es-CR"/>
    </w:rPr>
  </w:style>
  <w:style w:type="paragraph" w:styleId="Flags" w:customStyle="1">
    <w:name w:val="flags"/>
    <w:basedOn w:val="Normal"/>
    <w:qFormat/>
    <w:rsid w:val="00fa5a6f"/>
    <w:pPr>
      <w:spacing w:lineRule="auto" w:line="240" w:beforeAutospacing="1" w:afterAutospacing="1"/>
      <w:ind w:left="240" w:hanging="0"/>
    </w:pPr>
    <w:rPr>
      <w:rFonts w:ascii="Times New Roman" w:hAnsi="Times New Roman" w:eastAsia="Times New Roman" w:cs="Times New Roman"/>
      <w:sz w:val="24"/>
      <w:szCs w:val="24"/>
      <w:lang w:eastAsia="es-CR"/>
    </w:rPr>
  </w:style>
  <w:style w:type="paragraph" w:styleId="Special" w:customStyle="1">
    <w:name w:val="special"/>
    <w:basedOn w:val="Normal"/>
    <w:qFormat/>
    <w:rsid w:val="00fa5a6f"/>
    <w:pPr>
      <w:spacing w:lineRule="auto" w:line="240" w:before="0" w:after="240"/>
      <w:ind w:left="240" w:hanging="0"/>
    </w:pPr>
    <w:rPr>
      <w:rFonts w:ascii="Times New Roman" w:hAnsi="Times New Roman" w:eastAsia="Times New Roman" w:cs="Times New Roman"/>
      <w:sz w:val="24"/>
      <w:szCs w:val="24"/>
      <w:lang w:eastAsia="es-CR"/>
    </w:rPr>
  </w:style>
  <w:style w:type="paragraph" w:styleId="Feedmenu" w:customStyle="1">
    <w:name w:val="feed_menu"/>
    <w:basedOn w:val="Normal"/>
    <w:qFormat/>
    <w:rsid w:val="00fa5a6f"/>
    <w:pPr>
      <w:spacing w:lineRule="auto" w:line="240" w:before="0" w:after="0"/>
      <w:textAlignment w:val="center"/>
    </w:pPr>
    <w:rPr>
      <w:rFonts w:ascii="Times New Roman" w:hAnsi="Times New Roman" w:eastAsia="Times New Roman" w:cs="Times New Roman"/>
      <w:sz w:val="24"/>
      <w:szCs w:val="24"/>
      <w:lang w:eastAsia="es-CR"/>
    </w:rPr>
  </w:style>
  <w:style w:type="paragraph" w:styleId="Uitabs" w:customStyle="1">
    <w:name w:val="ui-tab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ldsidebarcontainer" w:customStyle="1">
    <w:name w:val="child_sidebarcontain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ldsidebartabs" w:customStyle="1">
    <w:name w:val="child_sidebartabs"/>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Gfctitle" w:customStyle="1">
    <w:name w:val="gfc-title"/>
    <w:basedOn w:val="Normal"/>
    <w:qFormat/>
    <w:rsid w:val="00fa5a6f"/>
    <w:pPr>
      <w:spacing w:lineRule="auto" w:line="240" w:beforeAutospacing="1" w:afterAutospacing="1"/>
    </w:pPr>
    <w:rPr>
      <w:rFonts w:ascii="Times New Roman" w:hAnsi="Times New Roman" w:eastAsia="Times New Roman" w:cs="Times New Roman"/>
      <w:b/>
      <w:bCs/>
      <w:sz w:val="24"/>
      <w:szCs w:val="24"/>
      <w:lang w:eastAsia="es-CR"/>
    </w:rPr>
  </w:style>
  <w:style w:type="paragraph" w:styleId="Gftitle" w:customStyle="1">
    <w:name w:val="gf-title"/>
    <w:basedOn w:val="Normal"/>
    <w:qFormat/>
    <w:rsid w:val="00fa5a6f"/>
    <w:pPr>
      <w:spacing w:lineRule="auto" w:line="240" w:beforeAutospacing="1" w:afterAutospacing="1"/>
    </w:pPr>
    <w:rPr>
      <w:rFonts w:ascii="Times New Roman" w:hAnsi="Times New Roman" w:eastAsia="Times New Roman" w:cs="Times New Roman"/>
      <w:b/>
      <w:bCs/>
      <w:sz w:val="24"/>
      <w:szCs w:val="24"/>
      <w:lang w:eastAsia="es-CR"/>
    </w:rPr>
  </w:style>
  <w:style w:type="paragraph" w:styleId="Ytvideoitem" w:customStyle="1">
    <w:name w:val="ytvideoitem"/>
    <w:basedOn w:val="Normal"/>
    <w:qFormat/>
    <w:rsid w:val="00fa5a6f"/>
    <w:pPr>
      <w:shd w:val="clear" w:color="auto" w:fill="FFFFFF"/>
      <w:spacing w:lineRule="auto" w:line="240" w:before="0" w:after="0"/>
    </w:pPr>
    <w:rPr>
      <w:rFonts w:ascii="Times New Roman" w:hAnsi="Times New Roman" w:eastAsia="Times New Roman" w:cs="Times New Roman"/>
      <w:sz w:val="24"/>
      <w:szCs w:val="24"/>
      <w:lang w:eastAsia="es-CR"/>
    </w:rPr>
  </w:style>
  <w:style w:type="paragraph" w:styleId="Trighttabcontain" w:customStyle="1">
    <w:name w:val="trighttabcontai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ottomtabs" w:customStyle="1">
    <w:name w:val="bottomtabs"/>
    <w:basedOn w:val="Normal"/>
    <w:qFormat/>
    <w:rsid w:val="00fa5a6f"/>
    <w:pPr>
      <w:spacing w:lineRule="auto" w:line="240" w:before="120" w:after="0"/>
    </w:pPr>
    <w:rPr>
      <w:rFonts w:ascii="Times New Roman" w:hAnsi="Times New Roman" w:eastAsia="Times New Roman" w:cs="Times New Roman"/>
      <w:b/>
      <w:bCs/>
      <w:sz w:val="16"/>
      <w:szCs w:val="16"/>
      <w:lang w:eastAsia="es-CR"/>
    </w:rPr>
  </w:style>
  <w:style w:type="paragraph" w:styleId="Bottomtabcontain" w:customStyle="1">
    <w:name w:val="bottomtabcontain"/>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Topics" w:customStyle="1">
    <w:name w:val="topic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esources" w:customStyle="1">
    <w:name w:val="resource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Getinvolved" w:customStyle="1">
    <w:name w:val="getinvolv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ocialmedia" w:customStyle="1">
    <w:name w:val="socialmedia"/>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arginr" w:customStyle="1">
    <w:name w:val="marginr"/>
    <w:basedOn w:val="Normal"/>
    <w:qFormat/>
    <w:rsid w:val="00fa5a6f"/>
    <w:pPr>
      <w:spacing w:lineRule="auto" w:line="240" w:beforeAutospacing="1" w:afterAutospacing="1"/>
      <w:ind w:right="240" w:hanging="0"/>
    </w:pPr>
    <w:rPr>
      <w:rFonts w:ascii="Times New Roman" w:hAnsi="Times New Roman" w:eastAsia="Times New Roman" w:cs="Times New Roman"/>
      <w:sz w:val="24"/>
      <w:szCs w:val="24"/>
      <w:lang w:eastAsia="es-CR"/>
    </w:rPr>
  </w:style>
  <w:style w:type="paragraph" w:styleId="Marginl" w:customStyle="1">
    <w:name w:val="marginl"/>
    <w:basedOn w:val="Normal"/>
    <w:qFormat/>
    <w:rsid w:val="00fa5a6f"/>
    <w:pPr>
      <w:spacing w:lineRule="auto" w:line="240" w:beforeAutospacing="1" w:afterAutospacing="1"/>
      <w:ind w:left="240" w:hanging="0"/>
    </w:pPr>
    <w:rPr>
      <w:rFonts w:ascii="Times New Roman" w:hAnsi="Times New Roman" w:eastAsia="Times New Roman" w:cs="Times New Roman"/>
      <w:sz w:val="24"/>
      <w:szCs w:val="24"/>
      <w:lang w:eastAsia="es-CR"/>
    </w:rPr>
  </w:style>
  <w:style w:type="paragraph" w:styleId="Dottedlinedv" w:customStyle="1">
    <w:name w:val="dotted-line-dv"/>
    <w:basedOn w:val="Normal"/>
    <w:qFormat/>
    <w:rsid w:val="00fa5a6f"/>
    <w:pPr>
      <w:pBdr>
        <w:bottom w:val="dotted" w:sz="6" w:space="0" w:color="CCCCCC"/>
      </w:pBdr>
      <w:spacing w:lineRule="auto" w:line="240" w:beforeAutospacing="1" w:afterAutospacing="1"/>
    </w:pPr>
    <w:rPr>
      <w:rFonts w:ascii="Times New Roman" w:hAnsi="Times New Roman" w:eastAsia="Times New Roman" w:cs="Times New Roman"/>
      <w:sz w:val="24"/>
      <w:szCs w:val="24"/>
      <w:lang w:eastAsia="es-CR"/>
    </w:rPr>
  </w:style>
  <w:style w:type="paragraph" w:styleId="Plainbox" w:customStyle="1">
    <w:name w:val="plainbox"/>
    <w:basedOn w:val="Normal"/>
    <w:qFormat/>
    <w:rsid w:val="00fa5a6f"/>
    <w:pPr>
      <w:pBdr>
        <w:top w:val="single" w:sz="6" w:space="0" w:color="CCCCCC"/>
        <w:left w:val="single" w:sz="6" w:space="0" w:color="CCCCCC"/>
        <w:bottom w:val="single" w:sz="6" w:space="0" w:color="CCCCCC"/>
        <w:right w:val="single" w:sz="6" w:space="0" w:color="CCCCCC"/>
      </w:pBdr>
      <w:spacing w:lineRule="auto" w:line="240" w:beforeAutospacing="1" w:afterAutospacing="1"/>
    </w:pPr>
    <w:rPr>
      <w:rFonts w:ascii="Times New Roman" w:hAnsi="Times New Roman" w:eastAsia="Times New Roman" w:cs="Times New Roman"/>
      <w:sz w:val="24"/>
      <w:szCs w:val="24"/>
      <w:lang w:eastAsia="es-CR"/>
    </w:rPr>
  </w:style>
  <w:style w:type="paragraph" w:styleId="Smallertxt" w:customStyle="1">
    <w:name w:val="smallertxt"/>
    <w:basedOn w:val="Normal"/>
    <w:qFormat/>
    <w:rsid w:val="00fa5a6f"/>
    <w:pPr>
      <w:spacing w:lineRule="auto" w:line="240" w:beforeAutospacing="1" w:afterAutospacing="1"/>
    </w:pPr>
    <w:rPr>
      <w:rFonts w:ascii="Times New Roman" w:hAnsi="Times New Roman" w:eastAsia="Times New Roman" w:cs="Times New Roman"/>
      <w:sz w:val="20"/>
      <w:szCs w:val="20"/>
      <w:lang w:eastAsia="es-CR"/>
    </w:rPr>
  </w:style>
  <w:style w:type="paragraph" w:styleId="Arrowtop" w:customStyle="1">
    <w:name w:val="arrowtop"/>
    <w:basedOn w:val="Normal"/>
    <w:qFormat/>
    <w:rsid w:val="00fa5a6f"/>
    <w:pPr>
      <w:spacing w:lineRule="auto" w:line="240" w:beforeAutospacing="1" w:afterAutospacing="1"/>
    </w:pPr>
    <w:rPr>
      <w:rFonts w:ascii="Times New Roman" w:hAnsi="Times New Roman" w:eastAsia="Times New Roman" w:cs="Times New Roman"/>
      <w:b/>
      <w:bCs/>
      <w:sz w:val="24"/>
      <w:szCs w:val="24"/>
      <w:lang w:eastAsia="es-CR"/>
    </w:rPr>
  </w:style>
  <w:style w:type="paragraph" w:styleId="Pagetabs" w:customStyle="1">
    <w:name w:val="pagetabs"/>
    <w:basedOn w:val="Normal"/>
    <w:qFormat/>
    <w:rsid w:val="00fa5a6f"/>
    <w:pPr>
      <w:spacing w:lineRule="auto" w:line="240" w:before="0" w:after="0"/>
      <w:ind w:left="120" w:hanging="0"/>
    </w:pPr>
    <w:rPr>
      <w:rFonts w:ascii="Times New Roman" w:hAnsi="Times New Roman" w:eastAsia="Times New Roman" w:cs="Times New Roman"/>
      <w:lang w:eastAsia="es-CR"/>
    </w:rPr>
  </w:style>
  <w:style w:type="paragraph" w:styleId="Pagetabcontain" w:customStyle="1">
    <w:name w:val="pagetabcontain"/>
    <w:basedOn w:val="Normal"/>
    <w:qFormat/>
    <w:rsid w:val="00fa5a6f"/>
    <w:pPr>
      <w:shd w:val="clear" w:color="auto" w:fill="E3E9F0"/>
      <w:spacing w:lineRule="auto" w:line="240" w:before="0" w:after="240"/>
    </w:pPr>
    <w:rPr>
      <w:rFonts w:ascii="Times New Roman" w:hAnsi="Times New Roman" w:eastAsia="Times New Roman" w:cs="Times New Roman"/>
      <w:sz w:val="24"/>
      <w:szCs w:val="24"/>
      <w:lang w:eastAsia="es-CR"/>
    </w:rPr>
  </w:style>
  <w:style w:type="paragraph" w:styleId="Leftcollist" w:customStyle="1">
    <w:name w:val="leftcollis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ightcollist" w:customStyle="1">
    <w:name w:val="rightcollis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elatedlinks" w:customStyle="1">
    <w:name w:val="relatedlinks"/>
    <w:basedOn w:val="Normal"/>
    <w:qFormat/>
    <w:rsid w:val="00fa5a6f"/>
    <w:pPr>
      <w:pBdr>
        <w:top w:val="single" w:sz="6" w:space="0" w:color="F47B29"/>
        <w:left w:val="single" w:sz="6" w:space="0" w:color="F47B29"/>
        <w:bottom w:val="single" w:sz="6" w:space="0" w:color="F47B29"/>
        <w:right w:val="single" w:sz="6" w:space="0" w:color="F47B29"/>
      </w:pBdr>
      <w:spacing w:lineRule="auto" w:line="240" w:before="0" w:after="240"/>
      <w:ind w:left="72" w:hanging="0"/>
    </w:pPr>
    <w:rPr>
      <w:rFonts w:ascii="Times New Roman" w:hAnsi="Times New Roman" w:eastAsia="Times New Roman" w:cs="Times New Roman"/>
      <w:sz w:val="24"/>
      <w:szCs w:val="24"/>
      <w:lang w:eastAsia="es-CR"/>
    </w:rPr>
  </w:style>
  <w:style w:type="paragraph" w:styleId="Rellinksblue" w:customStyle="1">
    <w:name w:val="rellinksblue"/>
    <w:basedOn w:val="Normal"/>
    <w:qFormat/>
    <w:rsid w:val="00fa5a6f"/>
    <w:pPr>
      <w:spacing w:lineRule="auto" w:line="240" w:before="0" w:after="72"/>
      <w:ind w:left="72" w:hanging="0"/>
    </w:pPr>
    <w:rPr>
      <w:rFonts w:ascii="Times New Roman" w:hAnsi="Times New Roman" w:eastAsia="Times New Roman" w:cs="Times New Roman"/>
      <w:sz w:val="24"/>
      <w:szCs w:val="24"/>
      <w:lang w:eastAsia="es-CR"/>
    </w:rPr>
  </w:style>
  <w:style w:type="paragraph" w:styleId="Boxblue" w:customStyle="1">
    <w:name w:val="boxblue"/>
    <w:basedOn w:val="Normal"/>
    <w:qFormat/>
    <w:rsid w:val="00fa5a6f"/>
    <w:pPr>
      <w:pBdr>
        <w:top w:val="single" w:sz="6" w:space="0" w:color="D1DFEF"/>
        <w:left w:val="single" w:sz="6" w:space="0" w:color="D1DFEF"/>
        <w:bottom w:val="single" w:sz="6" w:space="0" w:color="D1DFEF"/>
        <w:right w:val="single" w:sz="6" w:space="0" w:color="D1DFEF"/>
      </w:pBdr>
      <w:shd w:val="clear" w:color="auto" w:fill="EFF4FC"/>
      <w:spacing w:lineRule="auto" w:line="240" w:before="0" w:after="72"/>
      <w:ind w:left="72" w:hanging="0"/>
    </w:pPr>
    <w:rPr>
      <w:rFonts w:ascii="Times New Roman" w:hAnsi="Times New Roman" w:eastAsia="Times New Roman" w:cs="Times New Roman"/>
      <w:sz w:val="24"/>
      <w:szCs w:val="24"/>
      <w:lang w:eastAsia="es-CR"/>
    </w:rPr>
  </w:style>
  <w:style w:type="paragraph" w:styleId="Halfwidth" w:customStyle="1">
    <w:name w:val="halfwidth"/>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otline" w:customStyle="1">
    <w:name w:val="footline"/>
    <w:basedOn w:val="Normal"/>
    <w:qFormat/>
    <w:rsid w:val="00fa5a6f"/>
    <w:pPr>
      <w:pBdr>
        <w:bottom w:val="single" w:sz="6" w:space="0" w:color="333333"/>
      </w:pBdr>
      <w:spacing w:lineRule="auto" w:line="240" w:beforeAutospacing="1" w:afterAutospacing="1"/>
    </w:pPr>
    <w:rPr>
      <w:rFonts w:ascii="Times New Roman" w:hAnsi="Times New Roman" w:eastAsia="Times New Roman" w:cs="Times New Roman"/>
      <w:sz w:val="24"/>
      <w:szCs w:val="24"/>
      <w:lang w:eastAsia="es-CR"/>
    </w:rPr>
  </w:style>
  <w:style w:type="paragraph" w:styleId="Footnote" w:customStyle="1">
    <w:name w:val="footnote"/>
    <w:basedOn w:val="Normal"/>
    <w:qFormat/>
    <w:rsid w:val="00fa5a6f"/>
    <w:pPr>
      <w:spacing w:lineRule="auto" w:line="240" w:beforeAutospacing="1" w:afterAutospacing="1"/>
    </w:pPr>
    <w:rPr>
      <w:rFonts w:ascii="Times New Roman" w:hAnsi="Times New Roman" w:eastAsia="Times New Roman" w:cs="Times New Roman"/>
      <w:sz w:val="20"/>
      <w:szCs w:val="20"/>
      <w:lang w:eastAsia="es-CR"/>
    </w:rPr>
  </w:style>
  <w:style w:type="paragraph" w:styleId="Campaign" w:customStyle="1">
    <w:name w:val="campaign"/>
    <w:basedOn w:val="Normal"/>
    <w:qFormat/>
    <w:rsid w:val="00fa5a6f"/>
    <w:pPr>
      <w:spacing w:lineRule="auto" w:line="300" w:before="75" w:after="75"/>
      <w:ind w:left="75" w:right="75" w:hanging="0"/>
    </w:pPr>
    <w:rPr>
      <w:rFonts w:ascii="Times New Roman" w:hAnsi="Times New Roman" w:eastAsia="Times New Roman" w:cs="Times New Roman"/>
      <w:sz w:val="24"/>
      <w:szCs w:val="24"/>
      <w:lang w:eastAsia="es-CR"/>
    </w:rPr>
  </w:style>
  <w:style w:type="paragraph" w:styleId="Txtcenter" w:customStyle="1">
    <w:name w:val="txtcenter"/>
    <w:basedOn w:val="Normal"/>
    <w:qFormat/>
    <w:rsid w:val="00fa5a6f"/>
    <w:pPr>
      <w:spacing w:lineRule="auto" w:line="240" w:beforeAutospacing="1" w:afterAutospacing="1"/>
      <w:jc w:val="center"/>
    </w:pPr>
    <w:rPr>
      <w:rFonts w:ascii="Times New Roman" w:hAnsi="Times New Roman" w:eastAsia="Times New Roman" w:cs="Times New Roman"/>
      <w:sz w:val="24"/>
      <w:szCs w:val="24"/>
      <w:lang w:eastAsia="es-CR"/>
    </w:rPr>
  </w:style>
  <w:style w:type="paragraph" w:styleId="Txtleft" w:customStyle="1">
    <w:name w:val="txtlef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xtright" w:customStyle="1">
    <w:name w:val="txtright"/>
    <w:basedOn w:val="Normal"/>
    <w:qFormat/>
    <w:rsid w:val="00fa5a6f"/>
    <w:pPr>
      <w:spacing w:lineRule="auto" w:line="240" w:beforeAutospacing="1" w:afterAutospacing="1"/>
      <w:jc w:val="right"/>
    </w:pPr>
    <w:rPr>
      <w:rFonts w:ascii="Times New Roman" w:hAnsi="Times New Roman" w:eastAsia="Times New Roman" w:cs="Times New Roman"/>
      <w:sz w:val="24"/>
      <w:szCs w:val="24"/>
      <w:lang w:eastAsia="es-CR"/>
    </w:rPr>
  </w:style>
  <w:style w:type="paragraph" w:styleId="Chartvline" w:customStyle="1">
    <w:name w:val="chartvline"/>
    <w:basedOn w:val="Normal"/>
    <w:qFormat/>
    <w:rsid w:val="00fa5a6f"/>
    <w:pPr>
      <w:pBdr>
        <w:right w:val="single" w:sz="6" w:space="0" w:color="333333"/>
      </w:pBdr>
      <w:spacing w:lineRule="auto" w:line="240" w:before="0" w:after="0"/>
    </w:pPr>
    <w:rPr>
      <w:rFonts w:ascii="Times New Roman" w:hAnsi="Times New Roman" w:eastAsia="Times New Roman" w:cs="Times New Roman"/>
      <w:sz w:val="24"/>
      <w:szCs w:val="24"/>
      <w:lang w:eastAsia="es-CR"/>
    </w:rPr>
  </w:style>
  <w:style w:type="paragraph" w:styleId="Foot" w:customStyle="1">
    <w:name w:val="foot"/>
    <w:basedOn w:val="Normal"/>
    <w:qFormat/>
    <w:rsid w:val="00fa5a6f"/>
    <w:pPr>
      <w:pBdr>
        <w:top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Dnn" w:customStyle="1">
    <w:name w:val="dn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opicscol" w:customStyle="1">
    <w:name w:val="topicscol"/>
    <w:basedOn w:val="Normal"/>
    <w:qFormat/>
    <w:rsid w:val="00fa5a6f"/>
    <w:pPr>
      <w:pBdr>
        <w:top w:val="single" w:sz="6" w:space="10" w:color="CCCCCC"/>
        <w:left w:val="single" w:sz="6" w:space="10" w:color="CCCCCC"/>
        <w:bottom w:val="single" w:sz="6" w:space="10" w:color="CCCCCC"/>
        <w:right w:val="single" w:sz="6" w:space="10" w:color="CCCCCC"/>
      </w:pBdr>
      <w:shd w:val="clear" w:color="auto" w:fill="F4F4F4"/>
      <w:spacing w:lineRule="auto" w:line="240" w:before="0" w:after="0"/>
      <w:ind w:right="120" w:hanging="0"/>
    </w:pPr>
    <w:rPr>
      <w:rFonts w:ascii="Times New Roman" w:hAnsi="Times New Roman" w:eastAsia="Times New Roman" w:cs="Times New Roman"/>
      <w:sz w:val="24"/>
      <w:szCs w:val="24"/>
      <w:lang w:eastAsia="es-CR"/>
    </w:rPr>
  </w:style>
  <w:style w:type="paragraph" w:styleId="Middlecol" w:customStyle="1">
    <w:name w:val="middle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diarelated" w:customStyle="1">
    <w:name w:val="mediarelated"/>
    <w:basedOn w:val="Normal"/>
    <w:qFormat/>
    <w:rsid w:val="00fa5a6f"/>
    <w:pPr>
      <w:pBdr>
        <w:top w:val="single" w:sz="6" w:space="0" w:color="F47B29"/>
        <w:left w:val="single" w:sz="6" w:space="0" w:color="F47B29"/>
        <w:bottom w:val="single" w:sz="6" w:space="0" w:color="F47B29"/>
        <w:right w:val="single" w:sz="6" w:space="0" w:color="F47B29"/>
      </w:pBdr>
      <w:spacing w:lineRule="auto" w:line="240" w:beforeAutospacing="1" w:afterAutospacing="1"/>
    </w:pPr>
    <w:rPr>
      <w:rFonts w:ascii="Times New Roman" w:hAnsi="Times New Roman" w:eastAsia="Times New Roman" w:cs="Times New Roman"/>
      <w:sz w:val="24"/>
      <w:szCs w:val="24"/>
      <w:lang w:eastAsia="es-CR"/>
    </w:rPr>
  </w:style>
  <w:style w:type="paragraph" w:styleId="Noscriptmessage" w:customStyle="1">
    <w:name w:val="noscript-message"/>
    <w:basedOn w:val="Normal"/>
    <w:qFormat/>
    <w:rsid w:val="00fa5a6f"/>
    <w:pPr>
      <w:pBdr>
        <w:top w:val="single" w:sz="6" w:space="11" w:color="5477A7"/>
        <w:bottom w:val="single" w:sz="6" w:space="11" w:color="5477A7"/>
      </w:pBdr>
      <w:shd w:val="clear" w:color="auto" w:fill="FCE9C0"/>
      <w:spacing w:lineRule="auto" w:line="240" w:beforeAutospacing="1" w:after="120"/>
    </w:pPr>
    <w:rPr>
      <w:rFonts w:ascii="Times New Roman" w:hAnsi="Times New Roman" w:eastAsia="Times New Roman" w:cs="Times New Roman"/>
      <w:sz w:val="19"/>
      <w:szCs w:val="19"/>
      <w:lang w:eastAsia="es-CR"/>
    </w:rPr>
  </w:style>
  <w:style w:type="paragraph" w:styleId="Topicon" w:customStyle="1">
    <w:name w:val="topicon"/>
    <w:basedOn w:val="Normal"/>
    <w:qFormat/>
    <w:rsid w:val="00fa5a6f"/>
    <w:pPr>
      <w:spacing w:lineRule="auto" w:line="240" w:before="36" w:afterAutospacing="1"/>
      <w:ind w:left="60" w:hanging="0"/>
    </w:pPr>
    <w:rPr>
      <w:rFonts w:ascii="Times New Roman" w:hAnsi="Times New Roman" w:eastAsia="Times New Roman" w:cs="Times New Roman"/>
      <w:sz w:val="24"/>
      <w:szCs w:val="24"/>
      <w:lang w:eastAsia="es-CR"/>
    </w:rPr>
  </w:style>
  <w:style w:type="paragraph" w:styleId="Listbg" w:customStyle="1">
    <w:name w:val="listbg"/>
    <w:basedOn w:val="Normal"/>
    <w:qFormat/>
    <w:rsid w:val="00fa5a6f"/>
    <w:pPr>
      <w:spacing w:lineRule="auto" w:line="240" w:beforeAutospacing="1" w:afterAutospacing="1"/>
      <w:ind w:left="135" w:hanging="0"/>
    </w:pPr>
    <w:rPr>
      <w:rFonts w:ascii="Times New Roman" w:hAnsi="Times New Roman" w:eastAsia="Times New Roman" w:cs="Times New Roman"/>
      <w:sz w:val="24"/>
      <w:szCs w:val="24"/>
      <w:lang w:eastAsia="es-CR"/>
    </w:rPr>
  </w:style>
  <w:style w:type="paragraph" w:styleId="Txtjustify" w:customStyle="1">
    <w:name w:val="txtjustify"/>
    <w:basedOn w:val="Normal"/>
    <w:qFormat/>
    <w:rsid w:val="00fa5a6f"/>
    <w:pPr>
      <w:spacing w:lineRule="auto" w:line="240" w:beforeAutospacing="1" w:afterAutospacing="1"/>
      <w:jc w:val="both"/>
    </w:pPr>
    <w:rPr>
      <w:rFonts w:ascii="Times New Roman" w:hAnsi="Times New Roman" w:eastAsia="Times New Roman" w:cs="Times New Roman"/>
      <w:sz w:val="24"/>
      <w:szCs w:val="24"/>
      <w:lang w:eastAsia="es-CR"/>
    </w:rPr>
  </w:style>
  <w:style w:type="paragraph" w:styleId="Dottedline" w:customStyle="1">
    <w:name w:val="dotted-line"/>
    <w:basedOn w:val="Normal"/>
    <w:qFormat/>
    <w:rsid w:val="00fa5a6f"/>
    <w:pPr>
      <w:pBdr>
        <w:bottom w:val="dotted" w:sz="6" w:space="0" w:color="CCCCCC"/>
      </w:pBdr>
      <w:spacing w:lineRule="auto" w:line="240" w:beforeAutospacing="1" w:afterAutospacing="1"/>
    </w:pPr>
    <w:rPr>
      <w:rFonts w:ascii="Times New Roman" w:hAnsi="Times New Roman" w:eastAsia="Times New Roman" w:cs="Times New Roman"/>
      <w:sz w:val="24"/>
      <w:szCs w:val="24"/>
      <w:lang w:eastAsia="es-CR"/>
    </w:rPr>
  </w:style>
  <w:style w:type="paragraph" w:styleId="Sidebartabs" w:customStyle="1">
    <w:name w:val="sidebartabs"/>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Sidebarcontainer" w:customStyle="1">
    <w:name w:val="sidebarcontainer"/>
    <w:basedOn w:val="Normal"/>
    <w:qFormat/>
    <w:rsid w:val="00fa5a6f"/>
    <w:pPr>
      <w:pBdr>
        <w:top w:val="single" w:sz="6" w:space="0" w:color="CCCCCC"/>
        <w:left w:val="single" w:sz="6" w:space="0" w:color="CCCCCC"/>
        <w:bottom w:val="single" w:sz="6" w:space="0" w:color="CCCCCC"/>
        <w:right w:val="single" w:sz="6" w:space="0" w:color="CCCCCC"/>
      </w:pBd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Transparent" w:customStyle="1">
    <w:name w:val="transpar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ellinkslightblue" w:customStyle="1">
    <w:name w:val="rellinkslightblue"/>
    <w:basedOn w:val="Normal"/>
    <w:qFormat/>
    <w:rsid w:val="00fa5a6f"/>
    <w:pPr>
      <w:pBdr>
        <w:top w:val="single" w:sz="6" w:space="0" w:color="859EC0"/>
        <w:left w:val="single" w:sz="6" w:space="0" w:color="859EC0"/>
        <w:bottom w:val="single" w:sz="6" w:space="0" w:color="859EC0"/>
        <w:right w:val="single" w:sz="6" w:space="0" w:color="859EC0"/>
      </w:pBdr>
      <w:spacing w:lineRule="auto" w:line="240" w:before="0" w:after="216"/>
    </w:pPr>
    <w:rPr>
      <w:rFonts w:ascii="Times New Roman" w:hAnsi="Times New Roman" w:eastAsia="Times New Roman" w:cs="Times New Roman"/>
      <w:sz w:val="24"/>
      <w:szCs w:val="24"/>
      <w:lang w:eastAsia="es-CR"/>
    </w:rPr>
  </w:style>
  <w:style w:type="paragraph" w:styleId="Cluetipdefault" w:customStyle="1">
    <w:name w:val="cluetip-default"/>
    <w:basedOn w:val="Normal"/>
    <w:qFormat/>
    <w:rsid w:val="00fa5a6f"/>
    <w:pPr>
      <w:shd w:val="clear" w:color="auto" w:fill="FFFFFF"/>
      <w:spacing w:lineRule="auto" w:line="240" w:beforeAutospacing="1" w:afterAutospacing="1"/>
    </w:pPr>
    <w:rPr>
      <w:rFonts w:ascii="Verdana" w:hAnsi="Verdana" w:eastAsia="Times New Roman" w:cs="Times New Roman"/>
      <w:lang w:eastAsia="es-CR"/>
    </w:rPr>
  </w:style>
  <w:style w:type="paragraph" w:styleId="Colorrojo" w:customStyle="1">
    <w:name w:val="colorrojo"/>
    <w:basedOn w:val="Normal"/>
    <w:qFormat/>
    <w:rsid w:val="00fa5a6f"/>
    <w:pPr>
      <w:spacing w:lineRule="auto" w:line="240" w:beforeAutospacing="1" w:afterAutospacing="1"/>
    </w:pPr>
    <w:rPr>
      <w:rFonts w:ascii="Times New Roman" w:hAnsi="Times New Roman" w:eastAsia="Times New Roman" w:cs="Times New Roman"/>
      <w:color w:val="CC0000"/>
      <w:sz w:val="24"/>
      <w:szCs w:val="24"/>
      <w:lang w:eastAsia="es-CR"/>
    </w:rPr>
  </w:style>
  <w:style w:type="paragraph" w:styleId="Colordestacado" w:customStyle="1">
    <w:name w:val="colordestacado"/>
    <w:basedOn w:val="Normal"/>
    <w:qFormat/>
    <w:rsid w:val="00fa5a6f"/>
    <w:pPr>
      <w:shd w:val="clear" w:color="auto" w:fill="72BF44"/>
      <w:spacing w:lineRule="auto" w:line="240" w:beforeAutospacing="1" w:afterAutospacing="1"/>
    </w:pPr>
    <w:rPr>
      <w:rFonts w:ascii="Times New Roman" w:hAnsi="Times New Roman" w:eastAsia="Times New Roman" w:cs="Times New Roman"/>
      <w:color w:val="333333"/>
      <w:sz w:val="24"/>
      <w:szCs w:val="24"/>
      <w:lang w:eastAsia="es-CR"/>
    </w:rPr>
  </w:style>
  <w:style w:type="paragraph" w:styleId="Titulodestacados" w:customStyle="1">
    <w:name w:val="titulodestacados"/>
    <w:basedOn w:val="Normal"/>
    <w:qFormat/>
    <w:rsid w:val="00fa5a6f"/>
    <w:pPr>
      <w:shd w:val="clear" w:color="auto" w:fill="72BF44"/>
      <w:spacing w:lineRule="auto" w:line="240" w:beforeAutospacing="1" w:afterAutospacing="1"/>
    </w:pPr>
    <w:rPr>
      <w:rFonts w:ascii="Verdana" w:hAnsi="Verdana" w:eastAsia="Times New Roman" w:cs="Times New Roman"/>
      <w:b/>
      <w:bCs/>
      <w:color w:val="FFFFFF"/>
      <w:sz w:val="20"/>
      <w:szCs w:val="20"/>
      <w:lang w:eastAsia="es-CR"/>
    </w:rPr>
  </w:style>
  <w:style w:type="paragraph" w:styleId="Informesitem" w:customStyle="1">
    <w:name w:val="informesitem"/>
    <w:basedOn w:val="Normal"/>
    <w:qFormat/>
    <w:rsid w:val="00fa5a6f"/>
    <w:pPr>
      <w:spacing w:lineRule="auto" w:line="240" w:before="150" w:afterAutospacing="1"/>
      <w:ind w:left="150" w:hanging="0"/>
    </w:pPr>
    <w:rPr>
      <w:rFonts w:ascii="Times New Roman" w:hAnsi="Times New Roman" w:eastAsia="Times New Roman" w:cs="Times New Roman"/>
      <w:sz w:val="24"/>
      <w:szCs w:val="24"/>
      <w:lang w:eastAsia="es-CR"/>
    </w:rPr>
  </w:style>
  <w:style w:type="paragraph" w:styleId="Informesfoto" w:customStyle="1">
    <w:name w:val="informesfoto"/>
    <w:basedOn w:val="Normal"/>
    <w:qFormat/>
    <w:rsid w:val="00fa5a6f"/>
    <w:pPr>
      <w:shd w:val="clear" w:color="auto" w:fill="FFFFFF"/>
      <w:spacing w:lineRule="auto" w:line="240" w:beforeAutospacing="1" w:afterAutospacing="1"/>
      <w:jc w:val="center"/>
    </w:pPr>
    <w:rPr>
      <w:rFonts w:ascii="Times New Roman" w:hAnsi="Times New Roman" w:eastAsia="Times New Roman" w:cs="Times New Roman"/>
      <w:sz w:val="24"/>
      <w:szCs w:val="24"/>
      <w:lang w:eastAsia="es-CR"/>
    </w:rPr>
  </w:style>
  <w:style w:type="paragraph" w:styleId="Informestxt" w:customStyle="1">
    <w:name w:val="informestxt"/>
    <w:basedOn w:val="Normal"/>
    <w:qFormat/>
    <w:rsid w:val="00fa5a6f"/>
    <w:pPr>
      <w:shd w:val="clear" w:color="auto" w:fill="859EC0"/>
      <w:spacing w:lineRule="auto" w:line="240" w:beforeAutospacing="1" w:afterAutospacing="1"/>
      <w:jc w:val="center"/>
    </w:pPr>
    <w:rPr>
      <w:rFonts w:ascii="Times New Roman" w:hAnsi="Times New Roman" w:eastAsia="Times New Roman" w:cs="Times New Roman"/>
      <w:sz w:val="24"/>
      <w:szCs w:val="24"/>
      <w:lang w:eastAsia="es-CR"/>
    </w:rPr>
  </w:style>
  <w:style w:type="paragraph" w:styleId="Anuncioitem" w:customStyle="1">
    <w:name w:val="anuncioitem"/>
    <w:basedOn w:val="Normal"/>
    <w:qFormat/>
    <w:rsid w:val="00fa5a6f"/>
    <w:pPr>
      <w:shd w:val="clear" w:color="auto" w:fill="859EC0"/>
      <w:spacing w:lineRule="atLeast" w:line="240" w:before="150" w:afterAutospacing="1"/>
      <w:ind w:left="150" w:hanging="0"/>
    </w:pPr>
    <w:rPr>
      <w:rFonts w:ascii="Times New Roman" w:hAnsi="Times New Roman" w:eastAsia="Times New Roman" w:cs="Times New Roman"/>
      <w:sz w:val="18"/>
      <w:szCs w:val="18"/>
      <w:lang w:eastAsia="es-CR"/>
    </w:rPr>
  </w:style>
  <w:style w:type="paragraph" w:styleId="Anunciotitul" w:customStyle="1">
    <w:name w:val="anunciotitul"/>
    <w:basedOn w:val="Normal"/>
    <w:qFormat/>
    <w:rsid w:val="00fa5a6f"/>
    <w:pPr>
      <w:shd w:val="clear" w:color="auto" w:fill="5C7DAB"/>
      <w:spacing w:lineRule="auto" w:line="240" w:beforeAutospacing="1" w:afterAutospacing="1"/>
    </w:pPr>
    <w:rPr>
      <w:rFonts w:ascii="Times New Roman" w:hAnsi="Times New Roman" w:eastAsia="Times New Roman" w:cs="Times New Roman"/>
      <w:b/>
      <w:bCs/>
      <w:caps/>
      <w:color w:val="FFFFFF"/>
      <w:sz w:val="17"/>
      <w:szCs w:val="17"/>
      <w:lang w:eastAsia="es-CR"/>
    </w:rPr>
  </w:style>
  <w:style w:type="paragraph" w:styleId="Anunciofecha" w:customStyle="1">
    <w:name w:val="anunciofecha"/>
    <w:basedOn w:val="Normal"/>
    <w:qFormat/>
    <w:rsid w:val="00fa5a6f"/>
    <w:pPr>
      <w:shd w:val="clear" w:color="auto" w:fill="97ACCA"/>
      <w:spacing w:lineRule="auto" w:line="240" w:beforeAutospacing="1" w:afterAutospacing="1"/>
    </w:pPr>
    <w:rPr>
      <w:rFonts w:ascii="Times New Roman" w:hAnsi="Times New Roman" w:eastAsia="Times New Roman" w:cs="Times New Roman"/>
      <w:color w:val="354A68"/>
      <w:sz w:val="17"/>
      <w:szCs w:val="17"/>
      <w:lang w:eastAsia="es-CR"/>
    </w:rPr>
  </w:style>
  <w:style w:type="paragraph" w:styleId="Masinformacion" w:customStyle="1">
    <w:name w:val="masinformacion"/>
    <w:basedOn w:val="Normal"/>
    <w:qFormat/>
    <w:rsid w:val="00fa5a6f"/>
    <w:pPr>
      <w:spacing w:lineRule="auto" w:line="240" w:before="150" w:afterAutospacing="1"/>
      <w:jc w:val="right"/>
    </w:pPr>
    <w:rPr>
      <w:rFonts w:ascii="Times New Roman" w:hAnsi="Times New Roman" w:eastAsia="Times New Roman" w:cs="Times New Roman"/>
      <w:color w:val="CCCCCC"/>
      <w:sz w:val="24"/>
      <w:szCs w:val="24"/>
      <w:lang w:eastAsia="es-CR"/>
    </w:rPr>
  </w:style>
  <w:style w:type="paragraph" w:styleId="Titulodestacadoscomunicados" w:customStyle="1">
    <w:name w:val="titulodestacadoscomunicados"/>
    <w:basedOn w:val="Normal"/>
    <w:qFormat/>
    <w:rsid w:val="00fa5a6f"/>
    <w:pPr>
      <w:shd w:val="clear" w:color="auto" w:fill="54A890"/>
      <w:spacing w:lineRule="auto" w:line="240" w:beforeAutospacing="1" w:afterAutospacing="1"/>
    </w:pPr>
    <w:rPr>
      <w:rFonts w:ascii="Verdana" w:hAnsi="Verdana" w:eastAsia="Times New Roman" w:cs="Times New Roman"/>
      <w:b/>
      <w:bCs/>
      <w:color w:val="FFFFFF"/>
      <w:sz w:val="18"/>
      <w:szCs w:val="18"/>
      <w:lang w:eastAsia="es-CR"/>
    </w:rPr>
  </w:style>
  <w:style w:type="paragraph" w:styleId="Anuncioitemcomunicados" w:customStyle="1">
    <w:name w:val="anuncioitemcomunicados"/>
    <w:basedOn w:val="Normal"/>
    <w:qFormat/>
    <w:rsid w:val="00fa5a6f"/>
    <w:pPr>
      <w:shd w:val="clear" w:color="auto" w:fill="FCFCFC"/>
      <w:spacing w:lineRule="auto" w:line="240" w:before="150" w:afterAutospacing="1"/>
      <w:ind w:left="150" w:hanging="0"/>
    </w:pPr>
    <w:rPr>
      <w:rFonts w:ascii="Times New Roman" w:hAnsi="Times New Roman" w:eastAsia="Times New Roman" w:cs="Times New Roman"/>
      <w:sz w:val="24"/>
      <w:szCs w:val="24"/>
      <w:lang w:eastAsia="es-CR"/>
    </w:rPr>
  </w:style>
  <w:style w:type="paragraph" w:styleId="Titlecomunicados" w:customStyle="1">
    <w:name w:val="titlecomunicados"/>
    <w:basedOn w:val="Normal"/>
    <w:qFormat/>
    <w:rsid w:val="00fa5a6f"/>
    <w:pPr>
      <w:spacing w:lineRule="auto" w:line="240" w:before="300" w:afterAutospacing="1"/>
    </w:pPr>
    <w:rPr>
      <w:rFonts w:ascii="Georgia" w:hAnsi="Georgia" w:eastAsia="Times New Roman" w:cs="Times New Roman"/>
      <w:sz w:val="29"/>
      <w:szCs w:val="29"/>
      <w:lang w:eastAsia="es-CR"/>
    </w:rPr>
  </w:style>
  <w:style w:type="paragraph" w:styleId="Fechacomunicados" w:customStyle="1">
    <w:name w:val="fechacomunicados"/>
    <w:basedOn w:val="Normal"/>
    <w:qFormat/>
    <w:rsid w:val="00fa5a6f"/>
    <w:pPr>
      <w:spacing w:lineRule="auto" w:line="240" w:beforeAutospacing="1" w:afterAutospacing="1"/>
    </w:pPr>
    <w:rPr>
      <w:rFonts w:ascii="Times New Roman" w:hAnsi="Times New Roman" w:eastAsia="Times New Roman" w:cs="Times New Roman"/>
      <w:color w:val="666666"/>
      <w:sz w:val="17"/>
      <w:szCs w:val="17"/>
      <w:lang w:eastAsia="es-CR"/>
    </w:rPr>
  </w:style>
  <w:style w:type="paragraph" w:styleId="Feedblockcidh" w:customStyle="1">
    <w:name w:val="feedblockcidh"/>
    <w:basedOn w:val="Normal"/>
    <w:qFormat/>
    <w:rsid w:val="00fa5a6f"/>
    <w:pPr>
      <w:shd w:val="clear" w:color="auto" w:fill="E6EAED"/>
      <w:spacing w:lineRule="auto" w:line="240" w:beforeAutospacing="1" w:after="225"/>
    </w:pPr>
    <w:rPr>
      <w:rFonts w:ascii="Times New Roman" w:hAnsi="Times New Roman" w:eastAsia="Times New Roman" w:cs="Times New Roman"/>
      <w:sz w:val="24"/>
      <w:szCs w:val="24"/>
      <w:lang w:eastAsia="es-CR"/>
    </w:rPr>
  </w:style>
  <w:style w:type="paragraph" w:styleId="Destacadoderecha" w:customStyle="1">
    <w:name w:val="destacadoderecha"/>
    <w:basedOn w:val="Normal"/>
    <w:qFormat/>
    <w:rsid w:val="00fa5a6f"/>
    <w:pPr>
      <w:shd w:val="clear" w:color="auto" w:fill="72BF44"/>
      <w:spacing w:lineRule="auto" w:line="240" w:beforeAutospacing="1" w:after="150"/>
    </w:pPr>
    <w:rPr>
      <w:rFonts w:ascii="Verdana" w:hAnsi="Verdana" w:eastAsia="Times New Roman" w:cs="Times New Roman"/>
      <w:color w:val="FFFFFF"/>
      <w:sz w:val="17"/>
      <w:szCs w:val="17"/>
      <w:lang w:eastAsia="es-CR"/>
    </w:rPr>
  </w:style>
  <w:style w:type="paragraph" w:styleId="Funcionariositem" w:customStyle="1">
    <w:name w:val="funcionariositem"/>
    <w:basedOn w:val="Normal"/>
    <w:qFormat/>
    <w:rsid w:val="00fa5a6f"/>
    <w:pPr>
      <w:spacing w:lineRule="auto" w:line="240" w:before="300" w:afterAutospacing="1"/>
    </w:pPr>
    <w:rPr>
      <w:rFonts w:ascii="Times New Roman" w:hAnsi="Times New Roman" w:eastAsia="Times New Roman" w:cs="Times New Roman"/>
      <w:sz w:val="24"/>
      <w:szCs w:val="24"/>
      <w:lang w:eastAsia="es-CR"/>
    </w:rPr>
  </w:style>
  <w:style w:type="paragraph" w:styleId="Sesionesitem" w:customStyle="1">
    <w:name w:val="sesionesitem"/>
    <w:basedOn w:val="Normal"/>
    <w:qFormat/>
    <w:rsid w:val="00fa5a6f"/>
    <w:pPr>
      <w:shd w:val="clear" w:color="auto" w:fill="E6EAED"/>
      <w:spacing w:lineRule="auto" w:line="240" w:beforeAutospacing="1" w:after="225"/>
    </w:pPr>
    <w:rPr>
      <w:rFonts w:ascii="Times New Roman" w:hAnsi="Times New Roman" w:eastAsia="Times New Roman" w:cs="Times New Roman"/>
      <w:sz w:val="18"/>
      <w:szCs w:val="18"/>
      <w:lang w:eastAsia="es-CR"/>
    </w:rPr>
  </w:style>
  <w:style w:type="paragraph" w:styleId="Sesionesitemtitle" w:customStyle="1">
    <w:name w:val="sesionesitemtitle"/>
    <w:basedOn w:val="Normal"/>
    <w:qFormat/>
    <w:rsid w:val="00fa5a6f"/>
    <w:pPr>
      <w:shd w:val="clear" w:color="auto" w:fill="F4F5F7"/>
      <w:spacing w:lineRule="auto" w:line="240" w:beforeAutospacing="1" w:afterAutospacing="1"/>
    </w:pPr>
    <w:rPr>
      <w:rFonts w:ascii="Times New Roman" w:hAnsi="Times New Roman" w:eastAsia="Times New Roman" w:cs="Times New Roman"/>
      <w:b/>
      <w:bCs/>
      <w:color w:val="006699"/>
      <w:sz w:val="20"/>
      <w:szCs w:val="20"/>
      <w:lang w:eastAsia="es-CR"/>
    </w:rPr>
  </w:style>
  <w:style w:type="paragraph" w:styleId="Informestematicositem" w:customStyle="1">
    <w:name w:val="informestematicositem"/>
    <w:basedOn w:val="Normal"/>
    <w:qFormat/>
    <w:rsid w:val="00fa5a6f"/>
    <w:pPr>
      <w:pBdr>
        <w:top w:val="single" w:sz="48" w:space="4" w:color="E6EAED"/>
        <w:left w:val="single" w:sz="12" w:space="6" w:color="E6EAED"/>
        <w:bottom w:val="single" w:sz="12" w:space="8" w:color="E6EAED"/>
        <w:right w:val="single" w:sz="12" w:space="6" w:color="E6EAED"/>
      </w:pBdr>
      <w:spacing w:lineRule="auto" w:line="240" w:before="150" w:afterAutospacing="1"/>
      <w:ind w:right="150" w:hanging="0"/>
      <w:jc w:val="center"/>
    </w:pPr>
    <w:rPr>
      <w:rFonts w:ascii="Times New Roman" w:hAnsi="Times New Roman" w:eastAsia="Times New Roman" w:cs="Times New Roman"/>
      <w:sz w:val="24"/>
      <w:szCs w:val="24"/>
      <w:lang w:eastAsia="es-CR"/>
    </w:rPr>
  </w:style>
  <w:style w:type="paragraph" w:styleId="Playercontentplayer" w:customStyle="1">
    <w:name w:val="playercontentplayer"/>
    <w:basedOn w:val="Normal"/>
    <w:qFormat/>
    <w:rsid w:val="00fa5a6f"/>
    <w:pPr>
      <w:pBdr>
        <w:top w:val="single" w:sz="6" w:space="15" w:color="72BF44"/>
        <w:left w:val="single" w:sz="6" w:space="0" w:color="72BF44"/>
        <w:bottom w:val="single" w:sz="6" w:space="0" w:color="72BF44"/>
        <w:right w:val="single" w:sz="6" w:space="0" w:color="72BF44"/>
      </w:pBdr>
      <w:spacing w:lineRule="auto" w:line="240" w:beforeAutospacing="1" w:afterAutospacing="1"/>
      <w:jc w:val="center"/>
    </w:pPr>
    <w:rPr>
      <w:rFonts w:ascii="Times New Roman" w:hAnsi="Times New Roman" w:eastAsia="Times New Roman" w:cs="Times New Roman"/>
      <w:sz w:val="24"/>
      <w:szCs w:val="24"/>
      <w:lang w:eastAsia="es-CR"/>
    </w:rPr>
  </w:style>
  <w:style w:type="paragraph" w:styleId="Playernota" w:customStyle="1">
    <w:name w:val="playernota"/>
    <w:basedOn w:val="Normal"/>
    <w:qFormat/>
    <w:rsid w:val="00fa5a6f"/>
    <w:pPr>
      <w:pBdr>
        <w:top w:val="single" w:sz="6" w:space="0" w:color="72BF44"/>
        <w:left w:val="single" w:sz="6" w:space="0" w:color="72BF44"/>
        <w:bottom w:val="single" w:sz="6" w:space="0" w:color="72BF44"/>
        <w:right w:val="single" w:sz="6" w:space="0" w:color="72BF44"/>
      </w:pBdr>
      <w:spacing w:lineRule="auto" w:line="240" w:beforeAutospacing="1" w:afterAutospacing="1"/>
      <w:jc w:val="center"/>
    </w:pPr>
    <w:rPr>
      <w:rFonts w:ascii="Times New Roman" w:hAnsi="Times New Roman" w:eastAsia="Times New Roman" w:cs="Times New Roman"/>
      <w:sz w:val="24"/>
      <w:szCs w:val="24"/>
      <w:lang w:eastAsia="es-CR"/>
    </w:rPr>
  </w:style>
  <w:style w:type="paragraph" w:styleId="Txtlinkword" w:customStyle="1">
    <w:name w:val="txtlinkword"/>
    <w:basedOn w:val="Normal"/>
    <w:qFormat/>
    <w:rsid w:val="00fa5a6f"/>
    <w:pPr>
      <w:spacing w:lineRule="auto" w:line="240" w:beforeAutospacing="1" w:afterAutospacing="1"/>
    </w:pPr>
    <w:rPr>
      <w:rFonts w:ascii="Times New Roman" w:hAnsi="Times New Roman" w:eastAsia="Times New Roman" w:cs="Times New Roman"/>
      <w:color w:val="999999"/>
      <w:sz w:val="17"/>
      <w:szCs w:val="17"/>
      <w:lang w:eastAsia="es-CR"/>
    </w:rPr>
  </w:style>
  <w:style w:type="paragraph" w:styleId="Feedblockitem" w:customStyle="1">
    <w:name w:val="feedblockitem"/>
    <w:basedOn w:val="Normal"/>
    <w:qFormat/>
    <w:rsid w:val="00fa5a6f"/>
    <w:pPr>
      <w:shd w:val="clear" w:color="auto" w:fill="E6EAED"/>
      <w:spacing w:lineRule="auto" w:line="240" w:before="75" w:after="150"/>
      <w:ind w:left="150" w:hanging="0"/>
    </w:pPr>
    <w:rPr>
      <w:rFonts w:ascii="Times New Roman" w:hAnsi="Times New Roman" w:eastAsia="Times New Roman" w:cs="Times New Roman"/>
      <w:sz w:val="18"/>
      <w:szCs w:val="18"/>
      <w:lang w:eastAsia="es-CR"/>
    </w:rPr>
  </w:style>
  <w:style w:type="paragraph" w:styleId="Feedblockitemsmall" w:customStyle="1">
    <w:name w:val="feedblockitemsmall"/>
    <w:basedOn w:val="Normal"/>
    <w:qFormat/>
    <w:rsid w:val="00fa5a6f"/>
    <w:pPr>
      <w:spacing w:lineRule="auto" w:line="240" w:beforeAutospacing="1" w:afterAutospacing="1"/>
    </w:pPr>
    <w:rPr>
      <w:rFonts w:ascii="Times New Roman" w:hAnsi="Times New Roman" w:eastAsia="Times New Roman" w:cs="Times New Roman"/>
      <w:sz w:val="15"/>
      <w:szCs w:val="15"/>
      <w:lang w:eastAsia="es-CR"/>
    </w:rPr>
  </w:style>
  <w:style w:type="paragraph" w:styleId="Feedblockitemtitle" w:customStyle="1">
    <w:name w:val="feedblockitemtitle"/>
    <w:basedOn w:val="Normal"/>
    <w:qFormat/>
    <w:rsid w:val="00fa5a6f"/>
    <w:pPr>
      <w:spacing w:lineRule="auto" w:line="240" w:beforeAutospacing="1" w:afterAutospacing="1"/>
    </w:pPr>
    <w:rPr>
      <w:rFonts w:ascii="Times New Roman" w:hAnsi="Times New Roman" w:eastAsia="Times New Roman" w:cs="Times New Roman"/>
      <w:b/>
      <w:bCs/>
      <w:color w:val="006699"/>
      <w:sz w:val="20"/>
      <w:szCs w:val="20"/>
      <w:lang w:eastAsia="es-CR"/>
    </w:rPr>
  </w:style>
  <w:style w:type="paragraph" w:styleId="Feedblockitemdatos" w:customStyle="1">
    <w:name w:val="feedblockitemdatos"/>
    <w:basedOn w:val="Normal"/>
    <w:qFormat/>
    <w:rsid w:val="00fa5a6f"/>
    <w:pPr>
      <w:pBdr>
        <w:right w:val="single" w:sz="6" w:space="0" w:color="CCCCCC"/>
      </w:pBdr>
      <w:spacing w:lineRule="atLeast" w:line="270" w:beforeAutospacing="1" w:afterAutospacing="1"/>
      <w:ind w:left="150" w:hanging="0"/>
    </w:pPr>
    <w:rPr>
      <w:rFonts w:ascii="Tahoma" w:hAnsi="Tahoma" w:eastAsia="Times New Roman" w:cs="Tahoma"/>
      <w:sz w:val="18"/>
      <w:szCs w:val="18"/>
      <w:lang w:eastAsia="es-CR"/>
    </w:rPr>
  </w:style>
  <w:style w:type="paragraph" w:styleId="Feedblockitemlinks" w:customStyle="1">
    <w:name w:val="feedblockitemlinks"/>
    <w:basedOn w:val="Normal"/>
    <w:qFormat/>
    <w:rsid w:val="00fa5a6f"/>
    <w:pPr>
      <w:pBdr>
        <w:right w:val="single" w:sz="6" w:space="0" w:color="CCCCCC"/>
      </w:pBdr>
      <w:spacing w:lineRule="auto" w:line="240" w:beforeAutospacing="1" w:afterAutospacing="1"/>
      <w:jc w:val="center"/>
    </w:pPr>
    <w:rPr>
      <w:rFonts w:ascii="Tahoma" w:hAnsi="Tahoma" w:eastAsia="Times New Roman" w:cs="Tahoma"/>
      <w:sz w:val="18"/>
      <w:szCs w:val="18"/>
      <w:lang w:eastAsia="es-CR"/>
    </w:rPr>
  </w:style>
  <w:style w:type="paragraph" w:styleId="Recuadroancho" w:customStyle="1">
    <w:name w:val="recuadroancho"/>
    <w:basedOn w:val="Normal"/>
    <w:qFormat/>
    <w:rsid w:val="00fa5a6f"/>
    <w:pPr>
      <w:shd w:val="clear" w:color="auto" w:fill="E9E8DA"/>
      <w:spacing w:lineRule="auto" w:line="240" w:before="150" w:after="150"/>
    </w:pPr>
    <w:rPr>
      <w:rFonts w:ascii="Georgia" w:hAnsi="Georgia" w:eastAsia="Times New Roman" w:cs="Times New Roman"/>
      <w:sz w:val="24"/>
      <w:szCs w:val="24"/>
      <w:lang w:eastAsia="es-CR"/>
    </w:rPr>
  </w:style>
  <w:style w:type="paragraph" w:styleId="Recursosfinancieros" w:customStyle="1">
    <w:name w:val="recursosfinancieros"/>
    <w:basedOn w:val="Normal"/>
    <w:qFormat/>
    <w:rsid w:val="00fa5a6f"/>
    <w:pPr>
      <w:shd w:val="clear" w:color="auto" w:fill="E9E8DA"/>
      <w:spacing w:lineRule="auto" w:line="240" w:before="45" w:after="90"/>
    </w:pPr>
    <w:rPr>
      <w:rFonts w:ascii="Times New Roman" w:hAnsi="Times New Roman" w:eastAsia="Times New Roman" w:cs="Times New Roman"/>
      <w:sz w:val="24"/>
      <w:szCs w:val="24"/>
      <w:lang w:eastAsia="es-CR"/>
    </w:rPr>
  </w:style>
  <w:style w:type="paragraph" w:styleId="Botoningresar" w:customStyle="1">
    <w:name w:val="botoningresar"/>
    <w:basedOn w:val="Normal"/>
    <w:qFormat/>
    <w:rsid w:val="00fa5a6f"/>
    <w:pPr>
      <w:shd w:val="clear" w:color="auto" w:fill="039AA4"/>
      <w:spacing w:lineRule="auto" w:line="240" w:beforeAutospacing="1" w:afterAutospacing="1"/>
      <w:ind w:left="3000" w:hanging="0"/>
    </w:pPr>
    <w:rPr>
      <w:rFonts w:ascii="Times New Roman" w:hAnsi="Times New Roman" w:eastAsia="Times New Roman" w:cs="Times New Roman"/>
      <w:sz w:val="24"/>
      <w:szCs w:val="24"/>
      <w:lang w:eastAsia="es-CR"/>
    </w:rPr>
  </w:style>
  <w:style w:type="paragraph" w:styleId="Cluetiparrows" w:customStyle="1">
    <w:name w:val="cluetip-arrows"/>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jtip" w:customStyle="1">
    <w:name w:val="cluetip-jti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luetiprounded" w:customStyle="1">
    <w:name w:val="cluetip-rounded"/>
    <w:basedOn w:val="Normal"/>
    <w:qFormat/>
    <w:rsid w:val="00fa5a6f"/>
    <w:pPr>
      <w:spacing w:lineRule="auto" w:line="240" w:before="150" w:afterAutospacing="1"/>
      <w:ind w:left="180" w:hanging="0"/>
    </w:pPr>
    <w:rPr>
      <w:rFonts w:ascii="Times New Roman" w:hAnsi="Times New Roman" w:eastAsia="Times New Roman" w:cs="Times New Roman"/>
      <w:sz w:val="24"/>
      <w:szCs w:val="24"/>
      <w:lang w:eastAsia="es-CR"/>
    </w:rPr>
  </w:style>
  <w:style w:type="paragraph" w:styleId="Fancyboxmargin" w:customStyle="1">
    <w:name w:val="fancybox-margin"/>
    <w:basedOn w:val="Normal"/>
    <w:qFormat/>
    <w:rsid w:val="00fa5a6f"/>
    <w:pPr>
      <w:spacing w:lineRule="auto" w:line="240" w:beforeAutospacing="1" w:afterAutospacing="1"/>
      <w:ind w:right="255" w:hanging="0"/>
    </w:pPr>
    <w:rPr>
      <w:rFonts w:ascii="Times New Roman" w:hAnsi="Times New Roman" w:eastAsia="Times New Roman" w:cs="Times New Roman"/>
      <w:sz w:val="24"/>
      <w:szCs w:val="24"/>
      <w:lang w:eastAsia="es-CR"/>
    </w:rPr>
  </w:style>
  <w:style w:type="paragraph" w:styleId="Grid" w:customStyle="1">
    <w:name w:val="gri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or1" w:customStyle="1">
    <w:name w:val="color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or2" w:customStyle="1">
    <w:name w:val="color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or3" w:customStyle="1">
    <w:name w:val="color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mment" w:customStyle="1">
    <w:name w:val="comm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andingtitle" w:customStyle="1">
    <w:name w:val="landing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 w:customStyle="1">
    <w:name w:val="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2" w:customStyle="1">
    <w:name w:val="col-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Descripcin1" w:customStyle="1">
    <w:name w:val="Descripción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Newsitem" w:customStyle="1">
    <w:name w:val="newsitem"/>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hotocaption" w:customStyle="1">
    <w:name w:val="photocaptio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eftcol" w:customStyle="1">
    <w:name w:val="left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ightcol" w:customStyle="1">
    <w:name w:val="right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nav" w:customStyle="1">
    <w:name w:val="ui-tabs-nav"/>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 w:customStyle="1">
    <w:name w:val="tab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panel" w:customStyle="1">
    <w:name w:val="ui-tabs-pane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three" w:customStyle="1">
    <w:name w:val="tabcolthre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four" w:customStyle="1">
    <w:name w:val="tabcolfou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uesto1" w:customStyle="1">
    <w:name w:val="Puesto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2" w:customStyle="1">
    <w:name w:val="title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3" w:customStyle="1">
    <w:name w:val="title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hover" w:customStyle="1">
    <w:name w:val="ui-state-hov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default" w:customStyle="1">
    <w:name w:val="ui-state-defaul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lected" w:customStyle="1">
    <w:name w:val="select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mall" w:customStyle="1">
    <w:name w:val="smal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Webcasticon" w:customStyle="1">
    <w:name w:val="webcastico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witter" w:customStyle="1">
    <w:name w:val="twitt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acebook" w:customStyle="1">
    <w:name w:val="facebook"/>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lickr" w:customStyle="1">
    <w:name w:val="flick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meo" w:customStyle="1">
    <w:name w:val="vimeo"/>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Youtube" w:customStyle="1">
    <w:name w:val="youtub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ourcecaption" w:customStyle="1">
    <w:name w:val="sourcecaptio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title" w:customStyle="1">
    <w:name w:val="area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ainpic" w:customStyle="1">
    <w:name w:val="main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oxpic" w:customStyle="1">
    <w:name w:val="box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arginb1" w:customStyle="1">
    <w:name w:val="marginb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Indicaterequired" w:customStyle="1">
    <w:name w:val="indicate-requir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ceinlineerror" w:customStyle="1">
    <w:name w:val="mce_inline_erro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Noterequired" w:customStyle="1">
    <w:name w:val="note-required"/>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cfieldgroup" w:customStyle="1">
    <w:name w:val="mc-field-gro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hreecols" w:customStyle="1">
    <w:name w:val="three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urcols" w:customStyle="1">
    <w:name w:val="four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wocols" w:customStyle="1">
    <w:name w:val="two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encols" w:customStyle="1">
    <w:name w:val="seven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s" w:customStyle="1">
    <w:name w:val="sg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scols" w:customStyle="1">
    <w:name w:val="as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enlines" w:customStyle="1">
    <w:name w:val="sevenline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e" w:customStyle="1">
    <w:name w:val="line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eh" w:customStyle="1">
    <w:name w:val="lineeh"/>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a" w:customStyle="1">
    <w:name w:val="linea"/>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b" w:customStyle="1">
    <w:name w:val="lineb"/>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cols" w:customStyle="1">
    <w:name w:val="sevcol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cnct" w:customStyle="1">
    <w:name w:val="linecnc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roof" w:customStyle="1">
    <w:name w:val="lineroof"/>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col" w:customStyle="1">
    <w:name w:val="chief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 w:customStyle="1">
    <w:name w:val="sg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titlethin" w:customStyle="1">
    <w:name w:val="areatitlethi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sg2015wrap" w:customStyle="1">
    <w:name w:val="vidsg2015wra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spopup" w:customStyle="1">
    <w:name w:val="vidspop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ow" w:customStyle="1">
    <w:name w:val="show"/>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 w:customStyle="1">
    <w:name w:val="hid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riendfeedtext" w:customStyle="1">
    <w:name w:val="friendfeed_tex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riendfeeddate" w:customStyle="1">
    <w:name w:val="friendfeed_dat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focus" w:customStyle="1">
    <w:name w:val="ui-state-focu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active" w:customStyle="1">
    <w:name w:val="ui-state-activ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1" w:customStyle="1">
    <w:name w:val="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21" w:customStyle="1">
    <w:name w:val="col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3" w:customStyle="1">
    <w:name w:val="col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4" w:customStyle="1">
    <w:name w:val="col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5" w:customStyle="1">
    <w:name w:val="col5"/>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6" w:customStyle="1">
    <w:name w:val="col6"/>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7" w:customStyle="1">
    <w:name w:val="col7"/>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xt" w:customStyle="1">
    <w:name w:val="linex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rink" w:customStyle="1">
    <w:name w:val="shrink"/>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row" w:customStyle="1">
    <w:name w:val="chiefrow"/>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cnt" w:customStyle="1">
    <w:name w:val="chiefc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pic" w:customStyle="1">
    <w:name w:val="chief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group" w:customStyle="1">
    <w:name w:val="sggro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group" w:customStyle="1">
    <w:name w:val="ssorgrou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cwrap" w:customStyle="1">
    <w:name w:val="picwrap"/>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blurb" w:customStyle="1">
    <w:name w:val="vblurb"/>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slinks" w:customStyle="1">
    <w:name w:val="vidslink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pic" w:customStyle="1">
    <w:name w:val="vid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csg" w:customStyle="1">
    <w:name w:val="linecsg"/>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asg" w:customStyle="1">
    <w:name w:val="lineasg"/>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hlf" w:customStyle="1">
    <w:name w:val="linehlf"/>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Executivebox" w:customStyle="1">
    <w:name w:val="executivebox"/>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ntent" w:customStyle="1">
    <w:name w:val="sgcont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tree" w:customStyle="1">
    <w:name w:val="ssortre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content" w:customStyle="1">
    <w:name w:val="ssorconte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Img80" w:customStyle="1">
    <w:name w:val="img80"/>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video" w:customStyle="1">
    <w:name w:val="areavideo"/>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Btnopen" w:customStyle="1">
    <w:name w:val="btnope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cnt" w:customStyle="1">
    <w:name w:val="ssorcnt"/>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pic" w:customStyle="1">
    <w:name w:val="ssorpic"/>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llars" w:customStyle="1">
    <w:name w:val="pillars"/>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umn" w:customStyle="1">
    <w:name w:val="column"/>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astcol" w:customStyle="1">
    <w:name w:val="lastco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llartitle" w:customStyle="1">
    <w:name w:val="pillartitl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ghlight" w:customStyle="1">
    <w:name w:val="highlight"/>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tabshide" w:customStyle="1">
    <w:name w:val="ui-tabs-hide"/>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idhsocial" w:customStyle="1">
    <w:name w:val="cidh_social"/>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lected1" w:customStyle="1">
    <w:name w:val="selected1"/>
    <w:basedOn w:val="Normal"/>
    <w:qFormat/>
    <w:rsid w:val="00fa5a6f"/>
    <w:pPr>
      <w:spacing w:lineRule="auto" w:line="240" w:beforeAutospacing="1" w:afterAutospacing="1"/>
    </w:pPr>
    <w:rPr>
      <w:rFonts w:ascii="Times New Roman" w:hAnsi="Times New Roman" w:eastAsia="Times New Roman" w:cs="Times New Roman"/>
      <w:color w:val="F47B29"/>
      <w:sz w:val="24"/>
      <w:szCs w:val="24"/>
      <w:lang w:eastAsia="es-CR"/>
    </w:rPr>
  </w:style>
  <w:style w:type="paragraph" w:styleId="Last1" w:customStyle="1">
    <w:name w:val="last1"/>
    <w:basedOn w:val="Normal"/>
    <w:qFormat/>
    <w:rsid w:val="00fa5a6f"/>
    <w:pPr>
      <w:pBdr>
        <w:bottom w:val="single" w:sz="6" w:space="18" w:color="B7DDF2"/>
      </w:pBdr>
      <w:spacing w:lineRule="auto" w:line="240" w:beforeAutospacing="1" w:after="120"/>
    </w:pPr>
    <w:rPr>
      <w:rFonts w:ascii="Times New Roman" w:hAnsi="Times New Roman" w:eastAsia="Times New Roman" w:cs="Times New Roman"/>
      <w:color w:val="666666"/>
      <w:lang w:eastAsia="es-CR"/>
    </w:rPr>
  </w:style>
  <w:style w:type="paragraph" w:styleId="Small1" w:customStyle="1">
    <w:name w:val="small1"/>
    <w:basedOn w:val="Normal"/>
    <w:qFormat/>
    <w:rsid w:val="00fa5a6f"/>
    <w:pPr>
      <w:spacing w:lineRule="auto" w:line="240" w:beforeAutospacing="1" w:after="120"/>
      <w:jc w:val="right"/>
    </w:pPr>
    <w:rPr>
      <w:rFonts w:ascii="Times New Roman" w:hAnsi="Times New Roman" w:eastAsia="Times New Roman" w:cs="Times New Roman"/>
      <w:color w:val="666666"/>
      <w:sz w:val="17"/>
      <w:szCs w:val="17"/>
      <w:lang w:eastAsia="es-CR"/>
    </w:rPr>
  </w:style>
  <w:style w:type="paragraph" w:styleId="Webcasticon1" w:customStyle="1">
    <w:name w:val="webcasticon1"/>
    <w:basedOn w:val="Normal"/>
    <w:qFormat/>
    <w:rsid w:val="00fa5a6f"/>
    <w:pPr>
      <w:spacing w:lineRule="auto" w:line="240" w:beforeAutospacing="1" w:afterAutospacing="1"/>
      <w:ind w:left="120" w:hanging="0"/>
    </w:pPr>
    <w:rPr>
      <w:rFonts w:ascii="Times New Roman" w:hAnsi="Times New Roman" w:eastAsia="Times New Roman" w:cs="Times New Roman"/>
      <w:sz w:val="24"/>
      <w:szCs w:val="24"/>
      <w:lang w:eastAsia="es-CR"/>
    </w:rPr>
  </w:style>
  <w:style w:type="paragraph" w:styleId="Webcasticon2" w:customStyle="1">
    <w:name w:val="webcasticon2"/>
    <w:basedOn w:val="Normal"/>
    <w:qFormat/>
    <w:rsid w:val="00fa5a6f"/>
    <w:pPr>
      <w:spacing w:lineRule="auto" w:line="240" w:beforeAutospacing="1" w:afterAutospacing="1"/>
      <w:ind w:left="120" w:hanging="0"/>
    </w:pPr>
    <w:rPr>
      <w:rFonts w:ascii="Times New Roman" w:hAnsi="Times New Roman" w:eastAsia="Times New Roman" w:cs="Times New Roman"/>
      <w:sz w:val="24"/>
      <w:szCs w:val="24"/>
      <w:lang w:eastAsia="es-CR"/>
    </w:rPr>
  </w:style>
  <w:style w:type="paragraph" w:styleId="Show1" w:customStyle="1">
    <w:name w:val="show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1" w:customStyle="1">
    <w:name w:val="hide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2" w:customStyle="1">
    <w:name w:val="hide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Hide3" w:customStyle="1">
    <w:name w:val="hide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ow2" w:customStyle="1">
    <w:name w:val="show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ow3" w:customStyle="1">
    <w:name w:val="show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Megawrapperfour1" w:customStyle="1">
    <w:name w:val="megawrapper_four1"/>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Last2" w:customStyle="1">
    <w:name w:val="last2"/>
    <w:basedOn w:val="Normal"/>
    <w:qFormat/>
    <w:rsid w:val="00fa5a6f"/>
    <w:pPr>
      <w:spacing w:lineRule="auto" w:line="240" w:beforeAutospacing="1" w:after="210"/>
    </w:pPr>
    <w:rPr>
      <w:rFonts w:ascii="Times New Roman" w:hAnsi="Times New Roman" w:eastAsia="Times New Roman" w:cs="Times New Roman"/>
      <w:sz w:val="24"/>
      <w:szCs w:val="24"/>
      <w:lang w:eastAsia="es-CR"/>
    </w:rPr>
  </w:style>
  <w:style w:type="paragraph" w:styleId="Caption1" w:customStyle="1">
    <w:name w:val="caption1"/>
    <w:basedOn w:val="Normal"/>
    <w:qFormat/>
    <w:rsid w:val="00fa5a6f"/>
    <w:pPr>
      <w:spacing w:lineRule="auto" w:line="240" w:before="72" w:after="0"/>
    </w:pPr>
    <w:rPr>
      <w:rFonts w:ascii="Times New Roman" w:hAnsi="Times New Roman" w:eastAsia="Times New Roman" w:cs="Times New Roman"/>
      <w:color w:val="FFFFFF"/>
      <w:sz w:val="24"/>
      <w:szCs w:val="24"/>
      <w:lang w:eastAsia="es-CR"/>
    </w:rPr>
  </w:style>
  <w:style w:type="paragraph" w:styleId="Comment1" w:customStyle="1">
    <w:name w:val="comment1"/>
    <w:basedOn w:val="Normal"/>
    <w:qFormat/>
    <w:rsid w:val="00fa5a6f"/>
    <w:pPr>
      <w:spacing w:lineRule="auto" w:line="240" w:beforeAutospacing="1" w:afterAutospacing="1"/>
    </w:pPr>
    <w:rPr>
      <w:rFonts w:ascii="Times New Roman" w:hAnsi="Times New Roman" w:eastAsia="Times New Roman" w:cs="Times New Roman"/>
      <w:color w:val="008000"/>
      <w:sz w:val="24"/>
      <w:szCs w:val="24"/>
      <w:lang w:eastAsia="es-CR"/>
    </w:rPr>
  </w:style>
  <w:style w:type="paragraph" w:styleId="Landingtitle1" w:customStyle="1">
    <w:name w:val="landingtitle1"/>
    <w:basedOn w:val="Normal"/>
    <w:qFormat/>
    <w:rsid w:val="00fa5a6f"/>
    <w:pPr>
      <w:shd w:val="clear" w:color="auto" w:fill="EFEFEF"/>
      <w:spacing w:lineRule="auto" w:line="240" w:beforeAutospacing="1" w:after="120"/>
    </w:pPr>
    <w:rPr>
      <w:rFonts w:ascii="Times New Roman" w:hAnsi="Times New Roman" w:eastAsia="Times New Roman" w:cs="Times New Roman"/>
      <w:sz w:val="23"/>
      <w:szCs w:val="23"/>
      <w:lang w:eastAsia="es-CR"/>
    </w:rPr>
  </w:style>
  <w:style w:type="paragraph" w:styleId="Col111" w:customStyle="1">
    <w:name w:val="col-11"/>
    <w:basedOn w:val="Normal"/>
    <w:qFormat/>
    <w:rsid w:val="00fa5a6f"/>
    <w:pPr>
      <w:spacing w:lineRule="auto" w:line="240" w:beforeAutospacing="1" w:afterAutospacing="1"/>
    </w:pPr>
    <w:rPr>
      <w:rFonts w:ascii="Times New Roman" w:hAnsi="Times New Roman" w:eastAsia="Times New Roman" w:cs="Times New Roman"/>
      <w:sz w:val="18"/>
      <w:szCs w:val="18"/>
      <w:lang w:eastAsia="es-CR"/>
    </w:rPr>
  </w:style>
  <w:style w:type="paragraph" w:styleId="Col211" w:customStyle="1">
    <w:name w:val="col-21"/>
    <w:basedOn w:val="Normal"/>
    <w:qFormat/>
    <w:rsid w:val="00fa5a6f"/>
    <w:pPr>
      <w:spacing w:lineRule="auto" w:line="240" w:beforeAutospacing="1" w:afterAutospacing="1"/>
    </w:pPr>
    <w:rPr>
      <w:rFonts w:ascii="Times New Roman" w:hAnsi="Times New Roman" w:eastAsia="Times New Roman" w:cs="Times New Roman"/>
      <w:sz w:val="18"/>
      <w:szCs w:val="18"/>
      <w:lang w:eastAsia="es-CR"/>
    </w:rPr>
  </w:style>
  <w:style w:type="paragraph" w:styleId="Socialicons1" w:customStyle="1">
    <w:name w:val="socialicons1"/>
    <w:basedOn w:val="Normal"/>
    <w:qFormat/>
    <w:rsid w:val="00fa5a6f"/>
    <w:pPr>
      <w:spacing w:lineRule="auto" w:line="240" w:before="240" w:after="240"/>
      <w:ind w:left="4500" w:right="4500" w:hanging="0"/>
      <w:textAlignment w:val="center"/>
    </w:pPr>
    <w:rPr>
      <w:rFonts w:ascii="Times New Roman" w:hAnsi="Times New Roman" w:eastAsia="Times New Roman" w:cs="Times New Roman"/>
      <w:sz w:val="24"/>
      <w:szCs w:val="24"/>
      <w:lang w:eastAsia="es-CR"/>
    </w:rPr>
  </w:style>
  <w:style w:type="paragraph" w:styleId="Cidhsocial1" w:customStyle="1">
    <w:name w:val="cidh_social1"/>
    <w:basedOn w:val="Normal"/>
    <w:qFormat/>
    <w:rsid w:val="00fa5a6f"/>
    <w:pPr>
      <w:spacing w:lineRule="auto" w:line="240" w:before="240" w:after="240"/>
      <w:ind w:left="5250" w:right="5250" w:hanging="0"/>
    </w:pPr>
    <w:rPr>
      <w:rFonts w:ascii="Times New Roman" w:hAnsi="Times New Roman" w:eastAsia="Times New Roman" w:cs="Times New Roman"/>
      <w:sz w:val="24"/>
      <w:szCs w:val="24"/>
      <w:lang w:eastAsia="es-CR"/>
    </w:rPr>
  </w:style>
  <w:style w:type="paragraph" w:styleId="Twitter1" w:customStyle="1">
    <w:name w:val="twitter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Facebook1" w:customStyle="1">
    <w:name w:val="facebook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Flickr1" w:customStyle="1">
    <w:name w:val="flickr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Vimeo1" w:customStyle="1">
    <w:name w:val="vimeo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Youtube1" w:customStyle="1">
    <w:name w:val="youtube1"/>
    <w:basedOn w:val="Normal"/>
    <w:qFormat/>
    <w:rsid w:val="00fa5a6f"/>
    <w:pPr>
      <w:spacing w:lineRule="auto" w:line="240" w:before="192" w:after="192"/>
      <w:ind w:left="144" w:right="144" w:hanging="0"/>
    </w:pPr>
    <w:rPr>
      <w:rFonts w:ascii="Times New Roman" w:hAnsi="Times New Roman" w:eastAsia="Times New Roman" w:cs="Times New Roman"/>
      <w:sz w:val="24"/>
      <w:szCs w:val="24"/>
      <w:lang w:eastAsia="es-CR"/>
    </w:rPr>
  </w:style>
  <w:style w:type="paragraph" w:styleId="Caption2" w:customStyle="1">
    <w:name w:val="caption2"/>
    <w:basedOn w:val="Normal"/>
    <w:qFormat/>
    <w:rsid w:val="00fa5a6f"/>
    <w:pPr>
      <w:spacing w:lineRule="auto" w:line="240" w:before="0" w:afterAutospacing="1"/>
    </w:pPr>
    <w:rPr>
      <w:rFonts w:ascii="Times New Roman" w:hAnsi="Times New Roman" w:eastAsia="Times New Roman" w:cs="Times New Roman"/>
      <w:sz w:val="17"/>
      <w:szCs w:val="17"/>
      <w:lang w:eastAsia="es-CR"/>
    </w:rPr>
  </w:style>
  <w:style w:type="paragraph" w:styleId="Newsitem1" w:customStyle="1">
    <w:name w:val="newsitem1"/>
    <w:basedOn w:val="Normal"/>
    <w:qFormat/>
    <w:rsid w:val="00fa5a6f"/>
    <w:pPr>
      <w:spacing w:lineRule="auto" w:line="240" w:before="0" w:after="48"/>
      <w:ind w:right="240" w:hanging="0"/>
    </w:pPr>
    <w:rPr>
      <w:rFonts w:ascii="Times New Roman" w:hAnsi="Times New Roman" w:eastAsia="Times New Roman" w:cs="Times New Roman"/>
      <w:sz w:val="17"/>
      <w:szCs w:val="17"/>
      <w:lang w:eastAsia="es-CR"/>
    </w:rPr>
  </w:style>
  <w:style w:type="paragraph" w:styleId="Photocaption1" w:customStyle="1">
    <w:name w:val="photocaption1"/>
    <w:basedOn w:val="Normal"/>
    <w:qFormat/>
    <w:rsid w:val="00fa5a6f"/>
    <w:pPr>
      <w:spacing w:lineRule="auto" w:line="240" w:before="72" w:after="48"/>
      <w:ind w:left="240" w:right="360" w:hanging="0"/>
    </w:pPr>
    <w:rPr>
      <w:rFonts w:ascii="Times New Roman" w:hAnsi="Times New Roman" w:eastAsia="Times New Roman" w:cs="Times New Roman"/>
      <w:sz w:val="17"/>
      <w:szCs w:val="17"/>
      <w:lang w:eastAsia="es-CR"/>
    </w:rPr>
  </w:style>
  <w:style w:type="paragraph" w:styleId="Leftcol1" w:customStyle="1">
    <w:name w:val="leftcol1"/>
    <w:basedOn w:val="Normal"/>
    <w:qFormat/>
    <w:rsid w:val="00fa5a6f"/>
    <w:pPr>
      <w:pBdr>
        <w:right w:val="dotted" w:sz="6" w:space="0" w:color="AFAFAF"/>
      </w:pBdr>
      <w:spacing w:lineRule="auto" w:line="240" w:before="0" w:afterAutospacing="1"/>
      <w:ind w:left="120" w:hanging="0"/>
    </w:pPr>
    <w:rPr>
      <w:rFonts w:ascii="Times New Roman" w:hAnsi="Times New Roman" w:eastAsia="Times New Roman" w:cs="Times New Roman"/>
      <w:sz w:val="17"/>
      <w:szCs w:val="17"/>
      <w:lang w:eastAsia="es-CR"/>
    </w:rPr>
  </w:style>
  <w:style w:type="paragraph" w:styleId="Rightcol1" w:customStyle="1">
    <w:name w:val="rightcol1"/>
    <w:basedOn w:val="Normal"/>
    <w:qFormat/>
    <w:rsid w:val="00fa5a6f"/>
    <w:pPr>
      <w:spacing w:lineRule="auto" w:line="240" w:before="0" w:afterAutospacing="1"/>
    </w:pPr>
    <w:rPr>
      <w:rFonts w:ascii="Times New Roman" w:hAnsi="Times New Roman" w:eastAsia="Times New Roman" w:cs="Times New Roman"/>
      <w:sz w:val="17"/>
      <w:szCs w:val="17"/>
      <w:lang w:eastAsia="es-CR"/>
    </w:rPr>
  </w:style>
  <w:style w:type="paragraph" w:styleId="Friendfeedtext1" w:customStyle="1">
    <w:name w:val="friendfeed_text1"/>
    <w:basedOn w:val="Normal"/>
    <w:qFormat/>
    <w:rsid w:val="00fa5a6f"/>
    <w:pPr>
      <w:spacing w:lineRule="auto" w:line="240" w:before="0" w:after="75"/>
      <w:ind w:left="330" w:hanging="0"/>
    </w:pPr>
    <w:rPr>
      <w:rFonts w:ascii="Times New Roman" w:hAnsi="Times New Roman" w:eastAsia="Times New Roman" w:cs="Times New Roman"/>
      <w:sz w:val="17"/>
      <w:szCs w:val="17"/>
      <w:lang w:eastAsia="es-CR"/>
    </w:rPr>
  </w:style>
  <w:style w:type="paragraph" w:styleId="Friendfeeddate1" w:customStyle="1">
    <w:name w:val="friendfeed_date1"/>
    <w:basedOn w:val="Normal"/>
    <w:qFormat/>
    <w:rsid w:val="00fa5a6f"/>
    <w:pPr>
      <w:spacing w:lineRule="auto" w:line="240" w:beforeAutospacing="1" w:afterAutospacing="1"/>
    </w:pPr>
    <w:rPr>
      <w:rFonts w:ascii="Times New Roman" w:hAnsi="Times New Roman" w:eastAsia="Times New Roman" w:cs="Times New Roman"/>
      <w:color w:val="333333"/>
      <w:sz w:val="20"/>
      <w:szCs w:val="20"/>
      <w:lang w:eastAsia="es-CR"/>
    </w:rPr>
  </w:style>
  <w:style w:type="paragraph" w:styleId="Uitabsnav1" w:customStyle="1">
    <w:name w:val="ui-tabs-nav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hide1" w:customStyle="1">
    <w:name w:val="ui-tabs-hide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Uitabspanel1" w:customStyle="1">
    <w:name w:val="ui-tabs-panel1"/>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tabspanel2" w:customStyle="1">
    <w:name w:val="ui-tabs-panel2"/>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statehover1" w:customStyle="1">
    <w:name w:val="ui-state-hover1"/>
    <w:basedOn w:val="Normal"/>
    <w:qFormat/>
    <w:rsid w:val="00fa5a6f"/>
    <w:pPr>
      <w:spacing w:lineRule="auto" w:line="240" w:before="120" w:after="120"/>
    </w:pPr>
    <w:rPr>
      <w:rFonts w:ascii="Times New Roman" w:hAnsi="Times New Roman" w:eastAsia="Times New Roman" w:cs="Times New Roman"/>
      <w:lang w:eastAsia="es-CR"/>
    </w:rPr>
  </w:style>
  <w:style w:type="paragraph" w:styleId="Sourcecaption1" w:customStyle="1">
    <w:name w:val="sourcecaption1"/>
    <w:basedOn w:val="Normal"/>
    <w:qFormat/>
    <w:rsid w:val="00fa5a6f"/>
    <w:pPr>
      <w:spacing w:lineRule="auto" w:line="240" w:before="120" w:after="120"/>
    </w:pPr>
    <w:rPr>
      <w:rFonts w:ascii="Times New Roman" w:hAnsi="Times New Roman" w:eastAsia="Times New Roman" w:cs="Times New Roman"/>
      <w:color w:val="5477A7"/>
      <w:sz w:val="20"/>
      <w:szCs w:val="20"/>
      <w:lang w:eastAsia="es-CR"/>
    </w:rPr>
  </w:style>
  <w:style w:type="paragraph" w:styleId="Sourcecaption2" w:customStyle="1">
    <w:name w:val="sourcecaption2"/>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Sourcecaption3" w:customStyle="1">
    <w:name w:val="sourcecaption3"/>
    <w:basedOn w:val="Normal"/>
    <w:qFormat/>
    <w:rsid w:val="00fa5a6f"/>
    <w:pPr>
      <w:spacing w:lineRule="auto" w:line="240" w:beforeAutospacing="1" w:after="192"/>
    </w:pPr>
    <w:rPr>
      <w:rFonts w:ascii="Times New Roman" w:hAnsi="Times New Roman" w:eastAsia="Times New Roman" w:cs="Times New Roman"/>
      <w:color w:val="5477A7"/>
      <w:sz w:val="14"/>
      <w:szCs w:val="14"/>
      <w:lang w:eastAsia="es-CR"/>
    </w:rPr>
  </w:style>
  <w:style w:type="paragraph" w:styleId="Caption3" w:customStyle="1">
    <w:name w:val="caption3"/>
    <w:basedOn w:val="Normal"/>
    <w:qFormat/>
    <w:rsid w:val="00fa5a6f"/>
    <w:pPr>
      <w:spacing w:lineRule="auto" w:line="240" w:before="120" w:after="120"/>
    </w:pPr>
    <w:rPr>
      <w:rFonts w:ascii="Times New Roman" w:hAnsi="Times New Roman" w:eastAsia="Times New Roman" w:cs="Times New Roman"/>
      <w:color w:val="5477A7"/>
      <w:sz w:val="20"/>
      <w:szCs w:val="20"/>
      <w:lang w:eastAsia="es-CR"/>
    </w:rPr>
  </w:style>
  <w:style w:type="paragraph" w:styleId="Captiondate2" w:customStyle="1">
    <w:name w:val="captiondate2"/>
    <w:basedOn w:val="Normal"/>
    <w:qFormat/>
    <w:rsid w:val="00fa5a6f"/>
    <w:pPr>
      <w:spacing w:lineRule="auto" w:line="240" w:before="120" w:after="120"/>
    </w:pPr>
    <w:rPr>
      <w:rFonts w:ascii="Times New Roman" w:hAnsi="Times New Roman" w:eastAsia="Times New Roman" w:cs="Times New Roman"/>
      <w:color w:val="999999"/>
      <w:lang w:eastAsia="es-CR"/>
    </w:rPr>
  </w:style>
  <w:style w:type="paragraph" w:styleId="Newsitem2" w:customStyle="1">
    <w:name w:val="newsitem2"/>
    <w:basedOn w:val="Normal"/>
    <w:qFormat/>
    <w:rsid w:val="00fa5a6f"/>
    <w:pPr>
      <w:spacing w:lineRule="auto" w:line="240" w:before="0" w:after="120"/>
    </w:pPr>
    <w:rPr>
      <w:rFonts w:ascii="Times New Roman" w:hAnsi="Times New Roman" w:eastAsia="Times New Roman" w:cs="Times New Roman"/>
      <w:lang w:eastAsia="es-CR"/>
    </w:rPr>
  </w:style>
  <w:style w:type="paragraph" w:styleId="Newsitem3" w:customStyle="1">
    <w:name w:val="newsitem3"/>
    <w:basedOn w:val="Normal"/>
    <w:qFormat/>
    <w:rsid w:val="00fa5a6f"/>
    <w:pPr>
      <w:spacing w:lineRule="auto" w:line="240" w:before="0" w:after="120"/>
    </w:pPr>
    <w:rPr>
      <w:rFonts w:ascii="Times New Roman" w:hAnsi="Times New Roman" w:eastAsia="Times New Roman" w:cs="Times New Roman"/>
      <w:sz w:val="24"/>
      <w:szCs w:val="24"/>
      <w:lang w:eastAsia="es-CR"/>
    </w:rPr>
  </w:style>
  <w:style w:type="paragraph" w:styleId="Newsitem4" w:customStyle="1">
    <w:name w:val="newsitem4"/>
    <w:basedOn w:val="Normal"/>
    <w:qFormat/>
    <w:rsid w:val="00fa5a6f"/>
    <w:pPr>
      <w:spacing w:lineRule="auto" w:line="240" w:before="0" w:after="120"/>
    </w:pPr>
    <w:rPr>
      <w:rFonts w:ascii="Times New Roman" w:hAnsi="Times New Roman" w:eastAsia="Times New Roman" w:cs="Times New Roman"/>
      <w:sz w:val="16"/>
      <w:szCs w:val="16"/>
      <w:lang w:eastAsia="es-CR"/>
    </w:rPr>
  </w:style>
  <w:style w:type="paragraph" w:styleId="Photocaption2" w:customStyle="1">
    <w:name w:val="photocaption2"/>
    <w:basedOn w:val="Normal"/>
    <w:qFormat/>
    <w:rsid w:val="00fa5a6f"/>
    <w:pPr>
      <w:spacing w:lineRule="auto" w:line="240" w:before="72" w:after="48"/>
    </w:pPr>
    <w:rPr>
      <w:rFonts w:ascii="Times New Roman" w:hAnsi="Times New Roman" w:eastAsia="Times New Roman" w:cs="Times New Roman"/>
      <w:lang w:eastAsia="es-CR"/>
    </w:rPr>
  </w:style>
  <w:style w:type="paragraph" w:styleId="Photocaption3" w:customStyle="1">
    <w:name w:val="photocaption3"/>
    <w:basedOn w:val="Normal"/>
    <w:qFormat/>
    <w:rsid w:val="00fa5a6f"/>
    <w:pPr>
      <w:spacing w:lineRule="auto" w:line="240" w:before="72" w:after="48"/>
    </w:pPr>
    <w:rPr>
      <w:rFonts w:ascii="Times New Roman" w:hAnsi="Times New Roman" w:eastAsia="Times New Roman" w:cs="Times New Roman"/>
      <w:sz w:val="24"/>
      <w:szCs w:val="24"/>
      <w:lang w:eastAsia="es-CR"/>
    </w:rPr>
  </w:style>
  <w:style w:type="paragraph" w:styleId="Photocaption4" w:customStyle="1">
    <w:name w:val="photocaption4"/>
    <w:basedOn w:val="Normal"/>
    <w:qFormat/>
    <w:rsid w:val="00fa5a6f"/>
    <w:pPr>
      <w:spacing w:lineRule="auto" w:line="240" w:before="72" w:after="48"/>
    </w:pPr>
    <w:rPr>
      <w:rFonts w:ascii="Times New Roman" w:hAnsi="Times New Roman" w:eastAsia="Times New Roman" w:cs="Times New Roman"/>
      <w:sz w:val="16"/>
      <w:szCs w:val="16"/>
      <w:lang w:eastAsia="es-CR"/>
    </w:rPr>
  </w:style>
  <w:style w:type="paragraph" w:styleId="Uitabspanel3" w:customStyle="1">
    <w:name w:val="ui-tabs-panel3"/>
    <w:basedOn w:val="Normal"/>
    <w:qFormat/>
    <w:rsid w:val="00fa5a6f"/>
    <w:pPr>
      <w:shd w:val="clear" w:color="auto" w:fill="FFFFFF"/>
      <w:spacing w:lineRule="auto" w:line="240" w:beforeAutospacing="1" w:afterAutospacing="1"/>
    </w:pPr>
    <w:rPr>
      <w:rFonts w:ascii="Times New Roman" w:hAnsi="Times New Roman" w:eastAsia="Times New Roman" w:cs="Times New Roman"/>
      <w:sz w:val="24"/>
      <w:szCs w:val="24"/>
      <w:lang w:eastAsia="es-CR"/>
    </w:rPr>
  </w:style>
  <w:style w:type="paragraph" w:styleId="Uistatehover2" w:customStyle="1">
    <w:name w:val="ui-state-hover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aption4" w:customStyle="1">
    <w:name w:val="caption4"/>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Uitabspanel4" w:customStyle="1">
    <w:name w:val="ui-tabs-panel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hover3" w:customStyle="1">
    <w:name w:val="ui-state-hover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statedefault1" w:customStyle="1">
    <w:name w:val="ui-state-default1"/>
    <w:basedOn w:val="Normal"/>
    <w:qFormat/>
    <w:rsid w:val="00fa5a6f"/>
    <w:pPr>
      <w:shd w:val="clear" w:color="auto" w:fill="F8F8F8"/>
      <w:spacing w:lineRule="auto" w:line="240" w:beforeAutospacing="1" w:afterAutospacing="1"/>
    </w:pPr>
    <w:rPr>
      <w:rFonts w:ascii="Times New Roman" w:hAnsi="Times New Roman" w:eastAsia="Times New Roman" w:cs="Times New Roman"/>
      <w:sz w:val="24"/>
      <w:szCs w:val="24"/>
      <w:lang w:eastAsia="es-CR"/>
    </w:rPr>
  </w:style>
  <w:style w:type="paragraph" w:styleId="Tabcol1" w:customStyle="1">
    <w:name w:val="tabcol1"/>
    <w:basedOn w:val="Normal"/>
    <w:qFormat/>
    <w:rsid w:val="00fa5a6f"/>
    <w:pPr>
      <w:shd w:val="clear" w:color="auto" w:fill="FFFFFF"/>
      <w:spacing w:lineRule="auto" w:line="240" w:before="0" w:after="0"/>
      <w:ind w:right="120" w:hanging="0"/>
    </w:pPr>
    <w:rPr>
      <w:rFonts w:ascii="Times New Roman" w:hAnsi="Times New Roman" w:eastAsia="Times New Roman" w:cs="Times New Roman"/>
      <w:sz w:val="24"/>
      <w:szCs w:val="24"/>
      <w:lang w:eastAsia="es-CR"/>
    </w:rPr>
  </w:style>
  <w:style w:type="paragraph" w:styleId="Caption5" w:customStyle="1">
    <w:name w:val="caption5"/>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Areatitle1" w:customStyle="1">
    <w:name w:val="areatitle1"/>
    <w:basedOn w:val="Normal"/>
    <w:qFormat/>
    <w:rsid w:val="00fa5a6f"/>
    <w:pPr>
      <w:spacing w:lineRule="auto" w:line="240" w:beforeAutospacing="1" w:afterAutospacing="1"/>
    </w:pPr>
    <w:rPr>
      <w:rFonts w:ascii="Times New Roman" w:hAnsi="Times New Roman" w:eastAsia="Times New Roman" w:cs="Times New Roman"/>
      <w:b/>
      <w:bCs/>
      <w:sz w:val="26"/>
      <w:szCs w:val="26"/>
      <w:lang w:eastAsia="es-CR"/>
    </w:rPr>
  </w:style>
  <w:style w:type="paragraph" w:styleId="Pillars1" w:customStyle="1">
    <w:name w:val="pillars1"/>
    <w:basedOn w:val="Normal"/>
    <w:qFormat/>
    <w:rsid w:val="00fa5a6f"/>
    <w:pPr>
      <w:spacing w:lineRule="auto" w:line="240" w:before="192" w:after="192"/>
      <w:ind w:left="144" w:right="144" w:hanging="0"/>
    </w:pPr>
    <w:rPr>
      <w:rFonts w:ascii="Times New Roman" w:hAnsi="Times New Roman" w:eastAsia="Times New Roman" w:cs="Times New Roman"/>
      <w:sz w:val="19"/>
      <w:szCs w:val="19"/>
      <w:lang w:eastAsia="es-CR"/>
    </w:rPr>
  </w:style>
  <w:style w:type="paragraph" w:styleId="Column1" w:customStyle="1">
    <w:name w:val="column1"/>
    <w:basedOn w:val="Normal"/>
    <w:qFormat/>
    <w:rsid w:val="00fa5a6f"/>
    <w:pPr>
      <w:shd w:val="clear" w:color="auto" w:fill="FFFFFF"/>
      <w:spacing w:lineRule="auto" w:line="240" w:before="0" w:after="0"/>
      <w:ind w:left="96" w:right="96" w:hanging="0"/>
    </w:pPr>
    <w:rPr>
      <w:rFonts w:ascii="Times New Roman" w:hAnsi="Times New Roman" w:eastAsia="Times New Roman" w:cs="Times New Roman"/>
      <w:sz w:val="24"/>
      <w:szCs w:val="24"/>
      <w:lang w:eastAsia="es-CR"/>
    </w:rPr>
  </w:style>
  <w:style w:type="paragraph" w:styleId="Lastcol1" w:customStyle="1">
    <w:name w:val="lastcol1"/>
    <w:basedOn w:val="Normal"/>
    <w:qFormat/>
    <w:rsid w:val="00fa5a6f"/>
    <w:pPr>
      <w:spacing w:lineRule="auto" w:line="240" w:before="0" w:after="0"/>
      <w:ind w:left="120" w:hanging="0"/>
    </w:pPr>
    <w:rPr>
      <w:rFonts w:ascii="Times New Roman" w:hAnsi="Times New Roman" w:eastAsia="Times New Roman" w:cs="Times New Roman"/>
      <w:sz w:val="24"/>
      <w:szCs w:val="24"/>
      <w:lang w:eastAsia="es-CR"/>
    </w:rPr>
  </w:style>
  <w:style w:type="paragraph" w:styleId="Pillartitle1" w:customStyle="1">
    <w:name w:val="pillartitle1"/>
    <w:basedOn w:val="Normal"/>
    <w:qFormat/>
    <w:rsid w:val="00fa5a6f"/>
    <w:pPr>
      <w:spacing w:lineRule="auto" w:line="240" w:before="192" w:after="0"/>
      <w:ind w:left="144" w:right="144" w:hanging="0"/>
    </w:pPr>
    <w:rPr>
      <w:rFonts w:ascii="Times New Roman" w:hAnsi="Times New Roman" w:eastAsia="Times New Roman" w:cs="Times New Roman"/>
      <w:color w:val="FFFFFF"/>
      <w:sz w:val="19"/>
      <w:szCs w:val="19"/>
      <w:lang w:eastAsia="es-CR"/>
    </w:rPr>
  </w:style>
  <w:style w:type="paragraph" w:styleId="Pillartitle2" w:customStyle="1">
    <w:name w:val="pillartitle2"/>
    <w:basedOn w:val="Normal"/>
    <w:qFormat/>
    <w:rsid w:val="00fa5a6f"/>
    <w:pPr>
      <w:spacing w:lineRule="auto" w:line="240" w:before="192" w:after="0"/>
      <w:ind w:left="144" w:right="144" w:hanging="0"/>
    </w:pPr>
    <w:rPr>
      <w:rFonts w:ascii="Times New Roman" w:hAnsi="Times New Roman" w:eastAsia="Times New Roman" w:cs="Times New Roman"/>
      <w:color w:val="FFFFFF"/>
      <w:sz w:val="19"/>
      <w:szCs w:val="19"/>
      <w:lang w:eastAsia="es-CR"/>
    </w:rPr>
  </w:style>
  <w:style w:type="paragraph" w:styleId="Title1" w:customStyle="1">
    <w:name w:val="title1"/>
    <w:basedOn w:val="Normal"/>
    <w:qFormat/>
    <w:rsid w:val="00fa5a6f"/>
    <w:pPr>
      <w:shd w:val="clear" w:color="auto" w:fill="5477A7"/>
      <w:spacing w:lineRule="auto" w:line="240" w:before="0" w:after="120"/>
    </w:pPr>
    <w:rPr>
      <w:rFonts w:ascii="Times New Roman" w:hAnsi="Times New Roman" w:eastAsia="Times New Roman" w:cs="Times New Roman"/>
      <w:b/>
      <w:bCs/>
      <w:color w:val="FFFFFF"/>
      <w:sz w:val="24"/>
      <w:szCs w:val="24"/>
      <w:lang w:eastAsia="es-CR"/>
    </w:rPr>
  </w:style>
  <w:style w:type="paragraph" w:styleId="Title4" w:customStyle="1">
    <w:name w:val="title4"/>
    <w:basedOn w:val="Normal"/>
    <w:qFormat/>
    <w:rsid w:val="00fa5a6f"/>
    <w:pPr>
      <w:shd w:val="clear" w:color="auto" w:fill="859EC0"/>
      <w:spacing w:lineRule="auto" w:line="240" w:before="0" w:after="120"/>
    </w:pPr>
    <w:rPr>
      <w:rFonts w:ascii="Times New Roman" w:hAnsi="Times New Roman" w:eastAsia="Times New Roman" w:cs="Times New Roman"/>
      <w:b/>
      <w:bCs/>
      <w:color w:val="FFFFFF"/>
      <w:sz w:val="24"/>
      <w:szCs w:val="24"/>
      <w:lang w:eastAsia="es-CR"/>
    </w:rPr>
  </w:style>
  <w:style w:type="paragraph" w:styleId="Title21" w:customStyle="1">
    <w:name w:val="title21"/>
    <w:basedOn w:val="Normal"/>
    <w:qFormat/>
    <w:rsid w:val="00fa5a6f"/>
    <w:pPr>
      <w:shd w:val="clear" w:color="auto" w:fill="859EC0"/>
      <w:spacing w:lineRule="auto" w:line="240" w:before="0" w:after="120"/>
    </w:pPr>
    <w:rPr>
      <w:rFonts w:ascii="Times New Roman" w:hAnsi="Times New Roman" w:eastAsia="Times New Roman" w:cs="Times New Roman"/>
      <w:b/>
      <w:bCs/>
      <w:color w:val="FFFFFF"/>
      <w:sz w:val="24"/>
      <w:szCs w:val="24"/>
      <w:lang w:eastAsia="es-CR"/>
    </w:rPr>
  </w:style>
  <w:style w:type="paragraph" w:styleId="Title31" w:customStyle="1">
    <w:name w:val="title31"/>
    <w:basedOn w:val="Normal"/>
    <w:qFormat/>
    <w:rsid w:val="00fa5a6f"/>
    <w:pPr>
      <w:shd w:val="clear" w:color="auto" w:fill="F5F5EF"/>
      <w:spacing w:lineRule="auto" w:line="240" w:before="0" w:after="120"/>
    </w:pPr>
    <w:rPr>
      <w:rFonts w:ascii="Times New Roman" w:hAnsi="Times New Roman" w:eastAsia="Times New Roman" w:cs="Times New Roman"/>
      <w:b/>
      <w:bCs/>
      <w:color w:val="000000"/>
      <w:sz w:val="24"/>
      <w:szCs w:val="24"/>
      <w:lang w:eastAsia="es-CR"/>
    </w:rPr>
  </w:style>
  <w:style w:type="paragraph" w:styleId="Mainpic1" w:customStyle="1">
    <w:name w:val="mainpic1"/>
    <w:basedOn w:val="Normal"/>
    <w:qFormat/>
    <w:rsid w:val="00fa5a6f"/>
    <w:pPr>
      <w:spacing w:lineRule="auto" w:line="240" w:before="0" w:after="120"/>
      <w:ind w:left="120" w:right="240" w:hanging="0"/>
    </w:pPr>
    <w:rPr>
      <w:rFonts w:ascii="Times New Roman" w:hAnsi="Times New Roman" w:eastAsia="Times New Roman" w:cs="Times New Roman"/>
      <w:sz w:val="24"/>
      <w:szCs w:val="24"/>
      <w:lang w:eastAsia="es-CR"/>
    </w:rPr>
  </w:style>
  <w:style w:type="paragraph" w:styleId="Boxpic1" w:customStyle="1">
    <w:name w:val="boxpic1"/>
    <w:basedOn w:val="Normal"/>
    <w:qFormat/>
    <w:rsid w:val="00fa5a6f"/>
    <w:pPr>
      <w:spacing w:lineRule="auto" w:line="240" w:before="0" w:after="240"/>
      <w:ind w:right="120" w:hanging="0"/>
    </w:pPr>
    <w:rPr>
      <w:rFonts w:ascii="Times New Roman" w:hAnsi="Times New Roman" w:eastAsia="Times New Roman" w:cs="Times New Roman"/>
      <w:sz w:val="24"/>
      <w:szCs w:val="24"/>
      <w:lang w:eastAsia="es-CR"/>
    </w:rPr>
  </w:style>
  <w:style w:type="paragraph" w:styleId="Marginb11" w:customStyle="1">
    <w:name w:val="marginb11"/>
    <w:basedOn w:val="Normal"/>
    <w:qFormat/>
    <w:rsid w:val="00fa5a6f"/>
    <w:pPr>
      <w:spacing w:lineRule="auto" w:line="240" w:beforeAutospacing="1" w:after="240"/>
    </w:pPr>
    <w:rPr>
      <w:rFonts w:ascii="Times New Roman" w:hAnsi="Times New Roman" w:eastAsia="Times New Roman" w:cs="Times New Roman"/>
      <w:sz w:val="24"/>
      <w:szCs w:val="24"/>
      <w:lang w:eastAsia="es-CR"/>
    </w:rPr>
  </w:style>
  <w:style w:type="paragraph" w:styleId="Caption6" w:customStyle="1">
    <w:name w:val="caption6"/>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Captiondate3" w:customStyle="1">
    <w:name w:val="captiondate3"/>
    <w:basedOn w:val="Normal"/>
    <w:qFormat/>
    <w:rsid w:val="00fa5a6f"/>
    <w:pPr>
      <w:spacing w:lineRule="auto" w:line="240" w:beforeAutospacing="1" w:afterAutospacing="1"/>
    </w:pPr>
    <w:rPr>
      <w:rFonts w:ascii="Times New Roman" w:hAnsi="Times New Roman" w:eastAsia="Times New Roman" w:cs="Times New Roman"/>
      <w:color w:val="37567F"/>
      <w:sz w:val="24"/>
      <w:szCs w:val="24"/>
      <w:lang w:eastAsia="es-CR"/>
    </w:rPr>
  </w:style>
  <w:style w:type="paragraph" w:styleId="Uitabs1" w:customStyle="1">
    <w:name w:val="ui-tab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Uitabspanel5" w:customStyle="1">
    <w:name w:val="ui-tabs-panel5"/>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three1" w:customStyle="1">
    <w:name w:val="tabcolthree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abcolfour1" w:customStyle="1">
    <w:name w:val="tabcolfour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eftcollist1" w:customStyle="1">
    <w:name w:val="leftcollis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Rightcollist1" w:customStyle="1">
    <w:name w:val="rightcollis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5" w:customStyle="1">
    <w:name w:val="title5"/>
    <w:basedOn w:val="Normal"/>
    <w:qFormat/>
    <w:rsid w:val="00fa5a6f"/>
    <w:pPr>
      <w:spacing w:lineRule="auto" w:line="240" w:before="72" w:after="72"/>
    </w:pPr>
    <w:rPr>
      <w:rFonts w:ascii="Times New Roman" w:hAnsi="Times New Roman" w:eastAsia="Times New Roman" w:cs="Times New Roman"/>
      <w:lang w:eastAsia="es-CR"/>
    </w:rPr>
  </w:style>
  <w:style w:type="paragraph" w:styleId="Footline1" w:customStyle="1">
    <w:name w:val="footline1"/>
    <w:basedOn w:val="Normal"/>
    <w:qFormat/>
    <w:rsid w:val="00fa5a6f"/>
    <w:pPr>
      <w:pBdr>
        <w:bottom w:val="single" w:sz="6" w:space="0" w:color="333333"/>
      </w:pBdr>
      <w:spacing w:lineRule="auto" w:line="240" w:before="72" w:after="72"/>
    </w:pPr>
    <w:rPr>
      <w:rFonts w:ascii="Times New Roman" w:hAnsi="Times New Roman" w:eastAsia="Times New Roman" w:cs="Times New Roman"/>
      <w:sz w:val="24"/>
      <w:szCs w:val="24"/>
      <w:lang w:eastAsia="es-CR"/>
    </w:rPr>
  </w:style>
  <w:style w:type="paragraph" w:styleId="Footline2" w:customStyle="1">
    <w:name w:val="footline2"/>
    <w:basedOn w:val="Normal"/>
    <w:qFormat/>
    <w:rsid w:val="00fa5a6f"/>
    <w:pPr>
      <w:pBdr>
        <w:bottom w:val="single" w:sz="6" w:space="0" w:color="333333"/>
      </w:pBdr>
      <w:spacing w:lineRule="auto" w:line="240" w:beforeAutospacing="1" w:afterAutospacing="1"/>
    </w:pPr>
    <w:rPr>
      <w:rFonts w:ascii="Times New Roman" w:hAnsi="Times New Roman" w:eastAsia="Times New Roman" w:cs="Times New Roman"/>
      <w:sz w:val="24"/>
      <w:szCs w:val="24"/>
      <w:lang w:eastAsia="es-CR"/>
    </w:rPr>
  </w:style>
  <w:style w:type="paragraph" w:styleId="Footnote2" w:customStyle="1">
    <w:name w:val="footnote2"/>
    <w:basedOn w:val="Normal"/>
    <w:qFormat/>
    <w:rsid w:val="00fa5a6f"/>
    <w:pPr>
      <w:spacing w:lineRule="auto" w:line="240" w:before="72" w:after="72"/>
    </w:pPr>
    <w:rPr>
      <w:rFonts w:ascii="Times New Roman" w:hAnsi="Times New Roman" w:eastAsia="Times New Roman" w:cs="Times New Roman"/>
      <w:sz w:val="18"/>
      <w:szCs w:val="18"/>
      <w:lang w:eastAsia="es-CR"/>
    </w:rPr>
  </w:style>
  <w:style w:type="paragraph" w:styleId="Footnote3" w:customStyle="1">
    <w:name w:val="footnote3"/>
    <w:basedOn w:val="Normal"/>
    <w:qFormat/>
    <w:rsid w:val="00fa5a6f"/>
    <w:pPr>
      <w:spacing w:lineRule="auto" w:line="240" w:beforeAutospacing="1" w:afterAutospacing="1"/>
    </w:pPr>
    <w:rPr>
      <w:rFonts w:ascii="Times New Roman" w:hAnsi="Times New Roman" w:eastAsia="Times New Roman" w:cs="Times New Roman"/>
      <w:sz w:val="18"/>
      <w:szCs w:val="18"/>
      <w:lang w:eastAsia="es-CR"/>
    </w:rPr>
  </w:style>
  <w:style w:type="paragraph" w:styleId="Caption7" w:customStyle="1">
    <w:name w:val="caption7"/>
    <w:basedOn w:val="Normal"/>
    <w:qFormat/>
    <w:rsid w:val="00fa5a6f"/>
    <w:pPr>
      <w:spacing w:lineRule="auto" w:line="240" w:before="72" w:after="72"/>
    </w:pPr>
    <w:rPr>
      <w:rFonts w:ascii="Times New Roman" w:hAnsi="Times New Roman" w:eastAsia="Times New Roman" w:cs="Times New Roman"/>
      <w:sz w:val="17"/>
      <w:szCs w:val="17"/>
      <w:lang w:eastAsia="es-CR"/>
    </w:rPr>
  </w:style>
  <w:style w:type="paragraph" w:styleId="Caption8" w:customStyle="1">
    <w:name w:val="caption8"/>
    <w:basedOn w:val="Normal"/>
    <w:qFormat/>
    <w:rsid w:val="00fa5a6f"/>
    <w:pPr>
      <w:spacing w:lineRule="auto" w:line="240" w:beforeAutospacing="1" w:afterAutospacing="1"/>
    </w:pPr>
    <w:rPr>
      <w:rFonts w:ascii="Times New Roman" w:hAnsi="Times New Roman" w:eastAsia="Times New Roman" w:cs="Times New Roman"/>
      <w:sz w:val="17"/>
      <w:szCs w:val="17"/>
      <w:lang w:eastAsia="es-CR"/>
    </w:rPr>
  </w:style>
  <w:style w:type="paragraph" w:styleId="Title6" w:customStyle="1">
    <w:name w:val="title6"/>
    <w:basedOn w:val="Normal"/>
    <w:qFormat/>
    <w:rsid w:val="00fa5a6f"/>
    <w:pPr>
      <w:spacing w:lineRule="auto" w:line="240" w:beforeAutospacing="1" w:afterAutospacing="1"/>
    </w:pPr>
    <w:rPr>
      <w:rFonts w:ascii="Times New Roman" w:hAnsi="Times New Roman" w:eastAsia="Times New Roman" w:cs="Times New Roman"/>
      <w:lang w:eastAsia="es-CR"/>
    </w:rPr>
  </w:style>
  <w:style w:type="paragraph" w:styleId="Title7" w:customStyle="1">
    <w:name w:val="title7"/>
    <w:basedOn w:val="Normal"/>
    <w:qFormat/>
    <w:rsid w:val="00fa5a6f"/>
    <w:pPr>
      <w:spacing w:lineRule="auto" w:line="240" w:before="72" w:after="72"/>
    </w:pPr>
    <w:rPr>
      <w:rFonts w:ascii="Times New Roman" w:hAnsi="Times New Roman" w:eastAsia="Times New Roman" w:cs="Times New Roman"/>
      <w:lang w:eastAsia="es-CR"/>
    </w:rPr>
  </w:style>
  <w:style w:type="paragraph" w:styleId="Indicaterequired1" w:customStyle="1">
    <w:name w:val="indicate-required1"/>
    <w:basedOn w:val="Normal"/>
    <w:qFormat/>
    <w:rsid w:val="00fa5a6f"/>
    <w:pPr>
      <w:spacing w:lineRule="auto" w:line="240" w:before="192" w:after="0"/>
    </w:pPr>
    <w:rPr>
      <w:rFonts w:ascii="Times New Roman" w:hAnsi="Times New Roman" w:eastAsia="Times New Roman" w:cs="Times New Roman"/>
      <w:b/>
      <w:bCs/>
      <w:color w:val="CC0000"/>
      <w:sz w:val="24"/>
      <w:szCs w:val="24"/>
      <w:lang w:eastAsia="es-CR"/>
    </w:rPr>
  </w:style>
  <w:style w:type="paragraph" w:styleId="Mceinlineerror1" w:customStyle="1">
    <w:name w:val="mce_inline_error1"/>
    <w:basedOn w:val="Normal"/>
    <w:qFormat/>
    <w:rsid w:val="00fa5a6f"/>
    <w:pPr>
      <w:spacing w:lineRule="auto" w:line="240" w:beforeAutospacing="1" w:afterAutospacing="1"/>
    </w:pPr>
    <w:rPr>
      <w:rFonts w:ascii="Times New Roman" w:hAnsi="Times New Roman" w:eastAsia="Times New Roman" w:cs="Times New Roman"/>
      <w:b/>
      <w:bCs/>
      <w:color w:val="CC0000"/>
      <w:sz w:val="24"/>
      <w:szCs w:val="24"/>
      <w:lang w:eastAsia="es-CR"/>
    </w:rPr>
  </w:style>
  <w:style w:type="paragraph" w:styleId="Noterequired1" w:customStyle="1">
    <w:name w:val="note-required1"/>
    <w:basedOn w:val="Normal"/>
    <w:qFormat/>
    <w:rsid w:val="00fa5a6f"/>
    <w:pPr>
      <w:spacing w:lineRule="auto" w:line="240" w:beforeAutospacing="1" w:afterAutospacing="1"/>
    </w:pPr>
    <w:rPr>
      <w:rFonts w:ascii="Times New Roman" w:hAnsi="Times New Roman" w:eastAsia="Times New Roman" w:cs="Times New Roman"/>
      <w:b/>
      <w:bCs/>
      <w:color w:val="CC0000"/>
      <w:sz w:val="24"/>
      <w:szCs w:val="24"/>
      <w:lang w:eastAsia="es-CR"/>
    </w:rPr>
  </w:style>
  <w:style w:type="paragraph" w:styleId="Mcfieldgroup1" w:customStyle="1">
    <w:name w:val="mc-field-group1"/>
    <w:basedOn w:val="Normal"/>
    <w:qFormat/>
    <w:rsid w:val="00fa5a6f"/>
    <w:pPr>
      <w:spacing w:lineRule="auto" w:line="240" w:beforeAutospacing="1" w:after="192"/>
    </w:pPr>
    <w:rPr>
      <w:rFonts w:ascii="Times New Roman" w:hAnsi="Times New Roman" w:eastAsia="Times New Roman" w:cs="Times New Roman"/>
      <w:sz w:val="24"/>
      <w:szCs w:val="24"/>
      <w:lang w:eastAsia="es-CR"/>
    </w:rPr>
  </w:style>
  <w:style w:type="paragraph" w:styleId="Threecols1" w:customStyle="1">
    <w:name w:val="three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hreecols2" w:customStyle="1">
    <w:name w:val="three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urcols1" w:customStyle="1">
    <w:name w:val="four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Fourcols2" w:customStyle="1">
    <w:name w:val="four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wocols1" w:customStyle="1">
    <w:name w:val="two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12" w:customStyle="1">
    <w:name w:val="col11"/>
    <w:basedOn w:val="Normal"/>
    <w:qFormat/>
    <w:rsid w:val="00fa5a6f"/>
    <w:pPr>
      <w:spacing w:lineRule="auto" w:line="240" w:before="0" w:after="0"/>
      <w:ind w:right="264" w:hanging="0"/>
    </w:pPr>
    <w:rPr>
      <w:rFonts w:ascii="Times New Roman" w:hAnsi="Times New Roman" w:eastAsia="Times New Roman" w:cs="Times New Roman"/>
      <w:sz w:val="24"/>
      <w:szCs w:val="24"/>
      <w:lang w:eastAsia="es-CR"/>
    </w:rPr>
  </w:style>
  <w:style w:type="paragraph" w:styleId="Col212" w:customStyle="1">
    <w:name w:val="col21"/>
    <w:basedOn w:val="Normal"/>
    <w:qFormat/>
    <w:rsid w:val="00fa5a6f"/>
    <w:pPr>
      <w:spacing w:lineRule="auto" w:line="240" w:before="0" w:after="0"/>
      <w:ind w:right="192" w:hanging="0"/>
    </w:pPr>
    <w:rPr>
      <w:rFonts w:ascii="Times New Roman" w:hAnsi="Times New Roman" w:eastAsia="Times New Roman" w:cs="Times New Roman"/>
      <w:sz w:val="24"/>
      <w:szCs w:val="24"/>
      <w:lang w:eastAsia="es-CR"/>
    </w:rPr>
  </w:style>
  <w:style w:type="paragraph" w:styleId="Col31" w:customStyle="1">
    <w:name w:val="col31"/>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12" w:customStyle="1">
    <w:name w:val="col12"/>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22" w:customStyle="1">
    <w:name w:val="col22"/>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32" w:customStyle="1">
    <w:name w:val="col32"/>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41" w:customStyle="1">
    <w:name w:val="col41"/>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13" w:customStyle="1">
    <w:name w:val="col13"/>
    <w:basedOn w:val="Normal"/>
    <w:qFormat/>
    <w:rsid w:val="00fa5a6f"/>
    <w:pPr>
      <w:spacing w:lineRule="auto" w:line="240" w:before="0" w:after="0"/>
      <w:ind w:right="264" w:hanging="0"/>
    </w:pPr>
    <w:rPr>
      <w:rFonts w:ascii="Times New Roman" w:hAnsi="Times New Roman" w:eastAsia="Times New Roman" w:cs="Times New Roman"/>
      <w:sz w:val="24"/>
      <w:szCs w:val="24"/>
      <w:lang w:eastAsia="es-CR"/>
    </w:rPr>
  </w:style>
  <w:style w:type="paragraph" w:styleId="Col23" w:customStyle="1">
    <w:name w:val="col23"/>
    <w:basedOn w:val="Normal"/>
    <w:qFormat/>
    <w:rsid w:val="00fa5a6f"/>
    <w:pPr>
      <w:spacing w:lineRule="auto" w:line="240" w:before="0" w:after="0"/>
      <w:ind w:right="192" w:hanging="0"/>
    </w:pPr>
    <w:rPr>
      <w:rFonts w:ascii="Times New Roman" w:hAnsi="Times New Roman" w:eastAsia="Times New Roman" w:cs="Times New Roman"/>
      <w:sz w:val="24"/>
      <w:szCs w:val="24"/>
      <w:lang w:eastAsia="es-CR"/>
    </w:rPr>
  </w:style>
  <w:style w:type="paragraph" w:styleId="Col33" w:customStyle="1">
    <w:name w:val="col33"/>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14" w:customStyle="1">
    <w:name w:val="col14"/>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24" w:customStyle="1">
    <w:name w:val="col24"/>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34" w:customStyle="1">
    <w:name w:val="col34"/>
    <w:basedOn w:val="Normal"/>
    <w:qFormat/>
    <w:rsid w:val="00fa5a6f"/>
    <w:pPr>
      <w:spacing w:lineRule="auto" w:line="240" w:before="0" w:after="0"/>
      <w:ind w:right="120" w:hanging="0"/>
    </w:pPr>
    <w:rPr>
      <w:rFonts w:ascii="Times New Roman" w:hAnsi="Times New Roman" w:eastAsia="Times New Roman" w:cs="Times New Roman"/>
      <w:sz w:val="24"/>
      <w:szCs w:val="24"/>
      <w:lang w:eastAsia="es-CR"/>
    </w:rPr>
  </w:style>
  <w:style w:type="paragraph" w:styleId="Col42" w:customStyle="1">
    <w:name w:val="col42"/>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Sevencols1" w:customStyle="1">
    <w:name w:val="seven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evencols2" w:customStyle="1">
    <w:name w:val="seven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5" w:customStyle="1">
    <w:name w:val="col15"/>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25" w:customStyle="1">
    <w:name w:val="col25"/>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35" w:customStyle="1">
    <w:name w:val="col35"/>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43" w:customStyle="1">
    <w:name w:val="col43"/>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51" w:customStyle="1">
    <w:name w:val="col51"/>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61" w:customStyle="1">
    <w:name w:val="col61"/>
    <w:basedOn w:val="Normal"/>
    <w:qFormat/>
    <w:rsid w:val="00fa5a6f"/>
    <w:pPr>
      <w:spacing w:lineRule="auto" w:line="240" w:before="0" w:after="0"/>
      <w:ind w:right="24" w:hanging="0"/>
    </w:pPr>
    <w:rPr>
      <w:rFonts w:ascii="Times New Roman" w:hAnsi="Times New Roman" w:eastAsia="Times New Roman" w:cs="Times New Roman"/>
      <w:sz w:val="24"/>
      <w:szCs w:val="24"/>
      <w:lang w:eastAsia="es-CR"/>
    </w:rPr>
  </w:style>
  <w:style w:type="paragraph" w:styleId="Col71" w:customStyle="1">
    <w:name w:val="col71"/>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Linext1" w:customStyle="1">
    <w:name w:val="linext1"/>
    <w:basedOn w:val="Normal"/>
    <w:qFormat/>
    <w:rsid w:val="00fa5a6f"/>
    <w:pPr>
      <w:pBdr>
        <w:righ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Linext2" w:customStyle="1">
    <w:name w:val="linext2"/>
    <w:basedOn w:val="Normal"/>
    <w:qFormat/>
    <w:rsid w:val="00fa5a6f"/>
    <w:pPr>
      <w:pBdr>
        <w:righ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Shrink1" w:customStyle="1">
    <w:name w:val="shrink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s1" w:customStyle="1">
    <w:name w:val="sg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s2" w:customStyle="1">
    <w:name w:val="sg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6" w:customStyle="1">
    <w:name w:val="col1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26" w:customStyle="1">
    <w:name w:val="col2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36" w:customStyle="1">
    <w:name w:val="col3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Linecsg1" w:customStyle="1">
    <w:name w:val="linecsg1"/>
    <w:basedOn w:val="Normal"/>
    <w:qFormat/>
    <w:rsid w:val="00fa5a6f"/>
    <w:pPr>
      <w:pBdr>
        <w:top w:val="single" w:sz="6" w:space="0" w:color="666666"/>
        <w:left w:val="single" w:sz="6" w:space="0" w:color="666666"/>
      </w:pBdr>
      <w:spacing w:lineRule="auto" w:line="240" w:before="20" w:afterAutospacing="1"/>
      <w:ind w:left="6120" w:hanging="0"/>
    </w:pPr>
    <w:rPr>
      <w:rFonts w:ascii="Times New Roman" w:hAnsi="Times New Roman" w:eastAsia="Times New Roman" w:cs="Times New Roman"/>
      <w:sz w:val="24"/>
      <w:szCs w:val="24"/>
      <w:lang w:eastAsia="es-CR"/>
    </w:rPr>
  </w:style>
  <w:style w:type="paragraph" w:styleId="Lineasg1" w:customStyle="1">
    <w:name w:val="lineasg1"/>
    <w:basedOn w:val="Normal"/>
    <w:qFormat/>
    <w:rsid w:val="00fa5a6f"/>
    <w:pPr>
      <w:pBdr>
        <w:top w:val="single" w:sz="6" w:space="0" w:color="666666"/>
        <w:right w:val="single" w:sz="6" w:space="0" w:color="666666"/>
      </w:pBdr>
      <w:spacing w:lineRule="auto" w:line="240" w:before="0" w:afterAutospacing="1"/>
      <w:ind w:right="6120" w:hanging="0"/>
    </w:pPr>
    <w:rPr>
      <w:rFonts w:ascii="Times New Roman" w:hAnsi="Times New Roman" w:eastAsia="Times New Roman" w:cs="Times New Roman"/>
      <w:sz w:val="24"/>
      <w:szCs w:val="24"/>
      <w:lang w:eastAsia="es-CR"/>
    </w:rPr>
  </w:style>
  <w:style w:type="paragraph" w:styleId="Linehlf1" w:customStyle="1">
    <w:name w:val="linehlf1"/>
    <w:basedOn w:val="Normal"/>
    <w:qFormat/>
    <w:rsid w:val="00fa5a6f"/>
    <w:pPr>
      <w:pBdr>
        <w:right w:val="single" w:sz="6" w:space="0" w:color="666666"/>
      </w:pBdr>
      <w:spacing w:lineRule="auto" w:line="240" w:before="0" w:afterAutospacing="1"/>
      <w:ind w:right="6120" w:hanging="0"/>
    </w:pPr>
    <w:rPr>
      <w:rFonts w:ascii="Times New Roman" w:hAnsi="Times New Roman" w:eastAsia="Times New Roman" w:cs="Times New Roman"/>
      <w:sz w:val="24"/>
      <w:szCs w:val="24"/>
      <w:lang w:eastAsia="es-CR"/>
    </w:rPr>
  </w:style>
  <w:style w:type="paragraph" w:styleId="Ascols1" w:customStyle="1">
    <w:name w:val="ascols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scols2" w:customStyle="1">
    <w:name w:val="ascols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17" w:customStyle="1">
    <w:name w:val="col17"/>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Col27" w:customStyle="1">
    <w:name w:val="col27"/>
    <w:basedOn w:val="Normal"/>
    <w:qFormat/>
    <w:rsid w:val="00fa5a6f"/>
    <w:pPr>
      <w:pBdr>
        <w:lef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Linehlf2" w:customStyle="1">
    <w:name w:val="linehlf2"/>
    <w:basedOn w:val="Normal"/>
    <w:qFormat/>
    <w:rsid w:val="00fa5a6f"/>
    <w:pPr>
      <w:pBdr>
        <w:top w:val="single" w:sz="6" w:space="0" w:color="666666"/>
      </w:pBdr>
      <w:spacing w:lineRule="auto" w:line="240" w:before="1650" w:afterAutospacing="1"/>
    </w:pPr>
    <w:rPr>
      <w:rFonts w:ascii="Times New Roman" w:hAnsi="Times New Roman" w:eastAsia="Times New Roman" w:cs="Times New Roman"/>
      <w:sz w:val="24"/>
      <w:szCs w:val="24"/>
      <w:lang w:eastAsia="es-CR"/>
    </w:rPr>
  </w:style>
  <w:style w:type="paragraph" w:styleId="Sevenlines1" w:customStyle="1">
    <w:name w:val="sevenlines1"/>
    <w:basedOn w:val="Normal"/>
    <w:qFormat/>
    <w:rsid w:val="00fa5a6f"/>
    <w:pPr>
      <w:pBdr>
        <w:top w:val="single" w:sz="6" w:space="0" w:color="666666"/>
      </w:pBdr>
      <w:spacing w:lineRule="auto" w:line="240" w:beforeAutospacing="1" w:afterAutospacing="1"/>
      <w:ind w:left="1185" w:hanging="0"/>
    </w:pPr>
    <w:rPr>
      <w:rFonts w:ascii="Times New Roman" w:hAnsi="Times New Roman" w:eastAsia="Times New Roman" w:cs="Times New Roman"/>
      <w:sz w:val="24"/>
      <w:szCs w:val="24"/>
      <w:lang w:eastAsia="es-CR"/>
    </w:rPr>
  </w:style>
  <w:style w:type="paragraph" w:styleId="Sevenlines2" w:customStyle="1">
    <w:name w:val="sevenlines2"/>
    <w:basedOn w:val="Normal"/>
    <w:qFormat/>
    <w:rsid w:val="00fa5a6f"/>
    <w:pPr>
      <w:pBdr>
        <w:top w:val="single" w:sz="6" w:space="0" w:color="666666"/>
      </w:pBdr>
      <w:spacing w:lineRule="auto" w:line="240" w:beforeAutospacing="1" w:afterAutospacing="1"/>
      <w:ind w:left="1185" w:hanging="0"/>
    </w:pPr>
    <w:rPr>
      <w:rFonts w:ascii="Times New Roman" w:hAnsi="Times New Roman" w:eastAsia="Times New Roman" w:cs="Times New Roman"/>
      <w:sz w:val="24"/>
      <w:szCs w:val="24"/>
      <w:lang w:eastAsia="es-CR"/>
    </w:rPr>
  </w:style>
  <w:style w:type="paragraph" w:styleId="Col18" w:customStyle="1">
    <w:name w:val="col18"/>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28" w:customStyle="1">
    <w:name w:val="col28"/>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37" w:customStyle="1">
    <w:name w:val="col37"/>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44" w:customStyle="1">
    <w:name w:val="col44"/>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52" w:customStyle="1">
    <w:name w:val="col52"/>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62" w:customStyle="1">
    <w:name w:val="col62"/>
    <w:basedOn w:val="Normal"/>
    <w:qFormat/>
    <w:rsid w:val="00fa5a6f"/>
    <w:pPr>
      <w:pBdr>
        <w:left w:val="single" w:sz="6" w:space="0" w:color="666666"/>
      </w:pBdr>
      <w:spacing w:lineRule="auto" w:line="240" w:before="0" w:after="0"/>
      <w:ind w:right="750" w:hanging="0"/>
    </w:pPr>
    <w:rPr>
      <w:rFonts w:ascii="Times New Roman" w:hAnsi="Times New Roman" w:eastAsia="Times New Roman" w:cs="Times New Roman"/>
      <w:sz w:val="24"/>
      <w:szCs w:val="24"/>
      <w:lang w:eastAsia="es-CR"/>
    </w:rPr>
  </w:style>
  <w:style w:type="paragraph" w:styleId="Col72" w:customStyle="1">
    <w:name w:val="col72"/>
    <w:basedOn w:val="Normal"/>
    <w:qFormat/>
    <w:rsid w:val="00fa5a6f"/>
    <w:pPr>
      <w:pBdr>
        <w:left w:val="single" w:sz="6" w:space="0" w:color="666666"/>
      </w:pBdr>
      <w:spacing w:lineRule="auto" w:line="240" w:before="0" w:after="0"/>
    </w:pPr>
    <w:rPr>
      <w:rFonts w:ascii="Times New Roman" w:hAnsi="Times New Roman" w:eastAsia="Times New Roman" w:cs="Times New Roman"/>
      <w:sz w:val="24"/>
      <w:szCs w:val="24"/>
      <w:lang w:eastAsia="es-CR"/>
    </w:rPr>
  </w:style>
  <w:style w:type="paragraph" w:styleId="Shrink2" w:customStyle="1">
    <w:name w:val="shrink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e1" w:customStyle="1">
    <w:name w:val="linee1"/>
    <w:basedOn w:val="Normal"/>
    <w:qFormat/>
    <w:rsid w:val="00fa5a6f"/>
    <w:pPr>
      <w:pBdr>
        <w:top w:val="single" w:sz="6" w:space="0" w:color="666666"/>
      </w:pBdr>
      <w:spacing w:lineRule="auto" w:line="240" w:before="0" w:afterAutospacing="1"/>
      <w:ind w:left="-450" w:hanging="0"/>
    </w:pPr>
    <w:rPr>
      <w:rFonts w:ascii="Times New Roman" w:hAnsi="Times New Roman" w:eastAsia="Times New Roman" w:cs="Times New Roman"/>
      <w:sz w:val="24"/>
      <w:szCs w:val="24"/>
      <w:lang w:eastAsia="es-CR"/>
    </w:rPr>
  </w:style>
  <w:style w:type="paragraph" w:styleId="Lineeh1" w:customStyle="1">
    <w:name w:val="lineeh1"/>
    <w:basedOn w:val="Normal"/>
    <w:qFormat/>
    <w:rsid w:val="00fa5a6f"/>
    <w:pPr>
      <w:pBdr>
        <w:right w:val="single" w:sz="6" w:space="0" w:color="666666"/>
      </w:pBdr>
      <w:spacing w:lineRule="auto" w:line="240" w:before="1500" w:afterAutospacing="1"/>
    </w:pPr>
    <w:rPr>
      <w:rFonts w:ascii="Times New Roman" w:hAnsi="Times New Roman" w:eastAsia="Times New Roman" w:cs="Times New Roman"/>
      <w:sz w:val="24"/>
      <w:szCs w:val="24"/>
      <w:lang w:eastAsia="es-CR"/>
    </w:rPr>
  </w:style>
  <w:style w:type="paragraph" w:styleId="Linea1" w:customStyle="1">
    <w:name w:val="linea1"/>
    <w:basedOn w:val="Normal"/>
    <w:qFormat/>
    <w:rsid w:val="00fa5a6f"/>
    <w:pPr>
      <w:pBdr>
        <w:top w:val="single" w:sz="6" w:space="0" w:color="666666"/>
      </w:pBdr>
      <w:spacing w:lineRule="auto" w:line="240" w:before="0" w:afterAutospacing="1"/>
      <w:ind w:left="450" w:hanging="0"/>
    </w:pPr>
    <w:rPr>
      <w:rFonts w:ascii="Times New Roman" w:hAnsi="Times New Roman" w:eastAsia="Times New Roman" w:cs="Times New Roman"/>
      <w:sz w:val="24"/>
      <w:szCs w:val="24"/>
      <w:lang w:eastAsia="es-CR"/>
    </w:rPr>
  </w:style>
  <w:style w:type="paragraph" w:styleId="Lineb1" w:customStyle="1">
    <w:name w:val="lineb1"/>
    <w:basedOn w:val="Normal"/>
    <w:qFormat/>
    <w:rsid w:val="00fa5a6f"/>
    <w:pPr>
      <w:pBdr>
        <w:top w:val="single" w:sz="6" w:space="0" w:color="666666"/>
      </w:pBdr>
      <w:spacing w:lineRule="auto" w:line="240" w:before="0" w:afterAutospacing="1"/>
      <w:ind w:left="450" w:hanging="0"/>
    </w:pPr>
    <w:rPr>
      <w:rFonts w:ascii="Times New Roman" w:hAnsi="Times New Roman" w:eastAsia="Times New Roman" w:cs="Times New Roman"/>
      <w:sz w:val="24"/>
      <w:szCs w:val="24"/>
      <w:lang w:eastAsia="es-CR"/>
    </w:rPr>
  </w:style>
  <w:style w:type="paragraph" w:styleId="Sevcols1" w:customStyle="1">
    <w:name w:val="sevcols1"/>
    <w:basedOn w:val="Normal"/>
    <w:qFormat/>
    <w:rsid w:val="00fa5a6f"/>
    <w:pPr>
      <w:spacing w:lineRule="auto" w:line="240" w:beforeAutospacing="1" w:afterAutospacing="1"/>
      <w:ind w:left="244" w:hanging="0"/>
      <w:jc w:val="center"/>
    </w:pPr>
    <w:rPr>
      <w:rFonts w:ascii="Times New Roman" w:hAnsi="Times New Roman" w:eastAsia="Times New Roman" w:cs="Times New Roman"/>
      <w:sz w:val="24"/>
      <w:szCs w:val="24"/>
      <w:lang w:eastAsia="es-CR"/>
    </w:rPr>
  </w:style>
  <w:style w:type="paragraph" w:styleId="Col19" w:customStyle="1">
    <w:name w:val="col19"/>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29" w:customStyle="1">
    <w:name w:val="col29"/>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38" w:customStyle="1">
    <w:name w:val="col38"/>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45" w:customStyle="1">
    <w:name w:val="col45"/>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53" w:customStyle="1">
    <w:name w:val="col5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63" w:customStyle="1">
    <w:name w:val="col6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ol73" w:customStyle="1">
    <w:name w:val="col7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hrink3" w:customStyle="1">
    <w:name w:val="shrink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Linext3" w:customStyle="1">
    <w:name w:val="linext3"/>
    <w:basedOn w:val="Normal"/>
    <w:qFormat/>
    <w:rsid w:val="00fa5a6f"/>
    <w:pPr>
      <w:pBdr>
        <w:right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Linecnct1" w:customStyle="1">
    <w:name w:val="linecnct1"/>
    <w:basedOn w:val="Normal"/>
    <w:qFormat/>
    <w:rsid w:val="00fa5a6f"/>
    <w:pPr>
      <w:pBdr>
        <w:right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Lineroof1" w:customStyle="1">
    <w:name w:val="lineroof1"/>
    <w:basedOn w:val="Normal"/>
    <w:qFormat/>
    <w:rsid w:val="00fa5a6f"/>
    <w:pPr>
      <w:pBdr>
        <w:top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Chiefcol1" w:customStyle="1">
    <w:name w:val="chief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hiefrow1" w:customStyle="1">
    <w:name w:val="chiefrow1"/>
    <w:basedOn w:val="Normal"/>
    <w:qFormat/>
    <w:rsid w:val="00fa5a6f"/>
    <w:pPr>
      <w:spacing w:lineRule="auto" w:line="240" w:before="450" w:afterAutospacing="1"/>
    </w:pPr>
    <w:rPr>
      <w:rFonts w:ascii="Times New Roman" w:hAnsi="Times New Roman" w:eastAsia="Times New Roman" w:cs="Times New Roman"/>
      <w:sz w:val="24"/>
      <w:szCs w:val="24"/>
      <w:lang w:eastAsia="es-CR"/>
    </w:rPr>
  </w:style>
  <w:style w:type="paragraph" w:styleId="Chiefcnt1" w:customStyle="1">
    <w:name w:val="chiefcnt1"/>
    <w:basedOn w:val="Normal"/>
    <w:qFormat/>
    <w:rsid w:val="00fa5a6f"/>
    <w:pPr>
      <w:pBdr>
        <w:top w:val="single" w:sz="6" w:space="0" w:color="999999"/>
        <w:left w:val="single" w:sz="6" w:space="0" w:color="999999"/>
      </w:pBdr>
      <w:spacing w:lineRule="auto" w:line="240" w:before="0" w:afterAutospacing="1"/>
    </w:pPr>
    <w:rPr>
      <w:rFonts w:ascii="Times New Roman" w:hAnsi="Times New Roman" w:eastAsia="Times New Roman" w:cs="Times New Roman"/>
      <w:sz w:val="24"/>
      <w:szCs w:val="24"/>
      <w:lang w:eastAsia="es-CR"/>
    </w:rPr>
  </w:style>
  <w:style w:type="paragraph" w:styleId="Chiefpic1" w:customStyle="1">
    <w:name w:val="chiefpic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l1" w:customStyle="1">
    <w:name w:val="sgcol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group1" w:customStyle="1">
    <w:name w:val="sggroup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Executivebox1" w:customStyle="1">
    <w:name w:val="executivebox1"/>
    <w:basedOn w:val="Normal"/>
    <w:qFormat/>
    <w:rsid w:val="00fa5a6f"/>
    <w:pPr>
      <w:pBdr>
        <w:top w:val="dotted" w:sz="6" w:space="0" w:color="999999"/>
        <w:left w:val="dotted" w:sz="6" w:space="0" w:color="999999"/>
        <w:bottom w:val="dotted" w:sz="6" w:space="0" w:color="999999"/>
        <w:right w:val="dotted" w:sz="6" w:space="0" w:color="999999"/>
      </w:pBdr>
      <w:spacing w:lineRule="auto" w:line="240" w:before="0" w:afterAutospacing="1"/>
      <w:ind w:left="-435" w:hanging="0"/>
    </w:pPr>
    <w:rPr>
      <w:rFonts w:ascii="Times New Roman" w:hAnsi="Times New Roman" w:eastAsia="Times New Roman" w:cs="Times New Roman"/>
      <w:sz w:val="24"/>
      <w:szCs w:val="24"/>
      <w:lang w:eastAsia="es-CR"/>
    </w:rPr>
  </w:style>
  <w:style w:type="paragraph" w:styleId="Ssorgroup1" w:customStyle="1">
    <w:name w:val="ssorgroup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gcontent1" w:customStyle="1">
    <w:name w:val="sgconten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tree1" w:customStyle="1">
    <w:name w:val="ssortree1"/>
    <w:basedOn w:val="Normal"/>
    <w:qFormat/>
    <w:rsid w:val="00fa5a6f"/>
    <w:pPr>
      <w:pBdr>
        <w:right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Ssorcontent1" w:customStyle="1">
    <w:name w:val="ssorcontent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sorcnt1" w:customStyle="1">
    <w:name w:val="ssorcnt1"/>
    <w:basedOn w:val="Normal"/>
    <w:qFormat/>
    <w:rsid w:val="00fa5a6f"/>
    <w:pPr>
      <w:pBdr>
        <w:bottom w:val="single" w:sz="6" w:space="0" w:color="999999"/>
      </w:pBdr>
      <w:spacing w:lineRule="auto" w:line="240" w:beforeAutospacing="1" w:afterAutospacing="1"/>
    </w:pPr>
    <w:rPr>
      <w:rFonts w:ascii="Times New Roman" w:hAnsi="Times New Roman" w:eastAsia="Times New Roman" w:cs="Times New Roman"/>
      <w:sz w:val="24"/>
      <w:szCs w:val="24"/>
      <w:lang w:eastAsia="es-CR"/>
    </w:rPr>
  </w:style>
  <w:style w:type="paragraph" w:styleId="Ssorpic1" w:customStyle="1">
    <w:name w:val="ssorpic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Grid1" w:customStyle="1">
    <w:name w:val="grid1"/>
    <w:basedOn w:val="Normal"/>
    <w:qFormat/>
    <w:rsid w:val="00fa5a6f"/>
    <w:pPr>
      <w:pBdr>
        <w:top w:val="single" w:sz="6" w:space="0" w:color="DFDFDF"/>
        <w:left w:val="single" w:sz="6" w:space="0" w:color="DFDFDF"/>
        <w:bottom w:val="single" w:sz="6" w:space="0" w:color="DFDFDF"/>
        <w:right w:val="single" w:sz="6" w:space="0" w:color="DFDFDF"/>
      </w:pBdr>
      <w:spacing w:lineRule="auto" w:line="240" w:beforeAutospacing="1" w:afterAutospacing="1"/>
    </w:pPr>
    <w:rPr>
      <w:rFonts w:ascii="Times New Roman" w:hAnsi="Times New Roman" w:eastAsia="Times New Roman" w:cs="Times New Roman"/>
      <w:sz w:val="24"/>
      <w:szCs w:val="24"/>
      <w:lang w:eastAsia="es-CR"/>
    </w:rPr>
  </w:style>
  <w:style w:type="paragraph" w:styleId="Color11" w:customStyle="1">
    <w:name w:val="color11"/>
    <w:basedOn w:val="Normal"/>
    <w:qFormat/>
    <w:rsid w:val="00fa5a6f"/>
    <w:pPr>
      <w:shd w:val="clear" w:color="auto" w:fill="E3E9F0"/>
      <w:spacing w:lineRule="auto" w:line="240" w:beforeAutospacing="1" w:afterAutospacing="1"/>
    </w:pPr>
    <w:rPr>
      <w:rFonts w:ascii="Times New Roman" w:hAnsi="Times New Roman" w:eastAsia="Times New Roman" w:cs="Times New Roman"/>
      <w:sz w:val="24"/>
      <w:szCs w:val="24"/>
      <w:lang w:eastAsia="es-CR"/>
    </w:rPr>
  </w:style>
  <w:style w:type="paragraph" w:styleId="Color21" w:customStyle="1">
    <w:name w:val="color21"/>
    <w:basedOn w:val="Normal"/>
    <w:qFormat/>
    <w:rsid w:val="00fa5a6f"/>
    <w:pPr>
      <w:shd w:val="clear" w:color="auto" w:fill="EFF4FC"/>
      <w:spacing w:lineRule="auto" w:line="240" w:beforeAutospacing="1" w:afterAutospacing="1"/>
    </w:pPr>
    <w:rPr>
      <w:rFonts w:ascii="Times New Roman" w:hAnsi="Times New Roman" w:eastAsia="Times New Roman" w:cs="Times New Roman"/>
      <w:sz w:val="24"/>
      <w:szCs w:val="24"/>
      <w:lang w:eastAsia="es-CR"/>
    </w:rPr>
  </w:style>
  <w:style w:type="paragraph" w:styleId="Color31" w:customStyle="1">
    <w:name w:val="color31"/>
    <w:basedOn w:val="Normal"/>
    <w:qFormat/>
    <w:rsid w:val="00fa5a6f"/>
    <w:pPr>
      <w:shd w:val="clear" w:color="auto" w:fill="D1DDEF"/>
      <w:spacing w:lineRule="auto" w:line="240" w:beforeAutospacing="1" w:afterAutospacing="1"/>
    </w:pPr>
    <w:rPr>
      <w:rFonts w:ascii="Times New Roman" w:hAnsi="Times New Roman" w:eastAsia="Times New Roman" w:cs="Times New Roman"/>
      <w:sz w:val="24"/>
      <w:szCs w:val="24"/>
      <w:lang w:eastAsia="es-CR"/>
    </w:rPr>
  </w:style>
  <w:style w:type="paragraph" w:styleId="Grid2" w:customStyle="1">
    <w:name w:val="grid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Picwrap1" w:customStyle="1">
    <w:name w:val="picwrap1"/>
    <w:basedOn w:val="Normal"/>
    <w:qFormat/>
    <w:rsid w:val="00fa5a6f"/>
    <w:pPr>
      <w:spacing w:lineRule="auto" w:line="240" w:before="150" w:afterAutospacing="1"/>
    </w:pPr>
    <w:rPr>
      <w:rFonts w:ascii="Times New Roman" w:hAnsi="Times New Roman" w:eastAsia="Times New Roman" w:cs="Times New Roman"/>
      <w:sz w:val="24"/>
      <w:szCs w:val="24"/>
      <w:lang w:eastAsia="es-CR"/>
    </w:rPr>
  </w:style>
  <w:style w:type="paragraph" w:styleId="Img801" w:customStyle="1">
    <w:name w:val="img80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8" w:customStyle="1">
    <w:name w:val="title8"/>
    <w:basedOn w:val="Normal"/>
    <w:qFormat/>
    <w:rsid w:val="00fa5a6f"/>
    <w:pPr>
      <w:spacing w:lineRule="auto" w:line="240" w:before="72" w:after="72"/>
    </w:pPr>
    <w:rPr>
      <w:rFonts w:ascii="Times New Roman" w:hAnsi="Times New Roman" w:eastAsia="Times New Roman" w:cs="Times New Roman"/>
      <w:lang w:eastAsia="es-CR"/>
    </w:rPr>
  </w:style>
  <w:style w:type="paragraph" w:styleId="Title22" w:customStyle="1">
    <w:name w:val="title22"/>
    <w:basedOn w:val="Normal"/>
    <w:qFormat/>
    <w:rsid w:val="00fa5a6f"/>
    <w:pPr>
      <w:spacing w:lineRule="auto" w:line="240" w:before="72" w:after="72"/>
    </w:pPr>
    <w:rPr>
      <w:rFonts w:ascii="Times New Roman" w:hAnsi="Times New Roman" w:eastAsia="Times New Roman" w:cs="Times New Roman"/>
      <w:lang w:eastAsia="es-CR"/>
    </w:rPr>
  </w:style>
  <w:style w:type="paragraph" w:styleId="Title32" w:customStyle="1">
    <w:name w:val="title32"/>
    <w:basedOn w:val="Normal"/>
    <w:qFormat/>
    <w:rsid w:val="00fa5a6f"/>
    <w:pPr>
      <w:spacing w:lineRule="auto" w:line="240" w:before="72" w:after="72"/>
    </w:pPr>
    <w:rPr>
      <w:rFonts w:ascii="Times New Roman" w:hAnsi="Times New Roman" w:eastAsia="Times New Roman" w:cs="Times New Roman"/>
      <w:lang w:eastAsia="es-CR"/>
    </w:rPr>
  </w:style>
  <w:style w:type="paragraph" w:styleId="Uistatefocus1" w:customStyle="1">
    <w:name w:val="ui-state-focus1"/>
    <w:basedOn w:val="Normal"/>
    <w:qFormat/>
    <w:rsid w:val="00fa5a6f"/>
    <w:pPr>
      <w:shd w:val="clear" w:color="auto" w:fill="D1DBE9"/>
      <w:spacing w:lineRule="auto" w:line="240" w:beforeAutospacing="1" w:afterAutospacing="1"/>
    </w:pPr>
    <w:rPr>
      <w:rFonts w:ascii="Times New Roman" w:hAnsi="Times New Roman" w:eastAsia="Times New Roman" w:cs="Times New Roman"/>
      <w:b/>
      <w:bCs/>
      <w:color w:val="333333"/>
      <w:sz w:val="24"/>
      <w:szCs w:val="24"/>
      <w:lang w:eastAsia="es-CR"/>
    </w:rPr>
  </w:style>
  <w:style w:type="paragraph" w:styleId="Uistateactive1" w:customStyle="1">
    <w:name w:val="ui-state-active1"/>
    <w:basedOn w:val="Normal"/>
    <w:qFormat/>
    <w:rsid w:val="00fa5a6f"/>
    <w:pPr>
      <w:shd w:val="clear" w:color="auto" w:fill="D1DBE9"/>
      <w:spacing w:lineRule="auto" w:line="240" w:beforeAutospacing="1" w:afterAutospacing="1"/>
    </w:pPr>
    <w:rPr>
      <w:rFonts w:ascii="Times New Roman" w:hAnsi="Times New Roman" w:eastAsia="Times New Roman" w:cs="Times New Roman"/>
      <w:b/>
      <w:bCs/>
      <w:color w:val="333333"/>
      <w:sz w:val="24"/>
      <w:szCs w:val="24"/>
      <w:lang w:eastAsia="es-CR"/>
    </w:rPr>
  </w:style>
  <w:style w:type="paragraph" w:styleId="Uistatefocus2" w:customStyle="1">
    <w:name w:val="ui-state-focus2"/>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Uistateactive2" w:customStyle="1">
    <w:name w:val="ui-state-active2"/>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Uistateactive3" w:customStyle="1">
    <w:name w:val="ui-state-active3"/>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Uistatefocus3" w:customStyle="1">
    <w:name w:val="ui-state-focus3"/>
    <w:basedOn w:val="Normal"/>
    <w:qFormat/>
    <w:rsid w:val="00fa5a6f"/>
    <w:pPr>
      <w:shd w:val="clear" w:color="auto" w:fill="DC6F25"/>
      <w:spacing w:lineRule="auto" w:line="240" w:beforeAutospacing="1" w:afterAutospacing="1"/>
    </w:pPr>
    <w:rPr>
      <w:rFonts w:ascii="Times New Roman" w:hAnsi="Times New Roman" w:eastAsia="Times New Roman" w:cs="Times New Roman"/>
      <w:b/>
      <w:bCs/>
      <w:color w:val="FFFFFF"/>
      <w:sz w:val="24"/>
      <w:szCs w:val="24"/>
      <w:lang w:eastAsia="es-CR"/>
    </w:rPr>
  </w:style>
  <w:style w:type="paragraph" w:styleId="Areatitlethin1" w:customStyle="1">
    <w:name w:val="areatitlethin1"/>
    <w:basedOn w:val="Normal"/>
    <w:qFormat/>
    <w:rsid w:val="00fa5a6f"/>
    <w:pPr>
      <w:spacing w:lineRule="auto" w:line="240" w:beforeAutospacing="1" w:afterAutospacing="1"/>
    </w:pPr>
    <w:rPr>
      <w:rFonts w:ascii="Times New Roman" w:hAnsi="Times New Roman" w:eastAsia="Times New Roman" w:cs="Times New Roman"/>
      <w:b/>
      <w:bCs/>
      <w:sz w:val="26"/>
      <w:szCs w:val="26"/>
      <w:lang w:eastAsia="es-CR"/>
    </w:rPr>
  </w:style>
  <w:style w:type="paragraph" w:styleId="Uistatehover4" w:customStyle="1">
    <w:name w:val="ui-state-hover4"/>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Caption9" w:customStyle="1">
    <w:name w:val="caption9"/>
    <w:basedOn w:val="Normal"/>
    <w:qFormat/>
    <w:rsid w:val="00fa5a6f"/>
    <w:pPr>
      <w:spacing w:lineRule="auto" w:line="240" w:beforeAutospacing="1" w:afterAutospacing="1"/>
    </w:pPr>
    <w:rPr>
      <w:rFonts w:ascii="Times New Roman" w:hAnsi="Times New Roman" w:eastAsia="Times New Roman" w:cs="Times New Roman"/>
      <w:color w:val="5477A7"/>
      <w:sz w:val="20"/>
      <w:szCs w:val="20"/>
      <w:lang w:eastAsia="es-CR"/>
    </w:rPr>
  </w:style>
  <w:style w:type="paragraph" w:styleId="Col46" w:customStyle="1">
    <w:name w:val="col46"/>
    <w:basedOn w:val="Normal"/>
    <w:qFormat/>
    <w:rsid w:val="00fa5a6f"/>
    <w:pPr>
      <w:spacing w:lineRule="auto" w:line="240" w:before="0" w:after="0"/>
    </w:pPr>
    <w:rPr>
      <w:rFonts w:ascii="Times New Roman" w:hAnsi="Times New Roman" w:eastAsia="Times New Roman" w:cs="Times New Roman"/>
      <w:sz w:val="24"/>
      <w:szCs w:val="24"/>
      <w:lang w:eastAsia="es-CR"/>
    </w:rPr>
  </w:style>
  <w:style w:type="paragraph" w:styleId="Topicscol1" w:customStyle="1">
    <w:name w:val="topicscol1"/>
    <w:basedOn w:val="Normal"/>
    <w:qFormat/>
    <w:rsid w:val="00fa5a6f"/>
    <w:pPr>
      <w:pBdr>
        <w:top w:val="single" w:sz="6" w:space="10" w:color="CCCCCC"/>
        <w:left w:val="single" w:sz="6" w:space="10" w:color="CCCCCC"/>
        <w:bottom w:val="single" w:sz="6" w:space="10" w:color="CCCCCC"/>
        <w:right w:val="single" w:sz="6" w:space="10" w:color="CCCCCC"/>
      </w:pBdr>
      <w:shd w:val="clear" w:color="auto" w:fill="F4F4F4"/>
      <w:spacing w:lineRule="auto" w:line="240" w:before="0" w:after="0"/>
      <w:ind w:right="120" w:hanging="0"/>
    </w:pPr>
    <w:rPr>
      <w:rFonts w:ascii="Times New Roman" w:hAnsi="Times New Roman" w:eastAsia="Times New Roman" w:cs="Times New Roman"/>
      <w:sz w:val="24"/>
      <w:szCs w:val="24"/>
      <w:lang w:eastAsia="es-CR"/>
    </w:rPr>
  </w:style>
  <w:style w:type="paragraph" w:styleId="Topicscol2" w:customStyle="1">
    <w:name w:val="topicscol2"/>
    <w:basedOn w:val="Normal"/>
    <w:qFormat/>
    <w:rsid w:val="00fa5a6f"/>
    <w:pPr>
      <w:pBdr>
        <w:top w:val="single" w:sz="6" w:space="10" w:color="CCCCCC"/>
        <w:left w:val="single" w:sz="6" w:space="10" w:color="CCCCCC"/>
        <w:bottom w:val="single" w:sz="6" w:space="10" w:color="CCCCCC"/>
        <w:right w:val="single" w:sz="6" w:space="10" w:color="CCCCCC"/>
      </w:pBdr>
      <w:shd w:val="clear" w:color="auto" w:fill="F4F4F4"/>
      <w:spacing w:lineRule="auto" w:line="240" w:before="0" w:after="0"/>
      <w:ind w:right="120" w:hanging="0"/>
    </w:pPr>
    <w:rPr>
      <w:rFonts w:ascii="Times New Roman" w:hAnsi="Times New Roman" w:eastAsia="Times New Roman" w:cs="Times New Roman"/>
      <w:sz w:val="24"/>
      <w:szCs w:val="24"/>
      <w:lang w:eastAsia="es-CR"/>
    </w:rPr>
  </w:style>
  <w:style w:type="paragraph" w:styleId="Grid3" w:customStyle="1">
    <w:name w:val="grid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Title9" w:customStyle="1">
    <w:name w:val="title9"/>
    <w:basedOn w:val="Normal"/>
    <w:qFormat/>
    <w:rsid w:val="00fa5a6f"/>
    <w:pPr>
      <w:spacing w:lineRule="auto" w:line="240" w:before="72" w:after="72"/>
    </w:pPr>
    <w:rPr>
      <w:rFonts w:ascii="Times New Roman" w:hAnsi="Times New Roman" w:eastAsia="Times New Roman" w:cs="Times New Roman"/>
      <w:lang w:eastAsia="es-CR"/>
    </w:rPr>
  </w:style>
  <w:style w:type="paragraph" w:styleId="Caption10" w:customStyle="1">
    <w:name w:val="caption10"/>
    <w:basedOn w:val="Normal"/>
    <w:qFormat/>
    <w:rsid w:val="00fa5a6f"/>
    <w:pPr>
      <w:spacing w:lineRule="auto" w:line="240" w:before="72" w:after="72"/>
    </w:pPr>
    <w:rPr>
      <w:rFonts w:ascii="Times New Roman" w:hAnsi="Times New Roman" w:eastAsia="Times New Roman" w:cs="Times New Roman"/>
      <w:sz w:val="17"/>
      <w:szCs w:val="17"/>
      <w:lang w:eastAsia="es-CR"/>
    </w:rPr>
  </w:style>
  <w:style w:type="paragraph" w:styleId="Vblurb1" w:customStyle="1">
    <w:name w:val="vblurb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blurb2" w:customStyle="1">
    <w:name w:val="vblurb2"/>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blurb3" w:customStyle="1">
    <w:name w:val="vblurb3"/>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Areavideo1" w:customStyle="1">
    <w:name w:val="areavideo1"/>
    <w:basedOn w:val="Normal"/>
    <w:qFormat/>
    <w:rsid w:val="00fa5a6f"/>
    <w:pPr>
      <w:spacing w:lineRule="auto" w:line="240" w:beforeAutospacing="1" w:afterAutospacing="1"/>
    </w:pPr>
    <w:rPr>
      <w:rFonts w:ascii="Times New Roman" w:hAnsi="Times New Roman" w:eastAsia="Times New Roman" w:cs="Times New Roman"/>
      <w:color w:val="FFFFFF"/>
      <w:sz w:val="26"/>
      <w:szCs w:val="26"/>
      <w:lang w:eastAsia="es-CR"/>
    </w:rPr>
  </w:style>
  <w:style w:type="paragraph" w:styleId="Areavideo2" w:customStyle="1">
    <w:name w:val="areavideo2"/>
    <w:basedOn w:val="Normal"/>
    <w:qFormat/>
    <w:rsid w:val="00fa5a6f"/>
    <w:pPr>
      <w:spacing w:lineRule="auto" w:line="240" w:beforeAutospacing="1" w:afterAutospacing="1"/>
    </w:pPr>
    <w:rPr>
      <w:rFonts w:ascii="Times New Roman" w:hAnsi="Times New Roman" w:eastAsia="Times New Roman" w:cs="Times New Roman"/>
      <w:color w:val="FFFFFF"/>
      <w:sz w:val="26"/>
      <w:szCs w:val="26"/>
      <w:lang w:eastAsia="es-CR"/>
    </w:rPr>
  </w:style>
  <w:style w:type="paragraph" w:styleId="Areavideo3" w:customStyle="1">
    <w:name w:val="areavideo3"/>
    <w:basedOn w:val="Normal"/>
    <w:qFormat/>
    <w:rsid w:val="00fa5a6f"/>
    <w:pPr>
      <w:spacing w:lineRule="auto" w:line="240" w:beforeAutospacing="1" w:afterAutospacing="1"/>
    </w:pPr>
    <w:rPr>
      <w:rFonts w:ascii="Times New Roman" w:hAnsi="Times New Roman" w:eastAsia="Times New Roman" w:cs="Times New Roman"/>
      <w:color w:val="FFFFFF"/>
      <w:sz w:val="26"/>
      <w:szCs w:val="26"/>
      <w:lang w:eastAsia="es-CR"/>
    </w:rPr>
  </w:style>
  <w:style w:type="paragraph" w:styleId="Btnopen1" w:customStyle="1">
    <w:name w:val="btnopen1"/>
    <w:basedOn w:val="Normal"/>
    <w:qFormat/>
    <w:rsid w:val="00fa5a6f"/>
    <w:pPr>
      <w:spacing w:lineRule="auto" w:line="240" w:before="2250" w:afterAutospacing="1"/>
      <w:ind w:left="975" w:hanging="0"/>
    </w:pPr>
    <w:rPr>
      <w:rFonts w:ascii="Times New Roman" w:hAnsi="Times New Roman" w:eastAsia="Times New Roman" w:cs="Times New Roman"/>
      <w:vanish/>
      <w:sz w:val="24"/>
      <w:szCs w:val="24"/>
      <w:lang w:eastAsia="es-CR"/>
    </w:rPr>
  </w:style>
  <w:style w:type="paragraph" w:styleId="Btnopen2" w:customStyle="1">
    <w:name w:val="btnopen2"/>
    <w:basedOn w:val="Normal"/>
    <w:qFormat/>
    <w:rsid w:val="00fa5a6f"/>
    <w:pPr>
      <w:spacing w:lineRule="auto" w:line="240" w:before="2250" w:afterAutospacing="1"/>
      <w:ind w:left="975" w:hanging="0"/>
    </w:pPr>
    <w:rPr>
      <w:rFonts w:ascii="Times New Roman" w:hAnsi="Times New Roman" w:eastAsia="Times New Roman" w:cs="Times New Roman"/>
      <w:vanish/>
      <w:sz w:val="24"/>
      <w:szCs w:val="24"/>
      <w:lang w:eastAsia="es-CR"/>
    </w:rPr>
  </w:style>
  <w:style w:type="paragraph" w:styleId="Btnopen3" w:customStyle="1">
    <w:name w:val="btnopen3"/>
    <w:basedOn w:val="Normal"/>
    <w:qFormat/>
    <w:rsid w:val="00fa5a6f"/>
    <w:pPr>
      <w:spacing w:lineRule="auto" w:line="240" w:before="2250" w:afterAutospacing="1"/>
      <w:ind w:left="975" w:hanging="0"/>
    </w:pPr>
    <w:rPr>
      <w:rFonts w:ascii="Times New Roman" w:hAnsi="Times New Roman" w:eastAsia="Times New Roman" w:cs="Times New Roman"/>
      <w:vanish/>
      <w:sz w:val="24"/>
      <w:szCs w:val="24"/>
      <w:lang w:eastAsia="es-CR"/>
    </w:rPr>
  </w:style>
  <w:style w:type="paragraph" w:styleId="Vidsg2015wrap1" w:customStyle="1">
    <w:name w:val="vidsg2015wrap1"/>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Vidtitle1" w:customStyle="1">
    <w:name w:val="vidtitle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Vidpic1" w:customStyle="1">
    <w:name w:val="vidpic1"/>
    <w:basedOn w:val="Normal"/>
    <w:qFormat/>
    <w:rsid w:val="00fa5a6f"/>
    <w:pPr>
      <w:spacing w:lineRule="auto" w:line="240" w:before="0" w:afterAutospacing="1"/>
    </w:pPr>
    <w:rPr>
      <w:rFonts w:ascii="Times New Roman" w:hAnsi="Times New Roman" w:eastAsia="Times New Roman" w:cs="Times New Roman"/>
      <w:sz w:val="24"/>
      <w:szCs w:val="24"/>
      <w:lang w:eastAsia="es-CR"/>
    </w:rPr>
  </w:style>
  <w:style w:type="paragraph" w:styleId="Vidspopup1" w:customStyle="1">
    <w:name w:val="vidspopup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Vidslinks1" w:customStyle="1">
    <w:name w:val="vidslinks1"/>
    <w:basedOn w:val="Normal"/>
    <w:qFormat/>
    <w:rsid w:val="00fa5a6f"/>
    <w:pPr>
      <w:spacing w:lineRule="auto" w:line="240" w:beforeAutospacing="1" w:afterAutospacing="1"/>
    </w:pPr>
    <w:rPr>
      <w:rFonts w:ascii="Times New Roman" w:hAnsi="Times New Roman" w:eastAsia="Times New Roman" w:cs="Times New Roman"/>
      <w:color w:val="FF6600"/>
      <w:sz w:val="26"/>
      <w:szCs w:val="26"/>
      <w:lang w:eastAsia="es-CR"/>
    </w:rPr>
  </w:style>
  <w:style w:type="paragraph" w:styleId="Cluetiparrows1" w:customStyle="1">
    <w:name w:val="cluetip-arrows1"/>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arrows2" w:customStyle="1">
    <w:name w:val="cluetip-arrows2"/>
    <w:basedOn w:val="Normal"/>
    <w:qFormat/>
    <w:rsid w:val="00fa5a6f"/>
    <w:pPr>
      <w:spacing w:lineRule="auto" w:line="240" w:beforeAutospacing="1" w:afterAutospacing="1"/>
      <w:ind w:right="-165" w:hanging="0"/>
    </w:pPr>
    <w:rPr>
      <w:rFonts w:ascii="Times New Roman" w:hAnsi="Times New Roman" w:eastAsia="Times New Roman" w:cs="Times New Roman"/>
      <w:vanish/>
      <w:sz w:val="24"/>
      <w:szCs w:val="24"/>
      <w:lang w:eastAsia="es-CR"/>
    </w:rPr>
  </w:style>
  <w:style w:type="paragraph" w:styleId="Cluetiparrows3" w:customStyle="1">
    <w:name w:val="cluetip-arrows3"/>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4" w:customStyle="1">
    <w:name w:val="cluetip-arrows4"/>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5" w:customStyle="1">
    <w:name w:val="cluetip-arrows5"/>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arrows6" w:customStyle="1">
    <w:name w:val="cluetip-arrows6"/>
    <w:basedOn w:val="Normal"/>
    <w:qFormat/>
    <w:rsid w:val="00fa5a6f"/>
    <w:pPr>
      <w:spacing w:lineRule="auto" w:line="240" w:beforeAutospacing="1" w:afterAutospacing="1"/>
      <w:ind w:right="-165" w:hanging="0"/>
    </w:pPr>
    <w:rPr>
      <w:rFonts w:ascii="Times New Roman" w:hAnsi="Times New Roman" w:eastAsia="Times New Roman" w:cs="Times New Roman"/>
      <w:vanish/>
      <w:sz w:val="24"/>
      <w:szCs w:val="24"/>
      <w:lang w:eastAsia="es-CR"/>
    </w:rPr>
  </w:style>
  <w:style w:type="paragraph" w:styleId="Cluetiparrows7" w:customStyle="1">
    <w:name w:val="cluetip-arrows7"/>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8" w:customStyle="1">
    <w:name w:val="cluetip-arrows8"/>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9" w:customStyle="1">
    <w:name w:val="cluetip-arrows9"/>
    <w:basedOn w:val="Normal"/>
    <w:qFormat/>
    <w:rsid w:val="00fa5a6f"/>
    <w:pPr>
      <w:spacing w:lineRule="auto" w:line="240" w:beforeAutospacing="1" w:afterAutospacing="1"/>
    </w:pPr>
    <w:rPr>
      <w:rFonts w:ascii="Times New Roman" w:hAnsi="Times New Roman" w:eastAsia="Times New Roman" w:cs="Times New Roman"/>
      <w:vanish/>
      <w:sz w:val="24"/>
      <w:szCs w:val="24"/>
      <w:lang w:eastAsia="es-CR"/>
    </w:rPr>
  </w:style>
  <w:style w:type="paragraph" w:styleId="Cluetiparrows10" w:customStyle="1">
    <w:name w:val="cluetip-arrows10"/>
    <w:basedOn w:val="Normal"/>
    <w:qFormat/>
    <w:rsid w:val="00fa5a6f"/>
    <w:pPr>
      <w:spacing w:lineRule="auto" w:line="240" w:beforeAutospacing="1" w:afterAutospacing="1"/>
      <w:ind w:left="180" w:hanging="0"/>
    </w:pPr>
    <w:rPr>
      <w:rFonts w:ascii="Times New Roman" w:hAnsi="Times New Roman" w:eastAsia="Times New Roman" w:cs="Times New Roman"/>
      <w:vanish/>
      <w:sz w:val="24"/>
      <w:szCs w:val="24"/>
      <w:lang w:eastAsia="es-CR"/>
    </w:rPr>
  </w:style>
  <w:style w:type="paragraph" w:styleId="Cluetiparrows11" w:customStyle="1">
    <w:name w:val="cluetip-arrows11"/>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Cluetiparrows12" w:customStyle="1">
    <w:name w:val="cluetip-arrows12"/>
    <w:basedOn w:val="Normal"/>
    <w:qFormat/>
    <w:rsid w:val="00fa5a6f"/>
    <w:pPr>
      <w:spacing w:lineRule="auto" w:line="240" w:beforeAutospacing="1" w:afterAutospacing="1"/>
      <w:ind w:left="-165" w:hanging="0"/>
    </w:pPr>
    <w:rPr>
      <w:rFonts w:ascii="Times New Roman" w:hAnsi="Times New Roman" w:eastAsia="Times New Roman" w:cs="Times New Roman"/>
      <w:vanish/>
      <w:sz w:val="24"/>
      <w:szCs w:val="24"/>
      <w:lang w:eastAsia="es-CR"/>
    </w:rPr>
  </w:style>
  <w:style w:type="paragraph" w:styleId="HTMLTopofForm">
    <w:name w:val="HTML Top of Form"/>
    <w:basedOn w:val="Normal"/>
    <w:next w:val="Normal"/>
    <w:link w:val="z-PrincipiodelformularioCar"/>
    <w:uiPriority w:val="99"/>
    <w:semiHidden/>
    <w:unhideWhenUsed/>
    <w:qFormat/>
    <w:rsid w:val="00fa5a6f"/>
    <w:pPr>
      <w:pBdr>
        <w:bottom w:val="single" w:sz="6" w:space="1" w:color="000000"/>
      </w:pBdr>
      <w:spacing w:lineRule="auto" w:line="240" w:before="0" w:after="0"/>
      <w:jc w:val="center"/>
    </w:pPr>
    <w:rPr>
      <w:rFonts w:ascii="Arial" w:hAnsi="Arial" w:eastAsia="Times New Roman" w:cs="Arial"/>
      <w:vanish/>
      <w:sz w:val="16"/>
      <w:szCs w:val="16"/>
      <w:lang w:eastAsia="es-CR"/>
    </w:rPr>
  </w:style>
  <w:style w:type="paragraph" w:styleId="HTMLBottomofForm">
    <w:name w:val="HTML Bottom of Form"/>
    <w:basedOn w:val="Normal"/>
    <w:next w:val="Normal"/>
    <w:link w:val="z-FinaldelformularioCar"/>
    <w:uiPriority w:val="99"/>
    <w:semiHidden/>
    <w:unhideWhenUsed/>
    <w:qFormat/>
    <w:rsid w:val="00fa5a6f"/>
    <w:pPr>
      <w:pBdr>
        <w:top w:val="single" w:sz="6" w:space="1" w:color="000000"/>
      </w:pBdr>
      <w:spacing w:lineRule="auto" w:line="240" w:before="0" w:after="0"/>
      <w:jc w:val="center"/>
    </w:pPr>
    <w:rPr>
      <w:rFonts w:ascii="Arial" w:hAnsi="Arial" w:eastAsia="Times New Roman" w:cs="Arial"/>
      <w:vanish/>
      <w:sz w:val="16"/>
      <w:szCs w:val="16"/>
      <w:lang w:eastAsia="es-CR"/>
    </w:rPr>
  </w:style>
  <w:style w:type="paragraph" w:styleId="Txtright1" w:customStyle="1">
    <w:name w:val="txtright1"/>
    <w:basedOn w:val="Normal"/>
    <w:qFormat/>
    <w:rsid w:val="00fa5a6f"/>
    <w:pPr>
      <w:spacing w:lineRule="auto" w:line="240" w:before="192" w:after="192"/>
      <w:ind w:left="120" w:right="144" w:hanging="0"/>
      <w:jc w:val="right"/>
    </w:pPr>
    <w:rPr>
      <w:rFonts w:ascii="Times New Roman" w:hAnsi="Times New Roman" w:eastAsia="Times New Roman" w:cs="Times New Roman"/>
      <w:sz w:val="24"/>
      <w:szCs w:val="24"/>
      <w:lang w:eastAsia="es-CR"/>
    </w:rPr>
  </w:style>
  <w:style w:type="paragraph" w:styleId="Center" w:customStyle="1">
    <w:name w:val="center"/>
    <w:basedOn w:val="Normal"/>
    <w:qFormat/>
    <w:rsid w:val="00fa5a6f"/>
    <w:pPr>
      <w:spacing w:lineRule="auto" w:line="240" w:beforeAutospacing="1" w:afterAutospacing="1"/>
    </w:pPr>
    <w:rPr>
      <w:rFonts w:ascii="Times New Roman" w:hAnsi="Times New Roman" w:eastAsia="Times New Roman" w:cs="Times New Roman"/>
      <w:sz w:val="24"/>
      <w:szCs w:val="24"/>
      <w:lang w:eastAsia="es-CR"/>
    </w:rPr>
  </w:style>
  <w:style w:type="paragraph" w:styleId="Standard" w:customStyle="1">
    <w:name w:val="Standard"/>
    <w:qFormat/>
    <w:rsid w:val="00b85b4d"/>
    <w:pPr>
      <w:widowControl w:val="false"/>
      <w:suppressAutoHyphens w:val="true"/>
      <w:bidi w:val="0"/>
      <w:spacing w:lineRule="auto" w:line="240" w:before="0" w:after="0"/>
      <w:jc w:val="left"/>
    </w:pPr>
    <w:rPr>
      <w:rFonts w:ascii="Times New Roman" w:hAnsi="Times New Roman" w:eastAsia="SimSun" w:cs="Mangal"/>
      <w:color w:val="auto"/>
      <w:kern w:val="2"/>
      <w:sz w:val="24"/>
      <w:szCs w:val="24"/>
      <w:lang w:eastAsia="zh-CN" w:bidi="hi-IN" w:val="es-CR"/>
    </w:rPr>
  </w:style>
  <w:style w:type="paragraph" w:styleId="Contenidodelatabla" w:customStyle="1">
    <w:name w:val="Contenido de la tabla"/>
    <w:basedOn w:val="Normal"/>
    <w:qFormat/>
    <w:rsid w:val="00b85b4d"/>
    <w:pPr>
      <w:suppressLineNumbers/>
      <w:suppressAutoHyphens w:val="true"/>
      <w:spacing w:lineRule="auto" w:line="240" w:before="0" w:after="0"/>
    </w:pPr>
    <w:rPr>
      <w:rFonts w:ascii="Times New Roman" w:hAnsi="Times New Roman" w:eastAsia="Times New Roman" w:cs="Times New Roman"/>
      <w:sz w:val="24"/>
      <w:szCs w:val="24"/>
      <w:lang w:val="es-ES" w:eastAsia="zh-CN"/>
    </w:rPr>
  </w:style>
  <w:style w:type="paragraph" w:styleId="Tulo1" w:customStyle="1">
    <w:name w:val="T稚ulo 1"/>
    <w:basedOn w:val="Normal"/>
    <w:qFormat/>
    <w:rsid w:val="00285001"/>
    <w:pPr>
      <w:keepNext w:val="true"/>
      <w:shd w:val="clear" w:color="auto" w:fill="FFFFFF"/>
      <w:spacing w:lineRule="auto" w:line="240" w:before="0" w:after="0"/>
      <w:jc w:val="both"/>
    </w:pPr>
    <w:rPr>
      <w:rFonts w:ascii="Arial" w:hAnsi="Arial" w:cs="Arial"/>
      <w:b/>
      <w:bCs/>
      <w:u w:val="single"/>
      <w:lang w:eastAsia="ar-SA"/>
    </w:rPr>
  </w:style>
  <w:style w:type="paragraph" w:styleId="Ttulo51" w:customStyle="1">
    <w:name w:val="Título 51"/>
    <w:next w:val="Normal"/>
    <w:qFormat/>
    <w:rsid w:val="0006176d"/>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53" w:customStyle="1">
    <w:name w:val="Título 53"/>
    <w:basedOn w:val="Normal"/>
    <w:qFormat/>
    <w:rsid w:val="00285001"/>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ListParagraph">
    <w:name w:val="List Paragraph"/>
    <w:basedOn w:val="Normal"/>
    <w:uiPriority w:val="34"/>
    <w:qFormat/>
    <w:rsid w:val="00e9564a"/>
    <w:pPr>
      <w:spacing w:before="0" w:after="160"/>
      <w:ind w:left="720" w:hanging="0"/>
      <w:contextualSpacing/>
    </w:pPr>
    <w:rPr/>
  </w:style>
  <w:style w:type="paragraph" w:styleId="Ttulo52" w:customStyle="1">
    <w:name w:val="Título 52"/>
    <w:basedOn w:val="Normal"/>
    <w:qFormat/>
    <w:rsid w:val="00843903"/>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Heading5" w:customStyle="1">
    <w:name w:val="heading5"/>
    <w:basedOn w:val="Normal"/>
    <w:qFormat/>
    <w:rsid w:val="00b55941"/>
    <w:pPr>
      <w:keepNext w:val="true"/>
      <w:shd w:val="clear" w:color="auto" w:fill="FFFFFF"/>
      <w:spacing w:lineRule="auto" w:line="240" w:before="0" w:after="0"/>
      <w:jc w:val="center"/>
    </w:pPr>
    <w:rPr>
      <w:rFonts w:ascii="Times New Roman" w:hAnsi="Times New Roman" w:eastAsia="Times New Roman" w:cs="Times New Roman"/>
      <w:b/>
      <w:bCs/>
      <w:i/>
      <w:iCs/>
      <w:sz w:val="26"/>
      <w:szCs w:val="26"/>
      <w:u w:val="single"/>
      <w:lang w:val="es-ES" w:eastAsia="zh-CN"/>
    </w:rPr>
  </w:style>
  <w:style w:type="paragraph" w:styleId="Notaalpie">
    <w:name w:val="Footnote Text"/>
    <w:basedOn w:val="Normal"/>
    <w:link w:val="TextonotapieCar"/>
    <w:qFormat/>
    <w:rsid w:val="00b55941"/>
    <w:pPr>
      <w:spacing w:lineRule="auto" w:line="240" w:before="0" w:after="0"/>
    </w:pPr>
    <w:rPr>
      <w:rFonts w:ascii="Times New Roman" w:hAnsi="Times New Roman" w:eastAsia="Times New Roman" w:cs="Times New Roman"/>
      <w:sz w:val="20"/>
      <w:szCs w:val="20"/>
      <w:lang w:val="es-ES" w:eastAsia="zh-CN"/>
    </w:rPr>
  </w:style>
  <w:style w:type="paragraph" w:styleId="Ttulo54" w:customStyle="1">
    <w:name w:val="Título 54"/>
    <w:next w:val="Normal"/>
    <w:qFormat/>
    <w:rsid w:val="00a8071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 w:customStyle="1">
    <w:name w:val="x_msonormal"/>
    <w:basedOn w:val="Normal"/>
    <w:uiPriority w:val="99"/>
    <w:qFormat/>
    <w:rsid w:val="00c77e75"/>
    <w:pPr>
      <w:spacing w:lineRule="auto" w:line="240" w:before="0" w:after="0"/>
    </w:pPr>
    <w:rPr>
      <w:rFonts w:ascii="Times New Roman" w:hAnsi="Times New Roman" w:cs="Times New Roman"/>
      <w:sz w:val="24"/>
      <w:szCs w:val="24"/>
      <w:lang w:eastAsia="es-CR"/>
    </w:rPr>
  </w:style>
  <w:style w:type="paragraph" w:styleId="Cabeceraypie">
    <w:name w:val="Cabecera y pie"/>
    <w:basedOn w:val="Normal"/>
    <w:qFormat/>
    <w:pPr/>
    <w:rPr/>
  </w:style>
  <w:style w:type="paragraph" w:styleId="Cabecera">
    <w:name w:val="Header"/>
    <w:basedOn w:val="Normal"/>
    <w:link w:val="EncabezadoCar"/>
    <w:uiPriority w:val="99"/>
    <w:semiHidden/>
    <w:unhideWhenUsed/>
    <w:rsid w:val="00f732e0"/>
    <w:pPr>
      <w:spacing w:lineRule="auto" w:line="240" w:before="0" w:after="0"/>
    </w:pPr>
    <w:rPr>
      <w:rFonts w:ascii="Times New Roman" w:hAnsi="Times New Roman" w:cs="Times New Roman"/>
      <w:sz w:val="24"/>
      <w:szCs w:val="24"/>
      <w:lang w:eastAsia="es-CR"/>
    </w:rPr>
  </w:style>
  <w:style w:type="paragraph" w:styleId="Xxmsonormal" w:customStyle="1">
    <w:name w:val="x_xmsonormal"/>
    <w:basedOn w:val="Normal"/>
    <w:uiPriority w:val="99"/>
    <w:semiHidden/>
    <w:qFormat/>
    <w:rsid w:val="00f732e0"/>
    <w:pPr>
      <w:spacing w:lineRule="auto" w:line="240" w:before="0" w:after="0"/>
    </w:pPr>
    <w:rPr>
      <w:rFonts w:ascii="Times New Roman" w:hAnsi="Times New Roman" w:cs="Times New Roman"/>
      <w:sz w:val="24"/>
      <w:szCs w:val="24"/>
      <w:lang w:eastAsia="es-CR"/>
    </w:rPr>
  </w:style>
  <w:style w:type="paragraph" w:styleId="Xmsolistparagraph" w:customStyle="1">
    <w:name w:val="x_msolistparagraph"/>
    <w:basedOn w:val="Normal"/>
    <w:uiPriority w:val="99"/>
    <w:semiHidden/>
    <w:qFormat/>
    <w:rsid w:val="00141457"/>
    <w:pPr>
      <w:spacing w:lineRule="auto" w:line="240" w:before="0" w:after="0"/>
      <w:ind w:left="720" w:hanging="0"/>
    </w:pPr>
    <w:rPr>
      <w:rFonts w:ascii="Calibri" w:hAnsi="Calibri" w:cs="Times New Roman"/>
      <w:lang w:eastAsia="es-CR"/>
    </w:rPr>
  </w:style>
  <w:style w:type="paragraph" w:styleId="Xmsoplaintext" w:customStyle="1">
    <w:name w:val="x_msoplaintext"/>
    <w:basedOn w:val="Normal"/>
    <w:uiPriority w:val="99"/>
    <w:semiHidden/>
    <w:qFormat/>
    <w:rsid w:val="00121dbb"/>
    <w:pPr>
      <w:spacing w:lineRule="auto" w:line="240" w:before="0" w:after="0"/>
    </w:pPr>
    <w:rPr>
      <w:rFonts w:ascii="Times New Roman" w:hAnsi="Times New Roman" w:cs="Times New Roman"/>
      <w:sz w:val="24"/>
      <w:szCs w:val="24"/>
      <w:lang w:eastAsia="es-CR"/>
    </w:rPr>
  </w:style>
  <w:style w:type="paragraph" w:styleId="Piedepgina">
    <w:name w:val="Footer"/>
    <w:basedOn w:val="Normal"/>
    <w:link w:val="PiedepginaCar"/>
    <w:uiPriority w:val="99"/>
    <w:semiHidden/>
    <w:unhideWhenUsed/>
    <w:rsid w:val="003d723d"/>
    <w:pPr>
      <w:tabs>
        <w:tab w:val="clear" w:pos="708"/>
        <w:tab w:val="center" w:pos="4419" w:leader="none"/>
        <w:tab w:val="right" w:pos="8838" w:leader="none"/>
      </w:tabs>
      <w:spacing w:lineRule="auto" w:line="240" w:before="0" w:after="0"/>
    </w:pPr>
    <w:rPr/>
  </w:style>
  <w:style w:type="paragraph" w:styleId="BalloonText">
    <w:name w:val="Balloon Text"/>
    <w:basedOn w:val="Normal"/>
    <w:link w:val="TextodegloboCar"/>
    <w:uiPriority w:val="99"/>
    <w:semiHidden/>
    <w:unhideWhenUsed/>
    <w:qFormat/>
    <w:rsid w:val="003d723d"/>
    <w:pPr>
      <w:spacing w:lineRule="auto" w:line="240" w:before="0" w:after="0"/>
    </w:pPr>
    <w:rPr>
      <w:rFonts w:ascii="Tahoma" w:hAnsi="Tahoma" w:cs="Tahoma"/>
      <w:sz w:val="16"/>
      <w:szCs w:val="16"/>
    </w:rPr>
  </w:style>
  <w:style w:type="paragraph" w:styleId="Annotationtext">
    <w:name w:val="annotation text"/>
    <w:basedOn w:val="Normal"/>
    <w:link w:val="TextocomentarioCar"/>
    <w:uiPriority w:val="99"/>
    <w:semiHidden/>
    <w:unhideWhenUsed/>
    <w:qFormat/>
    <w:rsid w:val="003d723d"/>
    <w:pPr>
      <w:spacing w:lineRule="auto" w:line="240"/>
    </w:pPr>
    <w:rPr>
      <w:sz w:val="20"/>
      <w:szCs w:val="20"/>
    </w:rPr>
  </w:style>
  <w:style w:type="paragraph" w:styleId="Annotationsubject">
    <w:name w:val="annotation subject"/>
    <w:basedOn w:val="Annotationtext"/>
    <w:next w:val="Annotationtext"/>
    <w:link w:val="AsuntodelcomentarioCar"/>
    <w:uiPriority w:val="99"/>
    <w:semiHidden/>
    <w:unhideWhenUsed/>
    <w:qFormat/>
    <w:rsid w:val="003d723d"/>
    <w:pPr/>
    <w:rPr>
      <w:b/>
      <w:bCs/>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Grid">
    <w:name w:val="TableGrid"/>
    <w:rsid w:val="00910a94"/>
    <w:pPr>
      <w:spacing w:after="0" w:line="240" w:lineRule="auto"/>
    </w:pPr>
    <w:rPr>
      <w:rFonts w:eastAsiaTheme="minorEastAsia"/>
      <w:lang w:eastAsia="es-CR"/>
    </w:rPr>
    <w:tblPr>
      <w:tblCellMar>
        <w:top w:w="0" w:type="dxa"/>
        <w:left w:w="0" w:type="dxa"/>
        <w:bottom w:w="0" w:type="dxa"/>
        <w:right w:w="0" w:type="dxa"/>
      </w:tblCellMar>
    </w:tblPr>
  </w:style>
  <w:style w:type="table" w:styleId="Cuadrculaclara-nfasis5">
    <w:name w:val="Light Grid Accent 5"/>
    <w:basedOn w:val="Tablanormal"/>
    <w:uiPriority w:val="62"/>
    <w:rsid w:val="006047af"/>
    <w:pPr>
      <w:spacing w:after="0" w:line="240" w:lineRule="auto"/>
    </w:pPr>
    <w:tblPr>
      <w:tblStyleRowBandSize w:val="1"/>
      <w:tblStyleColBandSize w:val="1"/>
      <w:tblBorders>
        <w:top w:val="single" w:color="4472C4" w:themeColor="accent5" w:sz="8" w:space="0"/>
        <w:left w:val="single" w:color="4472C4" w:themeColor="accent5" w:sz="8" w:space="0"/>
        <w:bottom w:val="single" w:color="4472C4" w:themeColor="accent5" w:sz="8" w:space="0"/>
        <w:right w:val="single" w:color="4472C4" w:themeColor="accent5" w:sz="8" w:space="0"/>
        <w:insideH w:val="single" w:color="4472C4" w:themeColor="accent5" w:sz="8" w:space="0"/>
        <w:insideV w:val="single" w:color="4472C4"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5" w:sz="8" w:space="0"/>
          <w:left w:val="single" w:color="4472C4" w:themeColor="accent5" w:sz="8" w:space="0"/>
          <w:bottom w:val="single" w:color="4472C4" w:themeColor="accent5" w:sz="18" w:space="0"/>
          <w:right w:val="single" w:color="4472C4" w:themeColor="accent5" w:sz="8" w:space="0"/>
          <w:insideH w:val="nil"/>
          <w:insideV w:val="single" w:color="4472C4"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5" w:sz="6" w:space="0"/>
          <w:left w:val="single" w:color="4472C4" w:themeColor="accent5" w:sz="8" w:space="0"/>
          <w:bottom w:val="single" w:color="4472C4" w:themeColor="accent5" w:sz="8" w:space="0"/>
          <w:right w:val="single" w:color="4472C4" w:themeColor="accent5" w:sz="8" w:space="0"/>
          <w:insideH w:val="nil"/>
          <w:insideV w:val="single" w:color="4472C4" w:themeColor="accent5"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tcPr>
    </w:tblStylePr>
    <w:tblStylePr w:type="band1Vert">
      <w:tblPr/>
      <w:tcPr>
        <w:tcBorders>
          <w:top w:val="single" w:color="4472C4" w:themeColor="accent5" w:sz="8" w:space="0"/>
          <w:left w:val="single" w:color="4472C4" w:themeColor="accent5" w:sz="8" w:space="0"/>
          <w:bottom w:val="single" w:color="4472C4" w:themeColor="accent5" w:sz="8" w:space="0"/>
          <w:right w:val="single" w:color="4472C4" w:themeColor="accent5" w:sz="8" w:space="0"/>
        </w:tcBorders>
        <w:shd w:val="clear" w:color="auto" w:fill="D0DBF0" w:themeFill="accent5" w:themeFillTint="3f"/>
      </w:tcPr>
    </w:tblStylePr>
    <w:tblStylePr w:type="band1Horz">
      <w:tblPr/>
      <w:tcPr>
        <w:tcBorders>
          <w:top w:val="single" w:color="4472C4" w:themeColor="accent5" w:sz="8" w:space="0"/>
          <w:left w:val="single" w:color="4472C4" w:themeColor="accent5" w:sz="8" w:space="0"/>
          <w:bottom w:val="single" w:color="4472C4" w:themeColor="accent5" w:sz="8" w:space="0"/>
          <w:right w:val="single" w:color="4472C4" w:themeColor="accent5" w:sz="8" w:space="0"/>
          <w:insideV w:val="single" w:color="4472C4" w:themeColor="accent5" w:sz="8" w:space="0"/>
        </w:tcBorders>
        <w:shd w:val="clear" w:color="auto" w:fill="D0DBF0" w:themeFill="accent5" w:themeFillTint="3f"/>
      </w:tcPr>
    </w:tblStylePr>
    <w:tblStylePr w:type="band2Horz">
      <w:tblPr/>
      <w:tcPr>
        <w:tcBorders>
          <w:top w:val="single" w:color="4472C4" w:themeColor="accent5" w:sz="8" w:space="0"/>
          <w:left w:val="single" w:color="4472C4" w:themeColor="accent5" w:sz="8" w:space="0"/>
          <w:bottom w:val="single" w:color="4472C4" w:themeColor="accent5" w:sz="8" w:space="0"/>
          <w:right w:val="single" w:color="4472C4" w:themeColor="accent5" w:sz="8" w:space="0"/>
          <w:insideV w:val="single" w:color="4472C4" w:themeColor="accent5" w:sz="8" w:space="0"/>
        </w:tcBorders>
      </w:tcPr>
    </w:tblStylePr>
  </w:style>
  <w:style w:type="table" w:styleId="Tablaconcuadrcula">
    <w:name w:val="Table Grid"/>
    <w:basedOn w:val="Tablanormal"/>
    <w:uiPriority w:val="59"/>
    <w:rsid w:val="006047a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oleObject" Target="embeddings/oleObject1.bin"/><Relationship Id="rId3" Type="http://schemas.openxmlformats.org/officeDocument/2006/relationships/image" Target="media/image1.wmf"/><Relationship Id="rId4" Type="http://schemas.openxmlformats.org/officeDocument/2006/relationships/oleObject" Target="embeddings/oleObject2.bin"/><Relationship Id="rId5" Type="http://schemas.openxmlformats.org/officeDocument/2006/relationships/image" Target="media/image2.wmf"/><Relationship Id="rId6" Type="http://schemas.openxmlformats.org/officeDocument/2006/relationships/oleObject" Target="embeddings/oleObject3.bin"/><Relationship Id="rId7" Type="http://schemas.openxmlformats.org/officeDocument/2006/relationships/image" Target="media/image3.wmf"/><Relationship Id="rId8" Type="http://schemas.openxmlformats.org/officeDocument/2006/relationships/oleObject" Target="embeddings/oleObject4.bin"/><Relationship Id="rId9" Type="http://schemas.openxmlformats.org/officeDocument/2006/relationships/image" Target="media/image4.wmf"/><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package" Target="embeddings/oleObject5.pptx"/><Relationship Id="rId13" Type="http://schemas.openxmlformats.org/officeDocument/2006/relationships/image" Target="media/image7.wmf"/><Relationship Id="rId14" Type="http://schemas.openxmlformats.org/officeDocument/2006/relationships/oleObject" Target="embeddings/oleObject6.bin"/><Relationship Id="rId15" Type="http://schemas.openxmlformats.org/officeDocument/2006/relationships/image" Target="media/image8.wmf"/><Relationship Id="rId16" Type="http://schemas.openxmlformats.org/officeDocument/2006/relationships/oleObject" Target="embeddings/oleObject7.bin"/><Relationship Id="rId17" Type="http://schemas.openxmlformats.org/officeDocument/2006/relationships/image" Target="media/image9.wmf"/><Relationship Id="rId18" Type="http://schemas.openxmlformats.org/officeDocument/2006/relationships/oleObject" Target="embeddings/oleObject8.bin"/><Relationship Id="rId19" Type="http://schemas.openxmlformats.org/officeDocument/2006/relationships/image" Target="media/image10.wmf"/><Relationship Id="rId20" Type="http://schemas.openxmlformats.org/officeDocument/2006/relationships/oleObject" Target="embeddings/oleObject9.bin"/><Relationship Id="rId21" Type="http://schemas.openxmlformats.org/officeDocument/2006/relationships/image" Target="media/image11.wmf"/><Relationship Id="rId22" Type="http://schemas.openxmlformats.org/officeDocument/2006/relationships/oleObject" Target="embeddings/oleObject10.bin"/><Relationship Id="rId23" Type="http://schemas.openxmlformats.org/officeDocument/2006/relationships/image" Target="media/image12.wmf"/><Relationship Id="rId24" Type="http://schemas.openxmlformats.org/officeDocument/2006/relationships/oleObject" Target="embeddings/oleObject11.bin"/><Relationship Id="rId25" Type="http://schemas.openxmlformats.org/officeDocument/2006/relationships/image" Target="media/image13.wmf"/><Relationship Id="rId26" Type="http://schemas.openxmlformats.org/officeDocument/2006/relationships/oleObject" Target="embeddings/oleObject12.bin"/><Relationship Id="rId27" Type="http://schemas.openxmlformats.org/officeDocument/2006/relationships/image" Target="media/image14.wmf"/><Relationship Id="rId28" Type="http://schemas.openxmlformats.org/officeDocument/2006/relationships/oleObject" Target="embeddings/oleObject13.bin"/><Relationship Id="rId29" Type="http://schemas.openxmlformats.org/officeDocument/2006/relationships/image" Target="media/image15.wmf"/><Relationship Id="rId30" Type="http://schemas.openxmlformats.org/officeDocument/2006/relationships/oleObject" Target="embeddings/oleObject14.bin"/><Relationship Id="rId31" Type="http://schemas.openxmlformats.org/officeDocument/2006/relationships/image" Target="media/image16.wmf"/><Relationship Id="rId32" Type="http://schemas.openxmlformats.org/officeDocument/2006/relationships/oleObject" Target="embeddings/oleObject15.bin"/><Relationship Id="rId33" Type="http://schemas.openxmlformats.org/officeDocument/2006/relationships/image" Target="media/image17.wmf"/><Relationship Id="rId34" Type="http://schemas.openxmlformats.org/officeDocument/2006/relationships/oleObject" Target="embeddings/oleObject16.bin"/><Relationship Id="rId35" Type="http://schemas.openxmlformats.org/officeDocument/2006/relationships/image" Target="media/image18.wmf"/><Relationship Id="rId36" Type="http://schemas.openxmlformats.org/officeDocument/2006/relationships/hyperlink" Target="mailto:amorac@poder-judicial.go.cr" TargetMode="External"/><Relationship Id="rId37" Type="http://schemas.openxmlformats.org/officeDocument/2006/relationships/hyperlink" Target="mailto:ocri@poder-judicial.go.cr" TargetMode="External"/><Relationship Id="rId38" Type="http://schemas.openxmlformats.org/officeDocument/2006/relationships/oleObject" Target="embeddings/oleObject17.bin"/><Relationship Id="rId39" Type="http://schemas.openxmlformats.org/officeDocument/2006/relationships/image" Target="media/image19.wmf"/><Relationship Id="rId40" Type="http://schemas.openxmlformats.org/officeDocument/2006/relationships/oleObject" Target="embeddings/oleObject18.bin"/><Relationship Id="rId41" Type="http://schemas.openxmlformats.org/officeDocument/2006/relationships/image" Target="media/image20.wmf"/><Relationship Id="rId42" Type="http://schemas.openxmlformats.org/officeDocument/2006/relationships/oleObject" Target="embeddings/oleObject19.bin"/><Relationship Id="rId43" Type="http://schemas.openxmlformats.org/officeDocument/2006/relationships/image" Target="media/image21.wmf"/><Relationship Id="rId44" Type="http://schemas.openxmlformats.org/officeDocument/2006/relationships/hyperlink" Target="mailto:Sec_Genero@poder-judicial.go.cr" TargetMode="External"/><Relationship Id="rId45" Type="http://schemas.openxmlformats.org/officeDocument/2006/relationships/oleObject" Target="embeddings/oleObject20.bin"/><Relationship Id="rId46" Type="http://schemas.openxmlformats.org/officeDocument/2006/relationships/image" Target="media/image22.wmf"/><Relationship Id="rId47" Type="http://schemas.openxmlformats.org/officeDocument/2006/relationships/oleObject" Target="embeddings/oleObject21.bin"/><Relationship Id="rId48" Type="http://schemas.openxmlformats.org/officeDocument/2006/relationships/image" Target="media/image23.wmf"/><Relationship Id="rId49" Type="http://schemas.openxmlformats.org/officeDocument/2006/relationships/oleObject" Target="embeddings/oleObject22.bin"/><Relationship Id="rId50" Type="http://schemas.openxmlformats.org/officeDocument/2006/relationships/image" Target="media/image24.wmf"/><Relationship Id="rId51" Type="http://schemas.openxmlformats.org/officeDocument/2006/relationships/oleObject" Target="embeddings/oleObject23.bin"/><Relationship Id="rId52" Type="http://schemas.openxmlformats.org/officeDocument/2006/relationships/image" Target="media/image25.wmf"/><Relationship Id="rId53" Type="http://schemas.openxmlformats.org/officeDocument/2006/relationships/oleObject" Target="embeddings/oleObject24.bin"/><Relationship Id="rId54" Type="http://schemas.openxmlformats.org/officeDocument/2006/relationships/image" Target="media/image26.wmf"/><Relationship Id="rId55" Type="http://schemas.openxmlformats.org/officeDocument/2006/relationships/image" Target="media/image27.wmf"/><Relationship Id="rId56" Type="http://schemas.openxmlformats.org/officeDocument/2006/relationships/image" Target="media/image28.wmf"/><Relationship Id="rId57" Type="http://schemas.openxmlformats.org/officeDocument/2006/relationships/oleObject" Target="embeddings/oleObject25.bin"/><Relationship Id="rId58" Type="http://schemas.openxmlformats.org/officeDocument/2006/relationships/image" Target="media/image29.wmf"/><Relationship Id="rId59" Type="http://schemas.openxmlformats.org/officeDocument/2006/relationships/oleObject" Target="embeddings/oleObject26.bin"/><Relationship Id="rId60" Type="http://schemas.openxmlformats.org/officeDocument/2006/relationships/image" Target="media/image30.wmf"/><Relationship Id="rId61" Type="http://schemas.openxmlformats.org/officeDocument/2006/relationships/oleObject" Target="embeddings/oleObject27.bin"/><Relationship Id="rId62" Type="http://schemas.openxmlformats.org/officeDocument/2006/relationships/image" Target="media/image31.wmf"/><Relationship Id="rId63" Type="http://schemas.openxmlformats.org/officeDocument/2006/relationships/oleObject" Target="embeddings/oleObject28.bin"/><Relationship Id="rId64" Type="http://schemas.openxmlformats.org/officeDocument/2006/relationships/image" Target="media/image32.wmf"/><Relationship Id="rId65" Type="http://schemas.openxmlformats.org/officeDocument/2006/relationships/hyperlink" Target="mailto:dvargas@Poder-Judicial.go.cr" TargetMode="External"/><Relationship Id="rId66" Type="http://schemas.openxmlformats.org/officeDocument/2006/relationships/hyperlink" Target="mailto:felipeculturabribri@gmail.com" TargetMode="External"/><Relationship Id="rId67" Type="http://schemas.openxmlformats.org/officeDocument/2006/relationships/hyperlink" Target="mailto:consejomayores.iriria@gmail.com" TargetMode="External"/><Relationship Id="rId68" Type="http://schemas.openxmlformats.org/officeDocument/2006/relationships/hyperlink" Target="mailto:roberthmv1974@gmail.com" TargetMode="External"/><Relationship Id="rId69" Type="http://schemas.openxmlformats.org/officeDocument/2006/relationships/hyperlink" Target="mailto:tavoreamuno72@gmail.com" TargetMode="External"/><Relationship Id="rId70" Type="http://schemas.openxmlformats.org/officeDocument/2006/relationships/image" Target="media/image33.png"/><Relationship Id="rId71" Type="http://schemas.openxmlformats.org/officeDocument/2006/relationships/oleObject" Target="embeddings/oleObject29.bin"/><Relationship Id="rId72" Type="http://schemas.openxmlformats.org/officeDocument/2006/relationships/image" Target="media/image34.wmf"/><Relationship Id="rId73" Type="http://schemas.openxmlformats.org/officeDocument/2006/relationships/oleObject" Target="embeddings/oleObject30.bin"/><Relationship Id="rId74" Type="http://schemas.openxmlformats.org/officeDocument/2006/relationships/image" Target="media/image35.wmf"/><Relationship Id="rId75" Type="http://schemas.openxmlformats.org/officeDocument/2006/relationships/oleObject" Target="embeddings/oleObject31.bin"/><Relationship Id="rId76" Type="http://schemas.openxmlformats.org/officeDocument/2006/relationships/image" Target="media/image36.wmf"/><Relationship Id="rId77" Type="http://schemas.openxmlformats.org/officeDocument/2006/relationships/oleObject" Target="embeddings/oleObject32.bin"/><Relationship Id="rId78" Type="http://schemas.openxmlformats.org/officeDocument/2006/relationships/image" Target="media/image37.wmf"/><Relationship Id="rId79" Type="http://schemas.openxmlformats.org/officeDocument/2006/relationships/hyperlink" Target="mailto:tproca-sgdoc@poder-judicial.go.cr" TargetMode="External"/><Relationship Id="rId80" Type="http://schemas.openxmlformats.org/officeDocument/2006/relationships/hyperlink" Target="http://www.poder-judicial.go.cr/" TargetMode="External"/><Relationship Id="rId81" Type="http://schemas.openxmlformats.org/officeDocument/2006/relationships/hyperlink" Target="mailto:fr.ortiz@hotmail.com" TargetMode="External"/><Relationship Id="rId82" Type="http://schemas.openxmlformats.org/officeDocument/2006/relationships/hyperlink" Target="mailto:jechaves@Poder-Judicial.go.cr" TargetMode="External"/><Relationship Id="rId83" Type="http://schemas.openxmlformats.org/officeDocument/2006/relationships/hyperlink" Target="mailto:tproca-sgdoc@poder-judicial.go.cr" TargetMode="External"/><Relationship Id="rId84" Type="http://schemas.openxmlformats.org/officeDocument/2006/relationships/hyperlink" Target="http://www.poder-judicial.go.cr/" TargetMode="External"/><Relationship Id="rId85" Type="http://schemas.openxmlformats.org/officeDocument/2006/relationships/hyperlink" Target="mailto:fr.ortiz@hotmail.com" TargetMode="External"/><Relationship Id="rId86" Type="http://schemas.openxmlformats.org/officeDocument/2006/relationships/oleObject" Target="embeddings/oleObject33.bin"/><Relationship Id="rId87" Type="http://schemas.openxmlformats.org/officeDocument/2006/relationships/image" Target="media/image38.wmf"/><Relationship Id="rId88" Type="http://schemas.openxmlformats.org/officeDocument/2006/relationships/oleObject" Target="embeddings/oleObject34.bin"/><Relationship Id="rId89" Type="http://schemas.openxmlformats.org/officeDocument/2006/relationships/image" Target="media/image39.wmf"/><Relationship Id="rId90" Type="http://schemas.openxmlformats.org/officeDocument/2006/relationships/hyperlink" Target="mailto:eatencio7@gmail.com" TargetMode="External"/><Relationship Id="rId91" Type="http://schemas.openxmlformats.org/officeDocument/2006/relationships/hyperlink" Target="mailto:dvargas@Poder-Judicial.go.cr" TargetMode="External"/><Relationship Id="rId92" Type="http://schemas.openxmlformats.org/officeDocument/2006/relationships/hyperlink" Target="mailto:lsoro@Poder-Judicial.go.cr" TargetMode="External"/><Relationship Id="rId93" Type="http://schemas.openxmlformats.org/officeDocument/2006/relationships/hyperlink" Target="mailto:yalvaradov@Poder-Judicial.go.cr" TargetMode="External"/><Relationship Id="rId94" Type="http://schemas.openxmlformats.org/officeDocument/2006/relationships/hyperlink" Target="mailto:dvargas@Poder-Judicial.go.cr" TargetMode="External"/><Relationship Id="rId95" Type="http://schemas.openxmlformats.org/officeDocument/2006/relationships/hyperlink" Target="mailto:spindigenas@Poder-Judicial.go.cr" TargetMode="External"/><Relationship Id="rId96" Type="http://schemas.openxmlformats.org/officeDocument/2006/relationships/hyperlink" Target="mailto:contraloria-lim@Poder-Judicial.go.cr" TargetMode="External"/><Relationship Id="rId97" Type="http://schemas.openxmlformats.org/officeDocument/2006/relationships/hyperlink" Target="mailto:reg_limon@Poder-Judicial.go.cr" TargetMode="External"/><Relationship Id="rId98" Type="http://schemas.openxmlformats.org/officeDocument/2006/relationships/image" Target="media/image40.png"/><Relationship Id="rId99" Type="http://schemas.openxmlformats.org/officeDocument/2006/relationships/hyperlink" Target="mailto:yalvaradov@Poder-Judicial.go.cr" TargetMode="External"/><Relationship Id="rId100" Type="http://schemas.openxmlformats.org/officeDocument/2006/relationships/hyperlink" Target="mailto:lsoro@Poder-Judicial.go.cr" TargetMode="External"/><Relationship Id="rId101" Type="http://schemas.openxmlformats.org/officeDocument/2006/relationships/hyperlink" Target="mailto:dvargas@Poder-Judicial.go.cr" TargetMode="External"/><Relationship Id="rId102" Type="http://schemas.openxmlformats.org/officeDocument/2006/relationships/hyperlink" Target="mailto:spindigenas@Poder-Judicial.go.cr" TargetMode="External"/><Relationship Id="rId103" Type="http://schemas.openxmlformats.org/officeDocument/2006/relationships/hyperlink" Target="mailto:contraloria-lim@Poder-Judicial.go.cr" TargetMode="External"/><Relationship Id="rId104" Type="http://schemas.openxmlformats.org/officeDocument/2006/relationships/hyperlink" Target="mailto:reg_limon@Poder-Judicial.go.cr" TargetMode="External"/><Relationship Id="rId105" Type="http://schemas.openxmlformats.org/officeDocument/2006/relationships/image" Target="media/image41.jpeg"/><Relationship Id="rId106" Type="http://schemas.openxmlformats.org/officeDocument/2006/relationships/image" Target="media/image42.png"/><Relationship Id="rId107" Type="http://schemas.openxmlformats.org/officeDocument/2006/relationships/hyperlink" Target="mailto:yalvaradov@Poder-Judicial.go.cr" TargetMode="External"/><Relationship Id="rId108" Type="http://schemas.openxmlformats.org/officeDocument/2006/relationships/hyperlink" Target="mailto:lsoro@Poder-Judicial.go.cr" TargetMode="External"/><Relationship Id="rId109" Type="http://schemas.openxmlformats.org/officeDocument/2006/relationships/hyperlink" Target="mailto:dvargas@Poder-Judicial.go.cr" TargetMode="External"/><Relationship Id="rId110" Type="http://schemas.openxmlformats.org/officeDocument/2006/relationships/hyperlink" Target="mailto:spindigenas@Poder-Judicial.go.cr" TargetMode="External"/><Relationship Id="rId111" Type="http://schemas.openxmlformats.org/officeDocument/2006/relationships/hyperlink" Target="mailto:contraloria-lim@Poder-Judicial.go.cr" TargetMode="External"/><Relationship Id="rId112" Type="http://schemas.openxmlformats.org/officeDocument/2006/relationships/hyperlink" Target="mailto:reg_limon@Poder-Judicial.go.cr" TargetMode="External"/><Relationship Id="rId113" Type="http://schemas.openxmlformats.org/officeDocument/2006/relationships/hyperlink" Target="mailto:dvargas@Poder-Judicial.go.cr" TargetMode="External"/><Relationship Id="rId114" Type="http://schemas.openxmlformats.org/officeDocument/2006/relationships/hyperlink" Target="mailto:kleivac@Poder-Judicial.go.cr" TargetMode="External"/><Relationship Id="rId115" Type="http://schemas.openxmlformats.org/officeDocument/2006/relationships/hyperlink" Target="mailto:centroinformacion@Poder-Judicial.go.cr" TargetMode="External"/><Relationship Id="rId116" Type="http://schemas.openxmlformats.org/officeDocument/2006/relationships/header" Target="header1.xml"/><Relationship Id="rId117" Type="http://schemas.openxmlformats.org/officeDocument/2006/relationships/comments" Target="comments.xml"/><Relationship Id="rId118" Type="http://schemas.openxmlformats.org/officeDocument/2006/relationships/numbering" Target="numbering.xml"/><Relationship Id="rId119" Type="http://schemas.openxmlformats.org/officeDocument/2006/relationships/fontTable" Target="fontTable.xml"/><Relationship Id="rId120" Type="http://schemas.openxmlformats.org/officeDocument/2006/relationships/settings" Target="settings.xml"/><Relationship Id="rId121"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Application>LibreOffice/7.0.3.1$Windows_x86 LibreOffice_project/d7547858d014d4cf69878db179d326fc3483e082</Application>
  <Pages>45</Pages>
  <Words>25860</Words>
  <Characters>138629</Characters>
  <CharactersWithSpaces>164066</CharactersWithSpaces>
  <Paragraphs>732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2019-09-19T15:10:00Z</dcterms:created>
  <dc:creator>Damaris Vargas Vásquez</dc:creator>
  <dc:description/>
  <dc:language>es-CR</dc:language>
  <cp:lastModifiedBy>Melissa Benavides Víquez</cp:lastModifiedBy>
  <cp:lastPrinted>2019-06-04T07:37:00Z</cp:lastPrinted>
  <dcterms:modified xsi:type="dcterms:W3CDTF">2019-09-19T15:10:00Z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