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embeddings/oleObject1.bin" ContentType="application/vnd.openxmlformats-officedocument.oleObject"/>
  <Override PartName="/word/embeddings/oleObject2.docx" ContentType="application/vnd.openxmlformats-officedocument.wordprocessingml.document"/>
  <Override PartName="/word/embeddings/oleObject3.bin" ContentType="application/vnd.openxmlformats-officedocument.oleObject"/>
  <Override PartName="/word/header1.xml" ContentType="application/vnd.openxmlformats-officedocument.wordprocessingml.header+xml"/>
  <Override PartName="/word/media/image1.wmf" ContentType="image/x-wmf"/>
  <Override PartName="/word/media/image2.jpeg" ContentType="image/jpeg"/>
  <Override PartName="/word/media/image7.wmf" ContentType="image/x-wmf"/>
  <Override PartName="/word/media/image3.jpeg" ContentType="image/jpeg"/>
  <Override PartName="/word/media/image6.wmf" ContentType="image/x-wmf"/>
  <Override PartName="/word/media/image8.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ahoma" w:hAnsi="Tahoma" w:cs="Tahoma"/>
          <w:sz w:val="20"/>
          <w:szCs w:val="20"/>
        </w:rPr>
      </w:pPr>
      <w:r>
        <w:rPr>
          <w:rFonts w:cs="Tahoma" w:ascii="Tahoma" w:hAnsi="Tahoma"/>
          <w:sz w:val="20"/>
          <w:szCs w:val="20"/>
        </w:rPr>
        <mc:AlternateContent>
          <mc:Choice Requires="wps">
            <w:drawing>
              <wp:anchor behindDoc="0" distT="0" distB="0" distL="0" distR="0" simplePos="0" locked="0" layoutInCell="0" allowOverlap="1" relativeHeight="5" wp14:anchorId="33959BB2">
                <wp:simplePos x="0" y="0"/>
                <wp:positionH relativeFrom="column">
                  <wp:posOffset>46355</wp:posOffset>
                </wp:positionH>
                <wp:positionV relativeFrom="paragraph">
                  <wp:posOffset>52705</wp:posOffset>
                </wp:positionV>
                <wp:extent cx="5265420" cy="1096645"/>
                <wp:effectExtent l="0" t="0" r="12700" b="47625"/>
                <wp:wrapNone/>
                <wp:docPr id="1" name="Text Box 11"/>
                <a:graphic xmlns:a="http://schemas.openxmlformats.org/drawingml/2006/main">
                  <a:graphicData uri="http://schemas.microsoft.com/office/word/2010/wordprocessingShape">
                    <wps:wsp>
                      <wps:cNvSpPr/>
                      <wps:spPr>
                        <a:xfrm>
                          <a:off x="0" y="0"/>
                          <a:ext cx="5264640" cy="1095840"/>
                        </a:xfrm>
                        <a:prstGeom prst="rect">
                          <a:avLst/>
                        </a:prstGeom>
                        <a:noFill/>
                        <a:ln w="19080">
                          <a:solidFill>
                            <a:srgbClr val="f2f2f2"/>
                          </a:solidFill>
                          <a:miter/>
                        </a:ln>
                        <a:effectLst>
                          <a:outerShdw algn="ctr" dir="3864689" dist="28339" rotWithShape="0">
                            <a:srgbClr val="205867">
                              <a:alpha val="50000"/>
                            </a:srgbClr>
                          </a:outerShdw>
                        </a:effectLst>
                      </wps:spPr>
                      <wps:style>
                        <a:lnRef idx="0"/>
                        <a:fillRef idx="0"/>
                        <a:effectRef idx="0"/>
                        <a:fontRef idx="minor"/>
                      </wps:style>
                      <wps:txbx>
                        <w:txbxContent>
                          <w:p>
                            <w:pPr>
                              <w:pStyle w:val="Contenidodelmarco"/>
                              <w:jc w:val="center"/>
                              <w:rPr>
                                <w:rFonts w:ascii="Tahoma" w:hAnsi="Tahoma" w:cs="Tahoma"/>
                                <w:b/>
                                <w:b/>
                              </w:rPr>
                            </w:pPr>
                            <w:r>
                              <w:rPr>
                                <w:rFonts w:cs="Tahoma" w:ascii="Tahoma" w:hAnsi="Tahoma"/>
                                <w:b/>
                                <w:color w:val="000000"/>
                              </w:rPr>
                              <w:t>ACTA VIRTUAL 04-2020</w:t>
                            </w:r>
                          </w:p>
                          <w:p>
                            <w:pPr>
                              <w:pStyle w:val="Contenidodelmarco"/>
                              <w:jc w:val="center"/>
                              <w:rPr>
                                <w:rFonts w:ascii="Tahoma" w:hAnsi="Tahoma" w:cs="Tahoma"/>
                                <w:b/>
                                <w:b/>
                              </w:rPr>
                            </w:pPr>
                            <w:r>
                              <w:rPr>
                                <w:rFonts w:cs="Tahoma" w:ascii="Tahoma" w:hAnsi="Tahoma"/>
                                <w:b/>
                                <w:color w:val="000000"/>
                              </w:rPr>
                              <w:t>SUBCOMISIÓN DE ACCESO A LA JUSTICIA DE PERSONAS  CON  DISCAPACIDAD</w:t>
                            </w:r>
                          </w:p>
                          <w:p>
                            <w:pPr>
                              <w:pStyle w:val="Contenidodelmarco"/>
                              <w:jc w:val="center"/>
                              <w:rPr>
                                <w:rFonts w:ascii="Tahoma" w:hAnsi="Tahoma" w:cs="Tahoma"/>
                                <w:b/>
                                <w:b/>
                              </w:rPr>
                            </w:pPr>
                            <w:r>
                              <w:rPr>
                                <w:rFonts w:cs="Tahoma" w:ascii="Tahoma" w:hAnsi="Tahoma"/>
                                <w:b/>
                                <w:color w:val="000000"/>
                              </w:rPr>
                              <w:t xml:space="preserve">21 DE ABRIL </w:t>
                            </w:r>
                          </w:p>
                          <w:p>
                            <w:pPr>
                              <w:pStyle w:val="Contenidodelmarco"/>
                              <w:jc w:val="center"/>
                              <w:rPr>
                                <w:rFonts w:ascii="Cambria" w:hAnsi="Cambria"/>
                                <w:b/>
                                <w:b/>
                                <w:sz w:val="28"/>
                                <w:szCs w:val="28"/>
                              </w:rPr>
                            </w:pPr>
                            <w:r>
                              <w:rPr>
                                <w:rFonts w:ascii="Cambria" w:hAnsi="Cambria"/>
                                <w:b/>
                                <w:color w:val="000000"/>
                                <w:sz w:val="28"/>
                                <w:szCs w:val="28"/>
                              </w:rPr>
                            </w:r>
                          </w:p>
                          <w:p>
                            <w:pPr>
                              <w:pStyle w:val="Contenidodelmarco"/>
                              <w:jc w:val="center"/>
                              <w:rPr>
                                <w:rFonts w:ascii="Cambria" w:hAnsi="Cambria"/>
                                <w:b/>
                                <w:b/>
                              </w:rPr>
                            </w:pPr>
                            <w:r>
                              <w:rPr>
                                <w:rFonts w:ascii="Cambria" w:hAnsi="Cambria"/>
                                <w:b/>
                                <w:color w:val="000000"/>
                              </w:rPr>
                              <w:t>Febrero 2020</w:t>
                            </w:r>
                          </w:p>
                          <w:p>
                            <w:pPr>
                              <w:pStyle w:val="Contenidodelmarco"/>
                              <w:jc w:val="center"/>
                              <w:rPr>
                                <w:rFonts w:ascii="Cambria" w:hAnsi="Cambria"/>
                                <w:b/>
                                <w:b/>
                              </w:rPr>
                            </w:pPr>
                            <w:r>
                              <w:rPr>
                                <w:rFonts w:ascii="Cambria" w:hAnsi="Cambria"/>
                                <w:b/>
                                <w:color w:val="000000"/>
                              </w:rPr>
                            </w:r>
                          </w:p>
                          <w:p>
                            <w:pPr>
                              <w:pStyle w:val="Contenidodelmarco"/>
                              <w:spacing w:before="0" w:after="200"/>
                              <w:rPr>
                                <w:rFonts w:ascii="Cambria" w:hAnsi="Cambria"/>
                              </w:rPr>
                            </w:pPr>
                            <w:r>
                              <w:rPr>
                                <w:color w:val="000000"/>
                              </w:rPr>
                            </w:r>
                          </w:p>
                        </w:txbxContent>
                      </wps:txbx>
                      <wps:bodyPr>
                        <a:noAutofit/>
                      </wps:bodyPr>
                    </wps:wsp>
                  </a:graphicData>
                </a:graphic>
              </wp:anchor>
            </w:drawing>
          </mc:Choice>
          <mc:Fallback>
            <w:pict>
              <v:rect id="shape_0" ID="Text Box 11" stroked="t" style="position:absolute;margin-left:3.65pt;margin-top:4.15pt;width:414.5pt;height:86.25pt;mso-wrap-style:square;v-text-anchor:top" wp14:anchorId="33959BB2">
                <v:fill o:detectmouseclick="t" on="false"/>
                <v:stroke color="#f2f2f2" weight="19080" joinstyle="miter" endcap="flat"/>
                <v:shadow on="t" obscured="f" color="#205867"/>
                <v:textbox>
                  <w:txbxContent>
                    <w:p>
                      <w:pPr>
                        <w:pStyle w:val="Contenidodelmarco"/>
                        <w:jc w:val="center"/>
                        <w:rPr>
                          <w:rFonts w:ascii="Tahoma" w:hAnsi="Tahoma" w:cs="Tahoma"/>
                          <w:b/>
                          <w:b/>
                        </w:rPr>
                      </w:pPr>
                      <w:r>
                        <w:rPr>
                          <w:rFonts w:cs="Tahoma" w:ascii="Tahoma" w:hAnsi="Tahoma"/>
                          <w:b/>
                          <w:color w:val="000000"/>
                        </w:rPr>
                        <w:t>ACTA VIRTUAL 04-2020</w:t>
                      </w:r>
                    </w:p>
                    <w:p>
                      <w:pPr>
                        <w:pStyle w:val="Contenidodelmarco"/>
                        <w:jc w:val="center"/>
                        <w:rPr>
                          <w:rFonts w:ascii="Tahoma" w:hAnsi="Tahoma" w:cs="Tahoma"/>
                          <w:b/>
                          <w:b/>
                        </w:rPr>
                      </w:pPr>
                      <w:r>
                        <w:rPr>
                          <w:rFonts w:cs="Tahoma" w:ascii="Tahoma" w:hAnsi="Tahoma"/>
                          <w:b/>
                          <w:color w:val="000000"/>
                        </w:rPr>
                        <w:t>SUBCOMISIÓN DE ACCESO A LA JUSTICIA DE PERSONAS  CON  DISCAPACIDAD</w:t>
                      </w:r>
                    </w:p>
                    <w:p>
                      <w:pPr>
                        <w:pStyle w:val="Contenidodelmarco"/>
                        <w:jc w:val="center"/>
                        <w:rPr>
                          <w:rFonts w:ascii="Tahoma" w:hAnsi="Tahoma" w:cs="Tahoma"/>
                          <w:b/>
                          <w:b/>
                        </w:rPr>
                      </w:pPr>
                      <w:r>
                        <w:rPr>
                          <w:rFonts w:cs="Tahoma" w:ascii="Tahoma" w:hAnsi="Tahoma"/>
                          <w:b/>
                          <w:color w:val="000000"/>
                        </w:rPr>
                        <w:t xml:space="preserve">21 DE ABRIL </w:t>
                      </w:r>
                    </w:p>
                    <w:p>
                      <w:pPr>
                        <w:pStyle w:val="Contenidodelmarco"/>
                        <w:jc w:val="center"/>
                        <w:rPr>
                          <w:rFonts w:ascii="Cambria" w:hAnsi="Cambria"/>
                          <w:b/>
                          <w:b/>
                          <w:sz w:val="28"/>
                          <w:szCs w:val="28"/>
                        </w:rPr>
                      </w:pPr>
                      <w:r>
                        <w:rPr>
                          <w:rFonts w:ascii="Cambria" w:hAnsi="Cambria"/>
                          <w:b/>
                          <w:color w:val="000000"/>
                          <w:sz w:val="28"/>
                          <w:szCs w:val="28"/>
                        </w:rPr>
                      </w:r>
                    </w:p>
                    <w:p>
                      <w:pPr>
                        <w:pStyle w:val="Contenidodelmarco"/>
                        <w:jc w:val="center"/>
                        <w:rPr>
                          <w:rFonts w:ascii="Cambria" w:hAnsi="Cambria"/>
                          <w:b/>
                          <w:b/>
                        </w:rPr>
                      </w:pPr>
                      <w:r>
                        <w:rPr>
                          <w:rFonts w:ascii="Cambria" w:hAnsi="Cambria"/>
                          <w:b/>
                          <w:color w:val="000000"/>
                        </w:rPr>
                        <w:t>Febrero 2020</w:t>
                      </w:r>
                    </w:p>
                    <w:p>
                      <w:pPr>
                        <w:pStyle w:val="Contenidodelmarco"/>
                        <w:jc w:val="center"/>
                        <w:rPr>
                          <w:rFonts w:ascii="Cambria" w:hAnsi="Cambria"/>
                          <w:b/>
                          <w:b/>
                        </w:rPr>
                      </w:pPr>
                      <w:r>
                        <w:rPr>
                          <w:rFonts w:ascii="Cambria" w:hAnsi="Cambria"/>
                          <w:b/>
                          <w:color w:val="000000"/>
                        </w:rPr>
                      </w:r>
                    </w:p>
                    <w:p>
                      <w:pPr>
                        <w:pStyle w:val="Contenidodelmarco"/>
                        <w:spacing w:before="0" w:after="200"/>
                        <w:rPr>
                          <w:rFonts w:ascii="Cambria" w:hAnsi="Cambria"/>
                        </w:rPr>
                      </w:pPr>
                      <w:r>
                        <w:rPr>
                          <w:color w:val="000000"/>
                        </w:rPr>
                      </w:r>
                    </w:p>
                  </w:txbxContent>
                </v:textbox>
                <w10:wrap type="none"/>
              </v:rect>
            </w:pict>
          </mc:Fallback>
        </mc:AlternateContent>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tbl>
      <w:tblPr>
        <w:tblW w:w="736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7366"/>
      </w:tblGrid>
      <w:tr>
        <w:trPr/>
        <w:tc>
          <w:tcPr>
            <w:tcW w:w="7366" w:type="dxa"/>
            <w:tcBorders>
              <w:bottom w:val="single" w:sz="4" w:space="0" w:color="000000"/>
            </w:tcBorders>
          </w:tcPr>
          <w:p>
            <w:pPr>
              <w:pStyle w:val="Normal"/>
              <w:widowControl w:val="false"/>
              <w:spacing w:before="0" w:after="200"/>
              <w:jc w:val="both"/>
              <w:rPr>
                <w:rStyle w:val="Ttulo3Car"/>
                <w:rFonts w:ascii="Tahoma" w:hAnsi="Tahoma" w:cs="Tahoma"/>
                <w:b w:val="false"/>
                <w:b w:val="false"/>
                <w:color w:val="auto"/>
                <w:sz w:val="20"/>
                <w:szCs w:val="20"/>
              </w:rPr>
            </w:pPr>
            <w:r>
              <w:rPr>
                <w:rStyle w:val="Ttulo3Car"/>
                <w:rFonts w:cs="Tahoma" w:ascii="Tahoma" w:hAnsi="Tahoma"/>
                <w:b w:val="false"/>
                <w:color w:val="auto"/>
                <w:sz w:val="20"/>
                <w:szCs w:val="20"/>
              </w:rPr>
              <w:t>INTEGRANTES</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Melissa Benavides Víquez, Coordinadora Unidad de Acceso a la Justicia</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Suplente: Sra. Gabriela Abarca Morán en sustitución de la señora Beiy Hiu Li Villalobos, representante de la Defensa Pública</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Damaris Vargas Vásquez, Coordinadora Subcomisión Acceso a la Justicia de Personas con Discapacidad</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 xml:space="preserve">Sr. Wilbert Kidd Alvarado, Subdirector Dirección Ejecutiva </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Dixon Li, representante de Dirección de Planificación</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 xml:space="preserve">Sr. Cristian Alberto Martínez Hernández, representante del Centro de Apoyo, Coordinación y Mejoramiento de la Función Jurisdiccional </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Wendy Patricia Barrantes Jiménez, representante sociedad civil</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Carmen María Escoto Fernández, representante de sociedad civil</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Nelda Beatriz Rojas Jiménez, representante de la Judicatura de Niñez y Adolescencia</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Roxana Arrieta Meléndez, Directora Gestión Humana y Coordinadora Comisión Institucional de Empleabilidad</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Francisco Azofeifa Murillo, Jefe Departamento Jurídico CONAPDIS</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Andrea Sanchez, CONAPDIS</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Mayela Pérez Delgado, representante del Ministerio Público</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Orlando Castrillo, Subdirector Tecnología de la Información</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Franz Vega Zúñiga, representante de Medicatura Forense</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Otto Lépiz, Coordinador del Mecanismo Nacional de Supervisión de las Convención sobre los Derechos de las Personas con Discapacidad de la Defensoría de los Habitantes de la República</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Yorleny Ferreto Solano, Organismo de Investigación Judicial</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Angie Calderón Chaves, Unidad de Acceso a la Justicia</w:t>
            </w:r>
          </w:p>
        </w:tc>
      </w:tr>
      <w:tr>
        <w:trPr/>
        <w:tc>
          <w:tcPr>
            <w:tcW w:w="7366" w:type="dxa"/>
            <w:tcBorders>
              <w:top w:val="single" w:sz="4" w:space="0" w:color="000000"/>
              <w:bottom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Daisy Quesada Guerrero, Escuela Judicial</w:t>
            </w:r>
          </w:p>
        </w:tc>
      </w:tr>
      <w:tr>
        <w:trPr/>
        <w:tc>
          <w:tcPr>
            <w:tcW w:w="7366" w:type="dxa"/>
            <w:tcBorders>
              <w:top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r>
            <w:bookmarkStart w:id="0" w:name="_Hlk20865913"/>
            <w:bookmarkStart w:id="1" w:name="_Hlk20865913"/>
            <w:bookmarkEnd w:id="1"/>
          </w:p>
        </w:tc>
      </w:tr>
    </w:tbl>
    <w:p>
      <w:pPr>
        <w:pStyle w:val="Normal"/>
        <w:rPr>
          <w:rFonts w:ascii="Tahoma" w:hAnsi="Tahoma" w:cs="Tahoma"/>
          <w:sz w:val="20"/>
          <w:szCs w:val="20"/>
        </w:rPr>
      </w:pPr>
      <w:r>
        <w:rPr>
          <w:rFonts w:cs="Tahoma" w:ascii="Tahoma" w:hAnsi="Tahoma"/>
          <w:sz w:val="20"/>
          <w:szCs w:val="20"/>
        </w:rPr>
      </w:r>
    </w:p>
    <w:p>
      <w:pPr>
        <w:pStyle w:val="Normal"/>
        <w:jc w:val="center"/>
        <w:rPr>
          <w:rFonts w:ascii="Tahoma" w:hAnsi="Tahoma" w:cs="Tahoma"/>
          <w:b/>
          <w:b/>
          <w:iCs/>
          <w:sz w:val="20"/>
          <w:szCs w:val="20"/>
          <w:u w:val="single"/>
        </w:rPr>
      </w:pPr>
      <w:r>
        <w:rPr>
          <w:rFonts w:cs="Tahoma" w:ascii="Tahoma" w:hAnsi="Tahoma"/>
          <w:b/>
          <w:iCs/>
          <w:sz w:val="20"/>
          <w:szCs w:val="20"/>
          <w:highlight w:val="green"/>
          <w:u w:val="single"/>
        </w:rPr>
        <w:t>ARTICULO I</w:t>
      </w:r>
    </w:p>
    <w:p>
      <w:pPr>
        <w:pStyle w:val="Normal"/>
        <w:jc w:val="both"/>
        <w:rPr>
          <w:rFonts w:ascii="Tahoma" w:hAnsi="Tahoma" w:cs="Tahoma"/>
          <w:sz w:val="20"/>
          <w:szCs w:val="20"/>
          <w:lang w:val="es-ES"/>
        </w:rPr>
      </w:pPr>
      <w:r>
        <w:rPr>
          <w:rFonts w:cs="Tahoma" w:ascii="Tahoma" w:hAnsi="Tahoma"/>
          <w:sz w:val="20"/>
          <w:szCs w:val="20"/>
        </w:rPr>
        <w:t xml:space="preserve">La Unidad de Acceso a la Justicia comunicó mediante el </w:t>
      </w:r>
      <w:r>
        <w:rPr>
          <w:rFonts w:cs="Tahoma" w:ascii="Tahoma" w:hAnsi="Tahoma"/>
          <w:b/>
          <w:sz w:val="20"/>
          <w:szCs w:val="20"/>
        </w:rPr>
        <w:t>Oficio CACC-23-2020</w:t>
      </w:r>
      <w:r>
        <w:rPr>
          <w:rFonts w:cs="Tahoma" w:ascii="Tahoma" w:hAnsi="Tahoma"/>
          <w:sz w:val="20"/>
          <w:szCs w:val="20"/>
        </w:rPr>
        <w:t xml:space="preserve"> a las diferentes Unidades de Capacitación Institucionales, </w:t>
      </w:r>
      <w:r>
        <w:rPr>
          <w:rFonts w:cs="Tahoma" w:ascii="Tahoma" w:hAnsi="Tahoma"/>
          <w:sz w:val="20"/>
          <w:szCs w:val="20"/>
          <w:lang w:val="es-ES"/>
        </w:rPr>
        <w:t xml:space="preserve">el acuerdo tomado por la Subcomisión de Acceso a la Justicia de Personas con Discapacidad que consta en el Artículo III del Acta 01-2020, el cual se transcribe literalmente: </w:t>
      </w:r>
    </w:p>
    <w:p>
      <w:pPr>
        <w:pStyle w:val="Normal"/>
        <w:jc w:val="both"/>
        <w:rPr>
          <w:rFonts w:ascii="Tahoma" w:hAnsi="Tahoma" w:cs="Tahoma"/>
          <w:i/>
          <w:i/>
          <w:iCs/>
          <w:sz w:val="20"/>
          <w:szCs w:val="20"/>
        </w:rPr>
      </w:pPr>
      <w:r>
        <w:rPr>
          <w:rFonts w:cs="Tahoma" w:ascii="Tahoma" w:hAnsi="Tahoma"/>
          <w:i/>
          <w:iCs/>
          <w:sz w:val="20"/>
          <w:szCs w:val="20"/>
          <w:lang w:val="es-ES"/>
        </w:rPr>
        <w:t>“</w:t>
      </w:r>
      <w:r>
        <w:rPr>
          <w:rFonts w:cs="Tahoma" w:ascii="Tahoma" w:hAnsi="Tahoma"/>
          <w:i/>
          <w:iCs/>
          <w:sz w:val="20"/>
          <w:szCs w:val="20"/>
          <w:lang w:val="es-ES"/>
        </w:rPr>
        <w:t xml:space="preserve">SE ACUERDA: … </w:t>
      </w:r>
      <w:r>
        <w:rPr>
          <w:rFonts w:cs="Tahoma" w:ascii="Tahoma" w:hAnsi="Tahoma"/>
          <w:i/>
          <w:iCs/>
          <w:sz w:val="20"/>
          <w:szCs w:val="20"/>
        </w:rPr>
        <w:t>b) solicitar a la Escuela Judicial y a las Unidades de Capacitación colaboración para la realización de al menos cuatro actividades de capacitación durante 2020 vinculadas con la temática discapacidad y en general, solicitarles remisión del Plan de Capacitación de este año relacionado con ello.”</w:t>
      </w:r>
    </w:p>
    <w:p>
      <w:pPr>
        <w:pStyle w:val="ListParagraph"/>
        <w:ind w:left="360" w:hanging="0"/>
        <w:jc w:val="both"/>
        <w:rPr>
          <w:rFonts w:ascii="Tahoma" w:hAnsi="Tahoma" w:cs="Tahoma"/>
          <w:b/>
          <w:b/>
          <w:sz w:val="20"/>
          <w:szCs w:val="20"/>
          <w:u w:val="single"/>
          <w:lang w:val="es-ES"/>
        </w:rPr>
      </w:pPr>
      <w:r>
        <w:rPr>
          <w:rFonts w:cs="Tahoma" w:ascii="Tahoma" w:hAnsi="Tahoma"/>
          <w:b/>
          <w:sz w:val="20"/>
          <w:szCs w:val="20"/>
          <w:u w:val="single"/>
          <w:lang w:val="es-ES"/>
        </w:rPr>
      </w:r>
    </w:p>
    <w:p>
      <w:pPr>
        <w:pStyle w:val="Normal"/>
        <w:jc w:val="both"/>
        <w:rPr>
          <w:rFonts w:ascii="Tahoma" w:hAnsi="Tahoma" w:cs="Tahoma"/>
          <w:sz w:val="20"/>
          <w:szCs w:val="20"/>
          <w:lang w:val="es-ES"/>
        </w:rPr>
      </w:pPr>
      <w:r>
        <w:rPr>
          <w:rFonts w:cs="Tahoma" w:ascii="Tahoma" w:hAnsi="Tahoma"/>
          <w:sz w:val="20"/>
          <w:szCs w:val="20"/>
          <w:lang w:val="es-ES"/>
        </w:rPr>
        <w:t>La Escuela Judicial informó</w:t>
      </w:r>
      <w:r>
        <w:rPr>
          <w:rFonts w:cs="Tahoma" w:ascii="Tahoma" w:hAnsi="Tahoma"/>
          <w:sz w:val="20"/>
          <w:szCs w:val="20"/>
        </w:rPr>
        <w:t xml:space="preserve"> mediante el Oficio EJ-DIR-049-2020 remitido el 20 de marzo, lo siguiente: </w:t>
      </w:r>
    </w:p>
    <w:p>
      <w:pPr>
        <w:pStyle w:val="Normal"/>
        <w:spacing w:before="0" w:after="29"/>
        <w:ind w:right="-518" w:hanging="0"/>
        <w:rPr>
          <w:rFonts w:ascii="Tahoma" w:hAnsi="Tahoma" w:cs="Tahoma"/>
          <w:i/>
          <w:i/>
          <w:iCs/>
          <w:sz w:val="20"/>
          <w:szCs w:val="20"/>
        </w:rPr>
      </w:pPr>
      <w:r>
        <w:rPr>
          <w:rFonts w:cs="Tahoma" w:ascii="Tahoma" w:hAnsi="Tahoma"/>
          <w:b/>
          <w:sz w:val="20"/>
          <w:szCs w:val="20"/>
        </w:rPr>
        <w:t xml:space="preserve">                                                                                                                </w:t>
      </w:r>
      <w:r>
        <w:rPr>
          <w:rFonts w:cs="Tahoma" w:ascii="Tahoma" w:hAnsi="Tahoma"/>
          <w:b/>
          <w:i/>
          <w:iCs/>
          <w:sz w:val="20"/>
          <w:szCs w:val="20"/>
        </w:rPr>
        <w:t>EJ-DIR-049-2020</w:t>
      </w:r>
    </w:p>
    <w:p>
      <w:pPr>
        <w:pStyle w:val="Sinespaciado1"/>
        <w:ind w:left="6936" w:right="-1644" w:hanging="0"/>
        <w:rPr>
          <w:rFonts w:ascii="Tahoma" w:hAnsi="Tahoma" w:cs="Tahoma"/>
          <w:b/>
          <w:b/>
          <w:i/>
          <w:i/>
          <w:iCs/>
          <w:sz w:val="20"/>
          <w:szCs w:val="20"/>
        </w:rPr>
      </w:pPr>
      <w:r>
        <w:rPr>
          <w:rFonts w:cs="Tahoma" w:ascii="Tahoma" w:hAnsi="Tahoma"/>
          <w:b/>
          <w:i/>
          <w:iCs/>
          <w:sz w:val="20"/>
          <w:szCs w:val="20"/>
        </w:rPr>
        <w:tab/>
        <w:t xml:space="preserve"> 20 de marzo de 2020</w:t>
      </w:r>
    </w:p>
    <w:p>
      <w:pPr>
        <w:pStyle w:val="Cuerpodetexto"/>
        <w:rPr>
          <w:rStyle w:val="EnlacedeInternet"/>
          <w:rFonts w:ascii="Tahoma" w:hAnsi="Tahoma" w:cs="Tahoma"/>
          <w:b/>
          <w:b/>
          <w:bCs/>
          <w:i/>
          <w:i/>
          <w:iCs/>
          <w:color w:val="auto"/>
          <w:sz w:val="20"/>
          <w:szCs w:val="20"/>
          <w:u w:val="none"/>
        </w:rPr>
      </w:pPr>
      <w:r>
        <w:rPr>
          <w:rFonts w:cs="Tahoma" w:ascii="Tahoma" w:hAnsi="Tahoma"/>
          <w:b/>
          <w:bCs/>
          <w:i/>
          <w:iCs/>
          <w:color w:val="auto"/>
          <w:sz w:val="20"/>
          <w:szCs w:val="20"/>
          <w:u w:val="none"/>
        </w:rPr>
      </w:r>
    </w:p>
    <w:p>
      <w:pPr>
        <w:pStyle w:val="Cuerpodetexto"/>
        <w:rPr>
          <w:rFonts w:ascii="Tahoma" w:hAnsi="Tahoma" w:cs="Tahoma"/>
          <w:b/>
          <w:b/>
          <w:i/>
          <w:i/>
          <w:iCs/>
          <w:sz w:val="20"/>
          <w:szCs w:val="20"/>
        </w:rPr>
      </w:pPr>
      <w:r>
        <w:rPr>
          <w:rStyle w:val="EnlacedeInternet"/>
          <w:rFonts w:cs="Tahoma" w:ascii="Tahoma" w:hAnsi="Tahoma"/>
          <w:b/>
          <w:bCs/>
          <w:i/>
          <w:iCs/>
          <w:color w:val="auto"/>
          <w:sz w:val="20"/>
          <w:szCs w:val="20"/>
          <w:u w:val="none"/>
        </w:rPr>
        <w:t>Señora</w:t>
      </w:r>
    </w:p>
    <w:p>
      <w:pPr>
        <w:pStyle w:val="Cuerpodetexto"/>
        <w:rPr>
          <w:rFonts w:ascii="Tahoma" w:hAnsi="Tahoma" w:cs="Tahoma"/>
          <w:b/>
          <w:b/>
          <w:i/>
          <w:i/>
          <w:iCs/>
          <w:sz w:val="20"/>
          <w:szCs w:val="20"/>
        </w:rPr>
      </w:pPr>
      <w:r>
        <w:rPr>
          <w:rStyle w:val="EnlacedeInternet"/>
          <w:rFonts w:cs="Tahoma" w:ascii="Tahoma" w:hAnsi="Tahoma"/>
          <w:b/>
          <w:bCs/>
          <w:i/>
          <w:iCs/>
          <w:color w:val="auto"/>
          <w:sz w:val="20"/>
          <w:szCs w:val="20"/>
          <w:u w:val="none"/>
        </w:rPr>
        <w:t>Melissa Benavides Víquez</w:t>
      </w:r>
      <w:r>
        <w:rPr>
          <w:rFonts w:cs="Tahoma" w:ascii="Tahoma" w:hAnsi="Tahoma"/>
          <w:b/>
          <w:bCs/>
          <w:i/>
          <w:iCs/>
          <w:sz w:val="20"/>
          <w:szCs w:val="20"/>
        </w:rPr>
        <w:t xml:space="preserve"> </w:t>
      </w:r>
    </w:p>
    <w:p>
      <w:pPr>
        <w:pStyle w:val="Cuerpodetexto"/>
        <w:rPr>
          <w:rFonts w:ascii="Tahoma" w:hAnsi="Tahoma" w:cs="Tahoma"/>
          <w:i/>
          <w:i/>
          <w:iCs/>
          <w:sz w:val="20"/>
          <w:szCs w:val="20"/>
        </w:rPr>
      </w:pPr>
      <w:r>
        <w:rPr>
          <w:rFonts w:cs="Tahoma" w:ascii="Tahoma" w:hAnsi="Tahoma"/>
          <w:b/>
          <w:bCs/>
          <w:i/>
          <w:iCs/>
          <w:sz w:val="20"/>
          <w:szCs w:val="20"/>
        </w:rPr>
        <w:t xml:space="preserve">Coordinadora Unidad Acceso a la Justicia </w:t>
      </w:r>
    </w:p>
    <w:p>
      <w:pPr>
        <w:pStyle w:val="Cuerpodetexto"/>
        <w:rPr>
          <w:rFonts w:ascii="Tahoma" w:hAnsi="Tahoma" w:cs="Tahoma"/>
          <w:i/>
          <w:i/>
          <w:iCs/>
          <w:sz w:val="20"/>
          <w:szCs w:val="20"/>
        </w:rPr>
      </w:pPr>
      <w:r>
        <w:rPr>
          <w:rFonts w:cs="Tahoma" w:ascii="Tahoma" w:hAnsi="Tahoma"/>
          <w:b/>
          <w:bCs/>
          <w:i/>
          <w:iCs/>
          <w:sz w:val="20"/>
          <w:szCs w:val="20"/>
        </w:rPr>
        <w:t xml:space="preserve">Poder Judicial </w:t>
      </w:r>
    </w:p>
    <w:p>
      <w:pPr>
        <w:pStyle w:val="Normal"/>
        <w:spacing w:lineRule="auto" w:line="360" w:before="0" w:after="0"/>
        <w:ind w:left="-567" w:right="-518" w:hanging="0"/>
        <w:jc w:val="both"/>
        <w:rPr>
          <w:rFonts w:ascii="Tahoma" w:hAnsi="Tahoma" w:cs="Tahoma"/>
          <w:i/>
          <w:i/>
          <w:iCs/>
          <w:sz w:val="20"/>
          <w:szCs w:val="20"/>
        </w:rPr>
      </w:pPr>
      <w:r>
        <w:rPr>
          <w:rStyle w:val="EnlacedeInternet"/>
          <w:rFonts w:eastAsia="Arial" w:cs="Tahoma" w:ascii="Tahoma" w:hAnsi="Tahoma"/>
          <w:b/>
          <w:bCs/>
          <w:i/>
          <w:iCs/>
          <w:color w:val="auto"/>
          <w:sz w:val="20"/>
          <w:szCs w:val="20"/>
          <w:u w:val="none"/>
          <w:lang w:val="es-ES" w:eastAsia="ar-SA"/>
        </w:rPr>
        <w:t xml:space="preserve">          </w:t>
      </w:r>
      <w:r>
        <w:rPr>
          <w:rFonts w:cs="Tahoma" w:ascii="Tahoma" w:hAnsi="Tahoma"/>
          <w:b/>
          <w:i/>
          <w:iCs/>
          <w:sz w:val="20"/>
          <w:szCs w:val="20"/>
        </w:rPr>
        <w:t>Asunto:</w:t>
      </w:r>
      <w:r>
        <w:rPr>
          <w:rFonts w:cs="Tahoma" w:ascii="Tahoma" w:hAnsi="Tahoma"/>
          <w:i/>
          <w:iCs/>
          <w:sz w:val="20"/>
          <w:szCs w:val="20"/>
        </w:rPr>
        <w:t xml:space="preserve"> </w:t>
      </w:r>
      <w:r>
        <w:rPr>
          <w:rFonts w:cs="Tahoma" w:ascii="Tahoma" w:hAnsi="Tahoma"/>
          <w:b/>
          <w:bCs/>
          <w:i/>
          <w:iCs/>
          <w:sz w:val="20"/>
          <w:szCs w:val="20"/>
        </w:rPr>
        <w:t xml:space="preserve">Respuesta a oficio </w:t>
      </w:r>
      <w:r>
        <w:rPr>
          <w:rFonts w:eastAsia="Times New Roman" w:cs="Tahoma" w:ascii="Tahoma" w:hAnsi="Tahoma"/>
          <w:b/>
          <w:bCs/>
          <w:i/>
          <w:iCs/>
          <w:sz w:val="20"/>
          <w:szCs w:val="20"/>
          <w:lang w:eastAsia="es-CR"/>
        </w:rPr>
        <w:t>CACC-23-2020.</w:t>
      </w:r>
    </w:p>
    <w:p>
      <w:pPr>
        <w:pStyle w:val="Sinespaciado1"/>
        <w:spacing w:lineRule="auto" w:line="360"/>
        <w:ind w:right="-510" w:hanging="0"/>
        <w:rPr>
          <w:rFonts w:ascii="Tahoma" w:hAnsi="Tahoma" w:cs="Tahoma"/>
          <w:b/>
          <w:b/>
          <w:i/>
          <w:i/>
          <w:iCs/>
          <w:sz w:val="20"/>
          <w:szCs w:val="20"/>
          <w:lang w:val="es-ES"/>
        </w:rPr>
      </w:pPr>
      <w:r>
        <w:rPr>
          <w:rFonts w:cs="Tahoma" w:ascii="Tahoma" w:hAnsi="Tahoma"/>
          <w:b/>
          <w:i/>
          <w:iCs/>
          <w:sz w:val="20"/>
          <w:szCs w:val="20"/>
          <w:lang w:val="es-ES"/>
        </w:rPr>
      </w:r>
    </w:p>
    <w:p>
      <w:pPr>
        <w:pStyle w:val="Sinespaciado1"/>
        <w:spacing w:lineRule="auto" w:line="360"/>
        <w:ind w:right="-510" w:hanging="0"/>
        <w:rPr>
          <w:rFonts w:ascii="Tahoma" w:hAnsi="Tahoma" w:cs="Tahoma"/>
          <w:i/>
          <w:i/>
          <w:iCs/>
          <w:sz w:val="20"/>
          <w:szCs w:val="20"/>
        </w:rPr>
      </w:pPr>
      <w:r>
        <w:rPr>
          <w:rFonts w:cs="Tahoma" w:ascii="Tahoma" w:hAnsi="Tahoma"/>
          <w:b/>
          <w:i/>
          <w:iCs/>
          <w:sz w:val="20"/>
          <w:szCs w:val="20"/>
          <w:lang w:val="es-ES"/>
        </w:rPr>
        <w:t>Estimada señora:</w:t>
        <w:tab/>
      </w:r>
    </w:p>
    <w:p>
      <w:pPr>
        <w:pStyle w:val="Sinespaciado1"/>
        <w:spacing w:lineRule="auto" w:line="360"/>
        <w:jc w:val="both"/>
        <w:rPr>
          <w:rFonts w:ascii="Tahoma" w:hAnsi="Tahoma" w:cs="Tahoma"/>
          <w:i/>
          <w:i/>
          <w:iCs/>
          <w:sz w:val="20"/>
          <w:szCs w:val="20"/>
        </w:rPr>
      </w:pPr>
      <w:r>
        <w:rPr>
          <w:rFonts w:cs="Tahoma" w:ascii="Tahoma" w:hAnsi="Tahoma"/>
          <w:i/>
          <w:iCs/>
          <w:sz w:val="20"/>
          <w:szCs w:val="20"/>
        </w:rPr>
      </w:r>
    </w:p>
    <w:p>
      <w:pPr>
        <w:pStyle w:val="Sinespaciado1"/>
        <w:spacing w:lineRule="auto" w:line="360"/>
        <w:jc w:val="both"/>
        <w:rPr>
          <w:rFonts w:ascii="Tahoma" w:hAnsi="Tahoma" w:cs="Tahoma"/>
          <w:i/>
          <w:i/>
          <w:iCs/>
          <w:sz w:val="20"/>
          <w:szCs w:val="20"/>
        </w:rPr>
      </w:pPr>
      <w:r>
        <w:rPr>
          <w:rFonts w:cs="Tahoma" w:ascii="Tahoma" w:hAnsi="Tahoma"/>
          <w:i/>
          <w:iCs/>
          <w:sz w:val="20"/>
          <w:szCs w:val="20"/>
          <w:lang w:val="es-ES"/>
        </w:rPr>
        <w:t xml:space="preserve">Reciba un cordial saludo. </w:t>
      </w:r>
    </w:p>
    <w:p>
      <w:pPr>
        <w:pStyle w:val="Sinespaciado1"/>
        <w:spacing w:lineRule="auto" w:line="360"/>
        <w:jc w:val="both"/>
        <w:rPr>
          <w:rFonts w:ascii="Tahoma" w:hAnsi="Tahoma" w:cs="Tahoma"/>
          <w:i/>
          <w:i/>
          <w:iCs/>
          <w:sz w:val="20"/>
          <w:szCs w:val="20"/>
        </w:rPr>
      </w:pPr>
      <w:r>
        <w:rPr>
          <w:rFonts w:cs="Tahoma" w:ascii="Tahoma" w:hAnsi="Tahoma"/>
          <w:i/>
          <w:iCs/>
          <w:sz w:val="20"/>
          <w:szCs w:val="20"/>
          <w:lang w:val="es-ES"/>
        </w:rPr>
        <w:t>En respuesta a su oficio número  CACC-23-2020, de fecha 20 de enero del presente año, en el que se solicita a la Escuela Judicial “la realización de al menos cuatro actividades de capacitación durante el año 2020 vinculadas con la temática discapacidad”, se informa lo siguiente:</w:t>
      </w:r>
    </w:p>
    <w:p>
      <w:pPr>
        <w:pStyle w:val="Sinespaciado1"/>
        <w:spacing w:lineRule="auto" w:line="360"/>
        <w:jc w:val="both"/>
        <w:rPr>
          <w:rFonts w:ascii="Tahoma" w:hAnsi="Tahoma" w:cs="Tahoma"/>
          <w:i/>
          <w:i/>
          <w:iCs/>
          <w:sz w:val="20"/>
          <w:szCs w:val="20"/>
        </w:rPr>
      </w:pPr>
      <w:r>
        <w:rPr>
          <w:rFonts w:cs="Tahoma" w:ascii="Tahoma" w:hAnsi="Tahoma"/>
          <w:i/>
          <w:iCs/>
          <w:sz w:val="20"/>
          <w:szCs w:val="20"/>
        </w:rPr>
      </w:r>
    </w:p>
    <w:p>
      <w:pPr>
        <w:pStyle w:val="Sinespaciado1"/>
        <w:spacing w:lineRule="auto" w:line="360"/>
        <w:jc w:val="both"/>
        <w:rPr>
          <w:rFonts w:ascii="Tahoma" w:hAnsi="Tahoma" w:cs="Tahoma"/>
          <w:i/>
          <w:i/>
          <w:iCs/>
          <w:sz w:val="20"/>
          <w:szCs w:val="20"/>
          <w:lang w:val="es-ES"/>
        </w:rPr>
      </w:pPr>
      <w:r>
        <w:rPr>
          <w:rFonts w:cs="Tahoma" w:ascii="Tahoma" w:hAnsi="Tahoma"/>
          <w:i/>
          <w:iCs/>
          <w:sz w:val="20"/>
          <w:szCs w:val="20"/>
          <w:lang w:val="es-ES"/>
        </w:rPr>
        <w:t xml:space="preserve">La Escuela Judicial cuenta actualmente con el Taller bimodal denominado “Ley de la promoción de la autonomía de las personas con discapacidad en sede judicial.”Este taller consta de 2 sesiones en las que las personas participantes realizarán tanto actividades de forma  virtual como presencial. </w:t>
      </w:r>
    </w:p>
    <w:p>
      <w:pPr>
        <w:pStyle w:val="Sinespaciado1"/>
        <w:spacing w:lineRule="auto" w:line="360"/>
        <w:jc w:val="both"/>
        <w:rPr>
          <w:rFonts w:ascii="Tahoma" w:hAnsi="Tahoma" w:cs="Tahoma"/>
          <w:i/>
          <w:i/>
          <w:iCs/>
          <w:sz w:val="20"/>
          <w:szCs w:val="20"/>
          <w:lang w:val="es-ES"/>
        </w:rPr>
      </w:pPr>
      <w:r>
        <w:rPr>
          <w:rFonts w:cs="Tahoma" w:ascii="Tahoma" w:hAnsi="Tahoma"/>
          <w:i/>
          <w:iCs/>
          <w:sz w:val="20"/>
          <w:szCs w:val="20"/>
          <w:lang w:val="es-ES"/>
        </w:rPr>
      </w:r>
    </w:p>
    <w:p>
      <w:pPr>
        <w:pStyle w:val="Sinespaciado1"/>
        <w:spacing w:lineRule="auto" w:line="360"/>
        <w:jc w:val="both"/>
        <w:rPr>
          <w:rFonts w:ascii="Tahoma" w:hAnsi="Tahoma" w:cs="Tahoma"/>
          <w:i/>
          <w:i/>
          <w:iCs/>
          <w:sz w:val="20"/>
          <w:szCs w:val="20"/>
          <w:lang w:val="es-ES"/>
        </w:rPr>
      </w:pPr>
      <w:r>
        <w:rPr>
          <w:rFonts w:cs="Tahoma" w:ascii="Tahoma" w:hAnsi="Tahoma"/>
          <w:i/>
          <w:iCs/>
          <w:sz w:val="20"/>
          <w:szCs w:val="20"/>
          <w:lang w:val="es-ES"/>
        </w:rPr>
        <w:t xml:space="preserve">Para impartir dicho taller se requiere,  al menos, de una persona facilitadora. </w:t>
      </w:r>
    </w:p>
    <w:p>
      <w:pPr>
        <w:pStyle w:val="Sinespaciado1"/>
        <w:spacing w:lineRule="auto" w:line="360"/>
        <w:jc w:val="both"/>
        <w:rPr>
          <w:rFonts w:ascii="Tahoma" w:hAnsi="Tahoma" w:cs="Tahoma"/>
          <w:i/>
          <w:i/>
          <w:iCs/>
          <w:sz w:val="20"/>
          <w:szCs w:val="20"/>
        </w:rPr>
      </w:pPr>
      <w:r>
        <w:rPr>
          <w:rFonts w:cs="Tahoma" w:ascii="Tahoma" w:hAnsi="Tahoma"/>
          <w:i/>
          <w:iCs/>
          <w:sz w:val="20"/>
          <w:szCs w:val="20"/>
          <w:lang w:val="es-ES"/>
        </w:rPr>
        <w:t xml:space="preserve">La Escuela Judicial se encuentra en la mejor disposición de realizar las cuatro capacitaciones solicitadas. Sin embargo, para llevar a cabo esta labor, y de la forma más respetuosa, se le solicita a la  </w:t>
      </w:r>
      <w:r>
        <w:rPr>
          <w:rStyle w:val="Textoennegrita1"/>
          <w:rFonts w:cs="Tahoma" w:ascii="Tahoma" w:hAnsi="Tahoma"/>
          <w:i/>
          <w:iCs/>
          <w:sz w:val="20"/>
          <w:szCs w:val="20"/>
          <w:lang w:val="es-ES"/>
        </w:rPr>
        <w:t xml:space="preserve">Subcomisión de Acceso a la Justicia de Poblaciones en Situación de Discapacidad </w:t>
      </w:r>
      <w:r>
        <w:rPr>
          <w:rFonts w:cs="Tahoma" w:ascii="Tahoma" w:hAnsi="Tahoma"/>
          <w:i/>
          <w:iCs/>
          <w:sz w:val="20"/>
          <w:szCs w:val="20"/>
          <w:lang w:val="es-ES"/>
        </w:rPr>
        <w:t>su colaboración para suministrar a nuestra institución una persona facilitadora, experta en la materia.</w:t>
      </w:r>
    </w:p>
    <w:p>
      <w:pPr>
        <w:pStyle w:val="Sinespaciado1"/>
        <w:spacing w:lineRule="auto" w:line="360"/>
        <w:jc w:val="both"/>
        <w:rPr>
          <w:rFonts w:ascii="Tahoma" w:hAnsi="Tahoma" w:cs="Tahoma"/>
          <w:i/>
          <w:i/>
          <w:iCs/>
          <w:sz w:val="20"/>
          <w:szCs w:val="20"/>
          <w:lang w:val="es-ES"/>
        </w:rPr>
      </w:pPr>
      <w:r>
        <w:rPr>
          <w:rFonts w:cs="Tahoma" w:ascii="Tahoma" w:hAnsi="Tahoma"/>
          <w:i/>
          <w:iCs/>
          <w:sz w:val="20"/>
          <w:szCs w:val="20"/>
          <w:lang w:val="es-ES"/>
        </w:rPr>
      </w:r>
    </w:p>
    <w:p>
      <w:pPr>
        <w:pStyle w:val="Sinespaciado1"/>
        <w:spacing w:lineRule="auto" w:line="360"/>
        <w:jc w:val="both"/>
        <w:rPr>
          <w:rFonts w:ascii="Tahoma" w:hAnsi="Tahoma" w:cs="Tahoma"/>
          <w:i/>
          <w:i/>
          <w:iCs/>
          <w:sz w:val="20"/>
          <w:szCs w:val="20"/>
          <w:lang w:val="es-ES"/>
        </w:rPr>
      </w:pPr>
      <w:r>
        <w:rPr>
          <w:rFonts w:cs="Tahoma" w:ascii="Tahoma" w:hAnsi="Tahoma"/>
          <w:i/>
          <w:iCs/>
          <w:sz w:val="20"/>
          <w:szCs w:val="20"/>
          <w:lang w:val="es-ES"/>
        </w:rPr>
        <w:t>En cuanto contemos con este recurso, procederemos a agendar estas capacitaciones para  impartirlas en el presente año.</w:t>
      </w:r>
    </w:p>
    <w:p>
      <w:pPr>
        <w:pStyle w:val="Sinespaciado1"/>
        <w:spacing w:lineRule="auto" w:line="360"/>
        <w:jc w:val="both"/>
        <w:rPr>
          <w:rFonts w:ascii="Tahoma" w:hAnsi="Tahoma" w:cs="Tahoma"/>
          <w:i/>
          <w:i/>
          <w:iCs/>
          <w:sz w:val="20"/>
          <w:szCs w:val="20"/>
          <w:lang w:val="es-ES"/>
        </w:rPr>
      </w:pPr>
      <w:r>
        <w:rPr>
          <w:rFonts w:cs="Tahoma" w:ascii="Tahoma" w:hAnsi="Tahoma"/>
          <w:i/>
          <w:iCs/>
          <w:sz w:val="20"/>
          <w:szCs w:val="20"/>
          <w:lang w:val="es-ES"/>
        </w:rPr>
      </w:r>
    </w:p>
    <w:p>
      <w:pPr>
        <w:pStyle w:val="Sinespaciado1"/>
        <w:spacing w:lineRule="auto" w:line="360"/>
        <w:jc w:val="both"/>
        <w:rPr>
          <w:rFonts w:ascii="Tahoma" w:hAnsi="Tahoma" w:cs="Tahoma"/>
          <w:i/>
          <w:i/>
          <w:iCs/>
          <w:sz w:val="20"/>
          <w:szCs w:val="20"/>
          <w:lang w:val="es-ES"/>
        </w:rPr>
      </w:pPr>
      <w:r>
        <w:rPr>
          <w:rFonts w:cs="Tahoma" w:ascii="Tahoma" w:hAnsi="Tahoma"/>
          <w:i/>
          <w:iCs/>
          <w:sz w:val="20"/>
          <w:szCs w:val="20"/>
          <w:lang w:val="es-ES"/>
        </w:rPr>
        <w:t>Posteriormente, se podrá valorar la opción de rediseñar el presente Taller, de manera que se imparta de forma virtual.</w:t>
      </w:r>
    </w:p>
    <w:p>
      <w:pPr>
        <w:pStyle w:val="Sinespaciado1"/>
        <w:spacing w:lineRule="auto" w:line="360"/>
        <w:jc w:val="both"/>
        <w:rPr>
          <w:rFonts w:ascii="Tahoma" w:hAnsi="Tahoma" w:cs="Tahoma"/>
          <w:i/>
          <w:i/>
          <w:iCs/>
          <w:sz w:val="20"/>
          <w:szCs w:val="20"/>
          <w:lang w:val="es-ES"/>
        </w:rPr>
      </w:pPr>
      <w:r>
        <w:rPr>
          <w:rFonts w:cs="Tahoma" w:ascii="Tahoma" w:hAnsi="Tahoma"/>
          <w:i/>
          <w:iCs/>
          <w:sz w:val="20"/>
          <w:szCs w:val="20"/>
          <w:lang w:val="es-ES"/>
        </w:rPr>
      </w:r>
    </w:p>
    <w:p>
      <w:pPr>
        <w:pStyle w:val="Cuerpodetexto"/>
        <w:spacing w:lineRule="auto" w:line="360" w:before="0" w:after="0"/>
        <w:ind w:right="-518" w:hanging="0"/>
        <w:jc w:val="both"/>
        <w:rPr>
          <w:rFonts w:ascii="Tahoma" w:hAnsi="Tahoma" w:cs="Tahoma"/>
          <w:i/>
          <w:i/>
          <w:iCs/>
          <w:sz w:val="20"/>
          <w:szCs w:val="20"/>
        </w:rPr>
      </w:pPr>
      <w:r>
        <w:rPr>
          <w:rFonts w:cs="Tahoma" w:ascii="Tahoma" w:hAnsi="Tahoma"/>
          <w:i/>
          <w:iCs/>
          <w:sz w:val="20"/>
          <w:szCs w:val="20"/>
          <w:lang w:val="es-ES"/>
        </w:rPr>
        <w:t xml:space="preserve">Sin otro particular, </w:t>
      </w:r>
    </w:p>
    <w:p>
      <w:pPr>
        <w:pStyle w:val="Cuerpodetexto"/>
        <w:spacing w:lineRule="auto" w:line="360" w:before="0" w:after="0"/>
        <w:ind w:right="-518" w:hanging="0"/>
        <w:jc w:val="both"/>
        <w:rPr>
          <w:rFonts w:ascii="Tahoma" w:hAnsi="Tahoma" w:cs="Tahoma"/>
          <w:i/>
          <w:i/>
          <w:iCs/>
          <w:sz w:val="20"/>
          <w:szCs w:val="20"/>
          <w:lang w:val="es-ES"/>
        </w:rPr>
      </w:pPr>
      <w:r>
        <w:rPr>
          <w:rFonts w:cs="Tahoma" w:ascii="Tahoma" w:hAnsi="Tahoma"/>
          <w:i/>
          <w:iCs/>
          <w:sz w:val="20"/>
          <w:szCs w:val="20"/>
          <w:lang w:val="es-ES"/>
        </w:rPr>
      </w:r>
    </w:p>
    <w:p>
      <w:pPr>
        <w:pStyle w:val="Normal"/>
        <w:spacing w:before="0" w:after="0"/>
        <w:jc w:val="center"/>
        <w:rPr>
          <w:rFonts w:ascii="Tahoma" w:hAnsi="Tahoma" w:cs="Tahoma"/>
          <w:i/>
          <w:i/>
          <w:iCs/>
          <w:sz w:val="20"/>
          <w:szCs w:val="20"/>
        </w:rPr>
      </w:pPr>
      <w:r>
        <w:rPr>
          <w:rFonts w:cs="Tahoma" w:ascii="Tahoma" w:hAnsi="Tahoma"/>
          <w:b/>
          <w:bCs/>
          <w:i/>
          <w:iCs/>
          <w:sz w:val="20"/>
          <w:szCs w:val="20"/>
        </w:rPr>
        <w:t>Licda. Rebeca Guardia Morales</w:t>
      </w:r>
    </w:p>
    <w:p>
      <w:pPr>
        <w:pStyle w:val="Normal"/>
        <w:spacing w:before="0" w:after="0"/>
        <w:jc w:val="center"/>
        <w:rPr>
          <w:rFonts w:ascii="Tahoma" w:hAnsi="Tahoma" w:cs="Tahoma"/>
          <w:i/>
          <w:i/>
          <w:iCs/>
          <w:sz w:val="20"/>
          <w:szCs w:val="20"/>
        </w:rPr>
      </w:pPr>
      <w:r>
        <w:rPr>
          <w:rFonts w:cs="Tahoma" w:ascii="Tahoma" w:hAnsi="Tahoma"/>
          <w:b/>
          <w:bCs/>
          <w:i/>
          <w:iCs/>
          <w:sz w:val="20"/>
          <w:szCs w:val="20"/>
        </w:rPr>
        <w:t>Directora a.i.</w:t>
      </w:r>
    </w:p>
    <w:p>
      <w:pPr>
        <w:pStyle w:val="Normal"/>
        <w:spacing w:before="0" w:after="0"/>
        <w:jc w:val="center"/>
        <w:textAlignment w:val="baseline"/>
        <w:rPr>
          <w:rFonts w:ascii="Tahoma" w:hAnsi="Tahoma" w:cs="Tahoma"/>
          <w:i/>
          <w:i/>
          <w:iCs/>
          <w:sz w:val="20"/>
          <w:szCs w:val="20"/>
        </w:rPr>
      </w:pPr>
      <w:r>
        <w:rPr>
          <w:rFonts w:eastAsia="Arial" w:cs="Tahoma" w:ascii="Tahoma" w:hAnsi="Tahoma"/>
          <w:b/>
          <w:bCs/>
          <w:i/>
          <w:iCs/>
          <w:kern w:val="2"/>
          <w:sz w:val="20"/>
          <w:szCs w:val="20"/>
          <w:lang w:val="es-ES" w:eastAsia="ar-SA"/>
        </w:rPr>
        <w:t>Escuela Judicial</w:t>
      </w:r>
    </w:p>
    <w:p>
      <w:pPr>
        <w:pStyle w:val="Normal"/>
        <w:spacing w:before="0" w:after="0"/>
        <w:rPr>
          <w:rFonts w:ascii="Tahoma" w:hAnsi="Tahoma" w:cs="Tahoma"/>
          <w:i/>
          <w:i/>
          <w:iCs/>
          <w:sz w:val="20"/>
          <w:szCs w:val="20"/>
        </w:rPr>
      </w:pPr>
      <w:r>
        <w:rPr>
          <w:rFonts w:eastAsia="Arial" w:cs="Tahoma" w:ascii="Tahoma" w:hAnsi="Tahoma"/>
          <w:i/>
          <w:iCs/>
          <w:sz w:val="20"/>
          <w:szCs w:val="20"/>
          <w:lang w:eastAsia="ar-SA"/>
        </w:rPr>
        <w:t>C. Arch. Consec.</w:t>
      </w:r>
    </w:p>
    <w:p>
      <w:pPr>
        <w:pStyle w:val="Normal"/>
        <w:tabs>
          <w:tab w:val="clear" w:pos="708"/>
          <w:tab w:val="left" w:pos="0" w:leader="none"/>
        </w:tabs>
        <w:spacing w:before="0" w:after="0"/>
        <w:rPr>
          <w:rFonts w:ascii="Tahoma" w:hAnsi="Tahoma" w:cs="Tahoma"/>
          <w:i/>
          <w:i/>
          <w:iCs/>
          <w:sz w:val="20"/>
          <w:szCs w:val="20"/>
        </w:rPr>
      </w:pPr>
      <w:r>
        <w:rPr>
          <w:rFonts w:eastAsia="Arial" w:cs="Tahoma" w:ascii="Tahoma" w:hAnsi="Tahoma"/>
          <w:i/>
          <w:iCs/>
          <w:sz w:val="20"/>
          <w:szCs w:val="20"/>
          <w:lang w:eastAsia="ar-SA"/>
        </w:rPr>
        <w:t>fam</w:t>
      </w:r>
    </w:p>
    <w:p>
      <w:pPr>
        <w:pStyle w:val="Cuerpodetexto"/>
        <w:spacing w:lineRule="auto" w:line="360" w:before="0" w:after="0"/>
        <w:ind w:left="7344" w:right="-518" w:firstLine="708"/>
        <w:jc w:val="both"/>
        <w:rPr>
          <w:rFonts w:ascii="Tahoma" w:hAnsi="Tahoma" w:eastAsia="Arial" w:cs="Tahoma"/>
          <w:i/>
          <w:i/>
          <w:iCs/>
          <w:sz w:val="20"/>
          <w:szCs w:val="20"/>
          <w:lang w:eastAsia="ar-SA"/>
        </w:rPr>
      </w:pPr>
      <w:r>
        <w:rPr>
          <w:rFonts w:eastAsia="Arial" w:cs="Tahoma" w:ascii="Tahoma" w:hAnsi="Tahoma"/>
          <w:i/>
          <w:iCs/>
          <w:sz w:val="20"/>
          <w:szCs w:val="20"/>
          <w:lang w:eastAsia="ar-SA"/>
        </w:rPr>
      </w:r>
    </w:p>
    <w:p>
      <w:pPr>
        <w:pStyle w:val="Cuerpodetexto"/>
        <w:spacing w:lineRule="auto" w:line="360" w:before="0" w:after="0"/>
        <w:ind w:right="-518" w:hanging="0"/>
        <w:jc w:val="center"/>
        <w:rPr>
          <w:rFonts w:ascii="Tahoma" w:hAnsi="Tahoma" w:cs="Tahoma"/>
          <w:sz w:val="20"/>
          <w:szCs w:val="20"/>
        </w:rPr>
      </w:pPr>
      <w:r>
        <w:rPr>
          <w:rFonts w:cs="Tahoma" w:ascii="Tahoma" w:hAnsi="Tahoma"/>
          <w:sz w:val="20"/>
          <w:szCs w:val="20"/>
        </w:rPr>
        <w:t>-0-</w:t>
      </w:r>
    </w:p>
    <w:p>
      <w:pPr>
        <w:pStyle w:val="Cuerpodetexto"/>
        <w:spacing w:lineRule="auto" w:line="360" w:before="0" w:after="0"/>
        <w:ind w:right="-518" w:hanging="0"/>
        <w:jc w:val="center"/>
        <w:rPr>
          <w:rFonts w:ascii="Tahoma" w:hAnsi="Tahoma" w:cs="Tahoma"/>
          <w:sz w:val="20"/>
          <w:szCs w:val="20"/>
        </w:rPr>
      </w:pPr>
      <w:r>
        <w:rPr>
          <w:rFonts w:cs="Tahoma" w:ascii="Tahoma" w:hAnsi="Tahoma"/>
          <w:sz w:val="20"/>
          <w:szCs w:val="20"/>
        </w:rPr>
      </w:r>
    </w:p>
    <w:p>
      <w:pPr>
        <w:pStyle w:val="Cuerpodetexto"/>
        <w:spacing w:lineRule="auto" w:line="360" w:before="0" w:after="0"/>
        <w:ind w:right="-518" w:hanging="0"/>
        <w:jc w:val="both"/>
        <w:rPr>
          <w:rFonts w:ascii="Tahoma" w:hAnsi="Tahoma" w:cs="Tahoma"/>
          <w:sz w:val="20"/>
          <w:szCs w:val="20"/>
        </w:rPr>
      </w:pPr>
      <w:r>
        <w:rPr>
          <w:rFonts w:cs="Tahoma" w:ascii="Tahoma" w:hAnsi="Tahoma"/>
          <w:sz w:val="20"/>
          <w:szCs w:val="20"/>
        </w:rPr>
        <w:t>Por su parte, la integrante de esta Subcomisión, señora Beiy Hiu Li Villalobos, remitió el Plan de Capacitación de la Defensa Pública, el cual se adjunta.</w:t>
      </w:r>
    </w:p>
    <w:p>
      <w:pPr>
        <w:pStyle w:val="Cuerpodetexto"/>
        <w:spacing w:lineRule="auto" w:line="360" w:before="0" w:after="0"/>
        <w:ind w:right="-518" w:hanging="0"/>
        <w:rPr>
          <w:rFonts w:ascii="Tahoma" w:hAnsi="Tahoma" w:cs="Tahoma"/>
          <w:sz w:val="20"/>
          <w:szCs w:val="20"/>
        </w:rPr>
      </w:pPr>
      <w:r>
        <w:rPr/>
        <w:object>
          <v:shape id="ole_rId2" style="width:76pt;height:49.5pt" o:ole="">
            <v:imagedata r:id="rId3" o:title=""/>
          </v:shape>
          <o:OLEObject Type="Embed" ProgID="AcroExch.Document.DC" ShapeID="ole_rId2" DrawAspect="Icon" ObjectID="_2071946910" r:id="rId2"/>
        </w:object>
      </w:r>
    </w:p>
    <w:p>
      <w:pPr>
        <w:pStyle w:val="Cuerpodetexto"/>
        <w:spacing w:lineRule="auto" w:line="360" w:before="0" w:after="0"/>
        <w:ind w:right="-518" w:hanging="0"/>
        <w:jc w:val="center"/>
        <w:rPr>
          <w:rFonts w:ascii="Tahoma" w:hAnsi="Tahoma" w:cs="Tahoma"/>
          <w:sz w:val="20"/>
          <w:szCs w:val="20"/>
        </w:rPr>
      </w:pPr>
      <w:r>
        <w:rPr>
          <w:rFonts w:cs="Tahoma" w:ascii="Tahoma" w:hAnsi="Tahoma"/>
          <w:sz w:val="20"/>
          <w:szCs w:val="20"/>
        </w:rPr>
        <w:t>-0-</w:t>
      </w:r>
    </w:p>
    <w:p>
      <w:pPr>
        <w:pStyle w:val="Cuerpodetexto"/>
        <w:spacing w:lineRule="auto" w:line="360" w:before="0" w:after="0"/>
        <w:ind w:right="-518" w:hanging="0"/>
        <w:rPr>
          <w:rFonts w:ascii="Tahoma" w:hAnsi="Tahoma" w:cs="Tahoma"/>
          <w:sz w:val="20"/>
          <w:szCs w:val="20"/>
        </w:rPr>
      </w:pPr>
      <w:r>
        <w:rPr>
          <w:rFonts w:cs="Tahoma" w:ascii="Tahoma" w:hAnsi="Tahoma"/>
          <w:sz w:val="20"/>
          <w:szCs w:val="20"/>
        </w:rPr>
        <w:t xml:space="preserve">La Unidad de Capacitación del Ministerio Público informó: </w:t>
      </w:r>
    </w:p>
    <w:p>
      <w:pPr>
        <w:pStyle w:val="Cabecera"/>
        <w:numPr>
          <w:ilvl w:val="0"/>
          <w:numId w:val="0"/>
        </w:numPr>
        <w:tabs>
          <w:tab w:val="clear" w:pos="4419"/>
          <w:tab w:val="clear" w:pos="8838"/>
        </w:tabs>
        <w:spacing w:lineRule="auto" w:line="360"/>
        <w:ind w:firstLine="708"/>
        <w:jc w:val="right"/>
        <w:outlineLvl w:val="0"/>
        <w:rPr>
          <w:rFonts w:ascii="Tahoma" w:hAnsi="Tahoma" w:cs="Tahoma"/>
          <w:i/>
          <w:i/>
          <w:sz w:val="20"/>
          <w:szCs w:val="20"/>
        </w:rPr>
      </w:pPr>
      <w:r>
        <w:rPr>
          <w:rFonts w:cs="Tahoma" w:ascii="Tahoma" w:hAnsi="Tahoma"/>
          <w:i/>
          <w:sz w:val="20"/>
          <w:szCs w:val="20"/>
        </w:rPr>
      </w:r>
    </w:p>
    <w:p>
      <w:pPr>
        <w:pStyle w:val="Cabecera"/>
        <w:numPr>
          <w:ilvl w:val="0"/>
          <w:numId w:val="0"/>
        </w:numPr>
        <w:tabs>
          <w:tab w:val="clear" w:pos="4419"/>
          <w:tab w:val="clear" w:pos="8838"/>
        </w:tabs>
        <w:spacing w:lineRule="auto" w:line="360"/>
        <w:ind w:firstLine="708"/>
        <w:jc w:val="right"/>
        <w:outlineLvl w:val="0"/>
        <w:rPr>
          <w:rFonts w:ascii="Tahoma" w:hAnsi="Tahoma" w:cs="Tahoma"/>
          <w:i/>
          <w:i/>
          <w:sz w:val="20"/>
          <w:szCs w:val="20"/>
        </w:rPr>
      </w:pPr>
      <w:r>
        <w:rPr>
          <w:rFonts w:cs="Tahoma" w:ascii="Tahoma" w:hAnsi="Tahoma"/>
          <w:i/>
          <w:sz w:val="20"/>
          <w:szCs w:val="20"/>
        </w:rPr>
        <w:t xml:space="preserve">       </w:t>
      </w:r>
      <w:r>
        <w:rPr>
          <w:rFonts w:cs="Tahoma" w:ascii="Tahoma" w:hAnsi="Tahoma"/>
          <w:i/>
          <w:sz w:val="20"/>
          <w:szCs w:val="20"/>
        </w:rPr>
        <w:t>San José, 23 de enero de 2020</w:t>
      </w:r>
    </w:p>
    <w:p>
      <w:pPr>
        <w:pStyle w:val="Cabecera"/>
        <w:numPr>
          <w:ilvl w:val="0"/>
          <w:numId w:val="0"/>
        </w:numPr>
        <w:tabs>
          <w:tab w:val="clear" w:pos="4419"/>
          <w:tab w:val="clear" w:pos="8838"/>
        </w:tabs>
        <w:spacing w:lineRule="auto" w:line="360"/>
        <w:jc w:val="right"/>
        <w:outlineLvl w:val="0"/>
        <w:rPr>
          <w:rFonts w:ascii="Tahoma" w:hAnsi="Tahoma" w:cs="Tahoma"/>
          <w:i/>
          <w:i/>
          <w:sz w:val="20"/>
          <w:szCs w:val="20"/>
        </w:rPr>
      </w:pPr>
      <w:r>
        <w:rPr>
          <w:rFonts w:cs="Tahoma" w:ascii="Tahoma" w:hAnsi="Tahoma"/>
          <w:i/>
          <w:sz w:val="20"/>
          <w:szCs w:val="20"/>
        </w:rPr>
        <w:t>UCS-013-MP-2020</w:t>
      </w:r>
    </w:p>
    <w:p>
      <w:pPr>
        <w:pStyle w:val="Normal"/>
        <w:spacing w:lineRule="auto" w:line="360" w:before="0" w:after="0"/>
        <w:rPr>
          <w:rFonts w:ascii="Tahoma" w:hAnsi="Tahoma" w:cs="Tahoma"/>
          <w:b/>
          <w:b/>
          <w:i/>
          <w:i/>
          <w:sz w:val="20"/>
          <w:szCs w:val="20"/>
        </w:rPr>
      </w:pPr>
      <w:r>
        <w:rPr>
          <w:rFonts w:cs="Tahoma" w:ascii="Tahoma" w:hAnsi="Tahoma"/>
          <w:b/>
          <w:i/>
          <w:sz w:val="20"/>
          <w:szCs w:val="20"/>
        </w:rPr>
        <w:t>Señora</w:t>
      </w:r>
    </w:p>
    <w:p>
      <w:pPr>
        <w:pStyle w:val="Normal"/>
        <w:spacing w:lineRule="auto" w:line="360" w:before="0" w:after="0"/>
        <w:rPr>
          <w:rFonts w:ascii="Tahoma" w:hAnsi="Tahoma" w:cs="Tahoma"/>
          <w:b/>
          <w:b/>
          <w:i/>
          <w:i/>
          <w:sz w:val="20"/>
          <w:szCs w:val="20"/>
        </w:rPr>
      </w:pPr>
      <w:r>
        <w:rPr>
          <w:rFonts w:cs="Tahoma" w:ascii="Tahoma" w:hAnsi="Tahoma"/>
          <w:b/>
          <w:i/>
          <w:sz w:val="20"/>
          <w:szCs w:val="20"/>
        </w:rPr>
        <w:t xml:space="preserve">Melisa Benavides Víquez </w:t>
      </w:r>
    </w:p>
    <w:p>
      <w:pPr>
        <w:pStyle w:val="Normal"/>
        <w:tabs>
          <w:tab w:val="clear" w:pos="708"/>
          <w:tab w:val="left" w:pos="720" w:leader="none"/>
        </w:tabs>
        <w:spacing w:lineRule="auto" w:line="360" w:before="0" w:after="0"/>
        <w:rPr>
          <w:rFonts w:ascii="Tahoma" w:hAnsi="Tahoma" w:cs="Tahoma"/>
          <w:b/>
          <w:b/>
          <w:i/>
          <w:i/>
          <w:sz w:val="20"/>
          <w:szCs w:val="20"/>
        </w:rPr>
      </w:pPr>
      <w:r>
        <w:rPr>
          <w:rFonts w:cs="Tahoma" w:ascii="Tahoma" w:hAnsi="Tahoma"/>
          <w:b/>
          <w:i/>
          <w:sz w:val="20"/>
          <w:szCs w:val="20"/>
        </w:rPr>
        <w:t>Coordinadora</w:t>
      </w:r>
    </w:p>
    <w:p>
      <w:pPr>
        <w:pStyle w:val="Normal"/>
        <w:tabs>
          <w:tab w:val="clear" w:pos="708"/>
          <w:tab w:val="left" w:pos="720" w:leader="none"/>
        </w:tabs>
        <w:spacing w:lineRule="auto" w:line="360" w:before="0" w:after="0"/>
        <w:rPr>
          <w:rFonts w:ascii="Tahoma" w:hAnsi="Tahoma" w:cs="Tahoma"/>
          <w:b/>
          <w:b/>
          <w:i/>
          <w:i/>
          <w:sz w:val="20"/>
          <w:szCs w:val="20"/>
        </w:rPr>
      </w:pPr>
      <w:r>
        <w:rPr>
          <w:rFonts w:cs="Tahoma" w:ascii="Tahoma" w:hAnsi="Tahoma"/>
          <w:b/>
          <w:i/>
          <w:sz w:val="20"/>
          <w:szCs w:val="20"/>
        </w:rPr>
        <w:t>Unidad de Acceso a la Justicia</w:t>
      </w:r>
    </w:p>
    <w:p>
      <w:pPr>
        <w:pStyle w:val="Normal"/>
        <w:tabs>
          <w:tab w:val="clear" w:pos="708"/>
          <w:tab w:val="left" w:pos="720" w:leader="none"/>
        </w:tabs>
        <w:spacing w:lineRule="auto" w:line="360" w:before="0" w:after="0"/>
        <w:rPr>
          <w:rFonts w:ascii="Tahoma" w:hAnsi="Tahoma" w:cs="Tahoma"/>
          <w:b/>
          <w:b/>
          <w:i/>
          <w:i/>
          <w:sz w:val="20"/>
          <w:szCs w:val="20"/>
        </w:rPr>
      </w:pPr>
      <w:r>
        <w:rPr>
          <w:rFonts w:cs="Tahoma" w:ascii="Tahoma" w:hAnsi="Tahoma"/>
          <w:b/>
          <w:i/>
          <w:sz w:val="20"/>
          <w:szCs w:val="20"/>
        </w:rPr>
        <w:t>Poder Judicial</w:t>
      </w:r>
    </w:p>
    <w:p>
      <w:pPr>
        <w:pStyle w:val="Normal"/>
        <w:spacing w:lineRule="auto" w:line="360" w:before="0" w:after="0"/>
        <w:rPr>
          <w:rFonts w:ascii="Tahoma" w:hAnsi="Tahoma" w:cs="Tahoma"/>
          <w:b/>
          <w:b/>
          <w:i/>
          <w:i/>
          <w:sz w:val="20"/>
          <w:szCs w:val="20"/>
        </w:rPr>
      </w:pPr>
      <w:r>
        <w:rPr>
          <w:rFonts w:cs="Tahoma" w:ascii="Tahoma" w:hAnsi="Tahoma"/>
          <w:b/>
          <w:i/>
          <w:sz w:val="20"/>
          <w:szCs w:val="20"/>
        </w:rPr>
        <w:t>S.</w:t>
        <w:tab/>
        <w:t>O.</w:t>
      </w:r>
    </w:p>
    <w:p>
      <w:pPr>
        <w:pStyle w:val="Normal"/>
        <w:spacing w:lineRule="auto" w:line="360"/>
        <w:rPr>
          <w:rFonts w:ascii="Tahoma" w:hAnsi="Tahoma" w:cs="Tahoma"/>
          <w:i/>
          <w:i/>
          <w:sz w:val="20"/>
          <w:szCs w:val="20"/>
        </w:rPr>
      </w:pPr>
      <w:r>
        <w:rPr>
          <w:rFonts w:cs="Tahoma" w:ascii="Tahoma" w:hAnsi="Tahoma"/>
          <w:i/>
          <w:sz w:val="20"/>
          <w:szCs w:val="20"/>
        </w:rPr>
      </w:r>
    </w:p>
    <w:p>
      <w:pPr>
        <w:pStyle w:val="Normal"/>
        <w:spacing w:lineRule="auto" w:line="360"/>
        <w:rPr>
          <w:rFonts w:ascii="Tahoma" w:hAnsi="Tahoma" w:cs="Tahoma"/>
          <w:i/>
          <w:i/>
          <w:sz w:val="20"/>
          <w:szCs w:val="20"/>
        </w:rPr>
      </w:pPr>
      <w:r>
        <w:rPr>
          <w:rFonts w:cs="Tahoma" w:ascii="Tahoma" w:hAnsi="Tahoma"/>
          <w:i/>
          <w:sz w:val="20"/>
          <w:szCs w:val="20"/>
        </w:rPr>
        <w:t>Estimada señora:</w:t>
      </w:r>
    </w:p>
    <w:p>
      <w:pPr>
        <w:pStyle w:val="Normal"/>
        <w:numPr>
          <w:ilvl w:val="0"/>
          <w:numId w:val="0"/>
        </w:numPr>
        <w:spacing w:lineRule="auto" w:line="360" w:before="0" w:after="0"/>
        <w:ind w:firstLine="708"/>
        <w:jc w:val="both"/>
        <w:outlineLvl w:val="0"/>
        <w:rPr>
          <w:rFonts w:ascii="Tahoma" w:hAnsi="Tahoma" w:cs="Tahoma"/>
          <w:i/>
          <w:i/>
          <w:sz w:val="20"/>
          <w:szCs w:val="20"/>
        </w:rPr>
      </w:pPr>
      <w:r>
        <w:rPr>
          <w:rFonts w:cs="Tahoma" w:ascii="Tahoma" w:hAnsi="Tahoma"/>
          <w:i/>
          <w:sz w:val="20"/>
          <w:szCs w:val="20"/>
        </w:rPr>
        <w:t xml:space="preserve">Reciba un cordial saludo. En atención al oficio CACC-23-2020, me permito informarle que en el Plan Anual de Capacitación 2020, esta Unidad ha incluido acciones formativas vinculadas con la temática de discapacidad, las cuales se indican en el siguiente cuadro: </w:t>
      </w:r>
    </w:p>
    <w:tbl>
      <w:tblPr>
        <w:tblStyle w:val="Tablaconcuadrcula"/>
        <w:tblW w:w="88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11"/>
        <w:gridCol w:w="1823"/>
        <w:gridCol w:w="1314"/>
        <w:gridCol w:w="1190"/>
        <w:gridCol w:w="1291"/>
        <w:gridCol w:w="1598"/>
      </w:tblGrid>
      <w:tr>
        <w:trPr>
          <w:trHeight w:val="1039" w:hRule="atLeast"/>
        </w:trPr>
        <w:tc>
          <w:tcPr>
            <w:tcW w:w="1611" w:type="dxa"/>
            <w:tcBorders/>
          </w:tcPr>
          <w:p>
            <w:pPr>
              <w:pStyle w:val="Normal"/>
              <w:widowControl/>
              <w:spacing w:lineRule="auto" w:line="240" w:before="0" w:after="0"/>
              <w:jc w:val="center"/>
              <w:rPr>
                <w:rFonts w:ascii="Tahoma" w:hAnsi="Tahoma" w:cs="Tahoma"/>
                <w:b/>
                <w:b/>
                <w:i/>
                <w:i/>
              </w:rPr>
            </w:pPr>
            <w:r>
              <w:rPr>
                <w:rFonts w:eastAsia="Times New Roman" w:cs="Tahoma" w:ascii="Tahoma" w:hAnsi="Tahoma"/>
                <w:b/>
                <w:i/>
                <w:kern w:val="0"/>
                <w:sz w:val="20"/>
                <w:szCs w:val="20"/>
                <w:lang w:val="es-CR" w:eastAsia="es-CR" w:bidi="ar-SA"/>
              </w:rPr>
              <w:t>Actividad Formativa</w:t>
            </w:r>
          </w:p>
        </w:tc>
        <w:tc>
          <w:tcPr>
            <w:tcW w:w="1823" w:type="dxa"/>
            <w:tcBorders/>
          </w:tcPr>
          <w:p>
            <w:pPr>
              <w:pStyle w:val="Normal"/>
              <w:widowControl/>
              <w:spacing w:lineRule="auto" w:line="240" w:before="0" w:after="0"/>
              <w:jc w:val="center"/>
              <w:rPr>
                <w:rFonts w:ascii="Tahoma" w:hAnsi="Tahoma" w:cs="Tahoma"/>
                <w:b/>
                <w:b/>
                <w:i/>
                <w:i/>
              </w:rPr>
            </w:pPr>
            <w:r>
              <w:rPr>
                <w:rFonts w:eastAsia="Times New Roman" w:cs="Tahoma" w:ascii="Tahoma" w:hAnsi="Tahoma"/>
                <w:b/>
                <w:i/>
                <w:kern w:val="0"/>
                <w:sz w:val="20"/>
                <w:szCs w:val="20"/>
                <w:lang w:val="es-CR" w:eastAsia="es-CR" w:bidi="ar-SA"/>
              </w:rPr>
              <w:t>Lugar</w:t>
            </w:r>
          </w:p>
        </w:tc>
        <w:tc>
          <w:tcPr>
            <w:tcW w:w="1314" w:type="dxa"/>
            <w:tcBorders/>
          </w:tcPr>
          <w:p>
            <w:pPr>
              <w:pStyle w:val="Normal"/>
              <w:widowControl/>
              <w:spacing w:lineRule="auto" w:line="240" w:before="0" w:after="0"/>
              <w:jc w:val="center"/>
              <w:rPr>
                <w:rFonts w:ascii="Tahoma" w:hAnsi="Tahoma" w:cs="Tahoma"/>
                <w:b/>
                <w:b/>
                <w:i/>
                <w:i/>
              </w:rPr>
            </w:pPr>
            <w:r>
              <w:rPr>
                <w:rFonts w:eastAsia="Times New Roman" w:cs="Tahoma" w:ascii="Tahoma" w:hAnsi="Tahoma"/>
                <w:b/>
                <w:i/>
                <w:kern w:val="0"/>
                <w:sz w:val="20"/>
                <w:szCs w:val="20"/>
                <w:lang w:val="es-CR" w:eastAsia="es-CR" w:bidi="ar-SA"/>
              </w:rPr>
              <w:t xml:space="preserve">Ejecución </w:t>
            </w:r>
          </w:p>
        </w:tc>
        <w:tc>
          <w:tcPr>
            <w:tcW w:w="1190" w:type="dxa"/>
            <w:tcBorders/>
          </w:tcPr>
          <w:p>
            <w:pPr>
              <w:pStyle w:val="Normal"/>
              <w:widowControl/>
              <w:spacing w:lineRule="auto" w:line="240" w:before="0" w:after="0"/>
              <w:jc w:val="center"/>
              <w:rPr>
                <w:rFonts w:ascii="Tahoma" w:hAnsi="Tahoma" w:cs="Tahoma"/>
                <w:b/>
                <w:b/>
                <w:i/>
                <w:i/>
              </w:rPr>
            </w:pPr>
            <w:r>
              <w:rPr>
                <w:rFonts w:eastAsia="Times New Roman" w:cs="Tahoma" w:ascii="Tahoma" w:hAnsi="Tahoma"/>
                <w:b/>
                <w:i/>
                <w:kern w:val="0"/>
                <w:sz w:val="20"/>
                <w:szCs w:val="20"/>
                <w:lang w:val="es-CR" w:eastAsia="es-CR" w:bidi="ar-SA"/>
              </w:rPr>
              <w:t xml:space="preserve">Cantidad de horas </w:t>
            </w:r>
          </w:p>
        </w:tc>
        <w:tc>
          <w:tcPr>
            <w:tcW w:w="1291" w:type="dxa"/>
            <w:tcBorders/>
          </w:tcPr>
          <w:p>
            <w:pPr>
              <w:pStyle w:val="Normal"/>
              <w:widowControl/>
              <w:spacing w:lineRule="auto" w:line="240" w:before="0" w:after="0"/>
              <w:jc w:val="center"/>
              <w:rPr>
                <w:rFonts w:ascii="Tahoma" w:hAnsi="Tahoma" w:cs="Tahoma"/>
                <w:b/>
                <w:b/>
                <w:i/>
                <w:i/>
              </w:rPr>
            </w:pPr>
            <w:r>
              <w:rPr>
                <w:rFonts w:eastAsia="Times New Roman" w:cs="Tahoma" w:ascii="Tahoma" w:hAnsi="Tahoma"/>
                <w:b/>
                <w:i/>
                <w:kern w:val="0"/>
                <w:sz w:val="20"/>
                <w:szCs w:val="20"/>
                <w:lang w:val="es-CR" w:eastAsia="es-CR" w:bidi="ar-SA"/>
              </w:rPr>
              <w:t>Cantidad mínima de personas</w:t>
            </w:r>
          </w:p>
        </w:tc>
        <w:tc>
          <w:tcPr>
            <w:tcW w:w="1598" w:type="dxa"/>
            <w:tcBorders/>
          </w:tcPr>
          <w:p>
            <w:pPr>
              <w:pStyle w:val="Normal"/>
              <w:widowControl/>
              <w:spacing w:lineRule="auto" w:line="240" w:before="0" w:after="0"/>
              <w:jc w:val="center"/>
              <w:rPr>
                <w:rFonts w:ascii="Tahoma" w:hAnsi="Tahoma" w:cs="Tahoma"/>
                <w:b/>
                <w:b/>
                <w:i/>
                <w:i/>
              </w:rPr>
            </w:pPr>
            <w:r>
              <w:rPr>
                <w:rFonts w:eastAsia="Times New Roman" w:cs="Tahoma" w:ascii="Tahoma" w:hAnsi="Tahoma"/>
                <w:b/>
                <w:i/>
                <w:kern w:val="0"/>
                <w:sz w:val="20"/>
                <w:szCs w:val="20"/>
                <w:lang w:val="es-CR" w:eastAsia="es-CR" w:bidi="ar-SA"/>
              </w:rPr>
              <w:t>Persona facilitadora propuesta</w:t>
            </w:r>
          </w:p>
        </w:tc>
      </w:tr>
      <w:tr>
        <w:trPr>
          <w:trHeight w:val="1910" w:hRule="atLeast"/>
        </w:trPr>
        <w:tc>
          <w:tcPr>
            <w:tcW w:w="1611" w:type="dxa"/>
            <w:tcBorders/>
            <w:vAlign w:val="center"/>
          </w:tcPr>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Conferencia sobre los Derechos Humanos y Acceso a la Justicia para personas en situación de discapacidad</w:t>
            </w:r>
          </w:p>
        </w:tc>
        <w:tc>
          <w:tcPr>
            <w:tcW w:w="1823" w:type="dxa"/>
            <w:tcBorders/>
            <w:vAlign w:val="center"/>
          </w:tcPr>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I Circuito Judicial de San José</w:t>
            </w:r>
          </w:p>
        </w:tc>
        <w:tc>
          <w:tcPr>
            <w:tcW w:w="1314" w:type="dxa"/>
            <w:tcBorders/>
          </w:tcPr>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 xml:space="preserve">I Semestre </w:t>
            </w:r>
          </w:p>
        </w:tc>
        <w:tc>
          <w:tcPr>
            <w:tcW w:w="1190" w:type="dxa"/>
            <w:vMerge w:val="restart"/>
            <w:tcBorders/>
            <w:vAlign w:val="center"/>
          </w:tcPr>
          <w:p>
            <w:pPr>
              <w:pStyle w:val="Normal"/>
              <w:widowControl/>
              <w:spacing w:lineRule="auto" w:line="240" w:before="0" w:after="0"/>
              <w:jc w:val="center"/>
              <w:rPr>
                <w:rFonts w:ascii="Tahoma" w:hAnsi="Tahoma" w:cs="Tahoma"/>
                <w:i/>
                <w:i/>
              </w:rPr>
            </w:pPr>
            <w:r>
              <w:rPr>
                <w:rFonts w:eastAsia="Calibri" w:cs="Tahoma" w:ascii="Tahoma" w:hAnsi="Tahoma"/>
                <w:i/>
                <w:kern w:val="0"/>
                <w:sz w:val="20"/>
                <w:szCs w:val="20"/>
                <w:lang w:val="es-CR" w:eastAsia="es-CR" w:bidi="ar-SA"/>
              </w:rPr>
            </w:r>
          </w:p>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4 horas</w:t>
            </w:r>
          </w:p>
          <w:p>
            <w:pPr>
              <w:pStyle w:val="Normal"/>
              <w:widowControl/>
              <w:spacing w:lineRule="auto" w:line="240" w:before="0" w:after="0"/>
              <w:jc w:val="center"/>
              <w:rPr>
                <w:rFonts w:ascii="Tahoma" w:hAnsi="Tahoma" w:cs="Tahoma"/>
                <w:i/>
                <w:i/>
              </w:rPr>
            </w:pPr>
            <w:r>
              <w:rPr>
                <w:rFonts w:eastAsia="Calibri" w:cs="Tahoma" w:ascii="Tahoma" w:hAnsi="Tahoma"/>
                <w:i/>
                <w:kern w:val="0"/>
                <w:sz w:val="20"/>
                <w:szCs w:val="20"/>
                <w:lang w:val="es-CR" w:eastAsia="es-CR" w:bidi="ar-SA"/>
              </w:rPr>
            </w:r>
          </w:p>
        </w:tc>
        <w:tc>
          <w:tcPr>
            <w:tcW w:w="1291" w:type="dxa"/>
            <w:vMerge w:val="restart"/>
            <w:tcBorders/>
            <w:vAlign w:val="center"/>
          </w:tcPr>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20 personas por cada acción formativa</w:t>
            </w:r>
          </w:p>
          <w:p>
            <w:pPr>
              <w:pStyle w:val="Normal"/>
              <w:widowControl/>
              <w:spacing w:lineRule="auto" w:line="240" w:before="0" w:after="0"/>
              <w:jc w:val="center"/>
              <w:rPr>
                <w:rFonts w:ascii="Tahoma" w:hAnsi="Tahoma" w:cs="Tahoma"/>
                <w:i/>
                <w:i/>
              </w:rPr>
            </w:pPr>
            <w:r>
              <w:rPr>
                <w:rFonts w:eastAsia="Calibri" w:cs="Tahoma" w:ascii="Tahoma" w:hAnsi="Tahoma"/>
                <w:i/>
                <w:kern w:val="0"/>
                <w:sz w:val="20"/>
                <w:szCs w:val="20"/>
                <w:lang w:val="es-CR" w:eastAsia="es-CR" w:bidi="ar-SA"/>
              </w:rPr>
            </w:r>
          </w:p>
        </w:tc>
        <w:tc>
          <w:tcPr>
            <w:tcW w:w="1598" w:type="dxa"/>
            <w:vMerge w:val="restart"/>
            <w:tcBorders/>
            <w:vAlign w:val="center"/>
          </w:tcPr>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 xml:space="preserve">Ericka Álvarez Ramírez, Directora Nacional de Seguridad Social y/o persona representante de la Subcomisión de Acceso a la Justicia de Personas con Discapacidad </w:t>
            </w:r>
          </w:p>
        </w:tc>
      </w:tr>
      <w:tr>
        <w:trPr>
          <w:trHeight w:val="1910" w:hRule="atLeast"/>
        </w:trPr>
        <w:tc>
          <w:tcPr>
            <w:tcW w:w="1611" w:type="dxa"/>
            <w:tcBorders/>
            <w:vAlign w:val="center"/>
          </w:tcPr>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Conferencia sobre los Derechos Humanos y Acceso a la Justicia para personas en situación de discapacidad</w:t>
            </w:r>
          </w:p>
        </w:tc>
        <w:tc>
          <w:tcPr>
            <w:tcW w:w="1823" w:type="dxa"/>
            <w:tcBorders/>
            <w:vAlign w:val="center"/>
          </w:tcPr>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II y III Circuito Judicial de San José</w:t>
            </w:r>
          </w:p>
        </w:tc>
        <w:tc>
          <w:tcPr>
            <w:tcW w:w="1314" w:type="dxa"/>
            <w:tcBorders/>
          </w:tcPr>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II Semestre</w:t>
            </w:r>
          </w:p>
        </w:tc>
        <w:tc>
          <w:tcPr>
            <w:tcW w:w="1190" w:type="dxa"/>
            <w:vMerge w:val="continue"/>
            <w:tcBorders/>
            <w:vAlign w:val="center"/>
          </w:tcPr>
          <w:p>
            <w:pPr>
              <w:pStyle w:val="Normal"/>
              <w:widowControl/>
              <w:spacing w:lineRule="auto" w:line="240" w:before="0" w:after="0"/>
              <w:jc w:val="center"/>
              <w:rPr>
                <w:rFonts w:ascii="Tahoma" w:hAnsi="Tahoma" w:cs="Tahoma"/>
                <w:i/>
                <w:i/>
              </w:rPr>
            </w:pPr>
            <w:r>
              <w:rPr>
                <w:rFonts w:eastAsia="Calibri" w:cs="Tahoma" w:ascii="Tahoma" w:hAnsi="Tahoma"/>
                <w:i/>
                <w:kern w:val="0"/>
                <w:sz w:val="20"/>
                <w:szCs w:val="20"/>
                <w:lang w:val="es-CR" w:eastAsia="es-CR" w:bidi="ar-SA"/>
              </w:rPr>
            </w:r>
          </w:p>
        </w:tc>
        <w:tc>
          <w:tcPr>
            <w:tcW w:w="1291" w:type="dxa"/>
            <w:vMerge w:val="continue"/>
            <w:tcBorders/>
            <w:vAlign w:val="center"/>
          </w:tcPr>
          <w:p>
            <w:pPr>
              <w:pStyle w:val="Normal"/>
              <w:widowControl/>
              <w:spacing w:lineRule="auto" w:line="240" w:before="0" w:after="0"/>
              <w:jc w:val="center"/>
              <w:rPr>
                <w:rFonts w:ascii="Tahoma" w:hAnsi="Tahoma" w:cs="Tahoma"/>
                <w:i/>
                <w:i/>
              </w:rPr>
            </w:pPr>
            <w:r>
              <w:rPr>
                <w:rFonts w:eastAsia="Calibri" w:cs="Tahoma" w:ascii="Tahoma" w:hAnsi="Tahoma"/>
                <w:i/>
                <w:kern w:val="0"/>
                <w:sz w:val="20"/>
                <w:szCs w:val="20"/>
                <w:lang w:val="es-CR" w:eastAsia="es-CR" w:bidi="ar-SA"/>
              </w:rPr>
            </w:r>
          </w:p>
        </w:tc>
        <w:tc>
          <w:tcPr>
            <w:tcW w:w="1598" w:type="dxa"/>
            <w:vMerge w:val="continue"/>
            <w:tcBorders/>
            <w:vAlign w:val="center"/>
          </w:tcPr>
          <w:p>
            <w:pPr>
              <w:pStyle w:val="Normal"/>
              <w:widowControl/>
              <w:spacing w:lineRule="auto" w:line="240" w:before="0" w:after="0"/>
              <w:jc w:val="center"/>
              <w:rPr>
                <w:rFonts w:ascii="Tahoma" w:hAnsi="Tahoma" w:cs="Tahoma"/>
                <w:i/>
                <w:i/>
              </w:rPr>
            </w:pPr>
            <w:r>
              <w:rPr>
                <w:rFonts w:eastAsia="Calibri" w:cs="Tahoma" w:ascii="Tahoma" w:hAnsi="Tahoma"/>
                <w:i/>
                <w:kern w:val="0"/>
                <w:sz w:val="20"/>
                <w:szCs w:val="20"/>
                <w:lang w:val="es-CR" w:eastAsia="es-CR" w:bidi="ar-SA"/>
              </w:rPr>
            </w:r>
          </w:p>
        </w:tc>
      </w:tr>
      <w:tr>
        <w:trPr>
          <w:trHeight w:val="1910" w:hRule="atLeast"/>
        </w:trPr>
        <w:tc>
          <w:tcPr>
            <w:tcW w:w="1611" w:type="dxa"/>
            <w:tcBorders/>
            <w:vAlign w:val="center"/>
          </w:tcPr>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Conferencia sobre los Derechos Humanos y Acceso a la Justicia para personas en situación de discapacidad</w:t>
            </w:r>
          </w:p>
        </w:tc>
        <w:tc>
          <w:tcPr>
            <w:tcW w:w="1823" w:type="dxa"/>
            <w:tcBorders/>
            <w:vAlign w:val="center"/>
          </w:tcPr>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 xml:space="preserve">Regionalización por definir </w:t>
            </w:r>
          </w:p>
        </w:tc>
        <w:tc>
          <w:tcPr>
            <w:tcW w:w="1314" w:type="dxa"/>
            <w:tcBorders/>
          </w:tcPr>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I Semestre</w:t>
            </w:r>
          </w:p>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(Antes 30 de noviembre)</w:t>
            </w:r>
          </w:p>
        </w:tc>
        <w:tc>
          <w:tcPr>
            <w:tcW w:w="1190" w:type="dxa"/>
            <w:vMerge w:val="continue"/>
            <w:tcBorders/>
            <w:vAlign w:val="center"/>
          </w:tcPr>
          <w:p>
            <w:pPr>
              <w:pStyle w:val="Normal"/>
              <w:widowControl/>
              <w:spacing w:lineRule="auto" w:line="240" w:before="0" w:after="0"/>
              <w:jc w:val="center"/>
              <w:rPr>
                <w:rFonts w:ascii="Tahoma" w:hAnsi="Tahoma" w:cs="Tahoma"/>
                <w:i/>
                <w:i/>
              </w:rPr>
            </w:pPr>
            <w:r>
              <w:rPr>
                <w:rFonts w:eastAsia="Calibri" w:cs="Tahoma" w:ascii="Tahoma" w:hAnsi="Tahoma"/>
                <w:i/>
                <w:kern w:val="0"/>
                <w:sz w:val="20"/>
                <w:szCs w:val="20"/>
                <w:lang w:val="es-CR" w:eastAsia="es-CR" w:bidi="ar-SA"/>
              </w:rPr>
            </w:r>
          </w:p>
        </w:tc>
        <w:tc>
          <w:tcPr>
            <w:tcW w:w="1291" w:type="dxa"/>
            <w:vMerge w:val="continue"/>
            <w:tcBorders/>
            <w:vAlign w:val="center"/>
          </w:tcPr>
          <w:p>
            <w:pPr>
              <w:pStyle w:val="Normal"/>
              <w:widowControl/>
              <w:spacing w:lineRule="auto" w:line="240" w:before="0" w:after="0"/>
              <w:jc w:val="center"/>
              <w:rPr>
                <w:rFonts w:ascii="Tahoma" w:hAnsi="Tahoma" w:cs="Tahoma"/>
                <w:i/>
                <w:i/>
              </w:rPr>
            </w:pPr>
            <w:r>
              <w:rPr>
                <w:rFonts w:eastAsia="Calibri" w:cs="Tahoma" w:ascii="Tahoma" w:hAnsi="Tahoma"/>
                <w:i/>
                <w:kern w:val="0"/>
                <w:sz w:val="20"/>
                <w:szCs w:val="20"/>
                <w:lang w:val="es-CR" w:eastAsia="es-CR" w:bidi="ar-SA"/>
              </w:rPr>
            </w:r>
          </w:p>
        </w:tc>
        <w:tc>
          <w:tcPr>
            <w:tcW w:w="1598" w:type="dxa"/>
            <w:vMerge w:val="continue"/>
            <w:tcBorders/>
            <w:vAlign w:val="center"/>
          </w:tcPr>
          <w:p>
            <w:pPr>
              <w:pStyle w:val="Normal"/>
              <w:widowControl/>
              <w:spacing w:lineRule="auto" w:line="240" w:before="0" w:after="0"/>
              <w:jc w:val="center"/>
              <w:rPr>
                <w:rFonts w:ascii="Tahoma" w:hAnsi="Tahoma" w:cs="Tahoma"/>
                <w:i/>
                <w:i/>
              </w:rPr>
            </w:pPr>
            <w:r>
              <w:rPr>
                <w:rFonts w:eastAsia="Calibri" w:cs="Tahoma" w:ascii="Tahoma" w:hAnsi="Tahoma"/>
                <w:i/>
                <w:kern w:val="0"/>
                <w:sz w:val="20"/>
                <w:szCs w:val="20"/>
                <w:lang w:val="es-CR" w:eastAsia="es-CR" w:bidi="ar-SA"/>
              </w:rPr>
            </w:r>
          </w:p>
        </w:tc>
      </w:tr>
      <w:tr>
        <w:trPr>
          <w:trHeight w:val="550" w:hRule="atLeast"/>
        </w:trPr>
        <w:tc>
          <w:tcPr>
            <w:tcW w:w="1611" w:type="dxa"/>
            <w:tcBorders/>
            <w:vAlign w:val="center"/>
          </w:tcPr>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Conferencia sobre los Derechos Humanos y Acceso a la Justicia para personas en situación de discapacidad</w:t>
            </w:r>
          </w:p>
        </w:tc>
        <w:tc>
          <w:tcPr>
            <w:tcW w:w="1823" w:type="dxa"/>
            <w:tcBorders/>
            <w:vAlign w:val="center"/>
          </w:tcPr>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 xml:space="preserve">Regionalización por definir </w:t>
            </w:r>
          </w:p>
        </w:tc>
        <w:tc>
          <w:tcPr>
            <w:tcW w:w="1314" w:type="dxa"/>
            <w:tcBorders/>
          </w:tcPr>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II Semestre</w:t>
            </w:r>
          </w:p>
          <w:p>
            <w:pPr>
              <w:pStyle w:val="Normal"/>
              <w:widowControl/>
              <w:spacing w:lineRule="auto" w:line="240" w:before="0" w:after="0"/>
              <w:jc w:val="center"/>
              <w:rPr>
                <w:rFonts w:ascii="Tahoma" w:hAnsi="Tahoma" w:cs="Tahoma"/>
                <w:i/>
                <w:i/>
              </w:rPr>
            </w:pPr>
            <w:r>
              <w:rPr>
                <w:rFonts w:eastAsia="Times New Roman" w:cs="Tahoma" w:ascii="Tahoma" w:hAnsi="Tahoma"/>
                <w:i/>
                <w:kern w:val="0"/>
                <w:sz w:val="20"/>
                <w:szCs w:val="20"/>
                <w:lang w:val="es-CR" w:eastAsia="es-CR" w:bidi="ar-SA"/>
              </w:rPr>
              <w:t>(Antes 30 de noviembre)</w:t>
            </w:r>
          </w:p>
        </w:tc>
        <w:tc>
          <w:tcPr>
            <w:tcW w:w="1190" w:type="dxa"/>
            <w:vMerge w:val="continue"/>
            <w:tcBorders/>
            <w:vAlign w:val="center"/>
          </w:tcPr>
          <w:p>
            <w:pPr>
              <w:pStyle w:val="Normal"/>
              <w:widowControl/>
              <w:spacing w:lineRule="auto" w:line="240" w:before="0" w:after="0"/>
              <w:jc w:val="center"/>
              <w:rPr>
                <w:rFonts w:ascii="Tahoma" w:hAnsi="Tahoma" w:cs="Tahoma"/>
                <w:i/>
                <w:i/>
              </w:rPr>
            </w:pPr>
            <w:r>
              <w:rPr>
                <w:rFonts w:eastAsia="Calibri" w:cs="Tahoma" w:ascii="Tahoma" w:hAnsi="Tahoma"/>
                <w:i/>
                <w:kern w:val="0"/>
                <w:sz w:val="20"/>
                <w:szCs w:val="20"/>
                <w:lang w:val="es-CR" w:eastAsia="es-CR" w:bidi="ar-SA"/>
              </w:rPr>
            </w:r>
          </w:p>
        </w:tc>
        <w:tc>
          <w:tcPr>
            <w:tcW w:w="1291" w:type="dxa"/>
            <w:vMerge w:val="continue"/>
            <w:tcBorders/>
            <w:vAlign w:val="center"/>
          </w:tcPr>
          <w:p>
            <w:pPr>
              <w:pStyle w:val="Normal"/>
              <w:widowControl/>
              <w:spacing w:lineRule="auto" w:line="240" w:before="0" w:after="0"/>
              <w:jc w:val="center"/>
              <w:rPr>
                <w:rFonts w:ascii="Tahoma" w:hAnsi="Tahoma" w:cs="Tahoma"/>
                <w:i/>
                <w:i/>
              </w:rPr>
            </w:pPr>
            <w:r>
              <w:rPr>
                <w:rFonts w:eastAsia="Calibri" w:cs="Tahoma" w:ascii="Tahoma" w:hAnsi="Tahoma"/>
                <w:i/>
                <w:kern w:val="0"/>
                <w:sz w:val="20"/>
                <w:szCs w:val="20"/>
                <w:lang w:val="es-CR" w:eastAsia="es-CR" w:bidi="ar-SA"/>
              </w:rPr>
            </w:r>
          </w:p>
        </w:tc>
        <w:tc>
          <w:tcPr>
            <w:tcW w:w="1598" w:type="dxa"/>
            <w:vMerge w:val="continue"/>
            <w:tcBorders/>
            <w:vAlign w:val="center"/>
          </w:tcPr>
          <w:p>
            <w:pPr>
              <w:pStyle w:val="Normal"/>
              <w:widowControl/>
              <w:spacing w:lineRule="auto" w:line="240" w:before="0" w:after="0"/>
              <w:jc w:val="center"/>
              <w:rPr>
                <w:rFonts w:ascii="Tahoma" w:hAnsi="Tahoma" w:cs="Tahoma"/>
                <w:i/>
                <w:i/>
              </w:rPr>
            </w:pPr>
            <w:r>
              <w:rPr>
                <w:rFonts w:eastAsia="Calibri" w:cs="Tahoma" w:ascii="Tahoma" w:hAnsi="Tahoma"/>
                <w:i/>
                <w:kern w:val="0"/>
                <w:sz w:val="20"/>
                <w:szCs w:val="20"/>
                <w:lang w:val="es-CR" w:eastAsia="es-CR" w:bidi="ar-SA"/>
              </w:rPr>
            </w:r>
          </w:p>
        </w:tc>
      </w:tr>
    </w:tbl>
    <w:p>
      <w:pPr>
        <w:pStyle w:val="Normal"/>
        <w:numPr>
          <w:ilvl w:val="0"/>
          <w:numId w:val="0"/>
        </w:numPr>
        <w:spacing w:lineRule="auto" w:line="360" w:before="0" w:after="0"/>
        <w:ind w:firstLine="708"/>
        <w:jc w:val="both"/>
        <w:outlineLvl w:val="0"/>
        <w:rPr>
          <w:rFonts w:ascii="Tahoma" w:hAnsi="Tahoma" w:cs="Tahoma"/>
          <w:i/>
          <w:i/>
          <w:sz w:val="20"/>
          <w:szCs w:val="20"/>
        </w:rPr>
      </w:pPr>
      <w:r>
        <w:rPr>
          <w:rFonts w:cs="Tahoma" w:ascii="Tahoma" w:hAnsi="Tahoma"/>
          <w:i/>
          <w:sz w:val="20"/>
          <w:szCs w:val="20"/>
        </w:rPr>
      </w:r>
    </w:p>
    <w:p>
      <w:pPr>
        <w:pStyle w:val="Normal"/>
        <w:numPr>
          <w:ilvl w:val="0"/>
          <w:numId w:val="0"/>
        </w:numPr>
        <w:spacing w:lineRule="auto" w:line="360"/>
        <w:ind w:firstLine="708"/>
        <w:jc w:val="both"/>
        <w:outlineLvl w:val="0"/>
        <w:rPr>
          <w:rFonts w:ascii="Tahoma" w:hAnsi="Tahoma" w:cs="Tahoma"/>
          <w:i/>
          <w:i/>
          <w:color w:val="000000"/>
          <w:sz w:val="20"/>
          <w:szCs w:val="20"/>
        </w:rPr>
      </w:pPr>
      <w:r>
        <w:rPr>
          <w:rFonts w:cs="Tahoma" w:ascii="Tahoma" w:hAnsi="Tahoma"/>
          <w:i/>
          <w:color w:val="000000"/>
          <w:sz w:val="20"/>
          <w:szCs w:val="20"/>
        </w:rPr>
        <w:t xml:space="preserve">Es importante indicar que una vez realizadas las capacitaciones, se les remitirá la información respectiva. </w:t>
      </w:r>
    </w:p>
    <w:p>
      <w:pPr>
        <w:pStyle w:val="Normal"/>
        <w:numPr>
          <w:ilvl w:val="0"/>
          <w:numId w:val="0"/>
        </w:numPr>
        <w:spacing w:lineRule="auto" w:line="360"/>
        <w:ind w:firstLine="708"/>
        <w:jc w:val="both"/>
        <w:outlineLvl w:val="0"/>
        <w:rPr>
          <w:rFonts w:ascii="Tahoma" w:hAnsi="Tahoma" w:cs="Tahoma"/>
          <w:b/>
          <w:b/>
          <w:i/>
          <w:i/>
          <w:sz w:val="20"/>
          <w:szCs w:val="20"/>
        </w:rPr>
      </w:pPr>
      <w:r>
        <w:rPr>
          <w:rFonts w:cs="Tahoma" w:ascii="Tahoma" w:hAnsi="Tahoma"/>
          <w:i/>
          <w:color w:val="000000"/>
          <w:sz w:val="20"/>
          <w:szCs w:val="20"/>
        </w:rPr>
        <w:t xml:space="preserve">Con muestras de consideración y estima, </w:t>
      </w:r>
    </w:p>
    <w:p>
      <w:pPr>
        <w:pStyle w:val="Normal"/>
        <w:spacing w:lineRule="auto" w:line="240"/>
        <w:jc w:val="center"/>
        <w:rPr>
          <w:rFonts w:ascii="Tahoma" w:hAnsi="Tahoma" w:cs="Tahoma"/>
          <w:b/>
          <w:b/>
          <w:i/>
          <w:i/>
          <w:sz w:val="20"/>
          <w:szCs w:val="20"/>
        </w:rPr>
      </w:pPr>
      <w:r>
        <w:rPr>
          <w:rFonts w:cs="Tahoma" w:ascii="Tahoma" w:hAnsi="Tahoma"/>
          <w:b/>
          <w:i/>
          <w:sz w:val="20"/>
          <w:szCs w:val="20"/>
        </w:rPr>
      </w:r>
    </w:p>
    <w:p>
      <w:pPr>
        <w:pStyle w:val="Normal"/>
        <w:spacing w:lineRule="auto" w:line="360" w:before="0" w:after="0"/>
        <w:jc w:val="center"/>
        <w:rPr>
          <w:rFonts w:ascii="Tahoma" w:hAnsi="Tahoma" w:cs="Tahoma"/>
          <w:b/>
          <w:b/>
          <w:i/>
          <w:i/>
          <w:sz w:val="20"/>
          <w:szCs w:val="20"/>
        </w:rPr>
      </w:pPr>
      <w:r>
        <w:rPr>
          <w:rFonts w:cs="Tahoma" w:ascii="Tahoma" w:hAnsi="Tahoma"/>
          <w:b/>
          <w:i/>
          <w:sz w:val="20"/>
          <w:szCs w:val="20"/>
        </w:rPr>
        <w:t>Mayela Pérez Delgado</w:t>
      </w:r>
    </w:p>
    <w:p>
      <w:pPr>
        <w:pStyle w:val="Normal"/>
        <w:spacing w:lineRule="auto" w:line="360" w:before="0" w:after="0"/>
        <w:jc w:val="center"/>
        <w:rPr>
          <w:rFonts w:ascii="Tahoma" w:hAnsi="Tahoma" w:cs="Tahoma"/>
          <w:b/>
          <w:b/>
          <w:i/>
          <w:i/>
          <w:sz w:val="20"/>
          <w:szCs w:val="20"/>
        </w:rPr>
      </w:pPr>
      <w:r>
        <w:rPr>
          <w:rFonts w:cs="Tahoma" w:ascii="Tahoma" w:hAnsi="Tahoma"/>
          <w:b/>
          <w:i/>
          <w:sz w:val="20"/>
          <w:szCs w:val="20"/>
        </w:rPr>
        <w:t xml:space="preserve">Fiscala </w:t>
      </w:r>
    </w:p>
    <w:p>
      <w:pPr>
        <w:pStyle w:val="Normal"/>
        <w:spacing w:lineRule="auto" w:line="360" w:before="0" w:after="0"/>
        <w:jc w:val="center"/>
        <w:rPr>
          <w:rFonts w:ascii="Tahoma" w:hAnsi="Tahoma" w:cs="Tahoma"/>
          <w:b/>
          <w:b/>
          <w:i/>
          <w:i/>
          <w:sz w:val="20"/>
          <w:szCs w:val="20"/>
        </w:rPr>
      </w:pPr>
      <w:r>
        <w:rPr>
          <w:rFonts w:cs="Tahoma" w:ascii="Tahoma" w:hAnsi="Tahoma"/>
          <w:b/>
          <w:i/>
          <w:sz w:val="20"/>
          <w:szCs w:val="20"/>
        </w:rPr>
        <w:t>Unidad de Capacitación y Supervisión</w:t>
      </w:r>
    </w:p>
    <w:p>
      <w:pPr>
        <w:pStyle w:val="Normal"/>
        <w:spacing w:lineRule="auto" w:line="360" w:before="0" w:after="0"/>
        <w:jc w:val="center"/>
        <w:rPr>
          <w:rFonts w:ascii="Tahoma" w:hAnsi="Tahoma" w:cs="Tahoma"/>
          <w:b/>
          <w:b/>
          <w:i/>
          <w:i/>
          <w:sz w:val="20"/>
          <w:szCs w:val="20"/>
        </w:rPr>
      </w:pPr>
      <w:r>
        <w:rPr>
          <w:rFonts w:cs="Tahoma" w:ascii="Tahoma" w:hAnsi="Tahoma"/>
          <w:b/>
          <w:i/>
          <w:sz w:val="20"/>
          <w:szCs w:val="20"/>
        </w:rPr>
        <w:t>Ministerio Público</w:t>
      </w:r>
    </w:p>
    <w:p>
      <w:pPr>
        <w:pStyle w:val="NoSpacing"/>
        <w:rPr>
          <w:rFonts w:ascii="Tahoma" w:hAnsi="Tahoma" w:cs="Tahoma"/>
          <w:i/>
          <w:i/>
          <w:sz w:val="20"/>
          <w:szCs w:val="20"/>
        </w:rPr>
      </w:pPr>
      <w:r>
        <w:rPr>
          <w:rFonts w:cs="Tahoma" w:ascii="Tahoma" w:hAnsi="Tahoma"/>
          <w:i/>
          <w:sz w:val="20"/>
          <w:szCs w:val="20"/>
        </w:rPr>
      </w:r>
    </w:p>
    <w:p>
      <w:pPr>
        <w:pStyle w:val="NoSpacing"/>
        <w:jc w:val="both"/>
        <w:rPr>
          <w:rFonts w:ascii="Tahoma" w:hAnsi="Tahoma" w:cs="Tahoma"/>
          <w:i/>
          <w:i/>
          <w:sz w:val="20"/>
          <w:szCs w:val="20"/>
          <w:lang w:val="es-ES"/>
        </w:rPr>
      </w:pPr>
      <w:r>
        <w:rPr>
          <w:rFonts w:cs="Tahoma" w:ascii="Tahoma" w:hAnsi="Tahoma"/>
          <w:i/>
          <w:sz w:val="20"/>
          <w:szCs w:val="20"/>
          <w:lang w:val="es-ES"/>
        </w:rPr>
      </w:r>
    </w:p>
    <w:p>
      <w:pPr>
        <w:pStyle w:val="NoSpacing"/>
        <w:jc w:val="center"/>
        <w:rPr>
          <w:rFonts w:ascii="Tahoma" w:hAnsi="Tahoma" w:cs="Tahoma"/>
          <w:i/>
          <w:i/>
          <w:sz w:val="20"/>
          <w:szCs w:val="20"/>
          <w:lang w:val="es-ES"/>
        </w:rPr>
      </w:pPr>
      <w:r>
        <w:rPr>
          <w:rFonts w:cs="Tahoma" w:ascii="Tahoma" w:hAnsi="Tahoma"/>
          <w:i/>
          <w:sz w:val="20"/>
          <w:szCs w:val="20"/>
          <w:lang w:val="es-ES"/>
        </w:rPr>
        <w:t>-0-</w:t>
      </w:r>
    </w:p>
    <w:p>
      <w:pPr>
        <w:pStyle w:val="NoSpacing"/>
        <w:jc w:val="both"/>
        <w:rPr>
          <w:rFonts w:ascii="Tahoma" w:hAnsi="Tahoma" w:cs="Tahoma"/>
          <w:i/>
          <w:i/>
          <w:sz w:val="20"/>
          <w:szCs w:val="20"/>
          <w:lang w:val="es-ES"/>
        </w:rPr>
      </w:pPr>
      <w:r>
        <w:rPr>
          <w:rFonts w:cs="Tahoma" w:ascii="Tahoma" w:hAnsi="Tahoma"/>
          <w:i/>
          <w:sz w:val="20"/>
          <w:szCs w:val="20"/>
          <w:lang w:val="es-ES"/>
        </w:rPr>
      </w:r>
    </w:p>
    <w:p>
      <w:pPr>
        <w:pStyle w:val="NoSpacing"/>
        <w:jc w:val="both"/>
        <w:rPr>
          <w:rFonts w:ascii="Tahoma" w:hAnsi="Tahoma" w:cs="Tahoma"/>
          <w:b/>
          <w:b/>
          <w:iCs/>
          <w:sz w:val="20"/>
          <w:szCs w:val="20"/>
        </w:rPr>
      </w:pPr>
      <w:r>
        <w:rPr>
          <w:rFonts w:cs="Tahoma" w:ascii="Tahoma" w:hAnsi="Tahoma"/>
          <w:iCs/>
          <w:sz w:val="20"/>
          <w:szCs w:val="20"/>
          <w:lang w:val="es-ES"/>
        </w:rPr>
        <w:t>El Subproceso de</w:t>
      </w:r>
      <w:r>
        <w:rPr>
          <w:rFonts w:cs="Tahoma" w:ascii="Tahoma" w:hAnsi="Tahoma"/>
          <w:iCs/>
          <w:sz w:val="20"/>
          <w:szCs w:val="20"/>
        </w:rPr>
        <w:t xml:space="preserve"> Gestión de la Capacitación de la Dirección de Gestión Humana</w:t>
      </w:r>
      <w:r>
        <w:rPr>
          <w:rFonts w:cs="Tahoma" w:ascii="Tahoma" w:hAnsi="Tahoma"/>
          <w:iCs/>
          <w:sz w:val="20"/>
          <w:szCs w:val="20"/>
          <w:lang w:val="es-ES"/>
        </w:rPr>
        <w:t xml:space="preserve"> </w:t>
      </w:r>
      <w:r>
        <w:rPr>
          <w:rFonts w:cs="Tahoma" w:ascii="Tahoma" w:hAnsi="Tahoma"/>
          <w:iCs/>
          <w:sz w:val="20"/>
          <w:szCs w:val="20"/>
        </w:rPr>
        <w:t xml:space="preserve">comunicó mediante el Oficio </w:t>
      </w:r>
      <w:r>
        <w:rPr>
          <w:rFonts w:cs="Tahoma" w:ascii="Tahoma" w:hAnsi="Tahoma"/>
          <w:b/>
          <w:iCs/>
          <w:sz w:val="20"/>
          <w:szCs w:val="20"/>
        </w:rPr>
        <w:t xml:space="preserve">N.º PJ-DGH-CAP-17-2020 </w:t>
      </w:r>
      <w:r>
        <w:rPr>
          <w:rFonts w:cs="Tahoma" w:ascii="Tahoma" w:hAnsi="Tahoma"/>
          <w:iCs/>
          <w:sz w:val="20"/>
          <w:szCs w:val="20"/>
        </w:rPr>
        <w:t xml:space="preserve">remitido el 23 de enero, lo siguiente: </w:t>
      </w:r>
    </w:p>
    <w:p>
      <w:pPr>
        <w:pStyle w:val="Normal"/>
        <w:spacing w:lineRule="auto" w:line="360" w:before="0" w:after="0"/>
        <w:rPr>
          <w:rFonts w:ascii="Tahoma" w:hAnsi="Tahoma" w:cs="Tahoma"/>
          <w:b/>
          <w:b/>
          <w:iCs/>
          <w:sz w:val="20"/>
          <w:szCs w:val="20"/>
        </w:rPr>
      </w:pPr>
      <w:r>
        <w:rPr>
          <w:rFonts w:cs="Tahoma" w:ascii="Tahoma" w:hAnsi="Tahoma"/>
          <w:b/>
          <w:iCs/>
          <w:sz w:val="20"/>
          <w:szCs w:val="20"/>
        </w:rPr>
      </w:r>
    </w:p>
    <w:p>
      <w:pPr>
        <w:pStyle w:val="NoSpacing"/>
        <w:tabs>
          <w:tab w:val="clear" w:pos="708"/>
          <w:tab w:val="left" w:pos="4083" w:leader="none"/>
        </w:tabs>
        <w:ind w:firstLine="680"/>
        <w:jc w:val="right"/>
        <w:rPr>
          <w:rFonts w:ascii="Tahoma" w:hAnsi="Tahoma" w:cs="Tahoma"/>
          <w:i/>
          <w:i/>
          <w:sz w:val="20"/>
          <w:szCs w:val="20"/>
        </w:rPr>
      </w:pPr>
      <w:r>
        <w:rPr>
          <w:rFonts w:cs="Tahoma" w:ascii="Tahoma" w:hAnsi="Tahoma"/>
          <w:i/>
          <w:sz w:val="20"/>
          <w:szCs w:val="20"/>
        </w:rPr>
        <w:t xml:space="preserve">San José, 24 de enero de 2020 </w:t>
      </w:r>
    </w:p>
    <w:p>
      <w:pPr>
        <w:pStyle w:val="NoSpacing"/>
        <w:ind w:firstLine="680"/>
        <w:jc w:val="right"/>
        <w:rPr>
          <w:rFonts w:ascii="Tahoma" w:hAnsi="Tahoma" w:cs="Tahoma"/>
          <w:b/>
          <w:b/>
          <w:i/>
          <w:i/>
          <w:sz w:val="20"/>
          <w:szCs w:val="20"/>
          <w:lang w:val="en-US"/>
        </w:rPr>
      </w:pPr>
      <w:r>
        <w:rPr>
          <w:rFonts w:cs="Tahoma" w:ascii="Tahoma" w:hAnsi="Tahoma"/>
          <w:b/>
          <w:i/>
          <w:sz w:val="20"/>
          <w:szCs w:val="20"/>
          <w:lang w:val="en-US"/>
        </w:rPr>
        <w:t xml:space="preserve">N.º PJ-DGH-CAP-17-2020 </w:t>
      </w:r>
    </w:p>
    <w:p>
      <w:pPr>
        <w:pStyle w:val="Normal"/>
        <w:rPr>
          <w:rFonts w:ascii="Tahoma" w:hAnsi="Tahoma" w:cs="Tahoma"/>
          <w:b/>
          <w:b/>
          <w:i/>
          <w:i/>
          <w:sz w:val="20"/>
          <w:szCs w:val="20"/>
          <w:lang w:val="en-US"/>
        </w:rPr>
      </w:pPr>
      <w:r>
        <w:rPr>
          <w:rFonts w:cs="Tahoma" w:ascii="Tahoma" w:hAnsi="Tahoma"/>
          <w:b/>
          <w:i/>
          <w:sz w:val="20"/>
          <w:szCs w:val="20"/>
          <w:lang w:val="en-US"/>
        </w:rPr>
      </w:r>
    </w:p>
    <w:p>
      <w:pPr>
        <w:pStyle w:val="Normal"/>
        <w:rPr>
          <w:rFonts w:ascii="Tahoma" w:hAnsi="Tahoma" w:cs="Tahoma"/>
          <w:b/>
          <w:b/>
          <w:i/>
          <w:i/>
          <w:sz w:val="20"/>
          <w:szCs w:val="20"/>
          <w:lang w:val="en-US"/>
        </w:rPr>
      </w:pPr>
      <w:r>
        <w:rPr>
          <w:rFonts w:cs="Tahoma" w:ascii="Tahoma" w:hAnsi="Tahoma"/>
          <w:b/>
          <w:i/>
          <w:sz w:val="20"/>
          <w:szCs w:val="20"/>
          <w:lang w:val="en-US"/>
        </w:rPr>
      </w:r>
    </w:p>
    <w:p>
      <w:pPr>
        <w:pStyle w:val="Normal"/>
        <w:jc w:val="both"/>
        <w:rPr>
          <w:rFonts w:ascii="Tahoma" w:hAnsi="Tahoma" w:cs="Tahoma"/>
          <w:b/>
          <w:b/>
          <w:bCs/>
          <w:i/>
          <w:i/>
          <w:sz w:val="20"/>
          <w:szCs w:val="20"/>
          <w:lang w:val="en-US"/>
        </w:rPr>
      </w:pPr>
      <w:r>
        <w:rPr>
          <w:rFonts w:cs="Tahoma" w:ascii="Tahoma" w:hAnsi="Tahoma"/>
          <w:b/>
          <w:bCs/>
          <w:i/>
          <w:sz w:val="20"/>
          <w:szCs w:val="20"/>
          <w:lang w:val="en-US"/>
        </w:rPr>
      </w:r>
    </w:p>
    <w:p>
      <w:pPr>
        <w:pStyle w:val="Normal"/>
        <w:jc w:val="both"/>
        <w:rPr>
          <w:rFonts w:ascii="Tahoma" w:hAnsi="Tahoma" w:cs="Tahoma"/>
          <w:b/>
          <w:b/>
          <w:bCs/>
          <w:i/>
          <w:i/>
          <w:sz w:val="20"/>
          <w:szCs w:val="20"/>
        </w:rPr>
      </w:pPr>
      <w:r>
        <w:rPr>
          <w:rFonts w:cs="Tahoma" w:ascii="Tahoma" w:hAnsi="Tahoma"/>
          <w:b/>
          <w:bCs/>
          <w:i/>
          <w:sz w:val="20"/>
          <w:szCs w:val="20"/>
        </w:rPr>
        <w:t>Señora</w:t>
      </w:r>
    </w:p>
    <w:p>
      <w:pPr>
        <w:pStyle w:val="Normal"/>
        <w:jc w:val="both"/>
        <w:rPr>
          <w:rFonts w:ascii="Tahoma" w:hAnsi="Tahoma" w:cs="Tahoma"/>
          <w:b/>
          <w:b/>
          <w:bCs/>
          <w:i/>
          <w:i/>
          <w:sz w:val="20"/>
          <w:szCs w:val="20"/>
        </w:rPr>
      </w:pPr>
      <w:r>
        <w:rPr>
          <w:rFonts w:cs="Tahoma" w:ascii="Tahoma" w:hAnsi="Tahoma"/>
          <w:b/>
          <w:bCs/>
          <w:i/>
          <w:sz w:val="20"/>
          <w:szCs w:val="20"/>
        </w:rPr>
        <w:t>Melisa Benavides Víquez</w:t>
      </w:r>
    </w:p>
    <w:p>
      <w:pPr>
        <w:pStyle w:val="Normal"/>
        <w:jc w:val="both"/>
        <w:rPr>
          <w:rFonts w:ascii="Tahoma" w:hAnsi="Tahoma" w:cs="Tahoma"/>
          <w:b/>
          <w:b/>
          <w:bCs/>
          <w:i/>
          <w:i/>
          <w:sz w:val="20"/>
          <w:szCs w:val="20"/>
        </w:rPr>
      </w:pPr>
      <w:r>
        <w:rPr>
          <w:rFonts w:cs="Tahoma" w:ascii="Tahoma" w:hAnsi="Tahoma"/>
          <w:b/>
          <w:bCs/>
          <w:i/>
          <w:sz w:val="20"/>
          <w:szCs w:val="20"/>
        </w:rPr>
        <w:t xml:space="preserve">Coordinadora Unidad de Acceso a la Justicia </w:t>
      </w:r>
    </w:p>
    <w:p>
      <w:pPr>
        <w:pStyle w:val="Normal"/>
        <w:rPr>
          <w:rFonts w:ascii="Tahoma" w:hAnsi="Tahoma" w:cs="Tahoma"/>
          <w:b/>
          <w:b/>
          <w:i/>
          <w:i/>
          <w:sz w:val="20"/>
          <w:szCs w:val="20"/>
        </w:rPr>
      </w:pPr>
      <w:r>
        <w:rPr>
          <w:rFonts w:cs="Tahoma" w:ascii="Tahoma" w:hAnsi="Tahoma"/>
          <w:b/>
          <w:i/>
          <w:sz w:val="20"/>
          <w:szCs w:val="20"/>
        </w:rPr>
        <w:t>Presente</w:t>
      </w:r>
    </w:p>
    <w:p>
      <w:pPr>
        <w:pStyle w:val="Normal"/>
        <w:jc w:val="both"/>
        <w:rPr>
          <w:rFonts w:ascii="Tahoma" w:hAnsi="Tahoma" w:cs="Tahoma"/>
          <w:i/>
          <w:i/>
          <w:sz w:val="20"/>
          <w:szCs w:val="20"/>
        </w:rPr>
      </w:pPr>
      <w:r>
        <w:rPr>
          <w:rFonts w:cs="Tahoma" w:ascii="Tahoma" w:hAnsi="Tahoma"/>
          <w:i/>
          <w:sz w:val="20"/>
          <w:szCs w:val="20"/>
        </w:rPr>
      </w:r>
    </w:p>
    <w:p>
      <w:pPr>
        <w:pStyle w:val="Normal"/>
        <w:jc w:val="both"/>
        <w:rPr>
          <w:rFonts w:ascii="Tahoma" w:hAnsi="Tahoma" w:cs="Tahoma"/>
          <w:i/>
          <w:i/>
          <w:sz w:val="20"/>
          <w:szCs w:val="20"/>
        </w:rPr>
      </w:pPr>
      <w:r>
        <w:rPr>
          <w:rFonts w:cs="Tahoma" w:ascii="Tahoma" w:hAnsi="Tahoma"/>
          <w:i/>
          <w:sz w:val="20"/>
          <w:szCs w:val="20"/>
        </w:rPr>
        <w:t>Estimada señora:</w:t>
      </w:r>
    </w:p>
    <w:p>
      <w:pPr>
        <w:pStyle w:val="Normal"/>
        <w:spacing w:before="0" w:after="200"/>
        <w:contextualSpacing/>
        <w:jc w:val="both"/>
        <w:rPr>
          <w:rFonts w:ascii="Tahoma" w:hAnsi="Tahoma" w:cs="Tahoma"/>
          <w:i/>
          <w:i/>
          <w:sz w:val="20"/>
          <w:szCs w:val="20"/>
        </w:rPr>
      </w:pPr>
      <w:r>
        <w:rPr>
          <w:rFonts w:cs="Tahoma" w:ascii="Tahoma" w:hAnsi="Tahoma"/>
          <w:i/>
          <w:sz w:val="20"/>
          <w:szCs w:val="20"/>
        </w:rPr>
        <w:t>En relación con el oficio CACC-23-2020 del 20 de enero del 2020, el cual señala textualmente:</w:t>
      </w:r>
    </w:p>
    <w:p>
      <w:pPr>
        <w:pStyle w:val="Normal"/>
        <w:spacing w:before="0" w:after="157"/>
        <w:ind w:left="708" w:hanging="0"/>
        <w:jc w:val="both"/>
        <w:rPr>
          <w:rFonts w:ascii="Tahoma" w:hAnsi="Tahoma" w:cs="Tahoma"/>
          <w:bCs/>
          <w:i/>
          <w:i/>
          <w:iCs/>
          <w:sz w:val="20"/>
          <w:szCs w:val="20"/>
          <w:u w:val="single"/>
        </w:rPr>
      </w:pPr>
      <w:r>
        <w:rPr>
          <w:rFonts w:cs="Tahoma" w:ascii="Tahoma" w:hAnsi="Tahoma"/>
          <w:bCs/>
          <w:i/>
          <w:iCs/>
          <w:sz w:val="20"/>
          <w:szCs w:val="20"/>
          <w:u w:val="single"/>
        </w:rPr>
      </w:r>
    </w:p>
    <w:p>
      <w:pPr>
        <w:pStyle w:val="Normal"/>
        <w:spacing w:before="0" w:after="157"/>
        <w:ind w:left="708" w:hanging="0"/>
        <w:jc w:val="both"/>
        <w:rPr>
          <w:rFonts w:ascii="Tahoma" w:hAnsi="Tahoma" w:cs="Tahoma"/>
          <w:bCs/>
          <w:i/>
          <w:i/>
          <w:iCs/>
          <w:sz w:val="20"/>
          <w:szCs w:val="20"/>
          <w:u w:val="single"/>
        </w:rPr>
      </w:pPr>
      <w:r>
        <w:rPr>
          <w:rFonts w:cs="Tahoma" w:ascii="Tahoma" w:hAnsi="Tahoma"/>
          <w:bCs/>
          <w:i/>
          <w:iCs/>
          <w:sz w:val="20"/>
          <w:szCs w:val="20"/>
          <w:u w:val="single"/>
        </w:rPr>
        <w:t xml:space="preserve">SE ACUERDA: </w:t>
      </w:r>
    </w:p>
    <w:p>
      <w:pPr>
        <w:pStyle w:val="Normal"/>
        <w:spacing w:before="0" w:after="200"/>
        <w:ind w:left="708" w:hanging="0"/>
        <w:contextualSpacing/>
        <w:rPr>
          <w:rFonts w:ascii="Tahoma" w:hAnsi="Tahoma" w:cs="Tahoma"/>
          <w:bCs/>
          <w:i/>
          <w:i/>
          <w:iCs/>
          <w:sz w:val="20"/>
          <w:szCs w:val="20"/>
        </w:rPr>
      </w:pPr>
      <w:r>
        <w:rPr>
          <w:rFonts w:cs="Tahoma" w:ascii="Tahoma" w:hAnsi="Tahoma"/>
          <w:bCs/>
          <w:i/>
          <w:iCs/>
          <w:sz w:val="20"/>
          <w:szCs w:val="20"/>
        </w:rPr>
        <w:t xml:space="preserve">… </w:t>
      </w:r>
      <w:r>
        <w:rPr>
          <w:rFonts w:cs="Tahoma" w:ascii="Tahoma" w:hAnsi="Tahoma"/>
          <w:bCs/>
          <w:i/>
          <w:iCs/>
          <w:sz w:val="20"/>
          <w:szCs w:val="20"/>
          <w:u w:val="single"/>
        </w:rPr>
        <w:t>b) solicitar a la Escuela Judicial y a las Unidades de Capacitación colaboración para la realización de al menos cuatro actividades de capacitación durante 2020 vinculadas con la temática discapacidad y en general, solicitarles remisión del Plan de Capacitación de este año relacionado con ello</w:t>
      </w:r>
      <w:r>
        <w:rPr>
          <w:rFonts w:cs="Tahoma" w:ascii="Tahoma" w:hAnsi="Tahoma"/>
          <w:bCs/>
          <w:i/>
          <w:iCs/>
          <w:sz w:val="20"/>
          <w:szCs w:val="20"/>
        </w:rPr>
        <w:t>…”</w:t>
      </w:r>
    </w:p>
    <w:p>
      <w:pPr>
        <w:pStyle w:val="Normal"/>
        <w:spacing w:before="0" w:after="200"/>
        <w:contextualSpacing/>
        <w:jc w:val="right"/>
        <w:rPr>
          <w:rFonts w:ascii="Tahoma" w:hAnsi="Tahoma" w:cs="Tahoma"/>
          <w:i/>
          <w:i/>
          <w:sz w:val="20"/>
          <w:szCs w:val="20"/>
        </w:rPr>
      </w:pPr>
      <w:r>
        <w:rPr>
          <w:rFonts w:cs="Tahoma" w:ascii="Tahoma" w:hAnsi="Tahoma"/>
          <w:i/>
          <w:sz w:val="20"/>
          <w:szCs w:val="20"/>
        </w:rPr>
      </w:r>
    </w:p>
    <w:p>
      <w:pPr>
        <w:pStyle w:val="Normal"/>
        <w:spacing w:before="0" w:after="200"/>
        <w:contextualSpacing/>
        <w:jc w:val="right"/>
        <w:rPr>
          <w:rFonts w:ascii="Tahoma" w:hAnsi="Tahoma" w:cs="Tahoma"/>
          <w:i/>
          <w:i/>
          <w:sz w:val="20"/>
          <w:szCs w:val="20"/>
        </w:rPr>
      </w:pPr>
      <w:r>
        <w:rPr>
          <w:rFonts w:cs="Tahoma" w:ascii="Tahoma" w:hAnsi="Tahoma"/>
          <w:i/>
          <w:sz w:val="20"/>
          <w:szCs w:val="20"/>
        </w:rPr>
      </w:r>
    </w:p>
    <w:p>
      <w:pPr>
        <w:pStyle w:val="Normal"/>
        <w:jc w:val="both"/>
        <w:rPr>
          <w:rFonts w:ascii="Tahoma" w:hAnsi="Tahoma" w:cs="Tahoma"/>
          <w:i/>
          <w:i/>
          <w:sz w:val="20"/>
          <w:szCs w:val="20"/>
        </w:rPr>
      </w:pPr>
      <w:r>
        <w:rPr>
          <w:rFonts w:cs="Tahoma" w:ascii="Tahoma" w:hAnsi="Tahoma"/>
          <w:i/>
          <w:sz w:val="20"/>
          <w:szCs w:val="20"/>
        </w:rPr>
        <w:t>Con el fin de cumplir con lo antes mencionado, se indica; que en la sesión N° 109-19 celebrada el 17 de diciembre de 2019, el Consejo Superior aprobó el plan de capacitación del Subproceso de Gestión de la Capacitación de la Dirección de Gestión Humana. En este plan se incluyeron las siguientes actividades formativas afines al tema de discapacidad para el 2020.</w:t>
      </w:r>
    </w:p>
    <w:p>
      <w:pPr>
        <w:pStyle w:val="Normal"/>
        <w:jc w:val="both"/>
        <w:rPr>
          <w:rFonts w:ascii="Tahoma" w:hAnsi="Tahoma" w:cs="Tahoma"/>
          <w:i/>
          <w:i/>
          <w:sz w:val="20"/>
          <w:szCs w:val="20"/>
        </w:rPr>
      </w:pPr>
      <w:r>
        <w:rPr>
          <w:rFonts w:cs="Tahoma" w:ascii="Tahoma" w:hAnsi="Tahoma"/>
          <w:i/>
          <w:sz w:val="20"/>
          <w:szCs w:val="20"/>
        </w:rPr>
      </w:r>
    </w:p>
    <w:tbl>
      <w:tblPr>
        <w:tblStyle w:val="Tablaconcuadrcula"/>
        <w:tblW w:w="88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970"/>
        <w:gridCol w:w="2945"/>
        <w:gridCol w:w="2913"/>
      </w:tblGrid>
      <w:tr>
        <w:trPr/>
        <w:tc>
          <w:tcPr>
            <w:tcW w:w="2970" w:type="dxa"/>
            <w:tcBorders/>
          </w:tcPr>
          <w:p>
            <w:pPr>
              <w:pStyle w:val="Normal"/>
              <w:widowControl/>
              <w:spacing w:lineRule="auto" w:line="240" w:before="0" w:after="0"/>
              <w:jc w:val="both"/>
              <w:rPr>
                <w:rFonts w:ascii="Tahoma" w:hAnsi="Tahoma" w:cs="Tahoma"/>
                <w:i/>
                <w:i/>
                <w:color w:val="365F91" w:themeColor="accent1" w:themeShade="bf"/>
              </w:rPr>
            </w:pPr>
            <w:r>
              <w:rPr>
                <w:rFonts w:eastAsia="Times New Roman" w:cs="Tahoma" w:ascii="Tahoma" w:hAnsi="Tahoma"/>
                <w:i/>
                <w:color w:val="365F91" w:themeColor="accent1" w:themeShade="bf"/>
                <w:kern w:val="0"/>
                <w:sz w:val="20"/>
                <w:szCs w:val="20"/>
                <w:lang w:val="es-CR" w:eastAsia="es-CR" w:bidi="ar-SA"/>
              </w:rPr>
              <w:t>Programa</w:t>
            </w:r>
          </w:p>
        </w:tc>
        <w:tc>
          <w:tcPr>
            <w:tcW w:w="2945" w:type="dxa"/>
            <w:tcBorders/>
          </w:tcPr>
          <w:p>
            <w:pPr>
              <w:pStyle w:val="Normal"/>
              <w:widowControl/>
              <w:spacing w:lineRule="auto" w:line="240" w:before="0" w:after="0"/>
              <w:jc w:val="both"/>
              <w:rPr>
                <w:rFonts w:ascii="Tahoma" w:hAnsi="Tahoma" w:cs="Tahoma"/>
                <w:i/>
                <w:i/>
                <w:color w:val="365F91" w:themeColor="accent1" w:themeShade="bf"/>
              </w:rPr>
            </w:pPr>
            <w:r>
              <w:rPr>
                <w:rFonts w:eastAsia="Times New Roman" w:cs="Tahoma" w:ascii="Tahoma" w:hAnsi="Tahoma"/>
                <w:i/>
                <w:color w:val="365F91" w:themeColor="accent1" w:themeShade="bf"/>
                <w:kern w:val="0"/>
                <w:sz w:val="20"/>
                <w:szCs w:val="20"/>
                <w:lang w:val="es-CR" w:eastAsia="es-CR" w:bidi="ar-SA"/>
              </w:rPr>
              <w:t>Actividad académica</w:t>
            </w:r>
          </w:p>
        </w:tc>
        <w:tc>
          <w:tcPr>
            <w:tcW w:w="2913" w:type="dxa"/>
            <w:tcBorders/>
          </w:tcPr>
          <w:p>
            <w:pPr>
              <w:pStyle w:val="Normal"/>
              <w:widowControl/>
              <w:spacing w:lineRule="auto" w:line="240" w:before="0" w:after="0"/>
              <w:jc w:val="both"/>
              <w:rPr>
                <w:rFonts w:ascii="Tahoma" w:hAnsi="Tahoma" w:cs="Tahoma"/>
                <w:i/>
                <w:i/>
                <w:color w:val="365F91" w:themeColor="accent1" w:themeShade="bf"/>
              </w:rPr>
            </w:pPr>
            <w:r>
              <w:rPr>
                <w:rFonts w:eastAsia="Times New Roman" w:cs="Tahoma" w:ascii="Tahoma" w:hAnsi="Tahoma"/>
                <w:i/>
                <w:color w:val="365F91" w:themeColor="accent1" w:themeShade="bf"/>
                <w:kern w:val="0"/>
                <w:sz w:val="20"/>
                <w:szCs w:val="20"/>
                <w:lang w:val="es-CR" w:eastAsia="es-CR" w:bidi="ar-SA"/>
              </w:rPr>
              <w:t>Población meta*</w:t>
            </w:r>
          </w:p>
        </w:tc>
      </w:tr>
      <w:tr>
        <w:trPr/>
        <w:tc>
          <w:tcPr>
            <w:tcW w:w="2970" w:type="dxa"/>
            <w:tcBorders/>
          </w:tcPr>
          <w:p>
            <w:pPr>
              <w:pStyle w:val="Normal"/>
              <w:widowControl/>
              <w:spacing w:lineRule="auto" w:line="240" w:before="0" w:after="0"/>
              <w:ind w:left="-33" w:right="-76" w:hanging="0"/>
              <w:jc w:val="left"/>
              <w:rPr>
                <w:rFonts w:ascii="Tahoma" w:hAnsi="Tahoma" w:cs="Tahoma"/>
                <w:i/>
                <w:i/>
                <w:w w:val="90"/>
              </w:rPr>
            </w:pPr>
            <w:r>
              <w:rPr>
                <w:rFonts w:eastAsia="Times New Roman" w:cs="Tahoma" w:ascii="Tahoma" w:hAnsi="Tahoma"/>
                <w:i/>
                <w:w w:val="90"/>
                <w:kern w:val="0"/>
                <w:sz w:val="20"/>
                <w:szCs w:val="20"/>
                <w:lang w:val="es-CR" w:eastAsia="es-CR" w:bidi="ar-SA"/>
              </w:rPr>
              <w:t>Atención del plan de capacitación y recomendaciones del diagnóstico sobre necesidades de capacitación en Lesco en todo el país</w:t>
            </w:r>
          </w:p>
          <w:p>
            <w:pPr>
              <w:pStyle w:val="Normal"/>
              <w:widowControl/>
              <w:spacing w:lineRule="auto" w:line="240" w:before="0" w:after="0"/>
              <w:jc w:val="both"/>
              <w:rPr>
                <w:rFonts w:ascii="Tahoma" w:hAnsi="Tahoma" w:cs="Tahoma"/>
                <w:i/>
                <w:i/>
              </w:rPr>
            </w:pPr>
            <w:r>
              <w:rPr>
                <w:rFonts w:eastAsia="Calibri" w:cs="Tahoma" w:ascii="Tahoma" w:hAnsi="Tahoma"/>
                <w:i/>
                <w:kern w:val="0"/>
                <w:sz w:val="20"/>
                <w:szCs w:val="20"/>
                <w:lang w:val="es-CR" w:eastAsia="es-CR" w:bidi="ar-SA"/>
              </w:rPr>
            </w:r>
          </w:p>
        </w:tc>
        <w:tc>
          <w:tcPr>
            <w:tcW w:w="2945" w:type="dxa"/>
            <w:tcBorders/>
          </w:tcPr>
          <w:p>
            <w:pPr>
              <w:pStyle w:val="Normal"/>
              <w:widowControl/>
              <w:spacing w:lineRule="auto" w:line="240" w:before="0" w:after="0"/>
              <w:ind w:left="-99" w:right="-84" w:hanging="0"/>
              <w:jc w:val="left"/>
              <w:rPr>
                <w:rFonts w:ascii="Tahoma" w:hAnsi="Tahoma" w:cs="Tahoma"/>
                <w:i/>
                <w:i/>
                <w:w w:val="90"/>
              </w:rPr>
            </w:pPr>
            <w:r>
              <w:rPr>
                <w:rFonts w:eastAsia="Times New Roman" w:cs="Tahoma" w:ascii="Tahoma" w:hAnsi="Tahoma"/>
                <w:i/>
                <w:w w:val="90"/>
                <w:kern w:val="0"/>
                <w:sz w:val="20"/>
                <w:szCs w:val="20"/>
                <w:lang w:val="es-CR" w:eastAsia="es-CR" w:bidi="ar-SA"/>
              </w:rPr>
              <w:t>Curso virtual Derechos Humanos de las personas con discapacidad</w:t>
            </w:r>
          </w:p>
          <w:p>
            <w:pPr>
              <w:pStyle w:val="Normal"/>
              <w:widowControl/>
              <w:spacing w:lineRule="auto" w:line="240" w:before="0" w:after="0"/>
              <w:ind w:left="-99" w:right="-84" w:hanging="0"/>
              <w:jc w:val="left"/>
              <w:rPr>
                <w:rFonts w:ascii="Tahoma" w:hAnsi="Tahoma" w:cs="Tahoma"/>
                <w:i/>
                <w:i/>
                <w:w w:val="90"/>
              </w:rPr>
            </w:pPr>
            <w:r>
              <w:rPr>
                <w:rFonts w:eastAsia="Calibri" w:cs="Tahoma" w:ascii="Tahoma" w:hAnsi="Tahoma"/>
                <w:i/>
                <w:w w:val="90"/>
                <w:kern w:val="0"/>
                <w:sz w:val="20"/>
                <w:szCs w:val="20"/>
                <w:lang w:val="es-CR" w:eastAsia="es-CR" w:bidi="ar-SA"/>
              </w:rPr>
            </w:r>
          </w:p>
          <w:p>
            <w:pPr>
              <w:pStyle w:val="Normal"/>
              <w:widowControl/>
              <w:spacing w:lineRule="auto" w:line="240" w:before="0" w:after="0"/>
              <w:ind w:left="-99" w:right="-84" w:hanging="0"/>
              <w:jc w:val="left"/>
              <w:rPr>
                <w:rFonts w:ascii="Tahoma" w:hAnsi="Tahoma" w:cs="Tahoma"/>
                <w:i/>
                <w:i/>
                <w:w w:val="90"/>
              </w:rPr>
            </w:pPr>
            <w:r>
              <w:rPr>
                <w:rFonts w:eastAsia="Times New Roman" w:cs="Tahoma" w:ascii="Tahoma" w:hAnsi="Tahoma"/>
                <w:i/>
                <w:w w:val="90"/>
                <w:kern w:val="0"/>
                <w:sz w:val="20"/>
                <w:szCs w:val="20"/>
                <w:lang w:val="es-CR" w:eastAsia="es-CR" w:bidi="ar-SA"/>
              </w:rPr>
              <w:t>Curso virtual Promoción de la autonomía personal de las personas con discapacidad</w:t>
            </w:r>
          </w:p>
          <w:p>
            <w:pPr>
              <w:pStyle w:val="Normal"/>
              <w:widowControl/>
              <w:spacing w:lineRule="auto" w:line="240" w:before="0" w:after="0"/>
              <w:ind w:left="-99" w:right="-84" w:hanging="0"/>
              <w:jc w:val="left"/>
              <w:rPr>
                <w:rFonts w:ascii="Tahoma" w:hAnsi="Tahoma" w:cs="Tahoma"/>
                <w:i/>
                <w:i/>
                <w:w w:val="90"/>
              </w:rPr>
            </w:pPr>
            <w:r>
              <w:rPr>
                <w:rFonts w:eastAsia="Calibri" w:cs="Tahoma" w:ascii="Tahoma" w:hAnsi="Tahoma"/>
                <w:i/>
                <w:w w:val="90"/>
                <w:kern w:val="0"/>
                <w:sz w:val="20"/>
                <w:szCs w:val="20"/>
                <w:lang w:val="es-CR" w:eastAsia="es-CR" w:bidi="ar-SA"/>
              </w:rPr>
            </w:r>
          </w:p>
          <w:p>
            <w:pPr>
              <w:pStyle w:val="Normal"/>
              <w:widowControl/>
              <w:spacing w:lineRule="auto" w:line="240" w:before="0" w:after="0"/>
              <w:ind w:left="-99" w:right="-84" w:hanging="0"/>
              <w:jc w:val="left"/>
              <w:rPr>
                <w:rFonts w:ascii="Tahoma" w:hAnsi="Tahoma" w:cs="Tahoma"/>
                <w:i/>
                <w:i/>
                <w:w w:val="90"/>
              </w:rPr>
            </w:pPr>
            <w:r>
              <w:rPr>
                <w:rFonts w:eastAsia="Times New Roman" w:cs="Tahoma" w:ascii="Tahoma" w:hAnsi="Tahoma"/>
                <w:i/>
                <w:w w:val="90"/>
                <w:kern w:val="0"/>
                <w:sz w:val="20"/>
                <w:szCs w:val="20"/>
                <w:lang w:val="es-CR" w:eastAsia="es-CR" w:bidi="ar-SA"/>
              </w:rPr>
              <w:t>Sensibilización en atención de personas con discapacidad</w:t>
            </w:r>
          </w:p>
          <w:p>
            <w:pPr>
              <w:pStyle w:val="Normal"/>
              <w:widowControl/>
              <w:spacing w:lineRule="auto" w:line="240" w:before="0" w:after="0"/>
              <w:ind w:left="-99" w:right="-84" w:hanging="0"/>
              <w:jc w:val="left"/>
              <w:rPr>
                <w:rFonts w:ascii="Tahoma" w:hAnsi="Tahoma" w:cs="Tahoma"/>
                <w:i/>
                <w:i/>
                <w:w w:val="90"/>
              </w:rPr>
            </w:pPr>
            <w:r>
              <w:rPr>
                <w:rFonts w:eastAsia="Calibri" w:cs="Tahoma" w:ascii="Tahoma" w:hAnsi="Tahoma"/>
                <w:i/>
                <w:w w:val="90"/>
                <w:kern w:val="0"/>
                <w:sz w:val="20"/>
                <w:szCs w:val="20"/>
                <w:lang w:val="es-CR" w:eastAsia="es-CR" w:bidi="ar-SA"/>
              </w:rPr>
            </w:r>
          </w:p>
          <w:p>
            <w:pPr>
              <w:pStyle w:val="Normal"/>
              <w:widowControl/>
              <w:spacing w:lineRule="auto" w:line="240" w:before="0" w:after="0"/>
              <w:ind w:left="-99" w:right="-84" w:hanging="0"/>
              <w:jc w:val="left"/>
              <w:rPr>
                <w:rFonts w:ascii="Tahoma" w:hAnsi="Tahoma" w:cs="Tahoma"/>
                <w:i/>
                <w:i/>
                <w:w w:val="90"/>
              </w:rPr>
            </w:pPr>
            <w:r>
              <w:rPr>
                <w:rFonts w:eastAsia="Times New Roman" w:cs="Tahoma" w:ascii="Tahoma" w:hAnsi="Tahoma"/>
                <w:i/>
                <w:w w:val="90"/>
                <w:kern w:val="0"/>
                <w:sz w:val="20"/>
                <w:szCs w:val="20"/>
                <w:lang w:val="es-CR" w:eastAsia="es-CR" w:bidi="ar-SA"/>
              </w:rPr>
              <w:t>Refrescamientos y/o actualizaciones en lengua de señas costarricense (Lesco)</w:t>
            </w:r>
          </w:p>
          <w:p>
            <w:pPr>
              <w:pStyle w:val="Normal"/>
              <w:widowControl/>
              <w:spacing w:lineRule="auto" w:line="240" w:before="0" w:after="0"/>
              <w:ind w:left="-99" w:right="-84" w:hanging="0"/>
              <w:jc w:val="left"/>
              <w:rPr>
                <w:rFonts w:ascii="Tahoma" w:hAnsi="Tahoma" w:cs="Tahoma"/>
                <w:i/>
                <w:i/>
                <w:w w:val="90"/>
              </w:rPr>
            </w:pPr>
            <w:r>
              <w:rPr>
                <w:rFonts w:eastAsia="Calibri" w:cs="Tahoma" w:ascii="Tahoma" w:hAnsi="Tahoma"/>
                <w:i/>
                <w:w w:val="90"/>
                <w:kern w:val="0"/>
                <w:sz w:val="20"/>
                <w:szCs w:val="20"/>
                <w:lang w:val="es-CR" w:eastAsia="es-CR" w:bidi="ar-SA"/>
              </w:rPr>
            </w:r>
          </w:p>
          <w:p>
            <w:pPr>
              <w:pStyle w:val="Normal"/>
              <w:widowControl/>
              <w:spacing w:lineRule="auto" w:line="240" w:before="0" w:after="0"/>
              <w:ind w:left="-99" w:right="-84" w:hanging="0"/>
              <w:jc w:val="left"/>
              <w:rPr>
                <w:rFonts w:ascii="Tahoma" w:hAnsi="Tahoma" w:cs="Tahoma"/>
                <w:i/>
                <w:i/>
                <w:w w:val="90"/>
              </w:rPr>
            </w:pPr>
            <w:r>
              <w:rPr>
                <w:rFonts w:eastAsia="Times New Roman" w:cs="Tahoma" w:ascii="Tahoma" w:hAnsi="Tahoma"/>
                <w:i/>
                <w:w w:val="90"/>
                <w:kern w:val="0"/>
                <w:sz w:val="20"/>
                <w:szCs w:val="20"/>
                <w:lang w:val="es-CR" w:eastAsia="es-CR" w:bidi="ar-SA"/>
              </w:rPr>
              <w:t>Planteamiento inicial del proceso de Certificación en interpretación de la lengua de señas costarricense (Lesco)</w:t>
            </w:r>
          </w:p>
          <w:p>
            <w:pPr>
              <w:pStyle w:val="Normal"/>
              <w:widowControl/>
              <w:spacing w:lineRule="auto" w:line="240" w:before="0" w:after="0"/>
              <w:ind w:left="-99" w:right="-84" w:hanging="0"/>
              <w:jc w:val="left"/>
              <w:rPr>
                <w:rFonts w:ascii="Tahoma" w:hAnsi="Tahoma" w:cs="Tahoma"/>
                <w:i/>
                <w:i/>
                <w:w w:val="90"/>
              </w:rPr>
            </w:pPr>
            <w:r>
              <w:rPr>
                <w:rFonts w:eastAsia="Calibri" w:cs="Tahoma" w:ascii="Tahoma" w:hAnsi="Tahoma"/>
                <w:i/>
                <w:w w:val="90"/>
                <w:kern w:val="0"/>
                <w:sz w:val="20"/>
                <w:szCs w:val="20"/>
                <w:lang w:val="es-CR" w:eastAsia="es-CR" w:bidi="ar-SA"/>
              </w:rPr>
            </w:r>
          </w:p>
          <w:p>
            <w:pPr>
              <w:pStyle w:val="Normal"/>
              <w:widowControl/>
              <w:spacing w:lineRule="auto" w:line="240" w:before="0" w:after="0"/>
              <w:jc w:val="both"/>
              <w:rPr>
                <w:rFonts w:ascii="Tahoma" w:hAnsi="Tahoma" w:cs="Tahoma"/>
                <w:i/>
                <w:i/>
              </w:rPr>
            </w:pPr>
            <w:r>
              <w:rPr>
                <w:rFonts w:eastAsia="Times New Roman" w:cs="Tahoma" w:ascii="Tahoma" w:hAnsi="Tahoma"/>
                <w:i/>
                <w:w w:val="90"/>
                <w:kern w:val="0"/>
                <w:sz w:val="20"/>
                <w:szCs w:val="20"/>
                <w:lang w:val="es-CR" w:eastAsia="es-CR" w:bidi="ar-SA"/>
              </w:rPr>
              <w:t>(Ver detalles en el DNC)</w:t>
            </w:r>
          </w:p>
        </w:tc>
        <w:tc>
          <w:tcPr>
            <w:tcW w:w="2913" w:type="dxa"/>
            <w:tcBorders/>
          </w:tcPr>
          <w:p>
            <w:pPr>
              <w:pStyle w:val="Normal"/>
              <w:widowControl/>
              <w:spacing w:lineRule="auto" w:line="240" w:before="0" w:after="0"/>
              <w:jc w:val="both"/>
              <w:rPr>
                <w:rFonts w:ascii="Tahoma" w:hAnsi="Tahoma" w:cs="Tahoma"/>
                <w:i/>
                <w:i/>
              </w:rPr>
            </w:pPr>
            <w:r>
              <w:rPr>
                <w:rFonts w:eastAsia="Times New Roman" w:cs="Tahoma" w:ascii="Tahoma" w:hAnsi="Tahoma"/>
                <w:i/>
                <w:w w:val="90"/>
                <w:kern w:val="0"/>
                <w:sz w:val="20"/>
                <w:szCs w:val="20"/>
                <w:lang w:val="es-CR" w:eastAsia="es-CR" w:bidi="ar-SA"/>
              </w:rPr>
              <w:t>Funcionarias y funcionarios del Poder Judicial que tengan aprobado el nivel IV en Lesco impartido por el Subproceso Gestión de la Capacitación</w:t>
            </w:r>
          </w:p>
        </w:tc>
      </w:tr>
      <w:tr>
        <w:trPr/>
        <w:tc>
          <w:tcPr>
            <w:tcW w:w="2970" w:type="dxa"/>
            <w:tcBorders/>
          </w:tcPr>
          <w:p>
            <w:pPr>
              <w:pStyle w:val="Normal"/>
              <w:widowControl/>
              <w:spacing w:lineRule="auto" w:line="240" w:before="0" w:after="0"/>
              <w:ind w:left="-33" w:right="-76" w:hanging="0"/>
              <w:jc w:val="left"/>
              <w:rPr>
                <w:rFonts w:ascii="Tahoma" w:hAnsi="Tahoma" w:cs="Tahoma"/>
                <w:i/>
                <w:i/>
                <w:w w:val="90"/>
              </w:rPr>
            </w:pPr>
            <w:r>
              <w:rPr>
                <w:rFonts w:eastAsia="Times New Roman" w:cs="Tahoma" w:ascii="Tahoma" w:hAnsi="Tahoma"/>
                <w:i/>
                <w:w w:val="90"/>
                <w:kern w:val="0"/>
                <w:sz w:val="20"/>
                <w:szCs w:val="20"/>
                <w:lang w:val="es-CR" w:eastAsia="es-CR" w:bidi="ar-SA"/>
              </w:rPr>
              <w:t>Atención del plan de capacitación enfocado a la competencia servicio de calidad del personal de la Contraloría de Servicios, según diagnóstico realizado en 2018</w:t>
            </w:r>
          </w:p>
        </w:tc>
        <w:tc>
          <w:tcPr>
            <w:tcW w:w="2945" w:type="dxa"/>
            <w:tcBorders/>
          </w:tcPr>
          <w:p>
            <w:pPr>
              <w:pStyle w:val="Normal"/>
              <w:widowControl/>
              <w:spacing w:lineRule="auto" w:line="240" w:before="0" w:after="0"/>
              <w:ind w:left="-99" w:right="-84" w:hanging="0"/>
              <w:jc w:val="left"/>
              <w:rPr>
                <w:rFonts w:ascii="Tahoma" w:hAnsi="Tahoma" w:cs="Tahoma"/>
                <w:i/>
                <w:i/>
                <w:w w:val="90"/>
              </w:rPr>
            </w:pPr>
            <w:r>
              <w:rPr>
                <w:rFonts w:eastAsia="Times New Roman" w:cs="Tahoma" w:ascii="Tahoma" w:hAnsi="Tahoma"/>
                <w:i/>
                <w:w w:val="90"/>
                <w:kern w:val="0"/>
                <w:sz w:val="20"/>
                <w:szCs w:val="20"/>
                <w:lang w:val="es-CR" w:eastAsia="es-CR" w:bidi="ar-SA"/>
              </w:rPr>
              <w:t>Curso virtual Derechos Humanos de las personas con discapacidad</w:t>
            </w:r>
          </w:p>
          <w:p>
            <w:pPr>
              <w:pStyle w:val="Normal"/>
              <w:widowControl/>
              <w:spacing w:lineRule="auto" w:line="240" w:before="0" w:after="0"/>
              <w:ind w:left="-99" w:right="-84" w:hanging="0"/>
              <w:jc w:val="left"/>
              <w:rPr>
                <w:rFonts w:ascii="Tahoma" w:hAnsi="Tahoma" w:cs="Tahoma"/>
                <w:i/>
                <w:i/>
                <w:w w:val="90"/>
              </w:rPr>
            </w:pPr>
            <w:r>
              <w:rPr>
                <w:rFonts w:eastAsia="Calibri" w:cs="Tahoma" w:ascii="Tahoma" w:hAnsi="Tahoma"/>
                <w:i/>
                <w:w w:val="90"/>
                <w:kern w:val="0"/>
                <w:sz w:val="20"/>
                <w:szCs w:val="20"/>
                <w:lang w:val="es-CR" w:eastAsia="es-CR" w:bidi="ar-SA"/>
              </w:rPr>
            </w:r>
          </w:p>
          <w:p>
            <w:pPr>
              <w:pStyle w:val="Normal"/>
              <w:widowControl/>
              <w:spacing w:lineRule="auto" w:line="240" w:before="0" w:after="0"/>
              <w:ind w:left="-99" w:right="-84" w:hanging="0"/>
              <w:jc w:val="left"/>
              <w:rPr>
                <w:rFonts w:ascii="Tahoma" w:hAnsi="Tahoma" w:cs="Tahoma"/>
                <w:i/>
                <w:i/>
                <w:w w:val="90"/>
              </w:rPr>
            </w:pPr>
            <w:r>
              <w:rPr>
                <w:rFonts w:eastAsia="Times New Roman" w:cs="Tahoma" w:ascii="Tahoma" w:hAnsi="Tahoma"/>
                <w:i/>
                <w:w w:val="90"/>
                <w:kern w:val="0"/>
                <w:sz w:val="20"/>
                <w:szCs w:val="20"/>
                <w:lang w:val="es-CR" w:eastAsia="es-CR" w:bidi="ar-SA"/>
              </w:rPr>
              <w:t>Curso virtual Promoción de la autonomía personal de las personas con discapacidad</w:t>
            </w:r>
          </w:p>
          <w:p>
            <w:pPr>
              <w:pStyle w:val="Normal"/>
              <w:widowControl/>
              <w:spacing w:lineRule="auto" w:line="240" w:before="0" w:after="0"/>
              <w:ind w:left="-99" w:right="-84" w:hanging="0"/>
              <w:jc w:val="left"/>
              <w:rPr>
                <w:rFonts w:ascii="Tahoma" w:hAnsi="Tahoma" w:cs="Tahoma"/>
                <w:i/>
                <w:i/>
                <w:w w:val="90"/>
              </w:rPr>
            </w:pPr>
            <w:r>
              <w:rPr>
                <w:rFonts w:eastAsia="Calibri" w:cs="Tahoma" w:ascii="Tahoma" w:hAnsi="Tahoma"/>
                <w:i/>
                <w:w w:val="90"/>
                <w:kern w:val="0"/>
                <w:sz w:val="20"/>
                <w:szCs w:val="20"/>
                <w:lang w:val="es-CR" w:eastAsia="es-CR" w:bidi="ar-SA"/>
              </w:rPr>
            </w:r>
          </w:p>
          <w:p>
            <w:pPr>
              <w:pStyle w:val="Normal"/>
              <w:widowControl/>
              <w:spacing w:lineRule="auto" w:line="240" w:before="0" w:after="0"/>
              <w:ind w:left="-99" w:right="-84" w:hanging="0"/>
              <w:jc w:val="left"/>
              <w:rPr>
                <w:rFonts w:ascii="Tahoma" w:hAnsi="Tahoma" w:cs="Tahoma"/>
                <w:i/>
                <w:i/>
                <w:w w:val="90"/>
              </w:rPr>
            </w:pPr>
            <w:r>
              <w:rPr>
                <w:rFonts w:eastAsia="Times New Roman" w:cs="Tahoma" w:ascii="Tahoma" w:hAnsi="Tahoma"/>
                <w:i/>
                <w:w w:val="90"/>
                <w:kern w:val="0"/>
                <w:sz w:val="20"/>
                <w:szCs w:val="20"/>
                <w:lang w:val="es-CR" w:eastAsia="es-CR" w:bidi="ar-SA"/>
              </w:rPr>
              <w:t>Programa virtual de Acceso a la Justicia</w:t>
            </w:r>
          </w:p>
          <w:p>
            <w:pPr>
              <w:pStyle w:val="Normal"/>
              <w:widowControl/>
              <w:spacing w:lineRule="auto" w:line="240" w:before="0" w:after="0"/>
              <w:ind w:left="-99" w:right="-84" w:hanging="0"/>
              <w:jc w:val="left"/>
              <w:rPr>
                <w:rFonts w:ascii="Tahoma" w:hAnsi="Tahoma" w:cs="Tahoma"/>
                <w:i/>
                <w:i/>
                <w:w w:val="90"/>
              </w:rPr>
            </w:pPr>
            <w:r>
              <w:rPr>
                <w:rFonts w:eastAsia="Calibri" w:cs="Tahoma" w:ascii="Tahoma" w:hAnsi="Tahoma"/>
                <w:i/>
                <w:w w:val="90"/>
                <w:kern w:val="0"/>
                <w:sz w:val="20"/>
                <w:szCs w:val="20"/>
                <w:lang w:val="es-CR" w:eastAsia="es-CR" w:bidi="ar-SA"/>
              </w:rPr>
            </w:r>
          </w:p>
          <w:p>
            <w:pPr>
              <w:pStyle w:val="Normal"/>
              <w:widowControl/>
              <w:spacing w:lineRule="auto" w:line="240" w:before="0" w:after="0"/>
              <w:ind w:left="-99" w:right="-84" w:hanging="0"/>
              <w:jc w:val="left"/>
              <w:rPr>
                <w:rFonts w:ascii="Tahoma" w:hAnsi="Tahoma" w:cs="Tahoma"/>
                <w:i/>
                <w:i/>
                <w:w w:val="90"/>
              </w:rPr>
            </w:pPr>
            <w:r>
              <w:rPr>
                <w:rFonts w:eastAsia="Times New Roman" w:cs="Tahoma" w:ascii="Tahoma" w:hAnsi="Tahoma"/>
                <w:i/>
                <w:w w:val="90"/>
                <w:kern w:val="0"/>
                <w:sz w:val="20"/>
                <w:szCs w:val="20"/>
                <w:lang w:val="es-CR" w:eastAsia="es-CR" w:bidi="ar-SA"/>
              </w:rPr>
              <w:t>Actualización en Lesco</w:t>
            </w:r>
          </w:p>
          <w:p>
            <w:pPr>
              <w:pStyle w:val="Normal"/>
              <w:widowControl/>
              <w:spacing w:lineRule="auto" w:line="240" w:before="0" w:after="0"/>
              <w:ind w:left="-99" w:right="-84" w:hanging="0"/>
              <w:jc w:val="left"/>
              <w:rPr>
                <w:rFonts w:ascii="Tahoma" w:hAnsi="Tahoma" w:cs="Tahoma"/>
                <w:i/>
                <w:i/>
                <w:w w:val="90"/>
              </w:rPr>
            </w:pPr>
            <w:r>
              <w:rPr>
                <w:rFonts w:eastAsia="Calibri" w:cs="Tahoma" w:ascii="Tahoma" w:hAnsi="Tahoma"/>
                <w:i/>
                <w:w w:val="90"/>
                <w:kern w:val="0"/>
                <w:sz w:val="20"/>
                <w:szCs w:val="20"/>
                <w:lang w:val="es-CR" w:eastAsia="es-CR" w:bidi="ar-SA"/>
              </w:rPr>
            </w:r>
          </w:p>
          <w:p>
            <w:pPr>
              <w:pStyle w:val="Normal"/>
              <w:widowControl/>
              <w:spacing w:lineRule="auto" w:line="240" w:before="0" w:after="0"/>
              <w:ind w:left="-99" w:right="-84" w:hanging="0"/>
              <w:jc w:val="left"/>
              <w:rPr>
                <w:rFonts w:ascii="Tahoma" w:hAnsi="Tahoma" w:cs="Tahoma"/>
                <w:i/>
                <w:i/>
                <w:w w:val="90"/>
              </w:rPr>
            </w:pPr>
            <w:r>
              <w:rPr>
                <w:rFonts w:eastAsia="Times New Roman" w:cs="Tahoma" w:ascii="Tahoma" w:hAnsi="Tahoma"/>
                <w:i/>
                <w:w w:val="90"/>
                <w:kern w:val="0"/>
                <w:sz w:val="20"/>
                <w:szCs w:val="20"/>
                <w:lang w:val="es-CR" w:eastAsia="es-CR" w:bidi="ar-SA"/>
              </w:rPr>
              <w:t>Diseño y ejecución del Taller de construcción del protocolo de servicio del Poder Judicial</w:t>
            </w:r>
          </w:p>
          <w:p>
            <w:pPr>
              <w:pStyle w:val="Normal"/>
              <w:widowControl/>
              <w:spacing w:lineRule="auto" w:line="240" w:before="0" w:after="0"/>
              <w:ind w:left="-99" w:right="-84" w:hanging="0"/>
              <w:jc w:val="left"/>
              <w:rPr>
                <w:rFonts w:ascii="Tahoma" w:hAnsi="Tahoma" w:cs="Tahoma"/>
                <w:i/>
                <w:i/>
                <w:w w:val="90"/>
              </w:rPr>
            </w:pPr>
            <w:r>
              <w:rPr>
                <w:rFonts w:eastAsia="Calibri" w:cs="Tahoma" w:ascii="Tahoma" w:hAnsi="Tahoma"/>
                <w:i/>
                <w:w w:val="90"/>
                <w:kern w:val="0"/>
                <w:sz w:val="20"/>
                <w:szCs w:val="20"/>
                <w:lang w:val="es-CR" w:eastAsia="es-CR" w:bidi="ar-SA"/>
              </w:rPr>
            </w:r>
          </w:p>
          <w:p>
            <w:pPr>
              <w:pStyle w:val="Normal"/>
              <w:widowControl/>
              <w:spacing w:lineRule="auto" w:line="240" w:before="0" w:after="0"/>
              <w:ind w:left="-99" w:right="-84" w:firstLine="708"/>
              <w:jc w:val="left"/>
              <w:rPr>
                <w:rFonts w:ascii="Tahoma" w:hAnsi="Tahoma" w:cs="Tahoma"/>
                <w:i/>
                <w:i/>
                <w:w w:val="90"/>
              </w:rPr>
            </w:pPr>
            <w:r>
              <w:rPr>
                <w:rFonts w:eastAsia="Calibri" w:cs="Tahoma" w:ascii="Tahoma" w:hAnsi="Tahoma"/>
                <w:i/>
                <w:w w:val="90"/>
                <w:kern w:val="0"/>
                <w:sz w:val="20"/>
                <w:szCs w:val="20"/>
                <w:lang w:val="es-CR" w:eastAsia="es-CR" w:bidi="ar-SA"/>
              </w:rPr>
            </w:r>
          </w:p>
        </w:tc>
        <w:tc>
          <w:tcPr>
            <w:tcW w:w="2913" w:type="dxa"/>
            <w:tcBorders/>
          </w:tcPr>
          <w:p>
            <w:pPr>
              <w:pStyle w:val="Normal"/>
              <w:widowControl/>
              <w:spacing w:lineRule="auto" w:line="240" w:before="0" w:after="0"/>
              <w:jc w:val="both"/>
              <w:rPr>
                <w:rFonts w:ascii="Tahoma" w:hAnsi="Tahoma" w:cs="Tahoma"/>
                <w:i/>
                <w:i/>
                <w:w w:val="90"/>
              </w:rPr>
            </w:pPr>
            <w:r>
              <w:rPr>
                <w:rFonts w:eastAsia="Times New Roman" w:cs="Tahoma" w:ascii="Tahoma" w:hAnsi="Tahoma"/>
                <w:i/>
                <w:w w:val="90"/>
                <w:kern w:val="0"/>
                <w:sz w:val="20"/>
                <w:szCs w:val="20"/>
                <w:lang w:val="es-CR" w:eastAsia="es-CR" w:bidi="ar-SA"/>
              </w:rPr>
              <w:t>Contralores y contraloras, sub contralores y sub contraloras, auxiliares de contraloría de servicios, técnicos y profesionales de la Contraloría de Servicios</w:t>
            </w:r>
          </w:p>
        </w:tc>
      </w:tr>
    </w:tbl>
    <w:p>
      <w:pPr>
        <w:pStyle w:val="Normal"/>
        <w:jc w:val="both"/>
        <w:rPr>
          <w:rFonts w:ascii="Tahoma" w:hAnsi="Tahoma" w:cs="Tahoma"/>
          <w:i/>
          <w:i/>
          <w:sz w:val="20"/>
          <w:szCs w:val="20"/>
        </w:rPr>
      </w:pPr>
      <w:r>
        <w:rPr>
          <w:rFonts w:cs="Tahoma" w:ascii="Tahoma" w:hAnsi="Tahoma"/>
          <w:i/>
          <w:sz w:val="20"/>
          <w:szCs w:val="20"/>
        </w:rPr>
      </w:r>
    </w:p>
    <w:p>
      <w:pPr>
        <w:pStyle w:val="Normal"/>
        <w:jc w:val="both"/>
        <w:rPr>
          <w:rFonts w:ascii="Tahoma" w:hAnsi="Tahoma" w:cs="Tahoma"/>
          <w:i/>
          <w:i/>
          <w:iCs/>
          <w:sz w:val="20"/>
          <w:szCs w:val="20"/>
        </w:rPr>
      </w:pPr>
      <w:r>
        <w:rPr>
          <w:rFonts w:cs="Tahoma" w:ascii="Tahoma" w:hAnsi="Tahoma"/>
          <w:i/>
          <w:sz w:val="20"/>
          <w:szCs w:val="20"/>
        </w:rPr>
        <w:t>Este cuadro es un extracto del Plan de capacitación del Subproceso de Gestión de la Capacitación de la Dirección de Gestión Humana</w:t>
      </w:r>
      <w:r>
        <w:rPr>
          <w:rFonts w:cs="Tahoma" w:ascii="Tahoma" w:hAnsi="Tahoma"/>
          <w:i/>
          <w:iCs/>
          <w:sz w:val="20"/>
          <w:szCs w:val="20"/>
        </w:rPr>
        <w:t xml:space="preserve"> *Nota: Se indica como población meta a sectores específicos, pero el Programa virtual de Acceso a la Justicia va dirigido a toda la población judicial.  </w:t>
      </w:r>
    </w:p>
    <w:p>
      <w:pPr>
        <w:pStyle w:val="Normal"/>
        <w:jc w:val="both"/>
        <w:rPr>
          <w:rFonts w:ascii="Tahoma" w:hAnsi="Tahoma" w:cs="Tahoma"/>
          <w:i/>
          <w:i/>
          <w:sz w:val="20"/>
          <w:szCs w:val="20"/>
        </w:rPr>
      </w:pPr>
      <w:r>
        <w:rPr>
          <w:rFonts w:cs="Tahoma" w:ascii="Tahoma" w:hAnsi="Tahoma"/>
          <w:i/>
          <w:sz w:val="20"/>
          <w:szCs w:val="20"/>
        </w:rPr>
      </w:r>
    </w:p>
    <w:p>
      <w:pPr>
        <w:pStyle w:val="Normal"/>
        <w:ind w:left="-99" w:right="-84" w:hanging="0"/>
        <w:jc w:val="both"/>
        <w:rPr>
          <w:rFonts w:ascii="Tahoma" w:hAnsi="Tahoma" w:cs="Tahoma"/>
          <w:i/>
          <w:i/>
          <w:sz w:val="20"/>
          <w:szCs w:val="20"/>
        </w:rPr>
      </w:pPr>
      <w:r>
        <w:rPr>
          <w:rFonts w:cs="Tahoma" w:ascii="Tahoma" w:hAnsi="Tahoma"/>
          <w:i/>
          <w:sz w:val="20"/>
          <w:szCs w:val="20"/>
        </w:rPr>
        <w:t xml:space="preserve">En cada Programa se describen una serie de actividades académicas que se espera ejecutar durante este año, dentro de las cuales, están los 10 cursos virtuales del Programa virtual de Acceso a la Justicia, refrescamientos y/o actualizaciones en lengua de señas costarricense (Lesco), así como el planteamiento inicial del proceso de certificación en interpretación de la lengua de señas costarricense (Lesco). </w:t>
      </w:r>
    </w:p>
    <w:p>
      <w:pPr>
        <w:pStyle w:val="Normal"/>
        <w:ind w:left="-99" w:right="-84" w:hanging="0"/>
        <w:jc w:val="both"/>
        <w:rPr>
          <w:rFonts w:ascii="Tahoma" w:hAnsi="Tahoma" w:cs="Tahoma"/>
          <w:i/>
          <w:i/>
          <w:w w:val="90"/>
          <w:sz w:val="20"/>
          <w:szCs w:val="20"/>
        </w:rPr>
      </w:pPr>
      <w:r>
        <w:rPr>
          <w:rFonts w:cs="Tahoma" w:ascii="Tahoma" w:hAnsi="Tahoma"/>
          <w:i/>
          <w:w w:val="90"/>
          <w:sz w:val="20"/>
          <w:szCs w:val="20"/>
        </w:rPr>
      </w:r>
    </w:p>
    <w:p>
      <w:pPr>
        <w:pStyle w:val="Normal"/>
        <w:jc w:val="both"/>
        <w:rPr>
          <w:rFonts w:ascii="Tahoma" w:hAnsi="Tahoma" w:cs="Tahoma"/>
          <w:i/>
          <w:i/>
          <w:sz w:val="20"/>
          <w:szCs w:val="20"/>
        </w:rPr>
      </w:pPr>
      <w:r>
        <w:rPr>
          <w:rFonts w:cs="Tahoma" w:ascii="Tahoma" w:hAnsi="Tahoma"/>
          <w:i/>
          <w:sz w:val="20"/>
          <w:szCs w:val="20"/>
        </w:rPr>
      </w:r>
    </w:p>
    <w:p>
      <w:pPr>
        <w:pStyle w:val="Normal"/>
        <w:jc w:val="both"/>
        <w:rPr>
          <w:rFonts w:ascii="Tahoma" w:hAnsi="Tahoma" w:cs="Tahoma"/>
          <w:i/>
          <w:i/>
          <w:sz w:val="20"/>
          <w:szCs w:val="20"/>
        </w:rPr>
      </w:pPr>
      <w:r>
        <w:rPr>
          <w:rFonts w:cs="Tahoma" w:ascii="Tahoma" w:hAnsi="Tahoma"/>
          <w:i/>
          <w:sz w:val="20"/>
          <w:szCs w:val="20"/>
        </w:rPr>
        <w:t xml:space="preserve">Se adjunta el plan de capacitación completo. </w:t>
      </w:r>
    </w:p>
    <w:p>
      <w:pPr>
        <w:pStyle w:val="Normal"/>
        <w:spacing w:lineRule="auto" w:line="360" w:before="0" w:after="0"/>
        <w:jc w:val="center"/>
        <w:rPr>
          <w:rFonts w:ascii="Tahoma" w:hAnsi="Tahoma" w:cs="Tahoma"/>
          <w:b/>
          <w:b/>
          <w:i/>
          <w:i/>
          <w:sz w:val="20"/>
          <w:szCs w:val="20"/>
        </w:rPr>
      </w:pPr>
      <w:r>
        <w:rPr>
          <w:rFonts w:cs="Tahoma" w:ascii="Tahoma" w:hAnsi="Tahoma"/>
          <w:b/>
          <w:i/>
          <w:sz w:val="20"/>
          <w:szCs w:val="20"/>
        </w:rPr>
      </w:r>
    </w:p>
    <w:p>
      <w:pPr>
        <w:pStyle w:val="Normal"/>
        <w:jc w:val="both"/>
        <w:rPr>
          <w:rFonts w:ascii="Tahoma" w:hAnsi="Tahoma" w:cs="Tahoma"/>
          <w:i/>
          <w:i/>
          <w:sz w:val="20"/>
          <w:szCs w:val="20"/>
        </w:rPr>
      </w:pPr>
      <w:r>
        <w:rPr>
          <w:rFonts w:cs="Tahoma" w:ascii="Tahoma" w:hAnsi="Tahoma"/>
          <w:i/>
          <w:sz w:val="20"/>
          <w:szCs w:val="20"/>
        </w:rPr>
        <w:t>Atentamente:</w:t>
      </w:r>
    </w:p>
    <w:p>
      <w:pPr>
        <w:pStyle w:val="Normal"/>
        <w:rPr>
          <w:rFonts w:ascii="Tahoma" w:hAnsi="Tahoma" w:cs="Tahoma"/>
          <w:i/>
          <w:i/>
          <w:sz w:val="20"/>
          <w:szCs w:val="20"/>
          <w:lang w:eastAsia="es-CR"/>
        </w:rPr>
      </w:pPr>
      <w:r>
        <w:rPr>
          <w:rFonts w:cs="Tahoma" w:ascii="Tahoma" w:hAnsi="Tahoma"/>
          <w:i/>
          <w:sz w:val="20"/>
          <w:szCs w:val="20"/>
          <w:lang w:eastAsia="es-CR"/>
        </w:rPr>
      </w:r>
    </w:p>
    <w:p>
      <w:pPr>
        <w:pStyle w:val="Normal"/>
        <w:tabs>
          <w:tab w:val="clear" w:pos="708"/>
          <w:tab w:val="left" w:pos="5940" w:leader="none"/>
        </w:tabs>
        <w:rPr>
          <w:rFonts w:ascii="Tahoma" w:hAnsi="Tahoma" w:cs="Tahoma"/>
          <w:i/>
          <w:i/>
          <w:sz w:val="20"/>
          <w:szCs w:val="20"/>
          <w:lang w:eastAsia="es-CR"/>
        </w:rPr>
      </w:pPr>
      <w:r>
        <mc:AlternateContent>
          <mc:Choice Requires="wps">
            <w:drawing>
              <wp:anchor behindDoc="0" distT="0" distB="0" distL="0" distR="0" simplePos="0" locked="0" layoutInCell="0" allowOverlap="1" relativeHeight="6" wp14:anchorId="37C206E6">
                <wp:simplePos x="0" y="0"/>
                <wp:positionH relativeFrom="column">
                  <wp:posOffset>-843915</wp:posOffset>
                </wp:positionH>
                <wp:positionV relativeFrom="paragraph">
                  <wp:posOffset>112395</wp:posOffset>
                </wp:positionV>
                <wp:extent cx="2973070" cy="1006475"/>
                <wp:effectExtent l="0" t="0" r="0" b="4445"/>
                <wp:wrapNone/>
                <wp:docPr id="3" name="Cuadro de texto 13"/>
                <a:graphic xmlns:a="http://schemas.openxmlformats.org/drawingml/2006/main">
                  <a:graphicData uri="http://schemas.microsoft.com/office/word/2010/wordprocessingShape">
                    <wps:wsp>
                      <wps:cNvSpPr/>
                      <wps:spPr>
                        <a:xfrm>
                          <a:off x="0" y="0"/>
                          <a:ext cx="2972520" cy="1005840"/>
                        </a:xfrm>
                        <a:prstGeom prst="rect">
                          <a:avLst/>
                        </a:prstGeom>
                        <a:noFill/>
                        <a:ln w="0">
                          <a:noFill/>
                        </a:ln>
                      </wps:spPr>
                      <wps:style>
                        <a:lnRef idx="0"/>
                        <a:fillRef idx="0"/>
                        <a:effectRef idx="0"/>
                        <a:fontRef idx="minor"/>
                      </wps:style>
                      <wps:txbx>
                        <w:txbxContent>
                          <w:p>
                            <w:pPr>
                              <w:pStyle w:val="Contenidodelmarco"/>
                              <w:jc w:val="center"/>
                              <w:rPr>
                                <w:rFonts w:ascii="Cambria" w:hAnsi="Cambria"/>
                                <w:b/>
                                <w:b/>
                                <w:i/>
                                <w:i/>
                                <w:sz w:val="20"/>
                                <w:szCs w:val="20"/>
                              </w:rPr>
                            </w:pPr>
                            <w:r>
                              <w:rPr>
                                <w:rFonts w:ascii="Cambria" w:hAnsi="Cambria"/>
                                <w:b/>
                                <w:i/>
                                <w:color w:val="000000"/>
                                <w:sz w:val="20"/>
                                <w:szCs w:val="20"/>
                              </w:rPr>
                              <w:t xml:space="preserve">Licda. Cheryl Bolaños </w:t>
                            </w:r>
                          </w:p>
                          <w:p>
                            <w:pPr>
                              <w:pStyle w:val="Contenidodelmarco"/>
                              <w:jc w:val="center"/>
                              <w:rPr>
                                <w:rFonts w:ascii="Cambria" w:hAnsi="Cambria"/>
                                <w:b/>
                                <w:b/>
                                <w:i/>
                                <w:i/>
                                <w:sz w:val="20"/>
                                <w:szCs w:val="20"/>
                              </w:rPr>
                            </w:pPr>
                            <w:r>
                              <w:rPr>
                                <w:rFonts w:ascii="Cambria" w:hAnsi="Cambria"/>
                                <w:b/>
                                <w:i/>
                                <w:color w:val="000000"/>
                                <w:sz w:val="20"/>
                                <w:szCs w:val="20"/>
                              </w:rPr>
                              <w:t>Jefa a.i. Gestión de la Capacitación</w:t>
                            </w:r>
                          </w:p>
                          <w:p>
                            <w:pPr>
                              <w:pStyle w:val="Contenidodelmarco"/>
                              <w:spacing w:before="0" w:after="200"/>
                              <w:jc w:val="center"/>
                              <w:rPr>
                                <w:rFonts w:ascii="Cambria" w:hAnsi="Cambria"/>
                                <w:b/>
                                <w:b/>
                                <w:i/>
                                <w:i/>
                                <w:sz w:val="20"/>
                                <w:szCs w:val="20"/>
                              </w:rPr>
                            </w:pPr>
                            <w:r>
                              <w:rPr>
                                <w:rFonts w:ascii="Cambria" w:hAnsi="Cambria"/>
                                <w:b/>
                                <w:i/>
                                <w:color w:val="000000"/>
                                <w:sz w:val="20"/>
                                <w:szCs w:val="20"/>
                              </w:rPr>
                              <w:t>Gestión Humana</w:t>
                            </w:r>
                          </w:p>
                        </w:txbxContent>
                      </wps:txbx>
                      <wps:bodyPr>
                        <a:noAutofit/>
                      </wps:bodyPr>
                    </wps:wsp>
                  </a:graphicData>
                </a:graphic>
              </wp:anchor>
            </w:drawing>
          </mc:Choice>
          <mc:Fallback>
            <w:pict>
              <v:rect id="shape_0" ID="Cuadro de texto 13" stroked="f" style="position:absolute;margin-left:-66.45pt;margin-top:8.85pt;width:234pt;height:79.15pt;mso-wrap-style:square;v-text-anchor:top" wp14:anchorId="37C206E6">
                <v:fill o:detectmouseclick="t" on="false"/>
                <v:stroke color="#3465a4" joinstyle="round" endcap="flat"/>
                <v:textbox>
                  <w:txbxContent>
                    <w:p>
                      <w:pPr>
                        <w:pStyle w:val="Contenidodelmarco"/>
                        <w:jc w:val="center"/>
                        <w:rPr>
                          <w:rFonts w:ascii="Cambria" w:hAnsi="Cambria"/>
                          <w:b/>
                          <w:b/>
                          <w:i/>
                          <w:i/>
                          <w:sz w:val="20"/>
                          <w:szCs w:val="20"/>
                        </w:rPr>
                      </w:pPr>
                      <w:r>
                        <w:rPr>
                          <w:rFonts w:ascii="Cambria" w:hAnsi="Cambria"/>
                          <w:b/>
                          <w:i/>
                          <w:color w:val="000000"/>
                          <w:sz w:val="20"/>
                          <w:szCs w:val="20"/>
                        </w:rPr>
                        <w:t xml:space="preserve">Licda. Cheryl Bolaños </w:t>
                      </w:r>
                    </w:p>
                    <w:p>
                      <w:pPr>
                        <w:pStyle w:val="Contenidodelmarco"/>
                        <w:jc w:val="center"/>
                        <w:rPr>
                          <w:rFonts w:ascii="Cambria" w:hAnsi="Cambria"/>
                          <w:b/>
                          <w:b/>
                          <w:i/>
                          <w:i/>
                          <w:sz w:val="20"/>
                          <w:szCs w:val="20"/>
                        </w:rPr>
                      </w:pPr>
                      <w:r>
                        <w:rPr>
                          <w:rFonts w:ascii="Cambria" w:hAnsi="Cambria"/>
                          <w:b/>
                          <w:i/>
                          <w:color w:val="000000"/>
                          <w:sz w:val="20"/>
                          <w:szCs w:val="20"/>
                        </w:rPr>
                        <w:t>Jefa a.i. Gestión de la Capacitación</w:t>
                      </w:r>
                    </w:p>
                    <w:p>
                      <w:pPr>
                        <w:pStyle w:val="Contenidodelmarco"/>
                        <w:spacing w:before="0" w:after="200"/>
                        <w:jc w:val="center"/>
                        <w:rPr>
                          <w:rFonts w:ascii="Cambria" w:hAnsi="Cambria"/>
                          <w:b/>
                          <w:b/>
                          <w:i/>
                          <w:i/>
                          <w:sz w:val="20"/>
                          <w:szCs w:val="20"/>
                        </w:rPr>
                      </w:pPr>
                      <w:r>
                        <w:rPr>
                          <w:rFonts w:ascii="Cambria" w:hAnsi="Cambria"/>
                          <w:b/>
                          <w:i/>
                          <w:color w:val="000000"/>
                          <w:sz w:val="20"/>
                          <w:szCs w:val="20"/>
                        </w:rPr>
                        <w:t>Gestión Humana</w:t>
                      </w:r>
                    </w:p>
                  </w:txbxContent>
                </v:textbox>
                <w10:wrap type="none"/>
              </v:rect>
            </w:pict>
          </mc:Fallback>
        </mc:AlternateContent>
        <mc:AlternateContent>
          <mc:Choice Requires="wps">
            <w:drawing>
              <wp:anchor behindDoc="0" distT="0" distB="0" distL="0" distR="0" simplePos="0" locked="0" layoutInCell="0" allowOverlap="1" relativeHeight="8" wp14:anchorId="7F622B04">
                <wp:simplePos x="0" y="0"/>
                <wp:positionH relativeFrom="column">
                  <wp:posOffset>3047365</wp:posOffset>
                </wp:positionH>
                <wp:positionV relativeFrom="paragraph">
                  <wp:posOffset>142875</wp:posOffset>
                </wp:positionV>
                <wp:extent cx="2973070" cy="810260"/>
                <wp:effectExtent l="0" t="0" r="0" b="0"/>
                <wp:wrapNone/>
                <wp:docPr id="5" name="Cuadro de texto 14"/>
                <a:graphic xmlns:a="http://schemas.openxmlformats.org/drawingml/2006/main">
                  <a:graphicData uri="http://schemas.microsoft.com/office/word/2010/wordprocessingShape">
                    <wps:wsp>
                      <wps:cNvSpPr/>
                      <wps:spPr>
                        <a:xfrm>
                          <a:off x="0" y="0"/>
                          <a:ext cx="2972520" cy="809640"/>
                        </a:xfrm>
                        <a:prstGeom prst="rect">
                          <a:avLst/>
                        </a:prstGeom>
                        <a:noFill/>
                        <a:ln w="0">
                          <a:noFill/>
                        </a:ln>
                      </wps:spPr>
                      <wps:style>
                        <a:lnRef idx="0"/>
                        <a:fillRef idx="0"/>
                        <a:effectRef idx="0"/>
                        <a:fontRef idx="minor"/>
                      </wps:style>
                      <wps:txbx>
                        <w:txbxContent>
                          <w:p>
                            <w:pPr>
                              <w:pStyle w:val="Contenidodelmarco"/>
                              <w:jc w:val="center"/>
                              <w:rPr>
                                <w:rFonts w:ascii="Cambria" w:hAnsi="Cambria"/>
                                <w:b/>
                                <w:b/>
                                <w:i/>
                                <w:i/>
                                <w:sz w:val="20"/>
                                <w:szCs w:val="20"/>
                              </w:rPr>
                            </w:pPr>
                            <w:r>
                              <w:rPr>
                                <w:rFonts w:ascii="Cambria" w:hAnsi="Cambria"/>
                                <w:b/>
                                <w:i/>
                                <w:color w:val="000000"/>
                                <w:sz w:val="20"/>
                                <w:szCs w:val="20"/>
                              </w:rPr>
                              <w:t>Licda. Waiman Hin Herrera</w:t>
                            </w:r>
                          </w:p>
                          <w:p>
                            <w:pPr>
                              <w:pStyle w:val="Contenidodelmarco"/>
                              <w:jc w:val="center"/>
                              <w:rPr>
                                <w:rFonts w:ascii="Cambria" w:hAnsi="Cambria"/>
                                <w:b/>
                                <w:b/>
                                <w:i/>
                                <w:i/>
                                <w:sz w:val="20"/>
                                <w:szCs w:val="20"/>
                              </w:rPr>
                            </w:pPr>
                            <w:r>
                              <w:rPr>
                                <w:rFonts w:ascii="Cambria" w:hAnsi="Cambria"/>
                                <w:b/>
                                <w:i/>
                                <w:color w:val="000000"/>
                                <w:sz w:val="20"/>
                                <w:szCs w:val="20"/>
                              </w:rPr>
                              <w:t>Subdirectora a.i</w:t>
                            </w:r>
                          </w:p>
                          <w:p>
                            <w:pPr>
                              <w:pStyle w:val="Contenidodelmarco"/>
                              <w:spacing w:before="0" w:after="200"/>
                              <w:jc w:val="center"/>
                              <w:rPr>
                                <w:rFonts w:ascii="Cambria" w:hAnsi="Cambria"/>
                                <w:sz w:val="20"/>
                                <w:szCs w:val="20"/>
                              </w:rPr>
                            </w:pPr>
                            <w:r>
                              <w:rPr>
                                <w:rFonts w:ascii="Cambria" w:hAnsi="Cambria"/>
                                <w:b/>
                                <w:i/>
                                <w:color w:val="000000"/>
                                <w:sz w:val="20"/>
                                <w:szCs w:val="20"/>
                              </w:rPr>
                              <w:t>Gestión Humana</w:t>
                            </w:r>
                          </w:p>
                        </w:txbxContent>
                      </wps:txbx>
                      <wps:bodyPr>
                        <a:noAutofit/>
                      </wps:bodyPr>
                    </wps:wsp>
                  </a:graphicData>
                </a:graphic>
              </wp:anchor>
            </w:drawing>
          </mc:Choice>
          <mc:Fallback>
            <w:pict>
              <v:rect id="shape_0" ID="Cuadro de texto 14" stroked="f" style="position:absolute;margin-left:239.95pt;margin-top:11.25pt;width:234pt;height:63.7pt;mso-wrap-style:square;v-text-anchor:top" wp14:anchorId="7F622B04">
                <v:fill o:detectmouseclick="t" on="false"/>
                <v:stroke color="#3465a4" joinstyle="round" endcap="flat"/>
                <v:textbox>
                  <w:txbxContent>
                    <w:p>
                      <w:pPr>
                        <w:pStyle w:val="Contenidodelmarco"/>
                        <w:jc w:val="center"/>
                        <w:rPr>
                          <w:rFonts w:ascii="Cambria" w:hAnsi="Cambria"/>
                          <w:b/>
                          <w:b/>
                          <w:i/>
                          <w:i/>
                          <w:sz w:val="20"/>
                          <w:szCs w:val="20"/>
                        </w:rPr>
                      </w:pPr>
                      <w:r>
                        <w:rPr>
                          <w:rFonts w:ascii="Cambria" w:hAnsi="Cambria"/>
                          <w:b/>
                          <w:i/>
                          <w:color w:val="000000"/>
                          <w:sz w:val="20"/>
                          <w:szCs w:val="20"/>
                        </w:rPr>
                        <w:t>Licda. Waiman Hin Herrera</w:t>
                      </w:r>
                    </w:p>
                    <w:p>
                      <w:pPr>
                        <w:pStyle w:val="Contenidodelmarco"/>
                        <w:jc w:val="center"/>
                        <w:rPr>
                          <w:rFonts w:ascii="Cambria" w:hAnsi="Cambria"/>
                          <w:b/>
                          <w:b/>
                          <w:i/>
                          <w:i/>
                          <w:sz w:val="20"/>
                          <w:szCs w:val="20"/>
                        </w:rPr>
                      </w:pPr>
                      <w:r>
                        <w:rPr>
                          <w:rFonts w:ascii="Cambria" w:hAnsi="Cambria"/>
                          <w:b/>
                          <w:i/>
                          <w:color w:val="000000"/>
                          <w:sz w:val="20"/>
                          <w:szCs w:val="20"/>
                        </w:rPr>
                        <w:t>Subdirectora a.i</w:t>
                      </w:r>
                    </w:p>
                    <w:p>
                      <w:pPr>
                        <w:pStyle w:val="Contenidodelmarco"/>
                        <w:spacing w:before="0" w:after="200"/>
                        <w:jc w:val="center"/>
                        <w:rPr>
                          <w:rFonts w:ascii="Cambria" w:hAnsi="Cambria"/>
                          <w:sz w:val="20"/>
                          <w:szCs w:val="20"/>
                        </w:rPr>
                      </w:pPr>
                      <w:r>
                        <w:rPr>
                          <w:rFonts w:ascii="Cambria" w:hAnsi="Cambria"/>
                          <w:b/>
                          <w:i/>
                          <w:color w:val="000000"/>
                          <w:sz w:val="20"/>
                          <w:szCs w:val="20"/>
                        </w:rPr>
                        <w:t>Gestión Humana</w:t>
                      </w:r>
                    </w:p>
                  </w:txbxContent>
                </v:textbox>
                <w10:wrap type="none"/>
              </v:rect>
            </w:pict>
          </mc:Fallback>
        </mc:AlternateContent>
      </w:r>
      <w:r>
        <w:rPr>
          <w:rFonts w:cs="Tahoma" w:ascii="Tahoma" w:hAnsi="Tahoma"/>
          <w:i/>
          <w:sz w:val="20"/>
          <w:szCs w:val="20"/>
          <w:lang w:eastAsia="es-CR"/>
        </w:rPr>
        <w:tab/>
      </w:r>
    </w:p>
    <w:p>
      <w:pPr>
        <w:pStyle w:val="Normal"/>
        <w:spacing w:lineRule="auto" w:line="360" w:before="0" w:after="0"/>
        <w:rPr>
          <w:rFonts w:ascii="Tahoma" w:hAnsi="Tahoma" w:cs="Tahoma"/>
          <w:b/>
          <w:b/>
          <w:i/>
          <w:i/>
          <w:sz w:val="20"/>
          <w:szCs w:val="20"/>
        </w:rPr>
      </w:pPr>
      <w:r>
        <w:rPr>
          <w:rFonts w:cs="Tahoma" w:ascii="Tahoma" w:hAnsi="Tahoma"/>
          <w:b/>
          <w:i/>
          <w:sz w:val="20"/>
          <w:szCs w:val="20"/>
        </w:rPr>
      </w:r>
    </w:p>
    <w:p>
      <w:pPr>
        <w:pStyle w:val="Normal"/>
        <w:spacing w:lineRule="auto" w:line="360" w:before="0" w:after="0"/>
        <w:jc w:val="center"/>
        <w:rPr>
          <w:rFonts w:ascii="Tahoma" w:hAnsi="Tahoma" w:cs="Tahoma"/>
          <w:b/>
          <w:b/>
          <w:i/>
          <w:i/>
          <w:sz w:val="20"/>
          <w:szCs w:val="20"/>
        </w:rPr>
      </w:pPr>
      <w:r>
        <w:rPr>
          <w:rFonts w:cs="Tahoma" w:ascii="Tahoma" w:hAnsi="Tahoma"/>
          <w:b/>
          <w:i/>
          <w:sz w:val="20"/>
          <w:szCs w:val="20"/>
        </w:rPr>
      </w:r>
    </w:p>
    <w:p>
      <w:pPr>
        <w:pStyle w:val="Normal"/>
        <w:spacing w:lineRule="auto" w:line="360" w:before="0" w:after="0"/>
        <w:jc w:val="center"/>
        <w:rPr>
          <w:rFonts w:ascii="Tahoma" w:hAnsi="Tahoma" w:cs="Tahoma"/>
          <w:b/>
          <w:b/>
          <w:i/>
          <w:i/>
          <w:sz w:val="20"/>
          <w:szCs w:val="20"/>
        </w:rPr>
      </w:pPr>
      <w:r>
        <w:rPr>
          <w:rFonts w:cs="Tahoma" w:ascii="Tahoma" w:hAnsi="Tahoma"/>
          <w:b/>
          <w:i/>
          <w:sz w:val="20"/>
          <w:szCs w:val="20"/>
        </w:rPr>
        <mc:AlternateContent>
          <mc:Choice Requires="wps">
            <w:drawing>
              <wp:anchor behindDoc="0" distT="0" distB="0" distL="0" distR="0" simplePos="0" locked="0" layoutInCell="0" allowOverlap="1" relativeHeight="7" wp14:anchorId="087101D5">
                <wp:simplePos x="0" y="0"/>
                <wp:positionH relativeFrom="margin">
                  <wp:posOffset>1169035</wp:posOffset>
                </wp:positionH>
                <wp:positionV relativeFrom="paragraph">
                  <wp:posOffset>236220</wp:posOffset>
                </wp:positionV>
                <wp:extent cx="2973070" cy="828675"/>
                <wp:effectExtent l="0" t="0" r="0" b="0"/>
                <wp:wrapNone/>
                <wp:docPr id="7" name="Cuadro de texto 12"/>
                <a:graphic xmlns:a="http://schemas.openxmlformats.org/drawingml/2006/main">
                  <a:graphicData uri="http://schemas.microsoft.com/office/word/2010/wordprocessingShape">
                    <wps:wsp>
                      <wps:cNvSpPr/>
                      <wps:spPr>
                        <a:xfrm>
                          <a:off x="0" y="0"/>
                          <a:ext cx="2972520" cy="828000"/>
                        </a:xfrm>
                        <a:prstGeom prst="rect">
                          <a:avLst/>
                        </a:prstGeom>
                        <a:noFill/>
                        <a:ln w="0">
                          <a:noFill/>
                        </a:ln>
                      </wps:spPr>
                      <wps:style>
                        <a:lnRef idx="0"/>
                        <a:fillRef idx="0"/>
                        <a:effectRef idx="0"/>
                        <a:fontRef idx="minor"/>
                      </wps:style>
                      <wps:txbx>
                        <w:txbxContent>
                          <w:p>
                            <w:pPr>
                              <w:pStyle w:val="Contenidodelmarco"/>
                              <w:jc w:val="center"/>
                              <w:rPr>
                                <w:rFonts w:ascii="Cambria" w:hAnsi="Cambria"/>
                                <w:b/>
                                <w:b/>
                                <w:i/>
                                <w:i/>
                                <w:sz w:val="20"/>
                                <w:szCs w:val="20"/>
                              </w:rPr>
                            </w:pPr>
                            <w:r>
                              <w:rPr>
                                <w:rFonts w:ascii="Cambria" w:hAnsi="Cambria"/>
                                <w:b/>
                                <w:i/>
                                <w:color w:val="000000"/>
                                <w:sz w:val="20"/>
                                <w:szCs w:val="20"/>
                              </w:rPr>
                              <w:t>MBA. Roxana Arrieta Meléndez</w:t>
                            </w:r>
                          </w:p>
                          <w:p>
                            <w:pPr>
                              <w:pStyle w:val="Contenidodelmarco"/>
                              <w:jc w:val="center"/>
                              <w:rPr>
                                <w:rFonts w:ascii="Cambria" w:hAnsi="Cambria"/>
                                <w:b/>
                                <w:b/>
                                <w:i/>
                                <w:i/>
                                <w:sz w:val="20"/>
                                <w:szCs w:val="20"/>
                              </w:rPr>
                            </w:pPr>
                            <w:r>
                              <w:rPr>
                                <w:rFonts w:ascii="Cambria" w:hAnsi="Cambria"/>
                                <w:b/>
                                <w:i/>
                                <w:color w:val="000000"/>
                                <w:sz w:val="20"/>
                                <w:szCs w:val="20"/>
                              </w:rPr>
                              <w:t>Directora a.i.</w:t>
                            </w:r>
                          </w:p>
                          <w:p>
                            <w:pPr>
                              <w:pStyle w:val="Contenidodelmarco"/>
                              <w:jc w:val="center"/>
                              <w:rPr>
                                <w:rFonts w:ascii="Cambria" w:hAnsi="Cambria"/>
                                <w:sz w:val="20"/>
                                <w:szCs w:val="20"/>
                              </w:rPr>
                            </w:pPr>
                            <w:r>
                              <w:rPr>
                                <w:rFonts w:ascii="Cambria" w:hAnsi="Cambria"/>
                                <w:b/>
                                <w:i/>
                                <w:color w:val="000000"/>
                                <w:sz w:val="20"/>
                                <w:szCs w:val="20"/>
                              </w:rPr>
                              <w:t xml:space="preserve"> </w:t>
                            </w:r>
                            <w:r>
                              <w:rPr>
                                <w:rFonts w:ascii="Cambria" w:hAnsi="Cambria"/>
                                <w:b/>
                                <w:i/>
                                <w:color w:val="000000"/>
                                <w:sz w:val="20"/>
                                <w:szCs w:val="20"/>
                              </w:rPr>
                              <w:t>Gestión Humana</w:t>
                            </w:r>
                          </w:p>
                          <w:p>
                            <w:pPr>
                              <w:pStyle w:val="Contenidodelmarco"/>
                              <w:spacing w:before="0" w:after="200"/>
                              <w:rPr>
                                <w:color w:val="000000"/>
                              </w:rPr>
                            </w:pPr>
                            <w:r>
                              <w:rPr>
                                <w:color w:val="000000"/>
                              </w:rPr>
                            </w:r>
                          </w:p>
                        </w:txbxContent>
                      </wps:txbx>
                      <wps:bodyPr>
                        <a:noAutofit/>
                      </wps:bodyPr>
                    </wps:wsp>
                  </a:graphicData>
                </a:graphic>
              </wp:anchor>
            </w:drawing>
          </mc:Choice>
          <mc:Fallback>
            <w:pict>
              <v:rect id="shape_0" ID="Cuadro de texto 12" stroked="f" style="position:absolute;margin-left:92.05pt;margin-top:18.6pt;width:234pt;height:65.15pt;mso-wrap-style:square;v-text-anchor:top;mso-position-horizontal-relative:margin" wp14:anchorId="087101D5">
                <v:fill o:detectmouseclick="t" on="false"/>
                <v:stroke color="#3465a4" joinstyle="round" endcap="flat"/>
                <v:textbox>
                  <w:txbxContent>
                    <w:p>
                      <w:pPr>
                        <w:pStyle w:val="Contenidodelmarco"/>
                        <w:jc w:val="center"/>
                        <w:rPr>
                          <w:rFonts w:ascii="Cambria" w:hAnsi="Cambria"/>
                          <w:b/>
                          <w:b/>
                          <w:i/>
                          <w:i/>
                          <w:sz w:val="20"/>
                          <w:szCs w:val="20"/>
                        </w:rPr>
                      </w:pPr>
                      <w:r>
                        <w:rPr>
                          <w:rFonts w:ascii="Cambria" w:hAnsi="Cambria"/>
                          <w:b/>
                          <w:i/>
                          <w:color w:val="000000"/>
                          <w:sz w:val="20"/>
                          <w:szCs w:val="20"/>
                        </w:rPr>
                        <w:t>MBA. Roxana Arrieta Meléndez</w:t>
                      </w:r>
                    </w:p>
                    <w:p>
                      <w:pPr>
                        <w:pStyle w:val="Contenidodelmarco"/>
                        <w:jc w:val="center"/>
                        <w:rPr>
                          <w:rFonts w:ascii="Cambria" w:hAnsi="Cambria"/>
                          <w:b/>
                          <w:b/>
                          <w:i/>
                          <w:i/>
                          <w:sz w:val="20"/>
                          <w:szCs w:val="20"/>
                        </w:rPr>
                      </w:pPr>
                      <w:r>
                        <w:rPr>
                          <w:rFonts w:ascii="Cambria" w:hAnsi="Cambria"/>
                          <w:b/>
                          <w:i/>
                          <w:color w:val="000000"/>
                          <w:sz w:val="20"/>
                          <w:szCs w:val="20"/>
                        </w:rPr>
                        <w:t>Directora a.i.</w:t>
                      </w:r>
                    </w:p>
                    <w:p>
                      <w:pPr>
                        <w:pStyle w:val="Contenidodelmarco"/>
                        <w:jc w:val="center"/>
                        <w:rPr>
                          <w:rFonts w:ascii="Cambria" w:hAnsi="Cambria"/>
                          <w:sz w:val="20"/>
                          <w:szCs w:val="20"/>
                        </w:rPr>
                      </w:pPr>
                      <w:r>
                        <w:rPr>
                          <w:rFonts w:ascii="Cambria" w:hAnsi="Cambria"/>
                          <w:b/>
                          <w:i/>
                          <w:color w:val="000000"/>
                          <w:sz w:val="20"/>
                          <w:szCs w:val="20"/>
                        </w:rPr>
                        <w:t xml:space="preserve"> </w:t>
                      </w:r>
                      <w:r>
                        <w:rPr>
                          <w:rFonts w:ascii="Cambria" w:hAnsi="Cambria"/>
                          <w:b/>
                          <w:i/>
                          <w:color w:val="000000"/>
                          <w:sz w:val="20"/>
                          <w:szCs w:val="20"/>
                        </w:rPr>
                        <w:t>Gestión Humana</w:t>
                      </w:r>
                    </w:p>
                    <w:p>
                      <w:pPr>
                        <w:pStyle w:val="Contenidodelmarco"/>
                        <w:spacing w:before="0" w:after="200"/>
                        <w:rPr>
                          <w:color w:val="000000"/>
                        </w:rPr>
                      </w:pPr>
                      <w:r>
                        <w:rPr>
                          <w:color w:val="000000"/>
                        </w:rPr>
                      </w:r>
                    </w:p>
                  </w:txbxContent>
                </v:textbox>
                <w10:wrap type="none"/>
              </v:rect>
            </w:pict>
          </mc:Fallback>
        </mc:AlternateContent>
      </w:r>
    </w:p>
    <w:p>
      <w:pPr>
        <w:pStyle w:val="Normal"/>
        <w:spacing w:lineRule="auto" w:line="360" w:before="0" w:after="0"/>
        <w:jc w:val="center"/>
        <w:rPr>
          <w:rFonts w:ascii="Tahoma" w:hAnsi="Tahoma" w:cs="Tahoma"/>
          <w:b/>
          <w:b/>
          <w:i/>
          <w:i/>
          <w:sz w:val="20"/>
          <w:szCs w:val="20"/>
        </w:rPr>
      </w:pPr>
      <w:r>
        <w:rPr>
          <w:rFonts w:cs="Tahoma" w:ascii="Tahoma" w:hAnsi="Tahoma"/>
          <w:b/>
          <w:i/>
          <w:sz w:val="20"/>
          <w:szCs w:val="20"/>
        </w:rPr>
      </w:r>
    </w:p>
    <w:p>
      <w:pPr>
        <w:pStyle w:val="Normal"/>
        <w:spacing w:lineRule="auto" w:line="360" w:before="0" w:after="0"/>
        <w:jc w:val="center"/>
        <w:rPr>
          <w:rFonts w:ascii="Tahoma" w:hAnsi="Tahoma" w:cs="Tahoma"/>
          <w:b/>
          <w:b/>
          <w:i/>
          <w:i/>
          <w:sz w:val="20"/>
          <w:szCs w:val="20"/>
        </w:rPr>
      </w:pPr>
      <w:r>
        <w:rPr>
          <w:rFonts w:cs="Tahoma" w:ascii="Tahoma" w:hAnsi="Tahoma"/>
          <w:b/>
          <w:i/>
          <w:sz w:val="20"/>
          <w:szCs w:val="20"/>
        </w:rPr>
      </w:r>
    </w:p>
    <w:p>
      <w:pPr>
        <w:pStyle w:val="Normal"/>
        <w:spacing w:lineRule="auto" w:line="360" w:before="0" w:after="0"/>
        <w:jc w:val="center"/>
        <w:rPr>
          <w:rFonts w:ascii="Tahoma" w:hAnsi="Tahoma" w:cs="Tahoma"/>
          <w:b/>
          <w:b/>
          <w:i/>
          <w:i/>
          <w:sz w:val="20"/>
          <w:szCs w:val="20"/>
        </w:rPr>
      </w:pPr>
      <w:r>
        <w:rPr>
          <w:rFonts w:cs="Tahoma" w:ascii="Tahoma" w:hAnsi="Tahoma"/>
          <w:b/>
          <w:i/>
          <w:sz w:val="20"/>
          <w:szCs w:val="20"/>
        </w:rPr>
      </w:r>
    </w:p>
    <w:p>
      <w:pPr>
        <w:pStyle w:val="Normal"/>
        <w:spacing w:lineRule="auto" w:line="360" w:before="0" w:after="0"/>
        <w:jc w:val="center"/>
        <w:rPr>
          <w:rFonts w:ascii="Tahoma" w:hAnsi="Tahoma" w:cs="Tahoma"/>
          <w:b/>
          <w:b/>
          <w:i/>
          <w:i/>
          <w:sz w:val="20"/>
          <w:szCs w:val="20"/>
        </w:rPr>
      </w:pPr>
      <w:r>
        <w:rPr>
          <w:rFonts w:cs="Tahoma" w:ascii="Tahoma" w:hAnsi="Tahoma"/>
          <w:b/>
          <w:i/>
          <w:sz w:val="20"/>
          <w:szCs w:val="20"/>
        </w:rPr>
      </w:r>
    </w:p>
    <w:p>
      <w:pPr>
        <w:pStyle w:val="Normal"/>
        <w:spacing w:lineRule="auto" w:line="360" w:before="0" w:after="0"/>
        <w:jc w:val="center"/>
        <w:rPr>
          <w:rFonts w:ascii="Tahoma" w:hAnsi="Tahoma" w:cs="Tahoma"/>
          <w:b/>
          <w:b/>
          <w:i/>
          <w:i/>
          <w:sz w:val="20"/>
          <w:szCs w:val="20"/>
        </w:rPr>
      </w:pPr>
      <w:r>
        <w:rPr>
          <w:rFonts w:cs="Tahoma" w:ascii="Tahoma" w:hAnsi="Tahoma"/>
          <w:b/>
          <w:i/>
          <w:sz w:val="20"/>
          <w:szCs w:val="20"/>
        </w:rPr>
      </w:r>
    </w:p>
    <w:p>
      <w:pPr>
        <w:pStyle w:val="Normal"/>
        <w:jc w:val="center"/>
        <w:rPr>
          <w:rFonts w:ascii="Tahoma" w:hAnsi="Tahoma" w:cs="Tahoma"/>
          <w:i/>
          <w:i/>
          <w:sz w:val="20"/>
          <w:szCs w:val="20"/>
          <w:lang w:val="es-ES"/>
        </w:rPr>
      </w:pPr>
      <w:r>
        <w:rPr>
          <w:rFonts w:cs="Tahoma" w:ascii="Tahoma" w:hAnsi="Tahoma"/>
          <w:i/>
          <w:sz w:val="20"/>
          <w:szCs w:val="20"/>
          <w:lang w:val="es-ES"/>
        </w:rPr>
        <w:t>-0-</w:t>
      </w:r>
    </w:p>
    <w:p>
      <w:pPr>
        <w:pStyle w:val="Normal"/>
        <w:jc w:val="center"/>
        <w:rPr>
          <w:rFonts w:ascii="Tahoma" w:hAnsi="Tahoma" w:cs="Tahoma"/>
          <w:i/>
          <w:i/>
          <w:sz w:val="20"/>
          <w:szCs w:val="20"/>
          <w:lang w:val="es-ES"/>
        </w:rPr>
      </w:pPr>
      <w:r>
        <w:rPr>
          <w:rFonts w:cs="Tahoma" w:ascii="Tahoma" w:hAnsi="Tahoma"/>
          <w:i/>
          <w:sz w:val="20"/>
          <w:szCs w:val="20"/>
          <w:lang w:val="es-ES"/>
        </w:rPr>
      </w:r>
    </w:p>
    <w:p>
      <w:pPr>
        <w:pStyle w:val="Normal"/>
        <w:jc w:val="both"/>
        <w:rPr>
          <w:rFonts w:ascii="Tahoma" w:hAnsi="Tahoma" w:cs="Tahoma"/>
          <w:iCs/>
          <w:sz w:val="20"/>
          <w:szCs w:val="20"/>
          <w:lang w:val="es-ES"/>
        </w:rPr>
      </w:pPr>
      <w:r>
        <w:rPr>
          <w:rFonts w:cs="Tahoma" w:ascii="Tahoma" w:hAnsi="Tahoma"/>
          <w:iCs/>
          <w:sz w:val="20"/>
          <w:szCs w:val="20"/>
          <w:lang w:val="es-ES"/>
        </w:rPr>
        <w:t xml:space="preserve">La Unidad de Capacitación del Organismo de Investigación Judicial </w:t>
      </w:r>
      <w:r>
        <w:rPr>
          <w:rFonts w:cs="Tahoma" w:ascii="Tahoma" w:hAnsi="Tahoma"/>
          <w:iCs/>
          <w:sz w:val="20"/>
          <w:szCs w:val="20"/>
        </w:rPr>
        <w:t xml:space="preserve">comunicó mediante el Oficio </w:t>
      </w:r>
      <w:r>
        <w:rPr>
          <w:rFonts w:cs="Tahoma" w:ascii="Tahoma" w:hAnsi="Tahoma"/>
          <w:b/>
          <w:iCs/>
          <w:sz w:val="20"/>
          <w:szCs w:val="20"/>
        </w:rPr>
        <w:t>EJ-CAP-OIJ-065-2020 RESPUESTA OFICIO CACC-23-2020</w:t>
      </w:r>
      <w:r>
        <w:rPr>
          <w:rFonts w:cs="Tahoma" w:ascii="Tahoma" w:hAnsi="Tahoma"/>
          <w:iCs/>
          <w:sz w:val="20"/>
          <w:szCs w:val="20"/>
        </w:rPr>
        <w:t xml:space="preserve"> remitido el 12 de febrero, lo siguiente: </w:t>
      </w:r>
    </w:p>
    <w:p>
      <w:pPr>
        <w:pStyle w:val="Normal"/>
        <w:tabs>
          <w:tab w:val="clear" w:pos="708"/>
          <w:tab w:val="left" w:pos="3945" w:leader="none"/>
        </w:tabs>
        <w:rPr>
          <w:rFonts w:ascii="Tahoma" w:hAnsi="Tahoma" w:cs="Tahoma"/>
          <w:i/>
          <w:i/>
          <w:sz w:val="20"/>
          <w:szCs w:val="20"/>
          <w:lang w:val="es-ES"/>
        </w:rPr>
      </w:pPr>
      <w:r>
        <w:rPr>
          <w:rFonts w:cs="Tahoma" w:ascii="Tahoma" w:hAnsi="Tahoma"/>
          <w:i/>
          <w:sz w:val="20"/>
          <w:szCs w:val="20"/>
          <w:lang w:val="es-ES"/>
        </w:rPr>
        <w:tab/>
      </w:r>
      <w:r>
        <w:rPr/>
        <w:drawing>
          <wp:inline distT="0" distB="0" distL="0" distR="0">
            <wp:extent cx="5137785" cy="6648450"/>
            <wp:effectExtent l="0" t="0" r="0" b="0"/>
            <wp:docPr id="9" name="Imagen 5" descr="C:\Users\KSALAZARD\Downloads\EJ-CAP-OIJ-065-2020 RESPUESTA OFICIO CACC-2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 descr="C:\Users\KSALAZARD\Downloads\EJ-CAP-OIJ-065-2020 RESPUESTA OFICIO CACC-23-2020.jpg"/>
                    <pic:cNvPicPr>
                      <a:picLocks noChangeAspect="1" noChangeArrowheads="1"/>
                    </pic:cNvPicPr>
                  </pic:nvPicPr>
                  <pic:blipFill>
                    <a:blip r:embed="rId4"/>
                    <a:stretch>
                      <a:fillRect/>
                    </a:stretch>
                  </pic:blipFill>
                  <pic:spPr bwMode="auto">
                    <a:xfrm>
                      <a:off x="0" y="0"/>
                      <a:ext cx="5137785" cy="6648450"/>
                    </a:xfrm>
                    <a:prstGeom prst="rect">
                      <a:avLst/>
                    </a:prstGeom>
                  </pic:spPr>
                </pic:pic>
              </a:graphicData>
            </a:graphic>
          </wp:inline>
        </w:drawing>
      </w:r>
    </w:p>
    <w:p>
      <w:pPr>
        <w:pStyle w:val="Normal"/>
        <w:tabs>
          <w:tab w:val="clear" w:pos="708"/>
          <w:tab w:val="left" w:pos="3945" w:leader="none"/>
        </w:tabs>
        <w:rPr>
          <w:rFonts w:ascii="Tahoma" w:hAnsi="Tahoma" w:cs="Tahoma"/>
          <w:i/>
          <w:i/>
          <w:sz w:val="20"/>
          <w:szCs w:val="20"/>
          <w:lang w:val="es-ES"/>
        </w:rPr>
      </w:pPr>
      <w:r>
        <w:rPr>
          <w:rFonts w:cs="Tahoma" w:ascii="Tahoma" w:hAnsi="Tahoma"/>
          <w:i/>
          <w:sz w:val="20"/>
          <w:szCs w:val="20"/>
          <w:lang w:val="es-ES"/>
        </w:rPr>
      </w:r>
    </w:p>
    <w:p>
      <w:pPr>
        <w:pStyle w:val="Normal"/>
        <w:tabs>
          <w:tab w:val="clear" w:pos="708"/>
          <w:tab w:val="left" w:pos="3945" w:leader="none"/>
        </w:tabs>
        <w:rPr>
          <w:rFonts w:ascii="Tahoma" w:hAnsi="Tahoma" w:cs="Tahoma"/>
          <w:i/>
          <w:i/>
          <w:sz w:val="20"/>
          <w:szCs w:val="20"/>
          <w:lang w:val="es-ES"/>
        </w:rPr>
      </w:pPr>
      <w:r>
        <w:rPr>
          <w:rFonts w:cs="Tahoma" w:ascii="Tahoma" w:hAnsi="Tahoma"/>
          <w:i/>
          <w:sz w:val="20"/>
          <w:szCs w:val="20"/>
          <w:lang w:val="es-ES"/>
        </w:rPr>
      </w:r>
    </w:p>
    <w:p>
      <w:pPr>
        <w:pStyle w:val="Normal"/>
        <w:tabs>
          <w:tab w:val="clear" w:pos="708"/>
          <w:tab w:val="left" w:pos="3945" w:leader="none"/>
        </w:tabs>
        <w:rPr>
          <w:rFonts w:ascii="Tahoma" w:hAnsi="Tahoma" w:cs="Tahoma"/>
          <w:i/>
          <w:i/>
          <w:sz w:val="20"/>
          <w:szCs w:val="20"/>
          <w:lang w:val="es-ES"/>
        </w:rPr>
      </w:pPr>
      <w:r>
        <w:rPr>
          <w:rFonts w:cs="Tahoma" w:ascii="Tahoma" w:hAnsi="Tahoma"/>
          <w:i/>
          <w:sz w:val="20"/>
          <w:szCs w:val="20"/>
          <w:lang w:val="es-ES"/>
        </w:rPr>
      </w:r>
    </w:p>
    <w:p>
      <w:pPr>
        <w:pStyle w:val="Normal"/>
        <w:tabs>
          <w:tab w:val="clear" w:pos="708"/>
          <w:tab w:val="left" w:pos="3945" w:leader="none"/>
        </w:tabs>
        <w:rPr>
          <w:rFonts w:ascii="Tahoma" w:hAnsi="Tahoma" w:cs="Tahoma"/>
          <w:i/>
          <w:i/>
          <w:sz w:val="20"/>
          <w:szCs w:val="20"/>
          <w:lang w:val="es-ES"/>
        </w:rPr>
      </w:pPr>
      <w:r>
        <w:rPr/>
        <w:drawing>
          <wp:inline distT="0" distB="0" distL="0" distR="0">
            <wp:extent cx="4895850" cy="6335395"/>
            <wp:effectExtent l="0" t="0" r="0" b="0"/>
            <wp:docPr id="10" name="Imagen 6" descr="C:\Users\KSALAZARD\Downloads\EJ-CAP-OIJ-065-2020 RESPUESTA OFICIO CACC-23-202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6" descr="C:\Users\KSALAZARD\Downloads\EJ-CAP-OIJ-065-2020 RESPUESTA OFICIO CACC-23-2020-2 (1).jpg"/>
                    <pic:cNvPicPr>
                      <a:picLocks noChangeAspect="1" noChangeArrowheads="1"/>
                    </pic:cNvPicPr>
                  </pic:nvPicPr>
                  <pic:blipFill>
                    <a:blip r:embed="rId5"/>
                    <a:stretch>
                      <a:fillRect/>
                    </a:stretch>
                  </pic:blipFill>
                  <pic:spPr bwMode="auto">
                    <a:xfrm>
                      <a:off x="0" y="0"/>
                      <a:ext cx="4895850" cy="6335395"/>
                    </a:xfrm>
                    <a:prstGeom prst="rect">
                      <a:avLst/>
                    </a:prstGeom>
                  </pic:spPr>
                </pic:pic>
              </a:graphicData>
            </a:graphic>
          </wp:inline>
        </w:drawing>
      </w:r>
    </w:p>
    <w:p>
      <w:pPr>
        <w:pStyle w:val="Normal"/>
        <w:tabs>
          <w:tab w:val="clear" w:pos="708"/>
          <w:tab w:val="left" w:pos="3945" w:leader="none"/>
        </w:tabs>
        <w:rPr>
          <w:rFonts w:ascii="Tahoma" w:hAnsi="Tahoma" w:cs="Tahoma"/>
          <w:i/>
          <w:i/>
          <w:sz w:val="20"/>
          <w:szCs w:val="20"/>
          <w:lang w:val="es-ES"/>
        </w:rPr>
      </w:pPr>
      <w:r>
        <w:rPr>
          <w:rFonts w:cs="Tahoma" w:ascii="Tahoma" w:hAnsi="Tahoma"/>
          <w:i/>
          <w:sz w:val="20"/>
          <w:szCs w:val="20"/>
          <w:lang w:val="es-ES"/>
        </w:rPr>
      </w:r>
    </w:p>
    <w:p>
      <w:pPr>
        <w:pStyle w:val="Normal"/>
        <w:tabs>
          <w:tab w:val="clear" w:pos="708"/>
          <w:tab w:val="left" w:pos="3945" w:leader="none"/>
        </w:tabs>
        <w:rPr>
          <w:rFonts w:ascii="Tahoma" w:hAnsi="Tahoma" w:cs="Tahoma"/>
          <w:i/>
          <w:i/>
          <w:sz w:val="20"/>
          <w:szCs w:val="20"/>
          <w:lang w:val="es-ES"/>
        </w:rPr>
      </w:pPr>
      <w:r>
        <w:rPr>
          <w:rFonts w:cs="Tahoma" w:ascii="Tahoma" w:hAnsi="Tahoma"/>
          <w:i/>
          <w:sz w:val="20"/>
          <w:szCs w:val="20"/>
          <w:lang w:val="es-ES"/>
        </w:rPr>
      </w:r>
    </w:p>
    <w:p>
      <w:pPr>
        <w:pStyle w:val="Normal"/>
        <w:tabs>
          <w:tab w:val="clear" w:pos="708"/>
          <w:tab w:val="left" w:pos="3945" w:leader="none"/>
        </w:tabs>
        <w:rPr>
          <w:rFonts w:ascii="Tahoma" w:hAnsi="Tahoma" w:cs="Tahoma"/>
          <w:i/>
          <w:i/>
          <w:sz w:val="20"/>
          <w:szCs w:val="20"/>
          <w:lang w:val="es-ES"/>
        </w:rPr>
      </w:pPr>
      <w:r>
        <w:rPr>
          <w:rFonts w:cs="Tahoma" w:ascii="Tahoma" w:hAnsi="Tahoma"/>
          <w:i/>
          <w:sz w:val="20"/>
          <w:szCs w:val="20"/>
          <w:lang w:val="es-ES"/>
        </w:rPr>
      </w:r>
    </w:p>
    <w:p>
      <w:pPr>
        <w:pStyle w:val="Normal"/>
        <w:tabs>
          <w:tab w:val="clear" w:pos="708"/>
          <w:tab w:val="left" w:pos="3945" w:leader="none"/>
        </w:tabs>
        <w:rPr>
          <w:rFonts w:ascii="Tahoma" w:hAnsi="Tahoma" w:cs="Tahoma"/>
          <w:i/>
          <w:i/>
          <w:sz w:val="20"/>
          <w:szCs w:val="20"/>
          <w:lang w:val="es-ES"/>
        </w:rPr>
      </w:pPr>
      <w:r>
        <w:rPr/>
        <w:object>
          <v:shape id="ole_rId6" style="width:76pt;height:49.5pt" o:ole="">
            <v:imagedata r:id="rId7" o:title=""/>
          </v:shape>
          <o:OLEObject Type="Embed" ProgID="Word.Document.12" ShapeID="ole_rId6" DrawAspect="Icon" ObjectID="_1059883833" r:id="rId6"/>
        </w:object>
      </w:r>
    </w:p>
    <w:p>
      <w:pPr>
        <w:pStyle w:val="Normal"/>
        <w:tabs>
          <w:tab w:val="clear" w:pos="708"/>
          <w:tab w:val="left" w:pos="3945" w:leader="none"/>
        </w:tabs>
        <w:rPr>
          <w:rFonts w:ascii="Tahoma" w:hAnsi="Tahoma" w:cs="Tahoma"/>
          <w:iCs/>
          <w:sz w:val="20"/>
          <w:szCs w:val="20"/>
          <w:lang w:val="es-ES"/>
        </w:rPr>
      </w:pPr>
      <w:r>
        <w:rPr>
          <w:rFonts w:cs="Tahoma" w:ascii="Tahoma" w:hAnsi="Tahoma"/>
          <w:iCs/>
          <w:sz w:val="20"/>
          <w:szCs w:val="20"/>
          <w:lang w:val="es-ES"/>
        </w:rPr>
      </w:r>
    </w:p>
    <w:p>
      <w:pPr>
        <w:pStyle w:val="Normal"/>
        <w:tabs>
          <w:tab w:val="clear" w:pos="708"/>
          <w:tab w:val="left" w:pos="3945" w:leader="none"/>
        </w:tabs>
        <w:jc w:val="center"/>
        <w:rPr>
          <w:rFonts w:ascii="Tahoma" w:hAnsi="Tahoma" w:cs="Tahoma"/>
          <w:iCs/>
          <w:sz w:val="20"/>
          <w:szCs w:val="20"/>
          <w:lang w:val="es-ES"/>
        </w:rPr>
      </w:pPr>
      <w:r>
        <w:rPr>
          <w:rFonts w:cs="Tahoma" w:ascii="Tahoma" w:hAnsi="Tahoma"/>
          <w:iCs/>
          <w:sz w:val="20"/>
          <w:szCs w:val="20"/>
          <w:lang w:val="es-ES"/>
        </w:rPr>
        <w:t>-0-</w:t>
      </w:r>
    </w:p>
    <w:p>
      <w:pPr>
        <w:pStyle w:val="Normal"/>
        <w:tabs>
          <w:tab w:val="clear" w:pos="708"/>
          <w:tab w:val="left" w:pos="3945" w:leader="none"/>
        </w:tabs>
        <w:jc w:val="center"/>
        <w:rPr>
          <w:rFonts w:ascii="Tahoma" w:hAnsi="Tahoma" w:cs="Tahoma"/>
          <w:iCs/>
          <w:sz w:val="20"/>
          <w:szCs w:val="20"/>
          <w:lang w:val="es-ES"/>
        </w:rPr>
      </w:pPr>
      <w:r>
        <w:rPr>
          <w:rFonts w:cs="Tahoma" w:ascii="Tahoma" w:hAnsi="Tahoma"/>
          <w:iCs/>
          <w:sz w:val="20"/>
          <w:szCs w:val="20"/>
          <w:lang w:val="es-ES"/>
        </w:rPr>
      </w:r>
    </w:p>
    <w:p>
      <w:pPr>
        <w:pStyle w:val="Normal"/>
        <w:tabs>
          <w:tab w:val="clear" w:pos="708"/>
          <w:tab w:val="left" w:pos="3945" w:leader="none"/>
        </w:tabs>
        <w:rPr>
          <w:rFonts w:ascii="Tahoma" w:hAnsi="Tahoma" w:cs="Tahoma"/>
          <w:iCs/>
          <w:sz w:val="20"/>
          <w:szCs w:val="20"/>
          <w:lang w:val="es-ES"/>
        </w:rPr>
      </w:pPr>
      <w:r>
        <w:rPr>
          <w:rFonts w:cs="Tahoma" w:ascii="Tahoma" w:hAnsi="Tahoma"/>
          <w:iCs/>
          <w:sz w:val="20"/>
          <w:szCs w:val="20"/>
          <w:lang w:val="es-ES"/>
        </w:rPr>
        <w:t xml:space="preserve">El señor Miguel Zamora Acevedo, Jefe de la Unidad de Capacitación de la Defensa Pública  comunicó  vía correo, el día jueves 13 de febrero, lo siguiente: </w:t>
      </w:r>
    </w:p>
    <w:p>
      <w:pPr>
        <w:pStyle w:val="Normal"/>
        <w:rPr>
          <w:rFonts w:ascii="Tahoma" w:hAnsi="Tahoma" w:eastAsia="Times New Roman" w:cs="Tahoma"/>
          <w:i/>
          <w:i/>
          <w:sz w:val="20"/>
          <w:szCs w:val="20"/>
          <w:lang w:val="es-ES"/>
        </w:rPr>
      </w:pPr>
      <w:r>
        <w:rPr>
          <w:rFonts w:eastAsia="Times New Roman" w:cs="Tahoma" w:ascii="Tahoma" w:hAnsi="Tahoma"/>
          <w:b/>
          <w:bCs/>
          <w:i/>
          <w:sz w:val="20"/>
          <w:szCs w:val="20"/>
          <w:lang w:val="es-ES"/>
        </w:rPr>
        <w:t>De:</w:t>
      </w:r>
      <w:r>
        <w:rPr>
          <w:rFonts w:eastAsia="Times New Roman" w:cs="Tahoma" w:ascii="Tahoma" w:hAnsi="Tahoma"/>
          <w:i/>
          <w:sz w:val="20"/>
          <w:szCs w:val="20"/>
          <w:lang w:val="es-ES"/>
        </w:rPr>
        <w:t xml:space="preserve"> Miguel Zamora Acevedo </w:t>
        <w:br/>
      </w:r>
      <w:r>
        <w:rPr>
          <w:rFonts w:eastAsia="Times New Roman" w:cs="Tahoma" w:ascii="Tahoma" w:hAnsi="Tahoma"/>
          <w:b/>
          <w:bCs/>
          <w:i/>
          <w:sz w:val="20"/>
          <w:szCs w:val="20"/>
          <w:lang w:val="es-ES"/>
        </w:rPr>
        <w:t>Enviado el:</w:t>
      </w:r>
      <w:r>
        <w:rPr>
          <w:rFonts w:eastAsia="Times New Roman" w:cs="Tahoma" w:ascii="Tahoma" w:hAnsi="Tahoma"/>
          <w:i/>
          <w:sz w:val="20"/>
          <w:szCs w:val="20"/>
          <w:lang w:val="es-ES"/>
        </w:rPr>
        <w:t xml:space="preserve"> jueves, 13 de febrero de 2020 02:33 p.m.</w:t>
        <w:br/>
      </w:r>
      <w:r>
        <w:rPr>
          <w:rFonts w:eastAsia="Times New Roman" w:cs="Tahoma" w:ascii="Tahoma" w:hAnsi="Tahoma"/>
          <w:b/>
          <w:bCs/>
          <w:i/>
          <w:sz w:val="20"/>
          <w:szCs w:val="20"/>
          <w:lang w:val="es-ES"/>
        </w:rPr>
        <w:t>Para:</w:t>
      </w:r>
      <w:r>
        <w:rPr>
          <w:rFonts w:eastAsia="Times New Roman" w:cs="Tahoma" w:ascii="Tahoma" w:hAnsi="Tahoma"/>
          <w:i/>
          <w:sz w:val="20"/>
          <w:szCs w:val="20"/>
          <w:lang w:val="es-ES"/>
        </w:rPr>
        <w:t xml:space="preserve"> Katherine Salazar Duarte</w:t>
        <w:br/>
      </w:r>
      <w:r>
        <w:rPr>
          <w:rFonts w:eastAsia="Times New Roman" w:cs="Tahoma" w:ascii="Tahoma" w:hAnsi="Tahoma"/>
          <w:b/>
          <w:bCs/>
          <w:i/>
          <w:sz w:val="20"/>
          <w:szCs w:val="20"/>
          <w:lang w:val="es-ES"/>
        </w:rPr>
        <w:t>Asunto:</w:t>
      </w:r>
      <w:r>
        <w:rPr>
          <w:rFonts w:eastAsia="Times New Roman" w:cs="Tahoma" w:ascii="Tahoma" w:hAnsi="Tahoma"/>
          <w:i/>
          <w:sz w:val="20"/>
          <w:szCs w:val="20"/>
          <w:lang w:val="es-ES"/>
        </w:rPr>
        <w:t xml:space="preserve"> RE: Oficio CACC-23-2020 Jefaturas Unidades de Capacitación y Escuela Judicial Acuerdo Subcomisión de Acceso a la Justicia de Personas con Discapacidad 07 de enero</w:t>
      </w:r>
    </w:p>
    <w:p>
      <w:pPr>
        <w:pStyle w:val="Normal"/>
        <w:rPr>
          <w:rFonts w:ascii="Tahoma" w:hAnsi="Tahoma" w:cs="Tahoma"/>
          <w:i/>
          <w:i/>
          <w:sz w:val="20"/>
          <w:szCs w:val="20"/>
        </w:rPr>
      </w:pPr>
      <w:r>
        <w:rPr>
          <w:rFonts w:cs="Tahoma" w:ascii="Tahoma" w:hAnsi="Tahoma"/>
          <w:i/>
          <w:sz w:val="20"/>
          <w:szCs w:val="20"/>
        </w:rPr>
        <w:t xml:space="preserve">Buenas tardes, </w:t>
      </w:r>
    </w:p>
    <w:p>
      <w:pPr>
        <w:pStyle w:val="Normal"/>
        <w:rPr>
          <w:rFonts w:ascii="Tahoma" w:hAnsi="Tahoma" w:cs="Tahoma"/>
          <w:i/>
          <w:i/>
          <w:sz w:val="20"/>
          <w:szCs w:val="20"/>
        </w:rPr>
      </w:pPr>
      <w:r>
        <w:rPr>
          <w:rFonts w:cs="Tahoma" w:ascii="Tahoma" w:hAnsi="Tahoma"/>
          <w:i/>
          <w:sz w:val="20"/>
          <w:szCs w:val="20"/>
        </w:rPr>
        <w:t>Se procede a contestar oficio CACC 23-2020, el cual solicita:</w:t>
      </w:r>
    </w:p>
    <w:p>
      <w:pPr>
        <w:pStyle w:val="Normal"/>
        <w:rPr>
          <w:rFonts w:ascii="Tahoma" w:hAnsi="Tahoma" w:cs="Tahoma"/>
          <w:i/>
          <w:i/>
          <w:sz w:val="20"/>
          <w:szCs w:val="20"/>
        </w:rPr>
      </w:pPr>
      <w:r>
        <w:rPr>
          <w:rFonts w:cs="Tahoma" w:ascii="Tahoma" w:hAnsi="Tahoma"/>
          <w:i/>
          <w:sz w:val="20"/>
          <w:szCs w:val="20"/>
        </w:rPr>
        <w:t>b) solicitar a la Escuela Judicial y a las Unidades de Capacitación colaboración para la realización de al menos cuatro actividades de capacitación durante 2020 vinculadas con la temática discapacidad y en general, solicitarles remisión del Plan de Capacitación de este año relacionado con ello;</w:t>
      </w:r>
    </w:p>
    <w:p>
      <w:pPr>
        <w:pStyle w:val="Normal"/>
        <w:rPr>
          <w:rFonts w:ascii="Tahoma" w:hAnsi="Tahoma" w:cs="Tahoma"/>
          <w:i/>
          <w:i/>
          <w:sz w:val="20"/>
          <w:szCs w:val="20"/>
        </w:rPr>
      </w:pPr>
      <w:r>
        <w:rPr>
          <w:rFonts w:cs="Tahoma" w:ascii="Tahoma" w:hAnsi="Tahoma"/>
          <w:i/>
          <w:sz w:val="20"/>
          <w:szCs w:val="20"/>
        </w:rPr>
        <w:t>Se adjunta el plan de Capacitación.</w:t>
      </w:r>
    </w:p>
    <w:p>
      <w:pPr>
        <w:pStyle w:val="Normal"/>
        <w:rPr>
          <w:rFonts w:ascii="Tahoma" w:hAnsi="Tahoma" w:cs="Tahoma"/>
          <w:i/>
          <w:i/>
          <w:sz w:val="20"/>
          <w:szCs w:val="20"/>
        </w:rPr>
      </w:pPr>
      <w:r>
        <w:rPr>
          <w:rFonts w:cs="Tahoma" w:ascii="Tahoma" w:hAnsi="Tahoma"/>
          <w:i/>
          <w:sz w:val="20"/>
          <w:szCs w:val="20"/>
        </w:rPr>
        <w:t xml:space="preserve">En el plan de contempla la realización de una capacitación atinente a la temática, en concreto sobre los aspectos legales de la ley de autonomía personal de las personas con discapacidad. </w:t>
      </w:r>
    </w:p>
    <w:p>
      <w:pPr>
        <w:pStyle w:val="Normal"/>
        <w:rPr>
          <w:rFonts w:ascii="Tahoma" w:hAnsi="Tahoma" w:cs="Tahoma"/>
          <w:i/>
          <w:i/>
          <w:sz w:val="20"/>
          <w:szCs w:val="20"/>
        </w:rPr>
      </w:pPr>
      <w:r>
        <w:rPr>
          <w:rFonts w:cs="Tahoma" w:ascii="Tahoma" w:hAnsi="Tahoma"/>
          <w:i/>
          <w:sz w:val="20"/>
          <w:szCs w:val="20"/>
        </w:rPr>
        <w:t>Ahora bien,  procederemos a valorar la  inclusión de tres capacitaciones respecto a la temática.</w:t>
      </w:r>
    </w:p>
    <w:p>
      <w:pPr>
        <w:pStyle w:val="Normal"/>
        <w:rPr>
          <w:rFonts w:ascii="Tahoma" w:hAnsi="Tahoma" w:cs="Tahoma"/>
          <w:i/>
          <w:i/>
          <w:sz w:val="20"/>
          <w:szCs w:val="20"/>
        </w:rPr>
      </w:pPr>
      <w:r>
        <w:rPr>
          <w:rFonts w:cs="Tahoma" w:ascii="Tahoma" w:hAnsi="Tahoma"/>
          <w:i/>
          <w:sz w:val="20"/>
          <w:szCs w:val="20"/>
        </w:rPr>
        <w:t>Miguel Zamora Acevedo</w:t>
      </w:r>
    </w:p>
    <w:p>
      <w:pPr>
        <w:pStyle w:val="Normal"/>
        <w:rPr>
          <w:rFonts w:ascii="Tahoma" w:hAnsi="Tahoma" w:cs="Tahoma"/>
          <w:i/>
          <w:i/>
          <w:sz w:val="20"/>
          <w:szCs w:val="20"/>
        </w:rPr>
      </w:pPr>
      <w:r>
        <w:rPr>
          <w:rFonts w:cs="Tahoma" w:ascii="Tahoma" w:hAnsi="Tahoma"/>
          <w:i/>
          <w:sz w:val="20"/>
          <w:szCs w:val="20"/>
        </w:rPr>
        <w:t>Unidad de Capacitación, Defensa Pública</w:t>
      </w:r>
    </w:p>
    <w:p>
      <w:pPr>
        <w:pStyle w:val="Normal"/>
        <w:jc w:val="center"/>
        <w:rPr>
          <w:rFonts w:ascii="Tahoma" w:hAnsi="Tahoma" w:cs="Tahoma"/>
          <w:b/>
          <w:b/>
          <w:bCs/>
          <w:i/>
          <w:i/>
          <w:sz w:val="20"/>
          <w:szCs w:val="20"/>
        </w:rPr>
      </w:pPr>
      <w:r>
        <w:rPr/>
        <w:drawing>
          <wp:inline distT="0" distB="0" distL="0" distR="0">
            <wp:extent cx="971550" cy="641350"/>
            <wp:effectExtent l="0" t="0" r="0" b="0"/>
            <wp:docPr id="11" name="Objeto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jeto 1" descr=""/>
                    <pic:cNvPicPr>
                      <a:picLocks noChangeAspect="1" noChangeArrowheads="1"/>
                    </pic:cNvPicPr>
                  </pic:nvPicPr>
                  <pic:blipFill>
                    <a:blip r:embed="rId8"/>
                    <a:stretch>
                      <a:fillRect/>
                    </a:stretch>
                  </pic:blipFill>
                  <pic:spPr bwMode="auto">
                    <a:xfrm>
                      <a:off x="0" y="0"/>
                      <a:ext cx="971550" cy="641350"/>
                    </a:xfrm>
                    <a:prstGeom prst="rect">
                      <a:avLst/>
                    </a:prstGeom>
                  </pic:spPr>
                </pic:pic>
              </a:graphicData>
            </a:graphic>
          </wp:inline>
        </w:drawing>
      </w:r>
    </w:p>
    <w:p>
      <w:pPr>
        <w:pStyle w:val="Normal"/>
        <w:jc w:val="both"/>
        <w:rPr>
          <w:rFonts w:ascii="Tahoma" w:hAnsi="Tahoma" w:cs="Tahoma"/>
          <w:b/>
          <w:b/>
          <w:i/>
          <w:i/>
          <w:sz w:val="20"/>
          <w:szCs w:val="20"/>
          <w:u w:val="single"/>
          <w:lang w:val="es-ES"/>
        </w:rPr>
      </w:pPr>
      <w:r>
        <w:rPr>
          <w:rFonts w:cs="Tahoma" w:ascii="Tahoma" w:hAnsi="Tahoma"/>
          <w:b/>
          <w:i/>
          <w:sz w:val="20"/>
          <w:szCs w:val="20"/>
          <w:u w:val="single"/>
          <w:lang w:val="es-ES"/>
        </w:rPr>
      </w:r>
    </w:p>
    <w:p>
      <w:pPr>
        <w:pStyle w:val="Normal"/>
        <w:jc w:val="both"/>
        <w:rPr>
          <w:rFonts w:ascii="Tahoma" w:hAnsi="Tahoma" w:cs="Tahoma"/>
          <w:bCs/>
          <w:iCs/>
          <w:sz w:val="20"/>
          <w:szCs w:val="20"/>
          <w:lang w:val="es-ES"/>
        </w:rPr>
      </w:pPr>
      <w:r>
        <w:rPr>
          <w:rFonts w:cs="Tahoma" w:ascii="Tahoma" w:hAnsi="Tahoma"/>
          <w:b/>
          <w:iCs/>
          <w:sz w:val="20"/>
          <w:szCs w:val="20"/>
          <w:u w:val="single"/>
          <w:lang w:val="es-ES"/>
        </w:rPr>
        <w:t>SE ACUERDA</w:t>
      </w:r>
      <w:r>
        <w:rPr>
          <w:rFonts w:cs="Tahoma" w:ascii="Tahoma" w:hAnsi="Tahoma"/>
          <w:b/>
          <w:iCs/>
          <w:sz w:val="20"/>
          <w:szCs w:val="20"/>
          <w:lang w:val="es-ES"/>
        </w:rPr>
        <w:t xml:space="preserve">:  </w:t>
      </w:r>
      <w:r>
        <w:rPr>
          <w:rFonts w:cs="Tahoma" w:ascii="Tahoma" w:hAnsi="Tahoma"/>
          <w:bCs/>
          <w:iCs/>
          <w:sz w:val="20"/>
          <w:szCs w:val="20"/>
        </w:rPr>
        <w:t xml:space="preserve">Se toma nota de los Oficios ED-DIR-049-2020 y N° DP-2020, remitidos por la Escuela Judicial y la Unidad de Capacitación de la Defensa Pública respectivamente, sobre el Plan de Capacitación en la temática Discapacidad; y hacerlo de conocimiento de la Comisión de Acceso a la Justicia junto con los Oficios </w:t>
      </w:r>
      <w:r>
        <w:rPr>
          <w:rFonts w:cs="Tahoma" w:ascii="Tahoma" w:hAnsi="Tahoma"/>
          <w:bCs/>
          <w:iCs/>
          <w:sz w:val="20"/>
          <w:szCs w:val="20"/>
          <w:lang w:val="es-ES"/>
        </w:rPr>
        <w:t xml:space="preserve">N° </w:t>
      </w:r>
      <w:r>
        <w:rPr>
          <w:rFonts w:cs="Tahoma" w:ascii="Tahoma" w:hAnsi="Tahoma"/>
          <w:bCs/>
          <w:iCs/>
          <w:sz w:val="20"/>
          <w:szCs w:val="20"/>
        </w:rPr>
        <w:t xml:space="preserve">UCS-013-MP-2020 de 23 de enero de 2020 de la </w:t>
      </w:r>
      <w:r>
        <w:rPr>
          <w:rFonts w:cs="Tahoma" w:ascii="Tahoma" w:hAnsi="Tahoma"/>
          <w:bCs/>
          <w:iCs/>
          <w:sz w:val="20"/>
          <w:szCs w:val="20"/>
          <w:lang w:val="es-ES"/>
        </w:rPr>
        <w:t xml:space="preserve">Unidad de Capacitación del Ministerio Público; </w:t>
      </w:r>
      <w:r>
        <w:rPr>
          <w:rFonts w:cs="Tahoma" w:ascii="Tahoma" w:hAnsi="Tahoma"/>
          <w:bCs/>
          <w:iCs/>
          <w:sz w:val="20"/>
          <w:szCs w:val="20"/>
        </w:rPr>
        <w:t xml:space="preserve">Nº PJ-DGH-CAP-17-2020 de 23 de enero de 2020 del </w:t>
      </w:r>
      <w:r>
        <w:rPr>
          <w:rFonts w:cs="Tahoma" w:ascii="Tahoma" w:hAnsi="Tahoma"/>
          <w:bCs/>
          <w:iCs/>
          <w:sz w:val="20"/>
          <w:szCs w:val="20"/>
          <w:lang w:val="es-ES"/>
        </w:rPr>
        <w:t xml:space="preserve">Subproceso  </w:t>
      </w:r>
      <w:r>
        <w:rPr>
          <w:rFonts w:cs="Tahoma" w:ascii="Tahoma" w:hAnsi="Tahoma"/>
          <w:bCs/>
          <w:iCs/>
          <w:sz w:val="20"/>
          <w:szCs w:val="20"/>
        </w:rPr>
        <w:t xml:space="preserve">de Gestión de la Capacitación de la Dirección de Gestión Humana; N° EJ-CAP-OIJ-065-2020 de 12 de febrero de 2020 de la </w:t>
      </w:r>
      <w:r>
        <w:rPr>
          <w:rFonts w:cs="Tahoma" w:ascii="Tahoma" w:hAnsi="Tahoma"/>
          <w:bCs/>
          <w:iCs/>
          <w:sz w:val="20"/>
          <w:szCs w:val="20"/>
          <w:lang w:val="es-ES"/>
        </w:rPr>
        <w:t xml:space="preserve">Unidad de Capacitación del Organismo de Investigación Judicial; N° </w:t>
      </w:r>
      <w:r>
        <w:rPr>
          <w:rFonts w:cs="Tahoma" w:ascii="Tahoma" w:hAnsi="Tahoma"/>
          <w:bCs/>
          <w:iCs/>
          <w:sz w:val="20"/>
          <w:szCs w:val="20"/>
        </w:rPr>
        <w:t xml:space="preserve">EJ-CAP-OIJ-065-2020 de 12 de febrero de 2020 enviado por la Dirección de la Escuela Judicial; y el comunicado electrónico enviado por el señor </w:t>
      </w:r>
      <w:r>
        <w:rPr>
          <w:rFonts w:cs="Tahoma" w:ascii="Tahoma" w:hAnsi="Tahoma"/>
          <w:bCs/>
          <w:iCs/>
          <w:sz w:val="20"/>
          <w:szCs w:val="20"/>
          <w:lang w:val="es-ES"/>
        </w:rPr>
        <w:t xml:space="preserve">Miguel Zamora Acevedo, Jefe de la Unidad de Capacitación de la Defensa Pública el 13 de febrero de 2020, en los que se informa sobre el Plan de Capacitación de esas Unidades de Capacitación, en seguimiento del acuerdo tomado por la Subcomisión de Acceso a la Justicia de Personas con Discapacidad que consta en Acta 01-20, Artículo III, </w:t>
      </w:r>
      <w:r>
        <w:rPr>
          <w:rFonts w:cs="Tahoma" w:ascii="Tahoma" w:hAnsi="Tahoma"/>
          <w:bCs/>
          <w:iCs/>
          <w:sz w:val="20"/>
          <w:szCs w:val="20"/>
        </w:rPr>
        <w:t>para la realización de al menos cuatro actividades de capacitación durante 2020 vinculadas con la temática discapacidad. Lo anterior, para acreditar el cumplimiento por parte de esta Subcomisión del PAO de la Comisión de Acceso a la Justicia en lo vinculado con capacitación asociada a Discapacidad. Comunicar este acuerdo a la citada Comisión y a las Direcciones del Ministerio Público, Organismo de Investigación Judicial, Defensa Pública, Escuela Judicial y Gestión Humana por medio de la Unidad de Acceso a la Justicia, para su conocimiento. Se declara firme este acuerdo por unanimidad. -</w:t>
      </w:r>
    </w:p>
    <w:p>
      <w:pPr>
        <w:pStyle w:val="Normal"/>
        <w:tabs>
          <w:tab w:val="clear" w:pos="708"/>
          <w:tab w:val="left" w:pos="1875" w:leader="none"/>
        </w:tabs>
        <w:rPr>
          <w:rFonts w:ascii="Tahoma" w:hAnsi="Tahoma" w:cs="Tahoma"/>
          <w:b/>
          <w:b/>
          <w:sz w:val="20"/>
          <w:szCs w:val="20"/>
        </w:rPr>
      </w:pPr>
      <w:r>
        <w:rPr>
          <w:rFonts w:cs="Tahoma" w:ascii="Tahoma" w:hAnsi="Tahoma"/>
          <w:b/>
          <w:sz w:val="20"/>
          <w:szCs w:val="20"/>
        </w:rPr>
      </w:r>
    </w:p>
    <w:p>
      <w:pPr>
        <w:pStyle w:val="Normal"/>
        <w:tabs>
          <w:tab w:val="clear" w:pos="708"/>
          <w:tab w:val="left" w:pos="1875" w:leader="none"/>
        </w:tabs>
        <w:jc w:val="center"/>
        <w:rPr>
          <w:rFonts w:ascii="Tahoma" w:hAnsi="Tahoma" w:cs="Tahoma"/>
          <w:b/>
          <w:b/>
          <w:sz w:val="20"/>
          <w:szCs w:val="20"/>
        </w:rPr>
      </w:pPr>
      <w:r>
        <w:rPr>
          <w:rFonts w:cs="Tahoma" w:ascii="Tahoma" w:hAnsi="Tahoma"/>
          <w:b/>
          <w:sz w:val="20"/>
          <w:szCs w:val="20"/>
          <w:highlight w:val="green"/>
        </w:rPr>
        <w:t>ARTICULO II</w:t>
      </w:r>
    </w:p>
    <w:p>
      <w:pPr>
        <w:pStyle w:val="Normal"/>
        <w:tabs>
          <w:tab w:val="clear" w:pos="708"/>
          <w:tab w:val="left" w:pos="1875" w:leader="none"/>
        </w:tabs>
        <w:jc w:val="both"/>
        <w:rPr>
          <w:rFonts w:ascii="Tahoma" w:hAnsi="Tahoma" w:cs="Tahoma"/>
          <w:sz w:val="20"/>
          <w:szCs w:val="20"/>
          <w:lang w:val="es-ES"/>
        </w:rPr>
      </w:pPr>
      <w:r>
        <w:rPr>
          <w:rFonts w:cs="Tahoma" w:ascii="Tahoma" w:hAnsi="Tahoma"/>
          <w:bCs/>
          <w:sz w:val="20"/>
          <w:szCs w:val="20"/>
        </w:rPr>
        <w:t xml:space="preserve">En Oficio N° DVV-S1-0052-2020 de 13 de abril de 2020 se hizo de conocimiento de la Presidencia de la Corte Suprema de Justicia y de la Comisión de Emergencias del Poder Judicial, mediante comunicado electrónico del 13 de abril pasado, la </w:t>
      </w:r>
      <w:r>
        <w:rPr>
          <w:rFonts w:cs="Tahoma" w:ascii="Tahoma" w:hAnsi="Tahoma"/>
          <w:sz w:val="20"/>
          <w:szCs w:val="20"/>
          <w:lang w:val="es-ES"/>
        </w:rPr>
        <w:t xml:space="preserve">resolución N° 01-2020 de 10 de abril de 2020, dictada por la Comisión Interamericana de Derechos Humanos, denominada </w:t>
      </w:r>
      <w:r>
        <w:rPr>
          <w:rFonts w:cs="Tahoma" w:ascii="Tahoma" w:hAnsi="Tahoma"/>
          <w:i/>
          <w:iCs/>
          <w:sz w:val="20"/>
          <w:szCs w:val="20"/>
          <w:lang w:val="es-ES"/>
        </w:rPr>
        <w:t>“Pandemia y derechos humanos de las Américas”, para la atención de personas con discapacidad”</w:t>
      </w:r>
      <w:r>
        <w:rPr>
          <w:rFonts w:cs="Tahoma" w:ascii="Tahoma" w:hAnsi="Tahoma"/>
          <w:sz w:val="20"/>
          <w:szCs w:val="20"/>
          <w:lang w:val="es-ES"/>
        </w:rPr>
        <w:t xml:space="preserve">. El oficio se remitió con copia a la Contraloría de Servicios del Poder Judicial y ese mismo día se comunicó la gestión realizada a las y los integrantes de la Subcomisión. </w:t>
      </w:r>
    </w:p>
    <w:p>
      <w:pPr>
        <w:pStyle w:val="Normal"/>
        <w:tabs>
          <w:tab w:val="clear" w:pos="708"/>
          <w:tab w:val="left" w:pos="1875" w:leader="none"/>
        </w:tabs>
        <w:jc w:val="both"/>
        <w:rPr>
          <w:rFonts w:ascii="Tahoma" w:hAnsi="Tahoma" w:cs="Tahoma"/>
          <w:bCs/>
          <w:sz w:val="20"/>
          <w:szCs w:val="20"/>
        </w:rPr>
      </w:pPr>
      <w:r>
        <w:rPr>
          <w:rFonts w:cs="Tahoma" w:ascii="Tahoma" w:hAnsi="Tahoma"/>
          <w:sz w:val="20"/>
          <w:szCs w:val="20"/>
          <w:lang w:val="es-ES"/>
        </w:rPr>
        <w:t>El oficio literalmente señala:</w:t>
      </w:r>
    </w:p>
    <w:p>
      <w:pPr>
        <w:pStyle w:val="Normal"/>
        <w:ind w:left="708" w:hanging="0"/>
        <w:jc w:val="both"/>
        <w:rPr>
          <w:rFonts w:ascii="Tahoma" w:hAnsi="Tahoma" w:cs="Tahoma"/>
          <w:i/>
          <w:i/>
          <w:iCs/>
          <w:sz w:val="20"/>
          <w:szCs w:val="20"/>
          <w:lang w:val="es-ES"/>
        </w:rPr>
      </w:pPr>
      <w:r>
        <w:rPr>
          <w:rFonts w:cs="Tahoma" w:ascii="Tahoma" w:hAnsi="Tahoma"/>
          <w:i/>
          <w:iCs/>
          <w:sz w:val="20"/>
          <w:szCs w:val="20"/>
          <w:lang w:val="es-ES"/>
        </w:rPr>
        <w:t>“</w:t>
      </w:r>
      <w:r>
        <w:rPr>
          <w:rFonts w:cs="Tahoma" w:ascii="Tahoma" w:hAnsi="Tahoma"/>
          <w:i/>
          <w:iCs/>
          <w:sz w:val="20"/>
          <w:szCs w:val="20"/>
          <w:lang w:val="es-ES"/>
        </w:rPr>
        <w:t xml:space="preserve">Reciban un atento saludo. A la vez, en mi condición de Coordinadora de la Subcomisión de Acceso a la Justicia de Personas con Discapacidad, en cumplimiento de la resolución N° 01-2020 dictada el 10 de abril de 2020 por la Comisión Interamericana de Derechos Humanos, denominada “Pandemia y derechos humanos de las Américas”, se les insta para que comuniquen a las personas servidoras judiciales el contenido de dicha resolución a fin de que, en lo que respecta  a las personas con discapacidad, se adopten </w:t>
      </w:r>
      <w:r>
        <w:rPr>
          <w:rFonts w:cs="Tahoma" w:ascii="Tahoma" w:hAnsi="Tahoma"/>
          <w:i/>
          <w:iCs/>
          <w:sz w:val="20"/>
          <w:szCs w:val="20"/>
          <w:lang w:eastAsia="es-CR"/>
        </w:rPr>
        <w:t xml:space="preserve">los ajustes razonables y apoyos necesarios para garantizarles el ejercicio de sus derechos humanos en condiciones de igualdad en contextos de medidas de aislamiento o contención; y, adoptar estrategias accesibles de comunicación. </w:t>
      </w:r>
      <w:r>
        <w:rPr>
          <w:rFonts w:cs="Tahoma" w:ascii="Tahoma" w:hAnsi="Tahoma"/>
          <w:i/>
          <w:iCs/>
          <w:color w:val="000000"/>
          <w:sz w:val="20"/>
          <w:szCs w:val="20"/>
          <w:lang w:eastAsia="es-CR"/>
        </w:rPr>
        <w:t>Lo anterior, en el marco de las competencias del Poder Judicial.</w:t>
      </w:r>
    </w:p>
    <w:p>
      <w:pPr>
        <w:pStyle w:val="Normal"/>
        <w:ind w:left="708" w:hanging="0"/>
        <w:jc w:val="both"/>
        <w:rPr>
          <w:rFonts w:ascii="Tahoma" w:hAnsi="Tahoma" w:cs="Tahoma"/>
          <w:i/>
          <w:i/>
          <w:iCs/>
          <w:sz w:val="20"/>
          <w:szCs w:val="20"/>
          <w:lang w:val="es-ES"/>
        </w:rPr>
      </w:pPr>
      <w:r>
        <w:rPr>
          <w:rFonts w:cs="Tahoma" w:ascii="Tahoma" w:hAnsi="Tahoma"/>
          <w:i/>
          <w:iCs/>
          <w:sz w:val="20"/>
          <w:szCs w:val="20"/>
          <w:lang w:val="es-ES"/>
        </w:rPr>
        <w:t>Se anexa contenido literal de la resolución, la cual, en lo de interés, señala:</w:t>
      </w:r>
    </w:p>
    <w:p>
      <w:pPr>
        <w:pStyle w:val="Normal"/>
        <w:ind w:left="1416" w:hanging="0"/>
        <w:jc w:val="both"/>
        <w:rPr>
          <w:rFonts w:ascii="Tahoma" w:hAnsi="Tahoma" w:cs="Tahoma"/>
          <w:i/>
          <w:i/>
          <w:iCs/>
          <w:color w:val="000000"/>
          <w:sz w:val="20"/>
          <w:szCs w:val="20"/>
          <w:lang w:eastAsia="es-CR"/>
        </w:rPr>
      </w:pPr>
      <w:r>
        <w:rPr>
          <w:rFonts w:cs="Tahoma" w:ascii="Tahoma" w:hAnsi="Tahoma"/>
          <w:i/>
          <w:iCs/>
          <w:sz w:val="20"/>
          <w:szCs w:val="20"/>
          <w:lang w:val="es-ES"/>
        </w:rPr>
        <w:t>“</w:t>
      </w:r>
      <w:r>
        <w:rPr>
          <w:rFonts w:cs="Tahoma" w:ascii="Tahoma" w:hAnsi="Tahoma"/>
          <w:b/>
          <w:bCs/>
          <w:i/>
          <w:iCs/>
          <w:color w:val="000000"/>
          <w:sz w:val="20"/>
          <w:szCs w:val="20"/>
          <w:lang w:eastAsia="es-CR"/>
        </w:rPr>
        <w:t xml:space="preserve">C. PARTE RESOLUTIVA: </w:t>
      </w:r>
      <w:r>
        <w:rPr>
          <w:rFonts w:cs="Tahoma" w:ascii="Tahoma" w:hAnsi="Tahoma"/>
          <w:i/>
          <w:iCs/>
          <w:color w:val="000000"/>
          <w:sz w:val="20"/>
          <w:szCs w:val="20"/>
          <w:lang w:eastAsia="es-CR"/>
        </w:rPr>
        <w:t>En virtud de lo anterior, en ejercicio de las funciones que le son conferidas por el artículo 106 de la Carta de la Organización de los Estados Americanos y en aplicación del artículo 41.b de la Convención Americana sobre Derechos Humanos y el artículo 18.b de su Estatuto, la Comisión Interamericana sobre Derechos Humanos formula las siguientes recomendaciones a los gobiernos de los Estados miembros: …</w:t>
      </w:r>
    </w:p>
    <w:p>
      <w:pPr>
        <w:pStyle w:val="Normal"/>
        <w:ind w:left="1416" w:hanging="0"/>
        <w:rPr>
          <w:rFonts w:ascii="Tahoma" w:hAnsi="Tahoma" w:cs="Tahoma"/>
          <w:b/>
          <w:b/>
          <w:bCs/>
          <w:i/>
          <w:i/>
          <w:iCs/>
          <w:color w:val="000000"/>
          <w:sz w:val="20"/>
          <w:szCs w:val="20"/>
          <w:lang w:eastAsia="es-CR"/>
        </w:rPr>
      </w:pPr>
      <w:r>
        <w:rPr>
          <w:rFonts w:cs="Tahoma" w:ascii="Tahoma" w:hAnsi="Tahoma"/>
          <w:b/>
          <w:bCs/>
          <w:i/>
          <w:iCs/>
          <w:color w:val="000000"/>
          <w:sz w:val="20"/>
          <w:szCs w:val="20"/>
          <w:lang w:eastAsia="es-CR"/>
        </w:rPr>
        <w:t>Grupos en especial situación de vulnerabilidad</w:t>
      </w:r>
    </w:p>
    <w:p>
      <w:pPr>
        <w:pStyle w:val="Normal"/>
        <w:ind w:left="1416" w:hanging="0"/>
        <w:jc w:val="both"/>
        <w:rPr>
          <w:rFonts w:ascii="Tahoma" w:hAnsi="Tahoma" w:cs="Tahoma"/>
          <w:i/>
          <w:i/>
          <w:iCs/>
          <w:color w:val="000000"/>
          <w:sz w:val="20"/>
          <w:szCs w:val="20"/>
          <w:lang w:eastAsia="es-CR"/>
        </w:rPr>
      </w:pPr>
      <w:r>
        <w:rPr>
          <w:rFonts w:cs="Tahoma" w:ascii="Tahoma" w:hAnsi="Tahoma"/>
          <w:i/>
          <w:iCs/>
          <w:color w:val="000000"/>
          <w:sz w:val="20"/>
          <w:szCs w:val="20"/>
          <w:lang w:eastAsia="es-CR"/>
        </w:rPr>
        <w:t>39. Considerar los enfoques diferenciados requeridos al momento de adoptar las medidas necesarias para garantizar los derechos de los grupos en situación de especial vulnerabilidad al momento de adoptar medidas de atención, tratamiento y contención de la pandemia del COVID-19; así como para mitigar los impactos diferenciados que dichas medidas puedan generar.</w:t>
      </w:r>
    </w:p>
    <w:p>
      <w:pPr>
        <w:pStyle w:val="Normal"/>
        <w:ind w:left="1416" w:hanging="0"/>
        <w:jc w:val="both"/>
        <w:rPr>
          <w:rFonts w:ascii="Tahoma" w:hAnsi="Tahoma" w:cs="Tahoma"/>
          <w:b/>
          <w:b/>
          <w:bCs/>
          <w:i/>
          <w:i/>
          <w:iCs/>
          <w:color w:val="000000"/>
          <w:sz w:val="20"/>
          <w:szCs w:val="20"/>
          <w:lang w:eastAsia="es-CR"/>
        </w:rPr>
      </w:pPr>
      <w:r>
        <w:rPr>
          <w:rFonts w:cs="Tahoma" w:ascii="Tahoma" w:hAnsi="Tahoma"/>
          <w:i/>
          <w:iCs/>
          <w:color w:val="000000"/>
          <w:sz w:val="20"/>
          <w:szCs w:val="20"/>
          <w:lang w:eastAsia="es-CR"/>
        </w:rPr>
        <w:t xml:space="preserve">40. Promover desde las más altas autoridades la eliminación de estigmas y estereotipos negativos que puedan surgir sobre ciertos grupos de personas a partir del contexto de pandemia. </w:t>
      </w:r>
      <w:r>
        <w:rPr>
          <w:rFonts w:cs="Tahoma" w:ascii="Tahoma" w:hAnsi="Tahoma"/>
          <w:b/>
          <w:bCs/>
          <w:i/>
          <w:iCs/>
          <w:color w:val="000000"/>
          <w:sz w:val="20"/>
          <w:szCs w:val="20"/>
          <w:lang w:eastAsia="es-CR"/>
        </w:rPr>
        <w:t>…</w:t>
      </w:r>
    </w:p>
    <w:p>
      <w:pPr>
        <w:pStyle w:val="Normal"/>
        <w:ind w:left="1416" w:hanging="0"/>
        <w:jc w:val="both"/>
        <w:rPr>
          <w:rFonts w:ascii="Tahoma" w:hAnsi="Tahoma" w:cs="Tahoma"/>
          <w:b/>
          <w:b/>
          <w:bCs/>
          <w:i/>
          <w:i/>
          <w:iCs/>
          <w:sz w:val="20"/>
          <w:szCs w:val="20"/>
          <w:lang w:eastAsia="es-CR"/>
        </w:rPr>
      </w:pPr>
      <w:r>
        <w:rPr>
          <w:rFonts w:cs="Tahoma" w:ascii="Tahoma" w:hAnsi="Tahoma"/>
          <w:b/>
          <w:bCs/>
          <w:i/>
          <w:iCs/>
          <w:sz w:val="20"/>
          <w:szCs w:val="20"/>
          <w:lang w:eastAsia="es-CR"/>
        </w:rPr>
        <w:t>Personas con discapacidad</w:t>
      </w:r>
    </w:p>
    <w:p>
      <w:pPr>
        <w:pStyle w:val="Normal"/>
        <w:ind w:left="1416" w:hanging="0"/>
        <w:jc w:val="both"/>
        <w:rPr>
          <w:rFonts w:ascii="Tahoma" w:hAnsi="Tahoma" w:cs="Tahoma"/>
          <w:i/>
          <w:i/>
          <w:iCs/>
          <w:sz w:val="20"/>
          <w:szCs w:val="20"/>
          <w:lang w:eastAsia="es-CR"/>
        </w:rPr>
      </w:pPr>
      <w:r>
        <w:rPr>
          <w:rFonts w:cs="Tahoma" w:ascii="Tahoma" w:hAnsi="Tahoma"/>
          <w:i/>
          <w:iCs/>
          <w:sz w:val="20"/>
          <w:szCs w:val="20"/>
          <w:lang w:eastAsia="es-CR"/>
        </w:rPr>
        <w:t>76. Asegurar atención médica preferencial a las personas con discapacidad, sin discriminación, incluso en casos de razonamientos de recursos médicos.</w:t>
      </w:r>
    </w:p>
    <w:p>
      <w:pPr>
        <w:pStyle w:val="Normal"/>
        <w:ind w:left="1416" w:hanging="0"/>
        <w:jc w:val="both"/>
        <w:rPr>
          <w:rFonts w:ascii="Tahoma" w:hAnsi="Tahoma" w:cs="Tahoma"/>
          <w:i/>
          <w:i/>
          <w:iCs/>
          <w:sz w:val="20"/>
          <w:szCs w:val="20"/>
          <w:lang w:eastAsia="es-CR"/>
        </w:rPr>
      </w:pPr>
      <w:r>
        <w:rPr>
          <w:rFonts w:cs="Tahoma" w:ascii="Tahoma" w:hAnsi="Tahoma"/>
          <w:i/>
          <w:iCs/>
          <w:sz w:val="20"/>
          <w:szCs w:val="20"/>
          <w:lang w:eastAsia="es-CR"/>
        </w:rPr>
        <w:t>77. Asegurar la participación de personas con discapacidad en el diseño, implementación y monitoreo de las medidas adoptadas frente a la pandemia del COVID-19.</w:t>
      </w:r>
    </w:p>
    <w:p>
      <w:pPr>
        <w:pStyle w:val="Normal"/>
        <w:ind w:left="1416" w:hanging="0"/>
        <w:jc w:val="both"/>
        <w:rPr>
          <w:rFonts w:ascii="Tahoma" w:hAnsi="Tahoma" w:cs="Tahoma"/>
          <w:i/>
          <w:i/>
          <w:iCs/>
          <w:sz w:val="20"/>
          <w:szCs w:val="20"/>
          <w:lang w:eastAsia="es-CR"/>
        </w:rPr>
      </w:pPr>
      <w:r>
        <w:rPr>
          <w:rFonts w:cs="Tahoma" w:ascii="Tahoma" w:hAnsi="Tahoma"/>
          <w:i/>
          <w:iCs/>
          <w:sz w:val="20"/>
          <w:szCs w:val="20"/>
          <w:lang w:eastAsia="es-CR"/>
        </w:rPr>
        <w:t>78. Ajustar los entornos físicos de privación de la libertad y atención médica, tanto en instituciones públicas como en privadas, para que las personas con discapacidad puedan gozar de la mayor independencia posible y acceder a medidas como el aislamiento social y el lavado frecuente de manos, entre otras.</w:t>
      </w:r>
    </w:p>
    <w:p>
      <w:pPr>
        <w:pStyle w:val="Normal"/>
        <w:ind w:left="1416" w:hanging="0"/>
        <w:jc w:val="both"/>
        <w:rPr>
          <w:rFonts w:ascii="Tahoma" w:hAnsi="Tahoma" w:cs="Tahoma"/>
          <w:i/>
          <w:i/>
          <w:iCs/>
          <w:sz w:val="20"/>
          <w:szCs w:val="20"/>
          <w:lang w:eastAsia="es-CR"/>
        </w:rPr>
      </w:pPr>
      <w:r>
        <w:rPr>
          <w:rFonts w:cs="Tahoma" w:ascii="Tahoma" w:hAnsi="Tahoma"/>
          <w:i/>
          <w:iCs/>
          <w:sz w:val="20"/>
          <w:szCs w:val="20"/>
          <w:lang w:eastAsia="es-CR"/>
        </w:rPr>
        <w:t>79. Adoptar los ajustes razonables y apoyos necesarios para garantizar que las personas con discapacidad puedan ejercer sus derechos humanos en condiciones de igualdad en contextos de medidas de aislamiento o contención.</w:t>
      </w:r>
    </w:p>
    <w:p>
      <w:pPr>
        <w:pStyle w:val="Normal"/>
        <w:ind w:left="1416" w:hanging="0"/>
        <w:jc w:val="both"/>
        <w:rPr>
          <w:rFonts w:ascii="Tahoma" w:hAnsi="Tahoma" w:cs="Tahoma"/>
          <w:i/>
          <w:i/>
          <w:iCs/>
          <w:color w:val="000000"/>
          <w:sz w:val="20"/>
          <w:szCs w:val="20"/>
          <w:lang w:eastAsia="es-CR"/>
        </w:rPr>
      </w:pPr>
      <w:r>
        <w:rPr>
          <w:rFonts w:cs="Tahoma" w:ascii="Tahoma" w:hAnsi="Tahoma"/>
          <w:i/>
          <w:iCs/>
          <w:sz w:val="20"/>
          <w:szCs w:val="20"/>
          <w:lang w:eastAsia="es-CR"/>
        </w:rPr>
        <w:t>80. Adoptar estrategias accesibles de comunicación a fin de informar en formatos accesibles sobre evolución, prevención y tratamiento.”</w:t>
      </w:r>
      <w:bookmarkStart w:id="2" w:name="_Hlk35846983"/>
      <w:bookmarkStart w:id="3" w:name="_Hlk33692223"/>
      <w:bookmarkStart w:id="4" w:name="_MailOriginal"/>
      <w:bookmarkEnd w:id="2"/>
      <w:bookmarkEnd w:id="3"/>
      <w:bookmarkEnd w:id="4"/>
    </w:p>
    <w:p>
      <w:pPr>
        <w:pStyle w:val="Normal"/>
        <w:jc w:val="both"/>
        <w:rPr>
          <w:rFonts w:ascii="Tahoma" w:hAnsi="Tahoma" w:cs="Tahoma"/>
          <w:sz w:val="20"/>
          <w:szCs w:val="20"/>
        </w:rPr>
      </w:pPr>
      <w:r>
        <w:rPr>
          <w:rFonts w:cs="Tahoma" w:ascii="Tahoma" w:hAnsi="Tahoma"/>
          <w:sz w:val="20"/>
          <w:szCs w:val="20"/>
        </w:rPr>
        <w:t>Se informa que está pendiente la respuesta a dicha gestión.</w:t>
      </w:r>
    </w:p>
    <w:p>
      <w:pPr>
        <w:pStyle w:val="Normal"/>
        <w:tabs>
          <w:tab w:val="clear" w:pos="708"/>
          <w:tab w:val="left" w:pos="1875" w:leader="none"/>
        </w:tabs>
        <w:jc w:val="both"/>
        <w:rPr>
          <w:rFonts w:ascii="Tahoma" w:hAnsi="Tahoma" w:cs="Tahoma"/>
          <w:bCs/>
          <w:sz w:val="20"/>
          <w:szCs w:val="20"/>
        </w:rPr>
      </w:pPr>
      <w:r>
        <w:rPr>
          <w:rFonts w:cs="Tahoma" w:ascii="Tahoma" w:hAnsi="Tahoma"/>
          <w:b/>
          <w:sz w:val="20"/>
          <w:szCs w:val="20"/>
        </w:rPr>
        <w:t xml:space="preserve">SE ACUERDA: </w:t>
      </w:r>
      <w:r>
        <w:rPr>
          <w:rFonts w:cs="Tahoma" w:ascii="Tahoma" w:hAnsi="Tahoma"/>
          <w:bCs/>
          <w:sz w:val="20"/>
          <w:szCs w:val="20"/>
        </w:rPr>
        <w:t xml:space="preserve">Se toma nota del Oficio N° DVV-S1-0052-2020 de 13 de abril de 2020 enviado a la Presidencia de la Corte Suprema de Justicia y de la Comisión de Emergencias del Poder Judicial, mediante comunicado electrónico del 13 de abril pasado, comunicando la </w:t>
      </w:r>
      <w:r>
        <w:rPr>
          <w:rFonts w:cs="Tahoma" w:ascii="Tahoma" w:hAnsi="Tahoma"/>
          <w:sz w:val="20"/>
          <w:szCs w:val="20"/>
          <w:lang w:val="es-ES"/>
        </w:rPr>
        <w:t xml:space="preserve">resolución N° 01-2020 de 10 de abril de 2020, dictada por la Comisión Interamericana de Derechos Humanos, denominada </w:t>
      </w:r>
      <w:r>
        <w:rPr>
          <w:rFonts w:cs="Tahoma" w:ascii="Tahoma" w:hAnsi="Tahoma"/>
          <w:i/>
          <w:iCs/>
          <w:sz w:val="20"/>
          <w:szCs w:val="20"/>
          <w:lang w:val="es-ES"/>
        </w:rPr>
        <w:t>“Pandemia y derechos humanos de las Américas”, para la atención de personas con discapacidad”</w:t>
      </w:r>
      <w:r>
        <w:rPr>
          <w:rFonts w:cs="Tahoma" w:ascii="Tahoma" w:hAnsi="Tahoma"/>
          <w:sz w:val="20"/>
          <w:szCs w:val="20"/>
          <w:lang w:val="es-ES"/>
        </w:rPr>
        <w:t>. Estar a la espera de lo que se resuelva.</w:t>
      </w:r>
    </w:p>
    <w:p>
      <w:pPr>
        <w:pStyle w:val="Normal"/>
        <w:tabs>
          <w:tab w:val="clear" w:pos="708"/>
          <w:tab w:val="left" w:pos="1875" w:leader="none"/>
        </w:tabs>
        <w:rPr>
          <w:rFonts w:ascii="Tahoma" w:hAnsi="Tahoma" w:cs="Tahoma"/>
          <w:b/>
          <w:b/>
          <w:sz w:val="20"/>
          <w:szCs w:val="20"/>
        </w:rPr>
      </w:pPr>
      <w:r>
        <w:rPr>
          <w:rFonts w:cs="Tahoma" w:ascii="Tahoma" w:hAnsi="Tahoma"/>
          <w:b/>
          <w:sz w:val="20"/>
          <w:szCs w:val="20"/>
        </w:rPr>
      </w:r>
    </w:p>
    <w:p>
      <w:pPr>
        <w:pStyle w:val="Normal"/>
        <w:tabs>
          <w:tab w:val="clear" w:pos="708"/>
          <w:tab w:val="left" w:pos="1875" w:leader="none"/>
        </w:tabs>
        <w:jc w:val="center"/>
        <w:rPr>
          <w:rFonts w:ascii="Tahoma" w:hAnsi="Tahoma" w:cs="Tahoma"/>
          <w:b/>
          <w:b/>
          <w:sz w:val="20"/>
          <w:szCs w:val="20"/>
        </w:rPr>
      </w:pPr>
      <w:r>
        <w:rPr>
          <w:rFonts w:cs="Tahoma" w:ascii="Tahoma" w:hAnsi="Tahoma"/>
          <w:b/>
          <w:sz w:val="20"/>
          <w:szCs w:val="20"/>
          <w:highlight w:val="green"/>
        </w:rPr>
        <w:t>ARTICULO III</w:t>
      </w:r>
    </w:p>
    <w:p>
      <w:pPr>
        <w:pStyle w:val="Normal"/>
        <w:jc w:val="both"/>
        <w:rPr>
          <w:rFonts w:ascii="Tahoma" w:hAnsi="Tahoma" w:cs="Tahoma"/>
          <w:bCs/>
          <w:sz w:val="20"/>
          <w:szCs w:val="20"/>
        </w:rPr>
      </w:pPr>
      <w:r>
        <w:rPr>
          <w:rFonts w:cs="Tahoma" w:ascii="Tahoma" w:hAnsi="Tahoma"/>
          <w:bCs/>
          <w:sz w:val="20"/>
          <w:szCs w:val="20"/>
        </w:rPr>
        <w:t>La señora Karen Leiva Chavarría, Jefa de la Oficina de Cooperación y Relaciones Internacionales dispuso trasladar al Ministerio de Relaciones Exteriores y Culto el Oficio N° DVV-S1-53-2020 de 20 de abril pasado, según se desprende del comunicado electrónico enviado ese mismo día. El Oficio dirigido a la señora Leiva en el carácter dicho, literalmente indica:</w:t>
      </w:r>
    </w:p>
    <w:p>
      <w:pPr>
        <w:pStyle w:val="Normal"/>
        <w:ind w:left="708" w:hanging="0"/>
        <w:jc w:val="both"/>
        <w:rPr>
          <w:rFonts w:ascii="Tahoma" w:hAnsi="Tahoma" w:cs="Tahoma"/>
          <w:i/>
          <w:i/>
          <w:iCs/>
          <w:color w:val="000000"/>
          <w:sz w:val="20"/>
          <w:szCs w:val="20"/>
          <w:lang w:val="en-US" w:eastAsia="es-ES"/>
        </w:rPr>
      </w:pPr>
      <w:r>
        <w:rPr>
          <w:rFonts w:cs="Tahoma" w:ascii="Tahoma" w:hAnsi="Tahoma"/>
          <w:i/>
          <w:iCs/>
          <w:sz w:val="20"/>
          <w:szCs w:val="20"/>
        </w:rPr>
        <w:t>“</w:t>
      </w:r>
      <w:r>
        <w:rPr>
          <w:rFonts w:cs="Tahoma" w:ascii="Tahoma" w:hAnsi="Tahoma"/>
          <w:i/>
          <w:iCs/>
          <w:sz w:val="20"/>
          <w:szCs w:val="20"/>
        </w:rPr>
        <w:t xml:space="preserve">Reciba un atento saludo. En relación con el comunicado enviado por la OCRI en el que informa sobre </w:t>
      </w:r>
      <w:r>
        <w:rPr>
          <w:rFonts w:cs="Tahoma" w:ascii="Tahoma" w:hAnsi="Tahoma"/>
          <w:i/>
          <w:iCs/>
          <w:color w:val="000000"/>
          <w:sz w:val="20"/>
          <w:szCs w:val="20"/>
          <w:lang w:val="en-US"/>
        </w:rPr>
        <w:t>la solicitud del Ministerio de Relaciones Exteriores y Culto, sobre la resolución de la Asamblea General 73/177 titulada “ Los derechos humanos en la Administración de justicia”, aprobada por la Asamblea General el 17 de diciembre de 2018, en la que se solicita al Secretario General que presente, en su septuagésimo quinto período de sesiones, un informe sobre las novedades, la problemática y las buenas prácticas más recientes en materia de derechos humanos en la administración de justicia, entre otras cosas sobre la situación de las personas con discapacidad en la administración de justicia y las actividades emprendidas por el sistema de las Naciones Unidas en su conjunto, le informo:</w:t>
      </w:r>
    </w:p>
    <w:p>
      <w:pPr>
        <w:pStyle w:val="Normal"/>
        <w:ind w:left="708" w:hanging="0"/>
        <w:jc w:val="both"/>
        <w:rPr>
          <w:rFonts w:ascii="Tahoma" w:hAnsi="Tahoma" w:cs="Tahoma"/>
          <w:i/>
          <w:i/>
          <w:iCs/>
          <w:color w:val="000000"/>
          <w:sz w:val="20"/>
          <w:szCs w:val="20"/>
          <w:lang w:val="en-US"/>
        </w:rPr>
      </w:pPr>
      <w:r>
        <w:rPr>
          <w:rFonts w:cs="Tahoma" w:ascii="Tahoma" w:hAnsi="Tahoma"/>
          <w:i/>
          <w:iCs/>
          <w:color w:val="000000"/>
          <w:sz w:val="20"/>
          <w:szCs w:val="20"/>
          <w:lang w:val="en-US"/>
        </w:rPr>
        <w:t>El Poder Judicial de Costa Rica ha incorporado en la Administración de Justicia el tema discapacidad como uno de sus prioritarios, incluyéndolo en el Plan Estratégico Institucional 2019/2024 en el tema estratégico Acceso a la Justicia. En forma coherente con ello, su jerarca máximo que es Corte Plena, aprobó la Política de Acceso a la Justicia de Personas con Discapacidad y ha aprobado protocolos y circulares de Corte Plena y del Consejo Superior que sirven de guía y buenas prácticas, las cuales están a disposición para su inclusion en el informe que al efecto se remita.</w:t>
      </w:r>
    </w:p>
    <w:p>
      <w:pPr>
        <w:pStyle w:val="Normal"/>
        <w:ind w:left="708" w:hanging="0"/>
        <w:jc w:val="both"/>
        <w:rPr>
          <w:rFonts w:ascii="Tahoma" w:hAnsi="Tahoma" w:cs="Tahoma"/>
          <w:i/>
          <w:i/>
          <w:iCs/>
          <w:color w:val="000000"/>
          <w:sz w:val="20"/>
          <w:szCs w:val="20"/>
          <w:lang w:val="en-US"/>
        </w:rPr>
      </w:pPr>
      <w:r>
        <w:rPr>
          <w:rFonts w:cs="Tahoma" w:ascii="Tahoma" w:hAnsi="Tahoma"/>
          <w:i/>
          <w:iCs/>
          <w:sz w:val="20"/>
          <w:szCs w:val="20"/>
        </w:rPr>
        <w:t>Dentro de los logros obtenidos en lo que va del año 2020, especialmente en lo referido a la aplicación de la Resolución 01-2020 de la CIDH ante la Pandemia Covid-2020 está la solicitud planteada la Presidencia de la Corte Suprema de Justicia y la Comisión de Emergencia del Poder Judicial, la aplicación de los lineamientos dispuestos por la Comisión, así como divulgar ese material a todas las personas servidoras judiciales.</w:t>
      </w:r>
    </w:p>
    <w:p>
      <w:pPr>
        <w:pStyle w:val="Normal"/>
        <w:ind w:left="708" w:hanging="0"/>
        <w:jc w:val="both"/>
        <w:rPr>
          <w:rFonts w:ascii="Tahoma" w:hAnsi="Tahoma" w:cs="Tahoma"/>
          <w:i/>
          <w:i/>
          <w:iCs/>
          <w:color w:val="000000"/>
          <w:sz w:val="20"/>
          <w:szCs w:val="20"/>
          <w:lang w:val="en-US"/>
        </w:rPr>
      </w:pPr>
      <w:r>
        <w:rPr>
          <w:rFonts w:cs="Tahoma" w:ascii="Tahoma" w:hAnsi="Tahoma"/>
          <w:i/>
          <w:iCs/>
          <w:sz w:val="20"/>
          <w:szCs w:val="20"/>
        </w:rPr>
        <w:t>Se han coordinado acciones con el Consejo Nacional de Discapacidad, el cual estableció un Plan para el Abordaje de la población con discapacidad, el cual fue socializado al Poder Judicial, y, por ende, se solicitó se comunicara a todas las personas servidoras judiciales para su aplicación al ser el CONAPDIS el ente rector en la materia en el ámbito nacional.</w:t>
      </w:r>
    </w:p>
    <w:p>
      <w:pPr>
        <w:pStyle w:val="Normal"/>
        <w:ind w:left="708" w:hanging="0"/>
        <w:jc w:val="both"/>
        <w:rPr>
          <w:rFonts w:ascii="Tahoma" w:hAnsi="Tahoma" w:cs="Tahoma"/>
          <w:i/>
          <w:i/>
          <w:iCs/>
          <w:color w:val="000000"/>
          <w:sz w:val="20"/>
          <w:szCs w:val="20"/>
          <w:lang w:val="en-US"/>
        </w:rPr>
      </w:pPr>
      <w:r>
        <w:rPr>
          <w:rFonts w:cs="Tahoma" w:ascii="Tahoma" w:hAnsi="Tahoma"/>
          <w:i/>
          <w:iCs/>
          <w:color w:val="000000"/>
          <w:sz w:val="20"/>
          <w:szCs w:val="20"/>
          <w:lang w:val="en-US"/>
        </w:rPr>
        <w:t xml:space="preserve">Sobre los avances y desafíos, incluyo el Informe de Logros 2019 de la Subcomisión de Acceso a la Justicia de Personas con Discapacidad. </w:t>
      </w:r>
    </w:p>
    <w:p>
      <w:pPr>
        <w:pStyle w:val="Normal"/>
        <w:ind w:left="708" w:hanging="0"/>
        <w:jc w:val="both"/>
        <w:rPr>
          <w:rFonts w:ascii="Tahoma" w:hAnsi="Tahoma" w:cs="Tahoma"/>
          <w:i/>
          <w:i/>
          <w:iCs/>
          <w:color w:val="000000"/>
          <w:sz w:val="20"/>
          <w:szCs w:val="20"/>
          <w:lang w:val="en-US"/>
        </w:rPr>
      </w:pPr>
      <w:r>
        <w:rPr>
          <w:rFonts w:cs="Tahoma" w:ascii="Tahoma" w:hAnsi="Tahoma"/>
          <w:i/>
          <w:iCs/>
          <w:color w:val="000000"/>
          <w:sz w:val="20"/>
          <w:szCs w:val="20"/>
          <w:lang w:val="en-US"/>
        </w:rPr>
        <w:t>De igual forma, se remite al Plan Anual Operativo 2020 de la Comisión de Acceso a la Justicia, el cual es bastante robusto acerca de las metas vinculadas con discapacidad.</w:t>
      </w:r>
    </w:p>
    <w:p>
      <w:pPr>
        <w:pStyle w:val="Normal"/>
        <w:ind w:left="708" w:hanging="0"/>
        <w:jc w:val="both"/>
        <w:rPr>
          <w:rFonts w:ascii="Tahoma" w:hAnsi="Tahoma" w:cs="Tahoma"/>
          <w:i/>
          <w:i/>
          <w:iCs/>
          <w:color w:val="000000"/>
          <w:sz w:val="20"/>
          <w:szCs w:val="20"/>
          <w:lang w:val="en-US"/>
        </w:rPr>
      </w:pPr>
      <w:r>
        <w:rPr>
          <w:rFonts w:cs="Tahoma" w:ascii="Tahoma" w:hAnsi="Tahoma"/>
          <w:i/>
          <w:iCs/>
          <w:color w:val="000000"/>
          <w:sz w:val="20"/>
          <w:szCs w:val="20"/>
          <w:lang w:val="en-US"/>
        </w:rPr>
        <w:t xml:space="preserve">Se consultó a las personas representantes de la Subcomisión de Acceso a la Justicia sobre datos de interés para incluir en este informe. </w:t>
      </w:r>
    </w:p>
    <w:p>
      <w:pPr>
        <w:pStyle w:val="Normal"/>
        <w:ind w:left="708" w:hanging="0"/>
        <w:jc w:val="both"/>
        <w:rPr>
          <w:rFonts w:ascii="Tahoma" w:hAnsi="Tahoma" w:cs="Tahoma"/>
          <w:i/>
          <w:i/>
          <w:iCs/>
          <w:sz w:val="20"/>
          <w:szCs w:val="20"/>
        </w:rPr>
      </w:pPr>
      <w:r>
        <w:rPr>
          <w:rFonts w:cs="Tahoma" w:ascii="Tahoma" w:hAnsi="Tahoma"/>
          <w:i/>
          <w:iCs/>
          <w:color w:val="000000"/>
          <w:sz w:val="20"/>
          <w:szCs w:val="20"/>
          <w:lang w:val="en-US"/>
        </w:rPr>
        <w:t xml:space="preserve">Al respecto,  la señora Mayela Pérez Delgado, Fiscala Coordinadora de la Unidad de Capacitación y Supervisión del Ministerio Público, remitió comunicado de 16 de abril pasado, en el que señaló: </w:t>
      </w:r>
      <w:r>
        <w:rPr>
          <w:rFonts w:cs="Tahoma" w:ascii="Tahoma" w:hAnsi="Tahoma"/>
          <w:i/>
          <w:iCs/>
          <w:sz w:val="20"/>
          <w:szCs w:val="20"/>
        </w:rPr>
        <w:t>“En relación con la solicitud de información sobre los avances, desafíos y buenas prácticas en materia de derechos humanos en la administración de justicia, en particular sobre la situación de las personas con discapacidad, me permito informar sobre las siguientes acciones promovidas y realizadas desde la Subcomisión para el Acceso a la Justicia de Personas en situación de Discapacidad:</w:t>
      </w:r>
    </w:p>
    <w:p>
      <w:pPr>
        <w:pStyle w:val="ListParagraph"/>
        <w:numPr>
          <w:ilvl w:val="0"/>
          <w:numId w:val="1"/>
        </w:numPr>
        <w:spacing w:lineRule="auto" w:line="252"/>
        <w:ind w:left="1428" w:hanging="360"/>
        <w:jc w:val="both"/>
        <w:rPr>
          <w:rFonts w:ascii="Tahoma" w:hAnsi="Tahoma" w:eastAsia="Times New Roman" w:cs="Tahoma"/>
          <w:i/>
          <w:i/>
          <w:iCs/>
          <w:sz w:val="20"/>
          <w:szCs w:val="20"/>
        </w:rPr>
      </w:pPr>
      <w:r>
        <w:rPr>
          <w:rFonts w:eastAsia="Times New Roman" w:cs="Tahoma" w:ascii="Tahoma" w:hAnsi="Tahoma"/>
          <w:i/>
          <w:iCs/>
          <w:sz w:val="20"/>
          <w:szCs w:val="20"/>
        </w:rPr>
        <w:t xml:space="preserve">Se ha fomentado la </w:t>
      </w:r>
      <w:r>
        <w:rPr>
          <w:rFonts w:eastAsia="Times New Roman" w:cs="Tahoma" w:ascii="Tahoma" w:hAnsi="Tahoma"/>
          <w:i/>
          <w:iCs/>
          <w:sz w:val="20"/>
          <w:szCs w:val="20"/>
          <w:lang w:eastAsia="es-CR"/>
        </w:rPr>
        <w:t>participación de las personas con discapacidad</w:t>
      </w:r>
      <w:r>
        <w:rPr>
          <w:rFonts w:eastAsia="Times New Roman" w:cs="Tahoma" w:ascii="Tahoma" w:hAnsi="Tahoma"/>
          <w:i/>
          <w:iCs/>
          <w:sz w:val="20"/>
          <w:szCs w:val="20"/>
        </w:rPr>
        <w:t>, así como de las entidades que las re</w:t>
      </w:r>
      <w:r>
        <w:rPr>
          <w:rFonts w:eastAsia="Times New Roman" w:cs="Tahoma" w:ascii="Tahoma" w:hAnsi="Tahoma"/>
          <w:i/>
          <w:iCs/>
          <w:sz w:val="20"/>
          <w:szCs w:val="20"/>
          <w:lang w:eastAsia="es-CR"/>
        </w:rPr>
        <w:t>presentan</w:t>
      </w:r>
      <w:r>
        <w:rPr>
          <w:rFonts w:eastAsia="Times New Roman" w:cs="Tahoma" w:ascii="Tahoma" w:hAnsi="Tahoma"/>
          <w:i/>
          <w:iCs/>
          <w:sz w:val="20"/>
          <w:szCs w:val="20"/>
        </w:rPr>
        <w:t xml:space="preserve"> en la Subcomisión para el Acceso a la Justicia de Personas con Discapacidad. </w:t>
      </w:r>
    </w:p>
    <w:p>
      <w:pPr>
        <w:pStyle w:val="ListParagraph"/>
        <w:numPr>
          <w:ilvl w:val="0"/>
          <w:numId w:val="1"/>
        </w:numPr>
        <w:spacing w:lineRule="auto" w:line="252"/>
        <w:ind w:left="1428" w:hanging="360"/>
        <w:jc w:val="both"/>
        <w:rPr>
          <w:rFonts w:ascii="Tahoma" w:hAnsi="Tahoma" w:eastAsia="Times New Roman" w:cs="Tahoma"/>
          <w:i/>
          <w:i/>
          <w:iCs/>
          <w:sz w:val="20"/>
          <w:szCs w:val="20"/>
        </w:rPr>
      </w:pPr>
      <w:r>
        <w:rPr>
          <w:rFonts w:eastAsia="Times New Roman" w:cs="Tahoma" w:ascii="Tahoma" w:hAnsi="Tahoma"/>
          <w:i/>
          <w:iCs/>
          <w:sz w:val="20"/>
          <w:szCs w:val="20"/>
        </w:rPr>
        <w:t>Participación, coordinación y apoyo a la Comisión de Empleabilidad del Poder Judicial (doña Damaris Vargas Vásquez), integra esta comisión. Uno de sus principales objetivos es dar seguimiento a la implementación de la Ley de Empleabilidad de las Personas con Discapacidad. En este sentido, se logró la realización de concursos de personas con discapacidad, conforme a la Ley de Inclusión y Protección Laboral.</w:t>
      </w:r>
    </w:p>
    <w:p>
      <w:pPr>
        <w:pStyle w:val="ListParagraph"/>
        <w:numPr>
          <w:ilvl w:val="0"/>
          <w:numId w:val="1"/>
        </w:numPr>
        <w:spacing w:lineRule="auto" w:line="252"/>
        <w:ind w:left="1428" w:hanging="360"/>
        <w:jc w:val="both"/>
        <w:rPr>
          <w:rFonts w:ascii="Tahoma" w:hAnsi="Tahoma" w:eastAsia="Times New Roman" w:cs="Tahoma"/>
          <w:i/>
          <w:i/>
          <w:iCs/>
          <w:sz w:val="20"/>
          <w:szCs w:val="20"/>
        </w:rPr>
      </w:pPr>
      <w:r>
        <w:rPr>
          <w:rFonts w:eastAsia="Times New Roman" w:cs="Tahoma" w:ascii="Tahoma" w:hAnsi="Tahoma"/>
          <w:i/>
          <w:iCs/>
          <w:sz w:val="20"/>
          <w:szCs w:val="20"/>
        </w:rPr>
        <w:t xml:space="preserve">Se realizaron las coordinaciones y se brindó el apoyo necesario a la Dirección de Gestión Humana, con el objetivo de lograr la elaboración del curso virtual denominado “Población con Discapacidad” (en el curso, se abordan los derechos de las Personas en situación de Discapacidad, los derechos establecidos en la Convención sobre los Derechos de las Personas con Discapacidad y su Protocolo, así como la necesidad de adoptar acciones afirmativas, en pro de los derechos de esta población en condición de vulnerabilidad). </w:t>
      </w:r>
    </w:p>
    <w:p>
      <w:pPr>
        <w:pStyle w:val="ListParagraph"/>
        <w:numPr>
          <w:ilvl w:val="0"/>
          <w:numId w:val="1"/>
        </w:numPr>
        <w:spacing w:lineRule="auto" w:line="252"/>
        <w:ind w:left="1428" w:hanging="360"/>
        <w:jc w:val="both"/>
        <w:rPr>
          <w:rFonts w:ascii="Tahoma" w:hAnsi="Tahoma" w:eastAsia="Times New Roman" w:cs="Tahoma"/>
          <w:i/>
          <w:i/>
          <w:iCs/>
          <w:sz w:val="20"/>
          <w:szCs w:val="20"/>
        </w:rPr>
      </w:pPr>
      <w:r>
        <w:rPr>
          <w:rFonts w:eastAsia="Times New Roman" w:cs="Tahoma" w:ascii="Tahoma" w:hAnsi="Tahoma"/>
          <w:i/>
          <w:iCs/>
          <w:sz w:val="20"/>
          <w:szCs w:val="20"/>
        </w:rPr>
        <w:t>Coordinación con la Escuela Judicial y las Unidades de Capacitación del Ministerio Público, Defensa Pública, y Organismo de Investigación Judicial solicitando la incorporación de los derechos de la población con discapacidad en sus capacitaciones, incluyendo la Ley de Promoción de Autonomía de las Personas con Discapacidad.</w:t>
      </w:r>
    </w:p>
    <w:p>
      <w:pPr>
        <w:pStyle w:val="ListParagraph"/>
        <w:numPr>
          <w:ilvl w:val="0"/>
          <w:numId w:val="1"/>
        </w:numPr>
        <w:spacing w:lineRule="auto" w:line="252"/>
        <w:ind w:left="1428" w:hanging="360"/>
        <w:jc w:val="both"/>
        <w:rPr>
          <w:rFonts w:ascii="Tahoma" w:hAnsi="Tahoma" w:eastAsia="Times New Roman" w:cs="Tahoma"/>
          <w:i/>
          <w:i/>
          <w:iCs/>
          <w:sz w:val="20"/>
          <w:szCs w:val="20"/>
        </w:rPr>
      </w:pPr>
      <w:r>
        <w:rPr>
          <w:rFonts w:eastAsia="Times New Roman" w:cs="Tahoma" w:ascii="Tahoma" w:hAnsi="Tahoma"/>
          <w:i/>
          <w:iCs/>
          <w:sz w:val="20"/>
          <w:szCs w:val="20"/>
        </w:rPr>
        <w:t xml:space="preserve">Coordinación con la Dirección de Gestión Humana para la realización de un Diagnóstico relacionado con los servicios que se ofrece a las personas usuarias que requieren de intérpretes en LESCO. </w:t>
      </w:r>
    </w:p>
    <w:p>
      <w:pPr>
        <w:pStyle w:val="ListParagraph"/>
        <w:numPr>
          <w:ilvl w:val="0"/>
          <w:numId w:val="1"/>
        </w:numPr>
        <w:spacing w:lineRule="auto" w:line="252"/>
        <w:ind w:left="1428" w:hanging="360"/>
        <w:jc w:val="both"/>
        <w:rPr>
          <w:rFonts w:ascii="Tahoma" w:hAnsi="Tahoma" w:eastAsia="Times New Roman" w:cs="Tahoma"/>
          <w:i/>
          <w:i/>
          <w:iCs/>
          <w:sz w:val="20"/>
          <w:szCs w:val="20"/>
        </w:rPr>
      </w:pPr>
      <w:r>
        <w:rPr>
          <w:rFonts w:eastAsia="Times New Roman" w:cs="Tahoma" w:ascii="Tahoma" w:hAnsi="Tahoma"/>
          <w:i/>
          <w:iCs/>
          <w:sz w:val="20"/>
          <w:szCs w:val="20"/>
        </w:rPr>
        <w:t>Aprobación de la Circular 202-2019, propuesta por la Subcomisión de Acceso a la Justicia, denominada “Disposiciones normativas de acatamiento obligatorio respecto de los términos a emplearse al momento de referirse a las personas en situación de discapacidad”.</w:t>
      </w:r>
    </w:p>
    <w:p>
      <w:pPr>
        <w:pStyle w:val="ListParagraph"/>
        <w:numPr>
          <w:ilvl w:val="0"/>
          <w:numId w:val="1"/>
        </w:numPr>
        <w:spacing w:lineRule="auto" w:line="252"/>
        <w:ind w:left="1428" w:hanging="360"/>
        <w:jc w:val="both"/>
        <w:rPr>
          <w:rFonts w:ascii="Tahoma" w:hAnsi="Tahoma" w:eastAsia="Times New Roman" w:cs="Tahoma"/>
          <w:i/>
          <w:i/>
          <w:iCs/>
          <w:sz w:val="20"/>
          <w:szCs w:val="20"/>
        </w:rPr>
      </w:pPr>
      <w:r>
        <w:rPr>
          <w:rFonts w:eastAsia="Times New Roman" w:cs="Tahoma" w:ascii="Tahoma" w:hAnsi="Tahoma"/>
          <w:i/>
          <w:iCs/>
          <w:sz w:val="20"/>
          <w:szCs w:val="20"/>
        </w:rPr>
        <w:t>Campaña informativa sobre los derechos de las personas con discapacidad.</w:t>
      </w:r>
    </w:p>
    <w:p>
      <w:pPr>
        <w:pStyle w:val="ListParagraph"/>
        <w:numPr>
          <w:ilvl w:val="0"/>
          <w:numId w:val="1"/>
        </w:numPr>
        <w:spacing w:lineRule="auto" w:line="252"/>
        <w:ind w:left="1428" w:hanging="360"/>
        <w:jc w:val="both"/>
        <w:rPr>
          <w:rFonts w:ascii="Tahoma" w:hAnsi="Tahoma" w:eastAsia="Times New Roman" w:cs="Tahoma"/>
          <w:i/>
          <w:i/>
          <w:iCs/>
          <w:sz w:val="20"/>
          <w:szCs w:val="20"/>
          <w:lang w:eastAsia="es-ES"/>
        </w:rPr>
      </w:pPr>
      <w:r>
        <w:rPr>
          <w:rFonts w:eastAsia="Times New Roman" w:cs="Tahoma" w:ascii="Tahoma" w:hAnsi="Tahoma"/>
          <w:i/>
          <w:iCs/>
          <w:sz w:val="20"/>
          <w:szCs w:val="20"/>
        </w:rPr>
        <w:t>Para todas las acciones que se realicen en el Poder Judicial, se tomó el acuerdo sobre el deber de observar la reciente reforma a la Ley 7600 “Igualdad de Oportunidades para las Personas con Discapacidad” adición de un capítulo de Acceso a la Justicia a la Ley 7600 (artículos 56 a 68).</w:t>
      </w:r>
    </w:p>
    <w:p>
      <w:pPr>
        <w:pStyle w:val="ListParagraph"/>
        <w:numPr>
          <w:ilvl w:val="0"/>
          <w:numId w:val="1"/>
        </w:numPr>
        <w:spacing w:lineRule="auto" w:line="252"/>
        <w:ind w:left="1428" w:hanging="360"/>
        <w:jc w:val="both"/>
        <w:rPr>
          <w:rFonts w:ascii="Tahoma" w:hAnsi="Tahoma" w:eastAsia="Times New Roman" w:cs="Tahoma"/>
          <w:i/>
          <w:i/>
          <w:iCs/>
          <w:sz w:val="20"/>
          <w:szCs w:val="20"/>
        </w:rPr>
      </w:pPr>
      <w:r>
        <w:rPr>
          <w:rFonts w:eastAsia="Times New Roman" w:cs="Tahoma" w:ascii="Tahoma" w:hAnsi="Tahoma"/>
          <w:i/>
          <w:iCs/>
          <w:sz w:val="20"/>
          <w:szCs w:val="20"/>
        </w:rPr>
        <w:t>Los logros obtenidos en lo que va del año 2020, especialmente en lo referido a la aplicación de la Resolución 01-2020 de la CIDH ante la Pandemia”</w:t>
      </w:r>
    </w:p>
    <w:p>
      <w:pPr>
        <w:pStyle w:val="Normal"/>
        <w:ind w:left="708" w:hanging="0"/>
        <w:jc w:val="both"/>
        <w:rPr>
          <w:rFonts w:ascii="Tahoma" w:hAnsi="Tahoma" w:cs="Tahoma"/>
          <w:i/>
          <w:i/>
          <w:iCs/>
          <w:sz w:val="20"/>
          <w:szCs w:val="20"/>
        </w:rPr>
      </w:pPr>
      <w:r>
        <w:rPr>
          <w:rFonts w:cs="Tahoma" w:ascii="Tahoma" w:hAnsi="Tahoma"/>
          <w:i/>
          <w:iCs/>
          <w:sz w:val="20"/>
          <w:szCs w:val="20"/>
        </w:rPr>
        <w:t>Las demás Unidades de Capacitación, incluyendo la Escuela Judicial, en cumplimiento del Plan Estratégico Institucional y la Política de Acceso a la Justicia de Personas con Discapacidad también incorporan capacitaciones en la temática, sin dejar de mencionar las coordinaciones realizadas con la Unidad de Capacitación de la Dirección de Gestión Humana sobre la capacitación en Lesco y otros temas de interés institucionales asociados a personas con discapacidad, entre ellos, la empleabilidad de esta población, en cumplimiento de la normativa que exige la reserva de al menos el 5% de las plazas vacantes de cada año, en ejecución de la cual ya se han hecho designaciones y se tiene una bolsa de trabajo también robusta.</w:t>
      </w:r>
    </w:p>
    <w:p>
      <w:pPr>
        <w:pStyle w:val="Normal"/>
        <w:ind w:left="708" w:hanging="0"/>
        <w:jc w:val="both"/>
        <w:rPr>
          <w:rFonts w:ascii="Tahoma" w:hAnsi="Tahoma" w:cs="Tahoma"/>
          <w:i/>
          <w:i/>
          <w:iCs/>
          <w:sz w:val="20"/>
          <w:szCs w:val="20"/>
          <w:lang w:val="es-ES"/>
        </w:rPr>
      </w:pPr>
      <w:r>
        <w:rPr>
          <w:rFonts w:cs="Tahoma" w:ascii="Tahoma" w:hAnsi="Tahoma"/>
          <w:i/>
          <w:iCs/>
          <w:sz w:val="20"/>
          <w:szCs w:val="20"/>
          <w:lang w:val="es-ES"/>
        </w:rPr>
        <w:t>Con el Departamento de Prensa y Comunicación Organizacional se han coordinado una serie de campañas de divulgación de las acciones realizadas e implementación de nueva normativa aplicable, entre ellas, la Ley de incorpora un capítulo adicional sobre Acceso a la Justicia a la Ley 7600. Así mismo, con la Dirección de Tecnología de la Información se han coordinado acciones para incorporar en los sistemas de gestión herramientas que eliminen barreras tecnológicas a la población con discapacidad y establezcan acciones afirmativas a esa población, incluyendo páginas web institucionales que sean más accesibles, con la colaboración de personas con discapacidad y organizaciones de éstas. Con la Dirección Ejecutiva se han articulado acciones para que los edificios propios de la Institución y los alquilados sean realmente accesibles, entre muchas otras metas logradas y otras en proceso.</w:t>
      </w:r>
    </w:p>
    <w:p>
      <w:pPr>
        <w:pStyle w:val="Normal"/>
        <w:ind w:left="708" w:hanging="0"/>
        <w:jc w:val="both"/>
        <w:rPr>
          <w:rFonts w:ascii="Tahoma" w:hAnsi="Tahoma" w:cs="Tahoma"/>
          <w:i/>
          <w:i/>
          <w:iCs/>
          <w:sz w:val="20"/>
          <w:szCs w:val="20"/>
          <w:lang w:val="es-ES"/>
        </w:rPr>
      </w:pPr>
      <w:r>
        <w:rPr>
          <w:rFonts w:cs="Tahoma" w:ascii="Tahoma" w:hAnsi="Tahoma"/>
          <w:i/>
          <w:iCs/>
          <w:sz w:val="20"/>
          <w:szCs w:val="20"/>
          <w:lang w:val="es-ES"/>
        </w:rPr>
        <w:t>Las anteriores son algunas de las más importantes acciones y buenas prácticas desarrolladas ante los retos que el abordaje de esta población implica en el sistema de administración de justicia, sin que se agote la lista de valiosos datos que, desde la Subcomisión de Acceso a la Justicia de Personas con Discapacidad, están a su disposición.”</w:t>
      </w:r>
    </w:p>
    <w:p>
      <w:pPr>
        <w:pStyle w:val="Normal"/>
        <w:jc w:val="both"/>
        <w:rPr>
          <w:rFonts w:ascii="Tahoma" w:hAnsi="Tahoma" w:cs="Tahoma"/>
          <w:sz w:val="20"/>
          <w:szCs w:val="20"/>
          <w:lang w:val="es-ES"/>
        </w:rPr>
      </w:pPr>
      <w:r>
        <w:rPr>
          <w:rFonts w:cs="Tahoma" w:ascii="Tahoma" w:hAnsi="Tahoma"/>
          <w:sz w:val="20"/>
          <w:szCs w:val="20"/>
          <w:lang w:val="es-ES"/>
        </w:rPr>
        <w:t>El informe en referencia fue solicitado por la OCRI también a la Comisión de Acceso a la Justicia.</w:t>
      </w:r>
    </w:p>
    <w:p>
      <w:pPr>
        <w:pStyle w:val="Normal"/>
        <w:tabs>
          <w:tab w:val="clear" w:pos="708"/>
          <w:tab w:val="left" w:pos="1875" w:leader="none"/>
        </w:tabs>
        <w:jc w:val="both"/>
        <w:rPr>
          <w:rFonts w:ascii="Tahoma" w:hAnsi="Tahoma" w:cs="Tahoma"/>
          <w:color w:val="000000"/>
          <w:sz w:val="20"/>
          <w:szCs w:val="20"/>
          <w:lang w:val="en-US"/>
        </w:rPr>
      </w:pPr>
      <w:r>
        <w:rPr>
          <w:rFonts w:cs="Tahoma" w:ascii="Tahoma" w:hAnsi="Tahoma"/>
          <w:b/>
          <w:bCs/>
          <w:sz w:val="20"/>
          <w:szCs w:val="20"/>
          <w:u w:val="single"/>
          <w:lang w:val="es-ES"/>
        </w:rPr>
        <w:t>SE ACUERDA</w:t>
      </w:r>
      <w:r>
        <w:rPr>
          <w:rFonts w:cs="Tahoma" w:ascii="Tahoma" w:hAnsi="Tahoma"/>
          <w:sz w:val="20"/>
          <w:szCs w:val="20"/>
          <w:lang w:val="es-ES"/>
        </w:rPr>
        <w:t xml:space="preserve">: Se toma nota del Oficio </w:t>
      </w:r>
      <w:r>
        <w:rPr>
          <w:rFonts w:cs="Tahoma" w:ascii="Tahoma" w:hAnsi="Tahoma"/>
          <w:bCs/>
          <w:sz w:val="20"/>
          <w:szCs w:val="20"/>
        </w:rPr>
        <w:t>N° DVV-S1-53-2020 de 20 de abril pasado, dirigido a la señora Karen Leiva Chavarría, Jefa de la Oficina de Cooperación y Relaciones Internacionales, e</w:t>
      </w:r>
      <w:r>
        <w:rPr>
          <w:rFonts w:cs="Tahoma" w:ascii="Tahoma" w:hAnsi="Tahoma"/>
          <w:sz w:val="20"/>
          <w:szCs w:val="20"/>
        </w:rPr>
        <w:t xml:space="preserve">n el que informa sobre </w:t>
      </w:r>
      <w:r>
        <w:rPr>
          <w:rFonts w:cs="Tahoma" w:ascii="Tahoma" w:hAnsi="Tahoma"/>
          <w:color w:val="000000"/>
          <w:sz w:val="20"/>
          <w:szCs w:val="20"/>
          <w:lang w:val="en-US"/>
        </w:rPr>
        <w:t>la solicitud del Ministerio de Relaciones Exteriores y Culto, sobre la resolución de la Asamblea General 73/177 titulada “ Los derechos humanos en la Administración de justicia”, aprobada por la Asamblea General el 17 de diciembre de 2018, en la que se pidió al Secretario General que presente, en su septuagésimo quinto período de sesiones, un informe sobre las novedades, la problemática y las buenas prácticas más recientes en materia de derechos humanos en la administración de justicia, entre otras cosas sobre la situación de las personas con discapacidad en la administración de justicia y las actividades emprendidas por el sistema de las Naciones Unidas en su conjunto. Además, se toma nota del informe remitido por la señora Mayela Pérez Delgado, Fiscala Coordinadora de la Unidad de Capacitación y Supervisión del Ministerio Público, el cual quedo incorporado al Oficio citado, el cual fue puesto en conocimiento de la OCRI y de la Comisión de Acceso a la Justicia por medio de la Unidad de Acceso a la Justicia.-</w:t>
      </w:r>
    </w:p>
    <w:p>
      <w:pPr>
        <w:pStyle w:val="Normal"/>
        <w:tabs>
          <w:tab w:val="clear" w:pos="708"/>
          <w:tab w:val="left" w:pos="1875" w:leader="none"/>
        </w:tabs>
        <w:jc w:val="both"/>
        <w:rPr>
          <w:rFonts w:ascii="Tahoma" w:hAnsi="Tahoma" w:cs="Tahoma"/>
          <w:color w:val="000000"/>
          <w:sz w:val="20"/>
          <w:szCs w:val="20"/>
          <w:lang w:val="en-US"/>
        </w:rPr>
      </w:pPr>
      <w:r>
        <w:rPr>
          <w:rFonts w:cs="Tahoma" w:ascii="Tahoma" w:hAnsi="Tahoma"/>
          <w:color w:val="000000"/>
          <w:sz w:val="20"/>
          <w:szCs w:val="20"/>
          <w:lang w:val="en-US"/>
        </w:rPr>
      </w:r>
    </w:p>
    <w:p>
      <w:pPr>
        <w:pStyle w:val="Normal"/>
        <w:tabs>
          <w:tab w:val="clear" w:pos="708"/>
          <w:tab w:val="left" w:pos="1875" w:leader="none"/>
        </w:tabs>
        <w:jc w:val="center"/>
        <w:rPr>
          <w:rFonts w:ascii="Tahoma" w:hAnsi="Tahoma" w:cs="Tahoma"/>
          <w:b/>
          <w:b/>
          <w:bCs/>
          <w:color w:val="000000"/>
          <w:sz w:val="20"/>
          <w:szCs w:val="20"/>
          <w:u w:val="single"/>
          <w:lang w:val="en-US"/>
        </w:rPr>
      </w:pPr>
      <w:r>
        <w:rPr>
          <w:rFonts w:cs="Tahoma" w:ascii="Tahoma" w:hAnsi="Tahoma"/>
          <w:b/>
          <w:bCs/>
          <w:color w:val="000000"/>
          <w:sz w:val="20"/>
          <w:szCs w:val="20"/>
          <w:highlight w:val="green"/>
          <w:u w:val="single"/>
          <w:lang w:val="en-US"/>
        </w:rPr>
        <w:t>ARTICULO IV</w:t>
      </w:r>
    </w:p>
    <w:p>
      <w:pPr>
        <w:pStyle w:val="Normal"/>
        <w:tabs>
          <w:tab w:val="clear" w:pos="708"/>
          <w:tab w:val="left" w:pos="1875" w:leader="none"/>
        </w:tabs>
        <w:jc w:val="both"/>
        <w:rPr>
          <w:rFonts w:ascii="Tahoma" w:hAnsi="Tahoma" w:cs="Tahoma"/>
          <w:sz w:val="20"/>
          <w:szCs w:val="20"/>
        </w:rPr>
      </w:pPr>
      <w:r>
        <w:rPr>
          <w:rFonts w:cs="Tahoma" w:ascii="Tahoma" w:hAnsi="Tahoma"/>
          <w:color w:val="000000"/>
          <w:sz w:val="20"/>
          <w:szCs w:val="20"/>
          <w:lang w:val="en-US"/>
        </w:rPr>
        <w:t xml:space="preserve">La señora Sonia Rojas Castillo, Secretaria de la Dirección Ejecutiva de CONAPDIS, remitió comunicado electrónico del </w:t>
      </w:r>
      <w:bookmarkStart w:id="5" w:name="_MailAutoSig"/>
      <w:r>
        <w:rPr>
          <w:rFonts w:cs="Tahoma" w:ascii="Tahoma" w:hAnsi="Tahoma"/>
          <w:color w:val="000000"/>
          <w:sz w:val="20"/>
          <w:szCs w:val="20"/>
          <w:lang w:val="en-US"/>
        </w:rPr>
        <w:t xml:space="preserve">14 de abril pasado, en el que </w:t>
      </w:r>
      <w:bookmarkEnd w:id="5"/>
      <w:r>
        <w:rPr>
          <w:rFonts w:cs="Tahoma" w:ascii="Tahoma" w:hAnsi="Tahoma"/>
          <w:color w:val="000000"/>
          <w:sz w:val="20"/>
          <w:szCs w:val="20"/>
          <w:lang w:val="en-US"/>
        </w:rPr>
        <w:t>trasladó a la Subcomisión de Acceso a la Justicia de Pueblos Indígenas el O</w:t>
      </w:r>
      <w:r>
        <w:rPr>
          <w:rFonts w:cs="Tahoma" w:ascii="Tahoma" w:hAnsi="Tahoma"/>
          <w:sz w:val="20"/>
          <w:szCs w:val="20"/>
        </w:rPr>
        <w:t>ficio DE-500-2020, suscrito por la señora Lizbeth Barrantes en su condición de Directora Ejecutiva del CONAPDIS, informando sobre algunas acciones para las personas con discapacidad ante la pandemia de COVID-19, y se puso en disposición para ampliar cualquier consulta que disponga.</w:t>
      </w:r>
    </w:p>
    <w:p>
      <w:pPr>
        <w:pStyle w:val="Normal"/>
        <w:tabs>
          <w:tab w:val="clear" w:pos="708"/>
          <w:tab w:val="left" w:pos="1875" w:leader="none"/>
        </w:tabs>
        <w:jc w:val="both"/>
        <w:rPr>
          <w:rFonts w:ascii="Tahoma" w:hAnsi="Tahoma" w:cs="Tahoma"/>
          <w:sz w:val="20"/>
          <w:szCs w:val="20"/>
        </w:rPr>
      </w:pPr>
      <w:r>
        <w:rPr>
          <w:rFonts w:cs="Tahoma" w:ascii="Tahoma" w:hAnsi="Tahoma"/>
          <w:sz w:val="20"/>
          <w:szCs w:val="20"/>
        </w:rPr>
        <w:t>El contenido literal del Oficio N° DE-500-2020, es el siguiente:</w:t>
      </w:r>
    </w:p>
    <w:p>
      <w:pPr>
        <w:pStyle w:val="Normal"/>
        <w:spacing w:lineRule="auto" w:line="240" w:before="0" w:after="0"/>
        <w:rPr>
          <w:rFonts w:ascii="Tahoma" w:hAnsi="Tahoma" w:cs="Tahoma"/>
          <w:color w:val="000000"/>
          <w:sz w:val="20"/>
          <w:szCs w:val="20"/>
        </w:rPr>
      </w:pPr>
      <w:r>
        <w:rPr>
          <w:rFonts w:cs="Tahoma" w:ascii="Tahoma" w:hAnsi="Tahoma"/>
          <w:color w:val="000000"/>
          <w:sz w:val="20"/>
          <w:szCs w:val="20"/>
        </w:rPr>
      </w:r>
    </w:p>
    <w:p>
      <w:pPr>
        <w:pStyle w:val="Normal"/>
        <w:spacing w:lineRule="auto" w:line="240" w:before="0" w:after="0"/>
        <w:rPr>
          <w:rFonts w:ascii="Tahoma" w:hAnsi="Tahoma" w:cs="Tahoma"/>
          <w:i/>
          <w:i/>
          <w:iCs/>
          <w:color w:val="000000"/>
          <w:sz w:val="20"/>
          <w:szCs w:val="20"/>
        </w:rPr>
      </w:pPr>
      <w:r>
        <w:rPr>
          <w:rFonts w:cs="Tahoma" w:ascii="Tahoma" w:hAnsi="Tahoma"/>
          <w:i/>
          <w:iCs/>
          <w:color w:val="000000"/>
          <w:sz w:val="20"/>
          <w:szCs w:val="20"/>
        </w:rPr>
        <w:t xml:space="preserve">14 de abril, 2020 </w:t>
      </w:r>
    </w:p>
    <w:p>
      <w:pPr>
        <w:pStyle w:val="Normal"/>
        <w:spacing w:lineRule="auto" w:line="240" w:before="0" w:after="0"/>
        <w:rPr>
          <w:rFonts w:ascii="Tahoma" w:hAnsi="Tahoma" w:cs="Tahoma"/>
          <w:i/>
          <w:i/>
          <w:iCs/>
          <w:color w:val="000000"/>
          <w:sz w:val="20"/>
          <w:szCs w:val="20"/>
        </w:rPr>
      </w:pPr>
      <w:r>
        <w:rPr>
          <w:rFonts w:cs="Tahoma" w:ascii="Tahoma" w:hAnsi="Tahoma"/>
          <w:b/>
          <w:bCs/>
          <w:i/>
          <w:iCs/>
          <w:color w:val="000000"/>
          <w:sz w:val="20"/>
          <w:szCs w:val="20"/>
        </w:rPr>
        <w:t xml:space="preserve">DE-500-2020 </w:t>
      </w:r>
    </w:p>
    <w:p>
      <w:pPr>
        <w:pStyle w:val="Normal"/>
        <w:spacing w:lineRule="auto" w:line="240" w:before="0" w:after="0"/>
        <w:rPr>
          <w:rFonts w:ascii="Tahoma" w:hAnsi="Tahoma" w:cs="Tahoma"/>
          <w:i/>
          <w:i/>
          <w:iCs/>
          <w:color w:val="000000"/>
          <w:sz w:val="20"/>
          <w:szCs w:val="20"/>
        </w:rPr>
      </w:pPr>
      <w:r>
        <w:rPr>
          <w:rFonts w:cs="Tahoma" w:ascii="Tahoma" w:hAnsi="Tahoma"/>
          <w:i/>
          <w:iCs/>
          <w:color w:val="000000"/>
          <w:sz w:val="20"/>
          <w:szCs w:val="20"/>
        </w:rPr>
      </w:r>
    </w:p>
    <w:p>
      <w:pPr>
        <w:pStyle w:val="Normal"/>
        <w:spacing w:lineRule="auto" w:line="240" w:before="0" w:after="0"/>
        <w:rPr>
          <w:rFonts w:ascii="Tahoma" w:hAnsi="Tahoma" w:cs="Tahoma"/>
          <w:i/>
          <w:i/>
          <w:iCs/>
          <w:color w:val="000000"/>
          <w:sz w:val="20"/>
          <w:szCs w:val="20"/>
        </w:rPr>
      </w:pPr>
      <w:r>
        <w:rPr>
          <w:rFonts w:cs="Tahoma" w:ascii="Tahoma" w:hAnsi="Tahoma"/>
          <w:i/>
          <w:iCs/>
          <w:color w:val="000000"/>
          <w:sz w:val="20"/>
          <w:szCs w:val="20"/>
        </w:rPr>
        <w:t xml:space="preserve">Señora </w:t>
      </w:r>
    </w:p>
    <w:p>
      <w:pPr>
        <w:pStyle w:val="Normal"/>
        <w:spacing w:lineRule="auto" w:line="240" w:before="0" w:after="0"/>
        <w:rPr>
          <w:rFonts w:ascii="Tahoma" w:hAnsi="Tahoma" w:cs="Tahoma"/>
          <w:i/>
          <w:i/>
          <w:iCs/>
          <w:color w:val="000000"/>
          <w:sz w:val="20"/>
          <w:szCs w:val="20"/>
        </w:rPr>
      </w:pPr>
      <w:r>
        <w:rPr>
          <w:rFonts w:cs="Tahoma" w:ascii="Tahoma" w:hAnsi="Tahoma"/>
          <w:i/>
          <w:iCs/>
          <w:color w:val="000000"/>
          <w:sz w:val="20"/>
          <w:szCs w:val="20"/>
        </w:rPr>
        <w:t xml:space="preserve">M.Sc. Damaris Vargas Vásquez </w:t>
      </w:r>
    </w:p>
    <w:p>
      <w:pPr>
        <w:pStyle w:val="Normal"/>
        <w:spacing w:lineRule="auto" w:line="240" w:before="0" w:after="0"/>
        <w:rPr>
          <w:rFonts w:ascii="Tahoma" w:hAnsi="Tahoma" w:cs="Tahoma"/>
          <w:i/>
          <w:i/>
          <w:iCs/>
          <w:color w:val="000000"/>
          <w:sz w:val="20"/>
          <w:szCs w:val="20"/>
        </w:rPr>
      </w:pPr>
      <w:r>
        <w:rPr>
          <w:rFonts w:cs="Tahoma" w:ascii="Tahoma" w:hAnsi="Tahoma"/>
          <w:i/>
          <w:iCs/>
          <w:color w:val="000000"/>
          <w:sz w:val="20"/>
          <w:szCs w:val="20"/>
        </w:rPr>
        <w:t xml:space="preserve">Magistrada </w:t>
      </w:r>
    </w:p>
    <w:p>
      <w:pPr>
        <w:pStyle w:val="Normal"/>
        <w:spacing w:lineRule="auto" w:line="240" w:before="0" w:after="0"/>
        <w:rPr>
          <w:rFonts w:ascii="Tahoma" w:hAnsi="Tahoma" w:cs="Tahoma"/>
          <w:i/>
          <w:i/>
          <w:iCs/>
          <w:color w:val="000000"/>
          <w:sz w:val="20"/>
          <w:szCs w:val="20"/>
        </w:rPr>
      </w:pPr>
      <w:r>
        <w:rPr>
          <w:rFonts w:cs="Tahoma" w:ascii="Tahoma" w:hAnsi="Tahoma"/>
          <w:i/>
          <w:iCs/>
          <w:color w:val="000000"/>
          <w:sz w:val="20"/>
          <w:szCs w:val="20"/>
        </w:rPr>
        <w:t xml:space="preserve">Presidenta Subcomisión de Acceso a la Justicia para las Personas con Discapacidad </w:t>
      </w:r>
    </w:p>
    <w:p>
      <w:pPr>
        <w:pStyle w:val="Normal"/>
        <w:spacing w:lineRule="auto" w:line="240" w:before="0" w:after="0"/>
        <w:rPr>
          <w:rFonts w:ascii="Tahoma" w:hAnsi="Tahoma" w:cs="Tahoma"/>
          <w:i/>
          <w:i/>
          <w:iCs/>
          <w:color w:val="000000"/>
          <w:sz w:val="20"/>
          <w:szCs w:val="20"/>
        </w:rPr>
      </w:pPr>
      <w:r>
        <w:rPr>
          <w:rFonts w:cs="Tahoma" w:ascii="Tahoma" w:hAnsi="Tahoma"/>
          <w:i/>
          <w:iCs/>
          <w:color w:val="000000"/>
          <w:sz w:val="20"/>
          <w:szCs w:val="20"/>
        </w:rPr>
        <w:t xml:space="preserve">Poder Judicial </w:t>
      </w:r>
    </w:p>
    <w:p>
      <w:pPr>
        <w:pStyle w:val="Normal"/>
        <w:spacing w:lineRule="auto" w:line="240" w:before="0" w:after="0"/>
        <w:rPr>
          <w:rFonts w:ascii="Tahoma" w:hAnsi="Tahoma" w:cs="Tahoma"/>
          <w:i/>
          <w:i/>
          <w:iCs/>
          <w:color w:val="000000"/>
          <w:sz w:val="20"/>
          <w:szCs w:val="20"/>
        </w:rPr>
      </w:pPr>
      <w:r>
        <w:rPr>
          <w:rFonts w:cs="Tahoma" w:ascii="Tahoma" w:hAnsi="Tahoma"/>
          <w:i/>
          <w:iCs/>
          <w:color w:val="000000"/>
          <w:sz w:val="20"/>
          <w:szCs w:val="20"/>
        </w:rPr>
      </w:r>
    </w:p>
    <w:p>
      <w:pPr>
        <w:pStyle w:val="Normal"/>
        <w:spacing w:lineRule="auto" w:line="240" w:before="0" w:after="0"/>
        <w:rPr>
          <w:rFonts w:ascii="Tahoma" w:hAnsi="Tahoma" w:cs="Tahoma"/>
          <w:i/>
          <w:i/>
          <w:iCs/>
          <w:color w:val="000000"/>
          <w:sz w:val="20"/>
          <w:szCs w:val="20"/>
        </w:rPr>
      </w:pPr>
      <w:r>
        <w:rPr>
          <w:rFonts w:cs="Tahoma" w:ascii="Tahoma" w:hAnsi="Tahoma"/>
          <w:i/>
          <w:iCs/>
          <w:color w:val="000000"/>
          <w:sz w:val="20"/>
          <w:szCs w:val="20"/>
        </w:rPr>
        <w:t xml:space="preserve">Estimada señora magistrada: </w:t>
      </w:r>
    </w:p>
    <w:p>
      <w:pPr>
        <w:pStyle w:val="Normal"/>
        <w:spacing w:lineRule="auto" w:line="240" w:before="0" w:after="0"/>
        <w:rPr>
          <w:rFonts w:ascii="Tahoma" w:hAnsi="Tahoma" w:cs="Tahoma"/>
          <w:i/>
          <w:i/>
          <w:iCs/>
          <w:color w:val="000000"/>
          <w:sz w:val="20"/>
          <w:szCs w:val="20"/>
        </w:rPr>
      </w:pPr>
      <w:r>
        <w:rPr>
          <w:rFonts w:cs="Tahoma" w:ascii="Tahoma" w:hAnsi="Tahoma"/>
          <w:i/>
          <w:iCs/>
          <w:color w:val="000000"/>
          <w:sz w:val="20"/>
          <w:szCs w:val="20"/>
        </w:rPr>
      </w:r>
    </w:p>
    <w:p>
      <w:pPr>
        <w:pStyle w:val="Normal"/>
        <w:spacing w:lineRule="auto" w:line="240" w:before="0" w:after="0"/>
        <w:jc w:val="both"/>
        <w:rPr>
          <w:rFonts w:ascii="Tahoma" w:hAnsi="Tahoma" w:cs="Tahoma"/>
          <w:i/>
          <w:i/>
          <w:iCs/>
          <w:color w:val="000000"/>
          <w:sz w:val="20"/>
          <w:szCs w:val="20"/>
        </w:rPr>
      </w:pPr>
      <w:r>
        <w:rPr>
          <w:rFonts w:cs="Tahoma" w:ascii="Tahoma" w:hAnsi="Tahoma"/>
          <w:i/>
          <w:iCs/>
          <w:color w:val="000000"/>
          <w:sz w:val="20"/>
          <w:szCs w:val="20"/>
        </w:rPr>
        <w:t xml:space="preserve">Reciba un atento saludo de la Dirección Ejecutiva del Consejo Nacional de Personas con Discapacidad, Conapdis. </w:t>
      </w:r>
    </w:p>
    <w:p>
      <w:pPr>
        <w:pStyle w:val="Normal"/>
        <w:spacing w:lineRule="auto" w:line="240" w:before="0" w:after="0"/>
        <w:rPr>
          <w:rFonts w:ascii="Tahoma" w:hAnsi="Tahoma" w:cs="Tahoma"/>
          <w:i/>
          <w:i/>
          <w:iCs/>
          <w:color w:val="000000"/>
          <w:sz w:val="20"/>
          <w:szCs w:val="20"/>
        </w:rPr>
      </w:pPr>
      <w:r>
        <w:rPr>
          <w:rFonts w:cs="Tahoma" w:ascii="Tahoma" w:hAnsi="Tahoma"/>
          <w:i/>
          <w:iCs/>
          <w:color w:val="000000"/>
          <w:sz w:val="20"/>
          <w:szCs w:val="20"/>
        </w:rPr>
      </w:r>
    </w:p>
    <w:p>
      <w:pPr>
        <w:pStyle w:val="Normal"/>
        <w:spacing w:lineRule="auto" w:line="240" w:before="0" w:after="0"/>
        <w:jc w:val="both"/>
        <w:rPr>
          <w:rFonts w:ascii="Tahoma" w:hAnsi="Tahoma" w:cs="Tahoma"/>
          <w:i/>
          <w:i/>
          <w:iCs/>
          <w:color w:val="000000"/>
          <w:sz w:val="20"/>
          <w:szCs w:val="20"/>
        </w:rPr>
      </w:pPr>
      <w:r>
        <w:rPr>
          <w:rFonts w:cs="Tahoma" w:ascii="Tahoma" w:hAnsi="Tahoma"/>
          <w:i/>
          <w:iCs/>
          <w:color w:val="000000"/>
          <w:sz w:val="20"/>
          <w:szCs w:val="20"/>
        </w:rPr>
        <w:t xml:space="preserve">La emergencia generada por el COVID-19 está teniendo un impacto, no sólo sanitario, sino en diversos ámbitos de la vida social y privada del país, agudizándose en las poblaciones más vulnerabilizadas, como son las personas con discapacidad. </w:t>
      </w:r>
    </w:p>
    <w:p>
      <w:pPr>
        <w:pStyle w:val="Normal"/>
        <w:spacing w:lineRule="auto" w:line="240" w:before="0" w:after="0"/>
        <w:jc w:val="both"/>
        <w:rPr>
          <w:rFonts w:ascii="Tahoma" w:hAnsi="Tahoma" w:cs="Tahoma"/>
          <w:i/>
          <w:i/>
          <w:iCs/>
          <w:color w:val="000000"/>
          <w:sz w:val="20"/>
          <w:szCs w:val="20"/>
        </w:rPr>
      </w:pPr>
      <w:r>
        <w:rPr>
          <w:rFonts w:cs="Tahoma" w:ascii="Tahoma" w:hAnsi="Tahoma"/>
          <w:i/>
          <w:iCs/>
          <w:color w:val="000000"/>
          <w:sz w:val="20"/>
          <w:szCs w:val="20"/>
        </w:rPr>
        <w:t xml:space="preserve">Reconociendo la situación de desigualdad y exclusión que enfrenta esta población y en atención a lo dispuesto por la Convención sobre los Derechos de las Personas con Discapacidad, que establece la obligatoriedad del Estado de garantizar la protección y la seguridad a las personas con discapacidad en situaciones de riesgo y emergencias, así como la protección particular de estas indicada en el artículo 59 de la ley N°7600, el Conapdis ha estado impulsado diversas medidas por realizar por parte del Estado, respetando las competencias e independencia. </w:t>
      </w:r>
    </w:p>
    <w:p>
      <w:pPr>
        <w:pStyle w:val="Normal"/>
        <w:spacing w:lineRule="auto" w:line="240" w:before="0" w:after="0"/>
        <w:rPr>
          <w:rFonts w:ascii="Tahoma" w:hAnsi="Tahoma" w:cs="Tahoma"/>
          <w:i/>
          <w:i/>
          <w:iCs/>
          <w:color w:val="000000"/>
          <w:sz w:val="20"/>
          <w:szCs w:val="20"/>
        </w:rPr>
      </w:pPr>
      <w:r>
        <w:rPr>
          <w:rFonts w:cs="Tahoma" w:ascii="Tahoma" w:hAnsi="Tahoma"/>
          <w:i/>
          <w:iCs/>
          <w:color w:val="000000"/>
          <w:sz w:val="20"/>
          <w:szCs w:val="20"/>
        </w:rPr>
      </w:r>
    </w:p>
    <w:p>
      <w:pPr>
        <w:pStyle w:val="Normal"/>
        <w:spacing w:lineRule="auto" w:line="240" w:before="0" w:after="0"/>
        <w:jc w:val="both"/>
        <w:rPr>
          <w:rFonts w:ascii="Tahoma" w:hAnsi="Tahoma" w:cs="Tahoma"/>
          <w:i/>
          <w:i/>
          <w:iCs/>
          <w:color w:val="000000"/>
          <w:sz w:val="20"/>
          <w:szCs w:val="20"/>
        </w:rPr>
      </w:pPr>
      <w:r>
        <w:rPr>
          <w:rFonts w:cs="Tahoma" w:ascii="Tahoma" w:hAnsi="Tahoma"/>
          <w:i/>
          <w:iCs/>
          <w:color w:val="000000"/>
          <w:sz w:val="20"/>
          <w:szCs w:val="20"/>
        </w:rPr>
        <w:t xml:space="preserve">Para lo anterior, preparó el documento denominado “Medidas adicionales de protección para las personas con discapacidad en atención a la declaratoria de Emergencia Nacional en Costa Rica por el COVID-19”, el cual adjunto para su conocimiento. </w:t>
      </w:r>
    </w:p>
    <w:p>
      <w:pPr>
        <w:pStyle w:val="Normal"/>
        <w:spacing w:lineRule="auto" w:line="240" w:before="0" w:after="0"/>
        <w:rPr>
          <w:rFonts w:ascii="Tahoma" w:hAnsi="Tahoma" w:cs="Tahoma"/>
          <w:i/>
          <w:i/>
          <w:iCs/>
          <w:color w:val="000000"/>
          <w:sz w:val="20"/>
          <w:szCs w:val="20"/>
        </w:rPr>
      </w:pPr>
      <w:r>
        <w:rPr>
          <w:rFonts w:cs="Tahoma" w:ascii="Tahoma" w:hAnsi="Tahoma"/>
          <w:i/>
          <w:iCs/>
          <w:color w:val="000000"/>
          <w:sz w:val="20"/>
          <w:szCs w:val="20"/>
        </w:rPr>
      </w:r>
    </w:p>
    <w:p>
      <w:pPr>
        <w:pStyle w:val="Normal"/>
        <w:spacing w:lineRule="auto" w:line="240" w:before="0" w:after="0"/>
        <w:jc w:val="both"/>
        <w:rPr>
          <w:rFonts w:ascii="Tahoma" w:hAnsi="Tahoma" w:cs="Tahoma"/>
          <w:i/>
          <w:i/>
          <w:iCs/>
          <w:color w:val="000000"/>
          <w:sz w:val="20"/>
          <w:szCs w:val="20"/>
        </w:rPr>
      </w:pPr>
      <w:r>
        <w:rPr>
          <w:rFonts w:cs="Tahoma" w:ascii="Tahoma" w:hAnsi="Tahoma"/>
          <w:i/>
          <w:iCs/>
          <w:color w:val="000000"/>
          <w:sz w:val="20"/>
          <w:szCs w:val="20"/>
        </w:rPr>
        <w:t xml:space="preserve">Una de las medidas se refiere al tema de la violencia intrafamiliar hacia las personas con discapacidad. Esta indica lo siguiente: </w:t>
      </w:r>
    </w:p>
    <w:p>
      <w:pPr>
        <w:pStyle w:val="Normal"/>
        <w:spacing w:lineRule="auto" w:line="240" w:before="0" w:after="0"/>
        <w:rPr>
          <w:rFonts w:ascii="Tahoma" w:hAnsi="Tahoma" w:cs="Tahoma"/>
          <w:i/>
          <w:i/>
          <w:iCs/>
          <w:color w:val="000000"/>
          <w:sz w:val="20"/>
          <w:szCs w:val="20"/>
        </w:rPr>
      </w:pPr>
      <w:r>
        <w:rPr>
          <w:rFonts w:cs="Tahoma" w:ascii="Tahoma" w:hAnsi="Tahoma"/>
          <w:i/>
          <w:iCs/>
          <w:color w:val="000000"/>
          <w:sz w:val="20"/>
          <w:szCs w:val="20"/>
        </w:rPr>
      </w:r>
    </w:p>
    <w:p>
      <w:pPr>
        <w:pStyle w:val="Normal"/>
        <w:spacing w:lineRule="auto" w:line="240" w:before="0" w:after="0"/>
        <w:jc w:val="both"/>
        <w:rPr>
          <w:rFonts w:ascii="Tahoma" w:hAnsi="Tahoma" w:cs="Tahoma"/>
          <w:i/>
          <w:i/>
          <w:iCs/>
          <w:color w:val="000000"/>
          <w:sz w:val="20"/>
          <w:szCs w:val="20"/>
        </w:rPr>
      </w:pPr>
      <w:r>
        <w:rPr>
          <w:rFonts w:cs="Tahoma" w:ascii="Tahoma" w:hAnsi="Tahoma"/>
          <w:i/>
          <w:iCs/>
          <w:color w:val="000000"/>
          <w:sz w:val="20"/>
          <w:szCs w:val="20"/>
        </w:rPr>
        <w:t xml:space="preserve">24. Ante la violencia intrafamiliar es pertinente engranar la coordinación interinstitucional con las autoridades del Ministerio de Seguridad y Fiscalía con el fin de reforzar y hacer accesibles los protocolos existentes y garantizar así la atención a esta población que suele ser más vulnerable en momentos donde toda la familia está en el hogar. </w:t>
      </w:r>
    </w:p>
    <w:p>
      <w:pPr>
        <w:pStyle w:val="Normal"/>
        <w:spacing w:lineRule="auto" w:line="240" w:before="0" w:after="0"/>
        <w:rPr>
          <w:rFonts w:ascii="Tahoma" w:hAnsi="Tahoma" w:cs="Tahoma"/>
          <w:i/>
          <w:i/>
          <w:iCs/>
          <w:color w:val="000000"/>
          <w:sz w:val="20"/>
          <w:szCs w:val="20"/>
        </w:rPr>
      </w:pPr>
      <w:r>
        <w:rPr>
          <w:rFonts w:cs="Tahoma" w:ascii="Tahoma" w:hAnsi="Tahoma"/>
          <w:i/>
          <w:iCs/>
          <w:color w:val="000000"/>
          <w:sz w:val="20"/>
          <w:szCs w:val="20"/>
        </w:rPr>
      </w:r>
    </w:p>
    <w:p>
      <w:pPr>
        <w:pStyle w:val="Normal"/>
        <w:spacing w:lineRule="auto" w:line="240" w:before="0" w:after="0"/>
        <w:jc w:val="both"/>
        <w:rPr>
          <w:rFonts w:ascii="Tahoma" w:hAnsi="Tahoma" w:cs="Tahoma"/>
          <w:i/>
          <w:i/>
          <w:iCs/>
          <w:sz w:val="20"/>
          <w:szCs w:val="20"/>
        </w:rPr>
      </w:pPr>
      <w:r>
        <w:rPr>
          <w:rFonts w:cs="Tahoma" w:ascii="Tahoma" w:hAnsi="Tahoma"/>
          <w:i/>
          <w:iCs/>
          <w:color w:val="000000"/>
          <w:sz w:val="20"/>
          <w:szCs w:val="20"/>
        </w:rPr>
        <w:t xml:space="preserve">En particular, ante las consecuencias del distanciamiento social que amerita a la permanencia en los hogares y la desvinculación física con el entorno social, económico, laboral y público, e </w:t>
      </w:r>
      <w:r>
        <w:rPr>
          <w:rFonts w:cs="Tahoma" w:ascii="Tahoma" w:hAnsi="Tahoma"/>
          <w:i/>
          <w:iCs/>
          <w:sz w:val="20"/>
          <w:szCs w:val="20"/>
        </w:rPr>
        <w:t xml:space="preserve">incluso con las repercusiones en la pérdida o reducción del empleo e ingresos, se constituyen en factores de riesgo por violencia hacia las personas con discapacidad. </w:t>
      </w:r>
    </w:p>
    <w:p>
      <w:pPr>
        <w:pStyle w:val="Normal"/>
        <w:spacing w:lineRule="auto" w:line="240" w:before="0" w:after="0"/>
        <w:rPr>
          <w:rFonts w:ascii="Tahoma" w:hAnsi="Tahoma" w:cs="Tahoma"/>
          <w:i/>
          <w:i/>
          <w:iCs/>
          <w:sz w:val="20"/>
          <w:szCs w:val="20"/>
        </w:rPr>
      </w:pPr>
      <w:r>
        <w:rPr>
          <w:rFonts w:cs="Tahoma" w:ascii="Tahoma" w:hAnsi="Tahoma"/>
          <w:i/>
          <w:iCs/>
          <w:sz w:val="20"/>
          <w:szCs w:val="20"/>
        </w:rPr>
      </w:r>
    </w:p>
    <w:p>
      <w:pPr>
        <w:pStyle w:val="Normal"/>
        <w:spacing w:lineRule="auto" w:line="240" w:before="0" w:after="0"/>
        <w:jc w:val="both"/>
        <w:rPr>
          <w:rFonts w:ascii="Tahoma" w:hAnsi="Tahoma" w:cs="Tahoma"/>
          <w:i/>
          <w:i/>
          <w:iCs/>
          <w:sz w:val="20"/>
          <w:szCs w:val="20"/>
        </w:rPr>
      </w:pPr>
      <w:r>
        <w:rPr>
          <w:rFonts w:cs="Tahoma" w:ascii="Tahoma" w:hAnsi="Tahoma"/>
          <w:i/>
          <w:iCs/>
          <w:sz w:val="20"/>
          <w:szCs w:val="20"/>
        </w:rPr>
        <w:t xml:space="preserve">Con base en lo anterior, se exhorta de manera respetuosa al Poder Judicial a la adopción de medidas excepcionales tendientes a la protección y seguridad de las personas con discapacidad víctimas de violencia intrafamiliar, que pueda llevarse a cabo por parte de la Fiscalía, los Juzgados de Violencia Doméstica y el apoyo psicosocial que se brinda, durante esta emergencia, así como a establecer medidas para la fase de recuperación. De igual manera, se hace extensivo a otros ámbitos de actuación judicial, como son el Organismo de Investigación Judicial. Entre estas medidas, pueden situarse: </w:t>
      </w:r>
    </w:p>
    <w:p>
      <w:pPr>
        <w:pStyle w:val="Normal"/>
        <w:spacing w:lineRule="auto" w:line="240" w:before="0" w:after="0"/>
        <w:rPr>
          <w:rFonts w:ascii="Tahoma" w:hAnsi="Tahoma" w:cs="Tahoma"/>
          <w:i/>
          <w:i/>
          <w:iCs/>
          <w:sz w:val="20"/>
          <w:szCs w:val="20"/>
        </w:rPr>
      </w:pPr>
      <w:r>
        <w:rPr>
          <w:rFonts w:cs="Tahoma" w:ascii="Tahoma" w:hAnsi="Tahoma"/>
          <w:i/>
          <w:iCs/>
          <w:sz w:val="20"/>
          <w:szCs w:val="20"/>
        </w:rPr>
      </w:r>
    </w:p>
    <w:p>
      <w:pPr>
        <w:pStyle w:val="Normal"/>
        <w:spacing w:lineRule="auto" w:line="240" w:before="0" w:after="0"/>
        <w:jc w:val="both"/>
        <w:rPr>
          <w:rFonts w:ascii="Tahoma" w:hAnsi="Tahoma" w:cs="Tahoma"/>
          <w:i/>
          <w:i/>
          <w:iCs/>
          <w:sz w:val="20"/>
          <w:szCs w:val="20"/>
        </w:rPr>
      </w:pPr>
      <w:r>
        <w:rPr>
          <w:rFonts w:cs="Tahoma" w:ascii="Tahoma" w:hAnsi="Tahoma"/>
          <w:i/>
          <w:iCs/>
          <w:sz w:val="20"/>
          <w:szCs w:val="20"/>
        </w:rPr>
        <w:t xml:space="preserve">a) Atención prioritaria de las personas con discapacidad víctima de diversas formas de violencia. </w:t>
      </w:r>
    </w:p>
    <w:p>
      <w:pPr>
        <w:pStyle w:val="Normal"/>
        <w:spacing w:lineRule="auto" w:line="240" w:before="0" w:after="0"/>
        <w:jc w:val="both"/>
        <w:rPr>
          <w:rFonts w:ascii="Tahoma" w:hAnsi="Tahoma" w:cs="Tahoma"/>
          <w:i/>
          <w:i/>
          <w:iCs/>
          <w:sz w:val="20"/>
          <w:szCs w:val="20"/>
        </w:rPr>
      </w:pPr>
      <w:r>
        <w:rPr>
          <w:rFonts w:cs="Tahoma" w:ascii="Tahoma" w:hAnsi="Tahoma"/>
          <w:i/>
          <w:iCs/>
          <w:sz w:val="20"/>
          <w:szCs w:val="20"/>
        </w:rPr>
        <w:t xml:space="preserve">b) La protección de víctimas y testigos con discapacidad considerará las medidas sanitarias indicadas por el Ministerio de Salud, para reducir el riesgo al contagio. </w:t>
      </w:r>
    </w:p>
    <w:p>
      <w:pPr>
        <w:pStyle w:val="Normal"/>
        <w:spacing w:lineRule="auto" w:line="240" w:before="0" w:after="0"/>
        <w:jc w:val="both"/>
        <w:rPr>
          <w:rFonts w:ascii="Tahoma" w:hAnsi="Tahoma" w:cs="Tahoma"/>
          <w:i/>
          <w:i/>
          <w:iCs/>
          <w:sz w:val="20"/>
          <w:szCs w:val="20"/>
        </w:rPr>
      </w:pPr>
      <w:r>
        <w:rPr>
          <w:rFonts w:cs="Tahoma" w:ascii="Tahoma" w:hAnsi="Tahoma"/>
          <w:i/>
          <w:iCs/>
          <w:sz w:val="20"/>
          <w:szCs w:val="20"/>
        </w:rPr>
        <w:t xml:space="preserve">c) Las personas con discapacidad que se encuentren detenidas en las celdas del OIJ deberán estar distanciadas de conformidad con los lineamientos del Ministerio de Salud y que sus productos de apoyo tengan la limpieza necesaria por encontrarse en contacto con el medio. Para lo anterior, es necesario que se les provea de los insumos de limpieza. </w:t>
      </w:r>
    </w:p>
    <w:p>
      <w:pPr>
        <w:pStyle w:val="Normal"/>
        <w:spacing w:lineRule="auto" w:line="240" w:before="0" w:after="0"/>
        <w:jc w:val="both"/>
        <w:rPr>
          <w:rFonts w:ascii="Tahoma" w:hAnsi="Tahoma" w:cs="Tahoma"/>
          <w:i/>
          <w:i/>
          <w:iCs/>
          <w:sz w:val="20"/>
          <w:szCs w:val="20"/>
        </w:rPr>
      </w:pPr>
      <w:r>
        <w:rPr>
          <w:rFonts w:cs="Tahoma" w:ascii="Tahoma" w:hAnsi="Tahoma"/>
          <w:i/>
          <w:iCs/>
          <w:sz w:val="20"/>
          <w:szCs w:val="20"/>
        </w:rPr>
        <w:t xml:space="preserve">d) Consideración de ajustes razonables a personas con discapacidad en los procesos judiciales, especialmente en el contexto de la presente emergencia sanitaria. </w:t>
      </w:r>
    </w:p>
    <w:p>
      <w:pPr>
        <w:pStyle w:val="Normal"/>
        <w:spacing w:lineRule="auto" w:line="240" w:before="0" w:after="0"/>
        <w:jc w:val="both"/>
        <w:rPr>
          <w:rFonts w:ascii="Tahoma" w:hAnsi="Tahoma" w:cs="Tahoma"/>
          <w:i/>
          <w:i/>
          <w:iCs/>
          <w:sz w:val="20"/>
          <w:szCs w:val="20"/>
        </w:rPr>
      </w:pPr>
      <w:r>
        <w:rPr>
          <w:rFonts w:cs="Tahoma" w:ascii="Tahoma" w:hAnsi="Tahoma"/>
          <w:i/>
          <w:iCs/>
          <w:sz w:val="20"/>
          <w:szCs w:val="20"/>
        </w:rPr>
        <w:t xml:space="preserve">e) Habilitación de línea telefónica accesible con los Juzgados de Violencia Doméstica, en formatos accesibles (voz, señas, texto). </w:t>
      </w:r>
    </w:p>
    <w:p>
      <w:pPr>
        <w:pStyle w:val="Normal"/>
        <w:spacing w:lineRule="auto" w:line="240" w:before="0" w:after="0"/>
        <w:jc w:val="both"/>
        <w:rPr>
          <w:rFonts w:ascii="Tahoma" w:hAnsi="Tahoma" w:cs="Tahoma"/>
          <w:i/>
          <w:i/>
          <w:iCs/>
          <w:sz w:val="20"/>
          <w:szCs w:val="20"/>
        </w:rPr>
      </w:pPr>
      <w:r>
        <w:rPr>
          <w:rFonts w:cs="Tahoma" w:ascii="Tahoma" w:hAnsi="Tahoma"/>
          <w:i/>
          <w:iCs/>
          <w:sz w:val="20"/>
          <w:szCs w:val="20"/>
        </w:rPr>
        <w:t xml:space="preserve">f) La consideración por parte de jueces y juezas de Violencia Doméstica sobre la posibilidad de adopción de medidas atípicas cuando en el proceso judicial, se encuentre involucrada una persona con discapacidad, teniendo en cuenta los riesgos asociados a las implicaciones sanitarias, sociales y económicas generadas por el COVID-19. </w:t>
      </w:r>
    </w:p>
    <w:p>
      <w:pPr>
        <w:pStyle w:val="Normal"/>
        <w:spacing w:lineRule="auto" w:line="240" w:before="0" w:after="0"/>
        <w:jc w:val="both"/>
        <w:rPr>
          <w:rFonts w:ascii="Tahoma" w:hAnsi="Tahoma" w:cs="Tahoma"/>
          <w:i/>
          <w:i/>
          <w:iCs/>
          <w:sz w:val="20"/>
          <w:szCs w:val="20"/>
        </w:rPr>
      </w:pPr>
      <w:r>
        <w:rPr>
          <w:rFonts w:cs="Tahoma" w:ascii="Tahoma" w:hAnsi="Tahoma"/>
          <w:i/>
          <w:iCs/>
          <w:sz w:val="20"/>
          <w:szCs w:val="20"/>
        </w:rPr>
        <w:t xml:space="preserve">g) De manera general, resulta fundamental que en el plan de abordaje ante la emergencia del COVID-19 que realice el Poder Judicial, tenga en cuenta e implemente la perspectiva de derechos de las personas con discapacidad, de manera que la respuesta institucional sea inclusiva de esta, tanto en la fase de atención como en la recuperación, con medidas procesales, de organización y gestión que faciliten la inclusión y protección particular de dicha población. </w:t>
      </w:r>
    </w:p>
    <w:p>
      <w:pPr>
        <w:pStyle w:val="Normal"/>
        <w:spacing w:lineRule="auto" w:line="240" w:before="0" w:after="0"/>
        <w:jc w:val="both"/>
        <w:rPr>
          <w:rFonts w:ascii="Tahoma" w:hAnsi="Tahoma" w:cs="Tahoma"/>
          <w:i/>
          <w:i/>
          <w:iCs/>
          <w:sz w:val="20"/>
          <w:szCs w:val="20"/>
        </w:rPr>
      </w:pPr>
      <w:r>
        <w:rPr>
          <w:rFonts w:cs="Tahoma" w:ascii="Tahoma" w:hAnsi="Tahoma"/>
          <w:i/>
          <w:iCs/>
          <w:sz w:val="20"/>
          <w:szCs w:val="20"/>
        </w:rPr>
      </w:r>
    </w:p>
    <w:p>
      <w:pPr>
        <w:pStyle w:val="Normal"/>
        <w:spacing w:lineRule="auto" w:line="240" w:before="0" w:after="0"/>
        <w:jc w:val="both"/>
        <w:rPr>
          <w:rFonts w:ascii="Tahoma" w:hAnsi="Tahoma" w:cs="Tahoma"/>
          <w:i/>
          <w:i/>
          <w:iCs/>
          <w:sz w:val="20"/>
          <w:szCs w:val="20"/>
        </w:rPr>
      </w:pPr>
      <w:r>
        <w:rPr>
          <w:rFonts w:cs="Tahoma" w:ascii="Tahoma" w:hAnsi="Tahoma"/>
          <w:i/>
          <w:iCs/>
          <w:sz w:val="20"/>
          <w:szCs w:val="20"/>
        </w:rPr>
        <w:t xml:space="preserve">De igual manera, le informo que el Conapdis se encuentra realizando acciones hacia el Ministerio de Seguridad Pública, a fin de que este adopte medidas en relación con el tema de violencia intrafamiliar hacia personas con discapacidad, durante la presente emergencia, de modo que contribuya a la articulación de acciones entre instituciones y Poderes de la República. </w:t>
      </w:r>
    </w:p>
    <w:p>
      <w:pPr>
        <w:pStyle w:val="Normal"/>
        <w:spacing w:lineRule="auto" w:line="240" w:before="0" w:after="0"/>
        <w:rPr>
          <w:rFonts w:ascii="Tahoma" w:hAnsi="Tahoma" w:cs="Tahoma"/>
          <w:i/>
          <w:i/>
          <w:iCs/>
          <w:sz w:val="20"/>
          <w:szCs w:val="20"/>
        </w:rPr>
      </w:pPr>
      <w:r>
        <w:rPr>
          <w:rFonts w:cs="Tahoma" w:ascii="Tahoma" w:hAnsi="Tahoma"/>
          <w:i/>
          <w:iCs/>
          <w:sz w:val="20"/>
          <w:szCs w:val="20"/>
        </w:rPr>
      </w:r>
    </w:p>
    <w:p>
      <w:pPr>
        <w:pStyle w:val="Normal"/>
        <w:spacing w:lineRule="auto" w:line="240" w:before="0" w:after="0"/>
        <w:rPr>
          <w:rFonts w:ascii="Tahoma" w:hAnsi="Tahoma" w:cs="Tahoma"/>
          <w:i/>
          <w:i/>
          <w:iCs/>
          <w:sz w:val="20"/>
          <w:szCs w:val="20"/>
        </w:rPr>
      </w:pPr>
      <w:r>
        <w:rPr>
          <w:rFonts w:cs="Tahoma" w:ascii="Tahoma" w:hAnsi="Tahoma"/>
          <w:i/>
          <w:iCs/>
          <w:sz w:val="20"/>
          <w:szCs w:val="20"/>
        </w:rPr>
        <w:t xml:space="preserve">Reciba las muestras de mi consideración y estima. </w:t>
      </w:r>
    </w:p>
    <w:p>
      <w:pPr>
        <w:pStyle w:val="Normal"/>
        <w:spacing w:lineRule="auto" w:line="240" w:before="0" w:after="0"/>
        <w:rPr>
          <w:rFonts w:ascii="Tahoma" w:hAnsi="Tahoma" w:cs="Tahoma"/>
          <w:i/>
          <w:i/>
          <w:iCs/>
          <w:sz w:val="20"/>
          <w:szCs w:val="20"/>
        </w:rPr>
      </w:pPr>
      <w:r>
        <w:rPr>
          <w:rFonts w:cs="Tahoma" w:ascii="Tahoma" w:hAnsi="Tahoma"/>
          <w:i/>
          <w:iCs/>
          <w:sz w:val="20"/>
          <w:szCs w:val="20"/>
        </w:rPr>
      </w:r>
    </w:p>
    <w:p>
      <w:pPr>
        <w:pStyle w:val="Normal"/>
        <w:spacing w:lineRule="auto" w:line="240" w:before="0" w:after="0"/>
        <w:rPr>
          <w:rFonts w:ascii="Tahoma" w:hAnsi="Tahoma" w:cs="Tahoma"/>
          <w:i/>
          <w:i/>
          <w:iCs/>
          <w:sz w:val="20"/>
          <w:szCs w:val="20"/>
        </w:rPr>
      </w:pPr>
      <w:r>
        <w:rPr>
          <w:rFonts w:cs="Tahoma" w:ascii="Tahoma" w:hAnsi="Tahoma"/>
          <w:i/>
          <w:iCs/>
          <w:sz w:val="20"/>
          <w:szCs w:val="20"/>
        </w:rPr>
        <w:t xml:space="preserve">Atentamente, </w:t>
      </w:r>
    </w:p>
    <w:p>
      <w:pPr>
        <w:pStyle w:val="Normal"/>
        <w:spacing w:lineRule="auto" w:line="240" w:before="0" w:after="0"/>
        <w:rPr>
          <w:rFonts w:ascii="Tahoma" w:hAnsi="Tahoma" w:cs="Tahoma"/>
          <w:b/>
          <w:b/>
          <w:bCs/>
          <w:i/>
          <w:i/>
          <w:iCs/>
          <w:sz w:val="20"/>
          <w:szCs w:val="20"/>
        </w:rPr>
      </w:pPr>
      <w:r>
        <w:rPr>
          <w:rFonts w:cs="Tahoma" w:ascii="Tahoma" w:hAnsi="Tahoma"/>
          <w:b/>
          <w:bCs/>
          <w:i/>
          <w:iCs/>
          <w:sz w:val="20"/>
          <w:szCs w:val="20"/>
        </w:rPr>
      </w:r>
    </w:p>
    <w:p>
      <w:pPr>
        <w:pStyle w:val="Normal"/>
        <w:spacing w:lineRule="auto" w:line="240" w:before="0" w:after="0"/>
        <w:rPr>
          <w:rFonts w:ascii="Tahoma" w:hAnsi="Tahoma" w:cs="Tahoma"/>
          <w:i/>
          <w:i/>
          <w:iCs/>
          <w:sz w:val="20"/>
          <w:szCs w:val="20"/>
        </w:rPr>
      </w:pPr>
      <w:r>
        <w:rPr>
          <w:rFonts w:cs="Tahoma" w:ascii="Tahoma" w:hAnsi="Tahoma"/>
          <w:b/>
          <w:bCs/>
          <w:i/>
          <w:iCs/>
          <w:sz w:val="20"/>
          <w:szCs w:val="20"/>
        </w:rPr>
        <w:t xml:space="preserve">Lizbeth Barrantes Arroyo </w:t>
      </w:r>
    </w:p>
    <w:p>
      <w:pPr>
        <w:pStyle w:val="Normal"/>
        <w:spacing w:lineRule="auto" w:line="240" w:before="0" w:after="0"/>
        <w:rPr>
          <w:rFonts w:ascii="Tahoma" w:hAnsi="Tahoma" w:cs="Tahoma"/>
          <w:b/>
          <w:b/>
          <w:bCs/>
          <w:i/>
          <w:i/>
          <w:iCs/>
          <w:sz w:val="20"/>
          <w:szCs w:val="20"/>
        </w:rPr>
      </w:pPr>
      <w:r>
        <w:rPr>
          <w:rFonts w:cs="Tahoma" w:ascii="Tahoma" w:hAnsi="Tahoma"/>
          <w:b/>
          <w:bCs/>
          <w:i/>
          <w:iCs/>
          <w:sz w:val="20"/>
          <w:szCs w:val="20"/>
        </w:rPr>
        <w:t xml:space="preserve">Directora Ejecutiva </w:t>
      </w:r>
    </w:p>
    <w:p>
      <w:pPr>
        <w:pStyle w:val="Normal"/>
        <w:spacing w:lineRule="auto" w:line="240" w:before="0" w:after="0"/>
        <w:rPr>
          <w:rFonts w:ascii="Tahoma" w:hAnsi="Tahoma" w:cs="Tahoma"/>
          <w:b/>
          <w:b/>
          <w:bCs/>
          <w:i/>
          <w:i/>
          <w:iCs/>
          <w:sz w:val="20"/>
          <w:szCs w:val="20"/>
        </w:rPr>
      </w:pPr>
      <w:r>
        <w:rPr>
          <w:rFonts w:cs="Tahoma" w:ascii="Tahoma" w:hAnsi="Tahoma"/>
          <w:b/>
          <w:bCs/>
          <w:i/>
          <w:iCs/>
          <w:sz w:val="20"/>
          <w:szCs w:val="20"/>
        </w:rPr>
      </w:r>
    </w:p>
    <w:p>
      <w:pPr>
        <w:pStyle w:val="Normal"/>
        <w:spacing w:lineRule="auto" w:line="240" w:before="0" w:after="0"/>
        <w:rPr>
          <w:rFonts w:ascii="Tahoma" w:hAnsi="Tahoma" w:cs="Tahoma"/>
          <w:b/>
          <w:b/>
          <w:bCs/>
          <w:i/>
          <w:i/>
          <w:iCs/>
          <w:sz w:val="20"/>
          <w:szCs w:val="20"/>
        </w:rPr>
      </w:pPr>
      <w:r>
        <w:rPr/>
        <w:object>
          <v:shape id="ole_rId9" style="width:76pt;height:49.5pt" o:ole="">
            <v:imagedata r:id="rId10" o:title=""/>
          </v:shape>
          <o:OLEObject Type="Embed" ProgID="AcroExch.Document.DC" ShapeID="ole_rId9" DrawAspect="Icon" ObjectID="_30406740" r:id="rId9"/>
        </w:object>
      </w:r>
    </w:p>
    <w:p>
      <w:pPr>
        <w:pStyle w:val="Normal"/>
        <w:spacing w:lineRule="auto" w:line="240" w:before="0" w:after="0"/>
        <w:rPr>
          <w:rFonts w:ascii="Tahoma" w:hAnsi="Tahoma" w:cs="Tahoma"/>
          <w:b/>
          <w:b/>
          <w:bCs/>
          <w:i/>
          <w:i/>
          <w:iCs/>
          <w:sz w:val="20"/>
          <w:szCs w:val="20"/>
        </w:rPr>
      </w:pPr>
      <w:r>
        <w:rPr>
          <w:rFonts w:cs="Tahoma" w:ascii="Tahoma" w:hAnsi="Tahoma"/>
          <w:b/>
          <w:bCs/>
          <w:i/>
          <w:iCs/>
          <w:sz w:val="20"/>
          <w:szCs w:val="20"/>
        </w:rPr>
      </w:r>
    </w:p>
    <w:p>
      <w:pPr>
        <w:pStyle w:val="Normal"/>
        <w:tabs>
          <w:tab w:val="clear" w:pos="708"/>
          <w:tab w:val="left" w:pos="1875" w:leader="none"/>
        </w:tabs>
        <w:jc w:val="both"/>
        <w:rPr>
          <w:rFonts w:ascii="Tahoma" w:hAnsi="Tahoma" w:cs="Tahoma"/>
          <w:sz w:val="20"/>
          <w:szCs w:val="20"/>
        </w:rPr>
      </w:pPr>
      <w:r>
        <w:rPr>
          <w:rFonts w:cs="Tahoma" w:ascii="Tahoma" w:hAnsi="Tahoma"/>
          <w:b/>
          <w:bCs/>
          <w:sz w:val="20"/>
          <w:szCs w:val="20"/>
          <w:u w:val="single"/>
        </w:rPr>
        <w:t>SE ACUERDA:</w:t>
      </w:r>
      <w:r>
        <w:rPr>
          <w:rFonts w:cs="Tahoma" w:ascii="Tahoma" w:hAnsi="Tahoma"/>
          <w:sz w:val="20"/>
          <w:szCs w:val="20"/>
        </w:rPr>
        <w:t xml:space="preserve"> Se toma nota del </w:t>
      </w:r>
      <w:r>
        <w:rPr>
          <w:rFonts w:cs="Tahoma" w:ascii="Tahoma" w:hAnsi="Tahoma"/>
          <w:color w:val="000000"/>
          <w:sz w:val="20"/>
          <w:szCs w:val="20"/>
          <w:lang w:val="en-US"/>
        </w:rPr>
        <w:t>O</w:t>
      </w:r>
      <w:r>
        <w:rPr>
          <w:rFonts w:cs="Tahoma" w:ascii="Tahoma" w:hAnsi="Tahoma"/>
          <w:sz w:val="20"/>
          <w:szCs w:val="20"/>
        </w:rPr>
        <w:t>ficio N° DE-500-2020, suscrito por la señora Lizbeth Barrantes en su condición de Directora Ejecutiva del CONAPDIS, informando sobre algunas acciones para las personas con discapacidad ante la pandemia de COVID-19, el cual fue puesto en conocimiento de la Subcomisión de Acceso a la Justicia de Pueblos Indígenas. Se acuerda trasladar al Consejo Superior el documento el citado Oficio con el objetivo de que valoren hacerlo de conocimiento de las personas servidoras judiciales con ocasión de la atención que debe darse ante la pandemia Covid-19 a las personas con discapacidad. Se declara este acuerdo firme por unanimidad y se dispone comunicarlo al Consejo Superior por medio de la Unidad de Acceso a la Justicia.-</w:t>
      </w:r>
    </w:p>
    <w:p>
      <w:pPr>
        <w:pStyle w:val="Normal"/>
        <w:tabs>
          <w:tab w:val="clear" w:pos="708"/>
          <w:tab w:val="left" w:pos="1875" w:leader="none"/>
        </w:tabs>
        <w:jc w:val="both"/>
        <w:rPr>
          <w:rFonts w:ascii="Tahoma" w:hAnsi="Tahoma" w:cs="Tahoma"/>
          <w:sz w:val="20"/>
          <w:szCs w:val="20"/>
        </w:rPr>
      </w:pPr>
      <w:r>
        <w:rPr>
          <w:rFonts w:cs="Tahoma" w:ascii="Tahoma" w:hAnsi="Tahoma"/>
          <w:sz w:val="20"/>
          <w:szCs w:val="20"/>
        </w:rPr>
      </w:r>
    </w:p>
    <w:p>
      <w:pPr>
        <w:pStyle w:val="Normal"/>
        <w:tabs>
          <w:tab w:val="clear" w:pos="708"/>
          <w:tab w:val="left" w:pos="1875" w:leader="none"/>
        </w:tabs>
        <w:spacing w:before="0" w:after="200"/>
        <w:jc w:val="both"/>
        <w:rPr>
          <w:rFonts w:ascii="Tahoma" w:hAnsi="Tahoma" w:cs="Tahoma"/>
          <w:sz w:val="20"/>
          <w:szCs w:val="20"/>
        </w:rPr>
      </w:pPr>
      <w:r>
        <w:rPr/>
      </w:r>
    </w:p>
    <w:sectPr>
      <w:headerReference w:type="default" r:id="rId11"/>
      <w:type w:val="nextPage"/>
      <w:pgSz w:w="12240" w:h="15840"/>
      <w:pgMar w:left="1701" w:right="1701" w:header="708" w:top="1417" w:footer="0" w:bottom="1417"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Arial">
    <w:charset w:val="00"/>
    <w:family w:val="roman"/>
    <w:pitch w:val="variable"/>
  </w:font>
  <w:font w:name="Tahoma">
    <w:charset w:val="00"/>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b/>
        <w:b/>
        <w:i/>
        <w:i/>
      </w:rPr>
    </w:pPr>
    <w:r>
      <w:rPr>
        <w:b/>
        <w:i/>
      </w:rPr>
      <w:t>Subcomisión de Acceso a la Justicia de Personas en Situación de Discapacidad</w:t>
    </w:r>
  </w:p>
  <w:p>
    <w:pPr>
      <w:pStyle w:val="Cabecera"/>
      <w:jc w:val="center"/>
      <w:rPr>
        <w:b/>
        <w:b/>
        <w:i/>
        <w:i/>
      </w:rPr>
    </w:pPr>
    <w:r>
      <w:rPr>
        <w:b/>
        <w:i/>
      </w:rPr>
      <w:t>Comisión de Acceso a la Justicia</w:t>
    </w:r>
  </w:p>
  <w:p>
    <w:pPr>
      <w:pStyle w:val="Cabecera"/>
      <w:jc w:val="center"/>
      <w:rPr>
        <w:b/>
        <w:b/>
        <w:i/>
        <w:i/>
      </w:rPr>
    </w:pPr>
    <w:r>
      <w:rPr>
        <w:b/>
        <w:i/>
      </w:rPr>
      <w:t>Poder Judicial</w:t>
    </w:r>
  </w:p>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13c39"/>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Ttulo3">
    <w:name w:val="Heading 3"/>
    <w:basedOn w:val="Normal"/>
    <w:next w:val="Normal"/>
    <w:link w:val="Ttulo3Car"/>
    <w:uiPriority w:val="9"/>
    <w:semiHidden/>
    <w:unhideWhenUsed/>
    <w:qFormat/>
    <w:rsid w:val="00ca66de"/>
    <w:pPr>
      <w:keepNext w:val="true"/>
      <w:keepLines/>
      <w:spacing w:lineRule="auto" w:line="259" w:before="200" w:after="0"/>
      <w:outlineLvl w:val="2"/>
    </w:pPr>
    <w:rPr>
      <w:rFonts w:ascii="Cambria" w:hAnsi="Cambria" w:eastAsia="" w:cs="" w:asciiTheme="majorHAnsi" w:cstheme="majorBidi" w:eastAsiaTheme="majorEastAsia" w:hAnsiTheme="majorHAnsi"/>
      <w:b/>
      <w:bCs/>
      <w:color w:val="4F81BD" w:themeColor="accent1"/>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5b1b15"/>
    <w:rPr/>
  </w:style>
  <w:style w:type="character" w:styleId="PiedepginaCar" w:customStyle="1">
    <w:name w:val="Pie de página Car"/>
    <w:basedOn w:val="DefaultParagraphFont"/>
    <w:link w:val="Piedepgina"/>
    <w:uiPriority w:val="99"/>
    <w:semiHidden/>
    <w:qFormat/>
    <w:rsid w:val="005b1b15"/>
    <w:rPr/>
  </w:style>
  <w:style w:type="character" w:styleId="EnlacedeInternet" w:customStyle="1">
    <w:name w:val="Enlace de Internet"/>
    <w:rsid w:val="00467d0b"/>
    <w:rPr>
      <w:color w:val="0000FF"/>
      <w:u w:val="single"/>
    </w:rPr>
  </w:style>
  <w:style w:type="character" w:styleId="Textoennegrita1" w:customStyle="1">
    <w:name w:val="Texto en negrita1"/>
    <w:qFormat/>
    <w:rsid w:val="00467d0b"/>
    <w:rPr>
      <w:rFonts w:cs="Times New Roman"/>
      <w:b/>
      <w:bCs/>
    </w:rPr>
  </w:style>
  <w:style w:type="character" w:styleId="TextoindependienteCar" w:customStyle="1">
    <w:name w:val="Texto independiente Car"/>
    <w:basedOn w:val="DefaultParagraphFont"/>
    <w:link w:val="Textoindependiente"/>
    <w:qFormat/>
    <w:rsid w:val="00467d0b"/>
    <w:rPr>
      <w:rFonts w:ascii="Calibri" w:hAnsi="Calibri" w:eastAsia="Times New Roman" w:cs="Times New Roman"/>
      <w:lang w:eastAsia="es-CR"/>
    </w:rPr>
  </w:style>
  <w:style w:type="character" w:styleId="Ttulo3Car" w:customStyle="1">
    <w:name w:val="Título 3 Car"/>
    <w:basedOn w:val="DefaultParagraphFont"/>
    <w:link w:val="Ttulo3"/>
    <w:uiPriority w:val="9"/>
    <w:semiHidden/>
    <w:qFormat/>
    <w:rsid w:val="00ca66de"/>
    <w:rPr>
      <w:rFonts w:ascii="Cambria" w:hAnsi="Cambria" w:eastAsia="" w:cs="" w:asciiTheme="majorHAnsi" w:cstheme="majorBidi" w:eastAsiaTheme="majorEastAsia" w:hAnsiTheme="majorHAnsi"/>
      <w:b/>
      <w:bCs/>
      <w:color w:val="4F81BD" w:themeColor="accent1"/>
    </w:rPr>
  </w:style>
  <w:style w:type="character" w:styleId="Strong">
    <w:name w:val="Strong"/>
    <w:uiPriority w:val="22"/>
    <w:qFormat/>
    <w:rsid w:val="00716e76"/>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link w:val="TextoindependienteCar"/>
    <w:rsid w:val="00467d0b"/>
    <w:pPr>
      <w:suppressAutoHyphens w:val="true"/>
      <w:spacing w:before="0" w:after="140"/>
    </w:pPr>
    <w:rPr>
      <w:rFonts w:ascii="Calibri" w:hAnsi="Calibri" w:eastAsia="Times New Roman" w:cs="Times New Roman"/>
      <w:lang w:eastAsia="es-C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Lucida Sans"/>
    </w:rPr>
  </w:style>
  <w:style w:type="paragraph" w:styleId="Ttulogeneral">
    <w:name w:val="Title"/>
    <w:basedOn w:val="Normal"/>
    <w:next w:val="Cuerpodetexto"/>
    <w:qFormat/>
    <w:pPr>
      <w:keepNext w:val="true"/>
      <w:spacing w:before="240" w:after="120"/>
    </w:pPr>
    <w:rPr>
      <w:rFonts w:ascii="Liberation Sans" w:hAnsi="Liberation Sans" w:eastAsia="Microsoft YaHei" w:cs="Lucida Sans"/>
      <w:sz w:val="28"/>
      <w:szCs w:val="28"/>
    </w:rPr>
  </w:style>
  <w:style w:type="paragraph" w:styleId="Caption">
    <w:name w:val="caption"/>
    <w:basedOn w:val="Normal"/>
    <w:qFormat/>
    <w:pPr>
      <w:suppressLineNumbers/>
      <w:spacing w:before="120" w:after="120"/>
    </w:pPr>
    <w:rPr>
      <w:rFonts w:cs="Lucida Sans"/>
      <w:i/>
      <w:iCs/>
      <w:sz w:val="24"/>
      <w:szCs w:val="24"/>
    </w:rPr>
  </w:style>
  <w:style w:type="paragraph" w:styleId="Cabeceraypie" w:customStyle="1">
    <w:name w:val="Cabecera y pie"/>
    <w:basedOn w:val="Normal"/>
    <w:qFormat/>
    <w:pPr/>
    <w:rPr/>
  </w:style>
  <w:style w:type="paragraph" w:styleId="Cabecera">
    <w:name w:val="Header"/>
    <w:basedOn w:val="Normal"/>
    <w:link w:val="EncabezadoCar"/>
    <w:uiPriority w:val="99"/>
    <w:unhideWhenUsed/>
    <w:rsid w:val="005b1b15"/>
    <w:pPr>
      <w:tabs>
        <w:tab w:val="clear" w:pos="708"/>
        <w:tab w:val="center" w:pos="4419" w:leader="none"/>
        <w:tab w:val="right" w:pos="8838" w:leader="none"/>
      </w:tabs>
      <w:spacing w:lineRule="auto" w:line="240" w:before="0" w:after="0"/>
    </w:pPr>
    <w:rPr/>
  </w:style>
  <w:style w:type="paragraph" w:styleId="Piedepgina">
    <w:name w:val="Footer"/>
    <w:basedOn w:val="Normal"/>
    <w:link w:val="PiedepginaCar"/>
    <w:uiPriority w:val="99"/>
    <w:semiHidden/>
    <w:unhideWhenUsed/>
    <w:rsid w:val="005b1b15"/>
    <w:pPr>
      <w:tabs>
        <w:tab w:val="clear" w:pos="708"/>
        <w:tab w:val="center" w:pos="4419" w:leader="none"/>
        <w:tab w:val="right" w:pos="8838" w:leader="none"/>
      </w:tabs>
      <w:spacing w:lineRule="auto" w:line="240" w:before="0" w:after="0"/>
    </w:pPr>
    <w:rPr/>
  </w:style>
  <w:style w:type="paragraph" w:styleId="ListParagraph">
    <w:name w:val="List Paragraph"/>
    <w:basedOn w:val="Normal"/>
    <w:uiPriority w:val="34"/>
    <w:qFormat/>
    <w:rsid w:val="005b1b15"/>
    <w:pPr>
      <w:spacing w:lineRule="auto" w:line="259" w:before="0" w:after="160"/>
      <w:ind w:left="720" w:hanging="0"/>
      <w:contextualSpacing/>
    </w:pPr>
    <w:rPr/>
  </w:style>
  <w:style w:type="paragraph" w:styleId="Sinespaciado1" w:customStyle="1">
    <w:name w:val="Sin espaciado1"/>
    <w:qFormat/>
    <w:rsid w:val="00467d0b"/>
    <w:pPr>
      <w:widowControl/>
      <w:suppressAutoHyphens w:val="true"/>
      <w:bidi w:val="0"/>
      <w:spacing w:before="0" w:after="0"/>
      <w:jc w:val="left"/>
    </w:pPr>
    <w:rPr>
      <w:rFonts w:eastAsia="Times New Roman" w:cs="Times New Roman" w:ascii="Calibri" w:hAnsi="Calibri" w:asciiTheme="minorHAnsi" w:hAnsiTheme="minorHAnsi"/>
      <w:color w:val="auto"/>
      <w:kern w:val="0"/>
      <w:sz w:val="22"/>
      <w:szCs w:val="22"/>
      <w:lang w:eastAsia="es-CR" w:val="es-CR" w:bidi="ar-SA"/>
    </w:rPr>
  </w:style>
  <w:style w:type="paragraph" w:styleId="Default" w:customStyle="1">
    <w:name w:val="Default"/>
    <w:qFormat/>
    <w:rsid w:val="0009652a"/>
    <w:pPr>
      <w:widowControl/>
      <w:bidi w:val="0"/>
      <w:spacing w:before="0" w:after="0"/>
      <w:jc w:val="left"/>
    </w:pPr>
    <w:rPr>
      <w:rFonts w:ascii="Arial" w:hAnsi="Arial" w:eastAsia="Times New Roman" w:cs="Arial"/>
      <w:color w:val="000000"/>
      <w:kern w:val="0"/>
      <w:sz w:val="24"/>
      <w:szCs w:val="24"/>
      <w:lang w:eastAsia="es-CR" w:val="es-CR" w:bidi="ar-SA"/>
    </w:rPr>
  </w:style>
  <w:style w:type="paragraph" w:styleId="NoSpacing">
    <w:name w:val="No Spacing"/>
    <w:uiPriority w:val="1"/>
    <w:qFormat/>
    <w:rsid w:val="00716e76"/>
    <w:pPr>
      <w:widowControl/>
      <w:bidi w:val="0"/>
      <w:spacing w:before="0" w:after="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Contenidodelmarco" w:customStyle="1">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39"/>
    <w:rsid w:val="00716e76"/>
    <w:rPr>
      <w:lang w:eastAsia="es-C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package" Target="embeddings/oleObject2.docx"/><Relationship Id="rId7" Type="http://schemas.openxmlformats.org/officeDocument/2006/relationships/image" Target="media/image6.wmf"/><Relationship Id="rId8" Type="http://schemas.openxmlformats.org/officeDocument/2006/relationships/image" Target="media/image7.wmf"/><Relationship Id="rId9" Type="http://schemas.openxmlformats.org/officeDocument/2006/relationships/oleObject" Target="embeddings/oleObject3.bin"/><Relationship Id="rId10" Type="http://schemas.openxmlformats.org/officeDocument/2006/relationships/image" Target="media/image8.wmf"/><Relationship Id="rId11" Type="http://schemas.openxmlformats.org/officeDocument/2006/relationships/header" Target="head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Application>LibreOffice/7.0.3.1$Windows_x86 LibreOffice_project/d7547858d014d4cf69878db179d326fc3483e082</Application>
  <Pages>13</Pages>
  <Words>4981</Words>
  <Characters>27158</Characters>
  <CharactersWithSpaces>32127</CharactersWithSpaces>
  <Paragraphs>233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2020-04-29T21:41:00Z</dcterms:created>
  <dc:creator>KSALAZARD</dc:creator>
  <dc:description/>
  <dc:language>es-CR</dc:language>
  <cp:lastModifiedBy>Melissa Benavides Víquez</cp:lastModifiedBy>
  <dcterms:modified xsi:type="dcterms:W3CDTF">2020-04-29T21:41:00Z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