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F4E" w:rsidRDefault="00D22F4E" w:rsidP="00D22F4E">
      <w:pPr>
        <w:widowControl/>
        <w:ind w:right="1077"/>
        <w:jc w:val="center"/>
        <w:rPr>
          <w:rFonts w:ascii="Verdana" w:hAnsi="Verdana" w:cs="Times New Roman"/>
          <w:b/>
          <w:bCs/>
          <w:color w:val="0066FF"/>
          <w:sz w:val="32"/>
          <w:szCs w:val="32"/>
          <w:lang w:val="es-CR"/>
        </w:rPr>
      </w:pPr>
      <w:r>
        <w:rPr>
          <w:rFonts w:ascii="Verdana" w:hAnsi="Verdana" w:cs="Times New Roman"/>
          <w:b/>
          <w:bCs/>
          <w:color w:val="0066FF"/>
          <w:sz w:val="32"/>
          <w:szCs w:val="32"/>
          <w:lang w:val="es-CR"/>
        </w:rPr>
        <w:t>REGLAMENTO GENERAL DE COMISIONES DE LA CORTE SUPREMA DE JUSTICIA</w:t>
      </w:r>
    </w:p>
    <w:p w:rsidR="00D22F4E" w:rsidRDefault="00D22F4E" w:rsidP="00D22F4E">
      <w:pPr>
        <w:pStyle w:val="Blockquote"/>
        <w:widowControl/>
        <w:ind w:left="1644" w:right="1077"/>
        <w:jc w:val="both"/>
        <w:rPr>
          <w:rFonts w:ascii="Verdana" w:hAnsi="Verdana" w:cs="Times New Roman"/>
          <w:b/>
          <w:bCs/>
          <w:color w:val="0066FF"/>
          <w:lang w:val="es-CR"/>
        </w:rPr>
      </w:pPr>
    </w:p>
    <w:p w:rsidR="00D22F4E" w:rsidRDefault="00D22F4E" w:rsidP="00D22F4E">
      <w:pPr>
        <w:pStyle w:val="Ttulo2"/>
        <w:widowControl/>
        <w:spacing w:before="0"/>
        <w:jc w:val="both"/>
        <w:rPr>
          <w:rFonts w:ascii="Times New Roman" w:hAnsi="Times New Roman" w:cs="Times New Roman"/>
          <w:b/>
          <w:bCs/>
          <w:lang w:val="es-CR"/>
        </w:rPr>
      </w:pPr>
      <w:bookmarkStart w:id="0" w:name="reglamentogeneraldecomisionesdelacortesu"/>
      <w:bookmarkEnd w:id="0"/>
    </w:p>
    <w:p w:rsidR="00D22F4E" w:rsidRDefault="00D22F4E" w:rsidP="00D22F4E">
      <w:pPr>
        <w:pStyle w:val="Ttulo2"/>
        <w:widowControl/>
        <w:spacing w:before="0"/>
        <w:jc w:val="both"/>
        <w:rPr>
          <w:rFonts w:ascii="Times New Roman" w:hAnsi="Times New Roman" w:cs="Times New Roman"/>
          <w:b/>
          <w:bCs/>
          <w:lang w:val="es-CR"/>
        </w:rPr>
      </w:pPr>
    </w:p>
    <w:p w:rsidR="00D22F4E" w:rsidRDefault="00D22F4E" w:rsidP="00D22F4E">
      <w:pPr>
        <w:pStyle w:val="Ttulo2"/>
        <w:widowControl/>
        <w:spacing w:before="0"/>
        <w:jc w:val="both"/>
        <w:rPr>
          <w:rFonts w:ascii="Times New Roman" w:hAnsi="Times New Roman" w:cs="Times New Roman"/>
          <w:b/>
          <w:bCs/>
          <w:lang w:val="es-CR"/>
        </w:rPr>
      </w:pPr>
    </w:p>
    <w:p w:rsidR="00D22F4E" w:rsidRDefault="00D22F4E" w:rsidP="00D22F4E">
      <w:pPr>
        <w:pStyle w:val="Ttulo2"/>
        <w:widowControl/>
        <w:spacing w:before="0"/>
        <w:jc w:val="both"/>
        <w:rPr>
          <w:rFonts w:ascii="Times New Roman" w:hAnsi="Times New Roman" w:cs="Times New Roman"/>
          <w:b/>
          <w:bCs/>
          <w:lang w:val="es-CR"/>
        </w:rPr>
      </w:pPr>
    </w:p>
    <w:p w:rsidR="00D22F4E" w:rsidRDefault="00D22F4E" w:rsidP="00D22F4E">
      <w:pPr>
        <w:pStyle w:val="Ttulo2"/>
        <w:widowControl/>
        <w:spacing w:before="0"/>
        <w:jc w:val="both"/>
        <w:rPr>
          <w:rFonts w:ascii="Verdana" w:hAnsi="Verdana" w:cs="Times New Roman"/>
          <w:b/>
          <w:bCs/>
          <w:sz w:val="22"/>
          <w:szCs w:val="22"/>
          <w:lang w:val="es-CR"/>
        </w:rPr>
      </w:pPr>
      <w:r>
        <w:rPr>
          <w:rFonts w:ascii="Verdana" w:hAnsi="Verdana" w:cs="Times New Roman"/>
          <w:b/>
          <w:bCs/>
          <w:sz w:val="22"/>
          <w:szCs w:val="22"/>
          <w:lang w:val="es-CR"/>
        </w:rPr>
        <w:t>REGLAMENTO GENERAL DE COMISIONES DE LA CORTE SUPREMA DE JUSTICIA</w:t>
      </w:r>
    </w:p>
    <w:p w:rsidR="00D22F4E" w:rsidRDefault="00D22F4E" w:rsidP="00D22F4E">
      <w:pPr>
        <w:pStyle w:val="Blockquote"/>
        <w:widowControl/>
        <w:spacing w:before="0" w:after="0"/>
        <w:ind w:left="0" w:right="0"/>
        <w:jc w:val="both"/>
        <w:rPr>
          <w:rFonts w:ascii="Verdana" w:hAnsi="Verdana" w:cs="Times New Roman"/>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1</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El presente Reglamento se aplicará a las Comisiones designadas por la Corte Plena.</w:t>
      </w:r>
      <w:r w:rsidR="00045A21">
        <w:rPr>
          <w:rFonts w:ascii="Verdana" w:hAnsi="Verdana" w:cs="Times New Roman"/>
          <w:sz w:val="22"/>
          <w:szCs w:val="22"/>
          <w:lang w:val="es-CR"/>
        </w:rPr>
        <w:t xml:space="preserve"> </w:t>
      </w:r>
      <w:r>
        <w:rPr>
          <w:rFonts w:ascii="Verdana" w:hAnsi="Verdana" w:cs="Times New Roman"/>
          <w:sz w:val="22"/>
          <w:szCs w:val="22"/>
          <w:lang w:val="es-CR"/>
        </w:rPr>
        <w:t>También se aplicará en lo conducente, a la participación de sus Miembros y otros funcionarios judiciales en las Comisiones Interinstitucionales y las específicamente relacionadas con las Comisiones Especiales a los Magistrados o funcionarios singulares a quienes la Corte encargue de misiones específicas.</w:t>
      </w:r>
    </w:p>
    <w:p w:rsidR="00045A21" w:rsidRDefault="00045A21" w:rsidP="00D22F4E">
      <w:pPr>
        <w:pStyle w:val="Blockquote"/>
        <w:widowControl/>
        <w:spacing w:before="0" w:after="0"/>
        <w:ind w:left="0" w:right="0"/>
        <w:jc w:val="both"/>
        <w:rPr>
          <w:rFonts w:ascii="Verdana" w:hAnsi="Verdana" w:cs="Times New Roman"/>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2</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Las Comisiones de </w:t>
      </w:r>
      <w:r w:rsidRPr="00045A21">
        <w:rPr>
          <w:rFonts w:ascii="Verdana" w:hAnsi="Verdana" w:cs="Times New Roman"/>
          <w:b/>
          <w:sz w:val="22"/>
          <w:szCs w:val="22"/>
          <w:u w:val="single"/>
          <w:lang w:val="es-CR"/>
        </w:rPr>
        <w:t>Corte Plena</w:t>
      </w:r>
      <w:r>
        <w:rPr>
          <w:rFonts w:ascii="Verdana" w:hAnsi="Verdana" w:cs="Times New Roman"/>
          <w:sz w:val="22"/>
          <w:szCs w:val="22"/>
          <w:lang w:val="es-CR"/>
        </w:rPr>
        <w:t xml:space="preserve"> se clasifican en:</w:t>
      </w:r>
    </w:p>
    <w:p w:rsidR="00045A21" w:rsidRDefault="00045A21" w:rsidP="00D22F4E">
      <w:pPr>
        <w:pStyle w:val="Blockquote"/>
        <w:widowControl/>
        <w:spacing w:before="0" w:after="0"/>
        <w:ind w:left="0" w:right="0"/>
        <w:jc w:val="both"/>
        <w:rPr>
          <w:rFonts w:ascii="Verdana" w:hAnsi="Verdana" w:cs="Times New Roman"/>
          <w:sz w:val="22"/>
          <w:szCs w:val="22"/>
          <w:lang w:val="es-CR"/>
        </w:rPr>
      </w:pPr>
    </w:p>
    <w:p w:rsidR="00D22F4E" w:rsidRDefault="00D22F4E" w:rsidP="00D22F4E">
      <w:pPr>
        <w:widowControl/>
        <w:numPr>
          <w:ilvl w:val="1"/>
          <w:numId w:val="1"/>
        </w:numPr>
        <w:jc w:val="both"/>
        <w:rPr>
          <w:rFonts w:ascii="Verdana" w:hAnsi="Verdana" w:cs="Times New Roman"/>
          <w:sz w:val="22"/>
          <w:szCs w:val="22"/>
        </w:rPr>
      </w:pPr>
      <w:r w:rsidRPr="00045A21">
        <w:rPr>
          <w:rFonts w:ascii="Verdana" w:hAnsi="Verdana" w:cs="Times New Roman"/>
          <w:b/>
          <w:sz w:val="22"/>
          <w:szCs w:val="22"/>
        </w:rPr>
        <w:t>Generales:</w:t>
      </w:r>
      <w:r>
        <w:rPr>
          <w:rFonts w:ascii="Verdana" w:hAnsi="Verdana" w:cs="Times New Roman"/>
          <w:sz w:val="22"/>
          <w:szCs w:val="22"/>
        </w:rPr>
        <w:t xml:space="preserve"> de carácter permanente, cuya materia y objetivos corresponden al funcionamiento normal y general de la Corte, inclusive algunas que serían, por su materia, especializadas, pero que atañen a problemas y a objetivos generales y permanentes del Poder Judicial. </w:t>
      </w:r>
    </w:p>
    <w:p w:rsidR="00045A21" w:rsidRDefault="00045A21" w:rsidP="00045A21">
      <w:pPr>
        <w:widowControl/>
        <w:jc w:val="both"/>
        <w:rPr>
          <w:rFonts w:ascii="Verdana" w:hAnsi="Verdana" w:cs="Times New Roman"/>
          <w:sz w:val="22"/>
          <w:szCs w:val="22"/>
        </w:rPr>
      </w:pPr>
    </w:p>
    <w:p w:rsidR="00D22F4E" w:rsidRDefault="00045A21" w:rsidP="00045A21">
      <w:pPr>
        <w:widowControl/>
        <w:jc w:val="both"/>
        <w:rPr>
          <w:rFonts w:ascii="Verdana" w:hAnsi="Verdana" w:cs="Times New Roman"/>
          <w:sz w:val="22"/>
          <w:szCs w:val="22"/>
        </w:rPr>
      </w:pPr>
      <w:r w:rsidRPr="00045A21">
        <w:rPr>
          <w:rFonts w:ascii="Verdana" w:hAnsi="Verdana" w:cs="Times New Roman"/>
          <w:b/>
          <w:sz w:val="22"/>
          <w:szCs w:val="22"/>
        </w:rPr>
        <w:t xml:space="preserve">2.- </w:t>
      </w:r>
      <w:r w:rsidR="00D22F4E" w:rsidRPr="00045A21">
        <w:rPr>
          <w:rFonts w:ascii="Verdana" w:hAnsi="Verdana" w:cs="Times New Roman"/>
          <w:b/>
          <w:sz w:val="22"/>
          <w:szCs w:val="22"/>
        </w:rPr>
        <w:t>Especializadas:</w:t>
      </w:r>
      <w:r w:rsidR="00D22F4E">
        <w:rPr>
          <w:rFonts w:ascii="Verdana" w:hAnsi="Verdana" w:cs="Times New Roman"/>
          <w:sz w:val="22"/>
          <w:szCs w:val="22"/>
        </w:rPr>
        <w:t xml:space="preserve"> de carácter permanente y con objetivos generales, pero en relación con materias determinadas, como las referidas a una Jurisdicción especial; </w:t>
      </w:r>
    </w:p>
    <w:p w:rsidR="00045A21" w:rsidRDefault="00045A21" w:rsidP="00045A21">
      <w:pPr>
        <w:widowControl/>
        <w:jc w:val="both"/>
        <w:rPr>
          <w:rFonts w:ascii="Verdana" w:hAnsi="Verdana" w:cs="Times New Roman"/>
          <w:sz w:val="22"/>
          <w:szCs w:val="22"/>
        </w:rPr>
      </w:pPr>
    </w:p>
    <w:p w:rsidR="00D22F4E" w:rsidRDefault="00045A21" w:rsidP="00045A21">
      <w:pPr>
        <w:widowControl/>
        <w:jc w:val="both"/>
        <w:rPr>
          <w:rFonts w:ascii="Verdana" w:hAnsi="Verdana" w:cs="Times New Roman"/>
          <w:sz w:val="22"/>
          <w:szCs w:val="22"/>
        </w:rPr>
      </w:pPr>
      <w:r w:rsidRPr="00045A21">
        <w:rPr>
          <w:rFonts w:ascii="Verdana" w:hAnsi="Verdana" w:cs="Times New Roman"/>
          <w:b/>
          <w:sz w:val="22"/>
          <w:szCs w:val="22"/>
        </w:rPr>
        <w:t xml:space="preserve">3.- </w:t>
      </w:r>
      <w:r w:rsidR="00D22F4E" w:rsidRPr="00045A21">
        <w:rPr>
          <w:rFonts w:ascii="Verdana" w:hAnsi="Verdana" w:cs="Times New Roman"/>
          <w:b/>
          <w:sz w:val="22"/>
          <w:szCs w:val="22"/>
        </w:rPr>
        <w:t>Especiales:</w:t>
      </w:r>
      <w:r w:rsidR="00D22F4E">
        <w:rPr>
          <w:rFonts w:ascii="Verdana" w:hAnsi="Verdana" w:cs="Times New Roman"/>
          <w:sz w:val="22"/>
          <w:szCs w:val="22"/>
        </w:rPr>
        <w:t xml:space="preserve"> con objetivos concretos; su duración depende del cumplimiento de estos, aunque deben permanecer vigentes lo necesario para explicar, defender o ejecutar sus informes.</w:t>
      </w:r>
    </w:p>
    <w:p w:rsidR="00D22F4E" w:rsidRDefault="00D22F4E" w:rsidP="00D22F4E">
      <w:pPr>
        <w:widowControl/>
        <w:jc w:val="both"/>
        <w:rPr>
          <w:rFonts w:ascii="Verdana" w:hAnsi="Verdana" w:cs="Times New Roman"/>
          <w:sz w:val="22"/>
          <w:szCs w:val="22"/>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3</w:t>
      </w:r>
      <w:r w:rsidR="00045A21">
        <w:rPr>
          <w:rFonts w:ascii="Verdana" w:hAnsi="Verdana" w:cs="Times New Roman"/>
          <w:b/>
          <w:bCs/>
          <w:sz w:val="22"/>
          <w:szCs w:val="22"/>
          <w:lang w:val="es-CR"/>
        </w:rPr>
        <w:t>°. -</w:t>
      </w:r>
      <w:r>
        <w:rPr>
          <w:rFonts w:ascii="Verdana" w:hAnsi="Verdana" w:cs="Times New Roman"/>
          <w:sz w:val="22"/>
          <w:szCs w:val="22"/>
          <w:lang w:val="es-CR"/>
        </w:rPr>
        <w:t xml:space="preserve"> De acuerdo con </w:t>
      </w:r>
      <w:r w:rsidRPr="00045A21">
        <w:rPr>
          <w:rFonts w:ascii="Verdana" w:hAnsi="Verdana" w:cs="Times New Roman"/>
          <w:b/>
          <w:sz w:val="22"/>
          <w:szCs w:val="22"/>
          <w:u w:val="single"/>
          <w:lang w:val="es-CR"/>
        </w:rPr>
        <w:t>su composición</w:t>
      </w:r>
      <w:r>
        <w:rPr>
          <w:rFonts w:ascii="Verdana" w:hAnsi="Verdana" w:cs="Times New Roman"/>
          <w:sz w:val="22"/>
          <w:szCs w:val="22"/>
          <w:lang w:val="es-CR"/>
        </w:rPr>
        <w:t>, tanto unas como otras Comisiones pueden ser:</w:t>
      </w:r>
    </w:p>
    <w:p w:rsidR="00045A21" w:rsidRDefault="00045A21" w:rsidP="00D22F4E">
      <w:pPr>
        <w:pStyle w:val="Blockquote"/>
        <w:widowControl/>
        <w:spacing w:before="0" w:after="0"/>
        <w:ind w:left="0" w:right="0"/>
        <w:jc w:val="both"/>
        <w:rPr>
          <w:rFonts w:ascii="Verdana" w:hAnsi="Verdana" w:cs="Times New Roman"/>
          <w:sz w:val="22"/>
          <w:szCs w:val="22"/>
          <w:lang w:val="es-CR"/>
        </w:rPr>
      </w:pPr>
    </w:p>
    <w:p w:rsidR="00D22F4E" w:rsidRDefault="00D22F4E" w:rsidP="00D22F4E">
      <w:pPr>
        <w:widowControl/>
        <w:numPr>
          <w:ilvl w:val="1"/>
          <w:numId w:val="2"/>
        </w:numPr>
        <w:jc w:val="both"/>
        <w:rPr>
          <w:rFonts w:ascii="Verdana" w:hAnsi="Verdana" w:cs="Times New Roman"/>
          <w:sz w:val="22"/>
          <w:szCs w:val="22"/>
        </w:rPr>
      </w:pPr>
      <w:r>
        <w:rPr>
          <w:rFonts w:ascii="Verdana" w:hAnsi="Verdana" w:cs="Times New Roman"/>
          <w:sz w:val="22"/>
          <w:szCs w:val="22"/>
        </w:rPr>
        <w:t xml:space="preserve">Superiores: las integradas sólo con Magistrados, o con Magistrados y Miembros del Consejo Superior. </w:t>
      </w:r>
    </w:p>
    <w:p w:rsidR="00045A21" w:rsidRDefault="00045A21" w:rsidP="00045A21">
      <w:pPr>
        <w:widowControl/>
        <w:jc w:val="both"/>
        <w:rPr>
          <w:rFonts w:ascii="Verdana" w:hAnsi="Verdana" w:cs="Times New Roman"/>
          <w:sz w:val="22"/>
          <w:szCs w:val="22"/>
        </w:rPr>
      </w:pPr>
    </w:p>
    <w:p w:rsidR="00D22F4E" w:rsidRDefault="00045A21" w:rsidP="00045A21">
      <w:pPr>
        <w:widowControl/>
        <w:jc w:val="both"/>
        <w:rPr>
          <w:rFonts w:ascii="Verdana" w:hAnsi="Verdana" w:cs="Times New Roman"/>
          <w:sz w:val="22"/>
          <w:szCs w:val="22"/>
        </w:rPr>
      </w:pPr>
      <w:r w:rsidRPr="00045A21">
        <w:rPr>
          <w:rFonts w:ascii="Verdana" w:hAnsi="Verdana" w:cs="Times New Roman"/>
          <w:b/>
          <w:sz w:val="22"/>
          <w:szCs w:val="22"/>
        </w:rPr>
        <w:t>2.</w:t>
      </w:r>
      <w:r w:rsidR="00D746ED" w:rsidRPr="00045A21">
        <w:rPr>
          <w:rFonts w:ascii="Verdana" w:hAnsi="Verdana" w:cs="Times New Roman"/>
          <w:b/>
          <w:sz w:val="22"/>
          <w:szCs w:val="22"/>
        </w:rPr>
        <w:t>-</w:t>
      </w:r>
      <w:r w:rsidR="00D746ED">
        <w:rPr>
          <w:rFonts w:ascii="Verdana" w:hAnsi="Verdana" w:cs="Times New Roman"/>
          <w:sz w:val="22"/>
          <w:szCs w:val="22"/>
        </w:rPr>
        <w:t xml:space="preserve"> Mixtas</w:t>
      </w:r>
      <w:r w:rsidR="00D22F4E">
        <w:rPr>
          <w:rFonts w:ascii="Verdana" w:hAnsi="Verdana" w:cs="Times New Roman"/>
          <w:sz w:val="22"/>
          <w:szCs w:val="22"/>
        </w:rPr>
        <w:t xml:space="preserve">: las integradas con los anteriores y otros funcionarios, o aún expertos, judiciales o no; </w:t>
      </w:r>
    </w:p>
    <w:p w:rsidR="00045A21" w:rsidRDefault="00045A21" w:rsidP="00045A21">
      <w:pPr>
        <w:widowControl/>
        <w:jc w:val="both"/>
        <w:rPr>
          <w:rFonts w:ascii="Verdana" w:hAnsi="Verdana" w:cs="Times New Roman"/>
          <w:sz w:val="22"/>
          <w:szCs w:val="22"/>
        </w:rPr>
      </w:pPr>
    </w:p>
    <w:p w:rsidR="00D22F4E" w:rsidRDefault="00045A21" w:rsidP="00045A21">
      <w:pPr>
        <w:widowControl/>
        <w:jc w:val="both"/>
        <w:rPr>
          <w:rFonts w:ascii="Verdana" w:hAnsi="Verdana" w:cs="Times New Roman"/>
          <w:sz w:val="22"/>
          <w:szCs w:val="22"/>
        </w:rPr>
      </w:pPr>
      <w:r w:rsidRPr="00045A21">
        <w:rPr>
          <w:rFonts w:ascii="Verdana" w:hAnsi="Verdana" w:cs="Times New Roman"/>
          <w:b/>
          <w:sz w:val="22"/>
          <w:szCs w:val="22"/>
        </w:rPr>
        <w:t>3.</w:t>
      </w:r>
      <w:r w:rsidR="00D746ED" w:rsidRPr="00045A21">
        <w:rPr>
          <w:rFonts w:ascii="Verdana" w:hAnsi="Verdana" w:cs="Times New Roman"/>
          <w:b/>
          <w:sz w:val="22"/>
          <w:szCs w:val="22"/>
        </w:rPr>
        <w:t>-</w:t>
      </w:r>
      <w:r w:rsidR="00D746ED">
        <w:rPr>
          <w:rFonts w:ascii="Verdana" w:hAnsi="Verdana" w:cs="Times New Roman"/>
          <w:sz w:val="22"/>
          <w:szCs w:val="22"/>
        </w:rPr>
        <w:t xml:space="preserve"> Administrativas</w:t>
      </w:r>
      <w:r w:rsidR="00D22F4E">
        <w:rPr>
          <w:rFonts w:ascii="Verdana" w:hAnsi="Verdana" w:cs="Times New Roman"/>
          <w:sz w:val="22"/>
          <w:szCs w:val="22"/>
        </w:rPr>
        <w:t xml:space="preserve">: las integradas solamente con funcionarios o expertos, judiciales o no, designadas por la Corte y dependientes de ella, pero sin participación de Magistrados; </w:t>
      </w:r>
    </w:p>
    <w:p w:rsidR="00D22F4E" w:rsidRDefault="0049374D" w:rsidP="0049374D">
      <w:pPr>
        <w:widowControl/>
        <w:jc w:val="both"/>
        <w:rPr>
          <w:rFonts w:ascii="Verdana" w:hAnsi="Verdana" w:cs="Times New Roman"/>
          <w:sz w:val="22"/>
          <w:szCs w:val="22"/>
        </w:rPr>
      </w:pPr>
      <w:r w:rsidRPr="00AA1997">
        <w:rPr>
          <w:rFonts w:ascii="Verdana" w:hAnsi="Verdana" w:cs="Times New Roman"/>
          <w:b/>
          <w:sz w:val="22"/>
          <w:szCs w:val="22"/>
        </w:rPr>
        <w:lastRenderedPageBreak/>
        <w:t>4.-</w:t>
      </w:r>
      <w:r>
        <w:rPr>
          <w:rFonts w:ascii="Verdana" w:hAnsi="Verdana" w:cs="Times New Roman"/>
          <w:sz w:val="22"/>
          <w:szCs w:val="22"/>
        </w:rPr>
        <w:t xml:space="preserve"> </w:t>
      </w:r>
      <w:r w:rsidR="00D22F4E">
        <w:rPr>
          <w:rFonts w:ascii="Verdana" w:hAnsi="Verdana" w:cs="Times New Roman"/>
          <w:sz w:val="22"/>
          <w:szCs w:val="22"/>
        </w:rPr>
        <w:t>Interinstitucionales: creadas en otras esferas institucionales y no dependientes de la Corte, pero con participación delegada de Magistrados o funcionarios judiciales.</w:t>
      </w:r>
    </w:p>
    <w:p w:rsidR="00D22F4E" w:rsidRDefault="00D22F4E" w:rsidP="00D22F4E">
      <w:pPr>
        <w:widowControl/>
        <w:jc w:val="both"/>
        <w:rPr>
          <w:rFonts w:ascii="Verdana" w:hAnsi="Verdana" w:cs="Times New Roman"/>
          <w:sz w:val="22"/>
          <w:szCs w:val="22"/>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4</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Asimismo, las Comisiones Generales y Especializadas, sean Superiores o Mixtas, se clasifican según su importancia institucional, en Principales, en los términos del Anexo de este Reglamento, y Ordinarias, las demás, salvo que la Corte Plena disponga lo contrario.</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5</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Las Comisiones Generales, sean Superiores o Mixtas, estarán integradas por cuatro Magistrados, uno por cada Sala, propuestas por éstas a la Corte Plena, mediante un riguroso procedimiento de rotación en cada rango de las Comisiones, tanto Principales como Ordinarias.</w:t>
      </w:r>
    </w:p>
    <w:p w:rsidR="00D746ED" w:rsidRDefault="00D746ED" w:rsidP="00D22F4E">
      <w:pPr>
        <w:pStyle w:val="Blockquote"/>
        <w:widowControl/>
        <w:spacing w:before="0" w:after="0"/>
        <w:ind w:left="0" w:right="0"/>
        <w:jc w:val="both"/>
        <w:rPr>
          <w:rFonts w:ascii="Verdana" w:hAnsi="Verdana" w:cs="Times New Roman"/>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La Presidencia de una Sala a opción de su titular podrá contarse como un turno de Comisión Principal para efecto de rotación.</w:t>
      </w:r>
    </w:p>
    <w:p w:rsidR="00D746ED" w:rsidRDefault="00D746ED" w:rsidP="00D22F4E">
      <w:pPr>
        <w:pStyle w:val="Blockquote"/>
        <w:widowControl/>
        <w:spacing w:before="0" w:after="0"/>
        <w:ind w:left="0" w:right="0"/>
        <w:jc w:val="both"/>
        <w:rPr>
          <w:rFonts w:ascii="Verdana" w:hAnsi="Verdana" w:cs="Times New Roman"/>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Los miembros restantes de las Comisiones Mixtas serán designados libremente, por la Corte Plena, salvo cuando se trate de Magistrados del Consejo Superior, los cuales serán propuestos por el propio Consejo.</w:t>
      </w:r>
    </w:p>
    <w:p w:rsidR="00D22F4E" w:rsidRDefault="00D22F4E" w:rsidP="00D22F4E">
      <w:pPr>
        <w:pStyle w:val="Blockquote"/>
        <w:widowControl/>
        <w:spacing w:before="0" w:after="0"/>
        <w:ind w:left="0" w:right="0"/>
        <w:jc w:val="both"/>
        <w:rPr>
          <w:rFonts w:ascii="Verdana" w:hAnsi="Verdana" w:cs="Times New Roman"/>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6</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Se exceptúan de lo dispuesto en el artículo anterior:</w:t>
      </w:r>
    </w:p>
    <w:p w:rsidR="00D746ED" w:rsidRDefault="00D746ED" w:rsidP="00D22F4E">
      <w:pPr>
        <w:pStyle w:val="Blockquote"/>
        <w:widowControl/>
        <w:spacing w:before="0" w:after="0"/>
        <w:ind w:left="0" w:right="0"/>
        <w:jc w:val="both"/>
        <w:rPr>
          <w:rFonts w:ascii="Verdana" w:hAnsi="Verdana" w:cs="Times New Roman"/>
          <w:sz w:val="22"/>
          <w:szCs w:val="22"/>
          <w:lang w:val="es-CR"/>
        </w:rPr>
      </w:pPr>
    </w:p>
    <w:p w:rsidR="00D22F4E" w:rsidRDefault="00D746ED" w:rsidP="00D746ED">
      <w:pPr>
        <w:widowControl/>
        <w:jc w:val="both"/>
        <w:rPr>
          <w:rFonts w:ascii="Verdana" w:hAnsi="Verdana" w:cs="Times New Roman"/>
          <w:sz w:val="22"/>
          <w:szCs w:val="22"/>
        </w:rPr>
      </w:pPr>
      <w:r w:rsidRPr="00D746ED">
        <w:rPr>
          <w:rFonts w:ascii="Verdana" w:hAnsi="Verdana" w:cs="Times New Roman"/>
          <w:b/>
          <w:sz w:val="22"/>
          <w:szCs w:val="22"/>
        </w:rPr>
        <w:t>1.-</w:t>
      </w:r>
      <w:r>
        <w:rPr>
          <w:rFonts w:ascii="Verdana" w:hAnsi="Verdana" w:cs="Times New Roman"/>
          <w:sz w:val="22"/>
          <w:szCs w:val="22"/>
        </w:rPr>
        <w:t xml:space="preserve"> </w:t>
      </w:r>
      <w:r w:rsidR="00D22F4E">
        <w:rPr>
          <w:rFonts w:ascii="Verdana" w:hAnsi="Verdana" w:cs="Times New Roman"/>
          <w:sz w:val="22"/>
          <w:szCs w:val="22"/>
        </w:rPr>
        <w:t xml:space="preserve">El Consejo Consultivo: que estará integrado por el </w:t>
      </w:r>
      <w:proofErr w:type="gramStart"/>
      <w:r w:rsidR="00D22F4E">
        <w:rPr>
          <w:rFonts w:ascii="Verdana" w:hAnsi="Verdana" w:cs="Times New Roman"/>
          <w:sz w:val="22"/>
          <w:szCs w:val="22"/>
        </w:rPr>
        <w:t>Presidente</w:t>
      </w:r>
      <w:proofErr w:type="gramEnd"/>
      <w:r w:rsidR="00D22F4E">
        <w:rPr>
          <w:rFonts w:ascii="Verdana" w:hAnsi="Verdana" w:cs="Times New Roman"/>
          <w:sz w:val="22"/>
          <w:szCs w:val="22"/>
        </w:rPr>
        <w:t xml:space="preserve"> y Vicepresidente de la Corte y los Presidentes de las Salas, ex </w:t>
      </w:r>
      <w:proofErr w:type="spellStart"/>
      <w:r w:rsidR="00D22F4E">
        <w:rPr>
          <w:rFonts w:ascii="Verdana" w:hAnsi="Verdana" w:cs="Times New Roman"/>
          <w:sz w:val="22"/>
          <w:szCs w:val="22"/>
        </w:rPr>
        <w:t>officio</w:t>
      </w:r>
      <w:proofErr w:type="spellEnd"/>
      <w:r w:rsidR="00D22F4E">
        <w:rPr>
          <w:rFonts w:ascii="Verdana" w:hAnsi="Verdana" w:cs="Times New Roman"/>
          <w:sz w:val="22"/>
          <w:szCs w:val="22"/>
        </w:rPr>
        <w:t xml:space="preserve">; </w:t>
      </w:r>
    </w:p>
    <w:p w:rsidR="00D746ED" w:rsidRDefault="00D746ED" w:rsidP="00D746ED">
      <w:pPr>
        <w:widowControl/>
        <w:jc w:val="both"/>
        <w:rPr>
          <w:rFonts w:ascii="Verdana" w:hAnsi="Verdana" w:cs="Times New Roman"/>
          <w:sz w:val="22"/>
          <w:szCs w:val="22"/>
        </w:rPr>
      </w:pPr>
    </w:p>
    <w:p w:rsidR="00D22F4E" w:rsidRDefault="00D746ED" w:rsidP="00D746ED">
      <w:pPr>
        <w:widowControl/>
        <w:jc w:val="both"/>
        <w:rPr>
          <w:rFonts w:ascii="Verdana" w:hAnsi="Verdana" w:cs="Times New Roman"/>
          <w:sz w:val="22"/>
          <w:szCs w:val="22"/>
        </w:rPr>
      </w:pPr>
      <w:r w:rsidRPr="00D746ED">
        <w:rPr>
          <w:rFonts w:ascii="Verdana" w:hAnsi="Verdana" w:cs="Times New Roman"/>
          <w:b/>
          <w:sz w:val="22"/>
          <w:szCs w:val="22"/>
        </w:rPr>
        <w:t>2.-</w:t>
      </w:r>
      <w:r>
        <w:rPr>
          <w:rFonts w:ascii="Verdana" w:hAnsi="Verdana" w:cs="Times New Roman"/>
          <w:sz w:val="22"/>
          <w:szCs w:val="22"/>
        </w:rPr>
        <w:t xml:space="preserve"> </w:t>
      </w:r>
      <w:r w:rsidR="00D22F4E">
        <w:rPr>
          <w:rFonts w:ascii="Verdana" w:hAnsi="Verdana" w:cs="Times New Roman"/>
          <w:sz w:val="22"/>
          <w:szCs w:val="22"/>
        </w:rPr>
        <w:t>Las Comisiones en que la Ley imponga directamente una composición diferente, así como las que por su naturaleza deban ser paritarias con otras entidades o categorías de personas, pero siempre se procurará mantener el orden de rotación establecido y la participación de Magistrados de todas las Salas. Si esto último no fuere posible, los Magistrados de las Salas excluidas se designarán como Suplentes, en el orden que la propia Corte disponga.</w:t>
      </w:r>
    </w:p>
    <w:p w:rsidR="00D22F4E" w:rsidRDefault="00D22F4E" w:rsidP="00D22F4E">
      <w:pPr>
        <w:widowControl/>
        <w:jc w:val="both"/>
        <w:rPr>
          <w:rFonts w:ascii="Verdana" w:hAnsi="Verdana" w:cs="Times New Roman"/>
          <w:sz w:val="22"/>
          <w:szCs w:val="22"/>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7</w:t>
      </w:r>
      <w:r w:rsidR="00D746ED">
        <w:rPr>
          <w:rFonts w:ascii="Verdana" w:hAnsi="Verdana" w:cs="Times New Roman"/>
          <w:b/>
          <w:bCs/>
          <w:sz w:val="22"/>
          <w:szCs w:val="22"/>
          <w:lang w:val="es-CR"/>
        </w:rPr>
        <w:t>°. -</w:t>
      </w:r>
      <w:r>
        <w:rPr>
          <w:rFonts w:ascii="Verdana" w:hAnsi="Verdana" w:cs="Times New Roman"/>
          <w:b/>
          <w:bCs/>
          <w:sz w:val="22"/>
          <w:szCs w:val="22"/>
          <w:lang w:val="es-CR"/>
        </w:rPr>
        <w:t xml:space="preserve"> </w:t>
      </w:r>
      <w:r>
        <w:rPr>
          <w:rFonts w:ascii="Verdana" w:hAnsi="Verdana" w:cs="Times New Roman"/>
          <w:sz w:val="22"/>
          <w:szCs w:val="22"/>
          <w:lang w:val="es-CR"/>
        </w:rPr>
        <w:t xml:space="preserve">Independientemente del rol de rotación mencionado en el artículo </w:t>
      </w:r>
      <w:proofErr w:type="spellStart"/>
      <w:r>
        <w:rPr>
          <w:rFonts w:ascii="Verdana" w:hAnsi="Verdana" w:cs="Times New Roman"/>
          <w:sz w:val="22"/>
          <w:szCs w:val="22"/>
          <w:lang w:val="es-CR"/>
        </w:rPr>
        <w:t>trasanterior</w:t>
      </w:r>
      <w:proofErr w:type="spellEnd"/>
      <w:r>
        <w:rPr>
          <w:rFonts w:ascii="Verdana" w:hAnsi="Verdana" w:cs="Times New Roman"/>
          <w:sz w:val="22"/>
          <w:szCs w:val="22"/>
          <w:lang w:val="es-CR"/>
        </w:rPr>
        <w:t xml:space="preserve">, el </w:t>
      </w:r>
      <w:proofErr w:type="gramStart"/>
      <w:r>
        <w:rPr>
          <w:rFonts w:ascii="Verdana" w:hAnsi="Verdana" w:cs="Times New Roman"/>
          <w:sz w:val="22"/>
          <w:szCs w:val="22"/>
          <w:lang w:val="es-CR"/>
        </w:rPr>
        <w:t>Presidente</w:t>
      </w:r>
      <w:proofErr w:type="gramEnd"/>
      <w:r>
        <w:rPr>
          <w:rFonts w:ascii="Verdana" w:hAnsi="Verdana" w:cs="Times New Roman"/>
          <w:sz w:val="22"/>
          <w:szCs w:val="22"/>
          <w:lang w:val="es-CR"/>
        </w:rPr>
        <w:t xml:space="preserve"> de la Corte es miembro ex </w:t>
      </w:r>
      <w:proofErr w:type="spellStart"/>
      <w:r>
        <w:rPr>
          <w:rFonts w:ascii="Verdana" w:hAnsi="Verdana" w:cs="Times New Roman"/>
          <w:sz w:val="22"/>
          <w:szCs w:val="22"/>
          <w:lang w:val="es-CR"/>
        </w:rPr>
        <w:t>officio</w:t>
      </w:r>
      <w:proofErr w:type="spellEnd"/>
      <w:r>
        <w:rPr>
          <w:rFonts w:ascii="Verdana" w:hAnsi="Verdana" w:cs="Times New Roman"/>
          <w:sz w:val="22"/>
          <w:szCs w:val="22"/>
          <w:lang w:val="es-CR"/>
        </w:rPr>
        <w:t xml:space="preserve"> de todas las Comisiones, sin excluir al Magistrado de su misma Sala, y cuando participe en sus sesiones las presidirá.</w:t>
      </w:r>
    </w:p>
    <w:p w:rsidR="00D746ED" w:rsidRDefault="00D746ED" w:rsidP="00D22F4E">
      <w:pPr>
        <w:pStyle w:val="Blockquote"/>
        <w:widowControl/>
        <w:spacing w:before="0" w:after="0"/>
        <w:ind w:left="0" w:right="0"/>
        <w:jc w:val="both"/>
        <w:rPr>
          <w:rFonts w:ascii="Verdana" w:hAnsi="Verdana" w:cs="Times New Roman"/>
          <w:sz w:val="22"/>
          <w:szCs w:val="22"/>
          <w:lang w:val="es-CR"/>
        </w:rPr>
      </w:pPr>
      <w:bookmarkStart w:id="1" w:name="_GoBack"/>
      <w:bookmarkEnd w:id="1"/>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 xml:space="preserve">El Suplente llamado a reemplazar al </w:t>
      </w:r>
      <w:proofErr w:type="gramStart"/>
      <w:r>
        <w:rPr>
          <w:rFonts w:ascii="Verdana" w:hAnsi="Verdana" w:cs="Times New Roman"/>
          <w:sz w:val="22"/>
          <w:szCs w:val="22"/>
          <w:lang w:val="es-CR"/>
        </w:rPr>
        <w:t>Presidente</w:t>
      </w:r>
      <w:proofErr w:type="gramEnd"/>
      <w:r>
        <w:rPr>
          <w:rFonts w:ascii="Verdana" w:hAnsi="Verdana" w:cs="Times New Roman"/>
          <w:sz w:val="22"/>
          <w:szCs w:val="22"/>
          <w:lang w:val="es-CR"/>
        </w:rPr>
        <w:t>, en su Sala, conforme a la Ley Orgánica del Poder Judicial integrará las Comisiones y participará de la rotación de la Sala correspondiente, como si fuera un Titular.</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8</w:t>
      </w:r>
      <w:proofErr w:type="gramStart"/>
      <w:r>
        <w:rPr>
          <w:rFonts w:ascii="Verdana" w:hAnsi="Verdana" w:cs="Times New Roman"/>
          <w:b/>
          <w:bCs/>
          <w:sz w:val="22"/>
          <w:szCs w:val="22"/>
          <w:lang w:val="es-CR"/>
        </w:rPr>
        <w:t>°.-</w:t>
      </w:r>
      <w:proofErr w:type="gramEnd"/>
      <w:r>
        <w:rPr>
          <w:rFonts w:ascii="Verdana" w:hAnsi="Verdana" w:cs="Times New Roman"/>
          <w:b/>
          <w:bCs/>
          <w:sz w:val="22"/>
          <w:szCs w:val="22"/>
          <w:lang w:val="es-CR"/>
        </w:rPr>
        <w:t xml:space="preserve"> </w:t>
      </w:r>
      <w:r>
        <w:rPr>
          <w:rFonts w:ascii="Verdana" w:hAnsi="Verdana" w:cs="Times New Roman"/>
          <w:sz w:val="22"/>
          <w:szCs w:val="22"/>
          <w:lang w:val="es-CR"/>
        </w:rPr>
        <w:t>Las Comisiones Especializadas, sean Superiores o Mixtas, estarán integradas por lo menos por tres Magistrados, dos de ellos propuestos por la Sala o Salas afines a la materia en cuestión, y el tercero escogido por la Corte entre las restantes.</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lastRenderedPageBreak/>
        <w:t>Las Comisiones Especiales serán integradas libremente por la Corte, sin sujeción a número, pero en todos los casos procurando mantener un equilibrio en la participación de los Magistrados y de sus Salas respectivas.</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En las Comisiones Interinstitucionales, la escogencia de los representantes del Poder Judicial se hará por la Corte Plena siguiendo en lo posible los criterios anteriores, en lo que fueren aplicables.</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9</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Salvo en el Consejo Consultivo y en las Comisiones en que los Suplentes sean, a su vez, Magistrados Titulares, estos serán reemplazados por sus respectivos Suplentes, en sus ausencias temporales o en los asuntos en que estén inhibidos, así como en las definitivas mientras no hayan sido sustituidos por la Corte Plena, siempre que fuere necesario para formar quórum.</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También podrán las Salas proponer, y la Corte designar Magistrados Suplentes, aunque no estén en funciones, para integrar Comisiones Especializadas o Especiales, o para representarla en las Interinstitucionales. En tales casos se entenderá que los Suplentes ocupan en el rol el lugar de las Salas respectivas y tendrán derecho a devengar las dietas o salarios correspondientes.</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 xml:space="preserve">Tendrán derecho a dietas o salarios los miembros de las Comisiones que no sean funcionarios judiciales </w:t>
      </w:r>
      <w:proofErr w:type="spellStart"/>
      <w:r>
        <w:rPr>
          <w:rFonts w:ascii="Verdana" w:hAnsi="Verdana" w:cs="Times New Roman"/>
          <w:sz w:val="22"/>
          <w:szCs w:val="22"/>
          <w:lang w:val="es-CR"/>
        </w:rPr>
        <w:t>ny</w:t>
      </w:r>
      <w:proofErr w:type="spellEnd"/>
      <w:r>
        <w:rPr>
          <w:rFonts w:ascii="Verdana" w:hAnsi="Verdana" w:cs="Times New Roman"/>
          <w:sz w:val="22"/>
          <w:szCs w:val="22"/>
          <w:lang w:val="es-CR"/>
        </w:rPr>
        <w:t xml:space="preserve"> no tengan impedimento legal para percibirlos.</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10</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Salvo en el caso del Consejo Consultivo, el período de nombramiento de los Magistrados integrantes de las Comisiones será de dos años, con una sola reelección inmediata.</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Será también de dos años, con una sola reelección inmediata, el período de los demás miembros de las Comisiones Mixtas, salvo el de aquellos que lo sean por razón de su cargo específico.</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Cada año vencerá el período de dos de los Magistrados y, en su caso, de dos de los restantes integrantes de cada Comisión. En todos los casos, las renovaciones ordinarias se harán durante el mes de mayo y regirán a partir del 1° de junio respectivo.</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11</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En los casos de vacancia la Corte nombrará al sustituto de conformidad con las normas anteriores, por un período completo.</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12</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Todos los Magistrados tienen derecho a ser nombrados en las Comisiones de la Corte, en igualdad de condiciones, y el deber de participar en ellas con puntualidad y diligencia.</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Sólo por motivo justificado, debidamente acreditado a satisfacción de la Corte, se excusará la no aceptación del nombramiento en una Comisión, el abandono o la renuncia a ella.</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13</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El incumplimiento de los deberes de los Miembros de una Comisión, incluso de los de asistencia, será comunicado por esta a la Corte Plena para que resuelva lo pertinente, inclusive la separación del </w:t>
      </w:r>
      <w:proofErr w:type="spellStart"/>
      <w:r>
        <w:rPr>
          <w:rFonts w:ascii="Verdana" w:hAnsi="Verdana" w:cs="Times New Roman"/>
          <w:sz w:val="22"/>
          <w:szCs w:val="22"/>
          <w:lang w:val="es-CR"/>
        </w:rPr>
        <w:t>incumpliente</w:t>
      </w:r>
      <w:proofErr w:type="spellEnd"/>
      <w:r>
        <w:rPr>
          <w:rFonts w:ascii="Verdana" w:hAnsi="Verdana" w:cs="Times New Roman"/>
          <w:sz w:val="22"/>
          <w:szCs w:val="22"/>
          <w:lang w:val="es-CR"/>
        </w:rPr>
        <w:t>.</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 xml:space="preserve">Igual procedimiento se seguirá en caso de incumplimiento del </w:t>
      </w:r>
      <w:proofErr w:type="gramStart"/>
      <w:r>
        <w:rPr>
          <w:rFonts w:ascii="Verdana" w:hAnsi="Verdana" w:cs="Times New Roman"/>
          <w:sz w:val="22"/>
          <w:szCs w:val="22"/>
          <w:lang w:val="es-CR"/>
        </w:rPr>
        <w:t>Presidente</w:t>
      </w:r>
      <w:proofErr w:type="gramEnd"/>
      <w:r>
        <w:rPr>
          <w:rFonts w:ascii="Verdana" w:hAnsi="Verdana" w:cs="Times New Roman"/>
          <w:sz w:val="22"/>
          <w:szCs w:val="22"/>
          <w:lang w:val="es-CR"/>
        </w:rPr>
        <w:t xml:space="preserve"> o Coordinador.</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lastRenderedPageBreak/>
        <w:t>Artículo 14</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Salvo que la ley disponga otra cosa y en las Comisiones </w:t>
      </w:r>
      <w:proofErr w:type="spellStart"/>
      <w:r>
        <w:rPr>
          <w:rFonts w:ascii="Verdana" w:hAnsi="Verdana" w:cs="Times New Roman"/>
          <w:sz w:val="22"/>
          <w:szCs w:val="22"/>
          <w:lang w:val="es-CR"/>
        </w:rPr>
        <w:t>Interinstituciones</w:t>
      </w:r>
      <w:proofErr w:type="spellEnd"/>
      <w:r>
        <w:rPr>
          <w:rFonts w:ascii="Verdana" w:hAnsi="Verdana" w:cs="Times New Roman"/>
          <w:sz w:val="22"/>
          <w:szCs w:val="22"/>
          <w:lang w:val="es-CR"/>
        </w:rPr>
        <w:t>, la Corte hará la designación del Coordinador o Presidente de cada Comisión, entre los Magistrados Titulares a propuesta de esta, por un período de dos años y podrán ser reelectos.</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En sus ausencias temporales será reemplazado en sus funciones por el Magistrado Titular a quien le corresponda, siguiendo el orden de precedencia establecido en la Ley Orgánica del Poder Judicial.</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15</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Son atribuciones del Presidente o Coordinador:</w:t>
      </w:r>
    </w:p>
    <w:p w:rsidR="00D22F4E" w:rsidRDefault="00D22F4E" w:rsidP="00D22F4E">
      <w:pPr>
        <w:widowControl/>
        <w:numPr>
          <w:ilvl w:val="1"/>
          <w:numId w:val="4"/>
        </w:numPr>
        <w:jc w:val="both"/>
        <w:rPr>
          <w:rFonts w:ascii="Verdana" w:hAnsi="Verdana" w:cs="Times New Roman"/>
          <w:sz w:val="22"/>
          <w:szCs w:val="22"/>
        </w:rPr>
      </w:pPr>
      <w:r>
        <w:rPr>
          <w:rFonts w:ascii="Verdana" w:hAnsi="Verdana" w:cs="Times New Roman"/>
          <w:sz w:val="22"/>
          <w:szCs w:val="22"/>
        </w:rPr>
        <w:t xml:space="preserve">Convocar a sesiones; </w:t>
      </w:r>
    </w:p>
    <w:p w:rsidR="00D22F4E" w:rsidRDefault="00D22F4E" w:rsidP="00D22F4E">
      <w:pPr>
        <w:widowControl/>
        <w:numPr>
          <w:ilvl w:val="1"/>
          <w:numId w:val="4"/>
        </w:numPr>
        <w:jc w:val="both"/>
        <w:rPr>
          <w:rFonts w:ascii="Verdana" w:hAnsi="Verdana" w:cs="Times New Roman"/>
          <w:sz w:val="22"/>
          <w:szCs w:val="22"/>
        </w:rPr>
      </w:pPr>
      <w:r>
        <w:rPr>
          <w:rFonts w:ascii="Verdana" w:hAnsi="Verdana" w:cs="Times New Roman"/>
          <w:sz w:val="22"/>
          <w:szCs w:val="22"/>
        </w:rPr>
        <w:t xml:space="preserve">Preparar la agenda y distribuirla a sus Miembros y a todos los Magistrados por medio de la Secretaría de Comisiones por lo menos con dos días de antelación a la fecha de la sesión; </w:t>
      </w:r>
    </w:p>
    <w:p w:rsidR="00D22F4E" w:rsidRDefault="00D22F4E" w:rsidP="00D22F4E">
      <w:pPr>
        <w:widowControl/>
        <w:numPr>
          <w:ilvl w:val="1"/>
          <w:numId w:val="4"/>
        </w:numPr>
        <w:jc w:val="both"/>
        <w:rPr>
          <w:rFonts w:ascii="Verdana" w:hAnsi="Verdana" w:cs="Times New Roman"/>
          <w:sz w:val="22"/>
          <w:szCs w:val="22"/>
        </w:rPr>
      </w:pPr>
      <w:r>
        <w:rPr>
          <w:rFonts w:ascii="Verdana" w:hAnsi="Verdana" w:cs="Times New Roman"/>
          <w:sz w:val="22"/>
          <w:szCs w:val="22"/>
        </w:rPr>
        <w:t xml:space="preserve">Dirigir los debates; </w:t>
      </w:r>
    </w:p>
    <w:p w:rsidR="00D22F4E" w:rsidRDefault="00D22F4E" w:rsidP="00D22F4E">
      <w:pPr>
        <w:widowControl/>
        <w:numPr>
          <w:ilvl w:val="1"/>
          <w:numId w:val="4"/>
        </w:numPr>
        <w:jc w:val="both"/>
        <w:rPr>
          <w:rFonts w:ascii="Verdana" w:hAnsi="Verdana" w:cs="Times New Roman"/>
          <w:sz w:val="22"/>
          <w:szCs w:val="22"/>
        </w:rPr>
      </w:pPr>
      <w:r>
        <w:rPr>
          <w:rFonts w:ascii="Verdana" w:hAnsi="Verdana" w:cs="Times New Roman"/>
          <w:sz w:val="22"/>
          <w:szCs w:val="22"/>
        </w:rPr>
        <w:t xml:space="preserve">Presentar y firmar las actas, y distribuirlas a los Miembros de la Comisión por lo menos cinco días antes de su aprobación; </w:t>
      </w:r>
    </w:p>
    <w:p w:rsidR="00D22F4E" w:rsidRDefault="00D22F4E" w:rsidP="00D22F4E">
      <w:pPr>
        <w:widowControl/>
        <w:numPr>
          <w:ilvl w:val="1"/>
          <w:numId w:val="4"/>
        </w:numPr>
        <w:jc w:val="both"/>
        <w:rPr>
          <w:rFonts w:ascii="Verdana" w:hAnsi="Verdana" w:cs="Times New Roman"/>
          <w:sz w:val="22"/>
          <w:szCs w:val="22"/>
        </w:rPr>
      </w:pPr>
      <w:r>
        <w:rPr>
          <w:rFonts w:ascii="Verdana" w:hAnsi="Verdana" w:cs="Times New Roman"/>
          <w:sz w:val="22"/>
          <w:szCs w:val="22"/>
        </w:rPr>
        <w:t xml:space="preserve">Disponer la ejecución de los acuerdos y darles seguimiento, poniendo en conocimiento de la Comisión lo pertinente. </w:t>
      </w:r>
    </w:p>
    <w:p w:rsidR="00D22F4E" w:rsidRDefault="00D22F4E" w:rsidP="00D22F4E">
      <w:pPr>
        <w:widowControl/>
        <w:numPr>
          <w:ilvl w:val="1"/>
          <w:numId w:val="4"/>
        </w:numPr>
        <w:jc w:val="both"/>
        <w:rPr>
          <w:rFonts w:ascii="Verdana" w:hAnsi="Verdana" w:cs="Times New Roman"/>
          <w:sz w:val="22"/>
          <w:szCs w:val="22"/>
        </w:rPr>
      </w:pPr>
      <w:r>
        <w:rPr>
          <w:rFonts w:ascii="Verdana" w:hAnsi="Verdana" w:cs="Times New Roman"/>
          <w:sz w:val="22"/>
          <w:szCs w:val="22"/>
        </w:rPr>
        <w:t xml:space="preserve">Comunicar a la Dirección Ejecutiva, las faltas disciplinarias en las que incurra el personal auxiliar, para lo que corresponda; </w:t>
      </w:r>
    </w:p>
    <w:p w:rsidR="00D22F4E" w:rsidRDefault="00D22F4E" w:rsidP="00D22F4E">
      <w:pPr>
        <w:widowControl/>
        <w:numPr>
          <w:ilvl w:val="1"/>
          <w:numId w:val="4"/>
        </w:numPr>
        <w:jc w:val="both"/>
        <w:rPr>
          <w:rFonts w:ascii="Verdana" w:hAnsi="Verdana" w:cs="Times New Roman"/>
          <w:sz w:val="22"/>
          <w:szCs w:val="22"/>
        </w:rPr>
      </w:pPr>
      <w:r>
        <w:rPr>
          <w:rFonts w:ascii="Verdana" w:hAnsi="Verdana" w:cs="Times New Roman"/>
          <w:sz w:val="22"/>
          <w:szCs w:val="22"/>
        </w:rPr>
        <w:t xml:space="preserve">Representar a la Comisión; </w:t>
      </w:r>
    </w:p>
    <w:p w:rsidR="00D22F4E" w:rsidRDefault="00D22F4E" w:rsidP="00D22F4E">
      <w:pPr>
        <w:widowControl/>
        <w:numPr>
          <w:ilvl w:val="1"/>
          <w:numId w:val="4"/>
        </w:numPr>
        <w:jc w:val="both"/>
        <w:rPr>
          <w:rFonts w:ascii="Verdana" w:hAnsi="Verdana" w:cs="Times New Roman"/>
          <w:sz w:val="22"/>
          <w:szCs w:val="22"/>
        </w:rPr>
      </w:pPr>
      <w:r>
        <w:rPr>
          <w:rFonts w:ascii="Verdana" w:hAnsi="Verdana" w:cs="Times New Roman"/>
          <w:sz w:val="22"/>
          <w:szCs w:val="22"/>
        </w:rPr>
        <w:t>Las demás que la Comisión le encomiende o que sean inherentes al cargo.</w:t>
      </w:r>
    </w:p>
    <w:p w:rsidR="00D22F4E" w:rsidRDefault="00D22F4E" w:rsidP="00D22F4E">
      <w:pPr>
        <w:widowControl/>
        <w:jc w:val="both"/>
        <w:rPr>
          <w:rFonts w:ascii="Verdana" w:hAnsi="Verdana" w:cs="Times New Roman"/>
          <w:sz w:val="22"/>
          <w:szCs w:val="22"/>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16</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Todas las Comisiones deberán sesionar ordinariamente por lo menos una vez al mes, y extraordinariamente cuando las convoque su Presidente o Coordinador por si o a solicitud de cualquiera de sus Magistrados integrantes.</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El quórum lo formará la mayoría absoluta de los Miembros de la Comisión, que incluya por lo menos la mitad de los Magistrados que la integren.</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17</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Las sesiones se desarrollarán siguiendo, el siguiente orden, salvo que la Comisión disponga otra cosa:</w:t>
      </w:r>
    </w:p>
    <w:p w:rsidR="00D22F4E" w:rsidRDefault="00D22F4E" w:rsidP="00D22F4E">
      <w:pPr>
        <w:widowControl/>
        <w:numPr>
          <w:ilvl w:val="1"/>
          <w:numId w:val="5"/>
        </w:numPr>
        <w:jc w:val="both"/>
        <w:rPr>
          <w:rFonts w:ascii="Verdana" w:hAnsi="Verdana" w:cs="Times New Roman"/>
          <w:sz w:val="22"/>
          <w:szCs w:val="22"/>
        </w:rPr>
      </w:pPr>
      <w:r>
        <w:rPr>
          <w:rFonts w:ascii="Verdana" w:hAnsi="Verdana" w:cs="Times New Roman"/>
          <w:sz w:val="22"/>
          <w:szCs w:val="22"/>
        </w:rPr>
        <w:t xml:space="preserve">Lectura y aprobación del acta anterior </w:t>
      </w:r>
    </w:p>
    <w:p w:rsidR="00D22F4E" w:rsidRDefault="00D22F4E" w:rsidP="00D22F4E">
      <w:pPr>
        <w:widowControl/>
        <w:numPr>
          <w:ilvl w:val="1"/>
          <w:numId w:val="5"/>
        </w:numPr>
        <w:jc w:val="both"/>
        <w:rPr>
          <w:rFonts w:ascii="Verdana" w:hAnsi="Verdana" w:cs="Times New Roman"/>
          <w:sz w:val="22"/>
          <w:szCs w:val="22"/>
        </w:rPr>
      </w:pPr>
      <w:r>
        <w:rPr>
          <w:rFonts w:ascii="Verdana" w:hAnsi="Verdana" w:cs="Times New Roman"/>
          <w:sz w:val="22"/>
          <w:szCs w:val="22"/>
        </w:rPr>
        <w:t xml:space="preserve">Lectura de la correspondencia; </w:t>
      </w:r>
    </w:p>
    <w:p w:rsidR="00D22F4E" w:rsidRDefault="00D22F4E" w:rsidP="00D22F4E">
      <w:pPr>
        <w:widowControl/>
        <w:numPr>
          <w:ilvl w:val="1"/>
          <w:numId w:val="5"/>
        </w:numPr>
        <w:jc w:val="both"/>
        <w:rPr>
          <w:rFonts w:ascii="Verdana" w:hAnsi="Verdana" w:cs="Times New Roman"/>
          <w:sz w:val="22"/>
          <w:szCs w:val="22"/>
        </w:rPr>
      </w:pPr>
      <w:r>
        <w:rPr>
          <w:rFonts w:ascii="Verdana" w:hAnsi="Verdana" w:cs="Times New Roman"/>
          <w:sz w:val="22"/>
          <w:szCs w:val="22"/>
        </w:rPr>
        <w:t xml:space="preserve">Asuntos previstos en la Agenda; </w:t>
      </w:r>
    </w:p>
    <w:p w:rsidR="00D22F4E" w:rsidRDefault="00D22F4E" w:rsidP="00D22F4E">
      <w:pPr>
        <w:widowControl/>
        <w:numPr>
          <w:ilvl w:val="1"/>
          <w:numId w:val="5"/>
        </w:numPr>
        <w:jc w:val="both"/>
        <w:rPr>
          <w:rFonts w:ascii="Verdana" w:hAnsi="Verdana" w:cs="Times New Roman"/>
          <w:sz w:val="22"/>
          <w:szCs w:val="22"/>
        </w:rPr>
      </w:pPr>
      <w:r>
        <w:rPr>
          <w:rFonts w:ascii="Verdana" w:hAnsi="Verdana" w:cs="Times New Roman"/>
          <w:sz w:val="22"/>
          <w:szCs w:val="22"/>
        </w:rPr>
        <w:t>Proposiciones de los Miembros.</w:t>
      </w:r>
    </w:p>
    <w:p w:rsidR="00D22F4E" w:rsidRDefault="00D22F4E" w:rsidP="00D22F4E">
      <w:pPr>
        <w:widowControl/>
        <w:jc w:val="both"/>
        <w:rPr>
          <w:rFonts w:ascii="Verdana" w:hAnsi="Verdana" w:cs="Times New Roman"/>
          <w:sz w:val="22"/>
          <w:szCs w:val="22"/>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 xml:space="preserve">Los miembros de la Comisión podrán pedir revisión de lo acordado, una vez leída el acta y antes de su aprobación. Las decisiones se tomarán por el voto de la mayoría absoluta de los Miembros presentes. En caso de empate, el </w:t>
      </w:r>
      <w:proofErr w:type="gramStart"/>
      <w:r>
        <w:rPr>
          <w:rFonts w:ascii="Verdana" w:hAnsi="Verdana" w:cs="Times New Roman"/>
          <w:sz w:val="22"/>
          <w:szCs w:val="22"/>
          <w:lang w:val="es-CR"/>
        </w:rPr>
        <w:t>Presidente</w:t>
      </w:r>
      <w:proofErr w:type="gramEnd"/>
      <w:r>
        <w:rPr>
          <w:rFonts w:ascii="Verdana" w:hAnsi="Verdana" w:cs="Times New Roman"/>
          <w:sz w:val="22"/>
          <w:szCs w:val="22"/>
          <w:lang w:val="es-CR"/>
        </w:rPr>
        <w:t xml:space="preserve"> o Coordinador tendrá voto de calidad. </w:t>
      </w:r>
    </w:p>
    <w:p w:rsidR="00D22F4E" w:rsidRDefault="00D22F4E" w:rsidP="00D22F4E">
      <w:pPr>
        <w:pStyle w:val="Blockquote"/>
        <w:widowControl/>
        <w:spacing w:before="0" w:after="0"/>
        <w:ind w:left="0" w:right="0"/>
        <w:jc w:val="both"/>
        <w:rPr>
          <w:rFonts w:ascii="Verdana" w:hAnsi="Verdana" w:cs="Times New Roman"/>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Los resultados de las votaciones, los Miembros votantes y, en su caso, los votos salvados o razonados se harán constar en el acta.</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18</w:t>
      </w:r>
      <w:proofErr w:type="gramStart"/>
      <w:r>
        <w:rPr>
          <w:rFonts w:ascii="Verdana" w:hAnsi="Verdana" w:cs="Times New Roman"/>
          <w:b/>
          <w:bCs/>
          <w:sz w:val="22"/>
          <w:szCs w:val="22"/>
          <w:lang w:val="es-CR"/>
        </w:rPr>
        <w:t>°.-</w:t>
      </w:r>
      <w:proofErr w:type="gramEnd"/>
      <w:r>
        <w:rPr>
          <w:rFonts w:ascii="Verdana" w:hAnsi="Verdana" w:cs="Times New Roman"/>
          <w:b/>
          <w:bCs/>
          <w:sz w:val="22"/>
          <w:szCs w:val="22"/>
          <w:lang w:val="es-CR"/>
        </w:rPr>
        <w:t xml:space="preserve"> </w:t>
      </w:r>
      <w:r>
        <w:rPr>
          <w:rFonts w:ascii="Verdana" w:hAnsi="Verdana" w:cs="Times New Roman"/>
          <w:sz w:val="22"/>
          <w:szCs w:val="22"/>
          <w:lang w:val="es-CR"/>
        </w:rPr>
        <w:t xml:space="preserve">Las sesiones serán grabadas cuando la propia Comisión lo disponga debiendo levantarse un acta comprensiva de lo acontecido en ellas la cual deberá ser aprobada por la Comisión y firmada por el Presidente o </w:t>
      </w:r>
      <w:r>
        <w:rPr>
          <w:rFonts w:ascii="Verdana" w:hAnsi="Verdana" w:cs="Times New Roman"/>
          <w:sz w:val="22"/>
          <w:szCs w:val="22"/>
          <w:lang w:val="es-CR"/>
        </w:rPr>
        <w:lastRenderedPageBreak/>
        <w:t>Coordinador. Para tales efectos, la Dirección Ejecutiva de la Corte deberá suministrar los medios humanos y materiales necesarios.</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19</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Los dictámenes, informes y recomendaciones de las Comisiones tendrán un carácter meramente consultivo y no serán vinculantes para la Corte, pero ésta deberá fundamentar sus decisiones cuando se separe de ellos.</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Cuando por disposición expresa de la Ley o de la Corte Plena se atribuyan a una Comisión competencias o potestades propias, se entenderán</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Cuando por disposición expresa de la Ley o de la Corte Plena se atribuyan a una Comisión competencia o potestades propias, se entenderán, en todo caso, reservadas a la propia Corte las de avocar el conocimiento de cualquier asunto o de revocar, reformar y sustituir lo resuelto por la Comisión.</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20</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Las Comisiones podrán solicitar la presencia o la participación de Magistrados que no las integren, así como autorizar o requerir las de funcionarios o expertos, judiciales o no, salvo para las deliberaciones y votaciones, que serán normalmente privadas.</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Artículo 21</w:t>
      </w:r>
      <w:proofErr w:type="gramStart"/>
      <w:r>
        <w:rPr>
          <w:rFonts w:ascii="Verdana" w:hAnsi="Verdana" w:cs="Times New Roman"/>
          <w:b/>
          <w:bCs/>
          <w:sz w:val="22"/>
          <w:szCs w:val="22"/>
          <w:lang w:val="es-CR"/>
        </w:rPr>
        <w:t>°.-</w:t>
      </w:r>
      <w:proofErr w:type="gramEnd"/>
      <w:r>
        <w:rPr>
          <w:rFonts w:ascii="Verdana" w:hAnsi="Verdana" w:cs="Times New Roman"/>
          <w:sz w:val="22"/>
          <w:szCs w:val="22"/>
          <w:lang w:val="es-CR"/>
        </w:rPr>
        <w:t xml:space="preserve"> Todas las Comisiones deberán presentar a la Corte Plena un informe trimestral de sus actividades, sin perjuicio de los que la propia Corte les pida. Las Especiales lo harán, además, al concluir sus encargos o el plazo para concluirlos.</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El mismo deber de información trimestral, pesará sobre los Magistrados, funcionarios o personas que representen a la Corte en Comisiones Interinstitucionales.</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La omisión en informar será sancionada disciplinariamente y, además, en caso de reincidencia causará la separación del responsable o responsables de la respectiva omisión.</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Todos los Magistrados Titulares podrán participar en las sesiones y actividades de las Comisiones de las que no sean Miembros, con derecho a voz e iniciativa, pero no a voto.</w:t>
      </w:r>
    </w:p>
    <w:p w:rsidR="00D22F4E" w:rsidRDefault="00D22F4E" w:rsidP="00D22F4E">
      <w:pPr>
        <w:pStyle w:val="Blockquote"/>
        <w:widowControl/>
        <w:spacing w:before="0" w:after="0"/>
        <w:ind w:left="0" w:right="0"/>
        <w:jc w:val="both"/>
        <w:rPr>
          <w:rFonts w:ascii="Verdana" w:hAnsi="Verdana" w:cs="Times New Roman"/>
          <w:b/>
          <w:bCs/>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Transitorio I</w:t>
      </w:r>
      <w:r>
        <w:rPr>
          <w:rFonts w:ascii="Verdana" w:hAnsi="Verdana" w:cs="Times New Roman"/>
          <w:sz w:val="22"/>
          <w:szCs w:val="22"/>
          <w:lang w:val="es-CR"/>
        </w:rPr>
        <w:t>.- Un mes después de la aprobación definitiva de este Reglamento caducarán de pleno derecho todas las Comisiones de Corte Plena, con excepción de las creadas por Ley, de las enumeradas expresamente en los artículos 5°, 6° y 7° del presente y de las que la propia Corte disponga mantener o refundir. Las Especiales caducarán automáticamente al cumplimiento de su encargo, en los términos del artículo 2°.</w:t>
      </w:r>
    </w:p>
    <w:p w:rsidR="00D22F4E" w:rsidRDefault="00D22F4E" w:rsidP="00D22F4E">
      <w:pPr>
        <w:pStyle w:val="Blockquote"/>
        <w:widowControl/>
        <w:spacing w:before="0" w:after="0"/>
        <w:ind w:left="0" w:right="0"/>
        <w:jc w:val="both"/>
        <w:rPr>
          <w:rFonts w:ascii="Verdana" w:hAnsi="Verdana" w:cs="Times New Roman"/>
          <w:sz w:val="22"/>
          <w:szCs w:val="22"/>
          <w:lang w:val="es-CR"/>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b/>
          <w:bCs/>
          <w:sz w:val="22"/>
          <w:szCs w:val="22"/>
          <w:lang w:val="es-CR"/>
        </w:rPr>
        <w:t>Transitorio II.-</w:t>
      </w:r>
      <w:r>
        <w:rPr>
          <w:rFonts w:ascii="Verdana" w:hAnsi="Verdana" w:cs="Times New Roman"/>
          <w:sz w:val="22"/>
          <w:szCs w:val="22"/>
          <w:lang w:val="es-CR"/>
        </w:rPr>
        <w:t xml:space="preserve"> En el mismo plazo del Transitorio I caducarán todos los nombramientos en Comisiones designadas por la Corte Plena, con las salvedades siguientes:</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En las Comisiones Mixtas, permanecerán los funcionarios nombrados </w:t>
      </w:r>
      <w:proofErr w:type="gramStart"/>
      <w:r>
        <w:rPr>
          <w:rFonts w:ascii="Verdana" w:hAnsi="Verdana" w:cs="Times New Roman"/>
          <w:sz w:val="22"/>
          <w:szCs w:val="22"/>
        </w:rPr>
        <w:t>en razón de</w:t>
      </w:r>
      <w:proofErr w:type="gramEnd"/>
      <w:r>
        <w:rPr>
          <w:rFonts w:ascii="Verdana" w:hAnsi="Verdana" w:cs="Times New Roman"/>
          <w:sz w:val="22"/>
          <w:szCs w:val="22"/>
        </w:rPr>
        <w:t xml:space="preserve"> su cargo y no personalmente, mientras los desempeñen;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En todas las Comisiones, la propia Comisión propondrá a la Corte uno de sus Miembros Magistrados, el cual permanecerá en funciones hasta la fecha de la próxima renovación bienal, en la cual podrá ser reelecto para un período completo más;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lastRenderedPageBreak/>
        <w:t xml:space="preserve">Igual regla se aplicará en las Comisiones que cambien de nombre, de integración o de objeto, pero no de materia; En estas últimas, cuando el cambio implique refundir dos o más e las Comisiones actuales, cada una de las refundidas propondrá a la Corte la permanencia de uno de sus Miembros Magistrados; no obstante, si entre los propuestos los hubiere de una misma Sala, la Corte decidirá cuál permanecerá y pedirá a la otra u otras Comisiones refundidas que haga una nueva proposición. En los casos a que se refiere este inciso, también la Corte resolverá cuál Magistrado permanecerá hasta la próxima renovación, cuál hasta la siguiente y así sucesivamente, siendo reelegibles por una vez los que queden por dos años o menos;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Lo dispuesto en este Transitorio no se aplicará a los actuales representantes designados por la Corte en Comisiones Interinstitucionales, quienes permanecerán en éstas de manera que se renueven dos cada dos años, en la respectiva fecha de renovación, siendo siempre reelegibles por una vez los que queden por dos años o menos.</w:t>
      </w:r>
    </w:p>
    <w:p w:rsidR="00D22F4E" w:rsidRDefault="00D22F4E" w:rsidP="00D22F4E">
      <w:pPr>
        <w:widowControl/>
        <w:jc w:val="both"/>
        <w:rPr>
          <w:rFonts w:ascii="Verdana" w:hAnsi="Verdana" w:cs="Times New Roman"/>
          <w:sz w:val="22"/>
          <w:szCs w:val="22"/>
        </w:rPr>
      </w:pP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ANEXO</w:t>
      </w: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COMISIONES PRINCIPALES-GENERALES:</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Consejo Consultivo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Consejo de Personal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Enlace con el Organismo de Investigación Judicial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Construcciones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Consejo Directivo de la Escuela Judicial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Consejo de la Judicatura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Enlace Corte-Asociaciones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Relaciones con Poderes Públicos y otras Cortes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Relaciones Laborales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Planificación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Licitaciones y Contratos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Modernización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Seguridad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Vehículos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sobre el Fondo de Jubilaciones y Pensiones del Poder Judicial.</w:t>
      </w:r>
    </w:p>
    <w:p w:rsidR="00D22F4E" w:rsidRDefault="00D22F4E" w:rsidP="00D22F4E">
      <w:pPr>
        <w:widowControl/>
        <w:jc w:val="both"/>
        <w:rPr>
          <w:rFonts w:ascii="Verdana" w:hAnsi="Verdana" w:cs="Times New Roman"/>
          <w:sz w:val="22"/>
          <w:szCs w:val="22"/>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COMISIONES PRINCIPALES-ESPECIALIZADAS:</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Presupuesto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la Jurisdicción Constitucional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la Jurisdicción </w:t>
      </w:r>
      <w:proofErr w:type="gramStart"/>
      <w:r>
        <w:rPr>
          <w:rFonts w:ascii="Verdana" w:hAnsi="Verdana" w:cs="Times New Roman"/>
          <w:sz w:val="22"/>
          <w:szCs w:val="22"/>
        </w:rPr>
        <w:t>Contencioso Administrativa</w:t>
      </w:r>
      <w:proofErr w:type="gramEnd"/>
      <w:r>
        <w:rPr>
          <w:rFonts w:ascii="Verdana" w:hAnsi="Verdana" w:cs="Times New Roman"/>
          <w:sz w:val="22"/>
          <w:szCs w:val="22"/>
        </w:rPr>
        <w:t xml:space="preserve">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la Jurisdicción Civil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la Jurisdicción Penal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la Jurisdicción Laboral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la Jurisdicción Agraria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la Jurisdicción de Tránsito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la Jurisdicción de Menores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de la Jurisdicción de Familia</w:t>
      </w:r>
    </w:p>
    <w:p w:rsidR="00D22F4E" w:rsidRDefault="00D22F4E" w:rsidP="00D22F4E">
      <w:pPr>
        <w:widowControl/>
        <w:jc w:val="both"/>
        <w:rPr>
          <w:rFonts w:ascii="Verdana" w:hAnsi="Verdana" w:cs="Times New Roman"/>
          <w:sz w:val="22"/>
          <w:szCs w:val="22"/>
        </w:rPr>
      </w:pPr>
    </w:p>
    <w:p w:rsidR="00D22F4E" w:rsidRDefault="00D22F4E" w:rsidP="00D22F4E">
      <w:pPr>
        <w:pStyle w:val="Blockquote"/>
        <w:widowControl/>
        <w:spacing w:before="0" w:after="0"/>
        <w:ind w:left="0" w:right="0"/>
        <w:jc w:val="both"/>
        <w:rPr>
          <w:rFonts w:ascii="Verdana" w:hAnsi="Verdana" w:cs="Times New Roman"/>
          <w:sz w:val="22"/>
          <w:szCs w:val="22"/>
          <w:lang w:val="es-CR"/>
        </w:rPr>
      </w:pPr>
      <w:r>
        <w:rPr>
          <w:rFonts w:ascii="Verdana" w:hAnsi="Verdana" w:cs="Times New Roman"/>
          <w:sz w:val="22"/>
          <w:szCs w:val="22"/>
          <w:lang w:val="es-CR"/>
        </w:rPr>
        <w:t>COMISIONES ORDINARIAS.</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 xml:space="preserve">de Salud y Seguridad Ocupacional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lastRenderedPageBreak/>
        <w:t xml:space="preserve">de Formación y Rescate de Valores </w:t>
      </w:r>
    </w:p>
    <w:p w:rsidR="00D22F4E" w:rsidRDefault="00D22F4E" w:rsidP="00D22F4E">
      <w:pPr>
        <w:widowControl/>
        <w:jc w:val="both"/>
        <w:rPr>
          <w:rFonts w:ascii="Verdana" w:hAnsi="Verdana" w:cs="Times New Roman"/>
          <w:sz w:val="22"/>
          <w:szCs w:val="22"/>
        </w:rPr>
      </w:pPr>
      <w:r>
        <w:rPr>
          <w:rFonts w:ascii="Verdana" w:hAnsi="Verdana" w:cs="Times New Roman"/>
          <w:sz w:val="22"/>
          <w:szCs w:val="22"/>
        </w:rPr>
        <w:t>de Desarrollo Tecnológico</w:t>
      </w:r>
    </w:p>
    <w:p w:rsidR="00D22F4E" w:rsidRDefault="00D22F4E" w:rsidP="00D22F4E">
      <w:pPr>
        <w:pStyle w:val="Normalprueba1"/>
        <w:jc w:val="both"/>
        <w:rPr>
          <w:rFonts w:ascii="Verdana" w:hAnsi="Verdana" w:cs="Times New Roman"/>
          <w:sz w:val="22"/>
          <w:szCs w:val="22"/>
        </w:rPr>
      </w:pPr>
    </w:p>
    <w:p w:rsidR="00D22F4E" w:rsidRDefault="00D22F4E" w:rsidP="00D22F4E">
      <w:pPr>
        <w:widowControl/>
        <w:jc w:val="both"/>
        <w:rPr>
          <w:rFonts w:ascii="Times New Roman" w:hAnsi="Times New Roman" w:cs="Times New Roman"/>
        </w:rPr>
      </w:pPr>
      <w:r>
        <w:rPr>
          <w:rFonts w:ascii="Verdana" w:hAnsi="Verdana" w:cs="Times New Roman"/>
          <w:sz w:val="22"/>
          <w:szCs w:val="22"/>
        </w:rPr>
        <w:t>Boletín Judicial N° 44, 2 de marzo del 2000</w:t>
      </w:r>
      <w:r>
        <w:rPr>
          <w:rFonts w:ascii="Times New Roman" w:hAnsi="Times New Roman" w:cs="Times New Roman"/>
        </w:rPr>
        <w:t>.</w:t>
      </w:r>
    </w:p>
    <w:p w:rsidR="00D22F4E" w:rsidRDefault="00D22F4E" w:rsidP="00D22F4E">
      <w:pPr>
        <w:widowControl/>
        <w:jc w:val="both"/>
        <w:rPr>
          <w:rFonts w:ascii="Times New Roman" w:hAnsi="Times New Roman" w:cs="Times New Roman"/>
        </w:rPr>
      </w:pPr>
    </w:p>
    <w:p w:rsidR="00E85A6F" w:rsidRDefault="00E85A6F"/>
    <w:sectPr w:rsidR="00E85A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4461"/>
    <w:multiLevelType w:val="multilevel"/>
    <w:tmpl w:val="2EBC3664"/>
    <w:lvl w:ilvl="0">
      <w:start w:val="5"/>
      <w:numFmt w:val="decimal"/>
      <w:lvlText w:val="%1-"/>
      <w:lvlJc w:val="left"/>
      <w:pPr>
        <w:ind w:left="0" w:firstLine="0"/>
      </w:pPr>
      <w:rPr>
        <w:rFonts w:ascii="Arial" w:hAnsi="Arial" w:cs="Arial"/>
        <w:b/>
        <w:bCs/>
        <w:sz w:val="24"/>
        <w:szCs w:val="24"/>
      </w:r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 w15:restartNumberingAfterBreak="0">
    <w:nsid w:val="18FA6337"/>
    <w:multiLevelType w:val="singleLevel"/>
    <w:tmpl w:val="C0CE461C"/>
    <w:lvl w:ilvl="0">
      <w:start w:val="1"/>
      <w:numFmt w:val="decimal"/>
      <w:lvlText w:val="%1-"/>
      <w:lvlJc w:val="left"/>
      <w:pPr>
        <w:ind w:left="0" w:firstLine="0"/>
      </w:pPr>
      <w:rPr>
        <w:rFonts w:ascii="Arial" w:hAnsi="Arial" w:cs="Arial"/>
        <w:b/>
        <w:bCs/>
        <w:sz w:val="24"/>
        <w:szCs w:val="24"/>
      </w:rPr>
    </w:lvl>
  </w:abstractNum>
  <w:abstractNum w:abstractNumId="2" w15:restartNumberingAfterBreak="0">
    <w:nsid w:val="21C83FC9"/>
    <w:multiLevelType w:val="multilevel"/>
    <w:tmpl w:val="088AFA9E"/>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 w15:restartNumberingAfterBreak="0">
    <w:nsid w:val="30D63340"/>
    <w:multiLevelType w:val="singleLevel"/>
    <w:tmpl w:val="EEEC5FBA"/>
    <w:lvl w:ilvl="0">
      <w:start w:val="1"/>
      <w:numFmt w:val="decimal"/>
      <w:lvlText w:val="%1-"/>
      <w:lvlJc w:val="left"/>
      <w:pPr>
        <w:ind w:left="0" w:firstLine="0"/>
      </w:pPr>
      <w:rPr>
        <w:rFonts w:ascii="Arial" w:hAnsi="Arial" w:cs="Arial"/>
        <w:b/>
        <w:bCs/>
        <w:sz w:val="24"/>
        <w:szCs w:val="24"/>
      </w:rPr>
    </w:lvl>
  </w:abstractNum>
  <w:abstractNum w:abstractNumId="4" w15:restartNumberingAfterBreak="0">
    <w:nsid w:val="6621409E"/>
    <w:multiLevelType w:val="singleLevel"/>
    <w:tmpl w:val="6DD4C006"/>
    <w:lvl w:ilvl="0">
      <w:start w:val="8"/>
      <w:numFmt w:val="decimal"/>
      <w:lvlText w:val="%1-"/>
      <w:lvlJc w:val="left"/>
      <w:pPr>
        <w:ind w:left="0" w:firstLine="0"/>
      </w:pPr>
      <w:rPr>
        <w:rFonts w:ascii="Arial" w:hAnsi="Arial" w:cs="Arial"/>
        <w:b/>
        <w:bCs/>
        <w:sz w:val="24"/>
        <w:szCs w:val="24"/>
      </w:r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8"/>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4E"/>
    <w:rsid w:val="00045A21"/>
    <w:rsid w:val="003D5EF3"/>
    <w:rsid w:val="0049374D"/>
    <w:rsid w:val="00A31BAF"/>
    <w:rsid w:val="00AA1997"/>
    <w:rsid w:val="00D22F4E"/>
    <w:rsid w:val="00D746ED"/>
    <w:rsid w:val="00E85A6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4827"/>
  <w15:chartTrackingRefBased/>
  <w15:docId w15:val="{70F0FF4A-4CA1-485D-9FEF-FEFB57DC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F4E"/>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styleId="Ttulo2">
    <w:name w:val="heading 2"/>
    <w:aliases w:val="Títulos de Hallazgo e Introducción"/>
    <w:basedOn w:val="Normal"/>
    <w:next w:val="Normal"/>
    <w:link w:val="Ttulo2Car"/>
    <w:semiHidden/>
    <w:unhideWhenUsed/>
    <w:qFormat/>
    <w:rsid w:val="00D22F4E"/>
    <w:pPr>
      <w:keepNext/>
      <w:tabs>
        <w:tab w:val="left" w:pos="480"/>
        <w:tab w:val="right" w:leader="dot" w:pos="8040"/>
        <w:tab w:val="right" w:pos="8580"/>
      </w:tabs>
      <w:spacing w:before="20"/>
      <w:jc w:val="center"/>
      <w:outlineLvl w:val="1"/>
    </w:pPr>
    <w:rPr>
      <w:rFonts w:ascii="Tahoma" w:hAnsi="Tahoma" w:cs="Tahoma"/>
      <w:u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s de Hallazgo e Introducción Car"/>
    <w:basedOn w:val="Fuentedeprrafopredeter"/>
    <w:link w:val="Ttulo2"/>
    <w:semiHidden/>
    <w:rsid w:val="00D22F4E"/>
    <w:rPr>
      <w:rFonts w:ascii="Tahoma" w:eastAsia="Times New Roman" w:hAnsi="Tahoma" w:cs="Tahoma"/>
      <w:sz w:val="24"/>
      <w:szCs w:val="24"/>
      <w:u w:color="000000"/>
      <w:lang w:val="es-ES" w:eastAsia="es-ES"/>
    </w:rPr>
  </w:style>
  <w:style w:type="paragraph" w:customStyle="1" w:styleId="Normalprueba1">
    <w:name w:val="Normal.prueba1"/>
    <w:rsid w:val="00D22F4E"/>
    <w:pPr>
      <w:widowControl w:val="0"/>
      <w:autoSpaceDE w:val="0"/>
      <w:autoSpaceDN w:val="0"/>
      <w:adjustRightInd w:val="0"/>
      <w:spacing w:after="0" w:line="240" w:lineRule="auto"/>
    </w:pPr>
    <w:rPr>
      <w:rFonts w:ascii="Arial" w:eastAsia="Times New Roman" w:hAnsi="Arial" w:cs="Arial"/>
      <w:sz w:val="28"/>
      <w:szCs w:val="28"/>
      <w:u w:color="000000"/>
      <w:lang w:val="es-ES" w:eastAsia="es-ES"/>
    </w:rPr>
  </w:style>
  <w:style w:type="paragraph" w:customStyle="1" w:styleId="Blockquote">
    <w:name w:val="Blockquote"/>
    <w:rsid w:val="00D22F4E"/>
    <w:pPr>
      <w:widowControl w:val="0"/>
      <w:autoSpaceDE w:val="0"/>
      <w:autoSpaceDN w:val="0"/>
      <w:adjustRightInd w:val="0"/>
      <w:spacing w:before="100" w:after="100" w:line="240" w:lineRule="auto"/>
      <w:ind w:left="360" w:right="360"/>
    </w:pPr>
    <w:rPr>
      <w:rFonts w:ascii="Arial" w:eastAsia="Times New Roman" w:hAnsi="Arial" w:cs="Arial"/>
      <w:sz w:val="24"/>
      <w:szCs w:val="24"/>
      <w:u w:color="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05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2192</Words>
  <Characters>12058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Damaris Vargas Vásquez</dc:creator>
  <cp:keywords/>
  <dc:description/>
  <cp:lastModifiedBy>Melissa Benavides Víquez</cp:lastModifiedBy>
  <cp:revision>5</cp:revision>
  <dcterms:created xsi:type="dcterms:W3CDTF">2019-01-08T19:08:00Z</dcterms:created>
  <dcterms:modified xsi:type="dcterms:W3CDTF">2019-01-08T21:26:00Z</dcterms:modified>
</cp:coreProperties>
</file>