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7ACD" w:rsidRDefault="00B65638">
      <w:pPr>
        <w:widowControl w:val="0"/>
        <w:spacing w:after="240"/>
        <w:jc w:val="both"/>
        <w:rPr>
          <w:rFonts w:ascii="Times" w:hAnsi="Times" w:cs="Times" w:hint="eastAsia"/>
          <w:lang w:val="es-ES"/>
        </w:rPr>
      </w:pPr>
      <w:bookmarkStart w:id="0" w:name="_GoBack"/>
      <w:bookmarkEnd w:id="0"/>
      <w:r>
        <w:rPr>
          <w:rFonts w:ascii="Times" w:hAnsi="Times" w:cs="Times"/>
          <w:b/>
          <w:bCs/>
          <w:sz w:val="48"/>
          <w:szCs w:val="48"/>
          <w:lang w:val="es-ES"/>
        </w:rPr>
        <w:t xml:space="preserve">La Plataforma Integral de Servicios en Costa Rica: una herramienta para hacer efectivos los derechos de las personas mayores </w:t>
      </w:r>
    </w:p>
    <w:p w:rsidR="00DC7ACD" w:rsidRDefault="00B65638">
      <w:pPr>
        <w:widowControl w:val="0"/>
        <w:spacing w:after="240"/>
        <w:jc w:val="both"/>
        <w:rPr>
          <w:rFonts w:ascii="Times" w:hAnsi="Times" w:cs="Times" w:hint="eastAsia"/>
          <w:lang w:val="es-ES"/>
        </w:rPr>
      </w:pPr>
      <w:r>
        <w:rPr>
          <w:rFonts w:ascii="Times" w:hAnsi="Times" w:cs="Times"/>
          <w:b/>
          <w:bCs/>
          <w:i/>
          <w:iCs/>
          <w:sz w:val="32"/>
          <w:szCs w:val="32"/>
          <w:lang w:val="es-ES"/>
        </w:rPr>
        <w:t>Lupita Chaves Cervantes</w:t>
      </w:r>
      <w:r>
        <w:rPr>
          <w:rFonts w:ascii="Times" w:hAnsi="Times" w:cs="Times"/>
          <w:position w:val="10"/>
          <w:sz w:val="16"/>
          <w:szCs w:val="16"/>
          <w:lang w:val="es-ES"/>
        </w:rPr>
        <w:t xml:space="preserve">1 </w:t>
      </w:r>
    </w:p>
    <w:p w:rsidR="00DC7ACD" w:rsidRDefault="00B65638">
      <w:pPr>
        <w:widowControl w:val="0"/>
        <w:spacing w:after="240"/>
        <w:jc w:val="both"/>
        <w:rPr>
          <w:rFonts w:ascii="Times" w:hAnsi="Times" w:cs="Times" w:hint="eastAsia"/>
          <w:lang w:val="es-ES"/>
        </w:rPr>
      </w:pPr>
      <w:r>
        <w:rPr>
          <w:rFonts w:ascii="Times" w:hAnsi="Times" w:cs="Times"/>
          <w:b/>
          <w:bCs/>
          <w:sz w:val="38"/>
          <w:szCs w:val="38"/>
          <w:lang w:val="es-ES"/>
        </w:rPr>
        <w:t xml:space="preserve">A. Presentación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Aunque los derechos de las personas mayores estén tutelados en un marco jurídico nacional, para su garantía efectiva se necesitan además mecanismos especiales de protección, que según los sujetos que ofician como actores principales del resguardo del derec</w:t>
      </w:r>
      <w:r>
        <w:rPr>
          <w:rFonts w:ascii="Times" w:hAnsi="Times" w:cs="Times"/>
          <w:sz w:val="30"/>
          <w:szCs w:val="30"/>
          <w:lang w:val="es-ES"/>
        </w:rPr>
        <w:t xml:space="preserve">ho pueden clasificarse como garantías institucionales y garantías ciudadanas. Las primeras incluyen las garantías políticas y las jurisdiccionales, y comprenden la normativa que el Estado está obligado a desarrollar a través de sus diferentes órganos. Las </w:t>
      </w:r>
      <w:r>
        <w:rPr>
          <w:rFonts w:ascii="Times" w:hAnsi="Times" w:cs="Times"/>
          <w:sz w:val="30"/>
          <w:szCs w:val="30"/>
          <w:lang w:val="es-ES"/>
        </w:rPr>
        <w:t xml:space="preserve">garantías ciudadanas, por su parte, incorporan la participación de las personas mayores en los beneficios que les corresponden y la protección de sus derechos (Huenchuan, 2014).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Dentro de las garantías políticas se consideran las normas del ordenamiento n</w:t>
      </w:r>
      <w:r>
        <w:rPr>
          <w:rFonts w:ascii="Times" w:hAnsi="Times" w:cs="Times"/>
          <w:sz w:val="30"/>
          <w:szCs w:val="30"/>
          <w:lang w:val="es-ES"/>
        </w:rPr>
        <w:t>acional, que pueden estar contempladas tanto en la Constitución como en las leyes. La mayor parte de los países de la región coincide en garantizar a este grupo social la igualdad de oportunidades y la vida digna en todos los ámbitos. En el caso de Costa R</w:t>
      </w:r>
      <w:r>
        <w:rPr>
          <w:rFonts w:ascii="Times" w:hAnsi="Times" w:cs="Times"/>
          <w:sz w:val="30"/>
          <w:szCs w:val="30"/>
          <w:lang w:val="es-ES"/>
        </w:rPr>
        <w:t>ica, el artículo 51 de la Constitución Política establece la protección especial para la persona mayor: “La familia, como elemento natural y fundamento de la sociedad, tiene derecho a la protección especial del Estado. Igualmente tendrán derecho a esa prot</w:t>
      </w:r>
      <w:r>
        <w:rPr>
          <w:rFonts w:ascii="Times" w:hAnsi="Times" w:cs="Times"/>
          <w:sz w:val="30"/>
          <w:szCs w:val="30"/>
          <w:lang w:val="es-ES"/>
        </w:rPr>
        <w:t>ección la madre, el niño, el anciano y el enfermo desvalido”</w:t>
      </w:r>
      <w:r>
        <w:rPr>
          <w:rFonts w:ascii="Times" w:hAnsi="Times" w:cs="Times"/>
          <w:position w:val="10"/>
          <w:sz w:val="16"/>
          <w:szCs w:val="16"/>
          <w:lang w:val="es-ES"/>
        </w:rPr>
        <w:t>2</w:t>
      </w:r>
      <w:r>
        <w:rPr>
          <w:rFonts w:ascii="Times" w:hAnsi="Times" w:cs="Times"/>
          <w:sz w:val="30"/>
          <w:szCs w:val="30"/>
          <w:lang w:val="es-ES"/>
        </w:rPr>
        <w:t>. De igual forma, la Ley N° 7935 de 1999, denominada Ley Integral para la Persona Adulta Mayor</w:t>
      </w:r>
      <w:r>
        <w:rPr>
          <w:rFonts w:ascii="Times" w:hAnsi="Times" w:cs="Times"/>
          <w:position w:val="10"/>
          <w:sz w:val="16"/>
          <w:szCs w:val="16"/>
          <w:lang w:val="es-ES"/>
        </w:rPr>
        <w:t>3</w:t>
      </w:r>
      <w:r>
        <w:rPr>
          <w:rFonts w:ascii="Times" w:hAnsi="Times" w:cs="Times"/>
          <w:sz w:val="30"/>
          <w:szCs w:val="30"/>
          <w:lang w:val="es-ES"/>
        </w:rPr>
        <w:t>, señala en el artículo 12:“El Estado deberá garantizar las condiciones óptimas de salud, nutrición,</w:t>
      </w:r>
      <w:r>
        <w:rPr>
          <w:rFonts w:ascii="Times" w:hAnsi="Times" w:cs="Times"/>
          <w:sz w:val="30"/>
          <w:szCs w:val="30"/>
          <w:lang w:val="es-ES"/>
        </w:rPr>
        <w:t xml:space="preserve"> vivienda, desarrollo integral y seguridad social a las personas adultas mayores”.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En América Latina y el Caribe, 14 países cuentan con una norma </w:t>
      </w:r>
      <w:r>
        <w:rPr>
          <w:rFonts w:ascii="Times" w:hAnsi="Times" w:cs="Times"/>
          <w:sz w:val="30"/>
          <w:szCs w:val="30"/>
          <w:lang w:val="es-ES"/>
        </w:rPr>
        <w:lastRenderedPageBreak/>
        <w:t xml:space="preserve">específica de protección de los derechos de las personas mayores —el Brasil, Bolivia (Estado </w:t>
      </w:r>
    </w:p>
    <w:p w:rsidR="00DC7ACD" w:rsidRDefault="00B65638">
      <w:pPr>
        <w:widowControl w:val="0"/>
        <w:spacing w:after="240"/>
        <w:jc w:val="both"/>
        <w:rPr>
          <w:rFonts w:ascii="Times" w:hAnsi="Times" w:cs="Times" w:hint="eastAsia"/>
          <w:lang w:val="es-ES"/>
        </w:rPr>
      </w:pPr>
      <w:r>
        <w:rPr>
          <w:rFonts w:ascii="Times" w:hAnsi="Times" w:cs="Times"/>
          <w:position w:val="8"/>
          <w:sz w:val="14"/>
          <w:szCs w:val="14"/>
          <w:lang w:val="es-ES"/>
        </w:rPr>
        <w:t xml:space="preserve">1 </w:t>
      </w:r>
      <w:r>
        <w:rPr>
          <w:rFonts w:ascii="Times" w:hAnsi="Times" w:cs="Times"/>
          <w:sz w:val="22"/>
          <w:szCs w:val="22"/>
          <w:lang w:val="es-ES"/>
        </w:rPr>
        <w:t>Integrante de</w:t>
      </w:r>
      <w:r>
        <w:rPr>
          <w:rFonts w:ascii="Times" w:hAnsi="Times" w:cs="Times"/>
          <w:sz w:val="22"/>
          <w:szCs w:val="22"/>
          <w:lang w:val="es-ES"/>
        </w:rPr>
        <w:t>l Consejo Superior del Poder Judicial de Costa Rica y de la Comisión de Acceso a la Justicia. Coordinadora de la Subcomisión de Acceso a la Justicia de la Población Adulta Mayor, Costa Rica. </w:t>
      </w:r>
      <w:r>
        <w:rPr>
          <w:rFonts w:ascii="Times" w:hAnsi="Times" w:cs="Times"/>
          <w:position w:val="8"/>
          <w:sz w:val="14"/>
          <w:szCs w:val="14"/>
          <w:lang w:val="es-ES"/>
        </w:rPr>
        <w:t xml:space="preserve">2 </w:t>
      </w:r>
      <w:r>
        <w:rPr>
          <w:rFonts w:ascii="Times" w:hAnsi="Times" w:cs="Times"/>
          <w:sz w:val="22"/>
          <w:szCs w:val="22"/>
          <w:lang w:val="es-ES"/>
        </w:rPr>
        <w:t>Véase [en línea] http://www.asamblea.go.cr/centro_de_informacio</w:t>
      </w:r>
      <w:r>
        <w:rPr>
          <w:rFonts w:ascii="Times" w:hAnsi="Times" w:cs="Times"/>
          <w:sz w:val="22"/>
          <w:szCs w:val="22"/>
          <w:lang w:val="es-ES"/>
        </w:rPr>
        <w:t xml:space="preserve">n/biblioteca/Paginas/Constituci%C3% B3n%20Pol%C3%ADtica%20de%20Costa%20Rica.aspx. </w:t>
      </w:r>
    </w:p>
    <w:p w:rsidR="00DC7ACD" w:rsidRDefault="00B65638">
      <w:pPr>
        <w:widowControl w:val="0"/>
        <w:spacing w:after="240"/>
        <w:jc w:val="both"/>
        <w:rPr>
          <w:rFonts w:ascii="Times" w:hAnsi="Times" w:cs="Times" w:hint="eastAsia"/>
          <w:lang w:val="es-ES"/>
        </w:rPr>
      </w:pPr>
      <w:r>
        <w:rPr>
          <w:rFonts w:ascii="Times" w:hAnsi="Times" w:cs="Times"/>
          <w:position w:val="8"/>
          <w:sz w:val="14"/>
          <w:szCs w:val="14"/>
          <w:lang w:val="es-ES"/>
        </w:rPr>
        <w:t xml:space="preserve">3 </w:t>
      </w:r>
      <w:r>
        <w:rPr>
          <w:rFonts w:ascii="Times" w:hAnsi="Times" w:cs="Times"/>
          <w:sz w:val="22"/>
          <w:szCs w:val="22"/>
          <w:lang w:val="es-ES"/>
        </w:rPr>
        <w:t xml:space="preserve">Véase [en línea] http://dhr.go.cr/biblioteca/leyes/ley_7935.pdf. </w:t>
      </w:r>
    </w:p>
    <w:p w:rsidR="00DC7ACD" w:rsidRDefault="00B65638">
      <w:pPr>
        <w:widowControl w:val="0"/>
        <w:jc w:val="both"/>
        <w:rPr>
          <w:rFonts w:ascii="Times" w:hAnsi="Times" w:cs="Times" w:hint="eastAsia"/>
          <w:lang w:val="es-ES"/>
        </w:rPr>
      </w:pPr>
      <w:r>
        <w:rPr>
          <w:noProof/>
        </w:rPr>
        <w:drawing>
          <wp:inline distT="0" distB="0" distL="0" distR="0">
            <wp:extent cx="1100455" cy="14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4"/>
                    <a:stretch>
                      <a:fillRect/>
                    </a:stretch>
                  </pic:blipFill>
                  <pic:spPr bwMode="auto">
                    <a:xfrm>
                      <a:off x="0" y="0"/>
                      <a:ext cx="1100455" cy="14605"/>
                    </a:xfrm>
                    <a:prstGeom prst="rect">
                      <a:avLst/>
                    </a:prstGeom>
                  </pic:spPr>
                </pic:pic>
              </a:graphicData>
            </a:graphic>
          </wp:inline>
        </w:drawing>
      </w:r>
    </w:p>
    <w:p w:rsidR="00DC7ACD" w:rsidRDefault="00B65638">
      <w:pPr>
        <w:widowControl w:val="0"/>
        <w:spacing w:after="240"/>
        <w:jc w:val="both"/>
        <w:rPr>
          <w:rFonts w:ascii="Times" w:hAnsi="Times" w:cs="Times" w:hint="eastAsia"/>
          <w:lang w:val="es-ES"/>
        </w:rPr>
      </w:pPr>
      <w:r>
        <w:rPr>
          <w:rFonts w:ascii="Times" w:hAnsi="Times" w:cs="Times"/>
          <w:i/>
          <w:iCs/>
          <w:sz w:val="22"/>
          <w:szCs w:val="22"/>
          <w:lang w:val="es-ES"/>
        </w:rPr>
        <w:t xml:space="preserve">Autonomía y dignidad en la vejez: Teoría y práctica en políticas de derechos de las personas mayores </w:t>
      </w:r>
      <w:r>
        <w:rPr>
          <w:rFonts w:ascii="Times" w:hAnsi="Times" w:cs="Times"/>
          <w:b/>
          <w:bCs/>
          <w:position w:val="-2"/>
          <w:lang w:val="es-ES"/>
        </w:rPr>
        <w:t>10</w:t>
      </w:r>
      <w:r>
        <w:rPr>
          <w:rFonts w:ascii="Times" w:hAnsi="Times" w:cs="Times"/>
          <w:b/>
          <w:bCs/>
          <w:position w:val="-2"/>
          <w:lang w:val="es-ES"/>
        </w:rPr>
        <w:t xml:space="preserve">3 </w:t>
      </w:r>
    </w:p>
    <w:p w:rsidR="00DC7ACD" w:rsidRDefault="00B65638">
      <w:pPr>
        <w:widowControl w:val="0"/>
        <w:jc w:val="both"/>
        <w:rPr>
          <w:rFonts w:ascii="Times" w:hAnsi="Times" w:cs="Times" w:hint="eastAsia"/>
          <w:lang w:val="es-ES"/>
        </w:rPr>
      </w:pPr>
      <w:r>
        <w:rPr>
          <w:noProof/>
        </w:rPr>
        <w:drawing>
          <wp:inline distT="0" distB="0" distL="0" distR="8255">
            <wp:extent cx="5427345" cy="1098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5"/>
                    <a:stretch>
                      <a:fillRect/>
                    </a:stretch>
                  </pic:blipFill>
                  <pic:spPr bwMode="auto">
                    <a:xfrm>
                      <a:off x="0" y="0"/>
                      <a:ext cx="5427345" cy="109855"/>
                    </a:xfrm>
                    <a:prstGeom prst="rect">
                      <a:avLst/>
                    </a:prstGeom>
                  </pic:spPr>
                </pic:pic>
              </a:graphicData>
            </a:graphic>
          </wp:inline>
        </w:drawing>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Plurinacional de), Colombia, Costa Rica, el Ecuador, El Salvador, Guatemala, Honduras, México, Nicaragua, el Paraguay, el Perú, la República Dominicana y Venezuela (República Bolivariana de). Sin embargo, de acuerdo al diagnóstico de la Comisión Econó</w:t>
      </w:r>
      <w:r>
        <w:rPr>
          <w:rFonts w:ascii="Times" w:hAnsi="Times" w:cs="Times"/>
          <w:sz w:val="30"/>
          <w:szCs w:val="30"/>
          <w:lang w:val="es-ES"/>
        </w:rPr>
        <w:t>mica para América Latina y el Caribe (CEPAL), una debilidad importante de estas legislaciones es la falta de garantías institucionales —tanto de orden político como jurisdiccional— para el cumplimiento de los derechos, lo que hace que la población adulta m</w:t>
      </w:r>
      <w:r>
        <w:rPr>
          <w:rFonts w:ascii="Times" w:hAnsi="Times" w:cs="Times"/>
          <w:sz w:val="30"/>
          <w:szCs w:val="30"/>
          <w:lang w:val="es-ES"/>
        </w:rPr>
        <w:t xml:space="preserve">ayor continúe enfrentando dificultades en esta dimensión (Huenchuan, 2014).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En este contexto, es indispensable que los Estados avancen hacia la implementación de acciones específicas de tipo organizacional y cultural —el llamado </w:t>
      </w:r>
      <w:r>
        <w:rPr>
          <w:rFonts w:ascii="Times" w:hAnsi="Times" w:cs="Times"/>
          <w:i/>
          <w:iCs/>
          <w:sz w:val="30"/>
          <w:szCs w:val="30"/>
          <w:lang w:val="es-ES"/>
        </w:rPr>
        <w:t>deber hacer legal</w:t>
      </w:r>
      <w:r>
        <w:rPr>
          <w:rFonts w:ascii="Times" w:hAnsi="Times" w:cs="Times"/>
          <w:sz w:val="30"/>
          <w:szCs w:val="30"/>
          <w:lang w:val="es-ES"/>
        </w:rPr>
        <w:t xml:space="preserve">—, para que las personas mayores puedan hacer realmente efectivos los derechos que proclama el ordenamiento, y no mueran o se frustren en el intento de buscar protección dentro del aparato administrativo o en el ámbito jurisdiccional.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Dentro de las garant</w:t>
      </w:r>
      <w:r>
        <w:rPr>
          <w:rFonts w:ascii="Times" w:hAnsi="Times" w:cs="Times"/>
          <w:sz w:val="30"/>
          <w:szCs w:val="30"/>
          <w:lang w:val="es-ES"/>
        </w:rPr>
        <w:t>ías jurisdiccionales, es incontrovertible la necesidad de garantizar el acceso a la justicia como un derecho humano esencial. En este sentido, un referente de la garantía jurisdiccional para los países de la región es la Carta de San José sobre los derecho</w:t>
      </w:r>
      <w:r>
        <w:rPr>
          <w:rFonts w:ascii="Times" w:hAnsi="Times" w:cs="Times"/>
          <w:sz w:val="30"/>
          <w:szCs w:val="30"/>
          <w:lang w:val="es-ES"/>
        </w:rPr>
        <w:t>s de las personas mayores de América Latina y el Caribe, adoptada en la tercera Conferencia regional intergubernamental sobre envejecimiento, celebrada en San José, Costa Rica, en mayo de 2012, en la que se reconoce el acceso a la justicia como “un derecho</w:t>
      </w:r>
      <w:r>
        <w:rPr>
          <w:rFonts w:ascii="Times" w:hAnsi="Times" w:cs="Times"/>
          <w:sz w:val="30"/>
          <w:szCs w:val="30"/>
          <w:lang w:val="es-ES"/>
        </w:rPr>
        <w:t xml:space="preserve"> humano esencial y el </w:t>
      </w:r>
      <w:r>
        <w:rPr>
          <w:rFonts w:ascii="Times" w:hAnsi="Times" w:cs="Times"/>
          <w:sz w:val="30"/>
          <w:szCs w:val="30"/>
          <w:lang w:val="es-ES"/>
        </w:rPr>
        <w:lastRenderedPageBreak/>
        <w:t xml:space="preserve">instrumento fundamental por medio del cual se garantiza a las personas mayores el ejercicio y la defensa efectiva de sus derechos” (CEPAL, 2012).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Aunque la Carta de San José es un excelente referente y establece una hoja de ruta para</w:t>
      </w:r>
      <w:r>
        <w:rPr>
          <w:rFonts w:ascii="Times" w:hAnsi="Times" w:cs="Times"/>
          <w:sz w:val="30"/>
          <w:szCs w:val="30"/>
          <w:lang w:val="es-ES"/>
        </w:rPr>
        <w:t xml:space="preserve"> los países de la región en la lucha por la protección de la población adulta mayor, la inseguridad jurídica a la que se enfrentan las personas mayores en América Latina y el Caribe es abismante. La interrogante que surge entonces para quienes trabajan en </w:t>
      </w:r>
      <w:r>
        <w:rPr>
          <w:rFonts w:ascii="Times" w:hAnsi="Times" w:cs="Times"/>
          <w:sz w:val="30"/>
          <w:szCs w:val="30"/>
          <w:lang w:val="es-ES"/>
        </w:rPr>
        <w:t>el campo de los derechos humanos es qué hacer para que estos derechos no permanezcan únicamente en el plano del discurso, para ir más allá de la proclamación contenida en un papel. No basta decir que las personas mayores tienen derecho a contar con un juic</w:t>
      </w:r>
      <w:r>
        <w:rPr>
          <w:rFonts w:ascii="Times" w:hAnsi="Times" w:cs="Times"/>
          <w:sz w:val="30"/>
          <w:szCs w:val="30"/>
          <w:lang w:val="es-ES"/>
        </w:rPr>
        <w:t xml:space="preserve">io justo, es importante dilucidar qué significa un juicio justo y cómo garantizarlo en contexto de envejecimiento. </w:t>
      </w:r>
    </w:p>
    <w:p w:rsidR="00DC7ACD" w:rsidRDefault="00B65638">
      <w:pPr>
        <w:widowControl w:val="0"/>
        <w:spacing w:after="240"/>
        <w:jc w:val="both"/>
        <w:rPr>
          <w:rFonts w:ascii="Times" w:hAnsi="Times" w:cs="Times" w:hint="eastAsia"/>
          <w:lang w:val="es-ES"/>
        </w:rPr>
      </w:pPr>
      <w:r>
        <w:rPr>
          <w:rFonts w:ascii="Times" w:hAnsi="Times" w:cs="Times"/>
          <w:b/>
          <w:bCs/>
          <w:sz w:val="38"/>
          <w:szCs w:val="38"/>
          <w:lang w:val="es-ES"/>
        </w:rPr>
        <w:t xml:space="preserve">B. Sobre la condición de vulnerabilidad de las personas mayores en la administración de justicia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En el ámbito de la administración de justi</w:t>
      </w:r>
      <w:r>
        <w:rPr>
          <w:rFonts w:ascii="Times" w:hAnsi="Times" w:cs="Times"/>
          <w:sz w:val="30"/>
          <w:szCs w:val="30"/>
          <w:lang w:val="es-ES"/>
        </w:rPr>
        <w:t xml:space="preserve">cia, si no se garantizan los derechos de las personas mayores en forma adecuada se enfrenta el riesgo de convertirse en verdugo, con la consecuencia de actuar como multiplicador de la discriminación, la exclusión social y la pobreza.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La situación de retra</w:t>
      </w:r>
      <w:r>
        <w:rPr>
          <w:rFonts w:ascii="Times" w:hAnsi="Times" w:cs="Times"/>
          <w:sz w:val="30"/>
          <w:szCs w:val="30"/>
          <w:lang w:val="es-ES"/>
        </w:rPr>
        <w:t xml:space="preserve">so judicial y de gestión inadecuada en la administración de justicia, cuya radiografía es similar en casi todos los países de la región, refleja </w:t>
      </w:r>
    </w:p>
    <w:p w:rsidR="00DC7ACD" w:rsidRDefault="00B65638">
      <w:pPr>
        <w:widowControl w:val="0"/>
        <w:spacing w:after="240"/>
        <w:jc w:val="both"/>
        <w:rPr>
          <w:rFonts w:ascii="Times" w:hAnsi="Times" w:cs="Times" w:hint="eastAsia"/>
          <w:lang w:val="es-ES"/>
        </w:rPr>
      </w:pPr>
      <w:r>
        <w:rPr>
          <w:rFonts w:ascii="Times" w:hAnsi="Times" w:cs="Times"/>
          <w:b/>
          <w:bCs/>
          <w:position w:val="-2"/>
          <w:lang w:val="es-ES"/>
        </w:rPr>
        <w:t xml:space="preserve">104 </w:t>
      </w:r>
      <w:r>
        <w:rPr>
          <w:rFonts w:ascii="Times" w:hAnsi="Times" w:cs="Times"/>
          <w:i/>
          <w:iCs/>
          <w:sz w:val="22"/>
          <w:szCs w:val="22"/>
          <w:lang w:val="es-ES"/>
        </w:rPr>
        <w:t xml:space="preserve">Autonomía y dignidad en la vejez: Teoría y práctica en políticas de derechos de las personas mayores </w:t>
      </w:r>
    </w:p>
    <w:p w:rsidR="00DC7ACD" w:rsidRDefault="00B65638">
      <w:pPr>
        <w:widowControl w:val="0"/>
        <w:jc w:val="both"/>
        <w:rPr>
          <w:rFonts w:ascii="Times" w:hAnsi="Times" w:cs="Times" w:hint="eastAsia"/>
          <w:lang w:val="es-ES"/>
        </w:rPr>
      </w:pPr>
      <w:r>
        <w:rPr>
          <w:noProof/>
        </w:rPr>
        <w:drawing>
          <wp:inline distT="0" distB="0" distL="0" distR="8255">
            <wp:extent cx="5427345" cy="109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6"/>
                    <a:stretch>
                      <a:fillRect/>
                    </a:stretch>
                  </pic:blipFill>
                  <pic:spPr bwMode="auto">
                    <a:xfrm>
                      <a:off x="0" y="0"/>
                      <a:ext cx="5427345" cy="109855"/>
                    </a:xfrm>
                    <a:prstGeom prst="rect">
                      <a:avLst/>
                    </a:prstGeom>
                  </pic:spPr>
                </pic:pic>
              </a:graphicData>
            </a:graphic>
          </wp:inline>
        </w:drawing>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la</w:t>
      </w:r>
      <w:r>
        <w:rPr>
          <w:rFonts w:ascii="Times" w:hAnsi="Times" w:cs="Times"/>
          <w:sz w:val="30"/>
          <w:szCs w:val="30"/>
          <w:lang w:val="es-ES"/>
        </w:rPr>
        <w:t xml:space="preserve">mentablemente que se cuenta con jueces y juezas que cada vez tienen menos circulante, pero mayor congestión.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La inercia y la inactividad de cada una de las instituciones que deben garantizar y hacer efectivos los derechos de las personas mayores —al trans</w:t>
      </w:r>
      <w:r>
        <w:rPr>
          <w:rFonts w:ascii="Times" w:hAnsi="Times" w:cs="Times"/>
          <w:sz w:val="30"/>
          <w:szCs w:val="30"/>
          <w:lang w:val="es-ES"/>
        </w:rPr>
        <w:t xml:space="preserve">porte público, a la salud, la justicia, la pensión, la vivienda digna, entre otros—, y la falta de acción del Estado y de las instituciones rectoras en la materia, van dejando sin contenido cada garantía dispuesta </w:t>
      </w:r>
      <w:r>
        <w:rPr>
          <w:rFonts w:ascii="Times" w:hAnsi="Times" w:cs="Times"/>
          <w:sz w:val="30"/>
          <w:szCs w:val="30"/>
          <w:lang w:val="es-ES"/>
        </w:rPr>
        <w:lastRenderedPageBreak/>
        <w:t>en las legislaciones a favor de la poblaci</w:t>
      </w:r>
      <w:r>
        <w:rPr>
          <w:rFonts w:ascii="Times" w:hAnsi="Times" w:cs="Times"/>
          <w:sz w:val="30"/>
          <w:szCs w:val="30"/>
          <w:lang w:val="es-ES"/>
        </w:rPr>
        <w:t xml:space="preserve">ón adulta mayor, y en consecuencia atentan flagrantemente contra los derechos de este grupo social.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Esto significa que si bien se dispone de normativas y existen garantías judiciales, políticas y ciudadanas, lo cierto es que en la realidad se otorga una e</w:t>
      </w:r>
      <w:r>
        <w:rPr>
          <w:rFonts w:ascii="Times" w:hAnsi="Times" w:cs="Times"/>
          <w:sz w:val="30"/>
          <w:szCs w:val="30"/>
          <w:lang w:val="es-ES"/>
        </w:rPr>
        <w:t>scasa prioridad a estos asuntos en la agenda de los Estados. Además, las acciones de omisión de las autoridades, tanto judiciales como administrativas, aunadas a la atomización de oficinas y trámites, hacen casi imposible que la población adulta mayor pued</w:t>
      </w:r>
      <w:r>
        <w:rPr>
          <w:rFonts w:ascii="Times" w:hAnsi="Times" w:cs="Times"/>
          <w:sz w:val="30"/>
          <w:szCs w:val="30"/>
          <w:lang w:val="es-ES"/>
        </w:rPr>
        <w:t xml:space="preserve">a hacer efectivos sus derechos.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La mayor parte de las personas mayores tienen problemas para precisar cuál es la autoridad competente para gestionar sus demandas, y suelen quedar en condición de vulnerabilidad ante un entorno plagado de trámites y dificul</w:t>
      </w:r>
      <w:r>
        <w:rPr>
          <w:rFonts w:ascii="Times" w:hAnsi="Times" w:cs="Times"/>
          <w:sz w:val="30"/>
          <w:szCs w:val="30"/>
          <w:lang w:val="es-ES"/>
        </w:rPr>
        <w:t xml:space="preserve">tades. Al pretender ejercer la defensa de alguno de sus derechos, se enfrentan a un sinnúmero de oficinas, trámites y procedimientos que generan una atención fraccionada, con el consecuente impacto emocional, personal y en su entorno. Con frecuencia, esta </w:t>
      </w:r>
      <w:r>
        <w:rPr>
          <w:rFonts w:ascii="Times" w:hAnsi="Times" w:cs="Times"/>
          <w:sz w:val="30"/>
          <w:szCs w:val="30"/>
          <w:lang w:val="es-ES"/>
        </w:rPr>
        <w:t xml:space="preserve">situación está unida a las dificultades de desplazamiento y de comunicación, a la invisibilidad y el maltrato.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Resulta difícil establecer cuántos trámites debe realizar la persona mayor para acceder al sistema de justicia de un país. Por otra parte, mucho</w:t>
      </w:r>
      <w:r>
        <w:rPr>
          <w:rFonts w:ascii="Times" w:hAnsi="Times" w:cs="Times"/>
          <w:sz w:val="30"/>
          <w:szCs w:val="30"/>
          <w:lang w:val="es-ES"/>
        </w:rPr>
        <w:t xml:space="preserve">s de esos trámites solo sirven para su martirio, abuso y maltrato dentro de la administración pública. En esa cruzada, la persona mayor no sabe a dónde acudir, y si consulta para saberlo, incluso suele resultar más confundida: “vaya a la defensoría de los </w:t>
      </w:r>
      <w:r>
        <w:rPr>
          <w:rFonts w:ascii="Times" w:hAnsi="Times" w:cs="Times"/>
          <w:sz w:val="30"/>
          <w:szCs w:val="30"/>
          <w:lang w:val="es-ES"/>
        </w:rPr>
        <w:t xml:space="preserve">habitantes”, “no, vaya al juzgado de pensiones alimentarias”, “no, vaya al juzgado de violencia doméstica”, “no, vaya a la policía, ahí le toman la denuncia”, “no, vaya a la fiscalía”, y así sucesivamente.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Además de estos problemas estructurales identific</w:t>
      </w:r>
      <w:r>
        <w:rPr>
          <w:rFonts w:ascii="Times" w:hAnsi="Times" w:cs="Times"/>
          <w:sz w:val="30"/>
          <w:szCs w:val="30"/>
          <w:lang w:val="es-ES"/>
        </w:rPr>
        <w:t>ados —la sobresaturación de juzgados, la falta de capacitación y sensibilización del personal, la falta de atención y protección de las víctimas, los múltiples despachos y procesos judiciales (de familia, de pensiones, penales, de violencia doméstica, ampa</w:t>
      </w:r>
      <w:r>
        <w:rPr>
          <w:rFonts w:ascii="Times" w:hAnsi="Times" w:cs="Times"/>
          <w:sz w:val="30"/>
          <w:szCs w:val="30"/>
          <w:lang w:val="es-ES"/>
        </w:rPr>
        <w:t xml:space="preserve">ros, habeas corpus)—, las personas mayores enfrentan entrevistas culpabilizadoras, entornos poco amigables, retrasos </w:t>
      </w:r>
      <w:r>
        <w:rPr>
          <w:rFonts w:ascii="Times" w:hAnsi="Times" w:cs="Times"/>
          <w:sz w:val="30"/>
          <w:szCs w:val="30"/>
          <w:lang w:val="es-ES"/>
        </w:rPr>
        <w:lastRenderedPageBreak/>
        <w:t>de las investigaciones, minimización de la gravedad de los delitos y reticencia para concederles órdenes de protección. Frente a esta reali</w:t>
      </w:r>
      <w:r>
        <w:rPr>
          <w:rFonts w:ascii="Times" w:hAnsi="Times" w:cs="Times"/>
          <w:sz w:val="30"/>
          <w:szCs w:val="30"/>
          <w:lang w:val="es-ES"/>
        </w:rPr>
        <w:t xml:space="preserve">dad, ¿cómo proteger efectivamente los derechos de las personas mayores? </w:t>
      </w:r>
    </w:p>
    <w:p w:rsidR="00DC7ACD" w:rsidRDefault="00B65638">
      <w:pPr>
        <w:widowControl w:val="0"/>
        <w:spacing w:after="240"/>
        <w:jc w:val="both"/>
        <w:rPr>
          <w:rFonts w:ascii="Times" w:hAnsi="Times" w:cs="Times" w:hint="eastAsia"/>
          <w:lang w:val="es-ES"/>
        </w:rPr>
      </w:pPr>
      <w:r>
        <w:rPr>
          <w:rFonts w:ascii="Times" w:hAnsi="Times" w:cs="Times"/>
          <w:i/>
          <w:iCs/>
          <w:sz w:val="22"/>
          <w:szCs w:val="22"/>
          <w:lang w:val="es-ES"/>
        </w:rPr>
        <w:t xml:space="preserve">Autonomía y dignidad en la vejez: Teoría y práctica en políticas de derechos de las personas mayores </w:t>
      </w:r>
      <w:r>
        <w:rPr>
          <w:rFonts w:ascii="Times" w:hAnsi="Times" w:cs="Times"/>
          <w:b/>
          <w:bCs/>
          <w:position w:val="-2"/>
          <w:lang w:val="es-ES"/>
        </w:rPr>
        <w:t xml:space="preserve">105 </w:t>
      </w:r>
    </w:p>
    <w:p w:rsidR="00DC7ACD" w:rsidRDefault="00B65638">
      <w:pPr>
        <w:widowControl w:val="0"/>
        <w:jc w:val="both"/>
        <w:rPr>
          <w:rFonts w:ascii="Times" w:hAnsi="Times" w:cs="Times" w:hint="eastAsia"/>
          <w:lang w:val="es-ES"/>
        </w:rPr>
      </w:pPr>
      <w:r>
        <w:rPr>
          <w:noProof/>
        </w:rPr>
        <w:drawing>
          <wp:inline distT="0" distB="0" distL="0" distR="8255">
            <wp:extent cx="5427345" cy="1098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5"/>
                    <a:stretch>
                      <a:fillRect/>
                    </a:stretch>
                  </pic:blipFill>
                  <pic:spPr bwMode="auto">
                    <a:xfrm>
                      <a:off x="0" y="0"/>
                      <a:ext cx="5427345" cy="109855"/>
                    </a:xfrm>
                    <a:prstGeom prst="rect">
                      <a:avLst/>
                    </a:prstGeom>
                  </pic:spPr>
                </pic:pic>
              </a:graphicData>
            </a:graphic>
          </wp:inline>
        </w:drawing>
      </w:r>
    </w:p>
    <w:p w:rsidR="00DC7ACD" w:rsidRDefault="00B65638">
      <w:pPr>
        <w:widowControl w:val="0"/>
        <w:spacing w:after="240"/>
        <w:jc w:val="both"/>
        <w:rPr>
          <w:rFonts w:ascii="Times" w:hAnsi="Times" w:cs="Times" w:hint="eastAsia"/>
          <w:lang w:val="es-ES"/>
        </w:rPr>
      </w:pPr>
      <w:r>
        <w:rPr>
          <w:rFonts w:ascii="Times" w:hAnsi="Times" w:cs="Times"/>
          <w:b/>
          <w:bCs/>
          <w:sz w:val="38"/>
          <w:szCs w:val="38"/>
          <w:lang w:val="es-ES"/>
        </w:rPr>
        <w:t xml:space="preserve">C. La Plataforma Integrada de Servicios de Atención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En el seno de la administración de justicia de Costa Rica se han implementado acciones afirmativas para garantizar el acceso de las personas mayores a la justicia. Entre ellas se encuentran los expedient</w:t>
      </w:r>
      <w:r>
        <w:rPr>
          <w:rFonts w:ascii="Times" w:hAnsi="Times" w:cs="Times"/>
          <w:sz w:val="30"/>
          <w:szCs w:val="30"/>
          <w:lang w:val="es-ES"/>
        </w:rPr>
        <w:t>es judiciales de distinto color, la obligación del juez o la jueza de trasladarse al sitio donde se encuentra la persona mayor, la atención prioritaria y el trámite preferente a todos los expedientes judiciales de personas mayores y la línea especial de at</w:t>
      </w:r>
      <w:r>
        <w:rPr>
          <w:rFonts w:ascii="Times" w:hAnsi="Times" w:cs="Times"/>
          <w:sz w:val="30"/>
          <w:szCs w:val="30"/>
          <w:lang w:val="es-ES"/>
        </w:rPr>
        <w:t xml:space="preserve">ención para obtener información.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Además se está trabajando en una plataforma integral de servicios, con la finalidad de que la persona mayor no tenga que desgastarse recorriendo cada una de las oficinas gubernamentales y acceda en un mismo espacio a todos</w:t>
      </w:r>
      <w:r>
        <w:rPr>
          <w:rFonts w:ascii="Times" w:hAnsi="Times" w:cs="Times"/>
          <w:sz w:val="30"/>
          <w:szCs w:val="30"/>
          <w:lang w:val="es-ES"/>
        </w:rPr>
        <w:t xml:space="preserve"> los servicios que requiere para hacer efectivos sus derechos. Ello permitiría un abordaje integral, por medio de una atención personalizada y jurisdiccional de asesoría jurídica y atención social y psicológica por parte de equipos especializados. La plata</w:t>
      </w:r>
      <w:r>
        <w:rPr>
          <w:rFonts w:ascii="Times" w:hAnsi="Times" w:cs="Times"/>
          <w:sz w:val="30"/>
          <w:szCs w:val="30"/>
          <w:lang w:val="es-ES"/>
        </w:rPr>
        <w:t xml:space="preserve">forma se rige por los principios de la descentralización de los servicios, su gratuidad y la accesibilidad sin discriminación de la población en condiciones de vulnerabilidad.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El modelo de la plataforma coloca a la persona como el centro del proceso, quie</w:t>
      </w:r>
      <w:r>
        <w:rPr>
          <w:rFonts w:ascii="Times" w:hAnsi="Times" w:cs="Times"/>
          <w:sz w:val="30"/>
          <w:szCs w:val="30"/>
          <w:lang w:val="es-ES"/>
        </w:rPr>
        <w:t>n es asistida por equipos interdisciplinarios que facilitan la coordinación con otros servicios interinstitucionales para garantizar el acceso a la justicia. Por ejemplo, dentro de la plataforma pueden agregarse oficinas de la mujer u otro tipo de oficinas</w:t>
      </w:r>
      <w:r>
        <w:rPr>
          <w:rFonts w:ascii="Times" w:hAnsi="Times" w:cs="Times"/>
          <w:sz w:val="30"/>
          <w:szCs w:val="30"/>
          <w:lang w:val="es-ES"/>
        </w:rPr>
        <w:t xml:space="preserve"> administrativas y servicios no judiciales para realizar los diferentes trámites con jueces o juezas de cada especialidad (penal, de familia, de pensiones alimentarias, de violencia intrafamiliar).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La plataforma facilita el trabajo en redes, asegurando la</w:t>
      </w:r>
      <w:r>
        <w:rPr>
          <w:rFonts w:ascii="Times" w:hAnsi="Times" w:cs="Times"/>
          <w:sz w:val="30"/>
          <w:szCs w:val="30"/>
          <w:lang w:val="es-ES"/>
        </w:rPr>
        <w:t xml:space="preserve"> transversalidad y </w:t>
      </w:r>
      <w:r>
        <w:rPr>
          <w:rFonts w:ascii="Times" w:hAnsi="Times" w:cs="Times"/>
          <w:sz w:val="30"/>
          <w:szCs w:val="30"/>
          <w:lang w:val="es-ES"/>
        </w:rPr>
        <w:lastRenderedPageBreak/>
        <w:t>la transdisciplinariedad institucional y los servicios continuos y sostenibles a lo largo de todo el proceso, con un claro enfoque de derechos humanos. Facilita también la aplicación de medidas alternativas como la conciliación y la just</w:t>
      </w:r>
      <w:r>
        <w:rPr>
          <w:rFonts w:ascii="Times" w:hAnsi="Times" w:cs="Times"/>
          <w:sz w:val="30"/>
          <w:szCs w:val="30"/>
          <w:lang w:val="es-ES"/>
        </w:rPr>
        <w:t xml:space="preserve">icia restaurativa, que buscan fortalecer el tejido social, tanto de la persona víctima como de quien agrede.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En Costa Rica se ha logrado implantar este sistema sin reforma legal de por medio, y se ha apostado por una sana y correcta administración de los </w:t>
      </w:r>
      <w:r>
        <w:rPr>
          <w:rFonts w:ascii="Times" w:hAnsi="Times" w:cs="Times"/>
          <w:sz w:val="30"/>
          <w:szCs w:val="30"/>
          <w:lang w:val="es-ES"/>
        </w:rPr>
        <w:t xml:space="preserve">recursos públicos para brindar y garantizar efectivamente los derechos de las personas mayores.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En el diagrama 1 se puede observar el modo en que opera la plataforma integral de servicios y la forma en que se incorpora el equipo interdisciplinario. Si la </w:t>
      </w:r>
      <w:r>
        <w:rPr>
          <w:rFonts w:ascii="Times" w:hAnsi="Times" w:cs="Times"/>
          <w:sz w:val="30"/>
          <w:szCs w:val="30"/>
          <w:lang w:val="es-ES"/>
        </w:rPr>
        <w:t>persona va a denunciar penalmente se le toma la denuncia, si se trata de un caso de violencia doméstica también se le brinda el acompañamiento psicológico y todos los actores involucrados se reúnen en el mismo espacio —jueces, fiscales y defensores público</w:t>
      </w:r>
      <w:r>
        <w:rPr>
          <w:rFonts w:ascii="Times" w:hAnsi="Times" w:cs="Times"/>
          <w:sz w:val="30"/>
          <w:szCs w:val="30"/>
          <w:lang w:val="es-ES"/>
        </w:rPr>
        <w:t xml:space="preserve">s. </w:t>
      </w:r>
    </w:p>
    <w:p w:rsidR="00DC7ACD" w:rsidRDefault="00B65638">
      <w:pPr>
        <w:widowControl w:val="0"/>
        <w:spacing w:after="240"/>
        <w:jc w:val="both"/>
        <w:rPr>
          <w:rFonts w:ascii="Times" w:hAnsi="Times" w:cs="Times" w:hint="eastAsia"/>
          <w:b/>
          <w:bCs/>
          <w:lang w:val="es-ES"/>
        </w:rPr>
      </w:pPr>
      <w:r>
        <w:rPr>
          <w:rFonts w:ascii="Times" w:hAnsi="Times" w:cs="Times"/>
          <w:b/>
          <w:bCs/>
          <w:position w:val="-2"/>
          <w:lang w:val="es-ES"/>
        </w:rPr>
        <w:t>106</w:t>
      </w:r>
    </w:p>
    <w:p w:rsidR="00DC7ACD" w:rsidRDefault="00B65638">
      <w:pPr>
        <w:widowControl w:val="0"/>
        <w:spacing w:after="240"/>
        <w:jc w:val="both"/>
        <w:rPr>
          <w:rFonts w:ascii="Times" w:hAnsi="Times" w:cs="Times" w:hint="eastAsia"/>
          <w:lang w:val="es-ES"/>
        </w:rPr>
      </w:pPr>
      <w:r>
        <w:rPr>
          <w:rFonts w:ascii="Times" w:hAnsi="Times" w:cs="Times"/>
          <w:i/>
          <w:iCs/>
          <w:sz w:val="22"/>
          <w:szCs w:val="22"/>
          <w:lang w:val="es-ES"/>
        </w:rPr>
        <w:t xml:space="preserve">Autonomía y dignidad en la vejez: Teoría y práctica en políticas de derechos de las personas mayores </w:t>
      </w:r>
    </w:p>
    <w:p w:rsidR="00DC7ACD" w:rsidRDefault="00B65638">
      <w:pPr>
        <w:widowControl w:val="0"/>
        <w:jc w:val="center"/>
        <w:rPr>
          <w:rFonts w:ascii="Times" w:hAnsi="Times" w:cs="Times" w:hint="eastAsia"/>
          <w:lang w:val="es-ES"/>
        </w:rPr>
      </w:pPr>
      <w:r>
        <w:rPr>
          <w:noProof/>
        </w:rPr>
        <w:drawing>
          <wp:inline distT="0" distB="0" distL="0" distR="8255">
            <wp:extent cx="5427345" cy="1098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6"/>
                    <a:stretch>
                      <a:fillRect/>
                    </a:stretch>
                  </pic:blipFill>
                  <pic:spPr bwMode="auto">
                    <a:xfrm>
                      <a:off x="0" y="0"/>
                      <a:ext cx="5427345" cy="109855"/>
                    </a:xfrm>
                    <a:prstGeom prst="rect">
                      <a:avLst/>
                    </a:prstGeom>
                  </pic:spPr>
                </pic:pic>
              </a:graphicData>
            </a:graphic>
          </wp:inline>
        </w:drawing>
      </w:r>
    </w:p>
    <w:p w:rsidR="00DC7ACD" w:rsidRDefault="00B65638">
      <w:pPr>
        <w:widowControl w:val="0"/>
        <w:spacing w:after="240"/>
        <w:jc w:val="center"/>
        <w:rPr>
          <w:rFonts w:ascii="Times" w:hAnsi="Times" w:cs="Times" w:hint="eastAsia"/>
          <w:b/>
          <w:bCs/>
          <w:sz w:val="30"/>
          <w:szCs w:val="30"/>
          <w:lang w:val="es-ES"/>
        </w:rPr>
      </w:pPr>
      <w:r>
        <w:rPr>
          <w:rFonts w:ascii="Times" w:hAnsi="Times" w:cs="Times"/>
          <w:b/>
          <w:bCs/>
          <w:sz w:val="30"/>
          <w:szCs w:val="30"/>
          <w:lang w:val="es-ES"/>
        </w:rPr>
        <w:t>Diagrama 1 </w:t>
      </w:r>
    </w:p>
    <w:p w:rsidR="00DC7ACD" w:rsidRDefault="00B65638">
      <w:pPr>
        <w:widowControl w:val="0"/>
        <w:spacing w:after="240"/>
        <w:jc w:val="both"/>
        <w:rPr>
          <w:rFonts w:ascii="Times" w:hAnsi="Times" w:cs="Times" w:hint="eastAsia"/>
          <w:lang w:val="es-ES"/>
        </w:rPr>
      </w:pPr>
      <w:r>
        <w:rPr>
          <w:rFonts w:ascii="Times" w:hAnsi="Times" w:cs="Times"/>
          <w:b/>
          <w:bCs/>
          <w:sz w:val="30"/>
          <w:szCs w:val="30"/>
          <w:lang w:val="es-ES"/>
        </w:rPr>
        <w:t xml:space="preserve">Funcionamiento de la Plataforma Integral de Servicios </w:t>
      </w:r>
    </w:p>
    <w:p w:rsidR="00DC7ACD" w:rsidRDefault="00B65638">
      <w:pPr>
        <w:widowControl w:val="0"/>
        <w:spacing w:after="240"/>
        <w:jc w:val="both"/>
        <w:rPr>
          <w:rFonts w:ascii="Times" w:hAnsi="Times" w:cs="Times" w:hint="eastAsia"/>
          <w:lang w:val="es-ES"/>
        </w:rPr>
      </w:pPr>
      <w:r>
        <w:rPr>
          <w:noProof/>
        </w:rPr>
        <w:drawing>
          <wp:inline distT="25400" distB="37465" distL="25400" distR="26670">
            <wp:extent cx="5612130" cy="3518535"/>
            <wp:effectExtent l="0" t="0" r="0" b="0"/>
            <wp:docPr id="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0"/>
                    <pic:cNvPicPr>
                      <a:picLocks noChangeAspect="1" noChangeArrowheads="1"/>
                    </pic:cNvPicPr>
                  </pic:nvPicPr>
                  <pic:blipFill>
                    <a:blip r:embed="rId7"/>
                    <a:stretch>
                      <a:fillRect/>
                    </a:stretch>
                  </pic:blipFill>
                  <pic:spPr bwMode="auto">
                    <a:xfrm>
                      <a:off x="0" y="0"/>
                      <a:ext cx="5612130" cy="3518535"/>
                    </a:xfrm>
                    <a:prstGeom prst="rect">
                      <a:avLst/>
                    </a:prstGeom>
                    <a:ln w="9525">
                      <a:solidFill>
                        <a:srgbClr val="FFFFFF"/>
                      </a:solidFill>
                    </a:ln>
                  </pic:spPr>
                </pic:pic>
              </a:graphicData>
            </a:graphic>
          </wp:inline>
        </w:drawing>
      </w:r>
      <w:r>
        <w:rPr>
          <w:rFonts w:ascii="Times" w:hAnsi="Times" w:cs="Times"/>
          <w:b/>
          <w:bCs/>
          <w:color w:val="FFFFFF"/>
          <w:sz w:val="18"/>
          <w:szCs w:val="18"/>
          <w:lang w:val="es-ES"/>
        </w:rPr>
        <w:t xml:space="preserve"> </w:t>
      </w:r>
    </w:p>
    <w:p w:rsidR="00DC7ACD" w:rsidRDefault="00B65638">
      <w:pPr>
        <w:widowControl w:val="0"/>
        <w:spacing w:after="240"/>
        <w:jc w:val="both"/>
        <w:rPr>
          <w:rFonts w:ascii="Times" w:hAnsi="Times" w:cs="Times" w:hint="eastAsia"/>
          <w:lang w:val="es-ES"/>
        </w:rPr>
      </w:pPr>
      <w:r>
        <w:rPr>
          <w:rFonts w:ascii="Times" w:hAnsi="Times" w:cs="Times"/>
          <w:b/>
          <w:bCs/>
          <w:color w:val="FFFFFF"/>
          <w:sz w:val="16"/>
          <w:szCs w:val="16"/>
          <w:lang w:val="es-ES"/>
        </w:rPr>
        <w:t>Mani</w:t>
      </w:r>
      <w:r>
        <w:rPr>
          <w:noProof/>
        </w:rPr>
        <w:drawing>
          <wp:inline distT="0" distB="12065" distL="0" distR="1270">
            <wp:extent cx="5612130" cy="4204970"/>
            <wp:effectExtent l="0" t="0" r="0" b="0"/>
            <wp:docPr id="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9"/>
                    <pic:cNvPicPr>
                      <a:picLocks noChangeAspect="1" noChangeArrowheads="1"/>
                    </pic:cNvPicPr>
                  </pic:nvPicPr>
                  <pic:blipFill>
                    <a:blip r:embed="rId8"/>
                    <a:stretch>
                      <a:fillRect/>
                    </a:stretch>
                  </pic:blipFill>
                  <pic:spPr bwMode="auto">
                    <a:xfrm>
                      <a:off x="0" y="0"/>
                      <a:ext cx="5612130" cy="4204970"/>
                    </a:xfrm>
                    <a:prstGeom prst="rect">
                      <a:avLst/>
                    </a:prstGeom>
                  </pic:spPr>
                </pic:pic>
              </a:graphicData>
            </a:graphic>
          </wp:inline>
        </w:drawing>
      </w:r>
      <w:r>
        <w:rPr>
          <w:rFonts w:ascii="Times" w:hAnsi="Times" w:cs="Times"/>
          <w:b/>
          <w:bCs/>
          <w:color w:val="FFFFFF"/>
          <w:sz w:val="16"/>
          <w:szCs w:val="16"/>
          <w:lang w:val="es-ES"/>
        </w:rPr>
        <w:t xml:space="preserve">festación no declara penalmente </w:t>
      </w:r>
    </w:p>
    <w:p w:rsidR="00DC7ACD" w:rsidRDefault="00B65638">
      <w:pPr>
        <w:widowControl w:val="0"/>
        <w:spacing w:after="240"/>
        <w:jc w:val="both"/>
        <w:rPr>
          <w:rFonts w:ascii="Times" w:hAnsi="Times" w:cs="Times" w:hint="eastAsia"/>
          <w:lang w:val="es-ES"/>
        </w:rPr>
      </w:pPr>
      <w:r>
        <w:rPr>
          <w:rFonts w:ascii="Times" w:hAnsi="Times" w:cs="Times"/>
          <w:b/>
          <w:bCs/>
          <w:color w:val="FFFFFF"/>
          <w:sz w:val="18"/>
          <w:szCs w:val="18"/>
          <w:lang w:val="es-ES"/>
        </w:rPr>
        <w:t xml:space="preserve">Final </w:t>
      </w:r>
    </w:p>
    <w:p w:rsidR="00DC7ACD" w:rsidRDefault="00B65638">
      <w:pPr>
        <w:widowControl w:val="0"/>
        <w:spacing w:after="240"/>
        <w:jc w:val="both"/>
        <w:rPr>
          <w:rFonts w:ascii="Times" w:hAnsi="Times" w:cs="Times" w:hint="eastAsia"/>
          <w:lang w:val="es-ES"/>
        </w:rPr>
      </w:pPr>
      <w:r>
        <w:rPr>
          <w:rFonts w:ascii="Times" w:hAnsi="Times" w:cs="Times"/>
          <w:b/>
          <w:bCs/>
          <w:color w:val="FFFFFF"/>
          <w:sz w:val="16"/>
          <w:szCs w:val="16"/>
          <w:lang w:val="es-ES"/>
        </w:rPr>
        <w:t xml:space="preserve">Persona decide denunciar penalmente </w:t>
      </w:r>
    </w:p>
    <w:p w:rsidR="00DC7ACD" w:rsidRDefault="00B65638">
      <w:pPr>
        <w:widowControl w:val="0"/>
        <w:spacing w:after="240"/>
        <w:jc w:val="both"/>
        <w:rPr>
          <w:rFonts w:ascii="Times" w:hAnsi="Times" w:cs="Times" w:hint="eastAsia"/>
          <w:lang w:val="es-ES"/>
        </w:rPr>
      </w:pPr>
      <w:r>
        <w:rPr>
          <w:rFonts w:ascii="Times" w:hAnsi="Times" w:cs="Times"/>
          <w:b/>
          <w:bCs/>
          <w:color w:val="FFFFFF"/>
          <w:sz w:val="16"/>
          <w:szCs w:val="16"/>
          <w:lang w:val="es-ES"/>
        </w:rPr>
        <w:t>Toma de denuncia única</w:t>
      </w:r>
      <w:r>
        <w:rPr>
          <w:rFonts w:ascii="Times" w:hAnsi="Times" w:cs="Times"/>
          <w:b/>
          <w:bCs/>
          <w:color w:val="FFFFFF"/>
          <w:position w:val="5"/>
          <w:sz w:val="8"/>
          <w:szCs w:val="8"/>
          <w:lang w:val="es-ES"/>
        </w:rPr>
        <w:t xml:space="preserve">b </w:t>
      </w:r>
    </w:p>
    <w:p w:rsidR="00DC7ACD" w:rsidRDefault="00B65638">
      <w:pPr>
        <w:widowControl w:val="0"/>
        <w:spacing w:after="240"/>
        <w:jc w:val="both"/>
        <w:rPr>
          <w:rFonts w:ascii="Times" w:hAnsi="Times" w:cs="Times" w:hint="eastAsia"/>
          <w:lang w:val="es-ES"/>
        </w:rPr>
      </w:pPr>
      <w:r>
        <w:rPr>
          <w:rFonts w:ascii="Times" w:hAnsi="Times" w:cs="Times"/>
          <w:b/>
          <w:bCs/>
          <w:color w:val="010101"/>
          <w:sz w:val="18"/>
          <w:szCs w:val="18"/>
          <w:lang w:val="es-ES"/>
        </w:rPr>
        <w:t xml:space="preserve">Proceso de toma de denuncia única </w:t>
      </w:r>
    </w:p>
    <w:p w:rsidR="00DC7ACD" w:rsidRDefault="00B65638">
      <w:pPr>
        <w:widowControl w:val="0"/>
        <w:spacing w:after="240"/>
        <w:jc w:val="both"/>
        <w:rPr>
          <w:rFonts w:ascii="Times" w:hAnsi="Times" w:cs="Times" w:hint="eastAsia"/>
          <w:lang w:val="es-ES"/>
        </w:rPr>
      </w:pPr>
      <w:r>
        <w:rPr>
          <w:rFonts w:ascii="Times" w:hAnsi="Times" w:cs="Times"/>
          <w:b/>
          <w:bCs/>
          <w:color w:val="FFFFFF"/>
          <w:sz w:val="16"/>
          <w:szCs w:val="16"/>
          <w:lang w:val="es-ES"/>
        </w:rPr>
        <w:t xml:space="preserve">Denuncia violencia doméstica </w:t>
      </w:r>
    </w:p>
    <w:p w:rsidR="00DC7ACD" w:rsidRDefault="00B65638">
      <w:pPr>
        <w:widowControl w:val="0"/>
        <w:spacing w:after="240" w:line="240" w:lineRule="atLeast"/>
        <w:jc w:val="both"/>
        <w:rPr>
          <w:rFonts w:ascii="Times" w:hAnsi="Times" w:cs="Times" w:hint="eastAsia"/>
          <w:lang w:val="es-ES"/>
        </w:rPr>
      </w:pPr>
      <w:r>
        <w:rPr>
          <w:rFonts w:ascii="Times" w:hAnsi="Times" w:cs="Times"/>
          <w:b/>
          <w:bCs/>
          <w:color w:val="FFFFFF"/>
          <w:sz w:val="16"/>
          <w:szCs w:val="16"/>
          <w:lang w:val="es-ES"/>
        </w:rPr>
        <w:t>Acompañamiento psicoló</w:t>
      </w:r>
      <w:r>
        <w:rPr>
          <w:noProof/>
        </w:rPr>
        <w:drawing>
          <wp:inline distT="0" distB="12065" distL="0" distR="1270">
            <wp:extent cx="5612130" cy="4204970"/>
            <wp:effectExtent l="0" t="0" r="0" b="0"/>
            <wp:docPr id="8"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1"/>
                    <pic:cNvPicPr>
                      <a:picLocks noChangeAspect="1" noChangeArrowheads="1"/>
                    </pic:cNvPicPr>
                  </pic:nvPicPr>
                  <pic:blipFill>
                    <a:blip r:embed="rId9"/>
                    <a:stretch>
                      <a:fillRect/>
                    </a:stretch>
                  </pic:blipFill>
                  <pic:spPr bwMode="auto">
                    <a:xfrm>
                      <a:off x="0" y="0"/>
                      <a:ext cx="5612130" cy="4204970"/>
                    </a:xfrm>
                    <a:prstGeom prst="rect">
                      <a:avLst/>
                    </a:prstGeom>
                  </pic:spPr>
                </pic:pic>
              </a:graphicData>
            </a:graphic>
          </wp:inline>
        </w:drawing>
      </w:r>
      <w:r>
        <w:rPr>
          <w:rFonts w:ascii="Times" w:hAnsi="Times" w:cs="Times"/>
          <w:sz w:val="18"/>
          <w:szCs w:val="18"/>
          <w:lang w:val="es-ES"/>
        </w:rPr>
        <w:t xml:space="preserve">Fuente: Informes de la Oficina de Atención y Protección a la Víctima de Delito (OAPVD), Poder Judicial de </w:t>
      </w:r>
      <w:r>
        <w:rPr>
          <w:rFonts w:ascii="Times" w:hAnsi="Times" w:cs="Times"/>
          <w:sz w:val="18"/>
          <w:szCs w:val="18"/>
          <w:lang w:val="es-ES"/>
        </w:rPr>
        <w:t xml:space="preserve">Costa Rica. </w:t>
      </w:r>
      <w:r>
        <w:rPr>
          <w:rFonts w:ascii="Times" w:hAnsi="Times" w:cs="Times"/>
          <w:position w:val="5"/>
          <w:sz w:val="10"/>
          <w:szCs w:val="10"/>
          <w:lang w:val="es-ES"/>
        </w:rPr>
        <w:t> </w:t>
      </w:r>
      <w:r>
        <w:rPr>
          <w:rFonts w:ascii="Times" w:hAnsi="Times" w:cs="Times"/>
          <w:sz w:val="18"/>
          <w:szCs w:val="18"/>
          <w:lang w:val="es-ES"/>
        </w:rPr>
        <w:t xml:space="preserve">Hay dos opciones de equipo de abordaje: a) juez-fiscal-psicóloga / trabajadora social, técnica; b) psicóloga / trabajadora social. </w:t>
      </w:r>
      <w:r>
        <w:rPr>
          <w:rFonts w:ascii="Times" w:hAnsi="Times" w:cs="Times"/>
          <w:lang w:val="es-ES"/>
        </w:rPr>
        <w:t> </w:t>
      </w:r>
      <w:r>
        <w:rPr>
          <w:rFonts w:ascii="Times" w:hAnsi="Times" w:cs="Times"/>
          <w:sz w:val="18"/>
          <w:szCs w:val="18"/>
          <w:lang w:val="es-ES"/>
        </w:rPr>
        <w:t xml:space="preserve">Mejora en el sistema de gestión, integración de plantilla, generación de códigos. </w:t>
      </w:r>
      <w:r>
        <w:rPr>
          <w:rFonts w:ascii="Times" w:hAnsi="Times" w:cs="Times"/>
          <w:lang w:val="es-ES"/>
        </w:rPr>
        <w:t>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Para que la plataforma funcione tiene que ser ideada y trabajar con la cantidad de recursos humanos necesarios, considerando la especialidad de los jueces y el personal del sector administrativo. Además hay que tomar en cuenta los aspectos materiales y log</w:t>
      </w:r>
      <w:r>
        <w:rPr>
          <w:rFonts w:ascii="Times" w:hAnsi="Times" w:cs="Times"/>
          <w:sz w:val="30"/>
          <w:szCs w:val="30"/>
          <w:lang w:val="es-ES"/>
        </w:rPr>
        <w:t xml:space="preserve">ísticos de la atención, como un mobiliario adecuado, suministros suficientes o el alquiler de un local en caso de ser necesario.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Según datos estadísticos de la plataforma, entre diciembre de 2011 y el 23 de mayo de 2014 292 personas mayores son o han sido</w:t>
      </w:r>
      <w:r>
        <w:rPr>
          <w:rFonts w:ascii="Times" w:hAnsi="Times" w:cs="Times"/>
          <w:sz w:val="30"/>
          <w:szCs w:val="30"/>
          <w:lang w:val="es-ES"/>
        </w:rPr>
        <w:t xml:space="preserve"> parte de procesos judiciales de violencia intrafamiliar y 281 han denunciado delitos ante la Fiscalía.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Un aspecto importante de una plataforma integral de servicios es que fortalece la participación ciudadana en la mejora del servicio que se presta (gara</w:t>
      </w:r>
      <w:r>
        <w:rPr>
          <w:rFonts w:ascii="Times" w:hAnsi="Times" w:cs="Times"/>
          <w:sz w:val="30"/>
          <w:szCs w:val="30"/>
          <w:lang w:val="es-ES"/>
        </w:rPr>
        <w:t>ntía ciudadana) y permite evaluar el tipo de atención brindada para disponer adecuadamente de medidas correctivas del desempeño. En ese sentido, del total de personas mayores atendidas, el 60% ha evaluado la atención como excelente y un 37% como muy buena,</w:t>
      </w:r>
      <w:r>
        <w:rPr>
          <w:rFonts w:ascii="Times" w:hAnsi="Times" w:cs="Times"/>
          <w:sz w:val="30"/>
          <w:szCs w:val="30"/>
          <w:lang w:val="es-ES"/>
        </w:rPr>
        <w:t xml:space="preserve"> es decir que el grado de satisfacción de los usuarios de edad avanzada con el sistema alcanza el 97% de la población atendida (véase el gráfico 1). </w:t>
      </w:r>
    </w:p>
    <w:p w:rsidR="00DC7ACD" w:rsidRDefault="00B65638">
      <w:pPr>
        <w:widowControl w:val="0"/>
        <w:spacing w:after="240"/>
        <w:jc w:val="both"/>
        <w:rPr>
          <w:rFonts w:ascii="Times" w:hAnsi="Times" w:cs="Times" w:hint="eastAsia"/>
          <w:lang w:val="es-ES"/>
        </w:rPr>
      </w:pPr>
      <w:r>
        <w:rPr>
          <w:rFonts w:ascii="Times" w:hAnsi="Times" w:cs="Times"/>
          <w:i/>
          <w:iCs/>
          <w:sz w:val="22"/>
          <w:szCs w:val="22"/>
          <w:lang w:val="es-ES"/>
        </w:rPr>
        <w:t xml:space="preserve">Autonomía y dignidad en la vejez: Teoría y práctica en políticas de derechos de las personas mayores </w:t>
      </w:r>
      <w:r>
        <w:rPr>
          <w:rFonts w:ascii="Times" w:hAnsi="Times" w:cs="Times"/>
          <w:b/>
          <w:bCs/>
          <w:position w:val="-2"/>
          <w:lang w:val="es-ES"/>
        </w:rPr>
        <w:t xml:space="preserve">107 </w:t>
      </w:r>
    </w:p>
    <w:p w:rsidR="00DC7ACD" w:rsidRDefault="00B65638">
      <w:pPr>
        <w:widowControl w:val="0"/>
        <w:jc w:val="both"/>
        <w:rPr>
          <w:rFonts w:ascii="Times" w:hAnsi="Times" w:cs="Times" w:hint="eastAsia"/>
          <w:lang w:val="es-ES"/>
        </w:rPr>
      </w:pPr>
      <w:r>
        <w:rPr>
          <w:noProof/>
        </w:rPr>
        <w:drawing>
          <wp:inline distT="0" distB="0" distL="0" distR="8255">
            <wp:extent cx="5427345" cy="109855"/>
            <wp:effectExtent l="0" t="0" r="0" b="0"/>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8"/>
                    <pic:cNvPicPr>
                      <a:picLocks noChangeAspect="1" noChangeArrowheads="1"/>
                    </pic:cNvPicPr>
                  </pic:nvPicPr>
                  <pic:blipFill>
                    <a:blip r:embed="rId5"/>
                    <a:stretch>
                      <a:fillRect/>
                    </a:stretch>
                  </pic:blipFill>
                  <pic:spPr bwMode="auto">
                    <a:xfrm>
                      <a:off x="0" y="0"/>
                      <a:ext cx="5427345" cy="109855"/>
                    </a:xfrm>
                    <a:prstGeom prst="rect">
                      <a:avLst/>
                    </a:prstGeom>
                  </pic:spPr>
                </pic:pic>
              </a:graphicData>
            </a:graphic>
          </wp:inline>
        </w:drawing>
      </w:r>
    </w:p>
    <w:p w:rsidR="00DC7ACD" w:rsidRDefault="00B65638">
      <w:pPr>
        <w:widowControl w:val="0"/>
        <w:spacing w:after="240"/>
        <w:jc w:val="both"/>
        <w:rPr>
          <w:rFonts w:ascii="Times" w:hAnsi="Times" w:cs="Times" w:hint="eastAsia"/>
          <w:lang w:val="es-ES"/>
        </w:rPr>
      </w:pPr>
      <w:r>
        <w:rPr>
          <w:rFonts w:ascii="Times" w:hAnsi="Times" w:cs="Times"/>
          <w:b/>
          <w:bCs/>
          <w:sz w:val="30"/>
          <w:szCs w:val="30"/>
          <w:lang w:val="es-ES"/>
        </w:rPr>
        <w:t xml:space="preserve">Gráfico 1 Costa Rica: evaluación de la atención brindada mediante la Plataforma Integral de Servicios, personas de 60 años y más, 2013 </w:t>
      </w:r>
    </w:p>
    <w:p w:rsidR="00DC7ACD" w:rsidRDefault="00B65638">
      <w:pPr>
        <w:widowControl w:val="0"/>
        <w:spacing w:after="240"/>
        <w:jc w:val="both"/>
        <w:rPr>
          <w:rFonts w:ascii="Times" w:hAnsi="Times" w:cs="Times" w:hint="eastAsia"/>
          <w:lang w:val="es-ES"/>
        </w:rPr>
      </w:pPr>
      <w:r>
        <w:rPr>
          <w:rFonts w:ascii="Times" w:hAnsi="Times" w:cs="Times"/>
          <w:b/>
          <w:bCs/>
          <w:sz w:val="34"/>
          <w:szCs w:val="34"/>
          <w:lang w:val="es-ES"/>
        </w:rPr>
        <w:t xml:space="preserve">3% </w:t>
      </w:r>
    </w:p>
    <w:p w:rsidR="00DC7ACD" w:rsidRDefault="00B65638">
      <w:pPr>
        <w:widowControl w:val="0"/>
        <w:spacing w:after="240"/>
        <w:jc w:val="both"/>
        <w:rPr>
          <w:rFonts w:ascii="Times" w:hAnsi="Times" w:cs="Times" w:hint="eastAsia"/>
          <w:lang w:val="es-ES"/>
        </w:rPr>
      </w:pPr>
      <w:r>
        <w:rPr>
          <w:rFonts w:ascii="Times" w:hAnsi="Times" w:cs="Times"/>
          <w:b/>
          <w:bCs/>
          <w:color w:val="FFFFFF"/>
          <w:sz w:val="34"/>
          <w:szCs w:val="34"/>
          <w:lang w:val="es-ES"/>
        </w:rPr>
        <w:t>37% 60%</w:t>
      </w:r>
      <w:r>
        <w:rPr>
          <w:rFonts w:ascii="Times" w:hAnsi="Times" w:cs="Times"/>
          <w:b/>
          <w:bCs/>
          <w:color w:val="FF0000"/>
          <w:sz w:val="34"/>
          <w:szCs w:val="34"/>
          <w:lang w:val="es-ES"/>
        </w:rPr>
        <w:t>FALTA EL CUADRO….DECIRLE A DIANA</w:t>
      </w:r>
      <w:r>
        <w:rPr>
          <w:rFonts w:ascii="Times" w:hAnsi="Times" w:cs="Times"/>
          <w:b/>
          <w:bCs/>
          <w:color w:val="FFFFFF"/>
          <w:sz w:val="34"/>
          <w:szCs w:val="34"/>
          <w:lang w:val="es-ES"/>
        </w:rPr>
        <w:t xml:space="preserve"> </w:t>
      </w:r>
    </w:p>
    <w:p w:rsidR="00DC7ACD" w:rsidRDefault="00B65638">
      <w:pPr>
        <w:widowControl w:val="0"/>
        <w:spacing w:after="240"/>
        <w:jc w:val="both"/>
        <w:rPr>
          <w:rFonts w:ascii="Times" w:hAnsi="Times" w:cs="Times" w:hint="eastAsia"/>
          <w:lang w:val="es-ES"/>
        </w:rPr>
      </w:pPr>
      <w:r>
        <w:rPr>
          <w:rFonts w:ascii="Times" w:hAnsi="Times" w:cs="Times"/>
          <w:sz w:val="18"/>
          <w:szCs w:val="18"/>
          <w:lang w:val="es-ES"/>
        </w:rPr>
        <w:t xml:space="preserve">Fuente: Informes de la Plataforma Integral de Servicios (PISAV), 2013. </w:t>
      </w:r>
    </w:p>
    <w:p w:rsidR="00DC7ACD" w:rsidRDefault="00B65638">
      <w:pPr>
        <w:widowControl w:val="0"/>
        <w:spacing w:after="240"/>
        <w:jc w:val="both"/>
        <w:rPr>
          <w:rFonts w:ascii="Times" w:hAnsi="Times" w:cs="Times" w:hint="eastAsia"/>
          <w:lang w:val="es-ES"/>
        </w:rPr>
      </w:pPr>
      <w:r>
        <w:rPr>
          <w:rFonts w:ascii="Times" w:hAnsi="Times" w:cs="Times"/>
          <w:b/>
          <w:bCs/>
          <w:sz w:val="38"/>
          <w:szCs w:val="38"/>
          <w:lang w:val="es-ES"/>
        </w:rPr>
        <w:t xml:space="preserve">D. </w:t>
      </w:r>
      <w:r>
        <w:rPr>
          <w:rFonts w:ascii="Times" w:hAnsi="Times" w:cs="Times"/>
          <w:b/>
          <w:bCs/>
          <w:sz w:val="38"/>
          <w:szCs w:val="38"/>
          <w:lang w:val="es-ES"/>
        </w:rPr>
        <w:t xml:space="preserve">Recomendaciones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Es importante que en cada país se analicen las acciones a implementar para que los derechos de las personas mayores sean efectivamente garantizados, puesto que no basta con la existencia de la norma o la enunciación de los derechos, faltan</w:t>
      </w:r>
      <w:r>
        <w:rPr>
          <w:rFonts w:ascii="Times" w:hAnsi="Times" w:cs="Times"/>
          <w:sz w:val="30"/>
          <w:szCs w:val="30"/>
          <w:lang w:val="es-ES"/>
        </w:rPr>
        <w:t xml:space="preserve"> acciones firmes y una verdadera voluntad política para llevarlos a cabo.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A la luz de la experiencia del Poder Judicial en Costa Rica, pueden hacerse las siguientes recomendaciones: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 </w:t>
      </w:r>
      <w:r>
        <w:rPr>
          <w:rFonts w:ascii="Times" w:hAnsi="Times" w:cs="Times"/>
          <w:sz w:val="30"/>
          <w:szCs w:val="30"/>
          <w:lang w:val="es-ES"/>
        </w:rPr>
        <w:t>Enelámbitointernacional,esindispensablequeentodoslosinstrumentosde orden vinculante que se elaboren a favor de las personas mayores se incorpore el tema estructural de la administración de justicia, porque no basta con desarrollar garantías, también debe i</w:t>
      </w:r>
      <w:r>
        <w:rPr>
          <w:rFonts w:ascii="Times" w:hAnsi="Times" w:cs="Times"/>
          <w:sz w:val="30"/>
          <w:szCs w:val="30"/>
          <w:lang w:val="es-ES"/>
        </w:rPr>
        <w:t xml:space="preserve">ndicarse con claridad la forma en que se van a hacer efectivas. Junto con ello, hay que insistir en la necesidad de ofrecer servicios integrados para las personas mayores como una medida efectiva para garantizar sus derechos.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EnelámbitodelaCEPAL,seríaút</w:t>
      </w:r>
      <w:r>
        <w:rPr>
          <w:rFonts w:ascii="Times" w:hAnsi="Times" w:cs="Times"/>
          <w:sz w:val="30"/>
          <w:szCs w:val="30"/>
          <w:lang w:val="es-ES"/>
        </w:rPr>
        <w:t>ilcrearunbancoregionaldebuenasprácticas, que permita compartir experiencias que han resultado efectivas para la protección de los derechos de las personas mayores tanto a nivel judicial como administrativo, a fin de evitar aquellas que no han resultado apr</w:t>
      </w:r>
      <w:r>
        <w:rPr>
          <w:rFonts w:ascii="Times" w:hAnsi="Times" w:cs="Times"/>
          <w:sz w:val="30"/>
          <w:szCs w:val="30"/>
          <w:lang w:val="es-ES"/>
        </w:rPr>
        <w:t xml:space="preserve">opiadas para otros países y replicar las que han impactado de manera positiva en los servicios. Esa información y ese conocimiento deben estar disponibles preferiblemente en línea, al alcance tanto de todos los Estados como de las personas usuarias. </w:t>
      </w:r>
    </w:p>
    <w:p w:rsidR="00DC7ACD" w:rsidRDefault="00B65638">
      <w:pPr>
        <w:widowControl w:val="0"/>
        <w:spacing w:after="240"/>
        <w:jc w:val="both"/>
        <w:rPr>
          <w:rFonts w:ascii="Times" w:hAnsi="Times" w:cs="Times" w:hint="eastAsia"/>
          <w:lang w:val="es-ES"/>
        </w:rPr>
      </w:pPr>
      <w:r>
        <w:rPr>
          <w:rFonts w:ascii="Times" w:hAnsi="Times" w:cs="Times"/>
          <w:b/>
          <w:bCs/>
          <w:position w:val="-2"/>
          <w:lang w:val="es-ES"/>
        </w:rPr>
        <w:t xml:space="preserve">108 </w:t>
      </w:r>
      <w:r>
        <w:rPr>
          <w:rFonts w:ascii="Times" w:hAnsi="Times" w:cs="Times"/>
          <w:i/>
          <w:iCs/>
          <w:sz w:val="22"/>
          <w:szCs w:val="22"/>
          <w:lang w:val="es-ES"/>
        </w:rPr>
        <w:t>A</w:t>
      </w:r>
      <w:r>
        <w:rPr>
          <w:rFonts w:ascii="Times" w:hAnsi="Times" w:cs="Times"/>
          <w:i/>
          <w:iCs/>
          <w:sz w:val="22"/>
          <w:szCs w:val="22"/>
          <w:lang w:val="es-ES"/>
        </w:rPr>
        <w:t xml:space="preserve">utonomía y dignidad en la vejez: Teoría y práctica en políticas de derechos de las personas mayores </w:t>
      </w:r>
    </w:p>
    <w:p w:rsidR="00DC7ACD" w:rsidRDefault="00B65638">
      <w:pPr>
        <w:widowControl w:val="0"/>
        <w:jc w:val="both"/>
        <w:rPr>
          <w:rFonts w:ascii="Times" w:hAnsi="Times" w:cs="Times" w:hint="eastAsia"/>
          <w:lang w:val="es-ES"/>
        </w:rPr>
      </w:pPr>
      <w:r>
        <w:rPr>
          <w:noProof/>
        </w:rPr>
        <w:drawing>
          <wp:inline distT="0" distB="0" distL="0" distR="8255">
            <wp:extent cx="5427345" cy="109855"/>
            <wp:effectExtent l="0" t="0" r="0" b="0"/>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9"/>
                    <pic:cNvPicPr>
                      <a:picLocks noChangeAspect="1" noChangeArrowheads="1"/>
                    </pic:cNvPicPr>
                  </pic:nvPicPr>
                  <pic:blipFill>
                    <a:blip r:embed="rId6"/>
                    <a:stretch>
                      <a:fillRect/>
                    </a:stretch>
                  </pic:blipFill>
                  <pic:spPr bwMode="auto">
                    <a:xfrm>
                      <a:off x="0" y="0"/>
                      <a:ext cx="5427345" cy="109855"/>
                    </a:xfrm>
                    <a:prstGeom prst="rect">
                      <a:avLst/>
                    </a:prstGeom>
                  </pic:spPr>
                </pic:pic>
              </a:graphicData>
            </a:graphic>
          </wp:inline>
        </w:drawing>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 En el ámbito doméstico, es recomendable iniciar el trabajo con un plan piloto de servicios o una plataforma de atención integral a nivel regional, que </w:t>
      </w:r>
      <w:r>
        <w:rPr>
          <w:rFonts w:ascii="Times" w:hAnsi="Times" w:cs="Times"/>
          <w:sz w:val="30"/>
          <w:szCs w:val="30"/>
          <w:lang w:val="es-ES"/>
        </w:rPr>
        <w:t xml:space="preserve">luego se pueda extender al resto del país. </w:t>
      </w:r>
    </w:p>
    <w:p w:rsidR="00DC7ACD" w:rsidRDefault="00B65638">
      <w:pPr>
        <w:widowControl w:val="0"/>
        <w:spacing w:after="240"/>
        <w:jc w:val="both"/>
        <w:rPr>
          <w:rFonts w:ascii="Times" w:hAnsi="Times" w:cs="Times" w:hint="eastAsia"/>
          <w:lang w:val="es-ES"/>
        </w:rPr>
      </w:pPr>
      <w:r>
        <w:rPr>
          <w:rFonts w:ascii="Times" w:hAnsi="Times" w:cs="Times"/>
          <w:b/>
          <w:bCs/>
          <w:sz w:val="38"/>
          <w:szCs w:val="38"/>
          <w:lang w:val="es-ES"/>
        </w:rPr>
        <w:t xml:space="preserve">Bibliografía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CEPAL (Comisión Económica para América Latina y el Caribe) (2012), </w:t>
      </w:r>
      <w:r>
        <w:rPr>
          <w:rFonts w:ascii="Times" w:hAnsi="Times" w:cs="Times"/>
          <w:i/>
          <w:iCs/>
          <w:sz w:val="30"/>
          <w:szCs w:val="30"/>
          <w:lang w:val="es-ES"/>
        </w:rPr>
        <w:t xml:space="preserve">Carta de San José sobre los derechos de las personas mayores de América Latina y el Caribe </w:t>
      </w:r>
      <w:r>
        <w:rPr>
          <w:rFonts w:ascii="Times" w:hAnsi="Times" w:cs="Times"/>
          <w:sz w:val="30"/>
          <w:szCs w:val="30"/>
          <w:lang w:val="es-ES"/>
        </w:rPr>
        <w:t>(LC/G.2537), adoptada en la tercera Conf</w:t>
      </w:r>
      <w:r>
        <w:rPr>
          <w:rFonts w:ascii="Times" w:hAnsi="Times" w:cs="Times"/>
          <w:sz w:val="30"/>
          <w:szCs w:val="30"/>
          <w:lang w:val="es-ES"/>
        </w:rPr>
        <w:t xml:space="preserve">erencia regional intergubernamental sobre envejecimiento en América Latina y el Caribe, Santiago.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Huenchuan, Sandra (2014), </w:t>
      </w:r>
      <w:r>
        <w:rPr>
          <w:rFonts w:ascii="Times" w:hAnsi="Times" w:cs="Times"/>
          <w:i/>
          <w:iCs/>
          <w:sz w:val="30"/>
          <w:szCs w:val="30"/>
          <w:lang w:val="es-ES"/>
        </w:rPr>
        <w:t xml:space="preserve">Perspectivas globales sobre la protección de los derechos humanos de las personas mayores, 2007-2013, </w:t>
      </w:r>
      <w:r>
        <w:rPr>
          <w:rFonts w:ascii="Times" w:hAnsi="Times" w:cs="Times"/>
          <w:sz w:val="30"/>
          <w:szCs w:val="30"/>
          <w:lang w:val="es-ES"/>
        </w:rPr>
        <w:t xml:space="preserve">colección </w:t>
      </w:r>
      <w:r>
        <w:rPr>
          <w:rFonts w:ascii="Times" w:hAnsi="Times" w:cs="Times"/>
          <w:i/>
          <w:iCs/>
          <w:sz w:val="30"/>
          <w:szCs w:val="30"/>
          <w:lang w:val="es-ES"/>
        </w:rPr>
        <w:t>Documentos de proye</w:t>
      </w:r>
      <w:r>
        <w:rPr>
          <w:rFonts w:ascii="Times" w:hAnsi="Times" w:cs="Times"/>
          <w:i/>
          <w:iCs/>
          <w:sz w:val="30"/>
          <w:szCs w:val="30"/>
          <w:lang w:val="es-ES"/>
        </w:rPr>
        <w:t xml:space="preserve">cto </w:t>
      </w:r>
      <w:r>
        <w:rPr>
          <w:rFonts w:ascii="Times" w:hAnsi="Times" w:cs="Times"/>
          <w:sz w:val="30"/>
          <w:szCs w:val="30"/>
          <w:lang w:val="es-ES"/>
        </w:rPr>
        <w:t xml:space="preserve">(LC/W.566), Santiago, CEPAL, [en línea] http://www.eclac.org/publicaciones/ xml/5/51915/Perspectivasglobalessobrelaproteccion.pdf.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Poder Judicial de Costa Rica (2013a), Informes y estadísticas de la Oficina de Atención y Protección a la Víctima de Del</w:t>
      </w:r>
      <w:r>
        <w:rPr>
          <w:rFonts w:ascii="Times" w:hAnsi="Times" w:cs="Times"/>
          <w:sz w:val="30"/>
          <w:szCs w:val="30"/>
          <w:lang w:val="es-ES"/>
        </w:rPr>
        <w:t xml:space="preserve">ito (OAPVD).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(2013b), Informes del Departamento de Planificación. </w:t>
      </w:r>
    </w:p>
    <w:p w:rsidR="00DC7ACD" w:rsidRDefault="00B65638">
      <w:pPr>
        <w:widowControl w:val="0"/>
        <w:spacing w:after="240"/>
        <w:jc w:val="both"/>
        <w:rPr>
          <w:rFonts w:ascii="Times" w:hAnsi="Times" w:cs="Times" w:hint="eastAsia"/>
          <w:lang w:val="es-ES"/>
        </w:rPr>
      </w:pPr>
      <w:r>
        <w:rPr>
          <w:rFonts w:ascii="Times" w:hAnsi="Times" w:cs="Times"/>
          <w:b/>
          <w:bCs/>
          <w:sz w:val="30"/>
          <w:szCs w:val="30"/>
          <w:lang w:val="es-ES"/>
        </w:rPr>
        <w:t xml:space="preserve">Textos jurídicos </w:t>
      </w:r>
    </w:p>
    <w:p w:rsidR="00DC7ACD" w:rsidRDefault="00B65638">
      <w:pPr>
        <w:widowControl w:val="0"/>
        <w:spacing w:after="240"/>
        <w:jc w:val="both"/>
        <w:rPr>
          <w:rFonts w:ascii="Times" w:hAnsi="Times" w:cs="Times" w:hint="eastAsia"/>
          <w:lang w:val="es-ES"/>
        </w:rPr>
      </w:pPr>
      <w:r>
        <w:rPr>
          <w:rFonts w:ascii="Times" w:hAnsi="Times" w:cs="Times"/>
          <w:sz w:val="30"/>
          <w:szCs w:val="30"/>
          <w:lang w:val="es-ES"/>
        </w:rPr>
        <w:t xml:space="preserve">Constitución Política de Costa Rica, 1949. Ley N° 7935 de 1999, “Ley Integral para la Persona Adulta Mayor”, Costa Rica. </w:t>
      </w:r>
    </w:p>
    <w:p w:rsidR="00DC7ACD" w:rsidRDefault="00DC7ACD">
      <w:pPr>
        <w:jc w:val="both"/>
      </w:pPr>
    </w:p>
    <w:sectPr w:rsidR="00DC7ACD">
      <w:pgSz w:w="12240" w:h="15840"/>
      <w:pgMar w:top="1417" w:right="1701" w:bottom="1417" w:left="1701"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CD"/>
    <w:rsid w:val="00B65638"/>
    <w:rsid w:val="00DC7ACD"/>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E2ED6-9F4C-44B8-883D-2C6C7BC1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695109"/>
    <w:rPr>
      <w:rFonts w:ascii="Lucida Grande" w:hAnsi="Lucida Grande"/>
      <w:sz w:val="18"/>
      <w:szCs w:val="18"/>
    </w:rPr>
  </w:style>
  <w:style w:type="character" w:customStyle="1" w:styleId="EncabezadoCar">
    <w:name w:val="Encabezado Car"/>
    <w:basedOn w:val="Fuentedeprrafopredeter"/>
    <w:link w:val="Encabezado"/>
    <w:uiPriority w:val="99"/>
    <w:qFormat/>
    <w:rsid w:val="00695109"/>
  </w:style>
  <w:style w:type="character" w:customStyle="1" w:styleId="PiedepginaCar">
    <w:name w:val="Pie de página Car"/>
    <w:basedOn w:val="Fuentedeprrafopredeter"/>
    <w:link w:val="Piedepgina"/>
    <w:uiPriority w:val="99"/>
    <w:qFormat/>
    <w:rsid w:val="00695109"/>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Textodeglobo">
    <w:name w:val="Balloon Text"/>
    <w:basedOn w:val="Normal"/>
    <w:link w:val="TextodegloboCar"/>
    <w:uiPriority w:val="99"/>
    <w:semiHidden/>
    <w:unhideWhenUsed/>
    <w:qFormat/>
    <w:rsid w:val="00695109"/>
    <w:rPr>
      <w:rFonts w:ascii="Lucida Grande" w:hAnsi="Lucida Grande"/>
      <w:sz w:val="18"/>
      <w:szCs w:val="18"/>
    </w:rPr>
  </w:style>
  <w:style w:type="paragraph" w:styleId="Encabezado">
    <w:name w:val="header"/>
    <w:basedOn w:val="Normal"/>
    <w:link w:val="EncabezadoCar"/>
    <w:uiPriority w:val="99"/>
    <w:unhideWhenUsed/>
    <w:rsid w:val="00695109"/>
    <w:pPr>
      <w:tabs>
        <w:tab w:val="center" w:pos="4252"/>
        <w:tab w:val="right" w:pos="8504"/>
      </w:tabs>
    </w:pPr>
  </w:style>
  <w:style w:type="paragraph" w:styleId="Piedepgina">
    <w:name w:val="footer"/>
    <w:basedOn w:val="Normal"/>
    <w:link w:val="PiedepginaCar"/>
    <w:uiPriority w:val="99"/>
    <w:unhideWhenUsed/>
    <w:rsid w:val="00695109"/>
    <w:pPr>
      <w:tabs>
        <w:tab w:val="center" w:pos="4252"/>
        <w:tab w:val="right" w:pos="85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wmf"/><Relationship Id="rId3" Type="http://schemas.openxmlformats.org/officeDocument/2006/relationships/webSettings" Target="webSettings.xml"/><Relationship Id="rId7"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2507</Words>
  <Characters>13791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Lupita Chaves Cervantes</dc:creator>
  <dc:description/>
  <cp:lastModifiedBy>Melissa Benavides Víquez</cp:lastModifiedBy>
  <cp:revision>2</cp:revision>
  <dcterms:created xsi:type="dcterms:W3CDTF">2019-02-27T17:51:00Z</dcterms:created>
  <dcterms:modified xsi:type="dcterms:W3CDTF">2019-02-27T17:51:00Z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