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DC2" w:rsidRPr="006B5DC2" w:rsidRDefault="006B5DC2" w:rsidP="006B5DC2">
      <w:pPr>
        <w:spacing w:before="100" w:beforeAutospacing="1" w:after="100" w:afterAutospacing="1" w:line="240" w:lineRule="auto"/>
        <w:jc w:val="center"/>
        <w:outlineLvl w:val="1"/>
        <w:rPr>
          <w:rFonts w:ascii="Segoe UI Semilight" w:eastAsia="Times New Roman" w:hAnsi="Segoe UI Semilight" w:cs="Segoe UI Semilight"/>
          <w:color w:val="262626"/>
          <w:sz w:val="29"/>
          <w:szCs w:val="29"/>
          <w:lang w:eastAsia="es-CR"/>
        </w:rPr>
      </w:pPr>
      <w:r w:rsidRPr="006B5DC2">
        <w:rPr>
          <w:rFonts w:ascii="Segoe UI Semilight" w:eastAsia="Times New Roman" w:hAnsi="Segoe UI Semilight" w:cs="Segoe UI Semilight"/>
          <w:color w:val="262626"/>
          <w:sz w:val="29"/>
          <w:szCs w:val="29"/>
          <w:lang w:eastAsia="es-CR"/>
        </w:rPr>
        <w:t xml:space="preserve">Protocolo facultativo de la Convención sobre los derechos de las personas con discapacidad </w:t>
      </w:r>
    </w:p>
    <w:p w:rsidR="006B5DC2" w:rsidRPr="006B5DC2" w:rsidRDefault="006B5DC2" w:rsidP="006B5DC2">
      <w:pPr>
        <w:spacing w:after="0" w:line="240" w:lineRule="auto"/>
        <w:rPr>
          <w:rFonts w:ascii="Segoe UI" w:eastAsia="Times New Roman" w:hAnsi="Segoe UI" w:cs="Segoe UI"/>
          <w:color w:val="444444"/>
          <w:sz w:val="20"/>
          <w:szCs w:val="20"/>
          <w:lang w:eastAsia="es-CR"/>
        </w:rPr>
      </w:pPr>
    </w:p>
    <w:p w:rsidR="006B5DC2" w:rsidRPr="006B5DC2" w:rsidRDefault="006B5DC2" w:rsidP="006B5DC2">
      <w:pPr>
        <w:spacing w:before="100" w:beforeAutospacing="1" w:after="100" w:afterAutospacing="1" w:line="240" w:lineRule="auto"/>
        <w:jc w:val="center"/>
        <w:outlineLvl w:val="2"/>
        <w:rPr>
          <w:rFonts w:ascii="Segoe UI Semilight" w:eastAsia="Times New Roman" w:hAnsi="Segoe UI Semilight" w:cs="Segoe UI Semilight"/>
          <w:color w:val="262626"/>
          <w:sz w:val="23"/>
          <w:szCs w:val="23"/>
          <w:lang w:eastAsia="es-CR"/>
        </w:rPr>
      </w:pPr>
      <w:r w:rsidRPr="006B5DC2">
        <w:rPr>
          <w:rFonts w:ascii="Segoe UI Semilight" w:eastAsia="Times New Roman" w:hAnsi="Segoe UI Semilight" w:cs="Segoe UI Semilight"/>
          <w:color w:val="262626"/>
          <w:sz w:val="23"/>
          <w:szCs w:val="23"/>
          <w:lang w:eastAsia="es-CR"/>
        </w:rPr>
        <w:t>Preámbulo</w:t>
      </w:r>
    </w:p>
    <w:p w:rsidR="006B5DC2" w:rsidRPr="006B5DC2" w:rsidRDefault="006B5DC2" w:rsidP="006B5DC2">
      <w:pPr>
        <w:spacing w:after="0" w:line="240" w:lineRule="auto"/>
        <w:rPr>
          <w:rFonts w:ascii="Segoe UI" w:eastAsia="Times New Roman" w:hAnsi="Segoe UI" w:cs="Segoe UI"/>
          <w:color w:val="444444"/>
          <w:sz w:val="20"/>
          <w:szCs w:val="20"/>
          <w:lang w:eastAsia="es-CR"/>
        </w:rPr>
      </w:pPr>
    </w:p>
    <w:p w:rsidR="006B5DC2" w:rsidRPr="006B5DC2" w:rsidRDefault="006B5DC2" w:rsidP="006B5DC2">
      <w:pPr>
        <w:spacing w:before="100" w:beforeAutospacing="1" w:after="100" w:afterAutospacing="1" w:line="240" w:lineRule="auto"/>
        <w:outlineLvl w:val="2"/>
        <w:rPr>
          <w:rFonts w:ascii="Segoe UI Semilight" w:eastAsia="Times New Roman" w:hAnsi="Segoe UI Semilight" w:cs="Segoe UI Semilight"/>
          <w:color w:val="262626"/>
          <w:sz w:val="23"/>
          <w:szCs w:val="23"/>
          <w:lang w:eastAsia="es-CR"/>
        </w:rPr>
      </w:pPr>
      <w:r w:rsidRPr="006B5DC2">
        <w:rPr>
          <w:rFonts w:ascii="Segoe UI Semilight" w:eastAsia="Times New Roman" w:hAnsi="Segoe UI Semilight" w:cs="Segoe UI Semilight"/>
          <w:i/>
          <w:iCs/>
          <w:color w:val="262626"/>
          <w:sz w:val="23"/>
          <w:szCs w:val="23"/>
          <w:lang w:eastAsia="es-CR"/>
        </w:rPr>
        <w:t xml:space="preserve">Los Estados Partes en el presente Protocolo acuerdan lo </w:t>
      </w:r>
      <w:r w:rsidRPr="006B5DC2">
        <w:rPr>
          <w:rFonts w:ascii="Segoe UI Semilight" w:eastAsia="Times New Roman" w:hAnsi="Segoe UI Semilight" w:cs="Segoe UI Semilight"/>
          <w:i/>
          <w:iCs/>
          <w:color w:val="262626"/>
          <w:sz w:val="23"/>
          <w:szCs w:val="23"/>
          <w:lang w:eastAsia="es-CR"/>
        </w:rPr>
        <w:t>siguiente:</w:t>
      </w:r>
    </w:p>
    <w:p w:rsidR="006B5DC2" w:rsidRPr="006B5DC2" w:rsidRDefault="006B5DC2" w:rsidP="006B5DC2">
      <w:pPr>
        <w:spacing w:after="0" w:line="240" w:lineRule="auto"/>
        <w:rPr>
          <w:rFonts w:ascii="Segoe UI" w:eastAsia="Times New Roman" w:hAnsi="Segoe UI" w:cs="Segoe UI"/>
          <w:color w:val="444444"/>
          <w:sz w:val="20"/>
          <w:szCs w:val="20"/>
          <w:lang w:eastAsia="es-CR"/>
        </w:rPr>
      </w:pPr>
      <w:bookmarkStart w:id="0" w:name="_GoBack"/>
      <w:bookmarkEnd w:id="0"/>
    </w:p>
    <w:p w:rsidR="006B5DC2" w:rsidRPr="006B5DC2" w:rsidRDefault="006B5DC2" w:rsidP="006B5DC2">
      <w:pPr>
        <w:spacing w:before="100" w:beforeAutospacing="1" w:after="100" w:afterAutospacing="1" w:line="240" w:lineRule="auto"/>
        <w:outlineLvl w:val="2"/>
        <w:rPr>
          <w:rFonts w:ascii="Segoe UI Semilight" w:eastAsia="Times New Roman" w:hAnsi="Segoe UI Semilight" w:cs="Segoe UI Semilight"/>
          <w:color w:val="262626"/>
          <w:sz w:val="23"/>
          <w:szCs w:val="23"/>
          <w:lang w:eastAsia="es-CR"/>
        </w:rPr>
      </w:pPr>
      <w:r w:rsidRPr="006B5DC2">
        <w:rPr>
          <w:rFonts w:ascii="Segoe UI Semilight" w:eastAsia="Times New Roman" w:hAnsi="Segoe UI Semilight" w:cs="Segoe UI Semilight"/>
          <w:color w:val="262626"/>
          <w:sz w:val="23"/>
          <w:szCs w:val="23"/>
          <w:lang w:eastAsia="es-CR"/>
        </w:rPr>
        <w:t xml:space="preserve">Artículo 1 </w:t>
      </w:r>
    </w:p>
    <w:p w:rsidR="006B5DC2" w:rsidRPr="006B5DC2" w:rsidRDefault="006B5DC2" w:rsidP="006B5DC2">
      <w:pPr>
        <w:spacing w:after="0" w:line="240" w:lineRule="auto"/>
        <w:rPr>
          <w:rFonts w:ascii="Segoe UI" w:eastAsia="Times New Roman" w:hAnsi="Segoe UI" w:cs="Segoe UI"/>
          <w:color w:val="444444"/>
          <w:sz w:val="20"/>
          <w:szCs w:val="20"/>
          <w:lang w:eastAsia="es-CR"/>
        </w:rPr>
      </w:pPr>
    </w:p>
    <w:p w:rsidR="006B5DC2" w:rsidRPr="006B5DC2" w:rsidRDefault="006B5DC2" w:rsidP="006B5DC2">
      <w:pPr>
        <w:spacing w:before="100" w:beforeAutospacing="1" w:after="100" w:afterAutospacing="1" w:line="240" w:lineRule="auto"/>
        <w:rPr>
          <w:rFonts w:ascii="Segoe UI" w:eastAsia="Times New Roman" w:hAnsi="Segoe UI" w:cs="Segoe UI"/>
          <w:color w:val="444444"/>
          <w:sz w:val="20"/>
          <w:szCs w:val="20"/>
          <w:lang w:eastAsia="es-CR"/>
        </w:rPr>
      </w:pPr>
      <w:r w:rsidRPr="006B5DC2">
        <w:rPr>
          <w:rFonts w:ascii="Segoe UI" w:eastAsia="Times New Roman" w:hAnsi="Segoe UI" w:cs="Segoe UI"/>
          <w:color w:val="444444"/>
          <w:sz w:val="20"/>
          <w:szCs w:val="20"/>
          <w:lang w:eastAsia="es-CR"/>
        </w:rPr>
        <w:t xml:space="preserve">1. Todo Estado Parte en el presente Protocolo ("Estado Parte") reconoce la competencia del Comité sobre los Derechos de las Personas con Discapacidad ("el Comité") para recibir y considerar las comunicaciones presentadas por personas o grupos de personas sujetos a su jurisdicción que aleguen ser víctimas de una violación por ese Estado Parte de cualquiera de las disposiciones de la Convención, o en nombre de esas personas o grupos de personas. </w:t>
      </w:r>
    </w:p>
    <w:p w:rsidR="006B5DC2" w:rsidRPr="006B5DC2" w:rsidRDefault="006B5DC2" w:rsidP="006B5DC2">
      <w:pPr>
        <w:spacing w:before="100" w:beforeAutospacing="1" w:after="100" w:afterAutospacing="1" w:line="240" w:lineRule="auto"/>
        <w:rPr>
          <w:rFonts w:ascii="Segoe UI" w:eastAsia="Times New Roman" w:hAnsi="Segoe UI" w:cs="Segoe UI"/>
          <w:color w:val="444444"/>
          <w:sz w:val="20"/>
          <w:szCs w:val="20"/>
          <w:lang w:eastAsia="es-CR"/>
        </w:rPr>
      </w:pPr>
      <w:r w:rsidRPr="006B5DC2">
        <w:rPr>
          <w:rFonts w:ascii="Segoe UI" w:eastAsia="Times New Roman" w:hAnsi="Segoe UI" w:cs="Segoe UI"/>
          <w:color w:val="444444"/>
          <w:sz w:val="20"/>
          <w:szCs w:val="20"/>
          <w:lang w:eastAsia="es-CR"/>
        </w:rPr>
        <w:t xml:space="preserve">2. El Comité no recibirá comunicación alguna que concierna a un Estado Parte en la Convención que no sea parte en el presente Protocolo. </w:t>
      </w:r>
    </w:p>
    <w:p w:rsidR="006B5DC2" w:rsidRPr="006B5DC2" w:rsidRDefault="006B5DC2" w:rsidP="006B5DC2">
      <w:pPr>
        <w:spacing w:before="100" w:beforeAutospacing="1" w:after="100" w:afterAutospacing="1" w:line="240" w:lineRule="auto"/>
        <w:outlineLvl w:val="2"/>
        <w:rPr>
          <w:rFonts w:ascii="Segoe UI Semilight" w:eastAsia="Times New Roman" w:hAnsi="Segoe UI Semilight" w:cs="Segoe UI Semilight"/>
          <w:color w:val="262626"/>
          <w:sz w:val="23"/>
          <w:szCs w:val="23"/>
          <w:lang w:eastAsia="es-CR"/>
        </w:rPr>
      </w:pPr>
      <w:r w:rsidRPr="006B5DC2">
        <w:rPr>
          <w:rFonts w:ascii="Segoe UI Semilight" w:eastAsia="Times New Roman" w:hAnsi="Segoe UI Semilight" w:cs="Segoe UI Semilight"/>
          <w:color w:val="262626"/>
          <w:sz w:val="23"/>
          <w:szCs w:val="23"/>
          <w:lang w:eastAsia="es-CR"/>
        </w:rPr>
        <w:t xml:space="preserve">Artículo 2 </w:t>
      </w:r>
    </w:p>
    <w:p w:rsidR="006B5DC2" w:rsidRPr="006B5DC2" w:rsidRDefault="006B5DC2" w:rsidP="006B5DC2">
      <w:pPr>
        <w:spacing w:before="100" w:beforeAutospacing="1" w:after="100" w:afterAutospacing="1" w:line="240" w:lineRule="auto"/>
        <w:rPr>
          <w:rFonts w:ascii="Segoe UI" w:eastAsia="Times New Roman" w:hAnsi="Segoe UI" w:cs="Segoe UI"/>
          <w:color w:val="444444"/>
          <w:sz w:val="20"/>
          <w:szCs w:val="20"/>
          <w:lang w:eastAsia="es-CR"/>
        </w:rPr>
      </w:pPr>
      <w:r w:rsidRPr="006B5DC2">
        <w:rPr>
          <w:rFonts w:ascii="Segoe UI" w:eastAsia="Times New Roman" w:hAnsi="Segoe UI" w:cs="Segoe UI"/>
          <w:color w:val="444444"/>
          <w:sz w:val="20"/>
          <w:szCs w:val="20"/>
          <w:lang w:eastAsia="es-CR"/>
        </w:rPr>
        <w:t xml:space="preserve">El Comité considerará inadmisible una comunicación cuando: </w:t>
      </w:r>
    </w:p>
    <w:p w:rsidR="006B5DC2" w:rsidRPr="006B5DC2" w:rsidRDefault="006B5DC2" w:rsidP="006B5DC2">
      <w:pPr>
        <w:spacing w:before="100" w:beforeAutospacing="1" w:after="100" w:afterAutospacing="1" w:line="240" w:lineRule="auto"/>
        <w:rPr>
          <w:rFonts w:ascii="Segoe UI" w:eastAsia="Times New Roman" w:hAnsi="Segoe UI" w:cs="Segoe UI"/>
          <w:color w:val="444444"/>
          <w:sz w:val="20"/>
          <w:szCs w:val="20"/>
          <w:lang w:eastAsia="es-CR"/>
        </w:rPr>
      </w:pPr>
      <w:r w:rsidRPr="006B5DC2">
        <w:rPr>
          <w:rFonts w:ascii="Segoe UI" w:eastAsia="Times New Roman" w:hAnsi="Segoe UI" w:cs="Segoe UI"/>
          <w:color w:val="444444"/>
          <w:sz w:val="20"/>
          <w:szCs w:val="20"/>
          <w:lang w:eastAsia="es-CR"/>
        </w:rPr>
        <w:t xml:space="preserve">a) Sea anónima; </w:t>
      </w:r>
    </w:p>
    <w:p w:rsidR="006B5DC2" w:rsidRPr="006B5DC2" w:rsidRDefault="006B5DC2" w:rsidP="006B5DC2">
      <w:pPr>
        <w:spacing w:before="100" w:beforeAutospacing="1" w:after="100" w:afterAutospacing="1" w:line="240" w:lineRule="auto"/>
        <w:rPr>
          <w:rFonts w:ascii="Segoe UI" w:eastAsia="Times New Roman" w:hAnsi="Segoe UI" w:cs="Segoe UI"/>
          <w:color w:val="444444"/>
          <w:sz w:val="20"/>
          <w:szCs w:val="20"/>
          <w:lang w:eastAsia="es-CR"/>
        </w:rPr>
      </w:pPr>
      <w:r w:rsidRPr="006B5DC2">
        <w:rPr>
          <w:rFonts w:ascii="Segoe UI" w:eastAsia="Times New Roman" w:hAnsi="Segoe UI" w:cs="Segoe UI"/>
          <w:color w:val="444444"/>
          <w:sz w:val="20"/>
          <w:szCs w:val="20"/>
          <w:lang w:eastAsia="es-CR"/>
        </w:rPr>
        <w:t xml:space="preserve">b) Constituya un abuso del derecho a presentar una comunicación o sea incompatible con las disposiciones de la Convención; </w:t>
      </w:r>
    </w:p>
    <w:p w:rsidR="006B5DC2" w:rsidRPr="006B5DC2" w:rsidRDefault="006B5DC2" w:rsidP="006B5DC2">
      <w:pPr>
        <w:spacing w:before="100" w:beforeAutospacing="1" w:after="100" w:afterAutospacing="1" w:line="240" w:lineRule="auto"/>
        <w:rPr>
          <w:rFonts w:ascii="Segoe UI" w:eastAsia="Times New Roman" w:hAnsi="Segoe UI" w:cs="Segoe UI"/>
          <w:color w:val="444444"/>
          <w:sz w:val="20"/>
          <w:szCs w:val="20"/>
          <w:lang w:eastAsia="es-CR"/>
        </w:rPr>
      </w:pPr>
      <w:r w:rsidRPr="006B5DC2">
        <w:rPr>
          <w:rFonts w:ascii="Segoe UI" w:eastAsia="Times New Roman" w:hAnsi="Segoe UI" w:cs="Segoe UI"/>
          <w:color w:val="444444"/>
          <w:sz w:val="20"/>
          <w:szCs w:val="20"/>
          <w:lang w:eastAsia="es-CR"/>
        </w:rPr>
        <w:t xml:space="preserve">c) Se refiera a una cuestión que ya haya sido examinada por el Comité o ya haya sido o esté siendo examinada de conformidad con otro procedimiento de investigación o arreglo internacionales; </w:t>
      </w:r>
    </w:p>
    <w:p w:rsidR="006B5DC2" w:rsidRPr="006B5DC2" w:rsidRDefault="006B5DC2" w:rsidP="006B5DC2">
      <w:pPr>
        <w:spacing w:before="100" w:beforeAutospacing="1" w:after="100" w:afterAutospacing="1" w:line="240" w:lineRule="auto"/>
        <w:rPr>
          <w:rFonts w:ascii="Segoe UI" w:eastAsia="Times New Roman" w:hAnsi="Segoe UI" w:cs="Segoe UI"/>
          <w:color w:val="444444"/>
          <w:sz w:val="20"/>
          <w:szCs w:val="20"/>
          <w:lang w:eastAsia="es-CR"/>
        </w:rPr>
      </w:pPr>
      <w:r w:rsidRPr="006B5DC2">
        <w:rPr>
          <w:rFonts w:ascii="Segoe UI" w:eastAsia="Times New Roman" w:hAnsi="Segoe UI" w:cs="Segoe UI"/>
          <w:color w:val="444444"/>
          <w:sz w:val="20"/>
          <w:szCs w:val="20"/>
          <w:lang w:eastAsia="es-CR"/>
        </w:rPr>
        <w:t xml:space="preserve">d) No se hayan agotado todos los recursos internos disponibles, salvo que la tramitación de esos recursos se prolongue injustificadamente o sea improbable que con ellos se logre un remedio efectivo; </w:t>
      </w:r>
    </w:p>
    <w:p w:rsidR="006B5DC2" w:rsidRPr="006B5DC2" w:rsidRDefault="006B5DC2" w:rsidP="006B5DC2">
      <w:pPr>
        <w:spacing w:before="100" w:beforeAutospacing="1" w:after="100" w:afterAutospacing="1" w:line="240" w:lineRule="auto"/>
        <w:rPr>
          <w:rFonts w:ascii="Segoe UI" w:eastAsia="Times New Roman" w:hAnsi="Segoe UI" w:cs="Segoe UI"/>
          <w:color w:val="444444"/>
          <w:sz w:val="20"/>
          <w:szCs w:val="20"/>
          <w:lang w:eastAsia="es-CR"/>
        </w:rPr>
      </w:pPr>
      <w:r w:rsidRPr="006B5DC2">
        <w:rPr>
          <w:rFonts w:ascii="Segoe UI" w:eastAsia="Times New Roman" w:hAnsi="Segoe UI" w:cs="Segoe UI"/>
          <w:color w:val="444444"/>
          <w:sz w:val="20"/>
          <w:szCs w:val="20"/>
          <w:lang w:eastAsia="es-CR"/>
        </w:rPr>
        <w:t xml:space="preserve">e) Sea manifiestamente infundada o esté insuficientemente sustanciada; o </w:t>
      </w:r>
    </w:p>
    <w:p w:rsidR="006B5DC2" w:rsidRPr="006B5DC2" w:rsidRDefault="006B5DC2" w:rsidP="006B5DC2">
      <w:pPr>
        <w:spacing w:before="100" w:beforeAutospacing="1" w:after="100" w:afterAutospacing="1" w:line="240" w:lineRule="auto"/>
        <w:rPr>
          <w:rFonts w:ascii="Segoe UI" w:eastAsia="Times New Roman" w:hAnsi="Segoe UI" w:cs="Segoe UI"/>
          <w:color w:val="444444"/>
          <w:sz w:val="20"/>
          <w:szCs w:val="20"/>
          <w:lang w:eastAsia="es-CR"/>
        </w:rPr>
      </w:pPr>
      <w:r w:rsidRPr="006B5DC2">
        <w:rPr>
          <w:rFonts w:ascii="Segoe UI" w:eastAsia="Times New Roman" w:hAnsi="Segoe UI" w:cs="Segoe UI"/>
          <w:color w:val="444444"/>
          <w:sz w:val="20"/>
          <w:szCs w:val="20"/>
          <w:lang w:eastAsia="es-CR"/>
        </w:rPr>
        <w:lastRenderedPageBreak/>
        <w:t xml:space="preserve">f) Los hechos objeto de la comunicación hubieran sucedido antes de la fecha de entrada en vigor del presente Protocolo para el Estado Parte interesado, salvo que esos hechos continuasen produciéndose después de esa fecha. </w:t>
      </w:r>
    </w:p>
    <w:p w:rsidR="006B5DC2" w:rsidRPr="006B5DC2" w:rsidRDefault="006B5DC2" w:rsidP="006B5DC2">
      <w:pPr>
        <w:spacing w:before="100" w:beforeAutospacing="1" w:after="100" w:afterAutospacing="1" w:line="240" w:lineRule="auto"/>
        <w:outlineLvl w:val="2"/>
        <w:rPr>
          <w:rFonts w:ascii="Segoe UI Semilight" w:eastAsia="Times New Roman" w:hAnsi="Segoe UI Semilight" w:cs="Segoe UI Semilight"/>
          <w:color w:val="262626"/>
          <w:sz w:val="23"/>
          <w:szCs w:val="23"/>
          <w:lang w:eastAsia="es-CR"/>
        </w:rPr>
      </w:pPr>
      <w:r w:rsidRPr="006B5DC2">
        <w:rPr>
          <w:rFonts w:ascii="Segoe UI Semilight" w:eastAsia="Times New Roman" w:hAnsi="Segoe UI Semilight" w:cs="Segoe UI Semilight"/>
          <w:color w:val="262626"/>
          <w:sz w:val="23"/>
          <w:szCs w:val="23"/>
          <w:lang w:eastAsia="es-CR"/>
        </w:rPr>
        <w:t xml:space="preserve">Artículo 3 </w:t>
      </w:r>
    </w:p>
    <w:p w:rsidR="006B5DC2" w:rsidRPr="006B5DC2" w:rsidRDefault="006B5DC2" w:rsidP="006B5DC2">
      <w:pPr>
        <w:spacing w:before="100" w:beforeAutospacing="1" w:after="100" w:afterAutospacing="1" w:line="240" w:lineRule="auto"/>
        <w:rPr>
          <w:rFonts w:ascii="Segoe UI" w:eastAsia="Times New Roman" w:hAnsi="Segoe UI" w:cs="Segoe UI"/>
          <w:color w:val="444444"/>
          <w:sz w:val="20"/>
          <w:szCs w:val="20"/>
          <w:lang w:eastAsia="es-CR"/>
        </w:rPr>
      </w:pPr>
      <w:r w:rsidRPr="006B5DC2">
        <w:rPr>
          <w:rFonts w:ascii="Segoe UI" w:eastAsia="Times New Roman" w:hAnsi="Segoe UI" w:cs="Segoe UI"/>
          <w:color w:val="444444"/>
          <w:sz w:val="20"/>
          <w:szCs w:val="20"/>
          <w:lang w:eastAsia="es-CR"/>
        </w:rPr>
        <w:t xml:space="preserve">Sin perjuicio de lo dispuesto en el artículo 2 del presente Protocolo, el Comité pondrá en conocimiento del Estado Parte, de forma confidencial, toda comunicación que reciba con arreglo al presente Protocolo. En un plazo de seis meses, ese Estado Parte presentará al Comité por escrito explicaciones o declaraciones en las que se aclare la cuestión y se indiquen las medidas correctivas que hubiere adoptado el Estado Parte, de haberlas. </w:t>
      </w:r>
    </w:p>
    <w:p w:rsidR="006B5DC2" w:rsidRPr="006B5DC2" w:rsidRDefault="006B5DC2" w:rsidP="006B5DC2">
      <w:pPr>
        <w:spacing w:before="100" w:beforeAutospacing="1" w:after="100" w:afterAutospacing="1" w:line="240" w:lineRule="auto"/>
        <w:outlineLvl w:val="2"/>
        <w:rPr>
          <w:rFonts w:ascii="Segoe UI Semilight" w:eastAsia="Times New Roman" w:hAnsi="Segoe UI Semilight" w:cs="Segoe UI Semilight"/>
          <w:color w:val="262626"/>
          <w:sz w:val="23"/>
          <w:szCs w:val="23"/>
          <w:lang w:eastAsia="es-CR"/>
        </w:rPr>
      </w:pPr>
      <w:r w:rsidRPr="006B5DC2">
        <w:rPr>
          <w:rFonts w:ascii="Segoe UI Semilight" w:eastAsia="Times New Roman" w:hAnsi="Segoe UI Semilight" w:cs="Segoe UI Semilight"/>
          <w:color w:val="262626"/>
          <w:sz w:val="23"/>
          <w:szCs w:val="23"/>
          <w:lang w:eastAsia="es-CR"/>
        </w:rPr>
        <w:t xml:space="preserve">Artículo 4 </w:t>
      </w:r>
    </w:p>
    <w:p w:rsidR="006B5DC2" w:rsidRPr="006B5DC2" w:rsidRDefault="006B5DC2" w:rsidP="006B5DC2">
      <w:pPr>
        <w:spacing w:before="100" w:beforeAutospacing="1" w:after="100" w:afterAutospacing="1" w:line="240" w:lineRule="auto"/>
        <w:rPr>
          <w:rFonts w:ascii="Segoe UI" w:eastAsia="Times New Roman" w:hAnsi="Segoe UI" w:cs="Segoe UI"/>
          <w:color w:val="444444"/>
          <w:sz w:val="20"/>
          <w:szCs w:val="20"/>
          <w:lang w:eastAsia="es-CR"/>
        </w:rPr>
      </w:pPr>
      <w:r w:rsidRPr="006B5DC2">
        <w:rPr>
          <w:rFonts w:ascii="Segoe UI" w:eastAsia="Times New Roman" w:hAnsi="Segoe UI" w:cs="Segoe UI"/>
          <w:color w:val="444444"/>
          <w:sz w:val="20"/>
          <w:szCs w:val="20"/>
          <w:lang w:eastAsia="es-CR"/>
        </w:rPr>
        <w:t xml:space="preserve">1. Tras haber recibido una comunicación y antes de llegar a una conclusión sobre el fondo de ésta, el Comité podrá remitir en cualquier momento al Estado Parte interesado, a los fines de su examen urgente, una solicitud para que adopte las medidas provisionales necesarias a fin de evitar posibles daños irreparables a la víctima o las víctimas de la supuesta violación. </w:t>
      </w:r>
    </w:p>
    <w:p w:rsidR="006B5DC2" w:rsidRPr="006B5DC2" w:rsidRDefault="006B5DC2" w:rsidP="006B5DC2">
      <w:pPr>
        <w:spacing w:before="100" w:beforeAutospacing="1" w:after="100" w:afterAutospacing="1" w:line="240" w:lineRule="auto"/>
        <w:rPr>
          <w:rFonts w:ascii="Segoe UI" w:eastAsia="Times New Roman" w:hAnsi="Segoe UI" w:cs="Segoe UI"/>
          <w:color w:val="444444"/>
          <w:sz w:val="20"/>
          <w:szCs w:val="20"/>
          <w:lang w:eastAsia="es-CR"/>
        </w:rPr>
      </w:pPr>
      <w:r w:rsidRPr="006B5DC2">
        <w:rPr>
          <w:rFonts w:ascii="Segoe UI" w:eastAsia="Times New Roman" w:hAnsi="Segoe UI" w:cs="Segoe UI"/>
          <w:color w:val="444444"/>
          <w:sz w:val="20"/>
          <w:szCs w:val="20"/>
          <w:lang w:eastAsia="es-CR"/>
        </w:rPr>
        <w:t xml:space="preserve">2. El ejercicio por el Comité de sus facultades discrecionales en virtud del párrafo 1 del presente artículo, no implicará juicio alguno sobre la admisibilidad o sobre el fondo de la comunicación. </w:t>
      </w:r>
    </w:p>
    <w:p w:rsidR="006B5DC2" w:rsidRPr="006B5DC2" w:rsidRDefault="006B5DC2" w:rsidP="006B5DC2">
      <w:pPr>
        <w:spacing w:before="100" w:beforeAutospacing="1" w:after="100" w:afterAutospacing="1" w:line="240" w:lineRule="auto"/>
        <w:outlineLvl w:val="2"/>
        <w:rPr>
          <w:rFonts w:ascii="Segoe UI Semilight" w:eastAsia="Times New Roman" w:hAnsi="Segoe UI Semilight" w:cs="Segoe UI Semilight"/>
          <w:color w:val="262626"/>
          <w:sz w:val="23"/>
          <w:szCs w:val="23"/>
          <w:lang w:eastAsia="es-CR"/>
        </w:rPr>
      </w:pPr>
      <w:r w:rsidRPr="006B5DC2">
        <w:rPr>
          <w:rFonts w:ascii="Segoe UI Semilight" w:eastAsia="Times New Roman" w:hAnsi="Segoe UI Semilight" w:cs="Segoe UI Semilight"/>
          <w:color w:val="262626"/>
          <w:sz w:val="23"/>
          <w:szCs w:val="23"/>
          <w:lang w:eastAsia="es-CR"/>
        </w:rPr>
        <w:t xml:space="preserve">Artículo 5 </w:t>
      </w:r>
    </w:p>
    <w:p w:rsidR="006B5DC2" w:rsidRPr="006B5DC2" w:rsidRDefault="006B5DC2" w:rsidP="006B5DC2">
      <w:pPr>
        <w:spacing w:before="100" w:beforeAutospacing="1" w:after="100" w:afterAutospacing="1" w:line="240" w:lineRule="auto"/>
        <w:rPr>
          <w:rFonts w:ascii="Segoe UI" w:eastAsia="Times New Roman" w:hAnsi="Segoe UI" w:cs="Segoe UI"/>
          <w:color w:val="444444"/>
          <w:sz w:val="20"/>
          <w:szCs w:val="20"/>
          <w:lang w:eastAsia="es-CR"/>
        </w:rPr>
      </w:pPr>
      <w:r w:rsidRPr="006B5DC2">
        <w:rPr>
          <w:rFonts w:ascii="Segoe UI" w:eastAsia="Times New Roman" w:hAnsi="Segoe UI" w:cs="Segoe UI"/>
          <w:color w:val="444444"/>
          <w:sz w:val="20"/>
          <w:szCs w:val="20"/>
          <w:lang w:eastAsia="es-CR"/>
        </w:rPr>
        <w:t xml:space="preserve">El Comité examinará en sesiones privadas las comunicaciones que reciba en virtud del presente Protocolo. Tras examinar una comunicación, el Comité hará llegar sus sugerencias y recomendaciones, si las hubiere, al Estado Parte interesado y al comunicante. </w:t>
      </w:r>
    </w:p>
    <w:p w:rsidR="006B5DC2" w:rsidRPr="006B5DC2" w:rsidRDefault="006B5DC2" w:rsidP="006B5DC2">
      <w:pPr>
        <w:spacing w:before="100" w:beforeAutospacing="1" w:after="100" w:afterAutospacing="1" w:line="240" w:lineRule="auto"/>
        <w:outlineLvl w:val="2"/>
        <w:rPr>
          <w:rFonts w:ascii="Segoe UI Semilight" w:eastAsia="Times New Roman" w:hAnsi="Segoe UI Semilight" w:cs="Segoe UI Semilight"/>
          <w:color w:val="262626"/>
          <w:sz w:val="23"/>
          <w:szCs w:val="23"/>
          <w:lang w:eastAsia="es-CR"/>
        </w:rPr>
      </w:pPr>
      <w:r w:rsidRPr="006B5DC2">
        <w:rPr>
          <w:rFonts w:ascii="Segoe UI Semilight" w:eastAsia="Times New Roman" w:hAnsi="Segoe UI Semilight" w:cs="Segoe UI Semilight"/>
          <w:color w:val="262626"/>
          <w:sz w:val="23"/>
          <w:szCs w:val="23"/>
          <w:lang w:eastAsia="es-CR"/>
        </w:rPr>
        <w:t xml:space="preserve">Artículo 6 </w:t>
      </w:r>
    </w:p>
    <w:p w:rsidR="006B5DC2" w:rsidRPr="006B5DC2" w:rsidRDefault="006B5DC2" w:rsidP="006B5DC2">
      <w:pPr>
        <w:spacing w:before="100" w:beforeAutospacing="1" w:after="100" w:afterAutospacing="1" w:line="240" w:lineRule="auto"/>
        <w:rPr>
          <w:rFonts w:ascii="Segoe UI" w:eastAsia="Times New Roman" w:hAnsi="Segoe UI" w:cs="Segoe UI"/>
          <w:color w:val="444444"/>
          <w:sz w:val="20"/>
          <w:szCs w:val="20"/>
          <w:lang w:eastAsia="es-CR"/>
        </w:rPr>
      </w:pPr>
      <w:r w:rsidRPr="006B5DC2">
        <w:rPr>
          <w:rFonts w:ascii="Segoe UI" w:eastAsia="Times New Roman" w:hAnsi="Segoe UI" w:cs="Segoe UI"/>
          <w:color w:val="444444"/>
          <w:sz w:val="20"/>
          <w:szCs w:val="20"/>
          <w:lang w:eastAsia="es-CR"/>
        </w:rPr>
        <w:t xml:space="preserve">1. Si el Comité recibe información fidedigna que revele violaciones graves o sistemáticas por un Estado Parte de los derechos recogidos en la Convención, el Comité invitará a ese Estado Parte a colaborar en el examen de la información y, a esos efectos, a presentar observaciones sobre dicha información. </w:t>
      </w:r>
    </w:p>
    <w:p w:rsidR="006B5DC2" w:rsidRPr="006B5DC2" w:rsidRDefault="006B5DC2" w:rsidP="006B5DC2">
      <w:pPr>
        <w:spacing w:before="100" w:beforeAutospacing="1" w:after="100" w:afterAutospacing="1" w:line="240" w:lineRule="auto"/>
        <w:rPr>
          <w:rFonts w:ascii="Segoe UI" w:eastAsia="Times New Roman" w:hAnsi="Segoe UI" w:cs="Segoe UI"/>
          <w:color w:val="444444"/>
          <w:sz w:val="20"/>
          <w:szCs w:val="20"/>
          <w:lang w:eastAsia="es-CR"/>
        </w:rPr>
      </w:pPr>
      <w:r w:rsidRPr="006B5DC2">
        <w:rPr>
          <w:rFonts w:ascii="Segoe UI" w:eastAsia="Times New Roman" w:hAnsi="Segoe UI" w:cs="Segoe UI"/>
          <w:color w:val="444444"/>
          <w:sz w:val="20"/>
          <w:szCs w:val="20"/>
          <w:lang w:eastAsia="es-CR"/>
        </w:rPr>
        <w:t xml:space="preserve">2. Tomando en consideración las observaciones que haya presentado el Estado Parte interesado, así como toda información fidedigna que esté a su disposición, el Comité podrá encargar a uno o más de sus miembros que lleven a cabo una investigación y presenten, con carácter urgente, un informe al Comité. Cuando se justifique y con el consentimiento del Estado Parte, la investigación podrá incluir una visita a su territorio. </w:t>
      </w:r>
    </w:p>
    <w:p w:rsidR="006B5DC2" w:rsidRPr="006B5DC2" w:rsidRDefault="006B5DC2" w:rsidP="006B5DC2">
      <w:pPr>
        <w:spacing w:before="100" w:beforeAutospacing="1" w:after="100" w:afterAutospacing="1" w:line="240" w:lineRule="auto"/>
        <w:rPr>
          <w:rFonts w:ascii="Segoe UI" w:eastAsia="Times New Roman" w:hAnsi="Segoe UI" w:cs="Segoe UI"/>
          <w:color w:val="444444"/>
          <w:sz w:val="20"/>
          <w:szCs w:val="20"/>
          <w:lang w:eastAsia="es-CR"/>
        </w:rPr>
      </w:pPr>
      <w:r w:rsidRPr="006B5DC2">
        <w:rPr>
          <w:rFonts w:ascii="Segoe UI" w:eastAsia="Times New Roman" w:hAnsi="Segoe UI" w:cs="Segoe UI"/>
          <w:color w:val="444444"/>
          <w:sz w:val="20"/>
          <w:szCs w:val="20"/>
          <w:lang w:eastAsia="es-CR"/>
        </w:rPr>
        <w:t xml:space="preserve">3. Tras examinar las conclusiones de la investigación, el Comité las transmitirá al Estado Parte interesado, junto con las observaciones y recomendaciones que estime oportunas. </w:t>
      </w:r>
    </w:p>
    <w:p w:rsidR="006B5DC2" w:rsidRPr="006B5DC2" w:rsidRDefault="006B5DC2" w:rsidP="006B5DC2">
      <w:pPr>
        <w:spacing w:before="100" w:beforeAutospacing="1" w:after="100" w:afterAutospacing="1" w:line="240" w:lineRule="auto"/>
        <w:rPr>
          <w:rFonts w:ascii="Segoe UI" w:eastAsia="Times New Roman" w:hAnsi="Segoe UI" w:cs="Segoe UI"/>
          <w:color w:val="444444"/>
          <w:sz w:val="20"/>
          <w:szCs w:val="20"/>
          <w:lang w:eastAsia="es-CR"/>
        </w:rPr>
      </w:pPr>
      <w:r w:rsidRPr="006B5DC2">
        <w:rPr>
          <w:rFonts w:ascii="Segoe UI" w:eastAsia="Times New Roman" w:hAnsi="Segoe UI" w:cs="Segoe UI"/>
          <w:color w:val="444444"/>
          <w:sz w:val="20"/>
          <w:szCs w:val="20"/>
          <w:lang w:eastAsia="es-CR"/>
        </w:rPr>
        <w:t xml:space="preserve">4. En un plazo de seis meses después de recibir las conclusiones de la investigación y las observaciones y recomendaciones que le transmita el Comité, el Estado Parte interesado presentará sus propias observaciones al Comité. </w:t>
      </w:r>
    </w:p>
    <w:p w:rsidR="006B5DC2" w:rsidRPr="006B5DC2" w:rsidRDefault="006B5DC2" w:rsidP="006B5DC2">
      <w:pPr>
        <w:spacing w:before="100" w:beforeAutospacing="1" w:after="100" w:afterAutospacing="1" w:line="240" w:lineRule="auto"/>
        <w:rPr>
          <w:rFonts w:ascii="Segoe UI" w:eastAsia="Times New Roman" w:hAnsi="Segoe UI" w:cs="Segoe UI"/>
          <w:color w:val="444444"/>
          <w:sz w:val="20"/>
          <w:szCs w:val="20"/>
          <w:lang w:eastAsia="es-CR"/>
        </w:rPr>
      </w:pPr>
      <w:r w:rsidRPr="006B5DC2">
        <w:rPr>
          <w:rFonts w:ascii="Segoe UI" w:eastAsia="Times New Roman" w:hAnsi="Segoe UI" w:cs="Segoe UI"/>
          <w:color w:val="444444"/>
          <w:sz w:val="20"/>
          <w:szCs w:val="20"/>
          <w:lang w:eastAsia="es-CR"/>
        </w:rPr>
        <w:lastRenderedPageBreak/>
        <w:t xml:space="preserve">5. La investigación será de carácter confidencial y en todas sus etapas se solicitará la colaboración del Estado Parte. </w:t>
      </w:r>
    </w:p>
    <w:p w:rsidR="006B5DC2" w:rsidRPr="006B5DC2" w:rsidRDefault="006B5DC2" w:rsidP="006B5DC2">
      <w:pPr>
        <w:spacing w:before="100" w:beforeAutospacing="1" w:after="100" w:afterAutospacing="1" w:line="240" w:lineRule="auto"/>
        <w:outlineLvl w:val="2"/>
        <w:rPr>
          <w:rFonts w:ascii="Segoe UI Semilight" w:eastAsia="Times New Roman" w:hAnsi="Segoe UI Semilight" w:cs="Segoe UI Semilight"/>
          <w:color w:val="262626"/>
          <w:sz w:val="23"/>
          <w:szCs w:val="23"/>
          <w:lang w:eastAsia="es-CR"/>
        </w:rPr>
      </w:pPr>
      <w:r w:rsidRPr="006B5DC2">
        <w:rPr>
          <w:rFonts w:ascii="Segoe UI Semilight" w:eastAsia="Times New Roman" w:hAnsi="Segoe UI Semilight" w:cs="Segoe UI Semilight"/>
          <w:color w:val="262626"/>
          <w:sz w:val="23"/>
          <w:szCs w:val="23"/>
          <w:lang w:eastAsia="es-CR"/>
        </w:rPr>
        <w:t xml:space="preserve">Artículo 7 </w:t>
      </w:r>
    </w:p>
    <w:p w:rsidR="006B5DC2" w:rsidRPr="006B5DC2" w:rsidRDefault="006B5DC2" w:rsidP="006B5DC2">
      <w:pPr>
        <w:spacing w:before="100" w:beforeAutospacing="1" w:after="100" w:afterAutospacing="1" w:line="240" w:lineRule="auto"/>
        <w:rPr>
          <w:rFonts w:ascii="Segoe UI" w:eastAsia="Times New Roman" w:hAnsi="Segoe UI" w:cs="Segoe UI"/>
          <w:color w:val="444444"/>
          <w:sz w:val="20"/>
          <w:szCs w:val="20"/>
          <w:lang w:eastAsia="es-CR"/>
        </w:rPr>
      </w:pPr>
      <w:r w:rsidRPr="006B5DC2">
        <w:rPr>
          <w:rFonts w:ascii="Segoe UI" w:eastAsia="Times New Roman" w:hAnsi="Segoe UI" w:cs="Segoe UI"/>
          <w:color w:val="444444"/>
          <w:sz w:val="20"/>
          <w:szCs w:val="20"/>
          <w:lang w:eastAsia="es-CR"/>
        </w:rPr>
        <w:t xml:space="preserve">1. El Comité podrá invitar al Estado Parte interesado a que incluya en el informe que ha de presentar con arreglo al artículo 35 de la Convención pormenores sobre cualesquiera medidas que hubiere adoptado en respuesta a una investigación efectuada con arreglo al artículo 6 del presente Protocolo. </w:t>
      </w:r>
    </w:p>
    <w:p w:rsidR="006B5DC2" w:rsidRPr="006B5DC2" w:rsidRDefault="006B5DC2" w:rsidP="006B5DC2">
      <w:pPr>
        <w:spacing w:before="100" w:beforeAutospacing="1" w:after="100" w:afterAutospacing="1" w:line="240" w:lineRule="auto"/>
        <w:rPr>
          <w:rFonts w:ascii="Segoe UI" w:eastAsia="Times New Roman" w:hAnsi="Segoe UI" w:cs="Segoe UI"/>
          <w:color w:val="444444"/>
          <w:sz w:val="20"/>
          <w:szCs w:val="20"/>
          <w:lang w:eastAsia="es-CR"/>
        </w:rPr>
      </w:pPr>
      <w:r w:rsidRPr="006B5DC2">
        <w:rPr>
          <w:rFonts w:ascii="Segoe UI" w:eastAsia="Times New Roman" w:hAnsi="Segoe UI" w:cs="Segoe UI"/>
          <w:color w:val="444444"/>
          <w:sz w:val="20"/>
          <w:szCs w:val="20"/>
          <w:lang w:eastAsia="es-CR"/>
        </w:rPr>
        <w:t xml:space="preserve">2. Transcurrido el período de seis meses indicado en el párrafo 4 del artículo 6, el Comité podrá, si fuera necesario, invitar al Estado Parte interesado a que le informe sobre cualquier medida adoptada como resultado de la investigación. </w:t>
      </w:r>
    </w:p>
    <w:p w:rsidR="006B5DC2" w:rsidRPr="006B5DC2" w:rsidRDefault="006B5DC2" w:rsidP="006B5DC2">
      <w:pPr>
        <w:spacing w:before="100" w:beforeAutospacing="1" w:after="100" w:afterAutospacing="1" w:line="240" w:lineRule="auto"/>
        <w:outlineLvl w:val="2"/>
        <w:rPr>
          <w:rFonts w:ascii="Segoe UI Semilight" w:eastAsia="Times New Roman" w:hAnsi="Segoe UI Semilight" w:cs="Segoe UI Semilight"/>
          <w:color w:val="262626"/>
          <w:sz w:val="23"/>
          <w:szCs w:val="23"/>
          <w:lang w:eastAsia="es-CR"/>
        </w:rPr>
      </w:pPr>
      <w:r w:rsidRPr="006B5DC2">
        <w:rPr>
          <w:rFonts w:ascii="Segoe UI Semilight" w:eastAsia="Times New Roman" w:hAnsi="Segoe UI Semilight" w:cs="Segoe UI Semilight"/>
          <w:color w:val="262626"/>
          <w:sz w:val="23"/>
          <w:szCs w:val="23"/>
          <w:lang w:eastAsia="es-CR"/>
        </w:rPr>
        <w:t xml:space="preserve">Artículo 8 </w:t>
      </w:r>
    </w:p>
    <w:p w:rsidR="006B5DC2" w:rsidRPr="006B5DC2" w:rsidRDefault="006B5DC2" w:rsidP="006B5DC2">
      <w:pPr>
        <w:spacing w:before="100" w:beforeAutospacing="1" w:after="100" w:afterAutospacing="1" w:line="240" w:lineRule="auto"/>
        <w:rPr>
          <w:rFonts w:ascii="Segoe UI" w:eastAsia="Times New Roman" w:hAnsi="Segoe UI" w:cs="Segoe UI"/>
          <w:color w:val="444444"/>
          <w:sz w:val="20"/>
          <w:szCs w:val="20"/>
          <w:lang w:eastAsia="es-CR"/>
        </w:rPr>
      </w:pPr>
      <w:r w:rsidRPr="006B5DC2">
        <w:rPr>
          <w:rFonts w:ascii="Segoe UI" w:eastAsia="Times New Roman" w:hAnsi="Segoe UI" w:cs="Segoe UI"/>
          <w:color w:val="444444"/>
          <w:sz w:val="20"/>
          <w:szCs w:val="20"/>
          <w:lang w:eastAsia="es-CR"/>
        </w:rPr>
        <w:t xml:space="preserve">Todo Estado Parte podrá, al momento de la firma o ratificación del presente Protocolo, o de la adhesión a él, declarar que no reconoce la competencia del Comité establecida en los artículos 6 y 7. </w:t>
      </w:r>
    </w:p>
    <w:p w:rsidR="006B5DC2" w:rsidRPr="006B5DC2" w:rsidRDefault="006B5DC2" w:rsidP="006B5DC2">
      <w:pPr>
        <w:spacing w:before="100" w:beforeAutospacing="1" w:after="100" w:afterAutospacing="1" w:line="240" w:lineRule="auto"/>
        <w:outlineLvl w:val="2"/>
        <w:rPr>
          <w:rFonts w:ascii="Segoe UI Semilight" w:eastAsia="Times New Roman" w:hAnsi="Segoe UI Semilight" w:cs="Segoe UI Semilight"/>
          <w:color w:val="262626"/>
          <w:sz w:val="23"/>
          <w:szCs w:val="23"/>
          <w:lang w:eastAsia="es-CR"/>
        </w:rPr>
      </w:pPr>
      <w:r w:rsidRPr="006B5DC2">
        <w:rPr>
          <w:rFonts w:ascii="Segoe UI Semilight" w:eastAsia="Times New Roman" w:hAnsi="Segoe UI Semilight" w:cs="Segoe UI Semilight"/>
          <w:color w:val="262626"/>
          <w:sz w:val="23"/>
          <w:szCs w:val="23"/>
          <w:lang w:eastAsia="es-CR"/>
        </w:rPr>
        <w:t xml:space="preserve">Artículo 9 </w:t>
      </w:r>
    </w:p>
    <w:p w:rsidR="006B5DC2" w:rsidRPr="006B5DC2" w:rsidRDefault="006B5DC2" w:rsidP="006B5DC2">
      <w:pPr>
        <w:spacing w:before="100" w:beforeAutospacing="1" w:after="100" w:afterAutospacing="1" w:line="240" w:lineRule="auto"/>
        <w:rPr>
          <w:rFonts w:ascii="Segoe UI" w:eastAsia="Times New Roman" w:hAnsi="Segoe UI" w:cs="Segoe UI"/>
          <w:color w:val="444444"/>
          <w:sz w:val="20"/>
          <w:szCs w:val="20"/>
          <w:lang w:eastAsia="es-CR"/>
        </w:rPr>
      </w:pPr>
      <w:r w:rsidRPr="006B5DC2">
        <w:rPr>
          <w:rFonts w:ascii="Segoe UI" w:eastAsia="Times New Roman" w:hAnsi="Segoe UI" w:cs="Segoe UI"/>
          <w:color w:val="444444"/>
          <w:sz w:val="20"/>
          <w:szCs w:val="20"/>
          <w:lang w:eastAsia="es-CR"/>
        </w:rPr>
        <w:t xml:space="preserve">El Secretario General de las Naciones Unidas será el depositario del presente Protocolo. </w:t>
      </w:r>
    </w:p>
    <w:p w:rsidR="006B5DC2" w:rsidRPr="006B5DC2" w:rsidRDefault="006B5DC2" w:rsidP="006B5DC2">
      <w:pPr>
        <w:spacing w:before="100" w:beforeAutospacing="1" w:after="100" w:afterAutospacing="1" w:line="240" w:lineRule="auto"/>
        <w:outlineLvl w:val="2"/>
        <w:rPr>
          <w:rFonts w:ascii="Segoe UI Semilight" w:eastAsia="Times New Roman" w:hAnsi="Segoe UI Semilight" w:cs="Segoe UI Semilight"/>
          <w:color w:val="262626"/>
          <w:sz w:val="23"/>
          <w:szCs w:val="23"/>
          <w:lang w:eastAsia="es-CR"/>
        </w:rPr>
      </w:pPr>
      <w:r w:rsidRPr="006B5DC2">
        <w:rPr>
          <w:rFonts w:ascii="Segoe UI Semilight" w:eastAsia="Times New Roman" w:hAnsi="Segoe UI Semilight" w:cs="Segoe UI Semilight"/>
          <w:color w:val="262626"/>
          <w:sz w:val="23"/>
          <w:szCs w:val="23"/>
          <w:lang w:eastAsia="es-CR"/>
        </w:rPr>
        <w:t xml:space="preserve">Artículo 10 </w:t>
      </w:r>
    </w:p>
    <w:p w:rsidR="006B5DC2" w:rsidRPr="006B5DC2" w:rsidRDefault="006B5DC2" w:rsidP="006B5DC2">
      <w:pPr>
        <w:spacing w:before="100" w:beforeAutospacing="1" w:after="100" w:afterAutospacing="1" w:line="240" w:lineRule="auto"/>
        <w:rPr>
          <w:rFonts w:ascii="Segoe UI" w:eastAsia="Times New Roman" w:hAnsi="Segoe UI" w:cs="Segoe UI"/>
          <w:color w:val="444444"/>
          <w:sz w:val="20"/>
          <w:szCs w:val="20"/>
          <w:lang w:eastAsia="es-CR"/>
        </w:rPr>
      </w:pPr>
      <w:r w:rsidRPr="006B5DC2">
        <w:rPr>
          <w:rFonts w:ascii="Segoe UI" w:eastAsia="Times New Roman" w:hAnsi="Segoe UI" w:cs="Segoe UI"/>
          <w:color w:val="444444"/>
          <w:sz w:val="20"/>
          <w:szCs w:val="20"/>
          <w:lang w:eastAsia="es-CR"/>
        </w:rPr>
        <w:t xml:space="preserve">El presente Protocolo estará abierto a la firma de todos los Estados y las organizaciones regionales de integración signatarios de la Convención en la Sede de las Naciones Unidas, en Nueva York, a partir del 30 de marzo de 2007. </w:t>
      </w:r>
    </w:p>
    <w:p w:rsidR="006B5DC2" w:rsidRPr="006B5DC2" w:rsidRDefault="006B5DC2" w:rsidP="006B5DC2">
      <w:pPr>
        <w:spacing w:before="100" w:beforeAutospacing="1" w:after="100" w:afterAutospacing="1" w:line="240" w:lineRule="auto"/>
        <w:outlineLvl w:val="2"/>
        <w:rPr>
          <w:rFonts w:ascii="Segoe UI Semilight" w:eastAsia="Times New Roman" w:hAnsi="Segoe UI Semilight" w:cs="Segoe UI Semilight"/>
          <w:color w:val="262626"/>
          <w:sz w:val="23"/>
          <w:szCs w:val="23"/>
          <w:lang w:eastAsia="es-CR"/>
        </w:rPr>
      </w:pPr>
      <w:r w:rsidRPr="006B5DC2">
        <w:rPr>
          <w:rFonts w:ascii="Segoe UI Semilight" w:eastAsia="Times New Roman" w:hAnsi="Segoe UI Semilight" w:cs="Segoe UI Semilight"/>
          <w:color w:val="262626"/>
          <w:sz w:val="23"/>
          <w:szCs w:val="23"/>
          <w:lang w:eastAsia="es-CR"/>
        </w:rPr>
        <w:t xml:space="preserve">Artículo 11 </w:t>
      </w:r>
    </w:p>
    <w:p w:rsidR="006B5DC2" w:rsidRPr="006B5DC2" w:rsidRDefault="006B5DC2" w:rsidP="006B5DC2">
      <w:pPr>
        <w:spacing w:before="100" w:beforeAutospacing="1" w:after="100" w:afterAutospacing="1" w:line="240" w:lineRule="auto"/>
        <w:rPr>
          <w:rFonts w:ascii="Segoe UI" w:eastAsia="Times New Roman" w:hAnsi="Segoe UI" w:cs="Segoe UI"/>
          <w:color w:val="444444"/>
          <w:sz w:val="20"/>
          <w:szCs w:val="20"/>
          <w:lang w:eastAsia="es-CR"/>
        </w:rPr>
      </w:pPr>
      <w:r w:rsidRPr="006B5DC2">
        <w:rPr>
          <w:rFonts w:ascii="Segoe UI" w:eastAsia="Times New Roman" w:hAnsi="Segoe UI" w:cs="Segoe UI"/>
          <w:color w:val="444444"/>
          <w:sz w:val="20"/>
          <w:szCs w:val="20"/>
          <w:lang w:eastAsia="es-CR"/>
        </w:rPr>
        <w:t xml:space="preserve">El presente Protocolo estará sujeto a la ratificación de los Estados signatarios de este Protocolo que hayan ratificado la Convención o se hayan adherido a ella. Estará sujeto a la confirmación oficial de las organizaciones regionales de integración signatarias del presente Protocolo que hayan confirmado oficialmente la Convención o se hayan adherido a ella. Estará abierto a la adhesión de cualquier Estado u organización regional de integración que haya ratificado la Convención, la haya confirmado oficialmente o se haya adherido a ella y que no haya firmado el presente Protocolo. </w:t>
      </w:r>
    </w:p>
    <w:p w:rsidR="006B5DC2" w:rsidRPr="006B5DC2" w:rsidRDefault="006B5DC2" w:rsidP="006B5DC2">
      <w:pPr>
        <w:spacing w:before="100" w:beforeAutospacing="1" w:after="100" w:afterAutospacing="1" w:line="240" w:lineRule="auto"/>
        <w:outlineLvl w:val="2"/>
        <w:rPr>
          <w:rFonts w:ascii="Segoe UI Semilight" w:eastAsia="Times New Roman" w:hAnsi="Segoe UI Semilight" w:cs="Segoe UI Semilight"/>
          <w:color w:val="262626"/>
          <w:sz w:val="23"/>
          <w:szCs w:val="23"/>
          <w:lang w:eastAsia="es-CR"/>
        </w:rPr>
      </w:pPr>
      <w:r w:rsidRPr="006B5DC2">
        <w:rPr>
          <w:rFonts w:ascii="Segoe UI Semilight" w:eastAsia="Times New Roman" w:hAnsi="Segoe UI Semilight" w:cs="Segoe UI Semilight"/>
          <w:color w:val="262626"/>
          <w:sz w:val="23"/>
          <w:szCs w:val="23"/>
          <w:lang w:eastAsia="es-CR"/>
        </w:rPr>
        <w:t xml:space="preserve">Artículo 12 </w:t>
      </w:r>
    </w:p>
    <w:p w:rsidR="006B5DC2" w:rsidRPr="006B5DC2" w:rsidRDefault="006B5DC2" w:rsidP="006B5DC2">
      <w:pPr>
        <w:spacing w:before="100" w:beforeAutospacing="1" w:after="100" w:afterAutospacing="1" w:line="240" w:lineRule="auto"/>
        <w:rPr>
          <w:rFonts w:ascii="Segoe UI" w:eastAsia="Times New Roman" w:hAnsi="Segoe UI" w:cs="Segoe UI"/>
          <w:color w:val="444444"/>
          <w:sz w:val="20"/>
          <w:szCs w:val="20"/>
          <w:lang w:eastAsia="es-CR"/>
        </w:rPr>
      </w:pPr>
      <w:r w:rsidRPr="006B5DC2">
        <w:rPr>
          <w:rFonts w:ascii="Segoe UI" w:eastAsia="Times New Roman" w:hAnsi="Segoe UI" w:cs="Segoe UI"/>
          <w:color w:val="444444"/>
          <w:sz w:val="20"/>
          <w:szCs w:val="20"/>
          <w:lang w:eastAsia="es-CR"/>
        </w:rPr>
        <w:t xml:space="preserve">1. Por "organización regional de integración" se entenderá una organización constituida por Estados soberanos de una región determinada a la que sus Estados miembros hayan transferido competencia respecto de las cuestiones regidas por la Convención y el presente Protocolo. Esas organizaciones declararán, en sus instrumentos de confirmación oficial o adhesión, su grado de competencia con respecto a las cuestiones regidas por la Convención y el presente Protocolo. </w:t>
      </w:r>
      <w:r w:rsidRPr="006B5DC2">
        <w:rPr>
          <w:rFonts w:ascii="Segoe UI" w:eastAsia="Times New Roman" w:hAnsi="Segoe UI" w:cs="Segoe UI"/>
          <w:color w:val="444444"/>
          <w:sz w:val="20"/>
          <w:szCs w:val="20"/>
          <w:lang w:eastAsia="es-CR"/>
        </w:rPr>
        <w:lastRenderedPageBreak/>
        <w:t xml:space="preserve">Posteriormente, informarán al depositario de toda modificación sustancial de su grado de competencia. </w:t>
      </w:r>
    </w:p>
    <w:p w:rsidR="006B5DC2" w:rsidRPr="006B5DC2" w:rsidRDefault="006B5DC2" w:rsidP="006B5DC2">
      <w:pPr>
        <w:spacing w:before="100" w:beforeAutospacing="1" w:after="100" w:afterAutospacing="1" w:line="240" w:lineRule="auto"/>
        <w:rPr>
          <w:rFonts w:ascii="Segoe UI" w:eastAsia="Times New Roman" w:hAnsi="Segoe UI" w:cs="Segoe UI"/>
          <w:color w:val="444444"/>
          <w:sz w:val="20"/>
          <w:szCs w:val="20"/>
          <w:lang w:eastAsia="es-CR"/>
        </w:rPr>
      </w:pPr>
      <w:r w:rsidRPr="006B5DC2">
        <w:rPr>
          <w:rFonts w:ascii="Segoe UI" w:eastAsia="Times New Roman" w:hAnsi="Segoe UI" w:cs="Segoe UI"/>
          <w:color w:val="444444"/>
          <w:sz w:val="20"/>
          <w:szCs w:val="20"/>
          <w:lang w:eastAsia="es-CR"/>
        </w:rPr>
        <w:t xml:space="preserve">2. Las referencias a los "Estados Partes" con arreglo al presente Protocolo se aplicarán a esas organizaciones dentro de los límites de su competencia. </w:t>
      </w:r>
    </w:p>
    <w:p w:rsidR="006B5DC2" w:rsidRPr="006B5DC2" w:rsidRDefault="006B5DC2" w:rsidP="006B5DC2">
      <w:pPr>
        <w:spacing w:before="100" w:beforeAutospacing="1" w:after="100" w:afterAutospacing="1" w:line="240" w:lineRule="auto"/>
        <w:rPr>
          <w:rFonts w:ascii="Segoe UI" w:eastAsia="Times New Roman" w:hAnsi="Segoe UI" w:cs="Segoe UI"/>
          <w:color w:val="444444"/>
          <w:sz w:val="20"/>
          <w:szCs w:val="20"/>
          <w:lang w:eastAsia="es-CR"/>
        </w:rPr>
      </w:pPr>
      <w:r w:rsidRPr="006B5DC2">
        <w:rPr>
          <w:rFonts w:ascii="Segoe UI" w:eastAsia="Times New Roman" w:hAnsi="Segoe UI" w:cs="Segoe UI"/>
          <w:color w:val="444444"/>
          <w:sz w:val="20"/>
          <w:szCs w:val="20"/>
          <w:lang w:eastAsia="es-CR"/>
        </w:rPr>
        <w:t xml:space="preserve">3. A los efectos de lo dispuesto en el párrafo 1 del artículo 13 y en el párrafo 2 del artículo 15, no se tendrá en cuenta ningún instrumento depositado por una organización regional de integración. </w:t>
      </w:r>
    </w:p>
    <w:p w:rsidR="006B5DC2" w:rsidRPr="006B5DC2" w:rsidRDefault="006B5DC2" w:rsidP="006B5DC2">
      <w:pPr>
        <w:spacing w:before="100" w:beforeAutospacing="1" w:after="100" w:afterAutospacing="1" w:line="240" w:lineRule="auto"/>
        <w:rPr>
          <w:rFonts w:ascii="Segoe UI" w:eastAsia="Times New Roman" w:hAnsi="Segoe UI" w:cs="Segoe UI"/>
          <w:color w:val="444444"/>
          <w:sz w:val="20"/>
          <w:szCs w:val="20"/>
          <w:lang w:eastAsia="es-CR"/>
        </w:rPr>
      </w:pPr>
      <w:r w:rsidRPr="006B5DC2">
        <w:rPr>
          <w:rFonts w:ascii="Segoe UI" w:eastAsia="Times New Roman" w:hAnsi="Segoe UI" w:cs="Segoe UI"/>
          <w:color w:val="444444"/>
          <w:sz w:val="20"/>
          <w:szCs w:val="20"/>
          <w:lang w:eastAsia="es-CR"/>
        </w:rPr>
        <w:t xml:space="preserve">4. Las organizaciones regionales de integración, en asuntos de su competencia, ejercerán su derecho de voto en la reunión de los Estados Partes, con un número de votos igual al número de sus Estados miembros que sean Partes en el presente Protocolo. Dichas organizaciones no ejercerán su derecho de voto si sus Estados miembros ejercen el suyo, y viceversa. </w:t>
      </w:r>
    </w:p>
    <w:p w:rsidR="006B5DC2" w:rsidRPr="006B5DC2" w:rsidRDefault="006B5DC2" w:rsidP="006B5DC2">
      <w:pPr>
        <w:spacing w:before="100" w:beforeAutospacing="1" w:after="100" w:afterAutospacing="1" w:line="240" w:lineRule="auto"/>
        <w:outlineLvl w:val="2"/>
        <w:rPr>
          <w:rFonts w:ascii="Segoe UI Semilight" w:eastAsia="Times New Roman" w:hAnsi="Segoe UI Semilight" w:cs="Segoe UI Semilight"/>
          <w:color w:val="262626"/>
          <w:sz w:val="23"/>
          <w:szCs w:val="23"/>
          <w:lang w:eastAsia="es-CR"/>
        </w:rPr>
      </w:pPr>
      <w:r w:rsidRPr="006B5DC2">
        <w:rPr>
          <w:rFonts w:ascii="Segoe UI Semilight" w:eastAsia="Times New Roman" w:hAnsi="Segoe UI Semilight" w:cs="Segoe UI Semilight"/>
          <w:color w:val="262626"/>
          <w:sz w:val="23"/>
          <w:szCs w:val="23"/>
          <w:lang w:eastAsia="es-CR"/>
        </w:rPr>
        <w:t xml:space="preserve">Artículo 13 </w:t>
      </w:r>
    </w:p>
    <w:p w:rsidR="006B5DC2" w:rsidRPr="006B5DC2" w:rsidRDefault="006B5DC2" w:rsidP="006B5DC2">
      <w:pPr>
        <w:spacing w:before="100" w:beforeAutospacing="1" w:after="100" w:afterAutospacing="1" w:line="240" w:lineRule="auto"/>
        <w:rPr>
          <w:rFonts w:ascii="Segoe UI" w:eastAsia="Times New Roman" w:hAnsi="Segoe UI" w:cs="Segoe UI"/>
          <w:color w:val="444444"/>
          <w:sz w:val="20"/>
          <w:szCs w:val="20"/>
          <w:lang w:eastAsia="es-CR"/>
        </w:rPr>
      </w:pPr>
      <w:r w:rsidRPr="006B5DC2">
        <w:rPr>
          <w:rFonts w:ascii="Segoe UI" w:eastAsia="Times New Roman" w:hAnsi="Segoe UI" w:cs="Segoe UI"/>
          <w:color w:val="444444"/>
          <w:sz w:val="20"/>
          <w:szCs w:val="20"/>
          <w:lang w:eastAsia="es-CR"/>
        </w:rPr>
        <w:t xml:space="preserve">1. Con sujeción a la entrada en vigor de la Convención, el presente Protocolo entrará en vigor el trigésimo día después de que se haya depositado el décimo instrumento de ratificación o adhesión. </w:t>
      </w:r>
    </w:p>
    <w:p w:rsidR="006B5DC2" w:rsidRPr="006B5DC2" w:rsidRDefault="006B5DC2" w:rsidP="006B5DC2">
      <w:pPr>
        <w:spacing w:before="100" w:beforeAutospacing="1" w:after="100" w:afterAutospacing="1" w:line="240" w:lineRule="auto"/>
        <w:rPr>
          <w:rFonts w:ascii="Segoe UI" w:eastAsia="Times New Roman" w:hAnsi="Segoe UI" w:cs="Segoe UI"/>
          <w:color w:val="444444"/>
          <w:sz w:val="20"/>
          <w:szCs w:val="20"/>
          <w:lang w:eastAsia="es-CR"/>
        </w:rPr>
      </w:pPr>
      <w:r w:rsidRPr="006B5DC2">
        <w:rPr>
          <w:rFonts w:ascii="Segoe UI" w:eastAsia="Times New Roman" w:hAnsi="Segoe UI" w:cs="Segoe UI"/>
          <w:color w:val="444444"/>
          <w:sz w:val="20"/>
          <w:szCs w:val="20"/>
          <w:lang w:eastAsia="es-CR"/>
        </w:rPr>
        <w:t xml:space="preserve">2. Para cada Estado u organización regional de integración que ratifique el Protocolo, lo confirme oficialmente o se adhiera a él una vez que haya sido depositado el décimo instrumento a sus efectos, el Protocolo entrará en vigor el trigésimo día a partir de la fecha en que haya sido depositado su propio instrumento. </w:t>
      </w:r>
    </w:p>
    <w:p w:rsidR="006B5DC2" w:rsidRPr="006B5DC2" w:rsidRDefault="006B5DC2" w:rsidP="006B5DC2">
      <w:pPr>
        <w:spacing w:before="100" w:beforeAutospacing="1" w:after="100" w:afterAutospacing="1" w:line="240" w:lineRule="auto"/>
        <w:outlineLvl w:val="2"/>
        <w:rPr>
          <w:rFonts w:ascii="Segoe UI Semilight" w:eastAsia="Times New Roman" w:hAnsi="Segoe UI Semilight" w:cs="Segoe UI Semilight"/>
          <w:color w:val="262626"/>
          <w:sz w:val="23"/>
          <w:szCs w:val="23"/>
          <w:lang w:eastAsia="es-CR"/>
        </w:rPr>
      </w:pPr>
      <w:r w:rsidRPr="006B5DC2">
        <w:rPr>
          <w:rFonts w:ascii="Segoe UI Semilight" w:eastAsia="Times New Roman" w:hAnsi="Segoe UI Semilight" w:cs="Segoe UI Semilight"/>
          <w:color w:val="262626"/>
          <w:sz w:val="23"/>
          <w:szCs w:val="23"/>
          <w:lang w:eastAsia="es-CR"/>
        </w:rPr>
        <w:t xml:space="preserve">Artículo 14 </w:t>
      </w:r>
    </w:p>
    <w:p w:rsidR="006B5DC2" w:rsidRPr="006B5DC2" w:rsidRDefault="006B5DC2" w:rsidP="006B5DC2">
      <w:pPr>
        <w:spacing w:before="100" w:beforeAutospacing="1" w:after="100" w:afterAutospacing="1" w:line="240" w:lineRule="auto"/>
        <w:rPr>
          <w:rFonts w:ascii="Segoe UI" w:eastAsia="Times New Roman" w:hAnsi="Segoe UI" w:cs="Segoe UI"/>
          <w:color w:val="444444"/>
          <w:sz w:val="20"/>
          <w:szCs w:val="20"/>
          <w:lang w:eastAsia="es-CR"/>
        </w:rPr>
      </w:pPr>
      <w:r w:rsidRPr="006B5DC2">
        <w:rPr>
          <w:rFonts w:ascii="Segoe UI" w:eastAsia="Times New Roman" w:hAnsi="Segoe UI" w:cs="Segoe UI"/>
          <w:color w:val="444444"/>
          <w:sz w:val="20"/>
          <w:szCs w:val="20"/>
          <w:lang w:eastAsia="es-CR"/>
        </w:rPr>
        <w:t xml:space="preserve">1. No se permitirán reservas incompatibles con el objeto y el propósito del presente Protocolo. </w:t>
      </w:r>
    </w:p>
    <w:p w:rsidR="006B5DC2" w:rsidRPr="006B5DC2" w:rsidRDefault="006B5DC2" w:rsidP="006B5DC2">
      <w:pPr>
        <w:spacing w:before="100" w:beforeAutospacing="1" w:after="100" w:afterAutospacing="1" w:line="240" w:lineRule="auto"/>
        <w:rPr>
          <w:rFonts w:ascii="Segoe UI" w:eastAsia="Times New Roman" w:hAnsi="Segoe UI" w:cs="Segoe UI"/>
          <w:color w:val="444444"/>
          <w:sz w:val="20"/>
          <w:szCs w:val="20"/>
          <w:lang w:eastAsia="es-CR"/>
        </w:rPr>
      </w:pPr>
      <w:r w:rsidRPr="006B5DC2">
        <w:rPr>
          <w:rFonts w:ascii="Segoe UI" w:eastAsia="Times New Roman" w:hAnsi="Segoe UI" w:cs="Segoe UI"/>
          <w:color w:val="444444"/>
          <w:sz w:val="20"/>
          <w:szCs w:val="20"/>
          <w:lang w:eastAsia="es-CR"/>
        </w:rPr>
        <w:t xml:space="preserve">2. Las reservas podrán ser retiradas en cualquier momento. </w:t>
      </w:r>
    </w:p>
    <w:p w:rsidR="006B5DC2" w:rsidRPr="006B5DC2" w:rsidRDefault="006B5DC2" w:rsidP="006B5DC2">
      <w:pPr>
        <w:spacing w:before="100" w:beforeAutospacing="1" w:after="100" w:afterAutospacing="1" w:line="240" w:lineRule="auto"/>
        <w:outlineLvl w:val="2"/>
        <w:rPr>
          <w:rFonts w:ascii="Segoe UI Semilight" w:eastAsia="Times New Roman" w:hAnsi="Segoe UI Semilight" w:cs="Segoe UI Semilight"/>
          <w:color w:val="262626"/>
          <w:sz w:val="23"/>
          <w:szCs w:val="23"/>
          <w:lang w:eastAsia="es-CR"/>
        </w:rPr>
      </w:pPr>
      <w:r w:rsidRPr="006B5DC2">
        <w:rPr>
          <w:rFonts w:ascii="Segoe UI Semilight" w:eastAsia="Times New Roman" w:hAnsi="Segoe UI Semilight" w:cs="Segoe UI Semilight"/>
          <w:color w:val="262626"/>
          <w:sz w:val="23"/>
          <w:szCs w:val="23"/>
          <w:lang w:eastAsia="es-CR"/>
        </w:rPr>
        <w:t xml:space="preserve">Artículo 15 </w:t>
      </w:r>
    </w:p>
    <w:p w:rsidR="006B5DC2" w:rsidRPr="006B5DC2" w:rsidRDefault="006B5DC2" w:rsidP="006B5DC2">
      <w:pPr>
        <w:spacing w:before="100" w:beforeAutospacing="1" w:after="100" w:afterAutospacing="1" w:line="240" w:lineRule="auto"/>
        <w:rPr>
          <w:rFonts w:ascii="Segoe UI" w:eastAsia="Times New Roman" w:hAnsi="Segoe UI" w:cs="Segoe UI"/>
          <w:color w:val="444444"/>
          <w:sz w:val="20"/>
          <w:szCs w:val="20"/>
          <w:lang w:eastAsia="es-CR"/>
        </w:rPr>
      </w:pPr>
      <w:r w:rsidRPr="006B5DC2">
        <w:rPr>
          <w:rFonts w:ascii="Segoe UI" w:eastAsia="Times New Roman" w:hAnsi="Segoe UI" w:cs="Segoe UI"/>
          <w:color w:val="444444"/>
          <w:sz w:val="20"/>
          <w:szCs w:val="20"/>
          <w:lang w:eastAsia="es-CR"/>
        </w:rPr>
        <w:t xml:space="preserve">1. Todo Estado Parte podrá proponer una enmienda al presente Protocolo y presentarla al Secretario General de las Naciones Unidas. El Secretario General comunicará la enmienda propuesta a los Estados Partes, pidiéndoles que le notifiquen si desean que se convoque una conferencia de Estados Partes con el fin de examinar la propuesta y someterla a votación. Si dentro de los cuatro meses siguientes a la fecha de esa notificación, al menos un tercio de los Estados Partes se declara a favor de tal convocatoria, el Secretario General convocará una conferencia bajo los auspicios de las Naciones Unidas. Toda enmienda adoptada por mayoría de dos tercios de los Estados Partes presentes y votantes en la conferencia será sometida por el Secretario General a la Asamblea General para su aprobación y posteriormente a todos los Estados Partes para su aceptación. </w:t>
      </w:r>
    </w:p>
    <w:p w:rsidR="006B5DC2" w:rsidRPr="006B5DC2" w:rsidRDefault="006B5DC2" w:rsidP="006B5DC2">
      <w:pPr>
        <w:spacing w:before="100" w:beforeAutospacing="1" w:after="100" w:afterAutospacing="1" w:line="240" w:lineRule="auto"/>
        <w:rPr>
          <w:rFonts w:ascii="Segoe UI" w:eastAsia="Times New Roman" w:hAnsi="Segoe UI" w:cs="Segoe UI"/>
          <w:color w:val="444444"/>
          <w:sz w:val="20"/>
          <w:szCs w:val="20"/>
          <w:lang w:eastAsia="es-CR"/>
        </w:rPr>
      </w:pPr>
      <w:r w:rsidRPr="006B5DC2">
        <w:rPr>
          <w:rFonts w:ascii="Segoe UI" w:eastAsia="Times New Roman" w:hAnsi="Segoe UI" w:cs="Segoe UI"/>
          <w:color w:val="444444"/>
          <w:sz w:val="20"/>
          <w:szCs w:val="20"/>
          <w:lang w:eastAsia="es-CR"/>
        </w:rPr>
        <w:t xml:space="preserve">2. Las enmiendas adoptadas y aprobadas conforme a lo dispuesto en el párrafo 1 del presente artículo entrarán en vigor el trigésimo día a partir de la fecha en que el número de instrumentos de aceptación depositados alcance los dos tercios del número de Estados Partes que hubiera en la fecha de adopción de la enmienda. Posteriormente, las enmiendas entrarán en vigor para todo Estado Parte el trigésimo día a partir de aquel en que hubieran depositado su propio instrumento </w:t>
      </w:r>
      <w:r w:rsidRPr="006B5DC2">
        <w:rPr>
          <w:rFonts w:ascii="Segoe UI" w:eastAsia="Times New Roman" w:hAnsi="Segoe UI" w:cs="Segoe UI"/>
          <w:color w:val="444444"/>
          <w:sz w:val="20"/>
          <w:szCs w:val="20"/>
          <w:lang w:eastAsia="es-CR"/>
        </w:rPr>
        <w:lastRenderedPageBreak/>
        <w:t xml:space="preserve">de aceptación. Las enmiendas serán vinculantes exclusivamente para los Estados Partes que las hayan aceptado. </w:t>
      </w:r>
    </w:p>
    <w:p w:rsidR="006B5DC2" w:rsidRPr="006B5DC2" w:rsidRDefault="006B5DC2" w:rsidP="006B5DC2">
      <w:pPr>
        <w:spacing w:before="100" w:beforeAutospacing="1" w:after="100" w:afterAutospacing="1" w:line="240" w:lineRule="auto"/>
        <w:outlineLvl w:val="2"/>
        <w:rPr>
          <w:rFonts w:ascii="Segoe UI Semilight" w:eastAsia="Times New Roman" w:hAnsi="Segoe UI Semilight" w:cs="Segoe UI Semilight"/>
          <w:color w:val="262626"/>
          <w:sz w:val="23"/>
          <w:szCs w:val="23"/>
          <w:lang w:eastAsia="es-CR"/>
        </w:rPr>
      </w:pPr>
      <w:r w:rsidRPr="006B5DC2">
        <w:rPr>
          <w:rFonts w:ascii="Segoe UI Semilight" w:eastAsia="Times New Roman" w:hAnsi="Segoe UI Semilight" w:cs="Segoe UI Semilight"/>
          <w:color w:val="262626"/>
          <w:sz w:val="23"/>
          <w:szCs w:val="23"/>
          <w:lang w:eastAsia="es-CR"/>
        </w:rPr>
        <w:t xml:space="preserve">Artículo 16 </w:t>
      </w:r>
    </w:p>
    <w:p w:rsidR="006B5DC2" w:rsidRPr="006B5DC2" w:rsidRDefault="006B5DC2" w:rsidP="006B5DC2">
      <w:pPr>
        <w:spacing w:before="100" w:beforeAutospacing="1" w:after="100" w:afterAutospacing="1" w:line="240" w:lineRule="auto"/>
        <w:rPr>
          <w:rFonts w:ascii="Segoe UI" w:eastAsia="Times New Roman" w:hAnsi="Segoe UI" w:cs="Segoe UI"/>
          <w:color w:val="444444"/>
          <w:sz w:val="20"/>
          <w:szCs w:val="20"/>
          <w:lang w:eastAsia="es-CR"/>
        </w:rPr>
      </w:pPr>
      <w:r w:rsidRPr="006B5DC2">
        <w:rPr>
          <w:rFonts w:ascii="Segoe UI" w:eastAsia="Times New Roman" w:hAnsi="Segoe UI" w:cs="Segoe UI"/>
          <w:color w:val="444444"/>
          <w:sz w:val="20"/>
          <w:szCs w:val="20"/>
          <w:lang w:eastAsia="es-CR"/>
        </w:rPr>
        <w:t xml:space="preserve">Los Estados Partes podrán denunciar el presente Protocolo mediante notificación escrita dirigida al Secretario General de las Naciones Unidas. La denuncia tendrá efecto un año después de que el Secretario General haya recibido la notificación. </w:t>
      </w:r>
    </w:p>
    <w:p w:rsidR="006B5DC2" w:rsidRPr="006B5DC2" w:rsidRDefault="006B5DC2" w:rsidP="006B5DC2">
      <w:pPr>
        <w:spacing w:before="100" w:beforeAutospacing="1" w:after="100" w:afterAutospacing="1" w:line="240" w:lineRule="auto"/>
        <w:outlineLvl w:val="2"/>
        <w:rPr>
          <w:rFonts w:ascii="Segoe UI Semilight" w:eastAsia="Times New Roman" w:hAnsi="Segoe UI Semilight" w:cs="Segoe UI Semilight"/>
          <w:color w:val="262626"/>
          <w:sz w:val="23"/>
          <w:szCs w:val="23"/>
          <w:lang w:eastAsia="es-CR"/>
        </w:rPr>
      </w:pPr>
      <w:r w:rsidRPr="006B5DC2">
        <w:rPr>
          <w:rFonts w:ascii="Segoe UI Semilight" w:eastAsia="Times New Roman" w:hAnsi="Segoe UI Semilight" w:cs="Segoe UI Semilight"/>
          <w:color w:val="262626"/>
          <w:sz w:val="23"/>
          <w:szCs w:val="23"/>
          <w:lang w:eastAsia="es-CR"/>
        </w:rPr>
        <w:t xml:space="preserve">Artículo 17 </w:t>
      </w:r>
    </w:p>
    <w:p w:rsidR="006B5DC2" w:rsidRPr="006B5DC2" w:rsidRDefault="006B5DC2" w:rsidP="006B5DC2">
      <w:pPr>
        <w:spacing w:before="100" w:beforeAutospacing="1" w:after="100" w:afterAutospacing="1" w:line="240" w:lineRule="auto"/>
        <w:rPr>
          <w:rFonts w:ascii="Segoe UI" w:eastAsia="Times New Roman" w:hAnsi="Segoe UI" w:cs="Segoe UI"/>
          <w:color w:val="444444"/>
          <w:sz w:val="20"/>
          <w:szCs w:val="20"/>
          <w:lang w:eastAsia="es-CR"/>
        </w:rPr>
      </w:pPr>
      <w:r w:rsidRPr="006B5DC2">
        <w:rPr>
          <w:rFonts w:ascii="Segoe UI" w:eastAsia="Times New Roman" w:hAnsi="Segoe UI" w:cs="Segoe UI"/>
          <w:color w:val="444444"/>
          <w:sz w:val="20"/>
          <w:szCs w:val="20"/>
          <w:lang w:eastAsia="es-CR"/>
        </w:rPr>
        <w:t xml:space="preserve">El texto del presente Protocolo se difundirá en formato accesible. </w:t>
      </w:r>
    </w:p>
    <w:p w:rsidR="006B5DC2" w:rsidRPr="006B5DC2" w:rsidRDefault="006B5DC2" w:rsidP="006B5DC2">
      <w:pPr>
        <w:spacing w:before="100" w:beforeAutospacing="1" w:after="100" w:afterAutospacing="1" w:line="240" w:lineRule="auto"/>
        <w:outlineLvl w:val="2"/>
        <w:rPr>
          <w:rFonts w:ascii="Segoe UI Semilight" w:eastAsia="Times New Roman" w:hAnsi="Segoe UI Semilight" w:cs="Segoe UI Semilight"/>
          <w:color w:val="262626"/>
          <w:sz w:val="23"/>
          <w:szCs w:val="23"/>
          <w:lang w:eastAsia="es-CR"/>
        </w:rPr>
      </w:pPr>
      <w:r w:rsidRPr="006B5DC2">
        <w:rPr>
          <w:rFonts w:ascii="Segoe UI Semilight" w:eastAsia="Times New Roman" w:hAnsi="Segoe UI Semilight" w:cs="Segoe UI Semilight"/>
          <w:color w:val="262626"/>
          <w:sz w:val="23"/>
          <w:szCs w:val="23"/>
          <w:lang w:eastAsia="es-CR"/>
        </w:rPr>
        <w:t xml:space="preserve">Artículo 18 </w:t>
      </w:r>
    </w:p>
    <w:p w:rsidR="006B5DC2" w:rsidRPr="006B5DC2" w:rsidRDefault="006B5DC2" w:rsidP="006B5DC2">
      <w:pPr>
        <w:spacing w:before="100" w:beforeAutospacing="1" w:after="100" w:afterAutospacing="1" w:line="240" w:lineRule="auto"/>
        <w:rPr>
          <w:rFonts w:ascii="Segoe UI" w:eastAsia="Times New Roman" w:hAnsi="Segoe UI" w:cs="Segoe UI"/>
          <w:color w:val="444444"/>
          <w:sz w:val="20"/>
          <w:szCs w:val="20"/>
          <w:lang w:eastAsia="es-CR"/>
        </w:rPr>
      </w:pPr>
      <w:r w:rsidRPr="006B5DC2">
        <w:rPr>
          <w:rFonts w:ascii="Segoe UI" w:eastAsia="Times New Roman" w:hAnsi="Segoe UI" w:cs="Segoe UI"/>
          <w:color w:val="444444"/>
          <w:sz w:val="20"/>
          <w:szCs w:val="20"/>
          <w:lang w:eastAsia="es-CR"/>
        </w:rPr>
        <w:t xml:space="preserve">Los textos en árabe, chino, español, francés, inglés y ruso del presente Protocolo serán igualmente auténticos. </w:t>
      </w:r>
    </w:p>
    <w:p w:rsidR="00412C9B" w:rsidRDefault="006B5DC2" w:rsidP="006B5DC2">
      <w:r w:rsidRPr="006B5DC2">
        <w:rPr>
          <w:rFonts w:ascii="Segoe UI" w:eastAsia="Times New Roman" w:hAnsi="Segoe UI" w:cs="Segoe UI"/>
          <w:i/>
          <w:iCs/>
          <w:color w:val="444444"/>
          <w:sz w:val="20"/>
          <w:szCs w:val="20"/>
          <w:lang w:eastAsia="es-CR"/>
        </w:rPr>
        <w:t xml:space="preserve">En testimonio de lo cual </w:t>
      </w:r>
      <w:r w:rsidRPr="006B5DC2">
        <w:rPr>
          <w:rFonts w:ascii="Segoe UI" w:eastAsia="Times New Roman" w:hAnsi="Segoe UI" w:cs="Segoe UI"/>
          <w:color w:val="444444"/>
          <w:sz w:val="20"/>
          <w:szCs w:val="20"/>
          <w:lang w:eastAsia="es-CR"/>
        </w:rPr>
        <w:t>, los plenipotenciarios abajo firmantes, debidamente autorizados por sus respectivos gobiernos, firman el presente Protocolo.</w:t>
      </w:r>
    </w:p>
    <w:sectPr w:rsidR="00412C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DC2"/>
    <w:rsid w:val="00412C9B"/>
    <w:rsid w:val="006B5DC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5314B-68FB-4280-9AB6-78C0E0B9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6B5DC2"/>
    <w:pPr>
      <w:spacing w:before="100" w:beforeAutospacing="1" w:after="100" w:afterAutospacing="1" w:line="240" w:lineRule="auto"/>
      <w:outlineLvl w:val="1"/>
    </w:pPr>
    <w:rPr>
      <w:rFonts w:ascii="Segoe UI Semilight" w:eastAsia="Times New Roman" w:hAnsi="Segoe UI Semilight" w:cs="Segoe UI Semilight"/>
      <w:color w:val="262626"/>
      <w:sz w:val="35"/>
      <w:szCs w:val="35"/>
      <w:lang w:eastAsia="es-CR"/>
    </w:rPr>
  </w:style>
  <w:style w:type="paragraph" w:styleId="Ttulo3">
    <w:name w:val="heading 3"/>
    <w:basedOn w:val="Normal"/>
    <w:link w:val="Ttulo3Car"/>
    <w:uiPriority w:val="9"/>
    <w:qFormat/>
    <w:rsid w:val="006B5DC2"/>
    <w:pPr>
      <w:spacing w:before="100" w:beforeAutospacing="1" w:after="100" w:afterAutospacing="1" w:line="240" w:lineRule="auto"/>
      <w:outlineLvl w:val="2"/>
    </w:pPr>
    <w:rPr>
      <w:rFonts w:ascii="Segoe UI Semilight" w:eastAsia="Times New Roman" w:hAnsi="Segoe UI Semilight" w:cs="Segoe UI Semilight"/>
      <w:color w:val="262626"/>
      <w:sz w:val="28"/>
      <w:szCs w:val="28"/>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B5DC2"/>
    <w:rPr>
      <w:rFonts w:ascii="Segoe UI Semilight" w:eastAsia="Times New Roman" w:hAnsi="Segoe UI Semilight" w:cs="Segoe UI Semilight"/>
      <w:color w:val="262626"/>
      <w:sz w:val="35"/>
      <w:szCs w:val="35"/>
      <w:lang w:eastAsia="es-CR"/>
    </w:rPr>
  </w:style>
  <w:style w:type="character" w:customStyle="1" w:styleId="Ttulo3Car">
    <w:name w:val="Título 3 Car"/>
    <w:basedOn w:val="Fuentedeprrafopredeter"/>
    <w:link w:val="Ttulo3"/>
    <w:uiPriority w:val="9"/>
    <w:rsid w:val="006B5DC2"/>
    <w:rPr>
      <w:rFonts w:ascii="Segoe UI Semilight" w:eastAsia="Times New Roman" w:hAnsi="Segoe UI Semilight" w:cs="Segoe UI Semilight"/>
      <w:color w:val="262626"/>
      <w:sz w:val="28"/>
      <w:szCs w:val="28"/>
      <w:lang w:eastAsia="es-CR"/>
    </w:rPr>
  </w:style>
  <w:style w:type="paragraph" w:styleId="NormalWeb">
    <w:name w:val="Normal (Web)"/>
    <w:basedOn w:val="Normal"/>
    <w:uiPriority w:val="99"/>
    <w:semiHidden/>
    <w:unhideWhenUsed/>
    <w:rsid w:val="006B5DC2"/>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nfasis">
    <w:name w:val="Emphasis"/>
    <w:basedOn w:val="Fuentedeprrafopredeter"/>
    <w:uiPriority w:val="20"/>
    <w:qFormat/>
    <w:rsid w:val="006B5D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8390">
      <w:bodyDiv w:val="1"/>
      <w:marLeft w:val="0"/>
      <w:marRight w:val="0"/>
      <w:marTop w:val="0"/>
      <w:marBottom w:val="0"/>
      <w:divBdr>
        <w:top w:val="none" w:sz="0" w:space="0" w:color="auto"/>
        <w:left w:val="none" w:sz="0" w:space="0" w:color="auto"/>
        <w:bottom w:val="none" w:sz="0" w:space="0" w:color="auto"/>
        <w:right w:val="none" w:sz="0" w:space="0" w:color="auto"/>
      </w:divBdr>
      <w:divsChild>
        <w:div w:id="1627929754">
          <w:marLeft w:val="0"/>
          <w:marRight w:val="0"/>
          <w:marTop w:val="0"/>
          <w:marBottom w:val="0"/>
          <w:divBdr>
            <w:top w:val="none" w:sz="0" w:space="0" w:color="auto"/>
            <w:left w:val="none" w:sz="0" w:space="0" w:color="auto"/>
            <w:bottom w:val="none" w:sz="0" w:space="0" w:color="auto"/>
            <w:right w:val="none" w:sz="0" w:space="0" w:color="auto"/>
          </w:divBdr>
          <w:divsChild>
            <w:div w:id="1441953829">
              <w:marLeft w:val="0"/>
              <w:marRight w:val="0"/>
              <w:marTop w:val="0"/>
              <w:marBottom w:val="0"/>
              <w:divBdr>
                <w:top w:val="none" w:sz="0" w:space="0" w:color="auto"/>
                <w:left w:val="none" w:sz="0" w:space="0" w:color="auto"/>
                <w:bottom w:val="none" w:sz="0" w:space="0" w:color="auto"/>
                <w:right w:val="none" w:sz="0" w:space="0" w:color="auto"/>
              </w:divBdr>
              <w:divsChild>
                <w:div w:id="396822717">
                  <w:marLeft w:val="0"/>
                  <w:marRight w:val="0"/>
                  <w:marTop w:val="0"/>
                  <w:marBottom w:val="0"/>
                  <w:divBdr>
                    <w:top w:val="none" w:sz="0" w:space="0" w:color="auto"/>
                    <w:left w:val="none" w:sz="0" w:space="0" w:color="auto"/>
                    <w:bottom w:val="none" w:sz="0" w:space="0" w:color="auto"/>
                    <w:right w:val="none" w:sz="0" w:space="0" w:color="auto"/>
                  </w:divBdr>
                  <w:divsChild>
                    <w:div w:id="242953650">
                      <w:marLeft w:val="0"/>
                      <w:marRight w:val="0"/>
                      <w:marTop w:val="0"/>
                      <w:marBottom w:val="0"/>
                      <w:divBdr>
                        <w:top w:val="none" w:sz="0" w:space="0" w:color="auto"/>
                        <w:left w:val="none" w:sz="0" w:space="0" w:color="auto"/>
                        <w:bottom w:val="none" w:sz="0" w:space="0" w:color="auto"/>
                        <w:right w:val="none" w:sz="0" w:space="0" w:color="auto"/>
                      </w:divBdr>
                      <w:divsChild>
                        <w:div w:id="1079600069">
                          <w:marLeft w:val="0"/>
                          <w:marRight w:val="0"/>
                          <w:marTop w:val="0"/>
                          <w:marBottom w:val="0"/>
                          <w:divBdr>
                            <w:top w:val="none" w:sz="0" w:space="0" w:color="auto"/>
                            <w:left w:val="none" w:sz="0" w:space="0" w:color="auto"/>
                            <w:bottom w:val="none" w:sz="0" w:space="0" w:color="auto"/>
                            <w:right w:val="none" w:sz="0" w:space="0" w:color="auto"/>
                          </w:divBdr>
                          <w:divsChild>
                            <w:div w:id="213216440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1542</Words>
  <Characters>8481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Benavides Víquez</dc:creator>
  <cp:keywords/>
  <dc:description/>
  <cp:lastModifiedBy>Melissa Benavides Víquez</cp:lastModifiedBy>
  <cp:revision>1</cp:revision>
  <dcterms:created xsi:type="dcterms:W3CDTF">2019-08-20T19:18:00Z</dcterms:created>
  <dcterms:modified xsi:type="dcterms:W3CDTF">2019-08-20T19:19:00Z</dcterms:modified>
</cp:coreProperties>
</file>