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8A30B" w14:textId="77777777" w:rsidR="00164201" w:rsidRDefault="00164201" w:rsidP="009B70AE">
      <w:pPr>
        <w:pStyle w:val="Standarduser"/>
        <w:tabs>
          <w:tab w:val="left" w:pos="709"/>
        </w:tabs>
        <w:ind w:firstLine="709"/>
        <w:jc w:val="center"/>
        <w:rPr>
          <w:rFonts w:ascii="Times New Roman" w:hAnsi="Times New Roman" w:cs="Times New Roman"/>
          <w:b/>
          <w:bCs/>
          <w:shd w:val="clear" w:color="auto" w:fill="FFFFFF"/>
        </w:rPr>
      </w:pPr>
      <w:bookmarkStart w:id="0" w:name="_GoBack"/>
      <w:bookmarkEnd w:id="0"/>
    </w:p>
    <w:p w14:paraId="1C738948" w14:textId="036DF748" w:rsidR="009B70AE" w:rsidRPr="00C6609F" w:rsidRDefault="009B70AE" w:rsidP="009B70AE">
      <w:pPr>
        <w:pStyle w:val="Standarduser"/>
        <w:tabs>
          <w:tab w:val="left" w:pos="709"/>
        </w:tabs>
        <w:ind w:firstLine="709"/>
        <w:jc w:val="center"/>
        <w:rPr>
          <w:rFonts w:ascii="Times New Roman" w:hAnsi="Times New Roman" w:cs="Times New Roman"/>
          <w:b/>
          <w:bCs/>
          <w:u w:val="single"/>
        </w:rPr>
      </w:pPr>
      <w:r w:rsidRPr="00C6609F">
        <w:rPr>
          <w:rFonts w:ascii="Times New Roman" w:hAnsi="Times New Roman" w:cs="Times New Roman"/>
          <w:b/>
          <w:bCs/>
          <w:u w:val="single"/>
          <w:shd w:val="clear" w:color="auto" w:fill="FFFFFF"/>
        </w:rPr>
        <w:t>CIRCULAR No.</w:t>
      </w:r>
      <w:r w:rsidR="00C6609F" w:rsidRPr="00C6609F">
        <w:rPr>
          <w:rFonts w:ascii="Times New Roman" w:hAnsi="Times New Roman" w:cs="Times New Roman"/>
          <w:u w:val="single"/>
        </w:rPr>
        <w:t xml:space="preserve"> </w:t>
      </w:r>
      <w:r w:rsidR="00AA0A26" w:rsidRPr="00AA0A26">
        <w:rPr>
          <w:rFonts w:ascii="Times New Roman" w:hAnsi="Times New Roman" w:cs="Times New Roman"/>
          <w:b/>
          <w:bCs/>
          <w:u w:val="single"/>
        </w:rPr>
        <w:t>113</w:t>
      </w:r>
      <w:r w:rsidRPr="00AA0A26">
        <w:rPr>
          <w:rFonts w:ascii="Times New Roman" w:hAnsi="Times New Roman" w:cs="Times New Roman"/>
          <w:b/>
          <w:bCs/>
          <w:u w:val="single"/>
          <w:shd w:val="clear" w:color="auto" w:fill="FFFFFF"/>
        </w:rPr>
        <w:t>-</w:t>
      </w:r>
      <w:r w:rsidRPr="00A90A31">
        <w:rPr>
          <w:rFonts w:ascii="Times New Roman" w:hAnsi="Times New Roman" w:cs="Times New Roman"/>
          <w:b/>
          <w:bCs/>
          <w:u w:val="single"/>
          <w:shd w:val="clear" w:color="auto" w:fill="FFFFFF"/>
        </w:rPr>
        <w:t>2</w:t>
      </w:r>
      <w:r w:rsidRPr="00C6609F">
        <w:rPr>
          <w:rFonts w:ascii="Times New Roman" w:hAnsi="Times New Roman" w:cs="Times New Roman"/>
          <w:b/>
          <w:bCs/>
          <w:u w:val="single"/>
          <w:shd w:val="clear" w:color="auto" w:fill="FFFFFF"/>
        </w:rPr>
        <w:t>02</w:t>
      </w:r>
      <w:r w:rsidR="00C6609F" w:rsidRPr="00C6609F">
        <w:rPr>
          <w:rFonts w:ascii="Times New Roman" w:hAnsi="Times New Roman" w:cs="Times New Roman"/>
          <w:b/>
          <w:bCs/>
          <w:u w:val="single"/>
          <w:shd w:val="clear" w:color="auto" w:fill="FFFFFF"/>
        </w:rPr>
        <w:t>3</w:t>
      </w:r>
    </w:p>
    <w:p w14:paraId="08D6D0E1" w14:textId="77777777" w:rsidR="00AA0A26" w:rsidRPr="00BC2614" w:rsidRDefault="00AA0A26" w:rsidP="00AA0A26">
      <w:pPr>
        <w:pStyle w:val="Standarduser"/>
        <w:tabs>
          <w:tab w:val="left" w:pos="709"/>
        </w:tabs>
        <w:jc w:val="both"/>
        <w:rPr>
          <w:rFonts w:ascii="Times New Roman" w:hAnsi="Times New Roman" w:cs="Times New Roman"/>
          <w:sz w:val="22"/>
          <w:szCs w:val="22"/>
          <w:shd w:val="clear" w:color="auto" w:fill="FFFFFF"/>
        </w:rPr>
      </w:pPr>
    </w:p>
    <w:p w14:paraId="34180C73" w14:textId="77777777" w:rsidR="00AA0A26" w:rsidRPr="00AA0A26" w:rsidRDefault="00AA0A26" w:rsidP="00AA0A26">
      <w:pPr>
        <w:pStyle w:val="Standarduser"/>
        <w:tabs>
          <w:tab w:val="left" w:pos="709"/>
        </w:tabs>
        <w:ind w:firstLine="709"/>
        <w:jc w:val="both"/>
        <w:rPr>
          <w:rFonts w:ascii="Times New Roman" w:hAnsi="Times New Roman" w:cs="Times New Roman"/>
          <w:shd w:val="clear" w:color="auto" w:fill="FFFFFF"/>
        </w:rPr>
      </w:pPr>
      <w:r w:rsidRPr="00AA0A26">
        <w:rPr>
          <w:rFonts w:ascii="Times New Roman" w:hAnsi="Times New Roman" w:cs="Times New Roman"/>
          <w:b/>
          <w:bCs/>
          <w:shd w:val="clear" w:color="auto" w:fill="FFFFFF"/>
        </w:rPr>
        <w:t>Asunto</w:t>
      </w:r>
      <w:r w:rsidRPr="00AA0A26">
        <w:rPr>
          <w:rFonts w:ascii="Times New Roman" w:hAnsi="Times New Roman" w:cs="Times New Roman"/>
          <w:shd w:val="clear" w:color="auto" w:fill="FFFFFF"/>
        </w:rPr>
        <w:t>: Lineamientos para los despachos judiciales que atienden procesos en que participan personas indígenas, sobre la inclusión en el PAO de temas relacionados al cumplimiento de la Medida Cautelar No. 321-12 de la Corte Interamericana de los Derechos Humanos y de la Circular No. 188-2019 como insumos requeridos para el SEVRI</w:t>
      </w:r>
      <w:r w:rsidRPr="00AA0A26">
        <w:rPr>
          <w:rFonts w:ascii="Times New Roman" w:hAnsi="Times New Roman" w:cs="Times New Roman"/>
        </w:rPr>
        <w:t xml:space="preserve">. </w:t>
      </w:r>
    </w:p>
    <w:p w14:paraId="19A260E9" w14:textId="77777777" w:rsidR="00AA0A26" w:rsidRPr="00BC2614" w:rsidRDefault="00AA0A26" w:rsidP="00AA0A26">
      <w:pPr>
        <w:pStyle w:val="Standarduser"/>
        <w:tabs>
          <w:tab w:val="left" w:pos="709"/>
        </w:tabs>
        <w:ind w:firstLine="709"/>
        <w:jc w:val="both"/>
        <w:rPr>
          <w:rFonts w:ascii="Times New Roman" w:hAnsi="Times New Roman" w:cs="Times New Roman"/>
          <w:sz w:val="22"/>
          <w:szCs w:val="22"/>
          <w:shd w:val="clear" w:color="auto" w:fill="FFFFFF"/>
        </w:rPr>
      </w:pPr>
    </w:p>
    <w:p w14:paraId="056C88EA" w14:textId="77777777" w:rsidR="00AA0A26" w:rsidRPr="00BC2614" w:rsidRDefault="00AA0A26" w:rsidP="00AA0A26">
      <w:pPr>
        <w:pStyle w:val="Standarduser"/>
        <w:tabs>
          <w:tab w:val="left" w:pos="709"/>
        </w:tabs>
        <w:ind w:firstLine="709"/>
        <w:jc w:val="center"/>
        <w:rPr>
          <w:rFonts w:ascii="Times New Roman" w:hAnsi="Times New Roman" w:cs="Times New Roman"/>
          <w:b/>
          <w:bCs/>
          <w:sz w:val="22"/>
          <w:szCs w:val="22"/>
          <w:u w:val="single"/>
        </w:rPr>
      </w:pPr>
      <w:r w:rsidRPr="00BC2614">
        <w:rPr>
          <w:rFonts w:ascii="Times New Roman" w:hAnsi="Times New Roman" w:cs="Times New Roman"/>
          <w:b/>
          <w:bCs/>
          <w:sz w:val="22"/>
          <w:szCs w:val="22"/>
          <w:u w:val="single"/>
        </w:rPr>
        <w:t xml:space="preserve">A LOS DESPACHOS JUDICIALES DEL PAÍS QUE CONOCEN PROCESOS EN LOS QUE PARTICIPA POBLACION INDÍGENA </w:t>
      </w:r>
    </w:p>
    <w:p w14:paraId="2FCD2A50" w14:textId="77777777" w:rsidR="00AA0A26" w:rsidRPr="00BC2614" w:rsidRDefault="00AA0A26" w:rsidP="00AA0A26">
      <w:pPr>
        <w:pStyle w:val="Standarduser"/>
        <w:tabs>
          <w:tab w:val="left" w:pos="709"/>
        </w:tabs>
        <w:ind w:firstLine="709"/>
        <w:jc w:val="center"/>
        <w:rPr>
          <w:rFonts w:ascii="Times New Roman" w:hAnsi="Times New Roman" w:cs="Times New Roman"/>
          <w:b/>
          <w:bCs/>
          <w:sz w:val="22"/>
          <w:szCs w:val="22"/>
          <w:u w:val="single"/>
        </w:rPr>
      </w:pPr>
    </w:p>
    <w:p w14:paraId="6CDD0677" w14:textId="77777777" w:rsidR="00AA0A26" w:rsidRPr="00BC2614" w:rsidRDefault="00AA0A26" w:rsidP="00AA0A26">
      <w:pPr>
        <w:pStyle w:val="Standarduser"/>
        <w:ind w:firstLine="709"/>
        <w:jc w:val="center"/>
        <w:rPr>
          <w:rFonts w:ascii="Times New Roman" w:hAnsi="Times New Roman" w:cs="Times New Roman"/>
          <w:sz w:val="22"/>
          <w:szCs w:val="22"/>
        </w:rPr>
      </w:pPr>
      <w:r w:rsidRPr="00BC2614">
        <w:rPr>
          <w:rFonts w:ascii="Times New Roman" w:hAnsi="Times New Roman" w:cs="Times New Roman"/>
          <w:b/>
          <w:bCs/>
          <w:sz w:val="22"/>
          <w:szCs w:val="22"/>
          <w:u w:val="single"/>
          <w:lang w:eastAsia="es-ES"/>
        </w:rPr>
        <w:t>SE LES HACE SABER QUE</w:t>
      </w:r>
      <w:r w:rsidRPr="00BC2614">
        <w:rPr>
          <w:rFonts w:ascii="Times New Roman" w:hAnsi="Times New Roman" w:cs="Times New Roman"/>
          <w:sz w:val="22"/>
          <w:szCs w:val="22"/>
          <w:lang w:eastAsia="es-ES"/>
        </w:rPr>
        <w:t>:</w:t>
      </w:r>
    </w:p>
    <w:p w14:paraId="764E0767" w14:textId="77777777" w:rsidR="00AA0A26" w:rsidRPr="00BC2614" w:rsidRDefault="00AA0A26" w:rsidP="00AA0A26">
      <w:pPr>
        <w:shd w:val="clear" w:color="auto" w:fill="FFFFFF"/>
        <w:spacing w:after="0" w:line="240" w:lineRule="auto"/>
        <w:ind w:right="-1"/>
        <w:jc w:val="both"/>
        <w:rPr>
          <w:rFonts w:ascii="Times New Roman" w:eastAsia="NSimSun" w:hAnsi="Times New Roman" w:cs="Times New Roman"/>
          <w:kern w:val="3"/>
          <w:lang w:eastAsia="zh-CN" w:bidi="hi-IN"/>
        </w:rPr>
      </w:pPr>
    </w:p>
    <w:p w14:paraId="2A7EE425" w14:textId="2CB427D9" w:rsidR="00AA0A26" w:rsidRPr="00AA0A26" w:rsidRDefault="00AA0A26" w:rsidP="00AA0A26">
      <w:pPr>
        <w:shd w:val="clear" w:color="auto" w:fill="FFFFFF"/>
        <w:spacing w:after="0" w:line="240" w:lineRule="auto"/>
        <w:ind w:right="-1" w:firstLine="708"/>
        <w:jc w:val="both"/>
        <w:rPr>
          <w:rFonts w:ascii="Times New Roman" w:eastAsia="NSimSun" w:hAnsi="Times New Roman" w:cs="Times New Roman"/>
          <w:kern w:val="3"/>
          <w:sz w:val="24"/>
          <w:szCs w:val="24"/>
          <w:lang w:eastAsia="zh-CN" w:bidi="hi-IN"/>
        </w:rPr>
      </w:pPr>
      <w:r w:rsidRPr="00AA0A26">
        <w:rPr>
          <w:rFonts w:ascii="Times New Roman" w:eastAsia="NSimSun" w:hAnsi="Times New Roman" w:cs="Times New Roman"/>
          <w:kern w:val="3"/>
          <w:sz w:val="24"/>
          <w:szCs w:val="24"/>
          <w:lang w:eastAsia="zh-CN" w:bidi="hi-IN"/>
        </w:rPr>
        <w:t>El Consejo Superior del Poder Judicial</w:t>
      </w:r>
      <w:r>
        <w:rPr>
          <w:rFonts w:ascii="Times New Roman" w:eastAsia="NSimSun" w:hAnsi="Times New Roman" w:cs="Times New Roman"/>
          <w:kern w:val="3"/>
          <w:sz w:val="24"/>
          <w:szCs w:val="24"/>
          <w:lang w:eastAsia="zh-CN" w:bidi="hi-IN"/>
        </w:rPr>
        <w:t xml:space="preserve"> </w:t>
      </w:r>
      <w:r w:rsidRPr="00AA0A26">
        <w:rPr>
          <w:rFonts w:ascii="Times New Roman" w:eastAsia="NSimSun" w:hAnsi="Times New Roman" w:cs="Times New Roman"/>
          <w:kern w:val="3"/>
          <w:sz w:val="24"/>
          <w:szCs w:val="24"/>
          <w:lang w:eastAsia="zh-CN" w:bidi="hi-IN"/>
        </w:rPr>
        <w:t xml:space="preserve">en sesión </w:t>
      </w:r>
      <w:proofErr w:type="spellStart"/>
      <w:r w:rsidRPr="00AA0A26">
        <w:rPr>
          <w:rFonts w:ascii="Times New Roman" w:eastAsia="NSimSun" w:hAnsi="Times New Roman" w:cs="Times New Roman"/>
          <w:kern w:val="3"/>
          <w:sz w:val="24"/>
          <w:szCs w:val="24"/>
          <w:lang w:eastAsia="zh-CN" w:bidi="hi-IN"/>
        </w:rPr>
        <w:t>N°</w:t>
      </w:r>
      <w:proofErr w:type="spellEnd"/>
      <w:r w:rsidRPr="00AA0A26">
        <w:rPr>
          <w:rFonts w:ascii="Times New Roman" w:eastAsia="NSimSun" w:hAnsi="Times New Roman" w:cs="Times New Roman"/>
          <w:kern w:val="3"/>
          <w:sz w:val="24"/>
          <w:szCs w:val="24"/>
          <w:lang w:eastAsia="zh-CN" w:bidi="hi-IN"/>
        </w:rPr>
        <w:t xml:space="preserve"> 37-2023 celebrada el 04 de mayo del 2023, </w:t>
      </w:r>
      <w:r>
        <w:rPr>
          <w:rFonts w:ascii="Times New Roman" w:eastAsia="NSimSun" w:hAnsi="Times New Roman" w:cs="Times New Roman"/>
          <w:kern w:val="3"/>
          <w:sz w:val="24"/>
          <w:szCs w:val="24"/>
          <w:lang w:eastAsia="zh-CN" w:bidi="hi-IN"/>
        </w:rPr>
        <w:t xml:space="preserve">artículo LXX, </w:t>
      </w:r>
      <w:r w:rsidRPr="00AA0A26">
        <w:rPr>
          <w:rFonts w:ascii="Times New Roman" w:eastAsia="NSimSun" w:hAnsi="Times New Roman" w:cs="Times New Roman"/>
          <w:kern w:val="3"/>
          <w:sz w:val="24"/>
          <w:szCs w:val="24"/>
          <w:lang w:eastAsia="zh-CN" w:bidi="hi-IN"/>
        </w:rPr>
        <w:t xml:space="preserve">aprobó los </w:t>
      </w:r>
      <w:r w:rsidRPr="00AA0A26">
        <w:rPr>
          <w:rFonts w:ascii="Times New Roman" w:hAnsi="Times New Roman" w:cs="Times New Roman"/>
          <w:sz w:val="24"/>
          <w:szCs w:val="24"/>
          <w:lang w:val="es-ES"/>
        </w:rPr>
        <w:t>lineamientos para los despachos judiciales que atienden procesos en que participan personas indígenas, sobre la inclusión en el plan anual operativo (PAO) de temas relacionados al cumplimiento de la Medida Cautelar No. 321-12 de la Corte Interamericana de los Derechos Humanos y de la Circular No. 188-2019</w:t>
      </w:r>
      <w:r w:rsidRPr="00AA0A26">
        <w:rPr>
          <w:rFonts w:ascii="Times New Roman" w:hAnsi="Times New Roman" w:cs="Times New Roman"/>
          <w:i/>
          <w:iCs/>
          <w:sz w:val="24"/>
          <w:szCs w:val="24"/>
          <w:lang w:val="es-ES"/>
        </w:rPr>
        <w:t xml:space="preserve"> </w:t>
      </w:r>
      <w:r w:rsidRPr="00AA0A26">
        <w:rPr>
          <w:rFonts w:ascii="Times New Roman" w:hAnsi="Times New Roman" w:cs="Times New Roman"/>
          <w:sz w:val="24"/>
          <w:szCs w:val="24"/>
          <w:lang w:val="es-ES"/>
        </w:rPr>
        <w:t>como insumos requeridos para el SEVRI, cuyo</w:t>
      </w:r>
      <w:r w:rsidRPr="00AA0A26">
        <w:rPr>
          <w:rFonts w:ascii="Times New Roman" w:eastAsia="NSimSun" w:hAnsi="Times New Roman" w:cs="Times New Roman"/>
          <w:kern w:val="3"/>
          <w:sz w:val="24"/>
          <w:szCs w:val="24"/>
          <w:lang w:eastAsia="zh-CN" w:bidi="hi-IN"/>
        </w:rPr>
        <w:t xml:space="preserve"> texto literalmente dice:</w:t>
      </w:r>
    </w:p>
    <w:p w14:paraId="61031E4E" w14:textId="77777777" w:rsidR="00AA0A26" w:rsidRPr="00BC2614" w:rsidRDefault="00AA0A26" w:rsidP="00AA0A26">
      <w:pPr>
        <w:shd w:val="clear" w:color="auto" w:fill="FFFFFF"/>
        <w:spacing w:after="0" w:line="240" w:lineRule="auto"/>
        <w:ind w:right="-1"/>
        <w:jc w:val="both"/>
        <w:rPr>
          <w:rFonts w:ascii="Times New Roman" w:eastAsia="NSimSun" w:hAnsi="Times New Roman" w:cs="Times New Roman"/>
          <w:kern w:val="3"/>
          <w:lang w:eastAsia="zh-CN" w:bidi="hi-IN"/>
        </w:rPr>
      </w:pPr>
    </w:p>
    <w:p w14:paraId="4FAE7F63" w14:textId="77777777" w:rsidR="00AA0A26" w:rsidRPr="00AA0A26" w:rsidRDefault="00AA0A26" w:rsidP="00AA0A26">
      <w:pPr>
        <w:shd w:val="clear" w:color="auto" w:fill="FFFFFF"/>
        <w:spacing w:after="0" w:line="240" w:lineRule="auto"/>
        <w:ind w:left="851" w:right="851" w:firstLine="709"/>
        <w:jc w:val="both"/>
        <w:rPr>
          <w:rFonts w:ascii="Times New Roman" w:eastAsia="NSimSun" w:hAnsi="Times New Roman" w:cs="Times New Roman"/>
          <w:b/>
          <w:bCs/>
          <w:kern w:val="3"/>
          <w:sz w:val="24"/>
          <w:szCs w:val="24"/>
          <w:lang w:eastAsia="zh-CN" w:bidi="hi-IN"/>
        </w:rPr>
      </w:pPr>
      <w:r w:rsidRPr="00AA0A26">
        <w:rPr>
          <w:rFonts w:ascii="Times New Roman" w:eastAsia="NSimSun" w:hAnsi="Times New Roman" w:cs="Times New Roman"/>
          <w:b/>
          <w:bCs/>
          <w:kern w:val="3"/>
          <w:sz w:val="24"/>
          <w:szCs w:val="24"/>
          <w:u w:val="single"/>
          <w:lang w:eastAsia="zh-CN" w:bidi="hi-IN"/>
        </w:rPr>
        <w:t>Lineamientos generales</w:t>
      </w:r>
      <w:r w:rsidRPr="00AA0A26">
        <w:rPr>
          <w:rFonts w:ascii="Times New Roman" w:eastAsia="NSimSun" w:hAnsi="Times New Roman" w:cs="Times New Roman"/>
          <w:b/>
          <w:bCs/>
          <w:kern w:val="3"/>
          <w:sz w:val="24"/>
          <w:szCs w:val="24"/>
          <w:lang w:eastAsia="zh-CN" w:bidi="hi-IN"/>
        </w:rPr>
        <w:t>:</w:t>
      </w:r>
    </w:p>
    <w:p w14:paraId="7459C5C3" w14:textId="77777777" w:rsidR="00AA0A26" w:rsidRPr="00AA0A26" w:rsidRDefault="00AA0A26" w:rsidP="00AA0A26">
      <w:pPr>
        <w:shd w:val="clear" w:color="auto" w:fill="FFFFFF"/>
        <w:spacing w:after="0" w:line="240" w:lineRule="auto"/>
        <w:ind w:left="851" w:right="851" w:firstLine="709"/>
        <w:jc w:val="both"/>
        <w:rPr>
          <w:rFonts w:ascii="Times New Roman" w:eastAsia="NSimSun" w:hAnsi="Times New Roman" w:cs="Times New Roman"/>
          <w:kern w:val="3"/>
          <w:sz w:val="24"/>
          <w:szCs w:val="24"/>
          <w:lang w:eastAsia="zh-CN" w:bidi="hi-IN"/>
        </w:rPr>
      </w:pPr>
    </w:p>
    <w:p w14:paraId="3304D103" w14:textId="77777777" w:rsidR="00AA0A26" w:rsidRPr="00AA0A26" w:rsidRDefault="00AA0A26" w:rsidP="00AA0A26">
      <w:pPr>
        <w:shd w:val="clear" w:color="auto" w:fill="FFFFFF"/>
        <w:spacing w:after="0" w:line="240" w:lineRule="auto"/>
        <w:ind w:left="851" w:right="851" w:firstLine="709"/>
        <w:jc w:val="both"/>
        <w:rPr>
          <w:rFonts w:ascii="Times New Roman" w:eastAsia="NSimSun" w:hAnsi="Times New Roman" w:cs="Times New Roman"/>
          <w:kern w:val="3"/>
          <w:sz w:val="24"/>
          <w:szCs w:val="24"/>
          <w:lang w:eastAsia="zh-CN" w:bidi="hi-IN"/>
        </w:rPr>
      </w:pPr>
      <w:r w:rsidRPr="00AA0A26">
        <w:rPr>
          <w:rFonts w:ascii="Times New Roman" w:eastAsia="NSimSun" w:hAnsi="Times New Roman" w:cs="Times New Roman"/>
          <w:kern w:val="3"/>
          <w:sz w:val="24"/>
          <w:szCs w:val="24"/>
          <w:lang w:eastAsia="zh-CN" w:bidi="hi-IN"/>
        </w:rPr>
        <w:t xml:space="preserve">Los despachos jurisdiccionales involucrados con el conocimiento de procesos en que participan personas indígenas deben </w:t>
      </w:r>
      <w:r w:rsidRPr="00AA0A26">
        <w:rPr>
          <w:rFonts w:ascii="Times New Roman" w:eastAsia="NSimSun" w:hAnsi="Times New Roman" w:cs="Times New Roman"/>
          <w:b/>
          <w:bCs/>
          <w:kern w:val="3"/>
          <w:sz w:val="24"/>
          <w:szCs w:val="24"/>
          <w:lang w:eastAsia="zh-CN" w:bidi="hi-IN"/>
        </w:rPr>
        <w:t>incluir en la planeación anual operativa y en el Sistema Específico de Valoración de Riesgos</w:t>
      </w:r>
      <w:r w:rsidRPr="00AA0A26">
        <w:rPr>
          <w:rFonts w:ascii="Times New Roman" w:eastAsia="NSimSun" w:hAnsi="Times New Roman" w:cs="Times New Roman"/>
          <w:kern w:val="3"/>
          <w:sz w:val="24"/>
          <w:szCs w:val="24"/>
          <w:lang w:eastAsia="zh-CN" w:bidi="hi-IN"/>
        </w:rPr>
        <w:t>, temas relacionados con:</w:t>
      </w:r>
    </w:p>
    <w:p w14:paraId="5AD32DA4" w14:textId="77777777" w:rsidR="00AA0A26" w:rsidRPr="00AA0A26" w:rsidRDefault="00AA0A26" w:rsidP="00AA0A26">
      <w:pPr>
        <w:shd w:val="clear" w:color="auto" w:fill="FFFFFF"/>
        <w:spacing w:after="0" w:line="240" w:lineRule="auto"/>
        <w:ind w:left="851" w:right="851" w:firstLine="709"/>
        <w:jc w:val="both"/>
        <w:rPr>
          <w:rFonts w:ascii="Times New Roman" w:eastAsia="NSimSun" w:hAnsi="Times New Roman" w:cs="Times New Roman"/>
          <w:kern w:val="3"/>
          <w:sz w:val="24"/>
          <w:szCs w:val="24"/>
          <w:lang w:eastAsia="zh-CN" w:bidi="hi-IN"/>
        </w:rPr>
      </w:pPr>
    </w:p>
    <w:p w14:paraId="728AC657" w14:textId="77777777" w:rsidR="00AA0A26" w:rsidRPr="00AA0A26" w:rsidRDefault="00AA0A26" w:rsidP="00AA0A26">
      <w:pPr>
        <w:pStyle w:val="Prrafodelista"/>
        <w:numPr>
          <w:ilvl w:val="0"/>
          <w:numId w:val="5"/>
        </w:numPr>
        <w:shd w:val="clear" w:color="auto" w:fill="FFFFFF"/>
        <w:spacing w:after="0" w:line="240" w:lineRule="auto"/>
        <w:ind w:left="851" w:right="851" w:firstLine="709"/>
        <w:jc w:val="both"/>
        <w:rPr>
          <w:rFonts w:ascii="Times New Roman" w:eastAsia="NSimSun" w:hAnsi="Times New Roman" w:cs="Times New Roman"/>
          <w:kern w:val="3"/>
          <w:sz w:val="24"/>
          <w:szCs w:val="24"/>
          <w:lang w:eastAsia="zh-CN" w:bidi="hi-IN"/>
        </w:rPr>
      </w:pPr>
      <w:r w:rsidRPr="00AA0A26">
        <w:rPr>
          <w:rFonts w:ascii="Times New Roman" w:eastAsia="NSimSun" w:hAnsi="Times New Roman" w:cs="Times New Roman"/>
          <w:kern w:val="3"/>
          <w:sz w:val="24"/>
          <w:szCs w:val="24"/>
          <w:lang w:eastAsia="zh-CN" w:bidi="hi-IN"/>
        </w:rPr>
        <w:t>En lo que respecta a la Medida Cautelar No. 321-12 de la Corte Interamericana de Derechos Humanos, y únicamente para los despachos que tengan competencia territorial en primera y segunda instancia, así como en casación, de asuntos originados en Buenos Aires de Puntarenas vinculados con los pueblos indígenas de Térraba y Bribri de Salitre, con el fin de que cada despacho realice dentro de sus competencias y naturaleza de los procesos que se conocen, las siguientes acciones:</w:t>
      </w:r>
    </w:p>
    <w:p w14:paraId="50E7E8AC" w14:textId="77777777" w:rsidR="00AA0A26" w:rsidRPr="00AA0A26" w:rsidRDefault="00AA0A26" w:rsidP="00AA0A26">
      <w:pPr>
        <w:shd w:val="clear" w:color="auto" w:fill="FFFFFF"/>
        <w:spacing w:after="0" w:line="240" w:lineRule="auto"/>
        <w:ind w:left="851" w:right="851" w:firstLine="709"/>
        <w:jc w:val="both"/>
        <w:rPr>
          <w:rFonts w:ascii="Times New Roman" w:eastAsia="NSimSun" w:hAnsi="Times New Roman" w:cs="Times New Roman"/>
          <w:kern w:val="3"/>
          <w:sz w:val="24"/>
          <w:szCs w:val="24"/>
          <w:lang w:eastAsia="zh-CN" w:bidi="hi-IN"/>
        </w:rPr>
      </w:pPr>
    </w:p>
    <w:p w14:paraId="6BD5EC11" w14:textId="2290EDF3" w:rsidR="00AA0A26" w:rsidRPr="00AA0A26" w:rsidRDefault="00AA0A26" w:rsidP="00AA0A26">
      <w:pPr>
        <w:autoSpaceDE w:val="0"/>
        <w:autoSpaceDN w:val="0"/>
        <w:adjustRightInd w:val="0"/>
        <w:spacing w:after="0" w:line="240" w:lineRule="auto"/>
        <w:ind w:left="851" w:right="851" w:firstLine="709"/>
        <w:jc w:val="both"/>
        <w:rPr>
          <w:rFonts w:ascii="Times New Roman" w:hAnsi="Times New Roman" w:cs="Times New Roman"/>
          <w:i/>
          <w:iCs/>
          <w:color w:val="303030"/>
          <w:sz w:val="24"/>
          <w:szCs w:val="24"/>
        </w:rPr>
      </w:pPr>
      <w:r w:rsidRPr="00AA0A26">
        <w:rPr>
          <w:rFonts w:ascii="Times New Roman" w:hAnsi="Times New Roman" w:cs="Times New Roman"/>
          <w:i/>
          <w:iCs/>
          <w:color w:val="303030"/>
          <w:sz w:val="24"/>
          <w:szCs w:val="24"/>
        </w:rPr>
        <w:t>a) Adop</w:t>
      </w:r>
      <w:r w:rsidRPr="00AA0A26">
        <w:rPr>
          <w:rFonts w:ascii="Times New Roman" w:hAnsi="Times New Roman" w:cs="Times New Roman"/>
          <w:i/>
          <w:iCs/>
          <w:color w:val="151515"/>
          <w:sz w:val="24"/>
          <w:szCs w:val="24"/>
        </w:rPr>
        <w:t>t</w:t>
      </w:r>
      <w:r w:rsidRPr="00AA0A26">
        <w:rPr>
          <w:rFonts w:ascii="Times New Roman" w:hAnsi="Times New Roman" w:cs="Times New Roman"/>
          <w:i/>
          <w:iCs/>
          <w:color w:val="303030"/>
          <w:sz w:val="24"/>
          <w:szCs w:val="24"/>
        </w:rPr>
        <w:t xml:space="preserve">e </w:t>
      </w:r>
      <w:r w:rsidRPr="00AA0A26">
        <w:rPr>
          <w:rFonts w:ascii="Times New Roman" w:hAnsi="Times New Roman" w:cs="Times New Roman"/>
          <w:i/>
          <w:iCs/>
          <w:color w:val="3F3F3F"/>
          <w:sz w:val="24"/>
          <w:szCs w:val="24"/>
        </w:rPr>
        <w:t xml:space="preserve">las </w:t>
      </w:r>
      <w:r w:rsidRPr="00AA0A26">
        <w:rPr>
          <w:rFonts w:ascii="Times New Roman" w:hAnsi="Times New Roman" w:cs="Times New Roman"/>
          <w:i/>
          <w:iCs/>
          <w:color w:val="303030"/>
          <w:sz w:val="24"/>
          <w:szCs w:val="24"/>
        </w:rPr>
        <w:t xml:space="preserve">medidas necesarias para garantizar la vida </w:t>
      </w:r>
      <w:r w:rsidRPr="00AA0A26">
        <w:rPr>
          <w:rFonts w:ascii="Times New Roman" w:hAnsi="Times New Roman" w:cs="Times New Roman"/>
          <w:i/>
          <w:iCs/>
          <w:color w:val="3F3F3F"/>
          <w:sz w:val="24"/>
          <w:szCs w:val="24"/>
        </w:rPr>
        <w:t xml:space="preserve">y </w:t>
      </w:r>
      <w:r w:rsidRPr="00AA0A26">
        <w:rPr>
          <w:rFonts w:ascii="Times New Roman" w:hAnsi="Times New Roman" w:cs="Times New Roman"/>
          <w:i/>
          <w:iCs/>
          <w:color w:val="151515"/>
          <w:sz w:val="24"/>
          <w:szCs w:val="24"/>
        </w:rPr>
        <w:t>l</w:t>
      </w:r>
      <w:r w:rsidRPr="00AA0A26">
        <w:rPr>
          <w:rFonts w:ascii="Times New Roman" w:hAnsi="Times New Roman" w:cs="Times New Roman"/>
          <w:i/>
          <w:iCs/>
          <w:color w:val="303030"/>
          <w:sz w:val="24"/>
          <w:szCs w:val="24"/>
        </w:rPr>
        <w:t xml:space="preserve">a integridad personal </w:t>
      </w:r>
      <w:r w:rsidRPr="00AA0A26">
        <w:rPr>
          <w:rFonts w:ascii="Times New Roman" w:hAnsi="Times New Roman" w:cs="Times New Roman"/>
          <w:i/>
          <w:iCs/>
          <w:color w:val="3F3F3F"/>
          <w:sz w:val="24"/>
          <w:szCs w:val="24"/>
        </w:rPr>
        <w:t xml:space="preserve">de </w:t>
      </w:r>
      <w:r w:rsidRPr="00AA0A26">
        <w:rPr>
          <w:rFonts w:ascii="Times New Roman" w:hAnsi="Times New Roman" w:cs="Times New Roman"/>
          <w:i/>
          <w:iCs/>
          <w:color w:val="303030"/>
          <w:sz w:val="24"/>
          <w:szCs w:val="24"/>
        </w:rPr>
        <w:t xml:space="preserve">los miembros del </w:t>
      </w:r>
      <w:r w:rsidRPr="00AA0A26">
        <w:rPr>
          <w:rFonts w:ascii="Times New Roman" w:hAnsi="Times New Roman" w:cs="Times New Roman"/>
          <w:i/>
          <w:iCs/>
          <w:color w:val="3F3F3F"/>
          <w:sz w:val="24"/>
          <w:szCs w:val="24"/>
        </w:rPr>
        <w:t xml:space="preserve">pueblo </w:t>
      </w:r>
      <w:r w:rsidRPr="00AA0A26">
        <w:rPr>
          <w:rFonts w:ascii="Times New Roman" w:hAnsi="Times New Roman" w:cs="Times New Roman"/>
          <w:i/>
          <w:iCs/>
          <w:color w:val="303030"/>
          <w:sz w:val="24"/>
          <w:szCs w:val="24"/>
        </w:rPr>
        <w:t xml:space="preserve">indígena </w:t>
      </w:r>
      <w:r w:rsidRPr="00AA0A26">
        <w:rPr>
          <w:rFonts w:ascii="Times New Roman" w:hAnsi="Times New Roman" w:cs="Times New Roman"/>
          <w:i/>
          <w:iCs/>
          <w:color w:val="151515"/>
          <w:sz w:val="24"/>
          <w:szCs w:val="24"/>
        </w:rPr>
        <w:t>T</w:t>
      </w:r>
      <w:r w:rsidRPr="00AA0A26">
        <w:rPr>
          <w:rFonts w:ascii="Times New Roman" w:hAnsi="Times New Roman" w:cs="Times New Roman"/>
          <w:i/>
          <w:iCs/>
          <w:color w:val="303030"/>
          <w:sz w:val="24"/>
          <w:szCs w:val="24"/>
        </w:rPr>
        <w:t xml:space="preserve">eribe y del pueblo </w:t>
      </w:r>
      <w:r w:rsidRPr="00AA0A26">
        <w:rPr>
          <w:rFonts w:ascii="Times New Roman" w:hAnsi="Times New Roman" w:cs="Times New Roman"/>
          <w:i/>
          <w:iCs/>
          <w:color w:val="3F3F3F"/>
          <w:sz w:val="24"/>
          <w:szCs w:val="24"/>
        </w:rPr>
        <w:t xml:space="preserve">indígena </w:t>
      </w:r>
      <w:r w:rsidRPr="00AA0A26">
        <w:rPr>
          <w:rFonts w:ascii="Times New Roman" w:hAnsi="Times New Roman" w:cs="Times New Roman"/>
          <w:i/>
          <w:iCs/>
          <w:color w:val="303030"/>
          <w:sz w:val="24"/>
          <w:szCs w:val="24"/>
        </w:rPr>
        <w:t>Br</w:t>
      </w:r>
      <w:r w:rsidRPr="00AA0A26">
        <w:rPr>
          <w:rFonts w:ascii="Times New Roman" w:hAnsi="Times New Roman" w:cs="Times New Roman"/>
          <w:i/>
          <w:iCs/>
          <w:color w:val="151515"/>
          <w:sz w:val="24"/>
          <w:szCs w:val="24"/>
        </w:rPr>
        <w:t>i</w:t>
      </w:r>
      <w:r w:rsidRPr="00AA0A26">
        <w:rPr>
          <w:rFonts w:ascii="Times New Roman" w:hAnsi="Times New Roman" w:cs="Times New Roman"/>
          <w:i/>
          <w:iCs/>
          <w:color w:val="3F3F3F"/>
          <w:sz w:val="24"/>
          <w:szCs w:val="24"/>
        </w:rPr>
        <w:t>br</w:t>
      </w:r>
      <w:r w:rsidRPr="00AA0A26">
        <w:rPr>
          <w:rFonts w:ascii="Times New Roman" w:hAnsi="Times New Roman" w:cs="Times New Roman"/>
          <w:i/>
          <w:iCs/>
          <w:color w:val="151515"/>
          <w:sz w:val="24"/>
          <w:szCs w:val="24"/>
        </w:rPr>
        <w:t xml:space="preserve">i </w:t>
      </w:r>
      <w:r w:rsidRPr="00AA0A26">
        <w:rPr>
          <w:rFonts w:ascii="Times New Roman" w:hAnsi="Times New Roman" w:cs="Times New Roman"/>
          <w:i/>
          <w:iCs/>
          <w:color w:val="303030"/>
          <w:sz w:val="24"/>
          <w:szCs w:val="24"/>
        </w:rPr>
        <w:t>de Salitre, qu</w:t>
      </w:r>
      <w:r w:rsidRPr="00AA0A26">
        <w:rPr>
          <w:rFonts w:ascii="Times New Roman" w:hAnsi="Times New Roman" w:cs="Times New Roman"/>
          <w:i/>
          <w:iCs/>
          <w:color w:val="151515"/>
          <w:sz w:val="24"/>
          <w:szCs w:val="24"/>
        </w:rPr>
        <w:t>i</w:t>
      </w:r>
      <w:r w:rsidRPr="00AA0A26">
        <w:rPr>
          <w:rFonts w:ascii="Times New Roman" w:hAnsi="Times New Roman" w:cs="Times New Roman"/>
          <w:i/>
          <w:iCs/>
          <w:color w:val="303030"/>
          <w:sz w:val="24"/>
          <w:szCs w:val="24"/>
        </w:rPr>
        <w:t xml:space="preserve">enes </w:t>
      </w:r>
      <w:r w:rsidRPr="00AA0A26">
        <w:rPr>
          <w:rFonts w:ascii="Times New Roman" w:hAnsi="Times New Roman" w:cs="Times New Roman"/>
          <w:i/>
          <w:iCs/>
          <w:color w:val="3F3F3F"/>
          <w:sz w:val="24"/>
          <w:szCs w:val="24"/>
        </w:rPr>
        <w:t xml:space="preserve">se encontrarían </w:t>
      </w:r>
      <w:r w:rsidRPr="00AA0A26">
        <w:rPr>
          <w:rFonts w:ascii="Times New Roman" w:hAnsi="Times New Roman" w:cs="Times New Roman"/>
          <w:i/>
          <w:iCs/>
          <w:color w:val="303030"/>
          <w:sz w:val="24"/>
          <w:szCs w:val="24"/>
        </w:rPr>
        <w:t xml:space="preserve">en </w:t>
      </w:r>
      <w:r w:rsidRPr="00AA0A26">
        <w:rPr>
          <w:rFonts w:ascii="Times New Roman" w:hAnsi="Times New Roman" w:cs="Times New Roman"/>
          <w:i/>
          <w:iCs/>
          <w:color w:val="3F3F3F"/>
          <w:sz w:val="24"/>
          <w:szCs w:val="24"/>
        </w:rPr>
        <w:t xml:space="preserve">la </w:t>
      </w:r>
      <w:r w:rsidRPr="00AA0A26">
        <w:rPr>
          <w:rFonts w:ascii="Times New Roman" w:hAnsi="Times New Roman" w:cs="Times New Roman"/>
          <w:i/>
          <w:iCs/>
          <w:color w:val="303030"/>
          <w:sz w:val="24"/>
          <w:szCs w:val="24"/>
        </w:rPr>
        <w:t>región sureste del</w:t>
      </w:r>
      <w:r w:rsidRPr="00AA0A26">
        <w:rPr>
          <w:rFonts w:ascii="Times New Roman" w:hAnsi="Times New Roman" w:cs="Times New Roman"/>
          <w:i/>
          <w:iCs/>
          <w:color w:val="3F3F3F"/>
          <w:sz w:val="24"/>
          <w:szCs w:val="24"/>
        </w:rPr>
        <w:t xml:space="preserve"> </w:t>
      </w:r>
      <w:r w:rsidRPr="00AA0A26">
        <w:rPr>
          <w:rFonts w:ascii="Times New Roman" w:hAnsi="Times New Roman" w:cs="Times New Roman"/>
          <w:i/>
          <w:iCs/>
          <w:color w:val="303030"/>
          <w:sz w:val="24"/>
          <w:szCs w:val="24"/>
        </w:rPr>
        <w:t xml:space="preserve">departamento de Puntarenas, específicamente en </w:t>
      </w:r>
      <w:r w:rsidRPr="00AA0A26">
        <w:rPr>
          <w:rFonts w:ascii="Times New Roman" w:hAnsi="Times New Roman" w:cs="Times New Roman"/>
          <w:i/>
          <w:iCs/>
          <w:color w:val="3F3F3F"/>
          <w:sz w:val="24"/>
          <w:szCs w:val="24"/>
        </w:rPr>
        <w:t xml:space="preserve">la </w:t>
      </w:r>
      <w:r w:rsidRPr="00AA0A26">
        <w:rPr>
          <w:rFonts w:ascii="Times New Roman" w:hAnsi="Times New Roman" w:cs="Times New Roman"/>
          <w:i/>
          <w:iCs/>
          <w:color w:val="303030"/>
          <w:sz w:val="24"/>
          <w:szCs w:val="24"/>
        </w:rPr>
        <w:t>zona denominada Salitre;</w:t>
      </w:r>
    </w:p>
    <w:p w14:paraId="2D0554A7" w14:textId="77777777" w:rsidR="00AA0A26" w:rsidRPr="00AA0A26" w:rsidRDefault="00AA0A26" w:rsidP="00AA0A26">
      <w:pPr>
        <w:autoSpaceDE w:val="0"/>
        <w:autoSpaceDN w:val="0"/>
        <w:adjustRightInd w:val="0"/>
        <w:spacing w:after="0" w:line="240" w:lineRule="auto"/>
        <w:ind w:left="851" w:right="851" w:firstLine="709"/>
        <w:jc w:val="both"/>
        <w:rPr>
          <w:rFonts w:ascii="Times New Roman" w:hAnsi="Times New Roman" w:cs="Times New Roman"/>
          <w:i/>
          <w:iCs/>
          <w:color w:val="3F3F3F"/>
          <w:sz w:val="24"/>
          <w:szCs w:val="24"/>
        </w:rPr>
      </w:pPr>
    </w:p>
    <w:p w14:paraId="08CE435D" w14:textId="659CABA8" w:rsidR="00AA0A26" w:rsidRDefault="00AA0A26" w:rsidP="00AA0A26">
      <w:pPr>
        <w:autoSpaceDE w:val="0"/>
        <w:autoSpaceDN w:val="0"/>
        <w:adjustRightInd w:val="0"/>
        <w:spacing w:after="0" w:line="240" w:lineRule="auto"/>
        <w:ind w:left="851" w:right="851" w:firstLine="709"/>
        <w:jc w:val="both"/>
        <w:rPr>
          <w:rFonts w:ascii="Times New Roman" w:hAnsi="Times New Roman" w:cs="Times New Roman"/>
          <w:i/>
          <w:iCs/>
          <w:color w:val="303030"/>
          <w:sz w:val="24"/>
          <w:szCs w:val="24"/>
        </w:rPr>
      </w:pPr>
      <w:r w:rsidRPr="00AA0A26">
        <w:rPr>
          <w:rFonts w:ascii="Times New Roman" w:hAnsi="Times New Roman" w:cs="Times New Roman"/>
          <w:i/>
          <w:iCs/>
          <w:color w:val="303030"/>
          <w:sz w:val="24"/>
          <w:szCs w:val="24"/>
        </w:rPr>
        <w:t>b) Concierte las medidas a implementa</w:t>
      </w:r>
      <w:r w:rsidRPr="00AA0A26">
        <w:rPr>
          <w:rFonts w:ascii="Times New Roman" w:hAnsi="Times New Roman" w:cs="Times New Roman"/>
          <w:i/>
          <w:iCs/>
          <w:color w:val="151515"/>
          <w:sz w:val="24"/>
          <w:szCs w:val="24"/>
        </w:rPr>
        <w:t>r</w:t>
      </w:r>
      <w:r w:rsidRPr="00AA0A26">
        <w:rPr>
          <w:rFonts w:ascii="Times New Roman" w:hAnsi="Times New Roman" w:cs="Times New Roman"/>
          <w:i/>
          <w:iCs/>
          <w:color w:val="3F3F3F"/>
          <w:sz w:val="24"/>
          <w:szCs w:val="24"/>
        </w:rPr>
        <w:t xml:space="preserve">se </w:t>
      </w:r>
      <w:r w:rsidRPr="00AA0A26">
        <w:rPr>
          <w:rFonts w:ascii="Times New Roman" w:hAnsi="Times New Roman" w:cs="Times New Roman"/>
          <w:i/>
          <w:iCs/>
          <w:color w:val="303030"/>
          <w:sz w:val="24"/>
          <w:szCs w:val="24"/>
        </w:rPr>
        <w:t xml:space="preserve">con los beneficiarios </w:t>
      </w:r>
      <w:r w:rsidRPr="00AA0A26">
        <w:rPr>
          <w:rFonts w:ascii="Times New Roman" w:hAnsi="Times New Roman" w:cs="Times New Roman"/>
          <w:i/>
          <w:iCs/>
          <w:color w:val="3F3F3F"/>
          <w:sz w:val="24"/>
          <w:szCs w:val="24"/>
        </w:rPr>
        <w:t xml:space="preserve">y </w:t>
      </w:r>
      <w:r w:rsidRPr="00AA0A26">
        <w:rPr>
          <w:rFonts w:ascii="Times New Roman" w:hAnsi="Times New Roman" w:cs="Times New Roman"/>
          <w:i/>
          <w:iCs/>
          <w:color w:val="303030"/>
          <w:sz w:val="24"/>
          <w:szCs w:val="24"/>
        </w:rPr>
        <w:t>sus representantes; e</w:t>
      </w:r>
    </w:p>
    <w:p w14:paraId="46724411" w14:textId="77777777" w:rsidR="00AA0A26" w:rsidRPr="00AA0A26" w:rsidRDefault="00AA0A26" w:rsidP="00AA0A26">
      <w:pPr>
        <w:autoSpaceDE w:val="0"/>
        <w:autoSpaceDN w:val="0"/>
        <w:adjustRightInd w:val="0"/>
        <w:spacing w:after="0" w:line="240" w:lineRule="auto"/>
        <w:ind w:left="851" w:right="851" w:firstLine="709"/>
        <w:jc w:val="both"/>
        <w:rPr>
          <w:rFonts w:ascii="Times New Roman" w:hAnsi="Times New Roman" w:cs="Times New Roman"/>
          <w:i/>
          <w:iCs/>
          <w:color w:val="303030"/>
          <w:sz w:val="24"/>
          <w:szCs w:val="24"/>
        </w:rPr>
      </w:pPr>
    </w:p>
    <w:p w14:paraId="6BFAEB93" w14:textId="77777777" w:rsidR="00AA0A26" w:rsidRPr="00AA0A26" w:rsidRDefault="00AA0A26" w:rsidP="00AA0A26">
      <w:pPr>
        <w:autoSpaceDE w:val="0"/>
        <w:autoSpaceDN w:val="0"/>
        <w:adjustRightInd w:val="0"/>
        <w:spacing w:after="0" w:line="240" w:lineRule="auto"/>
        <w:ind w:left="851" w:right="851" w:firstLine="709"/>
        <w:jc w:val="both"/>
        <w:rPr>
          <w:rFonts w:ascii="Times New Roman" w:hAnsi="Times New Roman" w:cs="Times New Roman"/>
          <w:i/>
          <w:iCs/>
          <w:color w:val="303030"/>
          <w:sz w:val="24"/>
          <w:szCs w:val="24"/>
        </w:rPr>
      </w:pPr>
      <w:r w:rsidRPr="00AA0A26">
        <w:rPr>
          <w:rFonts w:ascii="Times New Roman" w:hAnsi="Times New Roman" w:cs="Times New Roman"/>
          <w:i/>
          <w:iCs/>
          <w:color w:val="303030"/>
          <w:sz w:val="24"/>
          <w:szCs w:val="24"/>
        </w:rPr>
        <w:t xml:space="preserve">c) </w:t>
      </w:r>
      <w:r w:rsidRPr="00AA0A26">
        <w:rPr>
          <w:rFonts w:ascii="Times New Roman" w:hAnsi="Times New Roman" w:cs="Times New Roman"/>
          <w:i/>
          <w:iCs/>
          <w:color w:val="151515"/>
          <w:sz w:val="24"/>
          <w:szCs w:val="24"/>
        </w:rPr>
        <w:t>I</w:t>
      </w:r>
      <w:r w:rsidRPr="00AA0A26">
        <w:rPr>
          <w:rFonts w:ascii="Times New Roman" w:hAnsi="Times New Roman" w:cs="Times New Roman"/>
          <w:i/>
          <w:iCs/>
          <w:color w:val="303030"/>
          <w:sz w:val="24"/>
          <w:szCs w:val="24"/>
        </w:rPr>
        <w:t xml:space="preserve">nforme </w:t>
      </w:r>
      <w:r w:rsidRPr="00AA0A26">
        <w:rPr>
          <w:rFonts w:ascii="Times New Roman" w:hAnsi="Times New Roman" w:cs="Times New Roman"/>
          <w:i/>
          <w:iCs/>
          <w:color w:val="3F3F3F"/>
          <w:sz w:val="24"/>
          <w:szCs w:val="24"/>
        </w:rPr>
        <w:t>so</w:t>
      </w:r>
      <w:r w:rsidRPr="00AA0A26">
        <w:rPr>
          <w:rFonts w:ascii="Times New Roman" w:hAnsi="Times New Roman" w:cs="Times New Roman"/>
          <w:i/>
          <w:iCs/>
          <w:color w:val="151515"/>
          <w:sz w:val="24"/>
          <w:szCs w:val="24"/>
        </w:rPr>
        <w:t>b</w:t>
      </w:r>
      <w:r w:rsidRPr="00AA0A26">
        <w:rPr>
          <w:rFonts w:ascii="Times New Roman" w:hAnsi="Times New Roman" w:cs="Times New Roman"/>
          <w:i/>
          <w:iCs/>
          <w:color w:val="303030"/>
          <w:sz w:val="24"/>
          <w:szCs w:val="24"/>
        </w:rPr>
        <w:t xml:space="preserve">re las acciones </w:t>
      </w:r>
      <w:r w:rsidRPr="00AA0A26">
        <w:rPr>
          <w:rFonts w:ascii="Times New Roman" w:hAnsi="Times New Roman" w:cs="Times New Roman"/>
          <w:i/>
          <w:iCs/>
          <w:color w:val="3F3F3F"/>
          <w:sz w:val="24"/>
          <w:szCs w:val="24"/>
        </w:rPr>
        <w:t xml:space="preserve">adoptadas </w:t>
      </w:r>
      <w:r w:rsidRPr="00AA0A26">
        <w:rPr>
          <w:rFonts w:ascii="Times New Roman" w:hAnsi="Times New Roman" w:cs="Times New Roman"/>
          <w:i/>
          <w:iCs/>
          <w:color w:val="303030"/>
          <w:sz w:val="24"/>
          <w:szCs w:val="24"/>
        </w:rPr>
        <w:t xml:space="preserve">a fin de investigar </w:t>
      </w:r>
      <w:r w:rsidRPr="00AA0A26">
        <w:rPr>
          <w:rFonts w:ascii="Times New Roman" w:hAnsi="Times New Roman" w:cs="Times New Roman"/>
          <w:i/>
          <w:iCs/>
          <w:color w:val="3F3F3F"/>
          <w:sz w:val="24"/>
          <w:szCs w:val="24"/>
        </w:rPr>
        <w:t xml:space="preserve">los </w:t>
      </w:r>
      <w:r w:rsidRPr="00AA0A26">
        <w:rPr>
          <w:rFonts w:ascii="Times New Roman" w:hAnsi="Times New Roman" w:cs="Times New Roman"/>
          <w:i/>
          <w:iCs/>
          <w:color w:val="303030"/>
          <w:sz w:val="24"/>
          <w:szCs w:val="24"/>
        </w:rPr>
        <w:t>presuntos hechos que dieron luga</w:t>
      </w:r>
      <w:r w:rsidRPr="00AA0A26">
        <w:rPr>
          <w:rFonts w:ascii="Times New Roman" w:hAnsi="Times New Roman" w:cs="Times New Roman"/>
          <w:i/>
          <w:iCs/>
          <w:color w:val="555555"/>
          <w:sz w:val="24"/>
          <w:szCs w:val="24"/>
        </w:rPr>
        <w:t xml:space="preserve">r </w:t>
      </w:r>
      <w:r w:rsidRPr="00AA0A26">
        <w:rPr>
          <w:rFonts w:ascii="Times New Roman" w:hAnsi="Times New Roman" w:cs="Times New Roman"/>
          <w:i/>
          <w:iCs/>
          <w:color w:val="3F3F3F"/>
          <w:sz w:val="24"/>
          <w:szCs w:val="24"/>
        </w:rPr>
        <w:t xml:space="preserve">a la adopción </w:t>
      </w:r>
      <w:r w:rsidRPr="00AA0A26">
        <w:rPr>
          <w:rFonts w:ascii="Times New Roman" w:hAnsi="Times New Roman" w:cs="Times New Roman"/>
          <w:i/>
          <w:iCs/>
          <w:color w:val="303030"/>
          <w:sz w:val="24"/>
          <w:szCs w:val="24"/>
        </w:rPr>
        <w:t xml:space="preserve">de </w:t>
      </w:r>
      <w:r w:rsidRPr="00AA0A26">
        <w:rPr>
          <w:rFonts w:ascii="Times New Roman" w:hAnsi="Times New Roman" w:cs="Times New Roman"/>
          <w:i/>
          <w:iCs/>
          <w:color w:val="151515"/>
          <w:sz w:val="24"/>
          <w:szCs w:val="24"/>
        </w:rPr>
        <w:t>l</w:t>
      </w:r>
      <w:r w:rsidRPr="00AA0A26">
        <w:rPr>
          <w:rFonts w:ascii="Times New Roman" w:hAnsi="Times New Roman" w:cs="Times New Roman"/>
          <w:i/>
          <w:iCs/>
          <w:color w:val="303030"/>
          <w:sz w:val="24"/>
          <w:szCs w:val="24"/>
        </w:rPr>
        <w:t xml:space="preserve">a presente </w:t>
      </w:r>
      <w:r w:rsidRPr="00AA0A26">
        <w:rPr>
          <w:rFonts w:ascii="Times New Roman" w:hAnsi="Times New Roman" w:cs="Times New Roman"/>
          <w:i/>
          <w:iCs/>
          <w:color w:val="3F3F3F"/>
          <w:sz w:val="24"/>
          <w:szCs w:val="24"/>
        </w:rPr>
        <w:t xml:space="preserve">medida </w:t>
      </w:r>
      <w:r w:rsidRPr="00AA0A26">
        <w:rPr>
          <w:rFonts w:ascii="Times New Roman" w:hAnsi="Times New Roman" w:cs="Times New Roman"/>
          <w:i/>
          <w:iCs/>
          <w:color w:val="303030"/>
          <w:sz w:val="24"/>
          <w:szCs w:val="24"/>
        </w:rPr>
        <w:t xml:space="preserve">cautelar y </w:t>
      </w:r>
      <w:r w:rsidRPr="00AA0A26">
        <w:rPr>
          <w:rFonts w:ascii="Times New Roman" w:hAnsi="Times New Roman" w:cs="Times New Roman"/>
          <w:i/>
          <w:iCs/>
          <w:color w:val="3F3F3F"/>
          <w:sz w:val="24"/>
          <w:szCs w:val="24"/>
        </w:rPr>
        <w:t xml:space="preserve">así evitar su </w:t>
      </w:r>
      <w:r w:rsidRPr="00AA0A26">
        <w:rPr>
          <w:rFonts w:ascii="Times New Roman" w:hAnsi="Times New Roman" w:cs="Times New Roman"/>
          <w:i/>
          <w:iCs/>
          <w:color w:val="303030"/>
          <w:sz w:val="24"/>
          <w:szCs w:val="24"/>
        </w:rPr>
        <w:t>repetición.</w:t>
      </w:r>
    </w:p>
    <w:p w14:paraId="01BA7010" w14:textId="77777777" w:rsidR="00AA0A26" w:rsidRPr="00AA0A26" w:rsidRDefault="00AA0A26" w:rsidP="00AA0A26">
      <w:pPr>
        <w:autoSpaceDE w:val="0"/>
        <w:autoSpaceDN w:val="0"/>
        <w:adjustRightInd w:val="0"/>
        <w:spacing w:after="0" w:line="240" w:lineRule="auto"/>
        <w:ind w:right="851"/>
        <w:jc w:val="both"/>
        <w:rPr>
          <w:rFonts w:ascii="Times New Roman" w:hAnsi="Times New Roman" w:cs="Times New Roman"/>
          <w:i/>
          <w:iCs/>
          <w:color w:val="303030"/>
          <w:sz w:val="24"/>
          <w:szCs w:val="24"/>
        </w:rPr>
      </w:pPr>
    </w:p>
    <w:p w14:paraId="6869CEE8" w14:textId="05FBFB09" w:rsidR="00AA0A26" w:rsidRPr="00AA0A26" w:rsidRDefault="00AA0A26" w:rsidP="00AA0A26">
      <w:pPr>
        <w:spacing w:after="0" w:line="240" w:lineRule="auto"/>
        <w:ind w:left="851" w:right="851" w:firstLine="709"/>
        <w:jc w:val="both"/>
        <w:rPr>
          <w:rFonts w:ascii="Times New Roman" w:hAnsi="Times New Roman" w:cs="Times New Roman"/>
          <w:sz w:val="24"/>
          <w:szCs w:val="24"/>
        </w:rPr>
      </w:pPr>
      <w:r w:rsidRPr="00AA0A26">
        <w:rPr>
          <w:rFonts w:ascii="Times New Roman" w:hAnsi="Times New Roman" w:cs="Times New Roman"/>
          <w:sz w:val="24"/>
          <w:szCs w:val="24"/>
        </w:rPr>
        <w:t>A efectos de ampliar el contenido, se pone a su disposición los siguientes enlaces:</w:t>
      </w:r>
    </w:p>
    <w:p w14:paraId="2EDA4915" w14:textId="77777777" w:rsidR="00AA0A26" w:rsidRPr="00AA0A26" w:rsidRDefault="00AA0A26" w:rsidP="00AA0A26">
      <w:pPr>
        <w:spacing w:after="0" w:line="240" w:lineRule="auto"/>
        <w:ind w:left="851" w:right="851" w:firstLine="709"/>
        <w:rPr>
          <w:rFonts w:ascii="Times New Roman" w:hAnsi="Times New Roman" w:cs="Times New Roman"/>
          <w:sz w:val="26"/>
          <w:szCs w:val="26"/>
        </w:rPr>
      </w:pPr>
    </w:p>
    <w:tbl>
      <w:tblPr>
        <w:tblStyle w:val="Tablaconcuadrcula"/>
        <w:tblW w:w="0" w:type="auto"/>
        <w:tblLook w:val="04A0" w:firstRow="1" w:lastRow="0" w:firstColumn="1" w:lastColumn="0" w:noHBand="0" w:noVBand="1"/>
      </w:tblPr>
      <w:tblGrid>
        <w:gridCol w:w="2946"/>
        <w:gridCol w:w="5882"/>
      </w:tblGrid>
      <w:tr w:rsidR="00AA0A26" w14:paraId="604BF18C" w14:textId="77777777" w:rsidTr="00BD185B">
        <w:tc>
          <w:tcPr>
            <w:tcW w:w="3256" w:type="dxa"/>
            <w:shd w:val="clear" w:color="auto" w:fill="ACB9CA" w:themeFill="text2" w:themeFillTint="66"/>
          </w:tcPr>
          <w:p w14:paraId="3E3383DC" w14:textId="77777777" w:rsidR="00AA0A26" w:rsidRDefault="00AA0A26" w:rsidP="00BD185B">
            <w:pPr>
              <w:jc w:val="center"/>
              <w:rPr>
                <w:rFonts w:ascii="Times New Roman" w:hAnsi="Times New Roman" w:cs="Times New Roman"/>
              </w:rPr>
            </w:pPr>
            <w:r>
              <w:rPr>
                <w:rFonts w:ascii="Times New Roman" w:hAnsi="Times New Roman" w:cs="Times New Roman"/>
              </w:rPr>
              <w:t>Documento</w:t>
            </w:r>
          </w:p>
        </w:tc>
        <w:tc>
          <w:tcPr>
            <w:tcW w:w="5997" w:type="dxa"/>
            <w:shd w:val="clear" w:color="auto" w:fill="ACB9CA" w:themeFill="text2" w:themeFillTint="66"/>
          </w:tcPr>
          <w:p w14:paraId="595656C7" w14:textId="77777777" w:rsidR="00AA0A26" w:rsidRPr="005E038E" w:rsidRDefault="00AA0A26" w:rsidP="00BD185B">
            <w:pPr>
              <w:jc w:val="center"/>
              <w:rPr>
                <w:rFonts w:ascii="Times New Roman" w:hAnsi="Times New Roman" w:cs="Times New Roman"/>
              </w:rPr>
            </w:pPr>
            <w:r>
              <w:rPr>
                <w:rFonts w:ascii="Times New Roman" w:hAnsi="Times New Roman" w:cs="Times New Roman"/>
              </w:rPr>
              <w:t>Enlace</w:t>
            </w:r>
          </w:p>
        </w:tc>
      </w:tr>
      <w:tr w:rsidR="00AA0A26" w14:paraId="5F1C6256" w14:textId="77777777" w:rsidTr="00BD185B">
        <w:tc>
          <w:tcPr>
            <w:tcW w:w="3256" w:type="dxa"/>
          </w:tcPr>
          <w:p w14:paraId="5C7E7F38" w14:textId="77777777" w:rsidR="00AA0A26" w:rsidRDefault="00AA0A26" w:rsidP="00BD185B">
            <w:pPr>
              <w:rPr>
                <w:rFonts w:ascii="Times New Roman" w:hAnsi="Times New Roman" w:cs="Times New Roman"/>
              </w:rPr>
            </w:pPr>
            <w:r>
              <w:rPr>
                <w:rFonts w:ascii="Times New Roman" w:hAnsi="Times New Roman" w:cs="Times New Roman"/>
              </w:rPr>
              <w:t>Medida Cautelar 321-12</w:t>
            </w:r>
          </w:p>
        </w:tc>
        <w:tc>
          <w:tcPr>
            <w:tcW w:w="5997" w:type="dxa"/>
          </w:tcPr>
          <w:p w14:paraId="7BE36EBE" w14:textId="77777777" w:rsidR="00AA0A26" w:rsidRDefault="00AA0A26" w:rsidP="00BD185B">
            <w:pPr>
              <w:jc w:val="center"/>
              <w:rPr>
                <w:rFonts w:ascii="Times New Roman" w:hAnsi="Times New Roman" w:cs="Times New Roman"/>
              </w:rPr>
            </w:pPr>
            <w:r w:rsidRPr="005E038E">
              <w:rPr>
                <w:rFonts w:ascii="Times New Roman" w:hAnsi="Times New Roman" w:cs="Times New Roman"/>
              </w:rPr>
              <w:t>https://www.oas.org/es/cidh/decisiones/pdf/2015/mc321-12-es.pdf</w:t>
            </w:r>
          </w:p>
        </w:tc>
      </w:tr>
      <w:tr w:rsidR="00AA0A26" w14:paraId="046F3EC0" w14:textId="77777777" w:rsidTr="00BD185B">
        <w:tc>
          <w:tcPr>
            <w:tcW w:w="3256" w:type="dxa"/>
          </w:tcPr>
          <w:p w14:paraId="5EF56C0F" w14:textId="77777777" w:rsidR="00AA0A26" w:rsidRDefault="00AA0A26" w:rsidP="00BD185B">
            <w:pPr>
              <w:rPr>
                <w:rFonts w:ascii="Times New Roman" w:hAnsi="Times New Roman" w:cs="Times New Roman"/>
              </w:rPr>
            </w:pPr>
            <w:r>
              <w:rPr>
                <w:rFonts w:ascii="Times New Roman" w:hAnsi="Times New Roman" w:cs="Times New Roman"/>
              </w:rPr>
              <w:t>Circular 188-2019 que contiene los ejes de acción derivados de la medida 321-12.</w:t>
            </w:r>
          </w:p>
        </w:tc>
        <w:tc>
          <w:tcPr>
            <w:tcW w:w="5997" w:type="dxa"/>
            <w:vAlign w:val="center"/>
          </w:tcPr>
          <w:p w14:paraId="083F6E18" w14:textId="77777777" w:rsidR="00AA0A26" w:rsidRDefault="00AA0A26" w:rsidP="00BD185B">
            <w:pPr>
              <w:jc w:val="center"/>
              <w:rPr>
                <w:rFonts w:ascii="Times New Roman" w:hAnsi="Times New Roman" w:cs="Times New Roman"/>
              </w:rPr>
            </w:pPr>
            <w:r w:rsidRPr="00CB09D9">
              <w:rPr>
                <w:rFonts w:ascii="Times New Roman" w:hAnsi="Times New Roman" w:cs="Times New Roman"/>
              </w:rPr>
              <w:t>https://nexuspj.poder-judicial.go.cr/document/avi-1-0003-6449</w:t>
            </w:r>
          </w:p>
        </w:tc>
      </w:tr>
    </w:tbl>
    <w:p w14:paraId="01B5692A" w14:textId="77777777" w:rsidR="00AA0A26" w:rsidRPr="00BC2614" w:rsidRDefault="00AA0A26" w:rsidP="00AA0A26">
      <w:pPr>
        <w:shd w:val="clear" w:color="auto" w:fill="FFFFFF"/>
        <w:spacing w:after="0" w:line="240" w:lineRule="auto"/>
        <w:jc w:val="both"/>
        <w:rPr>
          <w:rFonts w:ascii="Times New Roman" w:eastAsia="NSimSun" w:hAnsi="Times New Roman" w:cs="Times New Roman"/>
          <w:kern w:val="3"/>
          <w:lang w:eastAsia="zh-CN" w:bidi="hi-IN"/>
        </w:rPr>
      </w:pPr>
    </w:p>
    <w:p w14:paraId="27902D40" w14:textId="77777777" w:rsidR="00AA0A26" w:rsidRPr="00AA0A26" w:rsidRDefault="00AA0A26" w:rsidP="00AA0A26">
      <w:pPr>
        <w:pStyle w:val="Prrafodelista"/>
        <w:numPr>
          <w:ilvl w:val="0"/>
          <w:numId w:val="5"/>
        </w:numPr>
        <w:shd w:val="clear" w:color="auto" w:fill="FFFFFF"/>
        <w:spacing w:after="0" w:line="240" w:lineRule="auto"/>
        <w:ind w:left="851" w:right="851" w:firstLine="709"/>
        <w:jc w:val="both"/>
        <w:rPr>
          <w:rFonts w:ascii="Times New Roman" w:eastAsia="NSimSun" w:hAnsi="Times New Roman" w:cs="Times New Roman"/>
          <w:kern w:val="3"/>
          <w:sz w:val="24"/>
          <w:szCs w:val="24"/>
          <w:lang w:eastAsia="zh-CN" w:bidi="hi-IN"/>
        </w:rPr>
      </w:pPr>
      <w:r w:rsidRPr="00AA0A26">
        <w:rPr>
          <w:rFonts w:ascii="Times New Roman" w:eastAsia="NSimSun" w:hAnsi="Times New Roman" w:cs="Times New Roman"/>
          <w:kern w:val="3"/>
          <w:sz w:val="24"/>
          <w:szCs w:val="24"/>
          <w:lang w:eastAsia="zh-CN" w:bidi="hi-IN"/>
        </w:rPr>
        <w:t xml:space="preserve">Se reitera lo establecido en circular No. 188-2019 de la Secretaría General de la Corte, </w:t>
      </w:r>
      <w:r w:rsidRPr="00AA0A26">
        <w:rPr>
          <w:rFonts w:ascii="Times New Roman" w:eastAsia="NSimSun" w:hAnsi="Times New Roman" w:cs="Times New Roman"/>
          <w:b/>
          <w:bCs/>
          <w:kern w:val="3"/>
          <w:sz w:val="24"/>
          <w:szCs w:val="24"/>
          <w:lang w:eastAsia="zh-CN" w:bidi="hi-IN"/>
        </w:rPr>
        <w:t>en lo que aplique al ámbito jurisdiccional</w:t>
      </w:r>
      <w:r w:rsidRPr="00AA0A26">
        <w:rPr>
          <w:rFonts w:ascii="Times New Roman" w:eastAsia="NSimSun" w:hAnsi="Times New Roman" w:cs="Times New Roman"/>
          <w:kern w:val="3"/>
          <w:sz w:val="24"/>
          <w:szCs w:val="24"/>
          <w:lang w:eastAsia="zh-CN" w:bidi="hi-IN"/>
        </w:rPr>
        <w:t>, propiamente:</w:t>
      </w:r>
    </w:p>
    <w:p w14:paraId="6124C48C" w14:textId="77777777" w:rsidR="00AA0A26" w:rsidRPr="00AA0A26" w:rsidRDefault="00AA0A26" w:rsidP="00AA0A26">
      <w:pPr>
        <w:shd w:val="clear" w:color="auto" w:fill="FFFFFF"/>
        <w:spacing w:after="0" w:line="240" w:lineRule="auto"/>
        <w:ind w:left="851" w:right="851" w:firstLine="709"/>
        <w:jc w:val="both"/>
        <w:rPr>
          <w:rFonts w:ascii="Times New Roman" w:eastAsia="NSimSun" w:hAnsi="Times New Roman" w:cs="Times New Roman"/>
          <w:kern w:val="3"/>
          <w:sz w:val="24"/>
          <w:szCs w:val="24"/>
          <w:lang w:eastAsia="zh-CN" w:bidi="hi-IN"/>
        </w:rPr>
      </w:pPr>
    </w:p>
    <w:p w14:paraId="5A950699" w14:textId="16002684" w:rsidR="00AA0A26" w:rsidRPr="00AA0A26" w:rsidRDefault="00AA0A26" w:rsidP="00AA0A26">
      <w:pPr>
        <w:pStyle w:val="Prrafodelista"/>
        <w:autoSpaceDE w:val="0"/>
        <w:autoSpaceDN w:val="0"/>
        <w:spacing w:after="0" w:line="240" w:lineRule="auto"/>
        <w:ind w:left="851" w:right="851" w:firstLine="709"/>
        <w:jc w:val="both"/>
        <w:rPr>
          <w:rFonts w:ascii="Times New Roman" w:hAnsi="Times New Roman" w:cs="Times New Roman"/>
          <w:bCs/>
          <w:i/>
          <w:iCs/>
          <w:sz w:val="24"/>
          <w:szCs w:val="24"/>
          <w:lang w:val="es-ES"/>
        </w:rPr>
      </w:pPr>
      <w:r w:rsidRPr="00AA0A26">
        <w:rPr>
          <w:rFonts w:ascii="Times New Roman" w:hAnsi="Times New Roman" w:cs="Times New Roman"/>
          <w:b/>
          <w:i/>
          <w:iCs/>
          <w:sz w:val="24"/>
          <w:szCs w:val="24"/>
          <w:lang w:val="es-ES"/>
        </w:rPr>
        <w:t>2. Identificar y analizar los riesgos relevantes</w:t>
      </w:r>
      <w:r w:rsidRPr="00AA0A26">
        <w:rPr>
          <w:rFonts w:ascii="Times New Roman" w:hAnsi="Times New Roman" w:cs="Times New Roman"/>
          <w:bCs/>
          <w:i/>
          <w:iCs/>
          <w:sz w:val="24"/>
          <w:szCs w:val="24"/>
          <w:lang w:val="es-ES"/>
        </w:rPr>
        <w:t xml:space="preserve"> asociados al logro de los objetivos y las metas institucionales vinculadas con la población indígena, establecidas en el Plan Estratégico Institucional 2019/2024 (ejes transversales acceso a la justicia y justicia abierta, entre otros); el efecto posible de tales riesgos, su importancia y la probabilidad de que ocurran, y decidir las acciones que se tomarán para administrarlos a fin de continuar con la adopción de las medidas necesarias para ubicarse por lo menos en un nivel de riesgo organizacional aceptable. Además, establecer los mecanismos operativos que minimicen el riesgo en las acciones por ejecutar en relación con la tramitación y resolución de los procesos judiciales en los que sean parte pueblos indígenas, </w:t>
      </w:r>
      <w:r w:rsidRPr="00AA0A26">
        <w:rPr>
          <w:rFonts w:ascii="Times New Roman" w:hAnsi="Times New Roman" w:cs="Times New Roman"/>
          <w:b/>
          <w:i/>
          <w:iCs/>
          <w:sz w:val="24"/>
          <w:szCs w:val="24"/>
          <w:lang w:val="es-ES"/>
        </w:rPr>
        <w:t>priorizando aquellos en los que sean parte miembros del pueblo indígena Teribe y Bribrí de Salitre</w:t>
      </w:r>
      <w:r w:rsidRPr="00AA0A26">
        <w:rPr>
          <w:rFonts w:ascii="Times New Roman" w:hAnsi="Times New Roman" w:cs="Times New Roman"/>
          <w:bCs/>
          <w:i/>
          <w:iCs/>
          <w:sz w:val="24"/>
          <w:szCs w:val="24"/>
          <w:lang w:val="es-ES"/>
        </w:rPr>
        <w:t>.</w:t>
      </w:r>
    </w:p>
    <w:p w14:paraId="1ED24D54" w14:textId="77777777" w:rsidR="00AA0A26" w:rsidRPr="00AA0A26" w:rsidRDefault="00AA0A26" w:rsidP="00AA0A26">
      <w:pPr>
        <w:pStyle w:val="Prrafodelista"/>
        <w:autoSpaceDE w:val="0"/>
        <w:autoSpaceDN w:val="0"/>
        <w:spacing w:after="0" w:line="240" w:lineRule="auto"/>
        <w:ind w:left="851" w:right="851" w:firstLine="709"/>
        <w:jc w:val="both"/>
        <w:rPr>
          <w:rFonts w:ascii="Times New Roman" w:hAnsi="Times New Roman" w:cs="Times New Roman"/>
          <w:bCs/>
          <w:i/>
          <w:iCs/>
          <w:sz w:val="24"/>
          <w:szCs w:val="24"/>
          <w:lang w:val="es-ES"/>
        </w:rPr>
      </w:pPr>
    </w:p>
    <w:p w14:paraId="222B1053" w14:textId="16698D7F" w:rsidR="00AA0A26" w:rsidRDefault="00AA0A26" w:rsidP="00AA0A26">
      <w:pPr>
        <w:pStyle w:val="Prrafodelista"/>
        <w:autoSpaceDE w:val="0"/>
        <w:autoSpaceDN w:val="0"/>
        <w:spacing w:after="0" w:line="240" w:lineRule="auto"/>
        <w:ind w:left="851" w:right="851" w:firstLine="709"/>
        <w:jc w:val="both"/>
        <w:rPr>
          <w:rFonts w:ascii="Times New Roman" w:hAnsi="Times New Roman" w:cs="Times New Roman"/>
          <w:bCs/>
          <w:i/>
          <w:iCs/>
          <w:sz w:val="24"/>
          <w:szCs w:val="24"/>
          <w:lang w:val="es-ES"/>
        </w:rPr>
      </w:pPr>
      <w:r w:rsidRPr="00AA0A26">
        <w:rPr>
          <w:rFonts w:ascii="Times New Roman" w:hAnsi="Times New Roman" w:cs="Times New Roman"/>
          <w:b/>
          <w:i/>
          <w:iCs/>
          <w:sz w:val="24"/>
          <w:szCs w:val="24"/>
          <w:lang w:val="es-ES"/>
        </w:rPr>
        <w:t>3. Documentar, mantener actualizados y divulgar internamente, las políticas, normas y procedimientos de control</w:t>
      </w:r>
      <w:r w:rsidRPr="00AA0A26">
        <w:rPr>
          <w:rFonts w:ascii="Times New Roman" w:hAnsi="Times New Roman" w:cs="Times New Roman"/>
          <w:bCs/>
          <w:i/>
          <w:iCs/>
          <w:sz w:val="24"/>
          <w:szCs w:val="24"/>
          <w:lang w:val="es-ES"/>
        </w:rPr>
        <w:t xml:space="preserve"> que garanticen el cumplimiento del sistema de control interno institucional y la prevención de todo aspecto que conlleve a desviar los objetivos y las metas trazados por la institución en el desempeño de sus funciones </w:t>
      </w:r>
      <w:r w:rsidRPr="00AA0A26">
        <w:rPr>
          <w:rFonts w:ascii="Times New Roman" w:hAnsi="Times New Roman" w:cs="Times New Roman"/>
          <w:b/>
          <w:i/>
          <w:iCs/>
          <w:sz w:val="24"/>
          <w:szCs w:val="24"/>
          <w:lang w:val="es-ES"/>
        </w:rPr>
        <w:t>vinculadas con los procesos judiciales en los que intervengan personas indígenas</w:t>
      </w:r>
      <w:r w:rsidRPr="00AA0A26">
        <w:rPr>
          <w:rFonts w:ascii="Times New Roman" w:hAnsi="Times New Roman" w:cs="Times New Roman"/>
          <w:bCs/>
          <w:i/>
          <w:iCs/>
          <w:sz w:val="24"/>
          <w:szCs w:val="24"/>
          <w:lang w:val="es-ES"/>
        </w:rPr>
        <w:t xml:space="preserve">, </w:t>
      </w:r>
      <w:r w:rsidRPr="00AA0A26">
        <w:rPr>
          <w:rFonts w:ascii="Times New Roman" w:hAnsi="Times New Roman" w:cs="Times New Roman"/>
          <w:b/>
          <w:i/>
          <w:iCs/>
          <w:sz w:val="24"/>
          <w:szCs w:val="24"/>
          <w:lang w:val="es-ES"/>
        </w:rPr>
        <w:t>priorizando aquellos en los que sean parte miembros del pueblo indígena Teribe y Bribrí de Salitre</w:t>
      </w:r>
      <w:r w:rsidRPr="00AA0A26">
        <w:rPr>
          <w:rFonts w:ascii="Times New Roman" w:hAnsi="Times New Roman" w:cs="Times New Roman"/>
          <w:bCs/>
          <w:i/>
          <w:iCs/>
          <w:sz w:val="24"/>
          <w:szCs w:val="24"/>
          <w:lang w:val="es-ES"/>
        </w:rPr>
        <w:t>.</w:t>
      </w:r>
    </w:p>
    <w:p w14:paraId="6A65F68F" w14:textId="77777777" w:rsidR="00AA0A26" w:rsidRPr="00AA0A26" w:rsidRDefault="00AA0A26" w:rsidP="00AA0A26">
      <w:pPr>
        <w:pStyle w:val="Prrafodelista"/>
        <w:autoSpaceDE w:val="0"/>
        <w:autoSpaceDN w:val="0"/>
        <w:spacing w:after="0" w:line="240" w:lineRule="auto"/>
        <w:ind w:left="851" w:right="851" w:firstLine="709"/>
        <w:jc w:val="both"/>
        <w:rPr>
          <w:rFonts w:ascii="Times New Roman" w:hAnsi="Times New Roman" w:cs="Times New Roman"/>
          <w:bCs/>
          <w:i/>
          <w:iCs/>
          <w:sz w:val="24"/>
          <w:szCs w:val="24"/>
          <w:lang w:val="es-ES"/>
        </w:rPr>
      </w:pPr>
    </w:p>
    <w:p w14:paraId="691DF37A" w14:textId="04ED4BE9" w:rsidR="00AA0A26" w:rsidRPr="00AA0A26" w:rsidRDefault="00AA0A26" w:rsidP="00AA0A26">
      <w:pPr>
        <w:pStyle w:val="Prrafodelista"/>
        <w:autoSpaceDE w:val="0"/>
        <w:autoSpaceDN w:val="0"/>
        <w:spacing w:after="0" w:line="240" w:lineRule="auto"/>
        <w:ind w:left="851" w:right="851" w:firstLine="709"/>
        <w:jc w:val="both"/>
        <w:rPr>
          <w:rFonts w:ascii="Times New Roman" w:hAnsi="Times New Roman" w:cs="Times New Roman"/>
          <w:bCs/>
          <w:i/>
          <w:iCs/>
          <w:sz w:val="24"/>
          <w:szCs w:val="24"/>
          <w:lang w:val="es-ES"/>
        </w:rPr>
      </w:pPr>
      <w:r w:rsidRPr="00AA0A26">
        <w:rPr>
          <w:rFonts w:ascii="Times New Roman" w:hAnsi="Times New Roman" w:cs="Times New Roman"/>
          <w:b/>
          <w:i/>
          <w:iCs/>
          <w:sz w:val="24"/>
          <w:szCs w:val="24"/>
          <w:lang w:val="es-ES"/>
        </w:rPr>
        <w:t xml:space="preserve">6. </w:t>
      </w:r>
      <w:r w:rsidRPr="00AA0A26">
        <w:rPr>
          <w:rFonts w:ascii="Times New Roman" w:hAnsi="Times New Roman" w:cs="Times New Roman"/>
          <w:bCs/>
          <w:i/>
          <w:iCs/>
          <w:sz w:val="24"/>
          <w:szCs w:val="24"/>
          <w:lang w:val="es-ES"/>
        </w:rPr>
        <w:t>Con absoluto respeto al principio de independencia judicial,</w:t>
      </w:r>
      <w:r w:rsidRPr="00AA0A26">
        <w:rPr>
          <w:rFonts w:ascii="Times New Roman" w:hAnsi="Times New Roman" w:cs="Times New Roman"/>
          <w:b/>
          <w:i/>
          <w:iCs/>
          <w:sz w:val="24"/>
          <w:szCs w:val="24"/>
          <w:lang w:val="es-ES"/>
        </w:rPr>
        <w:t xml:space="preserve"> emitir circulares dirigidas a todas las personas servidoras judiciales en las que se les reitere su deber de ser garantes del acceso efectivo a la justicia de los pueblos indígenas, la no discriminación y eliminación de barreras, a saber</w:t>
      </w:r>
      <w:r w:rsidRPr="00AA0A26">
        <w:rPr>
          <w:rFonts w:ascii="Times New Roman" w:hAnsi="Times New Roman" w:cs="Times New Roman"/>
          <w:bCs/>
          <w:i/>
          <w:iCs/>
          <w:sz w:val="24"/>
          <w:szCs w:val="24"/>
          <w:lang w:val="es-ES"/>
        </w:rPr>
        <w:t xml:space="preserve">: </w:t>
      </w:r>
      <w:r w:rsidRPr="00AA0A26">
        <w:rPr>
          <w:rFonts w:ascii="Times New Roman" w:hAnsi="Times New Roman" w:cs="Times New Roman"/>
          <w:b/>
          <w:i/>
          <w:iCs/>
          <w:sz w:val="24"/>
          <w:szCs w:val="24"/>
          <w:lang w:val="es-ES"/>
        </w:rPr>
        <w:t>i)</w:t>
      </w:r>
      <w:r w:rsidRPr="00AA0A26">
        <w:rPr>
          <w:rFonts w:ascii="Times New Roman" w:hAnsi="Times New Roman" w:cs="Times New Roman"/>
          <w:bCs/>
          <w:i/>
          <w:iCs/>
          <w:sz w:val="24"/>
          <w:szCs w:val="24"/>
          <w:lang w:val="es-ES"/>
        </w:rPr>
        <w:t xml:space="preserve"> asegurar que los miembros de la comunidad puedan </w:t>
      </w:r>
      <w:r w:rsidRPr="00AA0A26">
        <w:rPr>
          <w:rFonts w:ascii="Times New Roman" w:hAnsi="Times New Roman" w:cs="Times New Roman"/>
          <w:b/>
          <w:i/>
          <w:iCs/>
          <w:sz w:val="24"/>
          <w:szCs w:val="24"/>
          <w:lang w:val="es-ES"/>
        </w:rPr>
        <w:t>comprender y hacerse comprender</w:t>
      </w:r>
      <w:r w:rsidRPr="00AA0A26">
        <w:rPr>
          <w:rFonts w:ascii="Times New Roman" w:hAnsi="Times New Roman" w:cs="Times New Roman"/>
          <w:bCs/>
          <w:i/>
          <w:iCs/>
          <w:sz w:val="24"/>
          <w:szCs w:val="24"/>
          <w:lang w:val="es-ES"/>
        </w:rPr>
        <w:t xml:space="preserve"> en los procedimientos legales iniciados, facilitándoles </w:t>
      </w:r>
      <w:r w:rsidRPr="00AA0A26">
        <w:rPr>
          <w:rFonts w:ascii="Times New Roman" w:hAnsi="Times New Roman" w:cs="Times New Roman"/>
          <w:b/>
          <w:i/>
          <w:iCs/>
          <w:sz w:val="24"/>
          <w:szCs w:val="24"/>
          <w:lang w:val="es-ES"/>
        </w:rPr>
        <w:t>intérpretes</w:t>
      </w:r>
      <w:r w:rsidRPr="00AA0A26">
        <w:rPr>
          <w:rFonts w:ascii="Times New Roman" w:hAnsi="Times New Roman" w:cs="Times New Roman"/>
          <w:bCs/>
          <w:i/>
          <w:iCs/>
          <w:sz w:val="24"/>
          <w:szCs w:val="24"/>
          <w:lang w:val="es-ES"/>
        </w:rPr>
        <w:t xml:space="preserve"> u otros medios eficaces para tal fin; </w:t>
      </w:r>
      <w:proofErr w:type="spellStart"/>
      <w:r w:rsidRPr="00AA0A26">
        <w:rPr>
          <w:rFonts w:ascii="Times New Roman" w:hAnsi="Times New Roman" w:cs="Times New Roman"/>
          <w:b/>
          <w:i/>
          <w:iCs/>
          <w:sz w:val="24"/>
          <w:szCs w:val="24"/>
          <w:lang w:val="es-ES"/>
        </w:rPr>
        <w:t>ii</w:t>
      </w:r>
      <w:proofErr w:type="spellEnd"/>
      <w:r w:rsidRPr="00AA0A26">
        <w:rPr>
          <w:rFonts w:ascii="Times New Roman" w:hAnsi="Times New Roman" w:cs="Times New Roman"/>
          <w:b/>
          <w:i/>
          <w:iCs/>
          <w:sz w:val="24"/>
          <w:szCs w:val="24"/>
          <w:lang w:val="es-ES"/>
        </w:rPr>
        <w:t>)</w:t>
      </w:r>
      <w:r w:rsidRPr="00AA0A26">
        <w:rPr>
          <w:rFonts w:ascii="Times New Roman" w:hAnsi="Times New Roman" w:cs="Times New Roman"/>
          <w:bCs/>
          <w:i/>
          <w:iCs/>
          <w:sz w:val="24"/>
          <w:szCs w:val="24"/>
          <w:lang w:val="es-ES"/>
        </w:rPr>
        <w:t xml:space="preserve"> proporcionar el </w:t>
      </w:r>
      <w:r w:rsidRPr="00AA0A26">
        <w:rPr>
          <w:rFonts w:ascii="Times New Roman" w:hAnsi="Times New Roman" w:cs="Times New Roman"/>
          <w:b/>
          <w:i/>
          <w:iCs/>
          <w:sz w:val="24"/>
          <w:szCs w:val="24"/>
          <w:lang w:val="es-ES"/>
        </w:rPr>
        <w:t>acceso a los pueblos indígenas</w:t>
      </w:r>
      <w:r w:rsidRPr="00AA0A26">
        <w:rPr>
          <w:rFonts w:ascii="Times New Roman" w:hAnsi="Times New Roman" w:cs="Times New Roman"/>
          <w:bCs/>
          <w:i/>
          <w:iCs/>
          <w:sz w:val="24"/>
          <w:szCs w:val="24"/>
          <w:lang w:val="es-ES"/>
        </w:rPr>
        <w:t xml:space="preserve"> y tribales a asistencia </w:t>
      </w:r>
      <w:r w:rsidRPr="00AA0A26">
        <w:rPr>
          <w:rFonts w:ascii="Times New Roman" w:hAnsi="Times New Roman" w:cs="Times New Roman"/>
          <w:bCs/>
          <w:i/>
          <w:iCs/>
          <w:sz w:val="24"/>
          <w:szCs w:val="24"/>
          <w:lang w:val="es-ES"/>
        </w:rPr>
        <w:lastRenderedPageBreak/>
        <w:t xml:space="preserve">técnica y legal en relación con su derecho a la propiedad colectiva, en el supuesto de que estos se encontrasen en una situación de vulnerabilidad que les impediría conseguirla, y </w:t>
      </w:r>
      <w:proofErr w:type="spellStart"/>
      <w:r w:rsidRPr="00AA0A26">
        <w:rPr>
          <w:rFonts w:ascii="Times New Roman" w:hAnsi="Times New Roman" w:cs="Times New Roman"/>
          <w:b/>
          <w:i/>
          <w:iCs/>
          <w:sz w:val="24"/>
          <w:szCs w:val="24"/>
          <w:lang w:val="es-ES"/>
        </w:rPr>
        <w:t>iii</w:t>
      </w:r>
      <w:proofErr w:type="spellEnd"/>
      <w:r w:rsidRPr="00AA0A26">
        <w:rPr>
          <w:rFonts w:ascii="Times New Roman" w:hAnsi="Times New Roman" w:cs="Times New Roman"/>
          <w:b/>
          <w:i/>
          <w:iCs/>
          <w:sz w:val="24"/>
          <w:szCs w:val="24"/>
          <w:lang w:val="es-ES"/>
        </w:rPr>
        <w:t>)</w:t>
      </w:r>
      <w:r w:rsidRPr="00AA0A26">
        <w:rPr>
          <w:rFonts w:ascii="Times New Roman" w:hAnsi="Times New Roman" w:cs="Times New Roman"/>
          <w:bCs/>
          <w:i/>
          <w:iCs/>
          <w:sz w:val="24"/>
          <w:szCs w:val="24"/>
          <w:lang w:val="es-ES"/>
        </w:rPr>
        <w:t xml:space="preserve"> </w:t>
      </w:r>
      <w:r w:rsidRPr="00AA0A26">
        <w:rPr>
          <w:rFonts w:ascii="Times New Roman" w:hAnsi="Times New Roman" w:cs="Times New Roman"/>
          <w:b/>
          <w:i/>
          <w:iCs/>
          <w:sz w:val="24"/>
          <w:szCs w:val="24"/>
          <w:lang w:val="es-ES"/>
        </w:rPr>
        <w:t>facilitar el acceso físico</w:t>
      </w:r>
      <w:r w:rsidRPr="00AA0A26">
        <w:rPr>
          <w:rFonts w:ascii="Times New Roman" w:hAnsi="Times New Roman" w:cs="Times New Roman"/>
          <w:bCs/>
          <w:i/>
          <w:iCs/>
          <w:sz w:val="24"/>
          <w:szCs w:val="24"/>
          <w:lang w:val="es-ES"/>
        </w:rPr>
        <w:t xml:space="preserve"> a las instituciones administrativas y judiciales, o a los organismos encargados de garantizar el derecho a la propiedad colectiva de los pueblos indígenas y tribales, así como facilitar la participación de los pueblos en el desarrollo de los procesos judiciales, administrativos o de cualquier otra índole, sin que ello les implique hacer esfuerzos desmedidos o exagerados, ya sea debido a las distancias o a las vías de acceso a dichas instituciones, o a los altos costos en virtud de los procedimientos. Además, el otorgamiento de una protección efectiva que tome en cuenta las particularidades propias que los diferencian de la población en general y que conforman su identidad cultural, sus características económicas y sociales, su posible situación de vulnerabilidad, su derecho consuetudinario, valores, usos y costumbres, así como su especial relación con la tierra, y respeto de los mecanismos internos de decisión de controversias en materia indígena, los cuales se encuentren en armonía con los derechos humanos, según los estándares internacionales establecidos por la Corte Interamericana de Derechos Humanos en el caso Pueblos </w:t>
      </w:r>
      <w:proofErr w:type="spellStart"/>
      <w:r w:rsidRPr="00AA0A26">
        <w:rPr>
          <w:rFonts w:ascii="Times New Roman" w:hAnsi="Times New Roman" w:cs="Times New Roman"/>
          <w:bCs/>
          <w:i/>
          <w:iCs/>
          <w:sz w:val="24"/>
          <w:szCs w:val="24"/>
          <w:lang w:val="es-ES"/>
        </w:rPr>
        <w:t>Kaliña</w:t>
      </w:r>
      <w:proofErr w:type="spellEnd"/>
      <w:r w:rsidRPr="00AA0A26">
        <w:rPr>
          <w:rFonts w:ascii="Times New Roman" w:hAnsi="Times New Roman" w:cs="Times New Roman"/>
          <w:bCs/>
          <w:i/>
          <w:iCs/>
          <w:sz w:val="24"/>
          <w:szCs w:val="24"/>
          <w:lang w:val="es-ES"/>
        </w:rPr>
        <w:t xml:space="preserve"> y </w:t>
      </w:r>
      <w:proofErr w:type="spellStart"/>
      <w:r w:rsidRPr="00AA0A26">
        <w:rPr>
          <w:rFonts w:ascii="Times New Roman" w:hAnsi="Times New Roman" w:cs="Times New Roman"/>
          <w:bCs/>
          <w:i/>
          <w:iCs/>
          <w:sz w:val="24"/>
          <w:szCs w:val="24"/>
          <w:lang w:val="es-ES"/>
        </w:rPr>
        <w:t>Lokono</w:t>
      </w:r>
      <w:proofErr w:type="spellEnd"/>
      <w:r w:rsidRPr="00AA0A26">
        <w:rPr>
          <w:rFonts w:ascii="Times New Roman" w:hAnsi="Times New Roman" w:cs="Times New Roman"/>
          <w:bCs/>
          <w:i/>
          <w:iCs/>
          <w:sz w:val="24"/>
          <w:szCs w:val="24"/>
          <w:lang w:val="es-ES"/>
        </w:rPr>
        <w:t xml:space="preserve"> versus Surinam, sentencia de 25 de noviembre de 2015 y las disposiciones de la Ley de Acceso a la Justicia de los Pueblos Indígenas de Costa Rica.</w:t>
      </w:r>
    </w:p>
    <w:p w14:paraId="1E85EC8F" w14:textId="77777777" w:rsidR="00AA0A26" w:rsidRPr="00AA0A26" w:rsidRDefault="00AA0A26" w:rsidP="00AA0A26">
      <w:pPr>
        <w:pStyle w:val="Prrafodelista"/>
        <w:autoSpaceDE w:val="0"/>
        <w:autoSpaceDN w:val="0"/>
        <w:spacing w:after="0" w:line="240" w:lineRule="auto"/>
        <w:ind w:left="851" w:right="851" w:firstLine="709"/>
        <w:jc w:val="both"/>
        <w:rPr>
          <w:rFonts w:ascii="Times New Roman" w:hAnsi="Times New Roman" w:cs="Times New Roman"/>
          <w:bCs/>
          <w:i/>
          <w:iCs/>
          <w:sz w:val="24"/>
          <w:szCs w:val="24"/>
          <w:lang w:val="es-ES"/>
        </w:rPr>
      </w:pPr>
    </w:p>
    <w:p w14:paraId="08C8DF82" w14:textId="12D0E54C" w:rsidR="00AA0A26" w:rsidRPr="00AA0A26" w:rsidRDefault="00AA0A26" w:rsidP="00AA0A26">
      <w:pPr>
        <w:pStyle w:val="Prrafodelista"/>
        <w:autoSpaceDE w:val="0"/>
        <w:autoSpaceDN w:val="0"/>
        <w:spacing w:after="0" w:line="240" w:lineRule="auto"/>
        <w:ind w:left="851" w:right="851" w:firstLine="709"/>
        <w:jc w:val="both"/>
        <w:rPr>
          <w:rFonts w:ascii="Times New Roman" w:hAnsi="Times New Roman" w:cs="Times New Roman"/>
          <w:bCs/>
          <w:i/>
          <w:iCs/>
          <w:sz w:val="24"/>
          <w:szCs w:val="24"/>
          <w:lang w:val="es-ES"/>
        </w:rPr>
      </w:pPr>
      <w:r w:rsidRPr="00AA0A26">
        <w:rPr>
          <w:rFonts w:ascii="Times New Roman" w:hAnsi="Times New Roman" w:cs="Times New Roman"/>
          <w:b/>
          <w:i/>
          <w:iCs/>
          <w:sz w:val="24"/>
          <w:szCs w:val="24"/>
          <w:lang w:val="es-ES"/>
        </w:rPr>
        <w:t xml:space="preserve">9. </w:t>
      </w:r>
      <w:r w:rsidRPr="00AA0A26">
        <w:rPr>
          <w:rFonts w:ascii="Times New Roman" w:hAnsi="Times New Roman" w:cs="Times New Roman"/>
          <w:bCs/>
          <w:i/>
          <w:iCs/>
          <w:sz w:val="24"/>
          <w:szCs w:val="24"/>
          <w:lang w:val="es-ES"/>
        </w:rPr>
        <w:t xml:space="preserve">Realizar encuentros entre representantes del pueblo indígena Teribe y Bribrí de Salitre y personas funcionarias judiciales con competencia para conocer procesos judiciales vinculados con esa población, a efecto de que las personas indígenas capaciten a las y los servidores judiciales sobre la historia, cosmovisión, costumbres, formas de tenencia y de transmisión de la tierra, entre otros datos de interés, que incidan en la solución de los conflictos indígenas; priorizándose a quienes laboren en las oficinas judiciales con competencia material y territorial para conocer de procesos vinculados con personas indígenas de Buenos Aires de Puntarenas, incluyendo a personas juzgadoras, técnicas y coordinadoras judiciales, defensoras públicas, fiscalas, personal administrativo, del Organismo de Investigación Judicial, entre otros. Iniciar el proceso de capacitación con personas servidoras judiciales de las Jurisdicciones Penal, Agrario y Contencioso Administrativo, de todas las instancias; y luego se continuará con las demás. </w:t>
      </w:r>
      <w:r w:rsidRPr="00AA0A26">
        <w:rPr>
          <w:rFonts w:ascii="Times New Roman" w:hAnsi="Times New Roman" w:cs="Times New Roman"/>
          <w:bCs/>
          <w:sz w:val="24"/>
          <w:szCs w:val="24"/>
          <w:lang w:val="es-ES"/>
        </w:rPr>
        <w:t>(El resaltado no corresponde al original)</w:t>
      </w:r>
    </w:p>
    <w:p w14:paraId="1D332557" w14:textId="77777777" w:rsidR="00AA0A26" w:rsidRPr="00AA0A26" w:rsidRDefault="00AA0A26" w:rsidP="00AA0A26">
      <w:pPr>
        <w:shd w:val="clear" w:color="auto" w:fill="FFFFFF"/>
        <w:spacing w:after="0" w:line="240" w:lineRule="auto"/>
        <w:ind w:left="851" w:right="851" w:firstLine="709"/>
        <w:jc w:val="both"/>
        <w:rPr>
          <w:rFonts w:ascii="Times New Roman" w:hAnsi="Times New Roman" w:cs="Times New Roman"/>
          <w:sz w:val="24"/>
          <w:szCs w:val="24"/>
        </w:rPr>
      </w:pPr>
    </w:p>
    <w:p w14:paraId="14A2373F" w14:textId="5F804EF9" w:rsidR="00AA0A26" w:rsidRPr="00AA0A26" w:rsidRDefault="00AA0A26" w:rsidP="00AA0A26">
      <w:pPr>
        <w:shd w:val="clear" w:color="auto" w:fill="FFFFFF"/>
        <w:spacing w:after="0" w:line="240" w:lineRule="auto"/>
        <w:ind w:left="851" w:right="851" w:firstLine="709"/>
        <w:jc w:val="both"/>
        <w:rPr>
          <w:rFonts w:ascii="Times New Roman" w:eastAsia="NSimSun" w:hAnsi="Times New Roman" w:cs="Times New Roman"/>
          <w:kern w:val="3"/>
          <w:sz w:val="24"/>
          <w:szCs w:val="24"/>
          <w:lang w:eastAsia="zh-CN" w:bidi="hi-IN"/>
        </w:rPr>
      </w:pPr>
      <w:r w:rsidRPr="00AA0A26">
        <w:rPr>
          <w:rFonts w:ascii="Times New Roman" w:eastAsia="NSimSun" w:hAnsi="Times New Roman" w:cs="Times New Roman"/>
          <w:kern w:val="3"/>
          <w:sz w:val="24"/>
          <w:szCs w:val="24"/>
          <w:lang w:eastAsia="zh-CN" w:bidi="hi-IN"/>
        </w:rPr>
        <w:t xml:space="preserve">Asimismo, los despachos jurisdiccionales, a través de los </w:t>
      </w:r>
      <w:r w:rsidRPr="00AA0A26">
        <w:rPr>
          <w:rFonts w:ascii="Times New Roman" w:eastAsia="NSimSun" w:hAnsi="Times New Roman" w:cs="Times New Roman"/>
          <w:b/>
          <w:bCs/>
          <w:kern w:val="3"/>
          <w:sz w:val="24"/>
          <w:szCs w:val="24"/>
          <w:lang w:eastAsia="zh-CN" w:bidi="hi-IN"/>
        </w:rPr>
        <w:t>equipos SEVRI</w:t>
      </w:r>
      <w:r w:rsidRPr="00AA0A26">
        <w:rPr>
          <w:rFonts w:ascii="Times New Roman" w:eastAsia="NSimSun" w:hAnsi="Times New Roman" w:cs="Times New Roman"/>
          <w:kern w:val="3"/>
          <w:sz w:val="24"/>
          <w:szCs w:val="24"/>
          <w:lang w:eastAsia="zh-CN" w:bidi="hi-IN"/>
        </w:rPr>
        <w:t xml:space="preserve">, deben </w:t>
      </w:r>
      <w:r w:rsidRPr="00AA0A26">
        <w:rPr>
          <w:rFonts w:ascii="Times New Roman" w:eastAsia="NSimSun" w:hAnsi="Times New Roman" w:cs="Times New Roman"/>
          <w:b/>
          <w:bCs/>
          <w:kern w:val="3"/>
          <w:sz w:val="24"/>
          <w:szCs w:val="24"/>
          <w:lang w:eastAsia="zh-CN" w:bidi="hi-IN"/>
        </w:rPr>
        <w:t xml:space="preserve">verificar que se haya realizado una valoración de riesgos </w:t>
      </w:r>
      <w:r w:rsidRPr="00AA0A26">
        <w:rPr>
          <w:rFonts w:ascii="Times New Roman" w:eastAsia="NSimSun" w:hAnsi="Times New Roman" w:cs="Times New Roman"/>
          <w:kern w:val="3"/>
          <w:sz w:val="24"/>
          <w:szCs w:val="24"/>
          <w:lang w:eastAsia="zh-CN" w:bidi="hi-IN"/>
        </w:rPr>
        <w:t>y que ésta sea adecuadamente atendida por las instancias administrativas, de seguridad y policiales (entre otras), que tengan asignadas tales responsabilidades y que se cercioren de su cumplimiento.</w:t>
      </w:r>
    </w:p>
    <w:p w14:paraId="58629C2B" w14:textId="77777777" w:rsidR="00AA0A26" w:rsidRPr="00AA0A26" w:rsidRDefault="00AA0A26" w:rsidP="00AA0A26">
      <w:pPr>
        <w:shd w:val="clear" w:color="auto" w:fill="FFFFFF"/>
        <w:spacing w:after="0" w:line="240" w:lineRule="auto"/>
        <w:ind w:left="851" w:right="851" w:firstLine="709"/>
        <w:jc w:val="both"/>
        <w:rPr>
          <w:rFonts w:ascii="Times New Roman" w:eastAsia="NSimSun" w:hAnsi="Times New Roman" w:cs="Times New Roman"/>
          <w:kern w:val="3"/>
          <w:sz w:val="24"/>
          <w:szCs w:val="24"/>
          <w:lang w:eastAsia="zh-CN" w:bidi="hi-IN"/>
        </w:rPr>
      </w:pPr>
    </w:p>
    <w:p w14:paraId="2E2E22A9" w14:textId="77777777" w:rsidR="00AA0A26" w:rsidRPr="00AA0A26" w:rsidRDefault="00AA0A26" w:rsidP="00AA0A26">
      <w:pPr>
        <w:shd w:val="clear" w:color="auto" w:fill="FFFFFF"/>
        <w:spacing w:after="0" w:line="240" w:lineRule="auto"/>
        <w:ind w:left="851" w:right="851" w:firstLine="709"/>
        <w:jc w:val="both"/>
        <w:rPr>
          <w:rFonts w:ascii="Times New Roman" w:hAnsi="Times New Roman" w:cs="Times New Roman"/>
          <w:sz w:val="24"/>
          <w:szCs w:val="24"/>
        </w:rPr>
      </w:pPr>
      <w:r w:rsidRPr="00AA0A26">
        <w:rPr>
          <w:rFonts w:ascii="Times New Roman" w:hAnsi="Times New Roman" w:cs="Times New Roman"/>
          <w:sz w:val="24"/>
          <w:szCs w:val="24"/>
        </w:rPr>
        <w:lastRenderedPageBreak/>
        <w:t>Lo anterior, con el fin de fortalecer el Sistema de Control Interno Institucional y gestionar los riesgos asociados a la atención de procesos en los que intervienen personas indígenas, lo cual permitirá ubicar a la institución en un nivel de riesgo aceptable.</w:t>
      </w:r>
    </w:p>
    <w:p w14:paraId="6056ADFF" w14:textId="77777777" w:rsidR="00750CB5" w:rsidRPr="00B71D86" w:rsidRDefault="00750CB5" w:rsidP="009B70AE">
      <w:pPr>
        <w:shd w:val="clear" w:color="auto" w:fill="FFFFFF"/>
        <w:spacing w:after="0" w:line="240" w:lineRule="auto"/>
        <w:ind w:right="-1"/>
        <w:jc w:val="both"/>
        <w:rPr>
          <w:rFonts w:ascii="Times New Roman" w:eastAsia="NSimSun" w:hAnsi="Times New Roman" w:cs="Times New Roman"/>
          <w:kern w:val="3"/>
          <w:sz w:val="24"/>
          <w:szCs w:val="24"/>
          <w:lang w:eastAsia="zh-CN" w:bidi="hi-IN"/>
        </w:rPr>
      </w:pPr>
    </w:p>
    <w:p w14:paraId="6B3308AE" w14:textId="6F013D74" w:rsidR="00C6609F" w:rsidRPr="00B71D86" w:rsidRDefault="00C6609F" w:rsidP="00C6609F">
      <w:pPr>
        <w:pStyle w:val="Textodebloque2"/>
        <w:ind w:left="0" w:right="0" w:firstLine="0"/>
        <w:rPr>
          <w:b/>
          <w:bCs/>
          <w:sz w:val="22"/>
          <w:szCs w:val="22"/>
          <w:lang w:val="es-ES_tradnl" w:eastAsia="ar-SA"/>
        </w:rPr>
      </w:pPr>
      <w:r w:rsidRPr="00B71D86">
        <w:rPr>
          <w:b/>
          <w:bCs/>
          <w:sz w:val="22"/>
          <w:szCs w:val="22"/>
          <w:lang w:val="es-ES_tradnl" w:eastAsia="ar-SA"/>
        </w:rPr>
        <w:t xml:space="preserve">De conformidad con la circular </w:t>
      </w:r>
      <w:proofErr w:type="spellStart"/>
      <w:r w:rsidRPr="00B71D86">
        <w:rPr>
          <w:b/>
          <w:bCs/>
          <w:sz w:val="22"/>
          <w:szCs w:val="22"/>
          <w:lang w:val="es-ES_tradnl" w:eastAsia="ar-SA"/>
        </w:rPr>
        <w:t>N°</w:t>
      </w:r>
      <w:proofErr w:type="spellEnd"/>
      <w:r w:rsidRPr="00B71D86">
        <w:rPr>
          <w:b/>
          <w:bCs/>
          <w:sz w:val="22"/>
          <w:szCs w:val="22"/>
          <w:lang w:val="es-ES_tradnl" w:eastAsia="ar-SA"/>
        </w:rPr>
        <w:t xml:space="preserve"> 67-09 emitida por la Secretaría de la Corte el 22 de junio de 2009, se le comunica que en virtud del principio de gratuidad que rige esta materia, la publicación está exenta de todo pago de derechos. Publíquese una sola vez en el Boletín Judicial.</w:t>
      </w:r>
    </w:p>
    <w:p w14:paraId="0A349FF8" w14:textId="77777777" w:rsidR="004A4B13" w:rsidRPr="00B71D86" w:rsidRDefault="004A4B13" w:rsidP="00C6609F">
      <w:pPr>
        <w:rPr>
          <w:rFonts w:ascii="Times New Roman" w:hAnsi="Times New Roman" w:cs="Times New Roman"/>
          <w:b/>
          <w:bCs/>
        </w:rPr>
      </w:pPr>
    </w:p>
    <w:p w14:paraId="1570609C" w14:textId="75DA311D" w:rsidR="00C6609F" w:rsidRPr="00B71D86" w:rsidRDefault="00C6609F" w:rsidP="00C6609F">
      <w:pPr>
        <w:rPr>
          <w:rFonts w:ascii="Times New Roman" w:hAnsi="Times New Roman" w:cs="Times New Roman"/>
          <w:b/>
          <w:bCs/>
        </w:rPr>
      </w:pPr>
      <w:r w:rsidRPr="00B71D86">
        <w:rPr>
          <w:rFonts w:ascii="Times New Roman" w:hAnsi="Times New Roman" w:cs="Times New Roman"/>
          <w:b/>
          <w:bCs/>
        </w:rPr>
        <w:t xml:space="preserve">San José, </w:t>
      </w:r>
      <w:r w:rsidR="00AA0A26" w:rsidRPr="00B71D86">
        <w:rPr>
          <w:rFonts w:ascii="Times New Roman" w:hAnsi="Times New Roman" w:cs="Times New Roman"/>
          <w:b/>
          <w:bCs/>
        </w:rPr>
        <w:t>2</w:t>
      </w:r>
      <w:r w:rsidR="009D64D8">
        <w:rPr>
          <w:rFonts w:ascii="Times New Roman" w:hAnsi="Times New Roman" w:cs="Times New Roman"/>
          <w:b/>
          <w:bCs/>
        </w:rPr>
        <w:t>5</w:t>
      </w:r>
      <w:r w:rsidR="00AA0A26" w:rsidRPr="00B71D86">
        <w:rPr>
          <w:rFonts w:ascii="Times New Roman" w:hAnsi="Times New Roman" w:cs="Times New Roman"/>
          <w:b/>
          <w:bCs/>
        </w:rPr>
        <w:t xml:space="preserve"> </w:t>
      </w:r>
      <w:r w:rsidRPr="00B71D86">
        <w:rPr>
          <w:rFonts w:ascii="Times New Roman" w:hAnsi="Times New Roman" w:cs="Times New Roman"/>
          <w:b/>
          <w:bCs/>
        </w:rPr>
        <w:t xml:space="preserve">de </w:t>
      </w:r>
      <w:r w:rsidR="009D64D8">
        <w:rPr>
          <w:rFonts w:ascii="Times New Roman" w:hAnsi="Times New Roman" w:cs="Times New Roman"/>
          <w:b/>
          <w:bCs/>
        </w:rPr>
        <w:t>mayo</w:t>
      </w:r>
      <w:r w:rsidR="00AA0A26" w:rsidRPr="00B71D86">
        <w:rPr>
          <w:rFonts w:ascii="Times New Roman" w:hAnsi="Times New Roman" w:cs="Times New Roman"/>
          <w:b/>
          <w:bCs/>
        </w:rPr>
        <w:t xml:space="preserve"> </w:t>
      </w:r>
      <w:r w:rsidRPr="00B71D86">
        <w:rPr>
          <w:rFonts w:ascii="Times New Roman" w:hAnsi="Times New Roman" w:cs="Times New Roman"/>
          <w:b/>
          <w:bCs/>
        </w:rPr>
        <w:t>de 2023.</w:t>
      </w:r>
    </w:p>
    <w:p w14:paraId="2C7B68CE" w14:textId="7902EC66" w:rsidR="00C6609F" w:rsidRDefault="00C6609F" w:rsidP="00C6609F">
      <w:pPr>
        <w:pStyle w:val="Textodebloque2"/>
        <w:ind w:left="0" w:right="0"/>
        <w:rPr>
          <w:b/>
          <w:bCs/>
          <w:sz w:val="22"/>
          <w:szCs w:val="22"/>
          <w:lang w:val="es-CR" w:eastAsia="ar-SA"/>
        </w:rPr>
      </w:pPr>
    </w:p>
    <w:p w14:paraId="0033FBBF" w14:textId="77777777" w:rsidR="00B71D86" w:rsidRPr="00B71D86" w:rsidRDefault="00B71D86" w:rsidP="00C6609F">
      <w:pPr>
        <w:pStyle w:val="Textodebloque2"/>
        <w:ind w:left="0" w:right="0"/>
        <w:rPr>
          <w:b/>
          <w:bCs/>
          <w:sz w:val="22"/>
          <w:szCs w:val="22"/>
          <w:lang w:val="es-CR" w:eastAsia="ar-SA"/>
        </w:rPr>
      </w:pPr>
    </w:p>
    <w:p w14:paraId="212D8AD0" w14:textId="55DDF657" w:rsidR="00C6609F" w:rsidRPr="00B71D86" w:rsidRDefault="00C6609F" w:rsidP="00C6609F">
      <w:pPr>
        <w:rPr>
          <w:lang w:eastAsia="es-CR"/>
        </w:rPr>
      </w:pPr>
    </w:p>
    <w:p w14:paraId="1FF5FA42" w14:textId="77777777" w:rsidR="00C6609F" w:rsidRPr="00B71D86" w:rsidRDefault="00C6609F" w:rsidP="00C6609F">
      <w:pPr>
        <w:autoSpaceDE w:val="0"/>
        <w:autoSpaceDN w:val="0"/>
        <w:spacing w:after="0" w:line="240" w:lineRule="auto"/>
        <w:ind w:firstLine="709"/>
        <w:rPr>
          <w:rFonts w:ascii="Times New Roman" w:hAnsi="Times New Roman"/>
          <w:b/>
          <w:bCs/>
        </w:rPr>
      </w:pPr>
    </w:p>
    <w:p w14:paraId="3A8E8913" w14:textId="77777777" w:rsidR="00C6609F" w:rsidRPr="00B71D86" w:rsidRDefault="00C6609F" w:rsidP="00C6609F">
      <w:pPr>
        <w:pStyle w:val="Ttulo51"/>
        <w:keepNext w:val="0"/>
        <w:tabs>
          <w:tab w:val="clear" w:pos="0"/>
          <w:tab w:val="left" w:pos="708"/>
        </w:tabs>
        <w:ind w:left="851" w:right="851"/>
        <w:rPr>
          <w:rFonts w:eastAsia="Times New Roman"/>
          <w:i w:val="0"/>
          <w:iCs w:val="0"/>
          <w:sz w:val="22"/>
          <w:szCs w:val="22"/>
          <w:u w:val="none"/>
        </w:rPr>
      </w:pPr>
      <w:r w:rsidRPr="00B71D86">
        <w:rPr>
          <w:rFonts w:eastAsia="Times New Roman"/>
          <w:i w:val="0"/>
          <w:iCs w:val="0"/>
          <w:sz w:val="22"/>
          <w:szCs w:val="22"/>
          <w:u w:val="none"/>
        </w:rPr>
        <w:t>Lic. Carlos Toscano Mora Rodríguez</w:t>
      </w:r>
    </w:p>
    <w:p w14:paraId="092D623E" w14:textId="77777777" w:rsidR="00C6609F" w:rsidRPr="00B71D86" w:rsidRDefault="00C6609F" w:rsidP="00C6609F">
      <w:pPr>
        <w:pStyle w:val="Ttulo51"/>
        <w:keepNext w:val="0"/>
        <w:tabs>
          <w:tab w:val="clear" w:pos="0"/>
          <w:tab w:val="left" w:pos="708"/>
        </w:tabs>
        <w:ind w:left="851" w:right="851"/>
        <w:rPr>
          <w:rFonts w:eastAsia="Times New Roman"/>
          <w:i w:val="0"/>
          <w:iCs w:val="0"/>
          <w:sz w:val="22"/>
          <w:szCs w:val="22"/>
          <w:u w:val="none"/>
        </w:rPr>
      </w:pPr>
      <w:r w:rsidRPr="00B71D86">
        <w:rPr>
          <w:rFonts w:eastAsia="Times New Roman"/>
          <w:i w:val="0"/>
          <w:iCs w:val="0"/>
          <w:sz w:val="22"/>
          <w:szCs w:val="22"/>
          <w:u w:val="none"/>
        </w:rPr>
        <w:t>Subsecretario General interino</w:t>
      </w:r>
    </w:p>
    <w:p w14:paraId="2D1E8AD0" w14:textId="77777777" w:rsidR="00C6609F" w:rsidRPr="00B71D86" w:rsidRDefault="00C6609F" w:rsidP="00C6609F">
      <w:pPr>
        <w:ind w:left="851" w:right="851"/>
        <w:jc w:val="center"/>
        <w:rPr>
          <w:rFonts w:ascii="Times New Roman" w:hAnsi="Times New Roman"/>
          <w:b/>
          <w:bCs/>
          <w:lang w:val="es-ES" w:eastAsia="ar-SA"/>
        </w:rPr>
      </w:pPr>
      <w:r w:rsidRPr="00B71D86">
        <w:rPr>
          <w:rFonts w:ascii="Times New Roman" w:hAnsi="Times New Roman"/>
          <w:b/>
          <w:bCs/>
          <w:lang w:val="es-ES" w:eastAsia="ar-SA"/>
        </w:rPr>
        <w:t>Corte Suprema de Justicia</w:t>
      </w:r>
    </w:p>
    <w:p w14:paraId="07C02070" w14:textId="77777777" w:rsidR="00C6609F" w:rsidRPr="00C6609F" w:rsidRDefault="00C6609F" w:rsidP="00C6609F">
      <w:pPr>
        <w:suppressAutoHyphens/>
        <w:spacing w:after="0" w:line="240" w:lineRule="auto"/>
        <w:jc w:val="both"/>
        <w:rPr>
          <w:rFonts w:ascii="Times New Roman" w:hAnsi="Times New Roman"/>
          <w:i/>
          <w:iCs/>
          <w:lang w:val="es-ES" w:eastAsia="ar-SA"/>
        </w:rPr>
      </w:pPr>
    </w:p>
    <w:p w14:paraId="70A9181D" w14:textId="7A1A663F" w:rsidR="00C6609F" w:rsidRPr="00C6609F" w:rsidRDefault="00C6609F" w:rsidP="00C6609F">
      <w:pPr>
        <w:suppressAutoHyphens/>
        <w:spacing w:after="0" w:line="240" w:lineRule="auto"/>
        <w:jc w:val="both"/>
        <w:rPr>
          <w:rFonts w:ascii="Times New Roman" w:hAnsi="Times New Roman"/>
          <w:bCs/>
          <w:i/>
          <w:iCs/>
          <w:lang w:val="es-ES" w:eastAsia="ar-SA"/>
        </w:rPr>
      </w:pPr>
      <w:proofErr w:type="spellStart"/>
      <w:r w:rsidRPr="00C6609F">
        <w:rPr>
          <w:rFonts w:ascii="Times New Roman" w:hAnsi="Times New Roman"/>
          <w:i/>
          <w:iCs/>
          <w:lang w:val="es-ES" w:eastAsia="ar-SA"/>
        </w:rPr>
        <w:t>Refs</w:t>
      </w:r>
      <w:proofErr w:type="spellEnd"/>
      <w:r w:rsidRPr="00C6609F">
        <w:rPr>
          <w:rFonts w:ascii="Times New Roman" w:hAnsi="Times New Roman"/>
          <w:i/>
          <w:iCs/>
          <w:lang w:val="es-ES" w:eastAsia="ar-SA"/>
        </w:rPr>
        <w:t xml:space="preserve">.: </w:t>
      </w:r>
      <w:r w:rsidRPr="00C6609F">
        <w:rPr>
          <w:rFonts w:ascii="Times New Roman" w:hAnsi="Times New Roman"/>
          <w:bCs/>
          <w:i/>
          <w:iCs/>
          <w:lang w:val="es-ES" w:eastAsia="ar-SA"/>
        </w:rPr>
        <w:t>(</w:t>
      </w:r>
      <w:r w:rsidR="00AA0A26" w:rsidRPr="00AA0A26">
        <w:rPr>
          <w:rFonts w:ascii="Times New Roman" w:hAnsi="Times New Roman"/>
          <w:bCs/>
          <w:i/>
          <w:iCs/>
          <w:lang w:val="es-ES" w:eastAsia="ar-SA"/>
        </w:rPr>
        <w:t>14897</w:t>
      </w:r>
      <w:r w:rsidR="00AA0A26">
        <w:rPr>
          <w:rFonts w:ascii="Times New Roman" w:hAnsi="Times New Roman"/>
          <w:bCs/>
          <w:i/>
          <w:iCs/>
          <w:lang w:val="es-ES" w:eastAsia="ar-SA"/>
        </w:rPr>
        <w:t xml:space="preserve">-2022 / </w:t>
      </w:r>
      <w:r w:rsidR="00AA0A26" w:rsidRPr="00AA0A26">
        <w:rPr>
          <w:rFonts w:ascii="Times New Roman" w:hAnsi="Times New Roman"/>
          <w:bCs/>
          <w:i/>
          <w:iCs/>
          <w:lang w:eastAsia="ar-SA"/>
        </w:rPr>
        <w:t>3625</w:t>
      </w:r>
      <w:r w:rsidR="00AA0A26">
        <w:rPr>
          <w:rFonts w:ascii="Times New Roman" w:hAnsi="Times New Roman"/>
          <w:bCs/>
          <w:i/>
          <w:iCs/>
          <w:lang w:eastAsia="ar-SA"/>
        </w:rPr>
        <w:t>-2023 / 4018-2023</w:t>
      </w:r>
      <w:r w:rsidRPr="00C6609F">
        <w:rPr>
          <w:rFonts w:ascii="Times New Roman" w:hAnsi="Times New Roman"/>
          <w:bCs/>
          <w:i/>
          <w:iCs/>
          <w:lang w:val="es-ES" w:eastAsia="ar-SA"/>
        </w:rPr>
        <w:t>)</w:t>
      </w:r>
    </w:p>
    <w:p w14:paraId="220F0FEA" w14:textId="481A560A" w:rsidR="00C6609F" w:rsidRPr="00C6609F" w:rsidRDefault="00C6609F" w:rsidP="00C6609F">
      <w:pPr>
        <w:suppressAutoHyphens/>
        <w:spacing w:after="0" w:line="240" w:lineRule="auto"/>
        <w:jc w:val="both"/>
        <w:rPr>
          <w:rFonts w:ascii="Times New Roman" w:hAnsi="Times New Roman"/>
          <w:i/>
          <w:iCs/>
          <w:lang w:val="es-ES" w:eastAsia="ar-SA"/>
        </w:rPr>
      </w:pPr>
      <w:r w:rsidRPr="00C6609F">
        <w:rPr>
          <w:rFonts w:ascii="Times New Roman" w:hAnsi="Times New Roman"/>
          <w:bCs/>
          <w:i/>
          <w:iCs/>
          <w:lang w:val="es-ES" w:eastAsia="ar-SA"/>
        </w:rPr>
        <w:t>Mónica Ross</w:t>
      </w:r>
    </w:p>
    <w:p w14:paraId="3F404724" w14:textId="77777777" w:rsidR="00C6609F" w:rsidRDefault="00C6609F" w:rsidP="00C6609F">
      <w:pPr>
        <w:rPr>
          <w:lang w:eastAsia="es-CR"/>
        </w:rPr>
      </w:pPr>
    </w:p>
    <w:p w14:paraId="53243214" w14:textId="77777777" w:rsidR="00955503" w:rsidRDefault="00955503">
      <w:pPr>
        <w:rPr>
          <w:rFonts w:ascii="Times New Roman" w:hAnsi="Times New Roman" w:cs="Times New Roman"/>
          <w:sz w:val="24"/>
          <w:szCs w:val="24"/>
        </w:rPr>
      </w:pPr>
    </w:p>
    <w:p w14:paraId="77813400" w14:textId="77777777" w:rsidR="00C6609F" w:rsidRDefault="00C6609F">
      <w:pPr>
        <w:rPr>
          <w:rFonts w:ascii="Times New Roman" w:hAnsi="Times New Roman" w:cs="Times New Roman"/>
          <w:sz w:val="24"/>
          <w:szCs w:val="24"/>
        </w:rPr>
      </w:pPr>
    </w:p>
    <w:p w14:paraId="1801F89F" w14:textId="77777777" w:rsidR="00955503" w:rsidRDefault="00955503">
      <w:pPr>
        <w:rPr>
          <w:rFonts w:ascii="Times New Roman" w:hAnsi="Times New Roman" w:cs="Times New Roman"/>
          <w:sz w:val="24"/>
          <w:szCs w:val="24"/>
        </w:rPr>
      </w:pPr>
    </w:p>
    <w:p w14:paraId="1EABAF93" w14:textId="77777777" w:rsidR="00955503" w:rsidRDefault="00955503" w:rsidP="00955503">
      <w:pPr>
        <w:spacing w:after="0"/>
        <w:jc w:val="center"/>
        <w:rPr>
          <w:rFonts w:ascii="Times New Roman" w:hAnsi="Times New Roman" w:cs="Times New Roman"/>
          <w:sz w:val="24"/>
          <w:szCs w:val="24"/>
        </w:rPr>
      </w:pPr>
    </w:p>
    <w:p w14:paraId="3B7B5CA4" w14:textId="77777777" w:rsidR="00955503" w:rsidRDefault="00955503" w:rsidP="00955503">
      <w:pPr>
        <w:spacing w:after="0"/>
        <w:jc w:val="center"/>
        <w:rPr>
          <w:rFonts w:ascii="Times New Roman" w:hAnsi="Times New Roman" w:cs="Times New Roman"/>
          <w:sz w:val="24"/>
          <w:szCs w:val="24"/>
        </w:rPr>
      </w:pPr>
    </w:p>
    <w:sectPr w:rsidR="009555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2AE75" w14:textId="77777777" w:rsidR="00D96740" w:rsidRDefault="00D96740" w:rsidP="00BD3184">
      <w:pPr>
        <w:spacing w:after="0" w:line="240" w:lineRule="auto"/>
      </w:pPr>
      <w:r>
        <w:separator/>
      </w:r>
    </w:p>
  </w:endnote>
  <w:endnote w:type="continuationSeparator" w:id="0">
    <w:p w14:paraId="0815729B" w14:textId="77777777" w:rsidR="00D96740" w:rsidRDefault="00D96740" w:rsidP="00BD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087FA" w14:textId="77777777" w:rsidR="00D96740" w:rsidRDefault="00D96740" w:rsidP="00BD3184">
      <w:pPr>
        <w:spacing w:after="0" w:line="240" w:lineRule="auto"/>
      </w:pPr>
      <w:r>
        <w:separator/>
      </w:r>
    </w:p>
  </w:footnote>
  <w:footnote w:type="continuationSeparator" w:id="0">
    <w:p w14:paraId="74F44AF0" w14:textId="77777777" w:rsidR="00D96740" w:rsidRDefault="00D96740" w:rsidP="00BD3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50C72"/>
    <w:multiLevelType w:val="hybridMultilevel"/>
    <w:tmpl w:val="59A2204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3CD57FBF"/>
    <w:multiLevelType w:val="hybridMultilevel"/>
    <w:tmpl w:val="0A1AD53E"/>
    <w:lvl w:ilvl="0" w:tplc="140A000D">
      <w:start w:val="1"/>
      <w:numFmt w:val="bullet"/>
      <w:lvlText w:val=""/>
      <w:lvlJc w:val="left"/>
      <w:pPr>
        <w:ind w:left="1800" w:hanging="360"/>
      </w:pPr>
      <w:rPr>
        <w:rFonts w:ascii="Wingdings" w:hAnsi="Wingdings"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2" w15:restartNumberingAfterBreak="0">
    <w:nsid w:val="48DD7D44"/>
    <w:multiLevelType w:val="hybridMultilevel"/>
    <w:tmpl w:val="99C23282"/>
    <w:lvl w:ilvl="0" w:tplc="140A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3D42435"/>
    <w:multiLevelType w:val="hybridMultilevel"/>
    <w:tmpl w:val="DBACF47A"/>
    <w:lvl w:ilvl="0" w:tplc="8FF89AF8">
      <w:start w:val="1"/>
      <w:numFmt w:val="upperRoman"/>
      <w:lvlText w:val="%1."/>
      <w:lvlJc w:val="left"/>
      <w:pPr>
        <w:ind w:left="1080" w:hanging="72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6C519BC"/>
    <w:multiLevelType w:val="hybridMultilevel"/>
    <w:tmpl w:val="DB1C73F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AE"/>
    <w:rsid w:val="00002A57"/>
    <w:rsid w:val="0001365D"/>
    <w:rsid w:val="00033B57"/>
    <w:rsid w:val="000363D1"/>
    <w:rsid w:val="0004228C"/>
    <w:rsid w:val="0008032C"/>
    <w:rsid w:val="000857F2"/>
    <w:rsid w:val="000870E8"/>
    <w:rsid w:val="000A42CF"/>
    <w:rsid w:val="000B1995"/>
    <w:rsid w:val="000B63E5"/>
    <w:rsid w:val="000D0A9A"/>
    <w:rsid w:val="000D5F43"/>
    <w:rsid w:val="000D6830"/>
    <w:rsid w:val="000D7F6D"/>
    <w:rsid w:val="000F33DE"/>
    <w:rsid w:val="001264D7"/>
    <w:rsid w:val="00164201"/>
    <w:rsid w:val="001645BF"/>
    <w:rsid w:val="00165C4E"/>
    <w:rsid w:val="00184353"/>
    <w:rsid w:val="0019239C"/>
    <w:rsid w:val="001A1055"/>
    <w:rsid w:val="001A6165"/>
    <w:rsid w:val="001B63FA"/>
    <w:rsid w:val="001C2239"/>
    <w:rsid w:val="00212BD9"/>
    <w:rsid w:val="002427C8"/>
    <w:rsid w:val="00295711"/>
    <w:rsid w:val="002A0494"/>
    <w:rsid w:val="002A38EE"/>
    <w:rsid w:val="002B0BFA"/>
    <w:rsid w:val="002B715A"/>
    <w:rsid w:val="002C1C3A"/>
    <w:rsid w:val="002D0EBD"/>
    <w:rsid w:val="002E5DB8"/>
    <w:rsid w:val="002E6E06"/>
    <w:rsid w:val="00313F1C"/>
    <w:rsid w:val="003345C3"/>
    <w:rsid w:val="003427F9"/>
    <w:rsid w:val="003554BA"/>
    <w:rsid w:val="00355D49"/>
    <w:rsid w:val="003720C3"/>
    <w:rsid w:val="003B11F2"/>
    <w:rsid w:val="003B6A45"/>
    <w:rsid w:val="003C4B3F"/>
    <w:rsid w:val="003D0EC4"/>
    <w:rsid w:val="004043E4"/>
    <w:rsid w:val="00424925"/>
    <w:rsid w:val="004362C9"/>
    <w:rsid w:val="004666C5"/>
    <w:rsid w:val="00494061"/>
    <w:rsid w:val="00497FFC"/>
    <w:rsid w:val="004A2FF6"/>
    <w:rsid w:val="004A3F08"/>
    <w:rsid w:val="004A4B13"/>
    <w:rsid w:val="004D486A"/>
    <w:rsid w:val="004D48C5"/>
    <w:rsid w:val="004F31E3"/>
    <w:rsid w:val="004F3B2A"/>
    <w:rsid w:val="005216FE"/>
    <w:rsid w:val="00534B84"/>
    <w:rsid w:val="0058008A"/>
    <w:rsid w:val="005B0E92"/>
    <w:rsid w:val="005B54E2"/>
    <w:rsid w:val="005C2920"/>
    <w:rsid w:val="005C29FA"/>
    <w:rsid w:val="005E71E2"/>
    <w:rsid w:val="005F1045"/>
    <w:rsid w:val="00602A80"/>
    <w:rsid w:val="0060451F"/>
    <w:rsid w:val="00624F59"/>
    <w:rsid w:val="006340BA"/>
    <w:rsid w:val="00656AD7"/>
    <w:rsid w:val="006601B0"/>
    <w:rsid w:val="006642F3"/>
    <w:rsid w:val="00672F9E"/>
    <w:rsid w:val="00694328"/>
    <w:rsid w:val="006A1ED9"/>
    <w:rsid w:val="006A6866"/>
    <w:rsid w:val="006A71D1"/>
    <w:rsid w:val="006B02A5"/>
    <w:rsid w:val="006C0862"/>
    <w:rsid w:val="006C5AE9"/>
    <w:rsid w:val="006D3188"/>
    <w:rsid w:val="0070780B"/>
    <w:rsid w:val="00711847"/>
    <w:rsid w:val="0071422B"/>
    <w:rsid w:val="00750AFA"/>
    <w:rsid w:val="00750CB5"/>
    <w:rsid w:val="007604F6"/>
    <w:rsid w:val="0076384E"/>
    <w:rsid w:val="00764F89"/>
    <w:rsid w:val="00785130"/>
    <w:rsid w:val="00791F06"/>
    <w:rsid w:val="007A5237"/>
    <w:rsid w:val="007B74E2"/>
    <w:rsid w:val="007B7CA6"/>
    <w:rsid w:val="00802A05"/>
    <w:rsid w:val="008201E9"/>
    <w:rsid w:val="0086515A"/>
    <w:rsid w:val="0088036B"/>
    <w:rsid w:val="008D6EC7"/>
    <w:rsid w:val="008D79A4"/>
    <w:rsid w:val="009067F5"/>
    <w:rsid w:val="009145B5"/>
    <w:rsid w:val="00924905"/>
    <w:rsid w:val="0095227E"/>
    <w:rsid w:val="009553D9"/>
    <w:rsid w:val="00955503"/>
    <w:rsid w:val="009945BE"/>
    <w:rsid w:val="009A4EDB"/>
    <w:rsid w:val="009B6011"/>
    <w:rsid w:val="009B70AE"/>
    <w:rsid w:val="009D21B6"/>
    <w:rsid w:val="009D64D8"/>
    <w:rsid w:val="00A133B2"/>
    <w:rsid w:val="00A30009"/>
    <w:rsid w:val="00A3316A"/>
    <w:rsid w:val="00A55B3D"/>
    <w:rsid w:val="00A571FF"/>
    <w:rsid w:val="00A72E03"/>
    <w:rsid w:val="00A90A31"/>
    <w:rsid w:val="00AA0A26"/>
    <w:rsid w:val="00AB568A"/>
    <w:rsid w:val="00AD18CA"/>
    <w:rsid w:val="00B012E1"/>
    <w:rsid w:val="00B0181A"/>
    <w:rsid w:val="00B04A9F"/>
    <w:rsid w:val="00B06345"/>
    <w:rsid w:val="00B44958"/>
    <w:rsid w:val="00B5390D"/>
    <w:rsid w:val="00B53F67"/>
    <w:rsid w:val="00B61588"/>
    <w:rsid w:val="00B71D86"/>
    <w:rsid w:val="00B749BD"/>
    <w:rsid w:val="00B7740D"/>
    <w:rsid w:val="00BB7E66"/>
    <w:rsid w:val="00BC1FC4"/>
    <w:rsid w:val="00BD3184"/>
    <w:rsid w:val="00BD4BDE"/>
    <w:rsid w:val="00C01736"/>
    <w:rsid w:val="00C0283C"/>
    <w:rsid w:val="00C30108"/>
    <w:rsid w:val="00C35171"/>
    <w:rsid w:val="00C4467B"/>
    <w:rsid w:val="00C57021"/>
    <w:rsid w:val="00C625FB"/>
    <w:rsid w:val="00C6609F"/>
    <w:rsid w:val="00C739DA"/>
    <w:rsid w:val="00C84362"/>
    <w:rsid w:val="00CA1826"/>
    <w:rsid w:val="00CA308B"/>
    <w:rsid w:val="00CD10E1"/>
    <w:rsid w:val="00CD47FB"/>
    <w:rsid w:val="00CD5569"/>
    <w:rsid w:val="00D06F45"/>
    <w:rsid w:val="00D30FF9"/>
    <w:rsid w:val="00D32605"/>
    <w:rsid w:val="00D47C0E"/>
    <w:rsid w:val="00D539AE"/>
    <w:rsid w:val="00D83D66"/>
    <w:rsid w:val="00D871CE"/>
    <w:rsid w:val="00D93C35"/>
    <w:rsid w:val="00D96740"/>
    <w:rsid w:val="00DA1829"/>
    <w:rsid w:val="00DB516E"/>
    <w:rsid w:val="00DE3531"/>
    <w:rsid w:val="00DE5966"/>
    <w:rsid w:val="00E00075"/>
    <w:rsid w:val="00E12A2E"/>
    <w:rsid w:val="00E173AB"/>
    <w:rsid w:val="00E329A9"/>
    <w:rsid w:val="00E37749"/>
    <w:rsid w:val="00E465C5"/>
    <w:rsid w:val="00E56F36"/>
    <w:rsid w:val="00E61250"/>
    <w:rsid w:val="00E637E1"/>
    <w:rsid w:val="00E64839"/>
    <w:rsid w:val="00EB0D5E"/>
    <w:rsid w:val="00EF5329"/>
    <w:rsid w:val="00F37247"/>
    <w:rsid w:val="00F50C87"/>
    <w:rsid w:val="00F512B8"/>
    <w:rsid w:val="00F849AB"/>
    <w:rsid w:val="00F87A11"/>
    <w:rsid w:val="00F961E9"/>
    <w:rsid w:val="00FA6900"/>
    <w:rsid w:val="00FD36C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71D5"/>
  <w15:chartTrackingRefBased/>
  <w15:docId w15:val="{98A2714B-DAE7-4C8D-87D8-6F04E484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70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user">
    <w:name w:val="Standard (user)"/>
    <w:rsid w:val="009B70A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redeterminado">
    <w:name w:val="Predeterminado"/>
    <w:rsid w:val="009B70AE"/>
    <w:pPr>
      <w:suppressAutoHyphens/>
      <w:spacing w:after="200" w:line="276" w:lineRule="auto"/>
    </w:pPr>
    <w:rPr>
      <w:rFonts w:ascii="Calibri" w:eastAsia="Arial Unicode MS" w:hAnsi="Calibri" w:cs="Calibri"/>
      <w:lang w:val="es-MX"/>
    </w:rPr>
  </w:style>
  <w:style w:type="paragraph" w:styleId="Prrafodelista">
    <w:name w:val="List Paragraph"/>
    <w:aliases w:val="Bullet 1,Use Case List Paragraph,Lista vistosa - Énfasis 11,Párrafo de lista Car Car Car,Informe,Footnote,FooterText,numbered,Paragraphe de liste1,Bulletr List Paragraph,列出段落,列出段落1,lp1,lp11,List Paragraph 1,Numbered List Paragraph,3"/>
    <w:basedOn w:val="Normal"/>
    <w:link w:val="PrrafodelistaCar"/>
    <w:uiPriority w:val="34"/>
    <w:qFormat/>
    <w:rsid w:val="0008032C"/>
    <w:pPr>
      <w:ind w:left="720"/>
      <w:contextualSpacing/>
    </w:pPr>
  </w:style>
  <w:style w:type="paragraph" w:customStyle="1" w:styleId="Default">
    <w:name w:val="Default"/>
    <w:rsid w:val="009067F5"/>
    <w:pPr>
      <w:autoSpaceDE w:val="0"/>
      <w:autoSpaceDN w:val="0"/>
      <w:adjustRightInd w:val="0"/>
      <w:spacing w:after="0" w:line="240" w:lineRule="auto"/>
    </w:pPr>
    <w:rPr>
      <w:rFonts w:ascii="Myriad Pro" w:hAnsi="Myriad Pro" w:cs="Myriad Pro"/>
      <w:color w:val="000000"/>
      <w:sz w:val="24"/>
      <w:szCs w:val="24"/>
    </w:rPr>
  </w:style>
  <w:style w:type="paragraph" w:styleId="Encabezado">
    <w:name w:val="header"/>
    <w:basedOn w:val="Normal"/>
    <w:link w:val="EncabezadoCar"/>
    <w:uiPriority w:val="99"/>
    <w:unhideWhenUsed/>
    <w:rsid w:val="002B71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715A"/>
  </w:style>
  <w:style w:type="paragraph" w:styleId="Piedepgina">
    <w:name w:val="footer"/>
    <w:basedOn w:val="Normal"/>
    <w:link w:val="PiedepginaCar"/>
    <w:uiPriority w:val="99"/>
    <w:unhideWhenUsed/>
    <w:rsid w:val="002B71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715A"/>
  </w:style>
  <w:style w:type="character" w:styleId="nfasis">
    <w:name w:val="Emphasis"/>
    <w:basedOn w:val="Fuentedeprrafopredeter"/>
    <w:uiPriority w:val="20"/>
    <w:qFormat/>
    <w:rsid w:val="00C57021"/>
    <w:rPr>
      <w:i/>
      <w:iCs/>
    </w:rPr>
  </w:style>
  <w:style w:type="paragraph" w:styleId="Textodeglobo">
    <w:name w:val="Balloon Text"/>
    <w:basedOn w:val="Normal"/>
    <w:link w:val="TextodegloboCar"/>
    <w:uiPriority w:val="99"/>
    <w:semiHidden/>
    <w:unhideWhenUsed/>
    <w:rsid w:val="006A1E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1ED9"/>
    <w:rPr>
      <w:rFonts w:ascii="Segoe UI" w:hAnsi="Segoe UI" w:cs="Segoe UI"/>
      <w:sz w:val="18"/>
      <w:szCs w:val="18"/>
    </w:rPr>
  </w:style>
  <w:style w:type="paragraph" w:styleId="Revisin">
    <w:name w:val="Revision"/>
    <w:hidden/>
    <w:uiPriority w:val="99"/>
    <w:semiHidden/>
    <w:rsid w:val="007B74E2"/>
    <w:pPr>
      <w:spacing w:after="0" w:line="240" w:lineRule="auto"/>
    </w:pPr>
  </w:style>
  <w:style w:type="character" w:styleId="Hipervnculo">
    <w:name w:val="Hyperlink"/>
    <w:basedOn w:val="Fuentedeprrafopredeter"/>
    <w:uiPriority w:val="99"/>
    <w:unhideWhenUsed/>
    <w:rsid w:val="00C6609F"/>
    <w:rPr>
      <w:color w:val="0563C1"/>
      <w:u w:val="single"/>
    </w:rPr>
  </w:style>
  <w:style w:type="paragraph" w:customStyle="1" w:styleId="Textodebloque2">
    <w:name w:val="Texto de bloque2"/>
    <w:basedOn w:val="Normal"/>
    <w:uiPriority w:val="99"/>
    <w:qFormat/>
    <w:rsid w:val="00C6609F"/>
    <w:pPr>
      <w:widowControl w:val="0"/>
      <w:spacing w:after="0" w:line="240" w:lineRule="auto"/>
      <w:ind w:left="851" w:right="851" w:firstLine="709"/>
      <w:jc w:val="both"/>
    </w:pPr>
    <w:rPr>
      <w:rFonts w:ascii="Times New Roman" w:eastAsia="Times New Roman" w:hAnsi="Times New Roman" w:cs="Times New Roman"/>
      <w:sz w:val="24"/>
      <w:szCs w:val="24"/>
      <w:lang w:val="es-ES" w:eastAsia="zh-CN"/>
    </w:rPr>
  </w:style>
  <w:style w:type="paragraph" w:customStyle="1" w:styleId="Ttulo51">
    <w:name w:val="Título 51"/>
    <w:next w:val="Normal"/>
    <w:rsid w:val="00C6609F"/>
    <w:pPr>
      <w:keepNext/>
      <w:widowControl w:val="0"/>
      <w:shd w:val="clear" w:color="auto" w:fill="FFFFFF"/>
      <w:tabs>
        <w:tab w:val="left" w:pos="0"/>
      </w:tabs>
      <w:suppressAutoHyphens/>
      <w:spacing w:after="0" w:line="240" w:lineRule="auto"/>
      <w:jc w:val="center"/>
    </w:pPr>
    <w:rPr>
      <w:rFonts w:ascii="Times New Roman" w:eastAsia="Lucida Sans Unicode" w:hAnsi="Times New Roman" w:cs="Times New Roman"/>
      <w:b/>
      <w:bCs/>
      <w:i/>
      <w:iCs/>
      <w:sz w:val="26"/>
      <w:szCs w:val="26"/>
      <w:u w:val="single"/>
      <w:lang w:val="es-ES" w:eastAsia="ar-SA"/>
    </w:rPr>
  </w:style>
  <w:style w:type="character" w:styleId="Mencinsinresolver">
    <w:name w:val="Unresolved Mention"/>
    <w:basedOn w:val="Fuentedeprrafopredeter"/>
    <w:uiPriority w:val="99"/>
    <w:semiHidden/>
    <w:unhideWhenUsed/>
    <w:rsid w:val="0095227E"/>
    <w:rPr>
      <w:color w:val="605E5C"/>
      <w:shd w:val="clear" w:color="auto" w:fill="E1DFDD"/>
    </w:rPr>
  </w:style>
  <w:style w:type="table" w:styleId="Tablaconcuadrcula">
    <w:name w:val="Table Grid"/>
    <w:basedOn w:val="Tablanormal"/>
    <w:uiPriority w:val="39"/>
    <w:rsid w:val="00AA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1 Car,Use Case List Paragraph Car,Lista vistosa - Énfasis 11 Car,Párrafo de lista Car Car Car Car,Informe Car,Footnote Car,FooterText Car,numbered Car,Paragraphe de liste1 Car,Bulletr List Paragraph Car,列出段落 Car,列出段落1 Car"/>
    <w:link w:val="Prrafodelista"/>
    <w:uiPriority w:val="34"/>
    <w:qFormat/>
    <w:locked/>
    <w:rsid w:val="00AA0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6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7087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Angie Calderón Chaves</cp:lastModifiedBy>
  <cp:revision>2</cp:revision>
  <dcterms:created xsi:type="dcterms:W3CDTF">2023-05-29T17:41:00Z</dcterms:created>
  <dcterms:modified xsi:type="dcterms:W3CDTF">2023-05-29T17:41:00Z</dcterms:modified>
</cp:coreProperties>
</file>