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FC899" w14:textId="7152864C" w:rsidR="00721282" w:rsidRDefault="00721282" w:rsidP="00463EA4">
      <w:pPr>
        <w:suppressAutoHyphens w:val="0"/>
        <w:jc w:val="center"/>
        <w:rPr>
          <w:rFonts w:eastAsia="Calibri"/>
          <w:b/>
          <w:sz w:val="24"/>
          <w:szCs w:val="24"/>
          <w:lang w:val="es-CR" w:eastAsia="en-US"/>
        </w:rPr>
      </w:pPr>
      <w:bookmarkStart w:id="0" w:name="_GoBack"/>
      <w:bookmarkEnd w:id="0"/>
      <w:r w:rsidRPr="00D2783D">
        <w:rPr>
          <w:rFonts w:eastAsia="Calibri"/>
          <w:b/>
          <w:sz w:val="24"/>
          <w:szCs w:val="24"/>
          <w:lang w:val="es-CR" w:eastAsia="en-US"/>
        </w:rPr>
        <w:t>CIRCULAR No. 105-2021</w:t>
      </w:r>
    </w:p>
    <w:p w14:paraId="05F7036E" w14:textId="77777777" w:rsidR="00D2783D" w:rsidRPr="00D2783D" w:rsidRDefault="00D2783D" w:rsidP="00D2783D">
      <w:pPr>
        <w:suppressAutoHyphens w:val="0"/>
        <w:jc w:val="both"/>
        <w:rPr>
          <w:rFonts w:eastAsia="Calibri"/>
          <w:b/>
          <w:sz w:val="24"/>
          <w:szCs w:val="24"/>
          <w:lang w:val="es-CR" w:eastAsia="en-US"/>
        </w:rPr>
      </w:pPr>
    </w:p>
    <w:p w14:paraId="5B5F6B73" w14:textId="2A29EE6E" w:rsidR="00721282" w:rsidRDefault="00721282" w:rsidP="00463EA4">
      <w:pPr>
        <w:suppressAutoHyphens w:val="0"/>
        <w:ind w:firstLine="708"/>
        <w:jc w:val="both"/>
        <w:rPr>
          <w:rFonts w:eastAsia="Calibri"/>
          <w:b/>
          <w:iCs/>
          <w:sz w:val="24"/>
          <w:szCs w:val="24"/>
          <w:lang w:val="es-CR" w:eastAsia="en-US"/>
        </w:rPr>
      </w:pPr>
      <w:r w:rsidRPr="00D2783D">
        <w:rPr>
          <w:rFonts w:eastAsia="Calibri"/>
          <w:b/>
          <w:iCs/>
          <w:sz w:val="24"/>
          <w:szCs w:val="24"/>
          <w:lang w:val="es-CR" w:eastAsia="en-US"/>
        </w:rPr>
        <w:t>Asunto: </w:t>
      </w:r>
      <w:r w:rsidRPr="00D2783D">
        <w:rPr>
          <w:rFonts w:eastAsia="Calibri"/>
          <w:bCs/>
          <w:iCs/>
          <w:sz w:val="24"/>
          <w:szCs w:val="24"/>
          <w:lang w:val="es-CR" w:eastAsia="en-US"/>
        </w:rPr>
        <w:t>Modificación de las circulares 127-2019 y 67-2021, sobre “Información contenida en los dictámenes periciales</w:t>
      </w:r>
    </w:p>
    <w:p w14:paraId="25ACCD73" w14:textId="77777777" w:rsidR="00D2783D" w:rsidRPr="00D2783D" w:rsidRDefault="00D2783D" w:rsidP="00D2783D">
      <w:pPr>
        <w:suppressAutoHyphens w:val="0"/>
        <w:jc w:val="both"/>
        <w:rPr>
          <w:rFonts w:eastAsia="Calibri"/>
          <w:b/>
          <w:iCs/>
          <w:sz w:val="24"/>
          <w:szCs w:val="24"/>
          <w:lang w:val="es-CR" w:eastAsia="en-US"/>
        </w:rPr>
      </w:pPr>
    </w:p>
    <w:p w14:paraId="76A9FAC2" w14:textId="77777777" w:rsidR="00721282" w:rsidRPr="00D2783D" w:rsidRDefault="00721282" w:rsidP="00D2783D">
      <w:pPr>
        <w:suppressAutoHyphens w:val="0"/>
        <w:jc w:val="center"/>
        <w:rPr>
          <w:rFonts w:eastAsia="Calibri"/>
          <w:b/>
          <w:bCs/>
          <w:iCs/>
          <w:sz w:val="24"/>
          <w:szCs w:val="24"/>
          <w:u w:val="single"/>
          <w:lang w:val="es-ES" w:eastAsia="en-US"/>
        </w:rPr>
      </w:pPr>
      <w:r w:rsidRPr="00D2783D">
        <w:rPr>
          <w:rFonts w:eastAsia="Calibri"/>
          <w:b/>
          <w:bCs/>
          <w:iCs/>
          <w:sz w:val="24"/>
          <w:szCs w:val="24"/>
          <w:u w:val="single"/>
          <w:lang w:val="es-ES" w:eastAsia="en-US"/>
        </w:rPr>
        <w:t>A TODAS LAS AUTORIDADES JUDICIALES</w:t>
      </w:r>
    </w:p>
    <w:p w14:paraId="7205D876" w14:textId="5D6557C5" w:rsidR="00721282" w:rsidRDefault="00721282" w:rsidP="00D2783D">
      <w:pPr>
        <w:suppressAutoHyphens w:val="0"/>
        <w:jc w:val="center"/>
        <w:rPr>
          <w:rFonts w:eastAsia="Calibri"/>
          <w:b/>
          <w:bCs/>
          <w:iCs/>
          <w:sz w:val="24"/>
          <w:szCs w:val="24"/>
          <w:u w:val="single"/>
          <w:lang w:val="es-ES" w:eastAsia="en-US"/>
        </w:rPr>
      </w:pPr>
      <w:r w:rsidRPr="00D2783D">
        <w:rPr>
          <w:rFonts w:eastAsia="Calibri"/>
          <w:b/>
          <w:bCs/>
          <w:iCs/>
          <w:sz w:val="24"/>
          <w:szCs w:val="24"/>
          <w:u w:val="single"/>
          <w:lang w:val="es-ES" w:eastAsia="en-US"/>
        </w:rPr>
        <w:t>Y PERITOS DEL PAÍS</w:t>
      </w:r>
    </w:p>
    <w:p w14:paraId="13E5129C" w14:textId="77777777" w:rsidR="00D2783D" w:rsidRPr="00D2783D" w:rsidRDefault="00D2783D" w:rsidP="00D2783D">
      <w:pPr>
        <w:suppressAutoHyphens w:val="0"/>
        <w:jc w:val="center"/>
        <w:rPr>
          <w:rFonts w:eastAsia="Calibri"/>
          <w:b/>
          <w:bCs/>
          <w:iCs/>
          <w:sz w:val="24"/>
          <w:szCs w:val="24"/>
          <w:u w:val="single"/>
          <w:lang w:val="es-ES" w:eastAsia="en-US"/>
        </w:rPr>
      </w:pPr>
    </w:p>
    <w:p w14:paraId="654E2DF6" w14:textId="5607AFAE" w:rsidR="00721282" w:rsidRDefault="00721282" w:rsidP="00D2783D">
      <w:pPr>
        <w:suppressAutoHyphens w:val="0"/>
        <w:jc w:val="center"/>
        <w:rPr>
          <w:rFonts w:eastAsia="Calibri"/>
          <w:b/>
          <w:bCs/>
          <w:iCs/>
          <w:sz w:val="24"/>
          <w:szCs w:val="24"/>
          <w:u w:val="single"/>
          <w:lang w:val="es-ES" w:eastAsia="en-US"/>
        </w:rPr>
      </w:pPr>
      <w:r w:rsidRPr="00D2783D">
        <w:rPr>
          <w:rFonts w:eastAsia="Calibri"/>
          <w:b/>
          <w:bCs/>
          <w:iCs/>
          <w:sz w:val="24"/>
          <w:szCs w:val="24"/>
          <w:u w:val="single"/>
          <w:lang w:val="es-ES" w:eastAsia="en-US"/>
        </w:rPr>
        <w:t>SE LES HACE SABER QUE:</w:t>
      </w:r>
    </w:p>
    <w:p w14:paraId="7FEB8B36" w14:textId="77777777" w:rsidR="00D2783D" w:rsidRPr="00D2783D" w:rsidRDefault="00D2783D" w:rsidP="00D2783D">
      <w:pPr>
        <w:suppressAutoHyphens w:val="0"/>
        <w:jc w:val="center"/>
        <w:rPr>
          <w:rFonts w:eastAsia="Calibri"/>
          <w:b/>
          <w:bCs/>
          <w:iCs/>
          <w:sz w:val="24"/>
          <w:szCs w:val="24"/>
          <w:u w:val="single"/>
          <w:lang w:val="es-ES" w:eastAsia="en-US"/>
        </w:rPr>
      </w:pPr>
    </w:p>
    <w:p w14:paraId="03462364" w14:textId="0A489121" w:rsidR="00721282" w:rsidRDefault="00721282" w:rsidP="00463EA4">
      <w:pPr>
        <w:shd w:val="clear" w:color="auto" w:fill="FFFFFF"/>
        <w:suppressAutoHyphens w:val="0"/>
        <w:ind w:firstLine="708"/>
        <w:jc w:val="both"/>
        <w:rPr>
          <w:sz w:val="24"/>
          <w:szCs w:val="24"/>
          <w:lang w:val="es-CR" w:eastAsia="es-CR"/>
        </w:rPr>
      </w:pPr>
      <w:r w:rsidRPr="00D2783D">
        <w:rPr>
          <w:sz w:val="24"/>
          <w:szCs w:val="24"/>
          <w:lang w:val="es-CR" w:eastAsia="es-CR"/>
        </w:rPr>
        <w:t xml:space="preserve">El Consejo Superior en sesión </w:t>
      </w:r>
      <w:proofErr w:type="spellStart"/>
      <w:r w:rsidRPr="00D2783D">
        <w:rPr>
          <w:sz w:val="24"/>
          <w:szCs w:val="24"/>
          <w:lang w:val="es-CR" w:eastAsia="es-CR"/>
        </w:rPr>
        <w:t>Nº</w:t>
      </w:r>
      <w:proofErr w:type="spellEnd"/>
      <w:r w:rsidRPr="00D2783D">
        <w:rPr>
          <w:sz w:val="24"/>
          <w:szCs w:val="24"/>
          <w:lang w:val="es-CR" w:eastAsia="es-CR"/>
        </w:rPr>
        <w:t> 29-2021, celebrada el 15 de abril de 2021, artículo LXVIII, a solicitud de la Dirección General del Organismo de Investigación Judicial, acordó modificar el texto de las circulares 127-2019 del 7 de agosto de 2019 y 67-2021 del 19 de marzo de 2021, denominada “Información contenida en los dictámenes periciales”, para que se lea de la siguiente manera:</w:t>
      </w:r>
    </w:p>
    <w:p w14:paraId="1CF451DE" w14:textId="77777777" w:rsidR="00D2783D" w:rsidRPr="00D2783D" w:rsidRDefault="00D2783D" w:rsidP="00D2783D">
      <w:pPr>
        <w:shd w:val="clear" w:color="auto" w:fill="FFFFFF"/>
        <w:suppressAutoHyphens w:val="0"/>
        <w:jc w:val="both"/>
        <w:rPr>
          <w:sz w:val="24"/>
          <w:szCs w:val="24"/>
          <w:lang w:val="es-CR" w:eastAsia="es-CR"/>
        </w:rPr>
      </w:pPr>
    </w:p>
    <w:p w14:paraId="34C871D2" w14:textId="63F571EF" w:rsidR="00721282" w:rsidRDefault="00721282" w:rsidP="00463EA4">
      <w:pPr>
        <w:shd w:val="clear" w:color="auto" w:fill="FFFFFF"/>
        <w:suppressAutoHyphens w:val="0"/>
        <w:ind w:firstLine="708"/>
        <w:jc w:val="both"/>
        <w:rPr>
          <w:sz w:val="24"/>
          <w:szCs w:val="24"/>
          <w:lang w:val="es-CR" w:eastAsia="es-CR"/>
        </w:rPr>
      </w:pPr>
      <w:r w:rsidRPr="00D2783D">
        <w:rPr>
          <w:i/>
          <w:iCs/>
          <w:sz w:val="24"/>
          <w:szCs w:val="24"/>
        </w:rPr>
        <w:t xml:space="preserve">Se adiciona como autorizados para la recepción de dictámenes periciales  a la Unidad de Vínculos Criminales (U.V.I.C.), esto siempre y cuando sean solicitados formalmente vía correo electrónico por la JEFATURA de dicha unidad y por las autoridades jurisdiccionales que así lo requieran y lo soliciten como prueba para mejor resolver en expedientes judiciales, según lo estipulado por la Circular </w:t>
      </w:r>
      <w:proofErr w:type="spellStart"/>
      <w:r w:rsidRPr="00D2783D">
        <w:rPr>
          <w:i/>
          <w:iCs/>
          <w:sz w:val="24"/>
          <w:szCs w:val="24"/>
        </w:rPr>
        <w:t>N°</w:t>
      </w:r>
      <w:proofErr w:type="spellEnd"/>
      <w:r w:rsidRPr="00D2783D">
        <w:rPr>
          <w:i/>
          <w:iCs/>
          <w:sz w:val="24"/>
          <w:szCs w:val="24"/>
        </w:rPr>
        <w:t xml:space="preserve"> 17-ADM-2020 emitida por la Fiscalía General de la República y el Organismo de Investigación Judicial</w:t>
      </w:r>
      <w:r w:rsidRPr="00D2783D">
        <w:rPr>
          <w:sz w:val="24"/>
          <w:szCs w:val="24"/>
          <w:lang w:val="es-CR" w:eastAsia="es-CR"/>
        </w:rPr>
        <w:t>.</w:t>
      </w:r>
    </w:p>
    <w:p w14:paraId="5A20D82E" w14:textId="77777777" w:rsidR="00D2783D" w:rsidRPr="00D2783D" w:rsidRDefault="00D2783D" w:rsidP="00D2783D">
      <w:pPr>
        <w:shd w:val="clear" w:color="auto" w:fill="FFFFFF"/>
        <w:suppressAutoHyphens w:val="0"/>
        <w:jc w:val="both"/>
        <w:rPr>
          <w:sz w:val="24"/>
          <w:szCs w:val="24"/>
          <w:lang w:val="es-CR" w:eastAsia="es-CR"/>
        </w:rPr>
      </w:pPr>
    </w:p>
    <w:p w14:paraId="08C34B81" w14:textId="4EF3D60F" w:rsidR="00721282" w:rsidRDefault="00721282" w:rsidP="00463EA4">
      <w:pPr>
        <w:shd w:val="clear" w:color="auto" w:fill="FFFFFF"/>
        <w:suppressAutoHyphens w:val="0"/>
        <w:ind w:firstLine="708"/>
        <w:jc w:val="both"/>
        <w:rPr>
          <w:b/>
          <w:bCs/>
          <w:sz w:val="24"/>
          <w:szCs w:val="24"/>
          <w:lang w:val="es-CR" w:eastAsia="es-CR"/>
        </w:rPr>
      </w:pPr>
      <w:r w:rsidRPr="00D2783D">
        <w:rPr>
          <w:b/>
          <w:bCs/>
          <w:sz w:val="24"/>
          <w:szCs w:val="24"/>
          <w:lang w:val="es-CR" w:eastAsia="es-CR"/>
        </w:rPr>
        <w:t>De conformidad con la circular No. 67-09 emitida por la Secretaría de la Corte el 22 de junio de 2009, se le comunica que en virtud del principio de gratuidad que rige esta materia, la publicación está exenta de todo pago de derechos.</w:t>
      </w:r>
    </w:p>
    <w:p w14:paraId="7B67E17A" w14:textId="77777777" w:rsidR="00D2783D" w:rsidRPr="00D2783D" w:rsidRDefault="00D2783D" w:rsidP="00D2783D">
      <w:pPr>
        <w:shd w:val="clear" w:color="auto" w:fill="FFFFFF"/>
        <w:suppressAutoHyphens w:val="0"/>
        <w:jc w:val="both"/>
        <w:rPr>
          <w:sz w:val="24"/>
          <w:szCs w:val="24"/>
          <w:lang w:val="es-CR" w:eastAsia="es-CR"/>
        </w:rPr>
      </w:pPr>
    </w:p>
    <w:p w14:paraId="47343F8C" w14:textId="5B41F1F7" w:rsidR="00721282" w:rsidRDefault="00721282" w:rsidP="00D2783D">
      <w:pPr>
        <w:shd w:val="clear" w:color="auto" w:fill="FFFFFF"/>
        <w:suppressAutoHyphens w:val="0"/>
        <w:jc w:val="both"/>
        <w:rPr>
          <w:b/>
          <w:bCs/>
          <w:sz w:val="24"/>
          <w:szCs w:val="24"/>
          <w:lang w:val="es-CR" w:eastAsia="es-CR"/>
        </w:rPr>
      </w:pPr>
      <w:r w:rsidRPr="00D2783D">
        <w:rPr>
          <w:b/>
          <w:bCs/>
          <w:sz w:val="24"/>
          <w:szCs w:val="24"/>
          <w:lang w:val="es-CR" w:eastAsia="es-CR"/>
        </w:rPr>
        <w:t>Publíquese por una única vez en el Boletín Judicial.</w:t>
      </w:r>
    </w:p>
    <w:p w14:paraId="0BEC7942" w14:textId="77777777" w:rsidR="00D2783D" w:rsidRPr="00D2783D" w:rsidRDefault="00D2783D" w:rsidP="00D2783D">
      <w:pPr>
        <w:shd w:val="clear" w:color="auto" w:fill="FFFFFF"/>
        <w:suppressAutoHyphens w:val="0"/>
        <w:jc w:val="both"/>
        <w:rPr>
          <w:sz w:val="24"/>
          <w:szCs w:val="24"/>
          <w:lang w:val="es-CR" w:eastAsia="es-CR"/>
        </w:rPr>
      </w:pPr>
    </w:p>
    <w:p w14:paraId="3A76B3BA" w14:textId="498A88B8" w:rsidR="00721282" w:rsidRDefault="00721282" w:rsidP="00D2783D">
      <w:pPr>
        <w:shd w:val="clear" w:color="auto" w:fill="FFFFFF"/>
        <w:suppressAutoHyphens w:val="0"/>
        <w:jc w:val="both"/>
        <w:rPr>
          <w:b/>
          <w:bCs/>
          <w:sz w:val="24"/>
          <w:szCs w:val="24"/>
          <w:lang w:val="es-CR" w:eastAsia="es-CR"/>
        </w:rPr>
      </w:pPr>
      <w:r w:rsidRPr="00D2783D">
        <w:rPr>
          <w:b/>
          <w:bCs/>
          <w:sz w:val="24"/>
          <w:szCs w:val="24"/>
          <w:lang w:val="es-CR" w:eastAsia="es-CR"/>
        </w:rPr>
        <w:t>San José, 14 de mayo de 2021</w:t>
      </w:r>
    </w:p>
    <w:p w14:paraId="62ABDD4C" w14:textId="7655A05F" w:rsidR="007E4CD8" w:rsidRDefault="007E4CD8" w:rsidP="00D2783D">
      <w:pPr>
        <w:shd w:val="clear" w:color="auto" w:fill="FFFFFF"/>
        <w:suppressAutoHyphens w:val="0"/>
        <w:jc w:val="both"/>
        <w:rPr>
          <w:b/>
          <w:bCs/>
          <w:sz w:val="24"/>
          <w:szCs w:val="24"/>
          <w:lang w:val="es-CR" w:eastAsia="es-CR"/>
        </w:rPr>
      </w:pPr>
    </w:p>
    <w:p w14:paraId="4DF64EB4" w14:textId="7DC52521" w:rsidR="007E4CD8" w:rsidRDefault="007E4CD8" w:rsidP="00D2783D">
      <w:pPr>
        <w:shd w:val="clear" w:color="auto" w:fill="FFFFFF"/>
        <w:suppressAutoHyphens w:val="0"/>
        <w:jc w:val="both"/>
        <w:rPr>
          <w:sz w:val="24"/>
          <w:szCs w:val="24"/>
          <w:lang w:val="es-CR" w:eastAsia="es-CR"/>
        </w:rPr>
      </w:pPr>
    </w:p>
    <w:p w14:paraId="0F2E6571" w14:textId="65948B7F" w:rsidR="007E4CD8" w:rsidRDefault="007E4CD8" w:rsidP="00D2783D">
      <w:pPr>
        <w:shd w:val="clear" w:color="auto" w:fill="FFFFFF"/>
        <w:suppressAutoHyphens w:val="0"/>
        <w:jc w:val="both"/>
        <w:rPr>
          <w:sz w:val="24"/>
          <w:szCs w:val="24"/>
          <w:lang w:val="es-CR" w:eastAsia="es-CR"/>
        </w:rPr>
      </w:pPr>
    </w:p>
    <w:p w14:paraId="0EB86985" w14:textId="77777777" w:rsidR="003B366B" w:rsidRDefault="003B366B" w:rsidP="00D2783D">
      <w:pPr>
        <w:shd w:val="clear" w:color="auto" w:fill="FFFFFF"/>
        <w:suppressAutoHyphens w:val="0"/>
        <w:jc w:val="both"/>
        <w:rPr>
          <w:sz w:val="24"/>
          <w:szCs w:val="24"/>
          <w:lang w:val="es-CR" w:eastAsia="es-CR"/>
        </w:rPr>
      </w:pPr>
    </w:p>
    <w:p w14:paraId="6A826D68" w14:textId="77777777" w:rsidR="007E4CD8" w:rsidRPr="001635B9" w:rsidRDefault="007E4CD8" w:rsidP="00463EA4">
      <w:pPr>
        <w:widowControl w:val="0"/>
        <w:tabs>
          <w:tab w:val="left" w:pos="708"/>
        </w:tabs>
        <w:jc w:val="center"/>
        <w:rPr>
          <w:b/>
          <w:bCs/>
          <w:sz w:val="24"/>
          <w:szCs w:val="24"/>
          <w:shd w:val="clear" w:color="auto" w:fill="FFFFFF"/>
          <w:lang w:val="es-ES" w:eastAsia="zh-CN"/>
        </w:rPr>
      </w:pPr>
      <w:r w:rsidRPr="001635B9">
        <w:rPr>
          <w:b/>
          <w:bCs/>
          <w:sz w:val="24"/>
          <w:szCs w:val="24"/>
          <w:shd w:val="clear" w:color="auto" w:fill="FFFFFF"/>
          <w:lang w:val="es-ES" w:eastAsia="zh-CN"/>
        </w:rPr>
        <w:t>Lic. Carlos Toscano Mora Rodríguez</w:t>
      </w:r>
    </w:p>
    <w:p w14:paraId="28AC0ED7" w14:textId="77777777" w:rsidR="007E4CD8" w:rsidRPr="001635B9" w:rsidRDefault="007E4CD8" w:rsidP="00463EA4">
      <w:pPr>
        <w:widowControl w:val="0"/>
        <w:tabs>
          <w:tab w:val="left" w:pos="708"/>
        </w:tabs>
        <w:jc w:val="center"/>
        <w:rPr>
          <w:b/>
          <w:bCs/>
          <w:sz w:val="24"/>
          <w:szCs w:val="24"/>
          <w:shd w:val="clear" w:color="auto" w:fill="FFFFFF"/>
          <w:lang w:val="es-ES" w:eastAsia="zh-CN"/>
        </w:rPr>
      </w:pPr>
      <w:r w:rsidRPr="001635B9">
        <w:rPr>
          <w:b/>
          <w:bCs/>
          <w:sz w:val="24"/>
          <w:szCs w:val="24"/>
          <w:shd w:val="clear" w:color="auto" w:fill="FFFFFF"/>
          <w:lang w:val="es-ES" w:eastAsia="zh-CN"/>
        </w:rPr>
        <w:t>Subsecretario General interino</w:t>
      </w:r>
    </w:p>
    <w:p w14:paraId="6BC222B2" w14:textId="77777777" w:rsidR="007E4CD8" w:rsidRPr="001635B9" w:rsidRDefault="007E4CD8" w:rsidP="00463EA4">
      <w:pPr>
        <w:jc w:val="center"/>
        <w:rPr>
          <w:b/>
          <w:bCs/>
          <w:sz w:val="24"/>
          <w:szCs w:val="24"/>
          <w:lang w:val="es-ES" w:eastAsia="zh-CN"/>
        </w:rPr>
      </w:pPr>
      <w:r w:rsidRPr="001635B9">
        <w:rPr>
          <w:b/>
          <w:bCs/>
          <w:sz w:val="24"/>
          <w:szCs w:val="24"/>
          <w:lang w:val="es-ES" w:eastAsia="zh-CN"/>
        </w:rPr>
        <w:t>Corte Suprema de Justicia</w:t>
      </w:r>
    </w:p>
    <w:p w14:paraId="11BA09A4" w14:textId="1751CFDD" w:rsidR="007E4CD8" w:rsidRDefault="007E4CD8" w:rsidP="007E4CD8">
      <w:pPr>
        <w:jc w:val="both"/>
        <w:rPr>
          <w:sz w:val="24"/>
          <w:szCs w:val="24"/>
          <w:lang w:val="es-ES" w:eastAsia="zh-CN"/>
        </w:rPr>
      </w:pPr>
      <w:proofErr w:type="spellStart"/>
      <w:r w:rsidRPr="009A2550">
        <w:rPr>
          <w:sz w:val="24"/>
          <w:szCs w:val="24"/>
          <w:lang w:val="es-ES" w:eastAsia="zh-CN"/>
        </w:rPr>
        <w:t>Refs</w:t>
      </w:r>
      <w:proofErr w:type="spellEnd"/>
      <w:r w:rsidRPr="009A2550">
        <w:rPr>
          <w:sz w:val="24"/>
          <w:szCs w:val="24"/>
          <w:lang w:val="es-ES" w:eastAsia="zh-CN"/>
        </w:rPr>
        <w:t>: (</w:t>
      </w:r>
      <w:r>
        <w:rPr>
          <w:b/>
          <w:bCs/>
          <w:sz w:val="24"/>
          <w:szCs w:val="24"/>
          <w:lang w:val="es-ES" w:eastAsia="zh-CN"/>
        </w:rPr>
        <w:t>3260-2021</w:t>
      </w:r>
      <w:r w:rsidRPr="009A2550">
        <w:rPr>
          <w:sz w:val="24"/>
          <w:szCs w:val="24"/>
          <w:lang w:val="es-ES" w:eastAsia="zh-CN"/>
        </w:rPr>
        <w:t xml:space="preserve">) </w:t>
      </w:r>
    </w:p>
    <w:p w14:paraId="29109F89" w14:textId="01EC4F82" w:rsidR="007E4CD8" w:rsidRPr="001635B9" w:rsidRDefault="007E4CD8" w:rsidP="007E4CD8">
      <w:pPr>
        <w:jc w:val="both"/>
        <w:rPr>
          <w:bCs/>
          <w:i/>
          <w:iCs/>
          <w:color w:val="BFBFBF" w:themeColor="background1" w:themeShade="BF"/>
          <w:sz w:val="24"/>
          <w:szCs w:val="24"/>
          <w:lang w:val="es-ES" w:eastAsia="zh-CN"/>
        </w:rPr>
      </w:pPr>
      <w:r>
        <w:rPr>
          <w:bCs/>
          <w:i/>
          <w:iCs/>
          <w:color w:val="BFBFBF" w:themeColor="background1" w:themeShade="BF"/>
          <w:sz w:val="24"/>
          <w:szCs w:val="24"/>
          <w:lang w:val="es-ES" w:eastAsia="zh-CN"/>
        </w:rPr>
        <w:t>Marisela D.</w:t>
      </w:r>
    </w:p>
    <w:p w14:paraId="20D01A01" w14:textId="77777777" w:rsidR="007E4CD8" w:rsidRPr="00D2783D" w:rsidRDefault="007E4CD8" w:rsidP="00D2783D">
      <w:pPr>
        <w:shd w:val="clear" w:color="auto" w:fill="FFFFFF"/>
        <w:suppressAutoHyphens w:val="0"/>
        <w:jc w:val="both"/>
        <w:rPr>
          <w:sz w:val="24"/>
          <w:szCs w:val="24"/>
          <w:lang w:val="es-CR" w:eastAsia="es-CR"/>
        </w:rPr>
      </w:pPr>
    </w:p>
    <w:p w14:paraId="2DD3448C" w14:textId="77777777" w:rsidR="00AC600B" w:rsidRDefault="00AC600B"/>
    <w:sectPr w:rsidR="00AC60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282"/>
    <w:rsid w:val="003B366B"/>
    <w:rsid w:val="00463EA4"/>
    <w:rsid w:val="00721282"/>
    <w:rsid w:val="007E4CD8"/>
    <w:rsid w:val="009B1EE4"/>
    <w:rsid w:val="00AC600B"/>
    <w:rsid w:val="00BD47BD"/>
    <w:rsid w:val="00D2783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63616"/>
  <w15:chartTrackingRefBased/>
  <w15:docId w15:val="{ECFE936C-A675-4D58-8CC6-AA7C44F36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1282"/>
    <w:pPr>
      <w:suppressAutoHyphens/>
      <w:spacing w:after="0" w:line="240" w:lineRule="auto"/>
    </w:pPr>
    <w:rPr>
      <w:rFonts w:ascii="Times New Roman" w:eastAsia="Times New Roman" w:hAnsi="Times New Roman" w:cs="Times New Roman"/>
      <w:sz w:val="20"/>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1319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 General de la Corte - Comunicaciones -Marisela Duran Salazar</dc:creator>
  <cp:keywords/>
  <dc:description/>
  <cp:lastModifiedBy>Angie Calderón Chaves</cp:lastModifiedBy>
  <cp:revision>2</cp:revision>
  <dcterms:created xsi:type="dcterms:W3CDTF">2022-04-13T15:50:00Z</dcterms:created>
  <dcterms:modified xsi:type="dcterms:W3CDTF">2022-04-13T15:50:00Z</dcterms:modified>
</cp:coreProperties>
</file>