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4A67E" w14:textId="68D23E99" w:rsidR="00A52401" w:rsidRDefault="00A52401" w:rsidP="00A52401">
      <w:pPr>
        <w:pStyle w:val="Default"/>
        <w:jc w:val="center"/>
        <w:rPr>
          <w:b/>
          <w:bCs/>
          <w:color w:val="auto"/>
        </w:rPr>
      </w:pPr>
      <w:bookmarkStart w:id="0" w:name="_GoBack"/>
      <w:bookmarkEnd w:id="0"/>
    </w:p>
    <w:p w14:paraId="1CD87CE8" w14:textId="3B30C742" w:rsidR="00A52401" w:rsidRDefault="00A52401" w:rsidP="00A52401">
      <w:pPr>
        <w:pStyle w:val="Default"/>
        <w:jc w:val="center"/>
        <w:rPr>
          <w:b/>
          <w:bCs/>
          <w:color w:val="auto"/>
        </w:rPr>
      </w:pPr>
      <w:r w:rsidRPr="00244C1F">
        <w:rPr>
          <w:b/>
          <w:bCs/>
          <w:color w:val="auto"/>
        </w:rPr>
        <w:t xml:space="preserve">CIRCULAR EXTERNA </w:t>
      </w:r>
      <w:proofErr w:type="spellStart"/>
      <w:r w:rsidRPr="00147416">
        <w:rPr>
          <w:b/>
          <w:bCs/>
          <w:color w:val="auto"/>
        </w:rPr>
        <w:t>N°</w:t>
      </w:r>
      <w:proofErr w:type="spellEnd"/>
      <w:r w:rsidRPr="00147416">
        <w:rPr>
          <w:b/>
          <w:bCs/>
          <w:color w:val="auto"/>
        </w:rPr>
        <w:t xml:space="preserve"> </w:t>
      </w:r>
      <w:r w:rsidR="001B652A" w:rsidRPr="00147416">
        <w:rPr>
          <w:b/>
          <w:bCs/>
          <w:color w:val="auto"/>
        </w:rPr>
        <w:t>1</w:t>
      </w:r>
      <w:r w:rsidR="00147416" w:rsidRPr="00147416">
        <w:rPr>
          <w:b/>
          <w:bCs/>
          <w:color w:val="auto"/>
        </w:rPr>
        <w:t>8</w:t>
      </w:r>
      <w:r w:rsidRPr="00147416">
        <w:rPr>
          <w:b/>
          <w:bCs/>
          <w:color w:val="auto"/>
        </w:rPr>
        <w:t>-202</w:t>
      </w:r>
      <w:r w:rsidR="005408C6" w:rsidRPr="00147416">
        <w:rPr>
          <w:b/>
          <w:bCs/>
          <w:color w:val="auto"/>
        </w:rPr>
        <w:t>1</w:t>
      </w:r>
    </w:p>
    <w:p w14:paraId="59590298" w14:textId="77777777" w:rsidR="00752DA7" w:rsidRDefault="00752DA7" w:rsidP="00A52401">
      <w:pPr>
        <w:pStyle w:val="Default"/>
        <w:jc w:val="center"/>
        <w:rPr>
          <w:b/>
          <w:bCs/>
          <w:color w:val="auto"/>
        </w:rPr>
      </w:pPr>
    </w:p>
    <w:p w14:paraId="392B38D3" w14:textId="34A50EAD" w:rsidR="00752DA7" w:rsidRDefault="00752DA7" w:rsidP="00A52401">
      <w:pPr>
        <w:pStyle w:val="Default"/>
        <w:jc w:val="center"/>
        <w:rPr>
          <w:b/>
          <w:bCs/>
          <w:color w:val="auto"/>
        </w:rPr>
      </w:pPr>
      <w:r>
        <w:rPr>
          <w:b/>
          <w:bCs/>
          <w:noProof/>
          <w:color w:val="auto"/>
        </w:rPr>
        <w:drawing>
          <wp:anchor distT="0" distB="0" distL="114300" distR="114300" simplePos="0" relativeHeight="251659264" behindDoc="0" locked="0" layoutInCell="1" allowOverlap="1" wp14:anchorId="45AA094A" wp14:editId="1E33D74F">
            <wp:simplePos x="0" y="0"/>
            <wp:positionH relativeFrom="column">
              <wp:posOffset>4775200</wp:posOffset>
            </wp:positionH>
            <wp:positionV relativeFrom="paragraph">
              <wp:posOffset>126365</wp:posOffset>
            </wp:positionV>
            <wp:extent cx="791497" cy="438150"/>
            <wp:effectExtent l="0" t="0" r="889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1497" cy="438150"/>
                    </a:xfrm>
                    <a:prstGeom prst="rect">
                      <a:avLst/>
                    </a:prstGeom>
                    <a:noFill/>
                  </pic:spPr>
                </pic:pic>
              </a:graphicData>
            </a:graphic>
          </wp:anchor>
        </w:drawing>
      </w:r>
    </w:p>
    <w:p w14:paraId="7B37A78A" w14:textId="491C0C93" w:rsidR="00A52401" w:rsidRDefault="00A52401" w:rsidP="00A52401">
      <w:pPr>
        <w:pStyle w:val="Default"/>
        <w:rPr>
          <w:b/>
          <w:bCs/>
          <w:color w:val="auto"/>
        </w:rPr>
      </w:pPr>
    </w:p>
    <w:p w14:paraId="7679C2BF" w14:textId="4E52F1E9" w:rsidR="008F2A6D" w:rsidRDefault="008F2A6D" w:rsidP="008F2A6D">
      <w:pPr>
        <w:pStyle w:val="Default"/>
        <w:rPr>
          <w:color w:val="auto"/>
        </w:rPr>
      </w:pPr>
      <w:r>
        <w:rPr>
          <w:b/>
          <w:bCs/>
          <w:color w:val="auto"/>
        </w:rPr>
        <w:t xml:space="preserve">FECHA:      </w:t>
      </w:r>
      <w:r w:rsidR="005408C6">
        <w:rPr>
          <w:color w:val="auto"/>
        </w:rPr>
        <w:t>2</w:t>
      </w:r>
      <w:r w:rsidR="00752DA7">
        <w:rPr>
          <w:color w:val="auto"/>
        </w:rPr>
        <w:t>2</w:t>
      </w:r>
      <w:r w:rsidRPr="008F2A6D">
        <w:rPr>
          <w:color w:val="auto"/>
        </w:rPr>
        <w:t xml:space="preserve"> de </w:t>
      </w:r>
      <w:r w:rsidR="006F5B99">
        <w:rPr>
          <w:color w:val="auto"/>
        </w:rPr>
        <w:t>abril</w:t>
      </w:r>
      <w:r w:rsidR="00206D76">
        <w:rPr>
          <w:color w:val="auto"/>
        </w:rPr>
        <w:t xml:space="preserve"> </w:t>
      </w:r>
      <w:r w:rsidRPr="008F2A6D">
        <w:rPr>
          <w:color w:val="auto"/>
        </w:rPr>
        <w:t>de 202</w:t>
      </w:r>
      <w:r w:rsidR="005408C6">
        <w:rPr>
          <w:color w:val="auto"/>
        </w:rPr>
        <w:t>1</w:t>
      </w:r>
    </w:p>
    <w:p w14:paraId="38310FC6" w14:textId="77777777" w:rsidR="008F2A6D" w:rsidRDefault="008F2A6D" w:rsidP="008F2A6D">
      <w:pPr>
        <w:pStyle w:val="Default"/>
        <w:rPr>
          <w:b/>
          <w:bCs/>
          <w:color w:val="auto"/>
        </w:rPr>
      </w:pPr>
    </w:p>
    <w:p w14:paraId="50E6EFC1" w14:textId="7E1BF1BC" w:rsidR="008F2A6D" w:rsidRDefault="008F2A6D" w:rsidP="006B0C35">
      <w:pPr>
        <w:pStyle w:val="Default"/>
        <w:jc w:val="both"/>
        <w:outlineLvl w:val="0"/>
      </w:pPr>
      <w:r>
        <w:rPr>
          <w:b/>
          <w:bCs/>
          <w:color w:val="auto"/>
        </w:rPr>
        <w:t xml:space="preserve">DE:             </w:t>
      </w:r>
      <w:r>
        <w:rPr>
          <w:color w:val="auto"/>
        </w:rPr>
        <w:t>M.B.A. Miguel Ovares Chavarría, Jefe</w:t>
      </w:r>
      <w:r w:rsidR="006B0C35">
        <w:rPr>
          <w:color w:val="auto"/>
        </w:rPr>
        <w:t xml:space="preserve"> </w:t>
      </w:r>
      <w:r>
        <w:rPr>
          <w:color w:val="auto"/>
        </w:rPr>
        <w:t xml:space="preserve">Macroproceso Financiero Contable  </w:t>
      </w:r>
    </w:p>
    <w:p w14:paraId="4688A8FD" w14:textId="77777777" w:rsidR="008F2A6D" w:rsidRDefault="008F2A6D" w:rsidP="008F2A6D">
      <w:pPr>
        <w:pStyle w:val="Default"/>
        <w:jc w:val="both"/>
        <w:rPr>
          <w:b/>
          <w:bCs/>
          <w:color w:val="auto"/>
        </w:rPr>
      </w:pPr>
    </w:p>
    <w:p w14:paraId="03C7BEA4" w14:textId="325DE031" w:rsidR="008F2A6D" w:rsidRPr="00DA775C" w:rsidRDefault="008F2A6D" w:rsidP="008F2A6D">
      <w:pPr>
        <w:widowControl w:val="0"/>
        <w:suppressAutoHyphens/>
        <w:autoSpaceDE w:val="0"/>
        <w:autoSpaceDN w:val="0"/>
        <w:adjustRightInd w:val="0"/>
        <w:ind w:left="1260" w:hanging="1260"/>
        <w:jc w:val="both"/>
        <w:rPr>
          <w:rFonts w:ascii="Arial" w:eastAsia="SimSun" w:hAnsi="Arial" w:cs="Arial"/>
          <w:b/>
          <w:kern w:val="1"/>
          <w:sz w:val="24"/>
          <w:szCs w:val="24"/>
          <w:lang w:eastAsia="zh-CN" w:bidi="hi-IN"/>
        </w:rPr>
      </w:pPr>
      <w:r w:rsidRPr="00DA775C">
        <w:rPr>
          <w:rFonts w:ascii="Arial" w:eastAsia="SimSun" w:hAnsi="Arial" w:cs="Arial"/>
          <w:b/>
          <w:kern w:val="1"/>
          <w:sz w:val="24"/>
          <w:szCs w:val="24"/>
          <w:lang w:eastAsia="zh-CN" w:bidi="hi-IN"/>
        </w:rPr>
        <w:t>PARA:       </w:t>
      </w:r>
      <w:r w:rsidRPr="00DA775C">
        <w:rPr>
          <w:rFonts w:ascii="Arial" w:eastAsia="SimSun" w:hAnsi="Arial" w:cs="Arial"/>
          <w:bCs/>
          <w:kern w:val="1"/>
          <w:sz w:val="24"/>
          <w:szCs w:val="24"/>
          <w:lang w:eastAsia="zh-CN" w:bidi="hi-IN"/>
        </w:rPr>
        <w:t xml:space="preserve">Administraciones Regionales, Oficinas judiciales que tienen asignadas </w:t>
      </w:r>
      <w:r w:rsidR="006B0C35">
        <w:rPr>
          <w:rFonts w:ascii="Arial" w:eastAsia="SimSun" w:hAnsi="Arial" w:cs="Arial"/>
          <w:bCs/>
          <w:kern w:val="1"/>
          <w:sz w:val="24"/>
          <w:szCs w:val="24"/>
          <w:lang w:eastAsia="zh-CN" w:bidi="hi-IN"/>
        </w:rPr>
        <w:t>C</w:t>
      </w:r>
      <w:r w:rsidRPr="00DA775C">
        <w:rPr>
          <w:rFonts w:ascii="Arial" w:eastAsia="SimSun" w:hAnsi="Arial" w:cs="Arial"/>
          <w:bCs/>
          <w:kern w:val="1"/>
          <w:sz w:val="24"/>
          <w:szCs w:val="24"/>
          <w:lang w:eastAsia="zh-CN" w:bidi="hi-IN"/>
        </w:rPr>
        <w:t>ajas Chicas.</w:t>
      </w:r>
    </w:p>
    <w:p w14:paraId="20E94D0E" w14:textId="77777777" w:rsidR="008F2A6D" w:rsidRDefault="008F2A6D" w:rsidP="008F2A6D">
      <w:pPr>
        <w:pStyle w:val="Default"/>
        <w:jc w:val="both"/>
        <w:rPr>
          <w:color w:val="auto"/>
        </w:rPr>
      </w:pPr>
    </w:p>
    <w:p w14:paraId="313DE3C2" w14:textId="68CE78C6" w:rsidR="008F2A6D" w:rsidRPr="00C56EA5" w:rsidRDefault="008F2A6D" w:rsidP="008F2A6D">
      <w:pPr>
        <w:autoSpaceDE w:val="0"/>
        <w:autoSpaceDN w:val="0"/>
        <w:adjustRightInd w:val="0"/>
        <w:ind w:left="1260" w:hanging="1260"/>
        <w:jc w:val="both"/>
        <w:rPr>
          <w:rFonts w:ascii="Arial" w:hAnsi="Arial" w:cs="Arial"/>
        </w:rPr>
      </w:pPr>
      <w:r w:rsidRPr="00C56EA5">
        <w:rPr>
          <w:rFonts w:ascii="Arial" w:hAnsi="Arial" w:cs="Arial"/>
          <w:b/>
        </w:rPr>
        <w:t>ASUNTO:</w:t>
      </w:r>
      <w:r>
        <w:rPr>
          <w:rFonts w:ascii="Arial" w:hAnsi="Arial" w:cs="Arial"/>
          <w:b/>
        </w:rPr>
        <w:tab/>
      </w:r>
      <w:r w:rsidR="00B2058B" w:rsidRPr="00147416">
        <w:rPr>
          <w:rFonts w:ascii="Arial" w:hAnsi="Arial" w:cs="Arial"/>
        </w:rPr>
        <w:t>C</w:t>
      </w:r>
      <w:r w:rsidR="00B535D0" w:rsidRPr="00147416">
        <w:rPr>
          <w:rFonts w:ascii="Arial" w:hAnsi="Arial" w:cs="Arial"/>
        </w:rPr>
        <w:t>umplimiento de la normativa de Caja Chica</w:t>
      </w:r>
      <w:r w:rsidR="006F5B99" w:rsidRPr="00147416">
        <w:rPr>
          <w:rFonts w:ascii="Arial" w:hAnsi="Arial" w:cs="Arial"/>
        </w:rPr>
        <w:t>.</w:t>
      </w:r>
    </w:p>
    <w:p w14:paraId="6978ACDF" w14:textId="77777777" w:rsidR="008F2A6D" w:rsidRDefault="008F2A6D" w:rsidP="008F2A6D">
      <w:pPr>
        <w:pStyle w:val="Default"/>
        <w:rPr>
          <w:color w:val="auto"/>
        </w:rPr>
      </w:pPr>
    </w:p>
    <w:p w14:paraId="558CD920" w14:textId="77777777" w:rsidR="008F2A6D" w:rsidRDefault="008F2A6D" w:rsidP="008F2A6D">
      <w:pPr>
        <w:pStyle w:val="Default"/>
        <w:jc w:val="center"/>
        <w:rPr>
          <w:color w:val="auto"/>
        </w:rPr>
      </w:pPr>
      <w:r>
        <w:rPr>
          <w:noProof/>
          <w:lang w:eastAsia="es-CR"/>
        </w:rPr>
        <w:drawing>
          <wp:inline distT="0" distB="0" distL="0" distR="0" wp14:anchorId="5445C373" wp14:editId="1367F72F">
            <wp:extent cx="5612130" cy="19177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612130" cy="191770"/>
                    </a:xfrm>
                    <a:prstGeom prst="rect">
                      <a:avLst/>
                    </a:prstGeom>
                    <a:noFill/>
                    <a:ln>
                      <a:noFill/>
                    </a:ln>
                  </pic:spPr>
                </pic:pic>
              </a:graphicData>
            </a:graphic>
          </wp:inline>
        </w:drawing>
      </w:r>
    </w:p>
    <w:p w14:paraId="2059710C" w14:textId="77777777" w:rsidR="00752DA7" w:rsidRDefault="00752DA7" w:rsidP="001B652A">
      <w:pPr>
        <w:pStyle w:val="Default"/>
        <w:rPr>
          <w:color w:val="auto"/>
        </w:rPr>
      </w:pPr>
    </w:p>
    <w:p w14:paraId="66E81727" w14:textId="6B4A5B92" w:rsidR="00752DA7" w:rsidRDefault="009A786B" w:rsidP="009A786B">
      <w:pPr>
        <w:jc w:val="both"/>
        <w:rPr>
          <w:rFonts w:ascii="Arial" w:hAnsi="Arial" w:cs="Arial"/>
          <w:color w:val="000000"/>
          <w:sz w:val="23"/>
          <w:szCs w:val="23"/>
        </w:rPr>
      </w:pPr>
      <w:r w:rsidRPr="009A786B">
        <w:rPr>
          <w:rFonts w:ascii="Arial" w:hAnsi="Arial" w:cs="Arial"/>
          <w:color w:val="000000"/>
          <w:sz w:val="24"/>
          <w:szCs w:val="24"/>
        </w:rPr>
        <w:t xml:space="preserve"> </w:t>
      </w:r>
      <w:r w:rsidRPr="009A786B">
        <w:rPr>
          <w:rFonts w:ascii="Arial" w:hAnsi="Arial" w:cs="Arial"/>
          <w:color w:val="000000"/>
          <w:sz w:val="23"/>
          <w:szCs w:val="23"/>
        </w:rPr>
        <w:t xml:space="preserve">Con el fin de fortalecer el Control Interno, se les recuerda a las personas encargadas y responsables de las cajas chicas auxiliares, su obligación de </w:t>
      </w:r>
      <w:r w:rsidRPr="009A786B">
        <w:rPr>
          <w:rFonts w:ascii="Arial" w:hAnsi="Arial" w:cs="Arial"/>
          <w:color w:val="000000"/>
          <w:sz w:val="23"/>
          <w:szCs w:val="23"/>
          <w:u w:val="single"/>
        </w:rPr>
        <w:t>velar por el cumplimiento de lo establecido en el Reglamento de Cajas Chicas Auxiliares, Manual de Procedimientos de Cajas Chicas Auxiliares y demás normativa aplicable.</w:t>
      </w:r>
    </w:p>
    <w:p w14:paraId="1EA7E2FB" w14:textId="77777777" w:rsidR="009A786B" w:rsidRDefault="009A786B" w:rsidP="009A786B">
      <w:pPr>
        <w:jc w:val="both"/>
        <w:rPr>
          <w:rFonts w:ascii="Arial" w:hAnsi="Arial" w:cs="Arial"/>
          <w:sz w:val="24"/>
          <w:szCs w:val="24"/>
        </w:rPr>
      </w:pPr>
    </w:p>
    <w:p w14:paraId="70CD1CD0" w14:textId="6411F10E" w:rsidR="00752DA7" w:rsidRPr="00752DA7" w:rsidRDefault="00752DA7" w:rsidP="00752DA7">
      <w:pPr>
        <w:jc w:val="both"/>
        <w:rPr>
          <w:rFonts w:ascii="Arial" w:hAnsi="Arial" w:cs="Arial"/>
          <w:sz w:val="24"/>
          <w:szCs w:val="24"/>
        </w:rPr>
      </w:pPr>
      <w:r w:rsidRPr="00752DA7">
        <w:rPr>
          <w:rFonts w:ascii="Arial" w:hAnsi="Arial" w:cs="Arial"/>
          <w:sz w:val="24"/>
          <w:szCs w:val="24"/>
        </w:rPr>
        <w:t>Además, se reitera el cumplimiento de lo señalado en el artículo 24 del Reglamento de Cajas Chicas auxiliares:</w:t>
      </w:r>
    </w:p>
    <w:p w14:paraId="07D75C1D" w14:textId="77777777" w:rsidR="00752DA7" w:rsidRPr="00131FDD" w:rsidRDefault="00752DA7" w:rsidP="00752DA7">
      <w:pPr>
        <w:jc w:val="both"/>
        <w:rPr>
          <w:rFonts w:ascii="Arial" w:hAnsi="Arial" w:cs="Arial"/>
          <w:sz w:val="24"/>
          <w:szCs w:val="24"/>
        </w:rPr>
      </w:pPr>
    </w:p>
    <w:p w14:paraId="6BF58472" w14:textId="77777777" w:rsidR="00752DA7" w:rsidRPr="00131FDD" w:rsidRDefault="00752DA7" w:rsidP="00752DA7">
      <w:pPr>
        <w:ind w:left="708" w:right="-1"/>
        <w:jc w:val="both"/>
        <w:rPr>
          <w:rFonts w:ascii="Arial" w:hAnsi="Arial" w:cs="Arial"/>
          <w:sz w:val="24"/>
          <w:szCs w:val="24"/>
          <w:lang w:val="es-ES"/>
        </w:rPr>
      </w:pPr>
      <w:r w:rsidRPr="00131FDD">
        <w:rPr>
          <w:rFonts w:ascii="Arial" w:hAnsi="Arial" w:cs="Arial"/>
          <w:b/>
          <w:bCs/>
          <w:iCs/>
          <w:sz w:val="24"/>
          <w:szCs w:val="24"/>
          <w:lang w:val="es-ES"/>
        </w:rPr>
        <w:t>“[…] Artículo 24°.</w:t>
      </w:r>
      <w:r w:rsidRPr="00131FDD">
        <w:rPr>
          <w:rFonts w:ascii="Arial" w:hAnsi="Arial" w:cs="Arial"/>
          <w:sz w:val="24"/>
          <w:szCs w:val="24"/>
          <w:lang w:val="es-ES"/>
        </w:rPr>
        <w:t xml:space="preserve">  </w:t>
      </w:r>
      <w:r w:rsidRPr="00131FDD">
        <w:rPr>
          <w:rFonts w:ascii="Arial" w:hAnsi="Arial" w:cs="Arial"/>
          <w:b/>
          <w:bCs/>
          <w:iCs/>
          <w:sz w:val="24"/>
          <w:szCs w:val="24"/>
          <w:lang w:val="es-ES"/>
        </w:rPr>
        <w:t>Cambio de la persona encargada</w:t>
      </w:r>
      <w:r w:rsidRPr="00131FDD">
        <w:rPr>
          <w:rFonts w:ascii="Arial" w:hAnsi="Arial" w:cs="Arial"/>
          <w:b/>
          <w:bCs/>
          <w:sz w:val="24"/>
          <w:szCs w:val="24"/>
          <w:lang w:val="es-ES"/>
        </w:rPr>
        <w:t>.</w:t>
      </w:r>
      <w:r w:rsidRPr="00131FDD">
        <w:rPr>
          <w:rFonts w:ascii="Arial" w:hAnsi="Arial" w:cs="Arial"/>
          <w:sz w:val="24"/>
          <w:szCs w:val="24"/>
          <w:lang w:val="es-ES"/>
        </w:rPr>
        <w:t xml:space="preserve">  </w:t>
      </w:r>
    </w:p>
    <w:p w14:paraId="44E7074B" w14:textId="77777777" w:rsidR="00752DA7" w:rsidRPr="00131FDD" w:rsidRDefault="00752DA7" w:rsidP="00752DA7">
      <w:pPr>
        <w:ind w:left="708"/>
        <w:jc w:val="both"/>
        <w:rPr>
          <w:rFonts w:ascii="Arial" w:hAnsi="Arial" w:cs="Arial"/>
          <w:sz w:val="24"/>
          <w:szCs w:val="24"/>
          <w:lang w:val="es-ES"/>
        </w:rPr>
      </w:pPr>
      <w:r w:rsidRPr="00131FDD">
        <w:rPr>
          <w:rFonts w:ascii="Arial" w:hAnsi="Arial" w:cs="Arial"/>
          <w:sz w:val="24"/>
          <w:szCs w:val="24"/>
          <w:lang w:val="es-ES"/>
        </w:rPr>
        <w:t>Toda persona que asuma la responsabilidad de operar la Caja Chica Auxiliar, ya sea en forma permanente o transitoria, deberá recibirla previo arqueo, con la presencia y firma de quien entrega y quien recibe y de la jefatura inmediata de ambos.”</w:t>
      </w:r>
    </w:p>
    <w:p w14:paraId="6E0FA814" w14:textId="77777777" w:rsidR="00752DA7" w:rsidRDefault="00752DA7" w:rsidP="00752DA7">
      <w:pPr>
        <w:jc w:val="both"/>
        <w:rPr>
          <w:rFonts w:ascii="Arial" w:hAnsi="Arial" w:cs="Arial"/>
          <w:sz w:val="24"/>
          <w:szCs w:val="24"/>
          <w:lang w:val="es-ES"/>
        </w:rPr>
      </w:pPr>
    </w:p>
    <w:p w14:paraId="69AFED51" w14:textId="433BBF6D" w:rsidR="00752DA7" w:rsidRDefault="00752DA7" w:rsidP="00752DA7">
      <w:pPr>
        <w:jc w:val="both"/>
        <w:rPr>
          <w:rFonts w:ascii="Arial" w:hAnsi="Arial" w:cs="Arial"/>
          <w:sz w:val="24"/>
          <w:szCs w:val="24"/>
        </w:rPr>
      </w:pPr>
      <w:r w:rsidRPr="00752DA7">
        <w:rPr>
          <w:rFonts w:ascii="Arial" w:hAnsi="Arial" w:cs="Arial"/>
          <w:sz w:val="24"/>
          <w:szCs w:val="24"/>
        </w:rPr>
        <w:t>Lo anterior se amplía en la actividad No. 13 “Cambio del responsable de la caja chica y encargado de operar el fondo” del Manual de Procedimientos de las Cajas Chicas Auxiliares, para su respectiva consideración y aplicación en todas las circunstancias que impliquen un cambio en la persona encargada.</w:t>
      </w:r>
    </w:p>
    <w:p w14:paraId="662BA05F" w14:textId="77777777" w:rsidR="00752DA7" w:rsidRPr="00752DA7" w:rsidRDefault="00752DA7" w:rsidP="00752DA7">
      <w:pPr>
        <w:jc w:val="both"/>
        <w:rPr>
          <w:rFonts w:ascii="Arial" w:hAnsi="Arial" w:cs="Arial"/>
          <w:sz w:val="24"/>
          <w:szCs w:val="24"/>
        </w:rPr>
      </w:pPr>
    </w:p>
    <w:p w14:paraId="5B1D65FE" w14:textId="0D28E943" w:rsidR="00752DA7" w:rsidRDefault="00752DA7" w:rsidP="00752DA7">
      <w:pPr>
        <w:jc w:val="center"/>
        <w:rPr>
          <w:noProof/>
          <w:sz w:val="24"/>
          <w:szCs w:val="24"/>
        </w:rPr>
      </w:pPr>
      <w:r w:rsidRPr="00131FDD">
        <w:rPr>
          <w:noProof/>
          <w:sz w:val="24"/>
          <w:szCs w:val="24"/>
        </w:rPr>
        <w:drawing>
          <wp:inline distT="0" distB="0" distL="0" distR="0" wp14:anchorId="5AE484F0" wp14:editId="0BCCC5DB">
            <wp:extent cx="5834382" cy="13017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50000"/>
                    <a:stretch/>
                  </pic:blipFill>
                  <pic:spPr bwMode="auto">
                    <a:xfrm>
                      <a:off x="0" y="0"/>
                      <a:ext cx="5886573" cy="1313395"/>
                    </a:xfrm>
                    <a:prstGeom prst="rect">
                      <a:avLst/>
                    </a:prstGeom>
                    <a:ln>
                      <a:noFill/>
                    </a:ln>
                    <a:extLst>
                      <a:ext uri="{53640926-AAD7-44D8-BBD7-CCE9431645EC}">
                        <a14:shadowObscured xmlns:a14="http://schemas.microsoft.com/office/drawing/2010/main"/>
                      </a:ext>
                    </a:extLst>
                  </pic:spPr>
                </pic:pic>
              </a:graphicData>
            </a:graphic>
          </wp:inline>
        </w:drawing>
      </w:r>
    </w:p>
    <w:p w14:paraId="11DE9DF6" w14:textId="77777777" w:rsidR="00752DA7" w:rsidRPr="00131FDD" w:rsidRDefault="00752DA7" w:rsidP="00752DA7">
      <w:pPr>
        <w:jc w:val="both"/>
        <w:rPr>
          <w:rFonts w:ascii="Arial" w:hAnsi="Arial" w:cs="Arial"/>
          <w:sz w:val="24"/>
          <w:szCs w:val="24"/>
        </w:rPr>
      </w:pPr>
    </w:p>
    <w:p w14:paraId="245EB44B" w14:textId="77777777" w:rsidR="00752DA7" w:rsidRDefault="00752DA7" w:rsidP="00752DA7">
      <w:pPr>
        <w:jc w:val="center"/>
        <w:rPr>
          <w:rFonts w:ascii="Arial" w:hAnsi="Arial" w:cs="Arial"/>
          <w:sz w:val="24"/>
          <w:szCs w:val="24"/>
        </w:rPr>
      </w:pPr>
      <w:r w:rsidRPr="00131FDD">
        <w:rPr>
          <w:noProof/>
          <w:sz w:val="24"/>
          <w:szCs w:val="24"/>
        </w:rPr>
        <w:lastRenderedPageBreak/>
        <w:drawing>
          <wp:inline distT="0" distB="0" distL="0" distR="0" wp14:anchorId="49CF0DCB" wp14:editId="2750F72B">
            <wp:extent cx="5937250" cy="1354475"/>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49512"/>
                    <a:stretch/>
                  </pic:blipFill>
                  <pic:spPr bwMode="auto">
                    <a:xfrm>
                      <a:off x="0" y="0"/>
                      <a:ext cx="6007097" cy="1370409"/>
                    </a:xfrm>
                    <a:prstGeom prst="rect">
                      <a:avLst/>
                    </a:prstGeom>
                    <a:ln>
                      <a:noFill/>
                    </a:ln>
                    <a:extLst>
                      <a:ext uri="{53640926-AAD7-44D8-BBD7-CCE9431645EC}">
                        <a14:shadowObscured xmlns:a14="http://schemas.microsoft.com/office/drawing/2010/main"/>
                      </a:ext>
                    </a:extLst>
                  </pic:spPr>
                </pic:pic>
              </a:graphicData>
            </a:graphic>
          </wp:inline>
        </w:drawing>
      </w:r>
    </w:p>
    <w:p w14:paraId="6037777D" w14:textId="32B44C4E" w:rsidR="00752DA7" w:rsidRDefault="00752DA7" w:rsidP="00752DA7">
      <w:pPr>
        <w:jc w:val="both"/>
        <w:rPr>
          <w:rFonts w:ascii="Arial" w:hAnsi="Arial" w:cs="Arial"/>
          <w:sz w:val="24"/>
          <w:szCs w:val="24"/>
        </w:rPr>
      </w:pPr>
    </w:p>
    <w:p w14:paraId="49E02679" w14:textId="77777777" w:rsidR="00752DA7" w:rsidRDefault="00752DA7" w:rsidP="00752DA7">
      <w:pPr>
        <w:jc w:val="both"/>
        <w:rPr>
          <w:rFonts w:ascii="Arial" w:hAnsi="Arial" w:cs="Arial"/>
          <w:sz w:val="24"/>
          <w:szCs w:val="24"/>
        </w:rPr>
      </w:pPr>
    </w:p>
    <w:p w14:paraId="6D799465" w14:textId="3C6781D1" w:rsidR="00752DA7" w:rsidRPr="00752DA7" w:rsidRDefault="00752DA7" w:rsidP="00752DA7">
      <w:pPr>
        <w:pStyle w:val="Default"/>
        <w:jc w:val="both"/>
        <w:rPr>
          <w:color w:val="auto"/>
        </w:rPr>
      </w:pPr>
      <w:r w:rsidRPr="00752DA7">
        <w:rPr>
          <w:color w:val="auto"/>
        </w:rPr>
        <w:t xml:space="preserve">Es importante indicar que, mediante circular N°16-2021, de fecha 25 de marzo de 2021, se comunicó que se encuentra actualizada y disponible en la página del Macroproceso Financiero Contable, la normativa relacionada con los diferentes trámites que se realizan por medio de Caja Chica. </w:t>
      </w:r>
    </w:p>
    <w:p w14:paraId="6C3EC94B" w14:textId="77777777" w:rsidR="00752DA7" w:rsidRPr="00752DA7" w:rsidRDefault="00752DA7" w:rsidP="00752DA7">
      <w:pPr>
        <w:pStyle w:val="Default"/>
        <w:jc w:val="both"/>
        <w:rPr>
          <w:color w:val="auto"/>
        </w:rPr>
      </w:pPr>
    </w:p>
    <w:p w14:paraId="3FBD43F3" w14:textId="15D11CBF" w:rsidR="00752DA7" w:rsidRPr="00752DA7" w:rsidRDefault="00752DA7" w:rsidP="00752DA7">
      <w:pPr>
        <w:jc w:val="both"/>
        <w:rPr>
          <w:rFonts w:ascii="Arial" w:hAnsi="Arial" w:cs="Arial"/>
          <w:sz w:val="24"/>
          <w:szCs w:val="24"/>
        </w:rPr>
      </w:pPr>
      <w:r w:rsidRPr="00752DA7">
        <w:rPr>
          <w:rFonts w:ascii="Arial" w:hAnsi="Arial" w:cs="Arial"/>
          <w:sz w:val="24"/>
          <w:szCs w:val="24"/>
        </w:rPr>
        <w:t>Asimismo, se recuerda la posibilidad de asesorarse con el Macroproceso Financiero Contable, cuando por situaciones de fuerza mayor, tengan inquietudes con respecto al cumplimiento normativo, con el fin de no transgredir el ordenamiento jurídico.</w:t>
      </w:r>
    </w:p>
    <w:p w14:paraId="730E1740" w14:textId="30400E9A" w:rsidR="00B2058B" w:rsidRDefault="00B2058B" w:rsidP="00B2058B">
      <w:pPr>
        <w:pStyle w:val="Default"/>
        <w:jc w:val="both"/>
        <w:rPr>
          <w:sz w:val="23"/>
          <w:szCs w:val="23"/>
        </w:rPr>
      </w:pPr>
    </w:p>
    <w:p w14:paraId="32A87F3C" w14:textId="77777777" w:rsidR="00B2058B" w:rsidRDefault="00B2058B" w:rsidP="00B2058B">
      <w:pPr>
        <w:pStyle w:val="Default"/>
        <w:rPr>
          <w:sz w:val="23"/>
          <w:szCs w:val="23"/>
        </w:rPr>
      </w:pPr>
    </w:p>
    <w:p w14:paraId="75A60A3A" w14:textId="7E9EF1A0" w:rsidR="008F2A6D" w:rsidRPr="00A95E28" w:rsidRDefault="008F2A6D" w:rsidP="00B2058B">
      <w:pPr>
        <w:pStyle w:val="Default"/>
        <w:jc w:val="both"/>
      </w:pPr>
      <w:r w:rsidRPr="00A95E28">
        <w:rPr>
          <w:lang w:val="es-ES_tradnl"/>
        </w:rPr>
        <w:t>En caso de consultas pueden contactar a Fabián Guillén Mor</w:t>
      </w:r>
      <w:r>
        <w:rPr>
          <w:lang w:val="es-ES_tradnl"/>
        </w:rPr>
        <w:t>a</w:t>
      </w:r>
      <w:r w:rsidRPr="00A95E28">
        <w:rPr>
          <w:lang w:val="es-ES_tradnl"/>
        </w:rPr>
        <w:t xml:space="preserve"> </w:t>
      </w:r>
      <w:hyperlink r:id="rId11" w:history="1">
        <w:r w:rsidRPr="00A95E28">
          <w:rPr>
            <w:rStyle w:val="Hipervnculo"/>
            <w:lang w:val="es-ES_tradnl"/>
          </w:rPr>
          <w:t>fguillen@poder-judicial.go.cr</w:t>
        </w:r>
      </w:hyperlink>
      <w:r w:rsidRPr="00A95E28">
        <w:rPr>
          <w:lang w:val="es-ES_tradnl"/>
        </w:rPr>
        <w:t xml:space="preserve">, Ronald Calderón Madrigal </w:t>
      </w:r>
      <w:hyperlink r:id="rId12" w:history="1">
        <w:r w:rsidRPr="00A95E28">
          <w:rPr>
            <w:rStyle w:val="Hipervnculo"/>
            <w:lang w:val="es-ES_tradnl"/>
          </w:rPr>
          <w:t>rcalderonma@poder-judicial.go.cr</w:t>
        </w:r>
      </w:hyperlink>
      <w:r w:rsidRPr="00A95E28">
        <w:rPr>
          <w:lang w:val="es-ES_tradnl"/>
        </w:rPr>
        <w:t xml:space="preserve">, </w:t>
      </w:r>
      <w:r>
        <w:rPr>
          <w:lang w:val="es-ES_tradnl"/>
        </w:rPr>
        <w:t xml:space="preserve">Lic. </w:t>
      </w:r>
      <w:r w:rsidRPr="00A95E28">
        <w:rPr>
          <w:lang w:val="es-ES_tradnl"/>
        </w:rPr>
        <w:t xml:space="preserve">Mario Agüero Díaz </w:t>
      </w:r>
      <w:hyperlink r:id="rId13" w:history="1">
        <w:r w:rsidRPr="00A95E28">
          <w:rPr>
            <w:rStyle w:val="Hipervnculo"/>
            <w:lang w:val="es-ES"/>
          </w:rPr>
          <w:t>maguero@poder-judicial.go.cr</w:t>
        </w:r>
      </w:hyperlink>
      <w:r w:rsidRPr="00A95E28">
        <w:rPr>
          <w:lang w:val="es-ES"/>
        </w:rPr>
        <w:t>,</w:t>
      </w:r>
      <w:r>
        <w:rPr>
          <w:lang w:val="es-ES"/>
        </w:rPr>
        <w:t xml:space="preserve"> mediante la herramienta </w:t>
      </w:r>
      <w:proofErr w:type="spellStart"/>
      <w:r>
        <w:rPr>
          <w:lang w:val="es-ES"/>
        </w:rPr>
        <w:t>Teams</w:t>
      </w:r>
      <w:proofErr w:type="spellEnd"/>
      <w:r>
        <w:rPr>
          <w:lang w:val="es-ES"/>
        </w:rPr>
        <w:t xml:space="preserve">, </w:t>
      </w:r>
      <w:r w:rsidR="00BE3522">
        <w:t xml:space="preserve">o a </w:t>
      </w:r>
      <w:r>
        <w:t>la extensión 01-3352</w:t>
      </w:r>
    </w:p>
    <w:p w14:paraId="258F8FAC" w14:textId="77777777" w:rsidR="00C408E7" w:rsidRDefault="00C408E7" w:rsidP="008F2A6D">
      <w:pPr>
        <w:pStyle w:val="Default"/>
        <w:jc w:val="both"/>
        <w:rPr>
          <w:sz w:val="16"/>
          <w:szCs w:val="16"/>
        </w:rPr>
      </w:pPr>
    </w:p>
    <w:p w14:paraId="5D1DA07D" w14:textId="77777777" w:rsidR="00C408E7" w:rsidRDefault="00C408E7" w:rsidP="008F2A6D">
      <w:pPr>
        <w:pStyle w:val="Default"/>
        <w:jc w:val="both"/>
        <w:rPr>
          <w:sz w:val="16"/>
          <w:szCs w:val="16"/>
        </w:rPr>
      </w:pPr>
    </w:p>
    <w:p w14:paraId="04C79F1E" w14:textId="77777777" w:rsidR="00C408E7" w:rsidRDefault="00C408E7" w:rsidP="008F2A6D">
      <w:pPr>
        <w:pStyle w:val="Default"/>
        <w:jc w:val="both"/>
        <w:rPr>
          <w:sz w:val="16"/>
          <w:szCs w:val="16"/>
        </w:rPr>
      </w:pPr>
    </w:p>
    <w:p w14:paraId="426078F7" w14:textId="77777777" w:rsidR="00C408E7" w:rsidRDefault="00C408E7" w:rsidP="008F2A6D">
      <w:pPr>
        <w:pStyle w:val="Default"/>
        <w:jc w:val="both"/>
        <w:rPr>
          <w:sz w:val="16"/>
          <w:szCs w:val="16"/>
        </w:rPr>
      </w:pPr>
    </w:p>
    <w:p w14:paraId="42D42328" w14:textId="36466D4C" w:rsidR="00C408E7" w:rsidRDefault="00C408E7" w:rsidP="008F2A6D">
      <w:pPr>
        <w:pStyle w:val="Default"/>
        <w:jc w:val="both"/>
        <w:rPr>
          <w:sz w:val="16"/>
          <w:szCs w:val="16"/>
        </w:rPr>
      </w:pPr>
    </w:p>
    <w:p w14:paraId="46DBC0DE" w14:textId="7782F0B1" w:rsidR="00147416" w:rsidRDefault="00147416" w:rsidP="008F2A6D">
      <w:pPr>
        <w:pStyle w:val="Default"/>
        <w:jc w:val="both"/>
        <w:rPr>
          <w:sz w:val="16"/>
          <w:szCs w:val="16"/>
        </w:rPr>
      </w:pPr>
    </w:p>
    <w:p w14:paraId="7558B3A7" w14:textId="77777777" w:rsidR="00147416" w:rsidRDefault="00147416" w:rsidP="008F2A6D">
      <w:pPr>
        <w:pStyle w:val="Default"/>
        <w:jc w:val="both"/>
        <w:rPr>
          <w:sz w:val="16"/>
          <w:szCs w:val="16"/>
        </w:rPr>
      </w:pPr>
    </w:p>
    <w:p w14:paraId="71C8B167" w14:textId="3730DD81" w:rsidR="00C408E7" w:rsidRDefault="00C408E7" w:rsidP="008F2A6D">
      <w:pPr>
        <w:pStyle w:val="Default"/>
        <w:jc w:val="both"/>
        <w:rPr>
          <w:sz w:val="16"/>
          <w:szCs w:val="16"/>
        </w:rPr>
      </w:pPr>
    </w:p>
    <w:p w14:paraId="68AE66C4" w14:textId="77777777" w:rsidR="00752DA7" w:rsidRDefault="00752DA7" w:rsidP="008F2A6D">
      <w:pPr>
        <w:pStyle w:val="Default"/>
        <w:jc w:val="both"/>
        <w:rPr>
          <w:sz w:val="16"/>
          <w:szCs w:val="16"/>
        </w:rPr>
      </w:pPr>
    </w:p>
    <w:p w14:paraId="4C4AF43F" w14:textId="5F559883" w:rsidR="001B652A" w:rsidRDefault="001B652A" w:rsidP="008F2A6D">
      <w:pPr>
        <w:pStyle w:val="Default"/>
        <w:jc w:val="both"/>
        <w:rPr>
          <w:sz w:val="16"/>
          <w:szCs w:val="16"/>
        </w:rPr>
      </w:pPr>
      <w:r w:rsidRPr="001B652A">
        <w:rPr>
          <w:sz w:val="16"/>
          <w:szCs w:val="16"/>
        </w:rPr>
        <w:t>Copia: Dirección Ejecutiva</w:t>
      </w:r>
    </w:p>
    <w:p w14:paraId="6FEDC5F0" w14:textId="3620ADDA" w:rsidR="006F5B99" w:rsidRDefault="006F5B99" w:rsidP="006F5B99">
      <w:pPr>
        <w:pStyle w:val="Default"/>
        <w:jc w:val="both"/>
        <w:rPr>
          <w:sz w:val="16"/>
          <w:szCs w:val="16"/>
        </w:rPr>
      </w:pPr>
      <w:r w:rsidRPr="001B652A">
        <w:rPr>
          <w:sz w:val="16"/>
          <w:szCs w:val="16"/>
        </w:rPr>
        <w:t xml:space="preserve">Copia: </w:t>
      </w:r>
      <w:r>
        <w:rPr>
          <w:sz w:val="16"/>
          <w:szCs w:val="16"/>
        </w:rPr>
        <w:t>Auditoría Judicial</w:t>
      </w:r>
    </w:p>
    <w:p w14:paraId="45DCD478" w14:textId="77777777" w:rsidR="006F5B99" w:rsidRPr="001B652A" w:rsidRDefault="006F5B99" w:rsidP="008F2A6D">
      <w:pPr>
        <w:pStyle w:val="Default"/>
        <w:jc w:val="both"/>
        <w:rPr>
          <w:sz w:val="16"/>
          <w:szCs w:val="16"/>
          <w:lang w:val="es-ES_tradnl"/>
        </w:rPr>
      </w:pPr>
    </w:p>
    <w:p w14:paraId="70C4EB11" w14:textId="7AAC4906" w:rsidR="00003793" w:rsidRPr="00A52401" w:rsidRDefault="00003793" w:rsidP="008F2A6D">
      <w:pPr>
        <w:pStyle w:val="Default"/>
      </w:pPr>
    </w:p>
    <w:sectPr w:rsidR="00003793" w:rsidRPr="00A52401" w:rsidSect="006B0C35">
      <w:headerReference w:type="default" r:id="rId14"/>
      <w:pgSz w:w="12240" w:h="15840"/>
      <w:pgMar w:top="1417" w:right="90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FD1FF" w14:textId="77777777" w:rsidR="009034A2" w:rsidRDefault="009034A2" w:rsidP="001D6952">
      <w:r>
        <w:separator/>
      </w:r>
    </w:p>
  </w:endnote>
  <w:endnote w:type="continuationSeparator" w:id="0">
    <w:p w14:paraId="0C6B7E57" w14:textId="77777777" w:rsidR="009034A2" w:rsidRDefault="009034A2" w:rsidP="001D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Calligraphy">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29A6E" w14:textId="77777777" w:rsidR="009034A2" w:rsidRDefault="009034A2" w:rsidP="001D6952">
      <w:r>
        <w:separator/>
      </w:r>
    </w:p>
  </w:footnote>
  <w:footnote w:type="continuationSeparator" w:id="0">
    <w:p w14:paraId="50053D68" w14:textId="77777777" w:rsidR="009034A2" w:rsidRDefault="009034A2" w:rsidP="001D6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06B21" w14:textId="39C8882A" w:rsidR="006B0C35" w:rsidRDefault="0014257D" w:rsidP="006B0C35">
    <w:pPr>
      <w:pStyle w:val="Ttulo2"/>
      <w:tabs>
        <w:tab w:val="left" w:pos="0"/>
      </w:tabs>
      <w:jc w:val="center"/>
      <w:rPr>
        <w:smallCaps/>
      </w:rPr>
    </w:pPr>
    <w:r>
      <w:rPr>
        <w:noProof/>
      </w:rPr>
      <w:drawing>
        <wp:anchor distT="0" distB="0" distL="89535" distR="89535" simplePos="0" relativeHeight="251659264" behindDoc="0" locked="0" layoutInCell="1" allowOverlap="1" wp14:anchorId="6AC04313" wp14:editId="5D1C80BB">
          <wp:simplePos x="0" y="0"/>
          <wp:positionH relativeFrom="margin">
            <wp:align>right</wp:align>
          </wp:positionH>
          <wp:positionV relativeFrom="margin">
            <wp:posOffset>-889000</wp:posOffset>
          </wp:positionV>
          <wp:extent cx="1022350" cy="620801"/>
          <wp:effectExtent l="0" t="0" r="6350" b="8255"/>
          <wp:wrapNone/>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22307" b="24579"/>
                  <a:stretch/>
                </pic:blipFill>
                <pic:spPr bwMode="auto">
                  <a:xfrm>
                    <a:off x="0" y="0"/>
                    <a:ext cx="1022350" cy="620801"/>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6952" w:rsidRPr="009B4699">
      <w:rPr>
        <w:smallCaps/>
      </w:rPr>
      <w:t>Corte Suprema de Justicia, Poder Judicial</w:t>
    </w:r>
  </w:p>
  <w:p w14:paraId="6F994E56" w14:textId="5DE1C828" w:rsidR="001D6952" w:rsidRDefault="0014257D" w:rsidP="006B0C35">
    <w:pPr>
      <w:pStyle w:val="Ttulo2"/>
      <w:tabs>
        <w:tab w:val="left" w:pos="0"/>
      </w:tabs>
      <w:jc w:val="center"/>
      <w:rPr>
        <w:b w:val="0"/>
        <w:smallCaps/>
      </w:rPr>
    </w:pPr>
    <w:r>
      <w:rPr>
        <w:b w:val="0"/>
        <w:bCs w:val="0"/>
        <w:noProof/>
      </w:rPr>
      <w:drawing>
        <wp:anchor distT="0" distB="0" distL="114300" distR="114300" simplePos="0" relativeHeight="251661312" behindDoc="0" locked="0" layoutInCell="1" allowOverlap="1" wp14:anchorId="5B16E53A" wp14:editId="1A61F134">
          <wp:simplePos x="0" y="0"/>
          <wp:positionH relativeFrom="margin">
            <wp:posOffset>120650</wp:posOffset>
          </wp:positionH>
          <wp:positionV relativeFrom="paragraph">
            <wp:posOffset>50165</wp:posOffset>
          </wp:positionV>
          <wp:extent cx="1061123" cy="520700"/>
          <wp:effectExtent l="0" t="0" r="5715" b="0"/>
          <wp:wrapNone/>
          <wp:docPr id="15" name="Imagen 1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061123" cy="520700"/>
                  </a:xfrm>
                  <a:prstGeom prst="rect">
                    <a:avLst/>
                  </a:prstGeom>
                </pic:spPr>
              </pic:pic>
            </a:graphicData>
          </a:graphic>
          <wp14:sizeRelH relativeFrom="margin">
            <wp14:pctWidth>0</wp14:pctWidth>
          </wp14:sizeRelH>
          <wp14:sizeRelV relativeFrom="margin">
            <wp14:pctHeight>0</wp14:pctHeight>
          </wp14:sizeRelV>
        </wp:anchor>
      </w:drawing>
    </w:r>
    <w:r w:rsidR="001D6952" w:rsidRPr="009B4699">
      <w:rPr>
        <w:smallCaps/>
      </w:rPr>
      <w:t>Dirección Ejecutiva</w:t>
    </w:r>
  </w:p>
  <w:p w14:paraId="2977748A" w14:textId="7C44A8BD" w:rsidR="001D6952" w:rsidRPr="009B4699" w:rsidRDefault="001D6952" w:rsidP="006B0C35">
    <w:pPr>
      <w:pStyle w:val="Encabezado"/>
      <w:ind w:right="49"/>
      <w:jc w:val="center"/>
      <w:rPr>
        <w:rFonts w:ascii="Arial" w:hAnsi="Arial" w:cs="Arial"/>
        <w:b/>
        <w:smallCaps/>
      </w:rPr>
    </w:pPr>
    <w:r w:rsidRPr="009B4699">
      <w:rPr>
        <w:rFonts w:ascii="Arial" w:hAnsi="Arial" w:cs="Arial"/>
        <w:b/>
        <w:smallCaps/>
      </w:rPr>
      <w:t>Macroproceso Financiero Contable</w:t>
    </w:r>
  </w:p>
  <w:p w14:paraId="66BEA17B" w14:textId="24FD0FEA" w:rsidR="001D6952" w:rsidRPr="009B4699" w:rsidRDefault="009034A2" w:rsidP="006B0C35">
    <w:pPr>
      <w:pStyle w:val="Encabezado"/>
      <w:ind w:right="49"/>
      <w:jc w:val="center"/>
      <w:rPr>
        <w:rFonts w:ascii="Lucida Calligraphy" w:hAnsi="Lucida Calligraphy"/>
        <w:b/>
      </w:rPr>
    </w:pPr>
    <w:hyperlink r:id="rId3" w:history="1">
      <w:r w:rsidR="006B0C35" w:rsidRPr="00B64F88">
        <w:rPr>
          <w:rStyle w:val="Hipervnculo"/>
          <w:rFonts w:ascii="Arial" w:hAnsi="Arial" w:cs="Arial"/>
          <w:sz w:val="20"/>
          <w:szCs w:val="20"/>
        </w:rPr>
        <w:t>depto-fico@poder-judicial.go.cr</w:t>
      </w:r>
    </w:hyperlink>
  </w:p>
  <w:p w14:paraId="3A45D33C" w14:textId="07ACECA3" w:rsidR="001D6952" w:rsidRPr="00291F22" w:rsidRDefault="0014257D" w:rsidP="006B0C35">
    <w:pPr>
      <w:pBdr>
        <w:bottom w:val="single" w:sz="12" w:space="1" w:color="auto"/>
      </w:pBdr>
      <w:rPr>
        <w:sz w:val="14"/>
      </w:rPr>
    </w:pPr>
    <w:r w:rsidRPr="000C68AD">
      <w:rPr>
        <w:rFonts w:ascii="Arial" w:hAnsi="Arial" w:cs="Arial"/>
        <w:b/>
        <w:smallCaps/>
        <w:sz w:val="20"/>
      </w:rPr>
      <w:t>Teléfono:</w:t>
    </w:r>
    <w:r>
      <w:rPr>
        <w:rFonts w:ascii="Arial" w:hAnsi="Arial" w:cs="Arial"/>
        <w:b/>
        <w:smallCaps/>
        <w:sz w:val="20"/>
      </w:rPr>
      <w:t xml:space="preserve"> </w:t>
    </w:r>
    <w:r w:rsidRPr="000C68AD">
      <w:rPr>
        <w:rFonts w:ascii="Arial" w:hAnsi="Arial" w:cs="Arial"/>
        <w:b/>
        <w:smallCaps/>
        <w:sz w:val="20"/>
      </w:rPr>
      <w:t>2295-3355</w:t>
    </w:r>
    <w:r>
      <w:rPr>
        <w:rFonts w:ascii="Arial" w:hAnsi="Arial" w:cs="Arial"/>
        <w:b/>
        <w:smallCaps/>
        <w:sz w:val="20"/>
      </w:rPr>
      <w:tab/>
    </w:r>
    <w:r>
      <w:rPr>
        <w:rFonts w:ascii="Arial" w:hAnsi="Arial" w:cs="Arial"/>
        <w:b/>
        <w:smallCaps/>
        <w:sz w:val="20"/>
      </w:rPr>
      <w:tab/>
    </w:r>
    <w:r>
      <w:rPr>
        <w:rFonts w:ascii="Arial" w:hAnsi="Arial" w:cs="Arial"/>
        <w:b/>
        <w:smallCaps/>
        <w:sz w:val="20"/>
      </w:rPr>
      <w:tab/>
    </w:r>
    <w:r>
      <w:rPr>
        <w:rFonts w:ascii="Arial" w:hAnsi="Arial" w:cs="Arial"/>
        <w:b/>
        <w:smallCaps/>
        <w:sz w:val="20"/>
      </w:rPr>
      <w:tab/>
    </w:r>
    <w:r>
      <w:rPr>
        <w:rFonts w:ascii="Arial" w:hAnsi="Arial" w:cs="Arial"/>
        <w:b/>
        <w:smallCaps/>
        <w:sz w:val="20"/>
      </w:rPr>
      <w:tab/>
    </w:r>
    <w:r>
      <w:rPr>
        <w:rFonts w:ascii="Arial" w:hAnsi="Arial" w:cs="Arial"/>
        <w:b/>
        <w:smallCaps/>
        <w:sz w:val="20"/>
      </w:rPr>
      <w:tab/>
    </w:r>
    <w:r>
      <w:rPr>
        <w:rFonts w:ascii="Arial" w:hAnsi="Arial" w:cs="Arial"/>
        <w:b/>
        <w:smallCaps/>
        <w:sz w:val="20"/>
      </w:rPr>
      <w:tab/>
    </w:r>
    <w:r>
      <w:rPr>
        <w:rFonts w:ascii="Arial" w:hAnsi="Arial" w:cs="Arial"/>
        <w:b/>
        <w:smallCaps/>
        <w:sz w:val="20"/>
      </w:rPr>
      <w:tab/>
    </w:r>
    <w:r>
      <w:rPr>
        <w:rFonts w:ascii="Arial" w:hAnsi="Arial" w:cs="Arial"/>
        <w:b/>
        <w:smallCaps/>
        <w:sz w:val="20"/>
      </w:rPr>
      <w:tab/>
      <w:t xml:space="preserve">       </w:t>
    </w:r>
    <w:r w:rsidR="001D6952" w:rsidRPr="000C68AD">
      <w:rPr>
        <w:rFonts w:ascii="Arial" w:hAnsi="Arial" w:cs="Arial"/>
        <w:b/>
        <w:smallCaps/>
        <w:sz w:val="20"/>
      </w:rPr>
      <w:t xml:space="preserve">Fax:  2295-3356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D18A4"/>
    <w:multiLevelType w:val="hybridMultilevel"/>
    <w:tmpl w:val="1BD2A5A8"/>
    <w:lvl w:ilvl="0" w:tplc="140A0019">
      <w:start w:val="1"/>
      <w:numFmt w:val="lowerLetter"/>
      <w:lvlText w:val="%1."/>
      <w:lvlJc w:val="left"/>
      <w:pPr>
        <w:ind w:left="785" w:hanging="360"/>
      </w:pPr>
    </w:lvl>
    <w:lvl w:ilvl="1" w:tplc="140A0019">
      <w:start w:val="1"/>
      <w:numFmt w:val="lowerLetter"/>
      <w:lvlText w:val="%2."/>
      <w:lvlJc w:val="left"/>
      <w:pPr>
        <w:ind w:left="1505" w:hanging="360"/>
      </w:pPr>
    </w:lvl>
    <w:lvl w:ilvl="2" w:tplc="140A001B">
      <w:start w:val="1"/>
      <w:numFmt w:val="lowerRoman"/>
      <w:lvlText w:val="%3."/>
      <w:lvlJc w:val="right"/>
      <w:pPr>
        <w:ind w:left="2225" w:hanging="180"/>
      </w:pPr>
    </w:lvl>
    <w:lvl w:ilvl="3" w:tplc="140A000F">
      <w:start w:val="1"/>
      <w:numFmt w:val="decimal"/>
      <w:lvlText w:val="%4."/>
      <w:lvlJc w:val="left"/>
      <w:pPr>
        <w:ind w:left="2945" w:hanging="360"/>
      </w:pPr>
    </w:lvl>
    <w:lvl w:ilvl="4" w:tplc="140A0019">
      <w:start w:val="1"/>
      <w:numFmt w:val="lowerLetter"/>
      <w:lvlText w:val="%5."/>
      <w:lvlJc w:val="left"/>
      <w:pPr>
        <w:ind w:left="3665" w:hanging="360"/>
      </w:pPr>
    </w:lvl>
    <w:lvl w:ilvl="5" w:tplc="140A001B">
      <w:start w:val="1"/>
      <w:numFmt w:val="lowerRoman"/>
      <w:lvlText w:val="%6."/>
      <w:lvlJc w:val="right"/>
      <w:pPr>
        <w:ind w:left="4385" w:hanging="180"/>
      </w:pPr>
    </w:lvl>
    <w:lvl w:ilvl="6" w:tplc="140A000F">
      <w:start w:val="1"/>
      <w:numFmt w:val="decimal"/>
      <w:lvlText w:val="%7."/>
      <w:lvlJc w:val="left"/>
      <w:pPr>
        <w:ind w:left="5105" w:hanging="360"/>
      </w:pPr>
    </w:lvl>
    <w:lvl w:ilvl="7" w:tplc="140A0019">
      <w:start w:val="1"/>
      <w:numFmt w:val="lowerLetter"/>
      <w:lvlText w:val="%8."/>
      <w:lvlJc w:val="left"/>
      <w:pPr>
        <w:ind w:left="5825" w:hanging="360"/>
      </w:pPr>
    </w:lvl>
    <w:lvl w:ilvl="8" w:tplc="140A001B">
      <w:start w:val="1"/>
      <w:numFmt w:val="lowerRoman"/>
      <w:lvlText w:val="%9."/>
      <w:lvlJc w:val="right"/>
      <w:pPr>
        <w:ind w:left="6545" w:hanging="180"/>
      </w:pPr>
    </w:lvl>
  </w:abstractNum>
  <w:abstractNum w:abstractNumId="1" w15:restartNumberingAfterBreak="0">
    <w:nsid w:val="2824359F"/>
    <w:multiLevelType w:val="hybridMultilevel"/>
    <w:tmpl w:val="B578554A"/>
    <w:lvl w:ilvl="0" w:tplc="990495A2">
      <w:start w:val="1"/>
      <w:numFmt w:val="decimal"/>
      <w:lvlText w:val="4.%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30218A2"/>
    <w:multiLevelType w:val="hybridMultilevel"/>
    <w:tmpl w:val="E7A08366"/>
    <w:lvl w:ilvl="0" w:tplc="E156323E">
      <w:start w:val="1"/>
      <w:numFmt w:val="lowerLetter"/>
      <w:lvlText w:val="%1)"/>
      <w:lvlJc w:val="left"/>
      <w:pPr>
        <w:ind w:left="1428" w:hanging="360"/>
      </w:pPr>
      <w:rPr>
        <w:rFonts w:hint="default"/>
        <w:b/>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3" w15:restartNumberingAfterBreak="0">
    <w:nsid w:val="363B46D3"/>
    <w:multiLevelType w:val="hybridMultilevel"/>
    <w:tmpl w:val="3260D53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DDA0A93"/>
    <w:multiLevelType w:val="hybridMultilevel"/>
    <w:tmpl w:val="D554769C"/>
    <w:lvl w:ilvl="0" w:tplc="A29CEC16">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4E060E47"/>
    <w:multiLevelType w:val="hybridMultilevel"/>
    <w:tmpl w:val="55980B76"/>
    <w:lvl w:ilvl="0" w:tplc="F216CB42">
      <w:start w:val="1"/>
      <w:numFmt w:val="lowerLetter"/>
      <w:lvlText w:val="%1)"/>
      <w:lvlJc w:val="left"/>
      <w:pPr>
        <w:ind w:left="1428" w:hanging="360"/>
      </w:pPr>
      <w:rPr>
        <w:rFonts w:hint="default"/>
        <w:b/>
      </w:r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6" w15:restartNumberingAfterBreak="0">
    <w:nsid w:val="5F1624EC"/>
    <w:multiLevelType w:val="hybridMultilevel"/>
    <w:tmpl w:val="638C6DE6"/>
    <w:lvl w:ilvl="0" w:tplc="69E4A64C">
      <w:start w:val="1"/>
      <w:numFmt w:val="decimal"/>
      <w:lvlText w:val="%1."/>
      <w:lvlJc w:val="left"/>
      <w:pPr>
        <w:ind w:left="1080" w:hanging="360"/>
      </w:p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7" w15:restartNumberingAfterBreak="0">
    <w:nsid w:val="7F972272"/>
    <w:multiLevelType w:val="hybridMultilevel"/>
    <w:tmpl w:val="A9C0A590"/>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45"/>
    <w:rsid w:val="00003793"/>
    <w:rsid w:val="00033DB6"/>
    <w:rsid w:val="00057EC3"/>
    <w:rsid w:val="0006511A"/>
    <w:rsid w:val="00074E64"/>
    <w:rsid w:val="00091EC6"/>
    <w:rsid w:val="00096246"/>
    <w:rsid w:val="0011145A"/>
    <w:rsid w:val="00123D8A"/>
    <w:rsid w:val="0014257D"/>
    <w:rsid w:val="00147416"/>
    <w:rsid w:val="001B652A"/>
    <w:rsid w:val="001D6952"/>
    <w:rsid w:val="001D7823"/>
    <w:rsid w:val="00206D76"/>
    <w:rsid w:val="002134CB"/>
    <w:rsid w:val="0027463A"/>
    <w:rsid w:val="002A5105"/>
    <w:rsid w:val="002B55BB"/>
    <w:rsid w:val="00314D66"/>
    <w:rsid w:val="003201C9"/>
    <w:rsid w:val="0034629B"/>
    <w:rsid w:val="0035463C"/>
    <w:rsid w:val="003C3EEB"/>
    <w:rsid w:val="003D2C31"/>
    <w:rsid w:val="003F33E3"/>
    <w:rsid w:val="003F6F74"/>
    <w:rsid w:val="00442345"/>
    <w:rsid w:val="004623E4"/>
    <w:rsid w:val="004B5A9B"/>
    <w:rsid w:val="004F3B8F"/>
    <w:rsid w:val="005038A5"/>
    <w:rsid w:val="005408C6"/>
    <w:rsid w:val="00596054"/>
    <w:rsid w:val="006006BB"/>
    <w:rsid w:val="00617533"/>
    <w:rsid w:val="00691553"/>
    <w:rsid w:val="006A3CBC"/>
    <w:rsid w:val="006B0C35"/>
    <w:rsid w:val="006C104B"/>
    <w:rsid w:val="006D1FFA"/>
    <w:rsid w:val="006D727A"/>
    <w:rsid w:val="006E0358"/>
    <w:rsid w:val="006F5B99"/>
    <w:rsid w:val="00713786"/>
    <w:rsid w:val="00752DA7"/>
    <w:rsid w:val="007B092A"/>
    <w:rsid w:val="007E4E56"/>
    <w:rsid w:val="00801FD1"/>
    <w:rsid w:val="00820FD0"/>
    <w:rsid w:val="008810E8"/>
    <w:rsid w:val="00884BD7"/>
    <w:rsid w:val="008855B1"/>
    <w:rsid w:val="00886D51"/>
    <w:rsid w:val="008948C7"/>
    <w:rsid w:val="008C7C80"/>
    <w:rsid w:val="008F2A6D"/>
    <w:rsid w:val="009034A2"/>
    <w:rsid w:val="00915174"/>
    <w:rsid w:val="009160EA"/>
    <w:rsid w:val="00946C4E"/>
    <w:rsid w:val="009A5C4E"/>
    <w:rsid w:val="009A786B"/>
    <w:rsid w:val="009E0638"/>
    <w:rsid w:val="00A04094"/>
    <w:rsid w:val="00A154A1"/>
    <w:rsid w:val="00A52401"/>
    <w:rsid w:val="00A7480F"/>
    <w:rsid w:val="00A87751"/>
    <w:rsid w:val="00B2058B"/>
    <w:rsid w:val="00B535D0"/>
    <w:rsid w:val="00B56E80"/>
    <w:rsid w:val="00B60C3F"/>
    <w:rsid w:val="00B903B4"/>
    <w:rsid w:val="00BE3522"/>
    <w:rsid w:val="00C408E7"/>
    <w:rsid w:val="00C5664E"/>
    <w:rsid w:val="00C9665E"/>
    <w:rsid w:val="00CA067C"/>
    <w:rsid w:val="00D55DEB"/>
    <w:rsid w:val="00D9524D"/>
    <w:rsid w:val="00DB3DF9"/>
    <w:rsid w:val="00E47FF2"/>
    <w:rsid w:val="00E61B86"/>
    <w:rsid w:val="00EE6C7D"/>
    <w:rsid w:val="00EF06CA"/>
    <w:rsid w:val="00EF130C"/>
    <w:rsid w:val="00EF293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7A62D"/>
  <w15:chartTrackingRefBased/>
  <w15:docId w15:val="{BC30452E-C282-4C32-9321-22886374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2345"/>
    <w:pPr>
      <w:spacing w:after="0" w:line="240" w:lineRule="auto"/>
    </w:pPr>
    <w:rPr>
      <w:rFonts w:ascii="Calibri" w:hAnsi="Calibri" w:cs="Calibri"/>
    </w:rPr>
  </w:style>
  <w:style w:type="paragraph" w:styleId="Ttulo1">
    <w:name w:val="heading 1"/>
    <w:basedOn w:val="Normal"/>
    <w:next w:val="Normal"/>
    <w:link w:val="Ttulo1Car"/>
    <w:uiPriority w:val="9"/>
    <w:qFormat/>
    <w:rsid w:val="0071378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003793"/>
    <w:pPr>
      <w:keepNext/>
      <w:tabs>
        <w:tab w:val="num" w:pos="0"/>
      </w:tabs>
      <w:suppressAutoHyphens/>
      <w:spacing w:before="240" w:after="60"/>
      <w:outlineLvl w:val="1"/>
    </w:pPr>
    <w:rPr>
      <w:rFonts w:ascii="Arial" w:eastAsia="Times New Roman" w:hAnsi="Arial" w:cs="Arial"/>
      <w:b/>
      <w:bCs/>
      <w:i/>
      <w:i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E4E56"/>
    <w:pPr>
      <w:ind w:left="720"/>
      <w:contextualSpacing/>
    </w:pPr>
  </w:style>
  <w:style w:type="paragraph" w:customStyle="1" w:styleId="Textoindependiente31">
    <w:name w:val="Texto independiente 31"/>
    <w:basedOn w:val="Normal"/>
    <w:uiPriority w:val="99"/>
    <w:rsid w:val="00946C4E"/>
    <w:pPr>
      <w:jc w:val="both"/>
    </w:pPr>
    <w:rPr>
      <w:rFonts w:ascii="Bookman Old Style" w:hAnsi="Bookman Old Style"/>
      <w:b/>
      <w:bCs/>
      <w:sz w:val="24"/>
      <w:szCs w:val="24"/>
      <w:lang w:eastAsia="ar-SA"/>
    </w:rPr>
  </w:style>
  <w:style w:type="character" w:styleId="Hipervnculo">
    <w:name w:val="Hyperlink"/>
    <w:basedOn w:val="Fuentedeprrafopredeter"/>
    <w:uiPriority w:val="99"/>
    <w:unhideWhenUsed/>
    <w:rsid w:val="00801FD1"/>
    <w:rPr>
      <w:color w:val="0563C1"/>
      <w:u w:val="single"/>
    </w:rPr>
  </w:style>
  <w:style w:type="paragraph" w:styleId="Encabezado">
    <w:name w:val="header"/>
    <w:basedOn w:val="Normal"/>
    <w:link w:val="EncabezadoCar"/>
    <w:unhideWhenUsed/>
    <w:rsid w:val="00801FD1"/>
    <w:rPr>
      <w:rFonts w:ascii="Times New Roman" w:hAnsi="Times New Roman" w:cs="Times New Roman"/>
      <w:sz w:val="24"/>
      <w:szCs w:val="24"/>
      <w:lang w:eastAsia="ar-SA"/>
    </w:rPr>
  </w:style>
  <w:style w:type="character" w:customStyle="1" w:styleId="EncabezadoCar">
    <w:name w:val="Encabezado Car"/>
    <w:basedOn w:val="Fuentedeprrafopredeter"/>
    <w:link w:val="Encabezado"/>
    <w:uiPriority w:val="99"/>
    <w:semiHidden/>
    <w:rsid w:val="00801FD1"/>
    <w:rPr>
      <w:rFonts w:ascii="Times New Roman" w:hAnsi="Times New Roman" w:cs="Times New Roman"/>
      <w:sz w:val="24"/>
      <w:szCs w:val="24"/>
      <w:lang w:eastAsia="ar-SA"/>
    </w:rPr>
  </w:style>
  <w:style w:type="character" w:styleId="Mencinsinresolver">
    <w:name w:val="Unresolved Mention"/>
    <w:basedOn w:val="Fuentedeprrafopredeter"/>
    <w:uiPriority w:val="99"/>
    <w:semiHidden/>
    <w:unhideWhenUsed/>
    <w:rsid w:val="00801FD1"/>
    <w:rPr>
      <w:color w:val="605E5C"/>
      <w:shd w:val="clear" w:color="auto" w:fill="E1DFDD"/>
    </w:rPr>
  </w:style>
  <w:style w:type="character" w:customStyle="1" w:styleId="Ttulo2Car">
    <w:name w:val="Título 2 Car"/>
    <w:basedOn w:val="Fuentedeprrafopredeter"/>
    <w:link w:val="Ttulo2"/>
    <w:rsid w:val="00003793"/>
    <w:rPr>
      <w:rFonts w:ascii="Arial" w:eastAsia="Times New Roman" w:hAnsi="Arial" w:cs="Arial"/>
      <w:b/>
      <w:bCs/>
      <w:i/>
      <w:iCs/>
      <w:sz w:val="28"/>
      <w:szCs w:val="28"/>
      <w:lang w:eastAsia="ar-SA"/>
    </w:rPr>
  </w:style>
  <w:style w:type="paragraph" w:styleId="Piedepgina">
    <w:name w:val="footer"/>
    <w:basedOn w:val="Normal"/>
    <w:link w:val="PiedepginaCar"/>
    <w:uiPriority w:val="99"/>
    <w:unhideWhenUsed/>
    <w:rsid w:val="001D6952"/>
    <w:pPr>
      <w:tabs>
        <w:tab w:val="center" w:pos="4419"/>
        <w:tab w:val="right" w:pos="8838"/>
      </w:tabs>
    </w:pPr>
  </w:style>
  <w:style w:type="character" w:customStyle="1" w:styleId="PiedepginaCar">
    <w:name w:val="Pie de página Car"/>
    <w:basedOn w:val="Fuentedeprrafopredeter"/>
    <w:link w:val="Piedepgina"/>
    <w:uiPriority w:val="99"/>
    <w:rsid w:val="001D6952"/>
    <w:rPr>
      <w:rFonts w:ascii="Calibri" w:hAnsi="Calibri" w:cs="Calibri"/>
    </w:rPr>
  </w:style>
  <w:style w:type="paragraph" w:styleId="Textodeglobo">
    <w:name w:val="Balloon Text"/>
    <w:basedOn w:val="Normal"/>
    <w:link w:val="TextodegloboCar"/>
    <w:uiPriority w:val="99"/>
    <w:semiHidden/>
    <w:unhideWhenUsed/>
    <w:rsid w:val="00C966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665E"/>
    <w:rPr>
      <w:rFonts w:ascii="Segoe UI" w:hAnsi="Segoe UI" w:cs="Segoe UI"/>
      <w:sz w:val="18"/>
      <w:szCs w:val="18"/>
    </w:rPr>
  </w:style>
  <w:style w:type="character" w:customStyle="1" w:styleId="Ttulo1Car">
    <w:name w:val="Título 1 Car"/>
    <w:basedOn w:val="Fuentedeprrafopredeter"/>
    <w:link w:val="Ttulo1"/>
    <w:uiPriority w:val="9"/>
    <w:rsid w:val="00713786"/>
    <w:rPr>
      <w:rFonts w:asciiTheme="majorHAnsi" w:eastAsiaTheme="majorEastAsia" w:hAnsiTheme="majorHAnsi" w:cstheme="majorBidi"/>
      <w:color w:val="2F5496" w:themeColor="accent1" w:themeShade="BF"/>
      <w:sz w:val="32"/>
      <w:szCs w:val="32"/>
    </w:rPr>
  </w:style>
  <w:style w:type="paragraph" w:customStyle="1" w:styleId="Default">
    <w:name w:val="Default"/>
    <w:basedOn w:val="Normal"/>
    <w:rsid w:val="00A52401"/>
    <w:pPr>
      <w:autoSpaceDE w:val="0"/>
      <w:autoSpaceDN w:val="0"/>
    </w:pPr>
    <w:rPr>
      <w:rFonts w:ascii="Arial" w:hAnsi="Arial" w:cs="Arial"/>
      <w:color w:val="000000"/>
      <w:sz w:val="24"/>
      <w:szCs w:val="24"/>
    </w:rPr>
  </w:style>
  <w:style w:type="paragraph" w:styleId="NormalWeb">
    <w:name w:val="Normal (Web)"/>
    <w:basedOn w:val="Normal"/>
    <w:uiPriority w:val="99"/>
    <w:unhideWhenUsed/>
    <w:rsid w:val="008F2A6D"/>
    <w:pPr>
      <w:spacing w:before="100" w:beforeAutospacing="1" w:after="100" w:afterAutospacing="1"/>
    </w:pPr>
    <w:rPr>
      <w:rFonts w:ascii="Times New Roman" w:eastAsia="Times New Roman" w:hAnsi="Times New Roman" w:cs="Times New Roman"/>
      <w:sz w:val="24"/>
      <w:szCs w:val="24"/>
      <w:lang w:eastAsia="es-CR"/>
    </w:rPr>
  </w:style>
  <w:style w:type="character" w:customStyle="1" w:styleId="PrrafodelistaCar">
    <w:name w:val="Párrafo de lista Car"/>
    <w:basedOn w:val="Fuentedeprrafopredeter"/>
    <w:link w:val="Prrafodelista"/>
    <w:uiPriority w:val="34"/>
    <w:locked/>
    <w:rsid w:val="00B535D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136024">
      <w:bodyDiv w:val="1"/>
      <w:marLeft w:val="0"/>
      <w:marRight w:val="0"/>
      <w:marTop w:val="0"/>
      <w:marBottom w:val="0"/>
      <w:divBdr>
        <w:top w:val="none" w:sz="0" w:space="0" w:color="auto"/>
        <w:left w:val="none" w:sz="0" w:space="0" w:color="auto"/>
        <w:bottom w:val="none" w:sz="0" w:space="0" w:color="auto"/>
        <w:right w:val="none" w:sz="0" w:space="0" w:color="auto"/>
      </w:divBdr>
    </w:div>
    <w:div w:id="1696997449">
      <w:bodyDiv w:val="1"/>
      <w:marLeft w:val="0"/>
      <w:marRight w:val="0"/>
      <w:marTop w:val="0"/>
      <w:marBottom w:val="0"/>
      <w:divBdr>
        <w:top w:val="none" w:sz="0" w:space="0" w:color="auto"/>
        <w:left w:val="none" w:sz="0" w:space="0" w:color="auto"/>
        <w:bottom w:val="none" w:sz="0" w:space="0" w:color="auto"/>
        <w:right w:val="none" w:sz="0" w:space="0" w:color="auto"/>
      </w:divBdr>
    </w:div>
    <w:div w:id="212843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aguero@poder-judicial.go.c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calderonma@poder-judicial.go.c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guillen@poder-judicial.go.c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image004.png@01D4AF1B.BEBB49F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depto-fico@poder-judicial.go.cr" TargetMode="External"/><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Aguero Diaz</dc:creator>
  <cp:keywords/>
  <dc:description/>
  <cp:lastModifiedBy>Angie Calderón Chaves</cp:lastModifiedBy>
  <cp:revision>2</cp:revision>
  <cp:lastPrinted>2019-05-08T14:45:00Z</cp:lastPrinted>
  <dcterms:created xsi:type="dcterms:W3CDTF">2022-04-13T16:02:00Z</dcterms:created>
  <dcterms:modified xsi:type="dcterms:W3CDTF">2022-04-13T16:02:00Z</dcterms:modified>
</cp:coreProperties>
</file>