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1DF1C" w14:textId="77777777" w:rsidR="00FC5720" w:rsidRPr="006C48A8" w:rsidRDefault="00FC5720" w:rsidP="00FC5720">
      <w:pPr>
        <w:spacing w:after="0" w:line="240" w:lineRule="auto"/>
        <w:jc w:val="both"/>
        <w:rPr>
          <w:rFonts w:ascii="Times New Roman" w:hAnsi="Times New Roman" w:cs="Times New Roman"/>
          <w:b/>
          <w:bCs/>
          <w:color w:val="000000"/>
          <w:sz w:val="24"/>
          <w:szCs w:val="24"/>
          <w:lang w:val="es-ES" w:eastAsia="es-CR"/>
        </w:rPr>
      </w:pPr>
      <w:bookmarkStart w:id="0" w:name="_Hlk22190564"/>
      <w:r w:rsidRPr="006C48A8">
        <w:rPr>
          <w:rFonts w:ascii="Times New Roman" w:hAnsi="Times New Roman" w:cs="Times New Roman"/>
          <w:b/>
          <w:bCs/>
          <w:color w:val="000000"/>
          <w:sz w:val="24"/>
          <w:szCs w:val="24"/>
          <w:lang w:val="es-ES" w:eastAsia="es-CR"/>
        </w:rPr>
        <w:t>CIRCULAR No. 4-2022</w:t>
      </w:r>
    </w:p>
    <w:p w14:paraId="35690A84" w14:textId="77777777" w:rsidR="00FC5720" w:rsidRPr="006C48A8" w:rsidRDefault="00FC5720" w:rsidP="00FC5720">
      <w:pPr>
        <w:spacing w:after="0" w:line="240" w:lineRule="auto"/>
        <w:ind w:firstLine="709"/>
        <w:jc w:val="both"/>
        <w:rPr>
          <w:rFonts w:ascii="Times New Roman" w:hAnsi="Times New Roman" w:cs="Times New Roman"/>
          <w:b/>
          <w:bCs/>
          <w:color w:val="000000"/>
          <w:sz w:val="24"/>
          <w:szCs w:val="24"/>
          <w:lang w:val="es-ES" w:eastAsia="es-CR"/>
        </w:rPr>
      </w:pPr>
    </w:p>
    <w:p w14:paraId="19C53F86" w14:textId="0274F21D" w:rsidR="00FC5720" w:rsidRPr="006C48A8" w:rsidRDefault="00FC5720" w:rsidP="00FC5720">
      <w:pPr>
        <w:spacing w:after="0" w:line="240" w:lineRule="auto"/>
        <w:jc w:val="both"/>
        <w:rPr>
          <w:rFonts w:ascii="Times New Roman" w:hAnsi="Times New Roman" w:cs="Times New Roman"/>
          <w:sz w:val="24"/>
          <w:szCs w:val="24"/>
        </w:rPr>
      </w:pPr>
      <w:r w:rsidRPr="006C48A8">
        <w:rPr>
          <w:rFonts w:ascii="Times New Roman" w:hAnsi="Times New Roman" w:cs="Times New Roman"/>
          <w:b/>
          <w:bCs/>
          <w:sz w:val="24"/>
          <w:szCs w:val="24"/>
          <w:lang w:val="es-ES"/>
        </w:rPr>
        <w:t>Asunto</w:t>
      </w:r>
      <w:r w:rsidRPr="006C48A8">
        <w:rPr>
          <w:rFonts w:ascii="Times New Roman" w:hAnsi="Times New Roman" w:cs="Times New Roman"/>
          <w:sz w:val="24"/>
          <w:szCs w:val="24"/>
          <w:lang w:val="es-ES"/>
        </w:rPr>
        <w:t xml:space="preserve">:   </w:t>
      </w:r>
      <w:r w:rsidR="006F3284">
        <w:rPr>
          <w:rFonts w:ascii="Times New Roman" w:hAnsi="Times New Roman" w:cs="Times New Roman"/>
          <w:sz w:val="24"/>
          <w:szCs w:val="24"/>
          <w:lang w:val="es-ES"/>
        </w:rPr>
        <w:t>Listado</w:t>
      </w:r>
      <w:r>
        <w:rPr>
          <w:rFonts w:ascii="Times New Roman" w:hAnsi="Times New Roman" w:cs="Times New Roman"/>
          <w:sz w:val="24"/>
          <w:szCs w:val="24"/>
          <w:lang w:val="es-ES"/>
        </w:rPr>
        <w:t xml:space="preserve"> de circulares emitidas </w:t>
      </w:r>
      <w:r w:rsidR="006F3284">
        <w:rPr>
          <w:rFonts w:ascii="Times New Roman" w:hAnsi="Times New Roman" w:cs="Times New Roman"/>
          <w:sz w:val="24"/>
          <w:szCs w:val="24"/>
          <w:lang w:val="es-ES"/>
        </w:rPr>
        <w:t>por el</w:t>
      </w:r>
      <w:r>
        <w:rPr>
          <w:rFonts w:ascii="Times New Roman" w:hAnsi="Times New Roman" w:cs="Times New Roman"/>
          <w:sz w:val="24"/>
          <w:szCs w:val="24"/>
          <w:lang w:val="es-ES"/>
        </w:rPr>
        <w:t xml:space="preserve"> Poder Judicial relacionadas con las </w:t>
      </w:r>
      <w:r w:rsidRPr="006C48A8">
        <w:rPr>
          <w:rFonts w:ascii="Times New Roman" w:hAnsi="Times New Roman" w:cs="Times New Roman"/>
          <w:sz w:val="24"/>
          <w:szCs w:val="24"/>
          <w:lang w:val="es-ES"/>
        </w:rPr>
        <w:t>Poblaciones vulnerables Versión 1.</w:t>
      </w:r>
    </w:p>
    <w:p w14:paraId="3F22BBCA" w14:textId="77777777" w:rsidR="00FC5720" w:rsidRPr="006C48A8" w:rsidRDefault="00FC5720" w:rsidP="00FC5720">
      <w:pPr>
        <w:pStyle w:val="xmsonormal"/>
        <w:spacing w:before="0" w:beforeAutospacing="0" w:after="0" w:afterAutospacing="0"/>
        <w:ind w:firstLine="709"/>
        <w:jc w:val="both"/>
      </w:pPr>
    </w:p>
    <w:p w14:paraId="328B127E" w14:textId="77777777" w:rsidR="00FC5720" w:rsidRPr="006C48A8" w:rsidRDefault="00FC5720" w:rsidP="00FC5720">
      <w:pPr>
        <w:spacing w:after="0" w:line="240" w:lineRule="auto"/>
        <w:jc w:val="both"/>
        <w:rPr>
          <w:rFonts w:ascii="Times New Roman" w:hAnsi="Times New Roman" w:cs="Times New Roman"/>
          <w:b/>
          <w:bCs/>
          <w:sz w:val="24"/>
          <w:szCs w:val="24"/>
          <w:u w:val="single"/>
          <w:lang w:val="es-ES_tradnl"/>
        </w:rPr>
      </w:pPr>
      <w:r w:rsidRPr="006C48A8">
        <w:rPr>
          <w:rFonts w:ascii="Times New Roman" w:hAnsi="Times New Roman" w:cs="Times New Roman"/>
          <w:b/>
          <w:bCs/>
          <w:sz w:val="24"/>
          <w:szCs w:val="24"/>
          <w:u w:val="single"/>
        </w:rPr>
        <w:t>A TODOS LOS DESPACHOS JUDICIALES DEL PAÍS</w:t>
      </w:r>
    </w:p>
    <w:p w14:paraId="1C514B03" w14:textId="77777777" w:rsidR="00FC5720" w:rsidRPr="006C48A8" w:rsidRDefault="00FC5720" w:rsidP="00FC5720">
      <w:pPr>
        <w:spacing w:after="0" w:line="240" w:lineRule="auto"/>
        <w:ind w:firstLine="709"/>
        <w:jc w:val="both"/>
        <w:rPr>
          <w:rFonts w:ascii="Times New Roman" w:hAnsi="Times New Roman" w:cs="Times New Roman"/>
          <w:b/>
          <w:bCs/>
          <w:sz w:val="24"/>
          <w:szCs w:val="24"/>
          <w:u w:val="single"/>
        </w:rPr>
      </w:pPr>
    </w:p>
    <w:p w14:paraId="75B76065" w14:textId="77777777" w:rsidR="00FC5720" w:rsidRPr="006C48A8" w:rsidRDefault="00FC5720" w:rsidP="00FC5720">
      <w:pPr>
        <w:spacing w:after="0" w:line="240" w:lineRule="auto"/>
        <w:jc w:val="both"/>
        <w:rPr>
          <w:rFonts w:ascii="Times New Roman" w:hAnsi="Times New Roman" w:cs="Times New Roman"/>
          <w:b/>
          <w:bCs/>
          <w:sz w:val="24"/>
          <w:szCs w:val="24"/>
          <w:lang w:val="es-ES"/>
        </w:rPr>
      </w:pPr>
      <w:r w:rsidRPr="006C48A8">
        <w:rPr>
          <w:rFonts w:ascii="Times New Roman" w:hAnsi="Times New Roman" w:cs="Times New Roman"/>
          <w:b/>
          <w:bCs/>
          <w:sz w:val="24"/>
          <w:szCs w:val="24"/>
          <w:u w:val="single"/>
          <w:lang w:val="es-ES"/>
        </w:rPr>
        <w:t>SE LES HACE SABER QUE</w:t>
      </w:r>
      <w:r w:rsidRPr="006C48A8">
        <w:rPr>
          <w:rFonts w:ascii="Times New Roman" w:hAnsi="Times New Roman" w:cs="Times New Roman"/>
          <w:b/>
          <w:bCs/>
          <w:sz w:val="24"/>
          <w:szCs w:val="24"/>
          <w:lang w:val="es-ES"/>
        </w:rPr>
        <w:t>:</w:t>
      </w:r>
    </w:p>
    <w:p w14:paraId="16F9E646" w14:textId="77777777" w:rsidR="00FC5720" w:rsidRPr="006C48A8" w:rsidRDefault="00FC5720" w:rsidP="00FC5720">
      <w:pPr>
        <w:spacing w:after="0" w:line="240" w:lineRule="auto"/>
        <w:ind w:firstLine="709"/>
        <w:jc w:val="both"/>
        <w:rPr>
          <w:rFonts w:ascii="Times New Roman" w:hAnsi="Times New Roman" w:cs="Times New Roman"/>
          <w:b/>
          <w:bCs/>
          <w:sz w:val="24"/>
          <w:szCs w:val="24"/>
          <w:lang w:val="es-ES"/>
        </w:rPr>
      </w:pPr>
    </w:p>
    <w:p w14:paraId="19CD8972" w14:textId="63C02C84" w:rsidR="006F3284" w:rsidRDefault="00FC5720" w:rsidP="00FC5720">
      <w:pPr>
        <w:spacing w:after="0" w:line="240" w:lineRule="auto"/>
        <w:jc w:val="both"/>
        <w:rPr>
          <w:rFonts w:ascii="Times New Roman" w:hAnsi="Times New Roman" w:cs="Times New Roman"/>
          <w:sz w:val="24"/>
          <w:szCs w:val="24"/>
        </w:rPr>
      </w:pPr>
      <w:r w:rsidRPr="00FC5720">
        <w:rPr>
          <w:rFonts w:ascii="Times New Roman" w:hAnsi="Times New Roman" w:cs="Times New Roman"/>
          <w:sz w:val="24"/>
          <w:szCs w:val="24"/>
          <w:lang w:val="es-ES"/>
        </w:rPr>
        <w:t xml:space="preserve">El Consejo Superior en sesión 97-21, celebrada el 11 de noviembre de 2021, artículo LV, dispuso </w:t>
      </w:r>
      <w:r w:rsidR="006F3284">
        <w:rPr>
          <w:rFonts w:ascii="Times New Roman" w:hAnsi="Times New Roman" w:cs="Times New Roman"/>
          <w:sz w:val="24"/>
          <w:szCs w:val="24"/>
          <w:lang w:val="es-ES"/>
        </w:rPr>
        <w:t>a solicitud d</w:t>
      </w:r>
      <w:r w:rsidRPr="00FC5720">
        <w:rPr>
          <w:rFonts w:ascii="Times New Roman" w:hAnsi="Times New Roman" w:cs="Times New Roman"/>
          <w:sz w:val="24"/>
          <w:szCs w:val="24"/>
          <w:lang w:val="es-ES"/>
        </w:rPr>
        <w:t xml:space="preserve">e la Contraloría de Servicios del Poder Judicial mediante oficio N° </w:t>
      </w:r>
      <w:r w:rsidRPr="00FC5720">
        <w:rPr>
          <w:rFonts w:ascii="Times New Roman" w:hAnsi="Times New Roman" w:cs="Times New Roman"/>
          <w:sz w:val="24"/>
          <w:szCs w:val="24"/>
        </w:rPr>
        <w:t>CSJ593-2021 del 27 de octubre de 2021</w:t>
      </w:r>
      <w:bookmarkEnd w:id="0"/>
      <w:r w:rsidR="006F3284">
        <w:rPr>
          <w:rFonts w:ascii="Times New Roman" w:hAnsi="Times New Roman" w:cs="Times New Roman"/>
          <w:sz w:val="24"/>
          <w:szCs w:val="24"/>
        </w:rPr>
        <w:t xml:space="preserve">, elaborar un listado de </w:t>
      </w:r>
      <w:r w:rsidRPr="00FC5720">
        <w:rPr>
          <w:rFonts w:ascii="Times New Roman" w:hAnsi="Times New Roman" w:cs="Times New Roman"/>
          <w:sz w:val="24"/>
          <w:szCs w:val="24"/>
        </w:rPr>
        <w:t>las circulares emitidas en el Poder Judicial sobre poblaciones vulnerables</w:t>
      </w:r>
      <w:r w:rsidR="00E537F0">
        <w:rPr>
          <w:rFonts w:ascii="Times New Roman" w:hAnsi="Times New Roman" w:cs="Times New Roman"/>
          <w:sz w:val="24"/>
          <w:szCs w:val="24"/>
        </w:rPr>
        <w:t xml:space="preserve"> las cuales </w:t>
      </w:r>
      <w:r w:rsidR="006F3284">
        <w:rPr>
          <w:rFonts w:ascii="Times New Roman" w:hAnsi="Times New Roman" w:cs="Times New Roman"/>
          <w:sz w:val="24"/>
          <w:szCs w:val="24"/>
        </w:rPr>
        <w:t>se indican a continuación:</w:t>
      </w:r>
    </w:p>
    <w:p w14:paraId="5E78BDEF" w14:textId="77777777" w:rsidR="00DC20FF" w:rsidRDefault="00DC20FF" w:rsidP="00FC5720">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414"/>
        <w:gridCol w:w="4414"/>
      </w:tblGrid>
      <w:tr w:rsidR="006A1AF4" w:rsidRPr="006A1AF4" w14:paraId="41AA1016" w14:textId="77777777" w:rsidTr="00215B50">
        <w:tc>
          <w:tcPr>
            <w:tcW w:w="4414" w:type="dxa"/>
          </w:tcPr>
          <w:p w14:paraId="63323F82"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84-2000</w:t>
            </w:r>
          </w:p>
        </w:tc>
        <w:tc>
          <w:tcPr>
            <w:tcW w:w="4414" w:type="dxa"/>
          </w:tcPr>
          <w:p w14:paraId="19BB4DF3"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rPr>
            </w:pPr>
            <w:r w:rsidRPr="006A1AF4">
              <w:rPr>
                <w:rFonts w:ascii="Times New Roman" w:hAnsi="Times New Roman" w:cs="Times New Roman"/>
                <w:b/>
                <w:bCs/>
                <w:color w:val="000000"/>
                <w:spacing w:val="-3"/>
                <w:sz w:val="24"/>
                <w:szCs w:val="24"/>
                <w:lang w:val="es-ES_tradnl"/>
              </w:rPr>
              <w:t>ASUNTO:</w:t>
            </w:r>
            <w:r w:rsidRPr="006A1AF4">
              <w:rPr>
                <w:rStyle w:val="grame"/>
                <w:rFonts w:ascii="Times New Roman" w:hAnsi="Times New Roman" w:cs="Times New Roman"/>
                <w:color w:val="000000"/>
                <w:spacing w:val="-3"/>
                <w:sz w:val="24"/>
                <w:szCs w:val="24"/>
                <w:lang w:val="es-ES_tradnl"/>
              </w:rPr>
              <w:t> Atención</w:t>
            </w:r>
            <w:r w:rsidRPr="006A1AF4">
              <w:rPr>
                <w:rFonts w:ascii="Times New Roman" w:hAnsi="Times New Roman" w:cs="Times New Roman"/>
                <w:color w:val="000000"/>
                <w:spacing w:val="-3"/>
                <w:sz w:val="24"/>
                <w:szCs w:val="24"/>
                <w:lang w:val="es-ES_tradnl"/>
              </w:rPr>
              <w:t> de usuario que muestre carné de Ciudadano de Oro.-</w:t>
            </w:r>
          </w:p>
        </w:tc>
      </w:tr>
      <w:tr w:rsidR="006A1AF4" w:rsidRPr="006A1AF4" w14:paraId="27D19353" w14:textId="77777777" w:rsidTr="00215B50">
        <w:tc>
          <w:tcPr>
            <w:tcW w:w="4414" w:type="dxa"/>
          </w:tcPr>
          <w:p w14:paraId="3437E74C"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 138-2003</w:t>
            </w:r>
          </w:p>
        </w:tc>
        <w:tc>
          <w:tcPr>
            <w:tcW w:w="4414" w:type="dxa"/>
          </w:tcPr>
          <w:p w14:paraId="5FB11723"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rPr>
            </w:pPr>
            <w:r w:rsidRPr="006A1AF4">
              <w:rPr>
                <w:rFonts w:ascii="Times New Roman" w:hAnsi="Times New Roman" w:cs="Times New Roman"/>
                <w:b/>
                <w:bCs/>
                <w:color w:val="000000"/>
                <w:sz w:val="24"/>
                <w:szCs w:val="24"/>
                <w:lang w:val="es-ES_tradnl"/>
              </w:rPr>
              <w:t>Asunto:  </w:t>
            </w:r>
            <w:r w:rsidRPr="006A1AF4">
              <w:rPr>
                <w:rFonts w:ascii="Times New Roman" w:hAnsi="Times New Roman" w:cs="Times New Roman"/>
                <w:color w:val="000000"/>
                <w:sz w:val="24"/>
                <w:szCs w:val="24"/>
                <w:lang w:val="es-ES_tradnl"/>
              </w:rPr>
              <w:t>Reiteración y adición a la Circular N° 84-2000 sobre “</w:t>
            </w:r>
            <w:r w:rsidRPr="006A1AF4">
              <w:rPr>
                <w:rFonts w:ascii="Times New Roman" w:hAnsi="Times New Roman" w:cs="Times New Roman"/>
                <w:color w:val="000000"/>
                <w:spacing w:val="-3"/>
                <w:sz w:val="24"/>
                <w:szCs w:val="24"/>
                <w:lang w:val="es-ES_tradnl"/>
              </w:rPr>
              <w:t>Atención de usuario que muestre carné de Ciudadano de Oro”.-</w:t>
            </w:r>
          </w:p>
        </w:tc>
      </w:tr>
      <w:tr w:rsidR="006A1AF4" w:rsidRPr="006A1AF4" w14:paraId="1BFA4359" w14:textId="77777777" w:rsidTr="00215B50">
        <w:tc>
          <w:tcPr>
            <w:tcW w:w="4414" w:type="dxa"/>
          </w:tcPr>
          <w:p w14:paraId="2E0DA96D"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Nº 61-08</w:t>
            </w:r>
          </w:p>
        </w:tc>
        <w:tc>
          <w:tcPr>
            <w:tcW w:w="4414" w:type="dxa"/>
          </w:tcPr>
          <w:p w14:paraId="5D297F01"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lang w:val="es-ES_tradnl"/>
              </w:rPr>
            </w:pPr>
            <w:r w:rsidRPr="006A1AF4">
              <w:rPr>
                <w:rFonts w:ascii="Times New Roman" w:hAnsi="Times New Roman" w:cs="Times New Roman"/>
                <w:b/>
                <w:bCs/>
                <w:color w:val="000000"/>
                <w:sz w:val="24"/>
                <w:szCs w:val="24"/>
                <w:lang w:val="es-ES_tradnl"/>
              </w:rPr>
              <w:t>ASUNTO:</w:t>
            </w:r>
            <w:r w:rsidRPr="006A1AF4">
              <w:rPr>
                <w:rFonts w:ascii="Times New Roman" w:hAnsi="Times New Roman" w:cs="Times New Roman"/>
                <w:color w:val="000000"/>
                <w:sz w:val="24"/>
                <w:szCs w:val="24"/>
                <w:lang w:val="es-ES_tradnl"/>
              </w:rPr>
              <w:t> Políticas para garantizar el adecuado acceso a la justicia de la población Adulta Mayor.</w:t>
            </w:r>
          </w:p>
        </w:tc>
      </w:tr>
      <w:tr w:rsidR="006A1AF4" w:rsidRPr="006A1AF4" w14:paraId="484EF2C1" w14:textId="77777777" w:rsidTr="00215B50">
        <w:tc>
          <w:tcPr>
            <w:tcW w:w="4414" w:type="dxa"/>
          </w:tcPr>
          <w:p w14:paraId="6AF67C14"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Nº 81-08</w:t>
            </w:r>
          </w:p>
        </w:tc>
        <w:tc>
          <w:tcPr>
            <w:tcW w:w="4414" w:type="dxa"/>
          </w:tcPr>
          <w:p w14:paraId="0D0307CD" w14:textId="77777777" w:rsidR="006A1AF4" w:rsidRPr="006A1AF4" w:rsidRDefault="006A1AF4" w:rsidP="00DC20FF">
            <w:pPr>
              <w:pStyle w:val="Textoindependiente"/>
              <w:widowControl w:val="0"/>
              <w:shd w:val="clear" w:color="auto" w:fill="FFFFFF"/>
              <w:spacing w:before="0" w:beforeAutospacing="0" w:after="0" w:afterAutospacing="0"/>
              <w:jc w:val="both"/>
              <w:rPr>
                <w:color w:val="000000"/>
              </w:rPr>
            </w:pPr>
            <w:r w:rsidRPr="006A1AF4">
              <w:rPr>
                <w:b/>
                <w:bCs/>
                <w:color w:val="000000"/>
              </w:rPr>
              <w:t>ASUNTO:</w:t>
            </w:r>
            <w:r w:rsidRPr="006A1AF4">
              <w:rPr>
                <w:color w:val="000000"/>
              </w:rPr>
              <w:t> Política de Igualdad para las Personas con Discapacidad en el Poder Judicial.</w:t>
            </w:r>
          </w:p>
        </w:tc>
      </w:tr>
      <w:tr w:rsidR="006A1AF4" w:rsidRPr="006A1AF4" w14:paraId="263D5AFE" w14:textId="77777777" w:rsidTr="00215B50">
        <w:tc>
          <w:tcPr>
            <w:tcW w:w="4414" w:type="dxa"/>
          </w:tcPr>
          <w:p w14:paraId="17C3A132" w14:textId="77777777" w:rsidR="006A1AF4" w:rsidRPr="006A1AF4" w:rsidRDefault="006A1AF4" w:rsidP="00DC20FF">
            <w:pPr>
              <w:pStyle w:val="resumen"/>
              <w:keepNext w:val="0"/>
              <w:widowControl w:val="0"/>
              <w:suppressAutoHyphens w:val="0"/>
              <w:rPr>
                <w:rFonts w:cs="Times New Roman"/>
                <w:sz w:val="24"/>
                <w:szCs w:val="24"/>
              </w:rPr>
            </w:pPr>
            <w:bookmarkStart w:id="1" w:name="_edn1"/>
            <w:bookmarkEnd w:id="1"/>
            <w:r w:rsidRPr="006A1AF4">
              <w:rPr>
                <w:rFonts w:cs="Times New Roman"/>
                <w:sz w:val="24"/>
                <w:szCs w:val="24"/>
              </w:rPr>
              <w:t>CIRCULAR Nº 149-08</w:t>
            </w:r>
          </w:p>
        </w:tc>
        <w:tc>
          <w:tcPr>
            <w:tcW w:w="4414" w:type="dxa"/>
          </w:tcPr>
          <w:p w14:paraId="470BAECA"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rPr>
            </w:pPr>
            <w:r w:rsidRPr="006A1AF4">
              <w:rPr>
                <w:rFonts w:ascii="Times New Roman" w:hAnsi="Times New Roman" w:cs="Times New Roman"/>
                <w:b/>
                <w:bCs/>
                <w:color w:val="000000"/>
                <w:sz w:val="24"/>
                <w:szCs w:val="24"/>
              </w:rPr>
              <w:t>ASUNTO:</w:t>
            </w:r>
            <w:r w:rsidRPr="006A1AF4">
              <w:rPr>
                <w:rFonts w:ascii="Times New Roman" w:hAnsi="Times New Roman" w:cs="Times New Roman"/>
                <w:color w:val="000000"/>
                <w:sz w:val="24"/>
                <w:szCs w:val="24"/>
              </w:rPr>
              <w:t>  Reiteración de la Circular 61-08 sobre </w:t>
            </w:r>
            <w:r w:rsidRPr="006A1AF4">
              <w:rPr>
                <w:rFonts w:ascii="Times New Roman" w:hAnsi="Times New Roman" w:cs="Times New Roman"/>
                <w:i/>
                <w:iCs/>
                <w:color w:val="000000"/>
                <w:sz w:val="24"/>
                <w:szCs w:val="24"/>
              </w:rPr>
              <w:t xml:space="preserve">“Políticas para garantizar el adecuado acceso a la justicia de la población Adulta </w:t>
            </w:r>
            <w:proofErr w:type="spellStart"/>
            <w:r w:rsidRPr="006A1AF4">
              <w:rPr>
                <w:rFonts w:ascii="Times New Roman" w:hAnsi="Times New Roman" w:cs="Times New Roman"/>
                <w:i/>
                <w:iCs/>
                <w:color w:val="000000"/>
                <w:sz w:val="24"/>
                <w:szCs w:val="24"/>
              </w:rPr>
              <w:t>Mayor</w:t>
            </w:r>
            <w:r w:rsidRPr="006A1AF4">
              <w:rPr>
                <w:rFonts w:ascii="Times New Roman" w:hAnsi="Times New Roman" w:cs="Times New Roman"/>
                <w:color w:val="000000"/>
                <w:sz w:val="24"/>
                <w:szCs w:val="24"/>
              </w:rPr>
              <w:t>”,publicada</w:t>
            </w:r>
            <w:proofErr w:type="spellEnd"/>
            <w:r w:rsidRPr="006A1AF4">
              <w:rPr>
                <w:rFonts w:ascii="Times New Roman" w:hAnsi="Times New Roman" w:cs="Times New Roman"/>
                <w:color w:val="000000"/>
                <w:sz w:val="24"/>
                <w:szCs w:val="24"/>
              </w:rPr>
              <w:t xml:space="preserve"> en el Boletín Judicial Nº 98-08 del 22 de mayo de 2008.</w:t>
            </w:r>
          </w:p>
        </w:tc>
      </w:tr>
      <w:tr w:rsidR="006A1AF4" w:rsidRPr="006A1AF4" w14:paraId="67E38D53" w14:textId="77777777" w:rsidTr="00215B50">
        <w:tc>
          <w:tcPr>
            <w:tcW w:w="4414" w:type="dxa"/>
          </w:tcPr>
          <w:p w14:paraId="1AD8936C"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01-09</w:t>
            </w:r>
          </w:p>
        </w:tc>
        <w:tc>
          <w:tcPr>
            <w:tcW w:w="4414" w:type="dxa"/>
          </w:tcPr>
          <w:p w14:paraId="019C6537"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rPr>
            </w:pPr>
            <w:r w:rsidRPr="006A1AF4">
              <w:rPr>
                <w:rFonts w:ascii="Times New Roman" w:hAnsi="Times New Roman" w:cs="Times New Roman"/>
                <w:b/>
                <w:bCs/>
                <w:color w:val="000000"/>
                <w:sz w:val="24"/>
                <w:szCs w:val="24"/>
              </w:rPr>
              <w:t>Asunto: </w:t>
            </w:r>
            <w:r w:rsidRPr="006A1AF4">
              <w:rPr>
                <w:rFonts w:ascii="Times New Roman" w:hAnsi="Times New Roman" w:cs="Times New Roman"/>
                <w:color w:val="000000"/>
                <w:sz w:val="24"/>
                <w:szCs w:val="24"/>
              </w:rPr>
              <w:t>Uso de carátulas</w:t>
            </w:r>
            <w:r w:rsidRPr="006A1AF4">
              <w:rPr>
                <w:rFonts w:ascii="Times New Roman" w:hAnsi="Times New Roman" w:cs="Times New Roman"/>
                <w:b/>
                <w:bCs/>
                <w:color w:val="000000"/>
                <w:sz w:val="24"/>
                <w:szCs w:val="24"/>
              </w:rPr>
              <w:t> “</w:t>
            </w:r>
            <w:r w:rsidRPr="006A1AF4">
              <w:rPr>
                <w:rFonts w:ascii="Times New Roman" w:hAnsi="Times New Roman" w:cs="Times New Roman"/>
                <w:color w:val="000000"/>
                <w:sz w:val="24"/>
                <w:szCs w:val="24"/>
              </w:rPr>
              <w:t>color terracota” (rojo marrón), en los expedientes en los que figure como parte una persona adulta mayor.</w:t>
            </w:r>
          </w:p>
        </w:tc>
      </w:tr>
      <w:tr w:rsidR="006A1AF4" w:rsidRPr="006A1AF4" w14:paraId="76A142EA" w14:textId="77777777" w:rsidTr="00215B50">
        <w:tc>
          <w:tcPr>
            <w:tcW w:w="4414" w:type="dxa"/>
          </w:tcPr>
          <w:p w14:paraId="1FB198A6"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05-09</w:t>
            </w:r>
          </w:p>
        </w:tc>
        <w:tc>
          <w:tcPr>
            <w:tcW w:w="4414" w:type="dxa"/>
          </w:tcPr>
          <w:p w14:paraId="7B39E208" w14:textId="77777777" w:rsidR="006A1AF4" w:rsidRPr="006A1AF4" w:rsidRDefault="006A1AF4" w:rsidP="00DC20FF">
            <w:pPr>
              <w:widowControl w:val="0"/>
              <w:shd w:val="clear" w:color="auto" w:fill="FFFFFF"/>
              <w:jc w:val="both"/>
              <w:rPr>
                <w:rFonts w:ascii="Times New Roman" w:eastAsia="Times New Roman" w:hAnsi="Times New Roman" w:cs="Times New Roman"/>
                <w:color w:val="000000"/>
                <w:sz w:val="24"/>
                <w:szCs w:val="24"/>
                <w:lang w:eastAsia="es-CR"/>
              </w:rPr>
            </w:pPr>
            <w:r w:rsidRPr="006A1AF4">
              <w:rPr>
                <w:rFonts w:ascii="Times New Roman" w:eastAsia="Times New Roman" w:hAnsi="Times New Roman" w:cs="Times New Roman"/>
                <w:b/>
                <w:bCs/>
                <w:color w:val="000000"/>
                <w:sz w:val="24"/>
                <w:szCs w:val="24"/>
                <w:lang w:eastAsia="es-CR"/>
              </w:rPr>
              <w:t>Asunto: </w:t>
            </w:r>
            <w:r w:rsidRPr="006A1AF4">
              <w:rPr>
                <w:rFonts w:ascii="Times New Roman" w:eastAsia="Times New Roman" w:hAnsi="Times New Roman" w:cs="Times New Roman"/>
                <w:color w:val="000000"/>
                <w:sz w:val="24"/>
                <w:szCs w:val="24"/>
                <w:lang w:eastAsia="es-CR"/>
              </w:rPr>
              <w:t>Iniciativas para favorecer la aplicación de las políticas de acceso a la justicia de la población adulta mayor.</w:t>
            </w:r>
          </w:p>
        </w:tc>
      </w:tr>
      <w:tr w:rsidR="006A1AF4" w:rsidRPr="006A1AF4" w14:paraId="37644B55" w14:textId="77777777" w:rsidTr="00215B50">
        <w:tc>
          <w:tcPr>
            <w:tcW w:w="4414" w:type="dxa"/>
          </w:tcPr>
          <w:p w14:paraId="23910E82"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11-09</w:t>
            </w:r>
          </w:p>
        </w:tc>
        <w:tc>
          <w:tcPr>
            <w:tcW w:w="4414" w:type="dxa"/>
          </w:tcPr>
          <w:p w14:paraId="0EE662AD"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rPr>
            </w:pPr>
            <w:r w:rsidRPr="006A1AF4">
              <w:rPr>
                <w:rFonts w:ascii="Times New Roman" w:hAnsi="Times New Roman" w:cs="Times New Roman"/>
                <w:b/>
                <w:bCs/>
                <w:color w:val="000000"/>
                <w:sz w:val="24"/>
                <w:szCs w:val="24"/>
              </w:rPr>
              <w:t>Asunto: </w:t>
            </w:r>
            <w:r w:rsidRPr="006A1AF4">
              <w:rPr>
                <w:rFonts w:ascii="Times New Roman" w:hAnsi="Times New Roman" w:cs="Times New Roman"/>
                <w:color w:val="000000"/>
                <w:sz w:val="24"/>
                <w:szCs w:val="24"/>
              </w:rPr>
              <w:t>Modificación de la Circular 05-09 sobre</w:t>
            </w:r>
            <w:r w:rsidRPr="006A1AF4">
              <w:rPr>
                <w:rFonts w:ascii="Times New Roman" w:hAnsi="Times New Roman" w:cs="Times New Roman"/>
                <w:b/>
                <w:bCs/>
                <w:color w:val="000000"/>
                <w:sz w:val="24"/>
                <w:szCs w:val="24"/>
              </w:rPr>
              <w:t> </w:t>
            </w:r>
            <w:r w:rsidRPr="006A1AF4">
              <w:rPr>
                <w:rFonts w:ascii="Times New Roman" w:hAnsi="Times New Roman" w:cs="Times New Roman"/>
                <w:color w:val="000000"/>
                <w:sz w:val="24"/>
                <w:szCs w:val="24"/>
              </w:rPr>
              <w:t>las </w:t>
            </w:r>
            <w:r w:rsidRPr="006A1AF4">
              <w:rPr>
                <w:rFonts w:ascii="Times New Roman" w:hAnsi="Times New Roman" w:cs="Times New Roman"/>
                <w:b/>
                <w:bCs/>
                <w:i/>
                <w:iCs/>
                <w:color w:val="000000"/>
                <w:sz w:val="24"/>
                <w:szCs w:val="24"/>
              </w:rPr>
              <w:t>“</w:t>
            </w:r>
            <w:r w:rsidRPr="006A1AF4">
              <w:rPr>
                <w:rFonts w:ascii="Times New Roman" w:hAnsi="Times New Roman" w:cs="Times New Roman"/>
                <w:i/>
                <w:iCs/>
                <w:color w:val="000000"/>
                <w:sz w:val="24"/>
                <w:szCs w:val="24"/>
              </w:rPr>
              <w:t>Iniciativas para favorecer la aplicación de las políticas de acceso a la justicia de la población adulta mayor”</w:t>
            </w:r>
            <w:r w:rsidRPr="006A1AF4">
              <w:rPr>
                <w:rFonts w:ascii="Times New Roman" w:hAnsi="Times New Roman" w:cs="Times New Roman"/>
                <w:color w:val="000000"/>
                <w:sz w:val="24"/>
                <w:szCs w:val="24"/>
              </w:rPr>
              <w:t>, publicada en el Boletín Judicial 18 del 27 de enero de 2008.</w:t>
            </w:r>
          </w:p>
        </w:tc>
      </w:tr>
      <w:tr w:rsidR="006A1AF4" w:rsidRPr="006A1AF4" w14:paraId="1BC75540" w14:textId="77777777" w:rsidTr="00215B50">
        <w:tc>
          <w:tcPr>
            <w:tcW w:w="4414" w:type="dxa"/>
          </w:tcPr>
          <w:p w14:paraId="1DAAD678"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37-09</w:t>
            </w:r>
          </w:p>
        </w:tc>
        <w:tc>
          <w:tcPr>
            <w:tcW w:w="4414" w:type="dxa"/>
          </w:tcPr>
          <w:p w14:paraId="3DF28439" w14:textId="77777777" w:rsidR="006A1AF4" w:rsidRPr="006A1AF4" w:rsidRDefault="006A1AF4" w:rsidP="00DC20FF">
            <w:pPr>
              <w:widowControl w:val="0"/>
              <w:shd w:val="clear" w:color="auto" w:fill="FFFFFF"/>
              <w:jc w:val="both"/>
              <w:rPr>
                <w:rFonts w:ascii="Times New Roman" w:eastAsia="Times New Roman" w:hAnsi="Times New Roman" w:cs="Times New Roman"/>
                <w:color w:val="000000"/>
                <w:sz w:val="24"/>
                <w:szCs w:val="24"/>
                <w:lang w:eastAsia="es-CR"/>
              </w:rPr>
            </w:pPr>
            <w:r w:rsidRPr="006A1AF4">
              <w:rPr>
                <w:rFonts w:ascii="Times New Roman" w:eastAsia="Times New Roman" w:hAnsi="Times New Roman" w:cs="Times New Roman"/>
                <w:b/>
                <w:bCs/>
                <w:color w:val="000000"/>
                <w:sz w:val="24"/>
                <w:szCs w:val="24"/>
                <w:lang w:eastAsia="es-CR"/>
              </w:rPr>
              <w:t>Asunto: </w:t>
            </w:r>
            <w:r w:rsidRPr="006A1AF4">
              <w:rPr>
                <w:rFonts w:ascii="Times New Roman" w:eastAsia="Times New Roman" w:hAnsi="Times New Roman" w:cs="Times New Roman"/>
                <w:color w:val="000000"/>
                <w:sz w:val="24"/>
                <w:szCs w:val="24"/>
                <w:lang w:eastAsia="es-CR"/>
              </w:rPr>
              <w:t>Ampliación de la Circular N° 01-09 sobre el “Uso de carátulas</w:t>
            </w:r>
            <w:r w:rsidRPr="006A1AF4">
              <w:rPr>
                <w:rFonts w:ascii="Times New Roman" w:eastAsia="Times New Roman" w:hAnsi="Times New Roman" w:cs="Times New Roman"/>
                <w:b/>
                <w:bCs/>
                <w:color w:val="000000"/>
                <w:sz w:val="24"/>
                <w:szCs w:val="24"/>
                <w:lang w:eastAsia="es-CR"/>
              </w:rPr>
              <w:t> </w:t>
            </w:r>
            <w:r w:rsidRPr="006A1AF4">
              <w:rPr>
                <w:rFonts w:ascii="Times New Roman" w:eastAsia="Times New Roman" w:hAnsi="Times New Roman" w:cs="Times New Roman"/>
                <w:color w:val="000000"/>
                <w:sz w:val="24"/>
                <w:szCs w:val="24"/>
                <w:lang w:eastAsia="es-CR"/>
              </w:rPr>
              <w:t xml:space="preserve">“color </w:t>
            </w:r>
            <w:r w:rsidRPr="006A1AF4">
              <w:rPr>
                <w:rFonts w:ascii="Times New Roman" w:eastAsia="Times New Roman" w:hAnsi="Times New Roman" w:cs="Times New Roman"/>
                <w:color w:val="000000"/>
                <w:sz w:val="24"/>
                <w:szCs w:val="24"/>
                <w:lang w:eastAsia="es-CR"/>
              </w:rPr>
              <w:lastRenderedPageBreak/>
              <w:t>terracota” (rojo marrón), en los expedientes en los que figure como parte una persona adulta mayor.”, publicada en el Boletín Judicial N° 12 del 19 de enero de 2009.</w:t>
            </w:r>
          </w:p>
        </w:tc>
      </w:tr>
      <w:tr w:rsidR="006A1AF4" w:rsidRPr="006A1AF4" w14:paraId="18858D6A" w14:textId="77777777" w:rsidTr="00215B50">
        <w:tc>
          <w:tcPr>
            <w:tcW w:w="4414" w:type="dxa"/>
          </w:tcPr>
          <w:p w14:paraId="491E4A39"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lastRenderedPageBreak/>
              <w:t>CIRCULAR No. 67-09</w:t>
            </w:r>
          </w:p>
        </w:tc>
        <w:tc>
          <w:tcPr>
            <w:tcW w:w="4414" w:type="dxa"/>
          </w:tcPr>
          <w:p w14:paraId="2A123B9C"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rPr>
            </w:pPr>
            <w:r w:rsidRPr="006A1AF4">
              <w:rPr>
                <w:rFonts w:ascii="Times New Roman" w:hAnsi="Times New Roman" w:cs="Times New Roman"/>
                <w:b/>
                <w:bCs/>
                <w:color w:val="000000"/>
                <w:sz w:val="24"/>
                <w:szCs w:val="24"/>
              </w:rPr>
              <w:t>Asunto: </w:t>
            </w:r>
            <w:r w:rsidRPr="006A1AF4">
              <w:rPr>
                <w:rFonts w:ascii="Times New Roman" w:hAnsi="Times New Roman" w:cs="Times New Roman"/>
                <w:color w:val="000000"/>
                <w:sz w:val="24"/>
                <w:szCs w:val="24"/>
              </w:rPr>
              <w:t>Aclaración de la Circular Nº 32-09 sobre “Políticas de accesibilidad para las personas con discapacidad”, publicada en el Boletín Judicial Nº 105 del 2 de junio de 2009.</w:t>
            </w:r>
          </w:p>
        </w:tc>
      </w:tr>
      <w:tr w:rsidR="006A1AF4" w:rsidRPr="006A1AF4" w14:paraId="4367671F" w14:textId="77777777" w:rsidTr="00215B50">
        <w:tc>
          <w:tcPr>
            <w:tcW w:w="4414" w:type="dxa"/>
          </w:tcPr>
          <w:p w14:paraId="568EE8C2"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 55-2010</w:t>
            </w:r>
          </w:p>
        </w:tc>
        <w:tc>
          <w:tcPr>
            <w:tcW w:w="4414" w:type="dxa"/>
          </w:tcPr>
          <w:p w14:paraId="43843EBB" w14:textId="77777777" w:rsidR="006A1AF4" w:rsidRPr="006A1AF4" w:rsidRDefault="006A1AF4" w:rsidP="00DC20FF">
            <w:pPr>
              <w:widowControl w:val="0"/>
              <w:shd w:val="clear" w:color="auto" w:fill="FFFFFF"/>
              <w:jc w:val="both"/>
              <w:rPr>
                <w:rFonts w:ascii="Times New Roman" w:eastAsia="Times New Roman" w:hAnsi="Times New Roman" w:cs="Times New Roman"/>
                <w:color w:val="000000"/>
                <w:sz w:val="24"/>
                <w:szCs w:val="24"/>
                <w:lang w:eastAsia="es-CR"/>
              </w:rPr>
            </w:pPr>
            <w:r w:rsidRPr="006A1AF4">
              <w:rPr>
                <w:rFonts w:ascii="Times New Roman" w:eastAsia="Times New Roman" w:hAnsi="Times New Roman" w:cs="Times New Roman"/>
                <w:b/>
                <w:bCs/>
                <w:color w:val="000000"/>
                <w:sz w:val="24"/>
                <w:szCs w:val="24"/>
                <w:u w:val="single"/>
                <w:lang w:eastAsia="es-CR"/>
              </w:rPr>
              <w:t>Asunto:</w:t>
            </w:r>
            <w:r w:rsidRPr="006A1AF4">
              <w:rPr>
                <w:rFonts w:ascii="Times New Roman" w:eastAsia="Times New Roman" w:hAnsi="Times New Roman" w:cs="Times New Roman"/>
                <w:b/>
                <w:bCs/>
                <w:color w:val="000000"/>
                <w:sz w:val="24"/>
                <w:szCs w:val="24"/>
                <w:lang w:eastAsia="es-CR"/>
              </w:rPr>
              <w:t> </w:t>
            </w:r>
            <w:r w:rsidRPr="006A1AF4">
              <w:rPr>
                <w:rFonts w:ascii="Times New Roman" w:eastAsia="Times New Roman" w:hAnsi="Times New Roman" w:cs="Times New Roman"/>
                <w:color w:val="000000"/>
                <w:sz w:val="24"/>
                <w:szCs w:val="24"/>
                <w:lang w:eastAsia="es-CR"/>
              </w:rPr>
              <w:t>Comunicación de la lista de Centros de Atención de la Persona Adulta Mayor, conformada por cercanía a los circuitos y oficinas judiciales.</w:t>
            </w:r>
          </w:p>
        </w:tc>
      </w:tr>
      <w:tr w:rsidR="006A1AF4" w:rsidRPr="006A1AF4" w14:paraId="54448C31" w14:textId="77777777" w:rsidTr="00215B50">
        <w:tc>
          <w:tcPr>
            <w:tcW w:w="4414" w:type="dxa"/>
          </w:tcPr>
          <w:p w14:paraId="70EBEC45"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 066-2010</w:t>
            </w:r>
          </w:p>
        </w:tc>
        <w:tc>
          <w:tcPr>
            <w:tcW w:w="4414" w:type="dxa"/>
          </w:tcPr>
          <w:p w14:paraId="25D4155E"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rPr>
            </w:pPr>
            <w:r w:rsidRPr="006A1AF4">
              <w:rPr>
                <w:rFonts w:ascii="Times New Roman" w:hAnsi="Times New Roman" w:cs="Times New Roman"/>
                <w:b/>
                <w:bCs/>
                <w:color w:val="000000"/>
                <w:sz w:val="24"/>
                <w:szCs w:val="24"/>
                <w:u w:val="single"/>
              </w:rPr>
              <w:t>Asunto</w:t>
            </w:r>
            <w:r w:rsidRPr="006A1AF4">
              <w:rPr>
                <w:rFonts w:ascii="Times New Roman" w:hAnsi="Times New Roman" w:cs="Times New Roman"/>
                <w:b/>
                <w:bCs/>
                <w:color w:val="000000"/>
                <w:sz w:val="24"/>
                <w:szCs w:val="24"/>
              </w:rPr>
              <w:t>: </w:t>
            </w:r>
            <w:r w:rsidRPr="006A1AF4">
              <w:rPr>
                <w:rFonts w:ascii="Times New Roman" w:hAnsi="Times New Roman" w:cs="Times New Roman"/>
                <w:color w:val="000000"/>
                <w:sz w:val="24"/>
                <w:szCs w:val="24"/>
              </w:rPr>
              <w:t>Plan piloto de entrega de boletas a los usuarios de los despachos que conocen sobre violencia doméstica y pensiones alimentarias, con el fin de obtener información que permita para facilitar la toma de decisiones dirigidas a mejorar el acceso a la justicia de las poblaciones en condición de vulnerabilidad.</w:t>
            </w:r>
          </w:p>
        </w:tc>
      </w:tr>
      <w:tr w:rsidR="006A1AF4" w:rsidRPr="006A1AF4" w14:paraId="163CAB91" w14:textId="77777777" w:rsidTr="00215B50">
        <w:tc>
          <w:tcPr>
            <w:tcW w:w="4414" w:type="dxa"/>
          </w:tcPr>
          <w:p w14:paraId="64C313DB"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Nº 119-10</w:t>
            </w:r>
          </w:p>
        </w:tc>
        <w:tc>
          <w:tcPr>
            <w:tcW w:w="4414" w:type="dxa"/>
          </w:tcPr>
          <w:p w14:paraId="2ADDB384"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rPr>
            </w:pPr>
            <w:r w:rsidRPr="006A1AF4">
              <w:rPr>
                <w:rFonts w:ascii="Times New Roman" w:hAnsi="Times New Roman" w:cs="Times New Roman"/>
                <w:b/>
                <w:bCs/>
                <w:color w:val="000000"/>
                <w:sz w:val="24"/>
                <w:szCs w:val="24"/>
                <w:u w:val="single"/>
              </w:rPr>
              <w:t>Asunto</w:t>
            </w:r>
            <w:r w:rsidRPr="006A1AF4">
              <w:rPr>
                <w:rFonts w:ascii="Times New Roman" w:hAnsi="Times New Roman" w:cs="Times New Roman"/>
                <w:b/>
                <w:bCs/>
                <w:color w:val="000000"/>
                <w:sz w:val="24"/>
                <w:szCs w:val="24"/>
              </w:rPr>
              <w:t>:</w:t>
            </w:r>
            <w:r w:rsidRPr="006A1AF4">
              <w:rPr>
                <w:rFonts w:ascii="Times New Roman" w:hAnsi="Times New Roman" w:cs="Times New Roman"/>
                <w:color w:val="000000"/>
                <w:sz w:val="24"/>
                <w:szCs w:val="24"/>
              </w:rPr>
              <w:t> Cumplimiento de las políticas de accesibilidad para la población adulta mayor.-</w:t>
            </w:r>
          </w:p>
        </w:tc>
      </w:tr>
      <w:tr w:rsidR="006A1AF4" w:rsidRPr="006A1AF4" w14:paraId="4693B711" w14:textId="77777777" w:rsidTr="00215B50">
        <w:tc>
          <w:tcPr>
            <w:tcW w:w="4414" w:type="dxa"/>
          </w:tcPr>
          <w:p w14:paraId="308EA0A2"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167-10</w:t>
            </w:r>
          </w:p>
        </w:tc>
        <w:tc>
          <w:tcPr>
            <w:tcW w:w="4414" w:type="dxa"/>
          </w:tcPr>
          <w:p w14:paraId="6AB54136"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b/>
                <w:bCs/>
                <w:color w:val="000000"/>
              </w:rPr>
              <w:t>: </w:t>
            </w:r>
            <w:r w:rsidRPr="006A1AF4">
              <w:rPr>
                <w:color w:val="000000"/>
              </w:rPr>
              <w:t>“Directrices para reducir la Revictimización de Personas en Condición de Discapacidad en Procesos Judiciales”.-</w:t>
            </w:r>
          </w:p>
        </w:tc>
      </w:tr>
      <w:tr w:rsidR="006A1AF4" w:rsidRPr="006A1AF4" w14:paraId="605B39C8" w14:textId="77777777" w:rsidTr="00215B50">
        <w:tc>
          <w:tcPr>
            <w:tcW w:w="4414" w:type="dxa"/>
          </w:tcPr>
          <w:p w14:paraId="2BE2EA15"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168-10</w:t>
            </w:r>
          </w:p>
        </w:tc>
        <w:tc>
          <w:tcPr>
            <w:tcW w:w="4414" w:type="dxa"/>
          </w:tcPr>
          <w:p w14:paraId="3B3AF87A"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b/>
                <w:bCs/>
                <w:color w:val="000000"/>
              </w:rPr>
              <w:t>: </w:t>
            </w:r>
            <w:r w:rsidRPr="006A1AF4">
              <w:rPr>
                <w:color w:val="000000"/>
              </w:rPr>
              <w:t>“Directrices para reducir la Revictimización de Niños, Niñas y Adolescentes en Condición de Discapacidad en Procesos Judiciales”.-</w:t>
            </w:r>
          </w:p>
        </w:tc>
      </w:tr>
      <w:tr w:rsidR="006A1AF4" w:rsidRPr="006A1AF4" w14:paraId="48B2D563" w14:textId="77777777" w:rsidTr="00215B50">
        <w:tc>
          <w:tcPr>
            <w:tcW w:w="4414" w:type="dxa"/>
          </w:tcPr>
          <w:p w14:paraId="26C4A937"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Nº 15-2011</w:t>
            </w:r>
          </w:p>
        </w:tc>
        <w:tc>
          <w:tcPr>
            <w:tcW w:w="4414" w:type="dxa"/>
          </w:tcPr>
          <w:p w14:paraId="619C6A9C"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rPr>
            </w:pPr>
            <w:r w:rsidRPr="006A1AF4">
              <w:rPr>
                <w:rFonts w:ascii="Times New Roman" w:hAnsi="Times New Roman" w:cs="Times New Roman"/>
                <w:b/>
                <w:bCs/>
                <w:color w:val="000000"/>
                <w:sz w:val="24"/>
                <w:szCs w:val="24"/>
                <w:u w:val="single"/>
              </w:rPr>
              <w:t>Asunto</w:t>
            </w:r>
            <w:r w:rsidRPr="006A1AF4">
              <w:rPr>
                <w:rFonts w:ascii="Times New Roman" w:hAnsi="Times New Roman" w:cs="Times New Roman"/>
                <w:b/>
                <w:bCs/>
                <w:color w:val="000000"/>
                <w:sz w:val="24"/>
                <w:szCs w:val="24"/>
              </w:rPr>
              <w:t>:        </w:t>
            </w:r>
            <w:r w:rsidRPr="006A1AF4">
              <w:rPr>
                <w:rFonts w:ascii="Times New Roman" w:hAnsi="Times New Roman" w:cs="Times New Roman"/>
                <w:color w:val="000000"/>
                <w:sz w:val="24"/>
                <w:szCs w:val="24"/>
              </w:rPr>
              <w:t>Sobre el deber de los jueces y juezas de pensiones alimentarias de aplicar el artículo 2 de la Ley de Pensiones Alimentarias y de utilizar todos los medios posibles a su alcance para hacer llegar documentos básicos al expediente antes de rechazar un proceso alimentario.-</w:t>
            </w:r>
          </w:p>
        </w:tc>
      </w:tr>
      <w:tr w:rsidR="006A1AF4" w:rsidRPr="006A1AF4" w14:paraId="2FE2457A" w14:textId="77777777" w:rsidTr="00215B50">
        <w:tc>
          <w:tcPr>
            <w:tcW w:w="4414" w:type="dxa"/>
          </w:tcPr>
          <w:p w14:paraId="0FB11454"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Nº 63-2011</w:t>
            </w:r>
          </w:p>
        </w:tc>
        <w:tc>
          <w:tcPr>
            <w:tcW w:w="4414" w:type="dxa"/>
          </w:tcPr>
          <w:p w14:paraId="17659A6F" w14:textId="77777777" w:rsidR="006A1AF4" w:rsidRPr="006A1AF4" w:rsidRDefault="006A1AF4" w:rsidP="00DC20FF">
            <w:pPr>
              <w:pStyle w:val="Textoindependiente"/>
              <w:widowControl w:val="0"/>
              <w:shd w:val="clear" w:color="auto" w:fill="FFFFFF"/>
              <w:spacing w:before="0" w:beforeAutospacing="0" w:after="0" w:afterAutospacing="0"/>
              <w:jc w:val="both"/>
              <w:rPr>
                <w:color w:val="000000"/>
              </w:rPr>
            </w:pPr>
            <w:r w:rsidRPr="006A1AF4">
              <w:rPr>
                <w:b/>
                <w:bCs/>
                <w:color w:val="000000"/>
                <w:u w:val="single"/>
                <w:lang w:val="es-ES_tradnl"/>
              </w:rPr>
              <w:t>Asunto</w:t>
            </w:r>
            <w:r w:rsidRPr="006A1AF4">
              <w:rPr>
                <w:b/>
                <w:bCs/>
                <w:color w:val="000000"/>
                <w:lang w:val="es-ES_tradnl"/>
              </w:rPr>
              <w:t>:</w:t>
            </w:r>
            <w:r w:rsidRPr="006A1AF4">
              <w:rPr>
                <w:color w:val="000000"/>
                <w:lang w:val="es-ES_tradnl"/>
              </w:rPr>
              <w:t>           </w:t>
            </w:r>
            <w:r w:rsidRPr="006A1AF4">
              <w:rPr>
                <w:color w:val="000000"/>
              </w:rPr>
              <w:t>Política Judicial dirigida al Mejoramiento del Acceso a la Justicia de las Niñas, Niños y Adolescentes en Costa Rica.-</w:t>
            </w:r>
          </w:p>
        </w:tc>
      </w:tr>
      <w:tr w:rsidR="006A1AF4" w:rsidRPr="006A1AF4" w14:paraId="716A1451" w14:textId="77777777" w:rsidTr="00215B50">
        <w:tc>
          <w:tcPr>
            <w:tcW w:w="4414" w:type="dxa"/>
          </w:tcPr>
          <w:p w14:paraId="16903928"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 65-2011</w:t>
            </w:r>
          </w:p>
        </w:tc>
        <w:tc>
          <w:tcPr>
            <w:tcW w:w="4414" w:type="dxa"/>
          </w:tcPr>
          <w:p w14:paraId="35ED7339" w14:textId="77777777" w:rsidR="006A1AF4" w:rsidRPr="006A1AF4" w:rsidRDefault="006A1AF4" w:rsidP="00DC20FF">
            <w:pPr>
              <w:widowControl w:val="0"/>
              <w:shd w:val="clear" w:color="auto" w:fill="FFFFFF"/>
              <w:jc w:val="both"/>
              <w:rPr>
                <w:rFonts w:ascii="Times New Roman" w:eastAsia="Times New Roman" w:hAnsi="Times New Roman" w:cs="Times New Roman"/>
                <w:color w:val="000000"/>
                <w:sz w:val="24"/>
                <w:szCs w:val="24"/>
                <w:lang w:val="es-ES_tradnl" w:eastAsia="es-CR"/>
              </w:rPr>
            </w:pPr>
            <w:r w:rsidRPr="006A1AF4">
              <w:rPr>
                <w:rFonts w:ascii="Times New Roman" w:eastAsia="Times New Roman" w:hAnsi="Times New Roman" w:cs="Times New Roman"/>
                <w:b/>
                <w:bCs/>
                <w:color w:val="000000"/>
                <w:sz w:val="24"/>
                <w:szCs w:val="24"/>
                <w:u w:val="single"/>
                <w:lang w:val="es-ES_tradnl" w:eastAsia="es-CR"/>
              </w:rPr>
              <w:t>Asunto</w:t>
            </w:r>
            <w:r w:rsidRPr="006A1AF4">
              <w:rPr>
                <w:rFonts w:ascii="Times New Roman" w:eastAsia="Times New Roman" w:hAnsi="Times New Roman" w:cs="Times New Roman"/>
                <w:b/>
                <w:bCs/>
                <w:color w:val="000000"/>
                <w:sz w:val="24"/>
                <w:szCs w:val="24"/>
                <w:lang w:val="es-ES_tradnl" w:eastAsia="es-CR"/>
              </w:rPr>
              <w:t>:           </w:t>
            </w:r>
            <w:r w:rsidRPr="006A1AF4">
              <w:rPr>
                <w:rFonts w:ascii="Times New Roman" w:eastAsia="Times New Roman" w:hAnsi="Times New Roman" w:cs="Times New Roman"/>
                <w:color w:val="000000"/>
                <w:sz w:val="24"/>
                <w:szCs w:val="24"/>
                <w:lang w:val="es-ES_tradnl" w:eastAsia="es-CR"/>
              </w:rPr>
              <w:t>Derecho al Acceso a la Justicia para Personas Menores de Edad en Condiciones de Vulnerabilidad Sometidos al Proceso Penal Juvenil en Costa Rica.-</w:t>
            </w:r>
          </w:p>
        </w:tc>
      </w:tr>
      <w:tr w:rsidR="006A1AF4" w:rsidRPr="006A1AF4" w14:paraId="75405679" w14:textId="77777777" w:rsidTr="00215B50">
        <w:tc>
          <w:tcPr>
            <w:tcW w:w="4414" w:type="dxa"/>
          </w:tcPr>
          <w:p w14:paraId="0D9A53A0"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lastRenderedPageBreak/>
              <w:t>CIRCULAR N° 65-2011</w:t>
            </w:r>
          </w:p>
        </w:tc>
        <w:tc>
          <w:tcPr>
            <w:tcW w:w="4414" w:type="dxa"/>
          </w:tcPr>
          <w:p w14:paraId="7486DFB0" w14:textId="77777777" w:rsidR="006A1AF4" w:rsidRPr="006A1AF4" w:rsidRDefault="006A1AF4" w:rsidP="00DC20FF">
            <w:pPr>
              <w:widowControl w:val="0"/>
              <w:shd w:val="clear" w:color="auto" w:fill="FFFFFF"/>
              <w:jc w:val="both"/>
              <w:rPr>
                <w:rFonts w:ascii="Times New Roman" w:eastAsia="Times New Roman" w:hAnsi="Times New Roman" w:cs="Times New Roman"/>
                <w:i/>
                <w:iCs/>
                <w:color w:val="000000"/>
                <w:sz w:val="24"/>
                <w:szCs w:val="24"/>
                <w:u w:val="single"/>
                <w:lang w:val="es-ES_tradnl" w:eastAsia="es-CR"/>
              </w:rPr>
            </w:pPr>
            <w:r w:rsidRPr="006A1AF4">
              <w:rPr>
                <w:rFonts w:ascii="Times New Roman" w:eastAsia="Times New Roman" w:hAnsi="Times New Roman" w:cs="Times New Roman"/>
                <w:b/>
                <w:bCs/>
                <w:color w:val="000000"/>
                <w:sz w:val="24"/>
                <w:szCs w:val="24"/>
                <w:u w:val="single"/>
                <w:lang w:val="es-ES_tradnl" w:eastAsia="es-CR"/>
              </w:rPr>
              <w:t>Asunto</w:t>
            </w:r>
            <w:r w:rsidRPr="006A1AF4">
              <w:rPr>
                <w:rFonts w:ascii="Times New Roman" w:eastAsia="Times New Roman" w:hAnsi="Times New Roman" w:cs="Times New Roman"/>
                <w:b/>
                <w:bCs/>
                <w:color w:val="000000"/>
                <w:sz w:val="24"/>
                <w:szCs w:val="24"/>
                <w:lang w:val="es-ES_tradnl" w:eastAsia="es-CR"/>
              </w:rPr>
              <w:t>:          “</w:t>
            </w:r>
            <w:r w:rsidRPr="006A1AF4">
              <w:rPr>
                <w:rFonts w:ascii="Times New Roman" w:eastAsia="Times New Roman" w:hAnsi="Times New Roman" w:cs="Times New Roman"/>
                <w:b/>
                <w:bCs/>
                <w:i/>
                <w:iCs/>
                <w:color w:val="000000"/>
                <w:sz w:val="24"/>
                <w:szCs w:val="24"/>
                <w:u w:val="single"/>
                <w:lang w:val="es-ES_tradnl" w:eastAsia="es-CR"/>
              </w:rPr>
              <w:t>Política de Acceso a la Justicia Penal Juvenil”</w:t>
            </w:r>
            <w:r w:rsidRPr="006A1AF4">
              <w:rPr>
                <w:rFonts w:ascii="Times New Roman" w:eastAsia="Times New Roman" w:hAnsi="Times New Roman" w:cs="Times New Roman"/>
                <w:i/>
                <w:iCs/>
                <w:color w:val="000000"/>
                <w:sz w:val="24"/>
                <w:szCs w:val="24"/>
                <w:u w:val="single"/>
                <w:lang w:val="es-ES_tradnl" w:eastAsia="es-CR"/>
              </w:rPr>
              <w:t>.-</w:t>
            </w:r>
          </w:p>
        </w:tc>
      </w:tr>
      <w:tr w:rsidR="006A1AF4" w:rsidRPr="006A1AF4" w14:paraId="03BE0CB1" w14:textId="77777777" w:rsidTr="00215B50">
        <w:tc>
          <w:tcPr>
            <w:tcW w:w="4414" w:type="dxa"/>
          </w:tcPr>
          <w:p w14:paraId="404263C2"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Nº 89-2011</w:t>
            </w:r>
          </w:p>
        </w:tc>
        <w:tc>
          <w:tcPr>
            <w:tcW w:w="4414" w:type="dxa"/>
          </w:tcPr>
          <w:p w14:paraId="4DF9D06F" w14:textId="77777777" w:rsidR="006A1AF4" w:rsidRPr="006A1AF4" w:rsidRDefault="006A1AF4" w:rsidP="00DC20FF">
            <w:pPr>
              <w:widowControl w:val="0"/>
              <w:shd w:val="clear" w:color="auto" w:fill="FFFFFF"/>
              <w:jc w:val="both"/>
              <w:rPr>
                <w:rFonts w:ascii="Times New Roman" w:eastAsia="Times New Roman" w:hAnsi="Times New Roman" w:cs="Times New Roman"/>
                <w:color w:val="000000"/>
                <w:sz w:val="24"/>
                <w:szCs w:val="24"/>
                <w:lang w:eastAsia="es-CR"/>
              </w:rPr>
            </w:pPr>
            <w:r w:rsidRPr="006A1AF4">
              <w:rPr>
                <w:rFonts w:ascii="Times New Roman" w:eastAsia="Times New Roman" w:hAnsi="Times New Roman" w:cs="Times New Roman"/>
                <w:b/>
                <w:bCs/>
                <w:color w:val="000000"/>
                <w:sz w:val="24"/>
                <w:szCs w:val="24"/>
                <w:u w:val="single"/>
                <w:lang w:eastAsia="es-CR"/>
              </w:rPr>
              <w:t>Asunto</w:t>
            </w:r>
            <w:r w:rsidRPr="006A1AF4">
              <w:rPr>
                <w:rFonts w:ascii="Times New Roman" w:eastAsia="Times New Roman" w:hAnsi="Times New Roman" w:cs="Times New Roman"/>
                <w:b/>
                <w:bCs/>
                <w:color w:val="000000"/>
                <w:sz w:val="24"/>
                <w:szCs w:val="24"/>
                <w:lang w:eastAsia="es-CR"/>
              </w:rPr>
              <w:t>: 1) </w:t>
            </w:r>
            <w:r w:rsidRPr="006A1AF4">
              <w:rPr>
                <w:rFonts w:ascii="Times New Roman" w:eastAsia="Times New Roman" w:hAnsi="Times New Roman" w:cs="Times New Roman"/>
                <w:color w:val="000000"/>
                <w:sz w:val="24"/>
                <w:szCs w:val="24"/>
                <w:lang w:eastAsia="es-CR"/>
              </w:rPr>
              <w:t>Artículo 21 de la Ley de Notificaciones Judiciales.</w:t>
            </w:r>
            <w:r w:rsidRPr="006A1AF4">
              <w:rPr>
                <w:rFonts w:ascii="Times New Roman" w:eastAsia="Times New Roman" w:hAnsi="Times New Roman" w:cs="Times New Roman"/>
                <w:b/>
                <w:bCs/>
                <w:color w:val="000000"/>
                <w:sz w:val="24"/>
                <w:szCs w:val="24"/>
                <w:lang w:eastAsia="es-CR"/>
              </w:rPr>
              <w:t> 2) </w:t>
            </w:r>
            <w:r w:rsidRPr="006A1AF4">
              <w:rPr>
                <w:rFonts w:ascii="Times New Roman" w:eastAsia="Times New Roman" w:hAnsi="Times New Roman" w:cs="Times New Roman"/>
                <w:color w:val="000000"/>
                <w:sz w:val="24"/>
                <w:szCs w:val="24"/>
                <w:lang w:eastAsia="es-CR"/>
              </w:rPr>
              <w:t>Deber de brindar atención prioritaria a los abogados y abogadas con carné de oro.-</w:t>
            </w:r>
          </w:p>
        </w:tc>
      </w:tr>
      <w:tr w:rsidR="006A1AF4" w:rsidRPr="006A1AF4" w14:paraId="781879D6" w14:textId="77777777" w:rsidTr="00215B50">
        <w:tc>
          <w:tcPr>
            <w:tcW w:w="4414" w:type="dxa"/>
          </w:tcPr>
          <w:p w14:paraId="2CF99807"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Nº 105-2011</w:t>
            </w:r>
          </w:p>
        </w:tc>
        <w:tc>
          <w:tcPr>
            <w:tcW w:w="4414" w:type="dxa"/>
          </w:tcPr>
          <w:p w14:paraId="7E4A0115" w14:textId="77777777" w:rsidR="006A1AF4" w:rsidRPr="006A1AF4" w:rsidRDefault="006A1AF4" w:rsidP="00DC20FF">
            <w:pPr>
              <w:widowControl w:val="0"/>
              <w:shd w:val="clear" w:color="auto" w:fill="FFFFFF"/>
              <w:jc w:val="both"/>
              <w:rPr>
                <w:rFonts w:ascii="Times New Roman" w:eastAsia="Times New Roman" w:hAnsi="Times New Roman" w:cs="Times New Roman"/>
                <w:color w:val="000000"/>
                <w:sz w:val="24"/>
                <w:szCs w:val="24"/>
                <w:lang w:eastAsia="es-CR"/>
              </w:rPr>
            </w:pPr>
            <w:r w:rsidRPr="006A1AF4">
              <w:rPr>
                <w:rFonts w:ascii="Times New Roman" w:eastAsia="Times New Roman" w:hAnsi="Times New Roman" w:cs="Times New Roman"/>
                <w:b/>
                <w:bCs/>
                <w:color w:val="000000"/>
                <w:sz w:val="24"/>
                <w:szCs w:val="24"/>
                <w:u w:val="single"/>
                <w:lang w:eastAsia="es-CR"/>
              </w:rPr>
              <w:t>Asunto</w:t>
            </w:r>
            <w:r w:rsidRPr="006A1AF4">
              <w:rPr>
                <w:rFonts w:ascii="Times New Roman" w:eastAsia="Times New Roman" w:hAnsi="Times New Roman" w:cs="Times New Roman"/>
                <w:b/>
                <w:bCs/>
                <w:color w:val="000000"/>
                <w:sz w:val="24"/>
                <w:szCs w:val="24"/>
                <w:lang w:eastAsia="es-CR"/>
              </w:rPr>
              <w:t>:</w:t>
            </w:r>
            <w:r w:rsidRPr="006A1AF4">
              <w:rPr>
                <w:rFonts w:ascii="Times New Roman" w:eastAsia="Times New Roman" w:hAnsi="Times New Roman" w:cs="Times New Roman"/>
                <w:color w:val="000000"/>
                <w:sz w:val="24"/>
                <w:szCs w:val="24"/>
                <w:lang w:eastAsia="es-CR"/>
              </w:rPr>
              <w:t xml:space="preserve"> 1) Reiteración de las circulares: </w:t>
            </w:r>
            <w:r w:rsidRPr="006A1AF4">
              <w:rPr>
                <w:rFonts w:ascii="Times New Roman" w:eastAsia="Times New Roman" w:hAnsi="Times New Roman" w:cs="Times New Roman"/>
                <w:b/>
                <w:bCs/>
                <w:color w:val="000000"/>
                <w:sz w:val="24"/>
                <w:szCs w:val="24"/>
                <w:lang w:eastAsia="es-CR"/>
              </w:rPr>
              <w:t>-</w:t>
            </w:r>
            <w:r w:rsidRPr="006A1AF4">
              <w:rPr>
                <w:rFonts w:ascii="Times New Roman" w:eastAsia="Times New Roman" w:hAnsi="Times New Roman" w:cs="Times New Roman"/>
                <w:color w:val="000000"/>
                <w:sz w:val="24"/>
                <w:szCs w:val="24"/>
                <w:lang w:eastAsia="es-CR"/>
              </w:rPr>
              <w:t> Nº 60-95 y Nº 32-96, relacionadas con el envío de expedientes a los distintos Tribunales Superiores y Salas de la Corte.-;</w:t>
            </w:r>
            <w:r w:rsidRPr="006A1AF4">
              <w:rPr>
                <w:rFonts w:ascii="Times New Roman" w:eastAsia="Times New Roman" w:hAnsi="Times New Roman" w:cs="Times New Roman"/>
                <w:b/>
                <w:bCs/>
                <w:color w:val="000000"/>
                <w:sz w:val="24"/>
                <w:szCs w:val="24"/>
                <w:lang w:eastAsia="es-CR"/>
              </w:rPr>
              <w:t>-</w:t>
            </w:r>
            <w:r w:rsidRPr="006A1AF4">
              <w:rPr>
                <w:rFonts w:ascii="Times New Roman" w:eastAsia="Times New Roman" w:hAnsi="Times New Roman" w:cs="Times New Roman"/>
                <w:color w:val="000000"/>
                <w:sz w:val="24"/>
                <w:szCs w:val="24"/>
                <w:lang w:eastAsia="es-CR"/>
              </w:rPr>
              <w:t xml:space="preserve"> Nº 10-09 y 11-09, relacionadas con el deber de identificar correctamente los expedientes cuando unas de sus partes son indígenas o adultas mayores.-; </w:t>
            </w:r>
            <w:r w:rsidRPr="006A1AF4">
              <w:rPr>
                <w:rFonts w:ascii="Times New Roman" w:eastAsia="Times New Roman" w:hAnsi="Times New Roman" w:cs="Times New Roman"/>
                <w:b/>
                <w:bCs/>
                <w:color w:val="000000"/>
                <w:sz w:val="24"/>
                <w:szCs w:val="24"/>
                <w:lang w:eastAsia="es-CR"/>
              </w:rPr>
              <w:t>-</w:t>
            </w:r>
            <w:r w:rsidRPr="006A1AF4">
              <w:rPr>
                <w:rFonts w:ascii="Times New Roman" w:eastAsia="Times New Roman" w:hAnsi="Times New Roman" w:cs="Times New Roman"/>
                <w:color w:val="000000"/>
                <w:sz w:val="24"/>
                <w:szCs w:val="24"/>
                <w:lang w:eastAsia="es-CR"/>
              </w:rPr>
              <w:t> Nº 82-11, responsabilidad del técnico o técnica judicial que se encarga de la grabación del debate.-; 2) Remisión y verificación de los de los “CD” junto con el expediente.-</w:t>
            </w:r>
          </w:p>
        </w:tc>
      </w:tr>
      <w:tr w:rsidR="006A1AF4" w:rsidRPr="006A1AF4" w14:paraId="08F0E331" w14:textId="77777777" w:rsidTr="00215B50">
        <w:tc>
          <w:tcPr>
            <w:tcW w:w="4414" w:type="dxa"/>
          </w:tcPr>
          <w:p w14:paraId="5E0706A5" w14:textId="77777777" w:rsidR="006A1AF4" w:rsidRPr="006A1AF4" w:rsidRDefault="006A1AF4" w:rsidP="00DC20FF">
            <w:pPr>
              <w:pStyle w:val="resumen"/>
              <w:keepNext w:val="0"/>
              <w:widowControl w:val="0"/>
              <w:suppressAutoHyphens w:val="0"/>
              <w:rPr>
                <w:rFonts w:cs="Times New Roman"/>
                <w:color w:val="000000"/>
                <w:sz w:val="24"/>
                <w:szCs w:val="24"/>
                <w:lang w:eastAsia="es-CR"/>
              </w:rPr>
            </w:pPr>
            <w:r w:rsidRPr="006A1AF4">
              <w:rPr>
                <w:rFonts w:cs="Times New Roman"/>
                <w:b w:val="0"/>
                <w:bCs w:val="0"/>
                <w:color w:val="000000"/>
                <w:sz w:val="24"/>
                <w:szCs w:val="24"/>
                <w:lang w:eastAsia="es-CR"/>
              </w:rPr>
              <w:t>   </w:t>
            </w:r>
            <w:r w:rsidRPr="006A1AF4">
              <w:rPr>
                <w:rFonts w:cs="Times New Roman"/>
                <w:sz w:val="24"/>
                <w:szCs w:val="24"/>
              </w:rPr>
              <w:t>CIRCULAR  Nº 123-11</w:t>
            </w:r>
          </w:p>
        </w:tc>
        <w:tc>
          <w:tcPr>
            <w:tcW w:w="4414" w:type="dxa"/>
          </w:tcPr>
          <w:p w14:paraId="4E96C42D" w14:textId="77777777" w:rsidR="006A1AF4" w:rsidRPr="006A1AF4" w:rsidRDefault="006A1AF4" w:rsidP="00DC20FF">
            <w:pPr>
              <w:widowControl w:val="0"/>
              <w:shd w:val="clear" w:color="auto" w:fill="FFFFFF"/>
              <w:jc w:val="both"/>
              <w:rPr>
                <w:rFonts w:ascii="Times New Roman" w:eastAsia="Times New Roman" w:hAnsi="Times New Roman" w:cs="Times New Roman"/>
                <w:color w:val="000000"/>
                <w:sz w:val="24"/>
                <w:szCs w:val="24"/>
                <w:lang w:eastAsia="es-CR"/>
              </w:rPr>
            </w:pPr>
            <w:r w:rsidRPr="006A1AF4">
              <w:rPr>
                <w:rFonts w:ascii="Times New Roman" w:eastAsia="Times New Roman" w:hAnsi="Times New Roman" w:cs="Times New Roman"/>
                <w:b/>
                <w:bCs/>
                <w:color w:val="000000"/>
                <w:sz w:val="24"/>
                <w:szCs w:val="24"/>
                <w:u w:val="single"/>
                <w:lang w:eastAsia="es-CR"/>
              </w:rPr>
              <w:t>Asunto</w:t>
            </w:r>
            <w:r w:rsidRPr="006A1AF4">
              <w:rPr>
                <w:rFonts w:ascii="Times New Roman" w:eastAsia="Times New Roman" w:hAnsi="Times New Roman" w:cs="Times New Roman"/>
                <w:b/>
                <w:bCs/>
                <w:color w:val="000000"/>
                <w:sz w:val="24"/>
                <w:szCs w:val="24"/>
                <w:lang w:eastAsia="es-CR"/>
              </w:rPr>
              <w:t>:               </w:t>
            </w:r>
            <w:r w:rsidRPr="006A1AF4">
              <w:rPr>
                <w:rFonts w:ascii="Times New Roman" w:eastAsia="Times New Roman" w:hAnsi="Times New Roman" w:cs="Times New Roman"/>
                <w:color w:val="000000"/>
                <w:sz w:val="24"/>
                <w:szCs w:val="24"/>
                <w:lang w:eastAsia="es-CR"/>
              </w:rPr>
              <w:t>“Política Respetuosa de la Diversidad Sexual”.</w:t>
            </w:r>
          </w:p>
        </w:tc>
      </w:tr>
      <w:tr w:rsidR="006A1AF4" w:rsidRPr="006A1AF4" w14:paraId="227AE6CA" w14:textId="77777777" w:rsidTr="00215B50">
        <w:tc>
          <w:tcPr>
            <w:tcW w:w="4414" w:type="dxa"/>
          </w:tcPr>
          <w:p w14:paraId="1C489769"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Nº 163-2012</w:t>
            </w:r>
          </w:p>
        </w:tc>
        <w:tc>
          <w:tcPr>
            <w:tcW w:w="4414" w:type="dxa"/>
          </w:tcPr>
          <w:p w14:paraId="27E54AFF" w14:textId="77777777" w:rsidR="006A1AF4" w:rsidRPr="006A1AF4" w:rsidRDefault="006A1AF4" w:rsidP="00DC20FF">
            <w:pPr>
              <w:widowControl w:val="0"/>
              <w:shd w:val="clear" w:color="auto" w:fill="FFFFFF"/>
              <w:jc w:val="both"/>
              <w:rPr>
                <w:rFonts w:ascii="Times New Roman" w:eastAsia="Times New Roman" w:hAnsi="Times New Roman" w:cs="Times New Roman"/>
                <w:color w:val="000000"/>
                <w:sz w:val="24"/>
                <w:szCs w:val="24"/>
                <w:lang w:val="es-ES_tradnl" w:eastAsia="es-CR"/>
              </w:rPr>
            </w:pPr>
            <w:r w:rsidRPr="006A1AF4">
              <w:rPr>
                <w:rFonts w:ascii="Times New Roman" w:eastAsia="Times New Roman" w:hAnsi="Times New Roman" w:cs="Times New Roman"/>
                <w:b/>
                <w:bCs/>
                <w:color w:val="000000"/>
                <w:sz w:val="24"/>
                <w:szCs w:val="24"/>
                <w:u w:val="single"/>
                <w:lang w:val="es-ES_tradnl" w:eastAsia="es-CR"/>
              </w:rPr>
              <w:t>Asunto</w:t>
            </w:r>
            <w:r w:rsidRPr="006A1AF4">
              <w:rPr>
                <w:rFonts w:ascii="Times New Roman" w:eastAsia="Times New Roman" w:hAnsi="Times New Roman" w:cs="Times New Roman"/>
                <w:b/>
                <w:bCs/>
                <w:color w:val="000000"/>
                <w:sz w:val="24"/>
                <w:szCs w:val="24"/>
                <w:lang w:val="es-ES_tradnl" w:eastAsia="es-CR"/>
              </w:rPr>
              <w:t>:        </w:t>
            </w:r>
            <w:r w:rsidRPr="006A1AF4">
              <w:rPr>
                <w:rFonts w:ascii="Times New Roman" w:eastAsia="Times New Roman" w:hAnsi="Times New Roman" w:cs="Times New Roman"/>
                <w:color w:val="000000"/>
                <w:sz w:val="24"/>
                <w:szCs w:val="24"/>
                <w:lang w:val="es-ES_tradnl" w:eastAsia="es-CR"/>
              </w:rPr>
              <w:t>Atención de los casos donde se encuentra involucrada una persona adulta mayor. Colaboración conjunta CONAPAM y CCSS.</w:t>
            </w:r>
          </w:p>
        </w:tc>
      </w:tr>
      <w:tr w:rsidR="006A1AF4" w:rsidRPr="006A1AF4" w14:paraId="2010685B" w14:textId="77777777" w:rsidTr="00215B50">
        <w:tc>
          <w:tcPr>
            <w:tcW w:w="4414" w:type="dxa"/>
          </w:tcPr>
          <w:p w14:paraId="5FF4982A"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Nº 011-2013</w:t>
            </w:r>
          </w:p>
        </w:tc>
        <w:tc>
          <w:tcPr>
            <w:tcW w:w="4414" w:type="dxa"/>
          </w:tcPr>
          <w:p w14:paraId="457E79B8" w14:textId="77777777" w:rsidR="006A1AF4" w:rsidRPr="006A1AF4" w:rsidRDefault="006A1AF4" w:rsidP="00DC20FF">
            <w:pPr>
              <w:widowControl w:val="0"/>
              <w:shd w:val="clear" w:color="auto" w:fill="FFFFFF"/>
              <w:jc w:val="both"/>
              <w:rPr>
                <w:rFonts w:ascii="Times New Roman" w:eastAsia="Times New Roman" w:hAnsi="Times New Roman" w:cs="Times New Roman"/>
                <w:color w:val="000000"/>
                <w:sz w:val="24"/>
                <w:szCs w:val="24"/>
                <w:lang w:val="es-ES_tradnl" w:eastAsia="es-CR"/>
              </w:rPr>
            </w:pPr>
            <w:r w:rsidRPr="006A1AF4">
              <w:rPr>
                <w:rFonts w:ascii="Times New Roman" w:eastAsia="Times New Roman" w:hAnsi="Times New Roman" w:cs="Times New Roman"/>
                <w:b/>
                <w:bCs/>
                <w:color w:val="000000"/>
                <w:sz w:val="24"/>
                <w:szCs w:val="24"/>
                <w:u w:val="single"/>
                <w:lang w:val="es-ES_tradnl" w:eastAsia="es-CR"/>
              </w:rPr>
              <w:t>Asunto</w:t>
            </w:r>
            <w:r w:rsidRPr="006A1AF4">
              <w:rPr>
                <w:rFonts w:ascii="Times New Roman" w:eastAsia="Times New Roman" w:hAnsi="Times New Roman" w:cs="Times New Roman"/>
                <w:color w:val="000000"/>
                <w:sz w:val="24"/>
                <w:szCs w:val="24"/>
                <w:lang w:val="es-ES_tradnl" w:eastAsia="es-CR"/>
              </w:rPr>
              <w:t>: </w:t>
            </w:r>
            <w:r w:rsidRPr="006A1AF4">
              <w:rPr>
                <w:rFonts w:ascii="Times New Roman" w:eastAsia="Times New Roman" w:hAnsi="Times New Roman" w:cs="Times New Roman"/>
                <w:b/>
                <w:bCs/>
                <w:i/>
                <w:iCs/>
                <w:color w:val="000000"/>
                <w:sz w:val="24"/>
                <w:szCs w:val="24"/>
                <w:lang w:val="es-ES_tradnl" w:eastAsia="es-CR"/>
              </w:rPr>
              <w:t>“Buenas Prácticas de Gestión Judicial”</w:t>
            </w:r>
            <w:r w:rsidRPr="006A1AF4">
              <w:rPr>
                <w:rFonts w:ascii="Times New Roman" w:eastAsia="Times New Roman" w:hAnsi="Times New Roman" w:cs="Times New Roman"/>
                <w:color w:val="000000"/>
                <w:sz w:val="24"/>
                <w:szCs w:val="24"/>
                <w:lang w:val="es-ES_tradnl" w:eastAsia="es-CR"/>
              </w:rPr>
              <w:t>, para aplicar en los Despachos Judiciales, según corresponda.-</w:t>
            </w:r>
          </w:p>
        </w:tc>
      </w:tr>
      <w:tr w:rsidR="006A1AF4" w:rsidRPr="006A1AF4" w14:paraId="1F94BE11" w14:textId="77777777" w:rsidTr="00215B50">
        <w:tc>
          <w:tcPr>
            <w:tcW w:w="4414" w:type="dxa"/>
          </w:tcPr>
          <w:p w14:paraId="30801CBD"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Nº 027-2013</w:t>
            </w:r>
          </w:p>
        </w:tc>
        <w:tc>
          <w:tcPr>
            <w:tcW w:w="4414" w:type="dxa"/>
          </w:tcPr>
          <w:p w14:paraId="3DDB428C"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lang w:val="es-ES_tradnl"/>
              </w:rPr>
            </w:pPr>
            <w:r w:rsidRPr="006A1AF4">
              <w:rPr>
                <w:rFonts w:ascii="Times New Roman" w:hAnsi="Times New Roman" w:cs="Times New Roman"/>
                <w:b/>
                <w:bCs/>
                <w:color w:val="000000"/>
                <w:sz w:val="24"/>
                <w:szCs w:val="24"/>
                <w:u w:val="single"/>
                <w:lang w:val="es-ES_tradnl"/>
              </w:rPr>
              <w:t>Asunto</w:t>
            </w:r>
            <w:r w:rsidRPr="006A1AF4">
              <w:rPr>
                <w:rFonts w:ascii="Times New Roman" w:hAnsi="Times New Roman" w:cs="Times New Roman"/>
                <w:color w:val="000000"/>
                <w:sz w:val="24"/>
                <w:szCs w:val="24"/>
                <w:lang w:val="es-ES_tradnl"/>
              </w:rPr>
              <w:t>:     Aplicar las políticas aprobadas por la institución para garantizar una respuesta pronta y adecuada.-</w:t>
            </w:r>
          </w:p>
        </w:tc>
      </w:tr>
      <w:tr w:rsidR="006A1AF4" w:rsidRPr="006A1AF4" w14:paraId="1AEC9016" w14:textId="77777777" w:rsidTr="00215B50">
        <w:tc>
          <w:tcPr>
            <w:tcW w:w="4414" w:type="dxa"/>
          </w:tcPr>
          <w:p w14:paraId="284C5769"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Nº 107-2013</w:t>
            </w:r>
          </w:p>
        </w:tc>
        <w:tc>
          <w:tcPr>
            <w:tcW w:w="4414" w:type="dxa"/>
          </w:tcPr>
          <w:p w14:paraId="13C22AB1"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rPr>
            </w:pPr>
            <w:r w:rsidRPr="006A1AF4">
              <w:rPr>
                <w:rFonts w:ascii="Times New Roman" w:hAnsi="Times New Roman" w:cs="Times New Roman"/>
                <w:b/>
                <w:bCs/>
                <w:color w:val="000000"/>
                <w:sz w:val="24"/>
                <w:szCs w:val="24"/>
                <w:u w:val="single"/>
                <w:lang w:val="es-ES_tradnl"/>
              </w:rPr>
              <w:t>Asunto</w:t>
            </w:r>
            <w:r w:rsidRPr="006A1AF4">
              <w:rPr>
                <w:rFonts w:ascii="Times New Roman" w:hAnsi="Times New Roman" w:cs="Times New Roman"/>
                <w:color w:val="000000"/>
                <w:sz w:val="24"/>
                <w:szCs w:val="24"/>
                <w:lang w:val="es-ES_tradnl"/>
              </w:rPr>
              <w:t>: Obligación de brindar atención prioritaria a las personas adultas mayores</w:t>
            </w:r>
            <w:r w:rsidRPr="006A1AF4">
              <w:rPr>
                <w:rFonts w:ascii="Times New Roman" w:hAnsi="Times New Roman" w:cs="Times New Roman"/>
                <w:color w:val="000000"/>
                <w:sz w:val="24"/>
                <w:szCs w:val="24"/>
              </w:rPr>
              <w:t>.-</w:t>
            </w:r>
          </w:p>
        </w:tc>
      </w:tr>
      <w:tr w:rsidR="006A1AF4" w:rsidRPr="006A1AF4" w14:paraId="744D056F" w14:textId="77777777" w:rsidTr="00215B50">
        <w:tc>
          <w:tcPr>
            <w:tcW w:w="4414" w:type="dxa"/>
          </w:tcPr>
          <w:p w14:paraId="00604FEC"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Nº 117-2013</w:t>
            </w:r>
          </w:p>
        </w:tc>
        <w:tc>
          <w:tcPr>
            <w:tcW w:w="4414" w:type="dxa"/>
          </w:tcPr>
          <w:p w14:paraId="09E6BF7E" w14:textId="77777777" w:rsidR="006A1AF4" w:rsidRPr="006A1AF4" w:rsidRDefault="006A1AF4" w:rsidP="00DC20FF">
            <w:pPr>
              <w:widowControl w:val="0"/>
              <w:shd w:val="clear" w:color="auto" w:fill="FFFFFF"/>
              <w:jc w:val="both"/>
              <w:rPr>
                <w:rFonts w:ascii="Times New Roman" w:hAnsi="Times New Roman" w:cs="Times New Roman"/>
                <w:b/>
                <w:bCs/>
                <w:i/>
                <w:iCs/>
                <w:color w:val="000000"/>
                <w:sz w:val="24"/>
                <w:szCs w:val="24"/>
              </w:rPr>
            </w:pPr>
            <w:r w:rsidRPr="006A1AF4">
              <w:rPr>
                <w:rFonts w:ascii="Times New Roman" w:hAnsi="Times New Roman" w:cs="Times New Roman"/>
                <w:b/>
                <w:bCs/>
                <w:i/>
                <w:iCs/>
                <w:color w:val="000000"/>
                <w:sz w:val="24"/>
                <w:szCs w:val="24"/>
                <w:u w:val="single"/>
                <w:lang w:val="es-ES_tradnl"/>
              </w:rPr>
              <w:t>Asunto</w:t>
            </w:r>
            <w:r w:rsidRPr="006A1AF4">
              <w:rPr>
                <w:rFonts w:ascii="Times New Roman" w:hAnsi="Times New Roman" w:cs="Times New Roman"/>
                <w:b/>
                <w:bCs/>
                <w:i/>
                <w:iCs/>
                <w:color w:val="000000"/>
                <w:sz w:val="24"/>
                <w:szCs w:val="24"/>
                <w:lang w:val="es-ES_tradnl"/>
              </w:rPr>
              <w:t>:   </w:t>
            </w:r>
            <w:proofErr w:type="gramStart"/>
            <w:r w:rsidRPr="006A1AF4">
              <w:rPr>
                <w:rFonts w:ascii="Times New Roman" w:hAnsi="Times New Roman" w:cs="Times New Roman"/>
                <w:b/>
                <w:bCs/>
                <w:i/>
                <w:iCs/>
                <w:color w:val="000000"/>
                <w:sz w:val="24"/>
                <w:szCs w:val="24"/>
                <w:lang w:val="es-ES_tradnl"/>
              </w:rPr>
              <w:t>   “</w:t>
            </w:r>
            <w:proofErr w:type="gramEnd"/>
            <w:r w:rsidRPr="006A1AF4">
              <w:rPr>
                <w:rFonts w:ascii="Times New Roman" w:hAnsi="Times New Roman" w:cs="Times New Roman"/>
                <w:b/>
                <w:bCs/>
                <w:i/>
                <w:iCs/>
                <w:color w:val="000000"/>
                <w:sz w:val="24"/>
                <w:szCs w:val="24"/>
                <w:lang w:val="es-ES_tradnl"/>
              </w:rPr>
              <w:t>Plan Institucional de Equiparación de Oportunidades para Poblaciones en Condición de Vulnerabilidad 2013-2017”. </w:t>
            </w:r>
            <w:r w:rsidRPr="006A1AF4">
              <w:rPr>
                <w:rFonts w:ascii="Times New Roman" w:hAnsi="Times New Roman" w:cs="Times New Roman"/>
                <w:b/>
                <w:bCs/>
                <w:i/>
                <w:iCs/>
                <w:color w:val="000000"/>
                <w:sz w:val="24"/>
                <w:szCs w:val="24"/>
              </w:rPr>
              <w:t>–</w:t>
            </w:r>
          </w:p>
        </w:tc>
      </w:tr>
      <w:tr w:rsidR="006A1AF4" w:rsidRPr="006A1AF4" w14:paraId="45E28219" w14:textId="77777777" w:rsidTr="00215B50">
        <w:tc>
          <w:tcPr>
            <w:tcW w:w="4414" w:type="dxa"/>
          </w:tcPr>
          <w:p w14:paraId="49D67889" w14:textId="77777777" w:rsidR="006A1AF4" w:rsidRPr="006A1AF4" w:rsidRDefault="006A1AF4" w:rsidP="00DC20FF">
            <w:pPr>
              <w:pStyle w:val="resumen"/>
              <w:keepNext w:val="0"/>
              <w:widowControl w:val="0"/>
              <w:suppressAutoHyphens w:val="0"/>
              <w:rPr>
                <w:rFonts w:cs="Times New Roman"/>
                <w:color w:val="000000"/>
                <w:sz w:val="24"/>
                <w:szCs w:val="24"/>
              </w:rPr>
            </w:pPr>
            <w:r w:rsidRPr="006A1AF4">
              <w:rPr>
                <w:rFonts w:cs="Times New Roman"/>
                <w:sz w:val="24"/>
                <w:szCs w:val="24"/>
              </w:rPr>
              <w:t>CIRCULAR Nº 148-2013</w:t>
            </w:r>
          </w:p>
        </w:tc>
        <w:tc>
          <w:tcPr>
            <w:tcW w:w="4414" w:type="dxa"/>
          </w:tcPr>
          <w:p w14:paraId="43DB0F30"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lang w:val="es-ES_tradnl"/>
              </w:rPr>
            </w:pPr>
            <w:r w:rsidRPr="006A1AF4">
              <w:rPr>
                <w:rFonts w:ascii="Times New Roman" w:hAnsi="Times New Roman" w:cs="Times New Roman"/>
                <w:b/>
                <w:bCs/>
                <w:color w:val="000000"/>
                <w:sz w:val="24"/>
                <w:szCs w:val="24"/>
                <w:u w:val="single"/>
                <w:lang w:val="es-ES_tradnl"/>
              </w:rPr>
              <w:t> Asunto</w:t>
            </w:r>
            <w:r w:rsidRPr="006A1AF4">
              <w:rPr>
                <w:rFonts w:ascii="Times New Roman" w:hAnsi="Times New Roman" w:cs="Times New Roman"/>
                <w:color w:val="000000"/>
                <w:sz w:val="24"/>
                <w:szCs w:val="24"/>
                <w:lang w:val="es-ES_tradnl"/>
              </w:rPr>
              <w:t>:     Obligación de brindar atención oportuna de la Defensa Pública a las personas que presentan algún grado de vulnerabilidad.-</w:t>
            </w:r>
          </w:p>
        </w:tc>
      </w:tr>
      <w:tr w:rsidR="006A1AF4" w:rsidRPr="006A1AF4" w14:paraId="36FA2554" w14:textId="77777777" w:rsidTr="00215B50">
        <w:tc>
          <w:tcPr>
            <w:tcW w:w="4414" w:type="dxa"/>
          </w:tcPr>
          <w:p w14:paraId="1DA5D4DF"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Nº 164-2013</w:t>
            </w:r>
          </w:p>
        </w:tc>
        <w:tc>
          <w:tcPr>
            <w:tcW w:w="4414" w:type="dxa"/>
          </w:tcPr>
          <w:p w14:paraId="7DE4360A"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lang w:val="es-ES_tradnl"/>
              </w:rPr>
            </w:pPr>
            <w:r w:rsidRPr="006A1AF4">
              <w:rPr>
                <w:rFonts w:ascii="Times New Roman" w:hAnsi="Times New Roman" w:cs="Times New Roman"/>
                <w:b/>
                <w:bCs/>
                <w:color w:val="000000"/>
                <w:sz w:val="24"/>
                <w:szCs w:val="24"/>
                <w:u w:val="single"/>
                <w:lang w:val="es-ES_tradnl"/>
              </w:rPr>
              <w:t>Asunto</w:t>
            </w:r>
            <w:r w:rsidRPr="006A1AF4">
              <w:rPr>
                <w:rFonts w:ascii="Times New Roman" w:hAnsi="Times New Roman" w:cs="Times New Roman"/>
                <w:color w:val="000000"/>
                <w:sz w:val="24"/>
                <w:szCs w:val="24"/>
                <w:lang w:val="es-ES_tradnl"/>
              </w:rPr>
              <w:t>:      Reglas para el dictado de sentencias orales en la jurisdicción penal de adultos y penal juvenil.-</w:t>
            </w:r>
          </w:p>
        </w:tc>
      </w:tr>
      <w:tr w:rsidR="006A1AF4" w:rsidRPr="006A1AF4" w14:paraId="27D6BEF3" w14:textId="77777777" w:rsidTr="00215B50">
        <w:tc>
          <w:tcPr>
            <w:tcW w:w="4414" w:type="dxa"/>
          </w:tcPr>
          <w:p w14:paraId="3576DF8F"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Nº 194-2013</w:t>
            </w:r>
          </w:p>
        </w:tc>
        <w:tc>
          <w:tcPr>
            <w:tcW w:w="4414" w:type="dxa"/>
          </w:tcPr>
          <w:p w14:paraId="2C6B34D6" w14:textId="77777777" w:rsidR="006A1AF4" w:rsidRPr="006A1AF4" w:rsidRDefault="006A1AF4" w:rsidP="00DC20FF">
            <w:pPr>
              <w:widowControl w:val="0"/>
              <w:shd w:val="clear" w:color="auto" w:fill="FFFFFF"/>
              <w:jc w:val="both"/>
              <w:rPr>
                <w:rFonts w:ascii="Times New Roman" w:hAnsi="Times New Roman" w:cs="Times New Roman"/>
                <w:i/>
                <w:iCs/>
                <w:color w:val="000000"/>
                <w:sz w:val="24"/>
                <w:szCs w:val="24"/>
                <w:lang w:val="es-ES_tradnl"/>
              </w:rPr>
            </w:pPr>
            <w:r w:rsidRPr="006A1AF4">
              <w:rPr>
                <w:rFonts w:ascii="Times New Roman" w:hAnsi="Times New Roman" w:cs="Times New Roman"/>
                <w:b/>
                <w:bCs/>
                <w:color w:val="000000"/>
                <w:sz w:val="24"/>
                <w:szCs w:val="24"/>
                <w:u w:val="single"/>
                <w:lang w:val="es-ES_tradnl"/>
              </w:rPr>
              <w:t>Asunto</w:t>
            </w:r>
            <w:r w:rsidRPr="006A1AF4">
              <w:rPr>
                <w:rFonts w:ascii="Times New Roman" w:hAnsi="Times New Roman" w:cs="Times New Roman"/>
                <w:color w:val="000000"/>
                <w:sz w:val="24"/>
                <w:szCs w:val="24"/>
                <w:lang w:val="es-ES_tradnl"/>
              </w:rPr>
              <w:t>:   </w:t>
            </w:r>
            <w:r w:rsidRPr="006A1AF4">
              <w:rPr>
                <w:rFonts w:ascii="Times New Roman" w:hAnsi="Times New Roman" w:cs="Times New Roman"/>
                <w:i/>
                <w:iCs/>
                <w:color w:val="000000"/>
                <w:sz w:val="24"/>
                <w:szCs w:val="24"/>
                <w:lang w:val="es-ES_tradnl"/>
              </w:rPr>
              <w:t>“</w:t>
            </w:r>
            <w:r w:rsidRPr="006A1AF4">
              <w:rPr>
                <w:rFonts w:ascii="Times New Roman" w:hAnsi="Times New Roman" w:cs="Times New Roman"/>
                <w:b/>
                <w:bCs/>
                <w:i/>
                <w:iCs/>
                <w:color w:val="000000"/>
                <w:sz w:val="24"/>
                <w:szCs w:val="24"/>
                <w:lang w:val="es-ES_tradnl"/>
              </w:rPr>
              <w:t xml:space="preserve">Protocolo para la acreditación de la idoneidad de intérpretes judiciales de </w:t>
            </w:r>
            <w:r w:rsidRPr="006A1AF4">
              <w:rPr>
                <w:rFonts w:ascii="Times New Roman" w:hAnsi="Times New Roman" w:cs="Times New Roman"/>
                <w:b/>
                <w:bCs/>
                <w:i/>
                <w:iCs/>
                <w:color w:val="000000"/>
                <w:sz w:val="24"/>
                <w:szCs w:val="24"/>
                <w:lang w:val="es-ES_tradnl"/>
              </w:rPr>
              <w:lastRenderedPageBreak/>
              <w:t>LESCO”</w:t>
            </w:r>
            <w:r w:rsidRPr="006A1AF4">
              <w:rPr>
                <w:rFonts w:ascii="Times New Roman" w:hAnsi="Times New Roman" w:cs="Times New Roman"/>
                <w:i/>
                <w:iCs/>
                <w:color w:val="000000"/>
                <w:sz w:val="24"/>
                <w:szCs w:val="24"/>
                <w:lang w:val="es-ES_tradnl"/>
              </w:rPr>
              <w:t>.-</w:t>
            </w:r>
          </w:p>
        </w:tc>
      </w:tr>
      <w:tr w:rsidR="006A1AF4" w:rsidRPr="006A1AF4" w14:paraId="272D2493" w14:textId="77777777" w:rsidTr="00215B50">
        <w:tc>
          <w:tcPr>
            <w:tcW w:w="4414" w:type="dxa"/>
          </w:tcPr>
          <w:p w14:paraId="74683582"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lastRenderedPageBreak/>
              <w:t>CIRCULAR Nº 131-2014</w:t>
            </w:r>
          </w:p>
        </w:tc>
        <w:tc>
          <w:tcPr>
            <w:tcW w:w="4414" w:type="dxa"/>
          </w:tcPr>
          <w:p w14:paraId="5CD9B622"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lang w:val="es-ES_tradnl"/>
              </w:rPr>
            </w:pPr>
            <w:r w:rsidRPr="006A1AF4">
              <w:rPr>
                <w:rFonts w:ascii="Times New Roman" w:hAnsi="Times New Roman" w:cs="Times New Roman"/>
                <w:b/>
                <w:bCs/>
                <w:color w:val="000000"/>
                <w:sz w:val="24"/>
                <w:szCs w:val="24"/>
                <w:u w:val="single"/>
                <w:lang w:val="es-ES_tradnl"/>
              </w:rPr>
              <w:t>Asunto</w:t>
            </w:r>
            <w:r w:rsidRPr="006A1AF4">
              <w:rPr>
                <w:rFonts w:ascii="Times New Roman" w:hAnsi="Times New Roman" w:cs="Times New Roman"/>
                <w:b/>
                <w:bCs/>
                <w:color w:val="000000"/>
                <w:sz w:val="24"/>
                <w:szCs w:val="24"/>
                <w:lang w:val="es-ES_tradnl"/>
              </w:rPr>
              <w:t>:      </w:t>
            </w:r>
            <w:r w:rsidRPr="006A1AF4">
              <w:rPr>
                <w:rFonts w:ascii="Times New Roman" w:hAnsi="Times New Roman" w:cs="Times New Roman"/>
                <w:color w:val="000000"/>
                <w:sz w:val="24"/>
                <w:szCs w:val="24"/>
                <w:lang w:val="es-ES_tradnl"/>
              </w:rPr>
              <w:t>Entrega de resoluciones en forma escrita.-</w:t>
            </w:r>
          </w:p>
        </w:tc>
      </w:tr>
      <w:tr w:rsidR="006A1AF4" w:rsidRPr="006A1AF4" w14:paraId="742D0BB5" w14:textId="77777777" w:rsidTr="00215B50">
        <w:tc>
          <w:tcPr>
            <w:tcW w:w="4414" w:type="dxa"/>
          </w:tcPr>
          <w:p w14:paraId="09E0D64D"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60-2015</w:t>
            </w:r>
          </w:p>
        </w:tc>
        <w:tc>
          <w:tcPr>
            <w:tcW w:w="4414" w:type="dxa"/>
          </w:tcPr>
          <w:p w14:paraId="1189F29C"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rPr>
            </w:pPr>
            <w:r w:rsidRPr="006A1AF4">
              <w:rPr>
                <w:rFonts w:ascii="Times New Roman" w:hAnsi="Times New Roman" w:cs="Times New Roman"/>
                <w:b/>
                <w:bCs/>
                <w:color w:val="000000"/>
                <w:sz w:val="24"/>
                <w:szCs w:val="24"/>
                <w:u w:val="single"/>
                <w:lang w:val="es-ES_tradnl"/>
              </w:rPr>
              <w:t>Asunto</w:t>
            </w:r>
            <w:r w:rsidRPr="006A1AF4">
              <w:rPr>
                <w:rFonts w:ascii="Times New Roman" w:hAnsi="Times New Roman" w:cs="Times New Roman"/>
                <w:color w:val="000000"/>
                <w:sz w:val="24"/>
                <w:szCs w:val="24"/>
                <w:lang w:val="es-ES_tradnl"/>
              </w:rPr>
              <w:t>:      </w:t>
            </w:r>
            <w:r w:rsidRPr="006A1AF4">
              <w:rPr>
                <w:rFonts w:ascii="Times New Roman" w:hAnsi="Times New Roman" w:cs="Times New Roman"/>
                <w:color w:val="000000"/>
                <w:sz w:val="24"/>
                <w:szCs w:val="24"/>
              </w:rPr>
              <w:t>Abordaje de casos de personas que se presumen cuenta con alteración mental o una enfermedad psicosocial y se duda de su comprensión para el cumplimiento de medidas de protección que se ordenan en materia de violencia doméstica.-</w:t>
            </w:r>
          </w:p>
        </w:tc>
      </w:tr>
      <w:tr w:rsidR="006A1AF4" w:rsidRPr="006A1AF4" w14:paraId="57E576FD" w14:textId="77777777" w:rsidTr="00215B50">
        <w:tc>
          <w:tcPr>
            <w:tcW w:w="4414" w:type="dxa"/>
          </w:tcPr>
          <w:p w14:paraId="7F271211"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67-2015</w:t>
            </w:r>
          </w:p>
        </w:tc>
        <w:tc>
          <w:tcPr>
            <w:tcW w:w="4414" w:type="dxa"/>
          </w:tcPr>
          <w:p w14:paraId="18ED04FF" w14:textId="77777777" w:rsidR="006A1AF4" w:rsidRPr="006A1AF4" w:rsidRDefault="006A1AF4" w:rsidP="00DC20FF">
            <w:pPr>
              <w:widowControl w:val="0"/>
              <w:shd w:val="clear" w:color="auto" w:fill="FFFFFF"/>
              <w:jc w:val="both"/>
              <w:rPr>
                <w:rFonts w:ascii="Times New Roman" w:eastAsia="Times New Roman" w:hAnsi="Times New Roman" w:cs="Times New Roman"/>
                <w:color w:val="000000"/>
                <w:sz w:val="24"/>
                <w:szCs w:val="24"/>
                <w:lang w:val="es-ES_tradnl" w:eastAsia="es-CR"/>
              </w:rPr>
            </w:pPr>
            <w:r w:rsidRPr="006A1AF4">
              <w:rPr>
                <w:rFonts w:ascii="Times New Roman" w:eastAsia="Times New Roman" w:hAnsi="Times New Roman" w:cs="Times New Roman"/>
                <w:b/>
                <w:bCs/>
                <w:color w:val="000000"/>
                <w:sz w:val="24"/>
                <w:szCs w:val="24"/>
                <w:u w:val="single"/>
                <w:lang w:val="es-ES_tradnl" w:eastAsia="es-CR"/>
              </w:rPr>
              <w:t>Asunto</w:t>
            </w:r>
            <w:r w:rsidRPr="006A1AF4">
              <w:rPr>
                <w:rFonts w:ascii="Times New Roman" w:eastAsia="Times New Roman" w:hAnsi="Times New Roman" w:cs="Times New Roman"/>
                <w:color w:val="000000"/>
                <w:sz w:val="24"/>
                <w:szCs w:val="24"/>
                <w:lang w:val="es-ES_tradnl" w:eastAsia="es-CR"/>
              </w:rPr>
              <w:t>:      Atención prioritaria y trámite preferente para las personas adultas mayores en los servicios judiciales.-</w:t>
            </w:r>
          </w:p>
        </w:tc>
      </w:tr>
      <w:tr w:rsidR="006A1AF4" w:rsidRPr="006A1AF4" w14:paraId="740DBD7B" w14:textId="77777777" w:rsidTr="00215B50">
        <w:tc>
          <w:tcPr>
            <w:tcW w:w="4414" w:type="dxa"/>
          </w:tcPr>
          <w:p w14:paraId="1912A546"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 82-2015</w:t>
            </w:r>
          </w:p>
        </w:tc>
        <w:tc>
          <w:tcPr>
            <w:tcW w:w="4414" w:type="dxa"/>
          </w:tcPr>
          <w:p w14:paraId="7B5B2E57" w14:textId="77777777" w:rsidR="006A1AF4" w:rsidRPr="006A1AF4" w:rsidRDefault="006A1AF4" w:rsidP="00DC20FF">
            <w:pPr>
              <w:widowControl w:val="0"/>
              <w:shd w:val="clear" w:color="auto" w:fill="FFFFFF"/>
              <w:jc w:val="both"/>
              <w:rPr>
                <w:rFonts w:ascii="Times New Roman" w:hAnsi="Times New Roman" w:cs="Times New Roman"/>
                <w:i/>
                <w:iCs/>
                <w:color w:val="000000"/>
                <w:sz w:val="24"/>
                <w:szCs w:val="24"/>
                <w:lang w:val="es-ES_tradnl"/>
              </w:rPr>
            </w:pPr>
            <w:r w:rsidRPr="006A1AF4">
              <w:rPr>
                <w:rFonts w:ascii="Times New Roman" w:hAnsi="Times New Roman" w:cs="Times New Roman"/>
                <w:b/>
                <w:bCs/>
                <w:color w:val="000000"/>
                <w:sz w:val="24"/>
                <w:szCs w:val="24"/>
                <w:lang w:val="es-ES_tradnl"/>
              </w:rPr>
              <w:t>ASUNTO</w:t>
            </w:r>
            <w:r w:rsidRPr="006A1AF4">
              <w:rPr>
                <w:rFonts w:ascii="Times New Roman" w:hAnsi="Times New Roman" w:cs="Times New Roman"/>
                <w:color w:val="000000"/>
                <w:sz w:val="24"/>
                <w:szCs w:val="24"/>
                <w:lang w:val="es-ES_tradnl"/>
              </w:rPr>
              <w:t>: Reiteración de la Circular No 63-11, sobre </w:t>
            </w:r>
            <w:r w:rsidRPr="006A1AF4">
              <w:rPr>
                <w:rFonts w:ascii="Times New Roman" w:hAnsi="Times New Roman" w:cs="Times New Roman"/>
                <w:i/>
                <w:iCs/>
                <w:color w:val="000000"/>
                <w:sz w:val="24"/>
                <w:szCs w:val="24"/>
                <w:lang w:val="es-ES_tradnl"/>
              </w:rPr>
              <w:t>“</w:t>
            </w:r>
            <w:r w:rsidRPr="006A1AF4">
              <w:rPr>
                <w:rFonts w:ascii="Times New Roman" w:hAnsi="Times New Roman" w:cs="Times New Roman"/>
                <w:i/>
                <w:iCs/>
                <w:color w:val="000000"/>
                <w:sz w:val="24"/>
                <w:szCs w:val="24"/>
              </w:rPr>
              <w:t>Política Judicial dirigida al Mejoramiento del Acceso a la Justicia de las Niñas, Niños y Adolescentes en Costa Rica</w:t>
            </w:r>
            <w:r w:rsidRPr="006A1AF4">
              <w:rPr>
                <w:rFonts w:ascii="Times New Roman" w:hAnsi="Times New Roman" w:cs="Times New Roman"/>
                <w:i/>
                <w:iCs/>
                <w:color w:val="000000"/>
                <w:sz w:val="24"/>
                <w:szCs w:val="24"/>
                <w:lang w:val="es-ES_tradnl"/>
              </w:rPr>
              <w:t>”.</w:t>
            </w:r>
          </w:p>
        </w:tc>
      </w:tr>
      <w:tr w:rsidR="006A1AF4" w:rsidRPr="006A1AF4" w14:paraId="3DADDC3A" w14:textId="77777777" w:rsidTr="00215B50">
        <w:tc>
          <w:tcPr>
            <w:tcW w:w="4414" w:type="dxa"/>
          </w:tcPr>
          <w:p w14:paraId="4E2B1DE1"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Nº 83-2015</w:t>
            </w:r>
          </w:p>
        </w:tc>
        <w:tc>
          <w:tcPr>
            <w:tcW w:w="4414" w:type="dxa"/>
          </w:tcPr>
          <w:p w14:paraId="672626DD"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rPr>
            </w:pPr>
            <w:r w:rsidRPr="006A1AF4">
              <w:rPr>
                <w:rFonts w:ascii="Times New Roman" w:hAnsi="Times New Roman" w:cs="Times New Roman"/>
                <w:b/>
                <w:bCs/>
                <w:i/>
                <w:iCs/>
                <w:color w:val="000000"/>
                <w:sz w:val="24"/>
                <w:szCs w:val="24"/>
                <w:u w:val="single"/>
                <w:lang w:val="es-ES_tradnl"/>
              </w:rPr>
              <w:t>Asunto</w:t>
            </w:r>
            <w:r w:rsidRPr="006A1AF4">
              <w:rPr>
                <w:rFonts w:ascii="Times New Roman" w:hAnsi="Times New Roman" w:cs="Times New Roman"/>
                <w:b/>
                <w:bCs/>
                <w:i/>
                <w:iCs/>
                <w:color w:val="000000"/>
                <w:sz w:val="24"/>
                <w:szCs w:val="24"/>
                <w:lang w:val="es-ES_tradnl"/>
              </w:rPr>
              <w:t>: </w:t>
            </w:r>
            <w:r w:rsidRPr="006A1AF4">
              <w:rPr>
                <w:rFonts w:ascii="Times New Roman" w:hAnsi="Times New Roman" w:cs="Times New Roman"/>
                <w:color w:val="000000"/>
                <w:sz w:val="24"/>
                <w:szCs w:val="24"/>
                <w:lang w:val="es-ES_tradnl"/>
              </w:rPr>
              <w:t>Reiteración de la Circular </w:t>
            </w:r>
            <w:r w:rsidRPr="006A1AF4">
              <w:rPr>
                <w:rStyle w:val="spelle"/>
                <w:rFonts w:ascii="Times New Roman" w:hAnsi="Times New Roman" w:cs="Times New Roman"/>
                <w:color w:val="000000"/>
                <w:sz w:val="24"/>
                <w:szCs w:val="24"/>
                <w:lang w:val="es-ES_tradnl"/>
              </w:rPr>
              <w:t>N°</w:t>
            </w:r>
            <w:r w:rsidRPr="006A1AF4">
              <w:rPr>
                <w:rFonts w:ascii="Times New Roman" w:hAnsi="Times New Roman" w:cs="Times New Roman"/>
                <w:color w:val="000000"/>
                <w:sz w:val="24"/>
                <w:szCs w:val="24"/>
                <w:lang w:val="es-ES_tradnl"/>
              </w:rPr>
              <w:t> 117-13, sobre “</w:t>
            </w:r>
            <w:r w:rsidRPr="006A1AF4">
              <w:rPr>
                <w:rFonts w:ascii="Times New Roman" w:hAnsi="Times New Roman" w:cs="Times New Roman"/>
                <w:i/>
                <w:iCs/>
                <w:color w:val="000000"/>
                <w:sz w:val="24"/>
                <w:szCs w:val="24"/>
                <w:lang w:val="es-ES_tradnl"/>
              </w:rPr>
              <w:t>Plan Institucional de Equiparación de Oportunidades para Poblaciones en Condición de Vulnerabilidad 2013-2017</w:t>
            </w:r>
            <w:r w:rsidRPr="006A1AF4">
              <w:rPr>
                <w:rFonts w:ascii="Times New Roman" w:hAnsi="Times New Roman" w:cs="Times New Roman"/>
                <w:color w:val="000000"/>
                <w:sz w:val="24"/>
                <w:szCs w:val="24"/>
                <w:lang w:val="es-ES_tradnl"/>
              </w:rPr>
              <w:t>”. </w:t>
            </w:r>
            <w:r w:rsidRPr="006A1AF4">
              <w:rPr>
                <w:rFonts w:ascii="Times New Roman" w:hAnsi="Times New Roman" w:cs="Times New Roman"/>
                <w:color w:val="000000"/>
                <w:sz w:val="24"/>
                <w:szCs w:val="24"/>
              </w:rPr>
              <w:t>–</w:t>
            </w:r>
          </w:p>
        </w:tc>
      </w:tr>
      <w:tr w:rsidR="006A1AF4" w:rsidRPr="006A1AF4" w14:paraId="66AB860A" w14:textId="77777777" w:rsidTr="00215B50">
        <w:tc>
          <w:tcPr>
            <w:tcW w:w="4414" w:type="dxa"/>
          </w:tcPr>
          <w:p w14:paraId="51E68525"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176-2015</w:t>
            </w:r>
          </w:p>
        </w:tc>
        <w:tc>
          <w:tcPr>
            <w:tcW w:w="4414" w:type="dxa"/>
          </w:tcPr>
          <w:p w14:paraId="138EC1BF"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rPr>
            </w:pPr>
            <w:r w:rsidRPr="006A1AF4">
              <w:rPr>
                <w:rFonts w:ascii="Times New Roman" w:hAnsi="Times New Roman" w:cs="Times New Roman"/>
                <w:b/>
                <w:bCs/>
                <w:color w:val="000000"/>
                <w:sz w:val="24"/>
                <w:szCs w:val="24"/>
                <w:u w:val="single"/>
              </w:rPr>
              <w:t>Asunto</w:t>
            </w:r>
            <w:r w:rsidRPr="006A1AF4">
              <w:rPr>
                <w:rFonts w:ascii="Times New Roman" w:hAnsi="Times New Roman" w:cs="Times New Roman"/>
                <w:color w:val="000000"/>
                <w:sz w:val="24"/>
                <w:szCs w:val="24"/>
              </w:rPr>
              <w:t>:      Política Institucional para el Acceso a la Justicia de Personas Afrodescendientes del Poder Judicial y su Plan de Acción.-</w:t>
            </w:r>
          </w:p>
        </w:tc>
      </w:tr>
      <w:tr w:rsidR="006A1AF4" w:rsidRPr="006A1AF4" w14:paraId="264ECEF0" w14:textId="77777777" w:rsidTr="00215B50">
        <w:tc>
          <w:tcPr>
            <w:tcW w:w="4414" w:type="dxa"/>
          </w:tcPr>
          <w:p w14:paraId="5D421CAD"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192-2015</w:t>
            </w:r>
          </w:p>
        </w:tc>
        <w:tc>
          <w:tcPr>
            <w:tcW w:w="4414" w:type="dxa"/>
          </w:tcPr>
          <w:p w14:paraId="4C52FA07"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rPr>
            </w:pPr>
            <w:r w:rsidRPr="006A1AF4">
              <w:rPr>
                <w:rFonts w:ascii="Times New Roman" w:hAnsi="Times New Roman" w:cs="Times New Roman"/>
                <w:b/>
                <w:bCs/>
                <w:color w:val="000000"/>
                <w:sz w:val="24"/>
                <w:szCs w:val="24"/>
                <w:u w:val="single"/>
              </w:rPr>
              <w:t>Asunto</w:t>
            </w:r>
            <w:r w:rsidRPr="006A1AF4">
              <w:rPr>
                <w:rFonts w:ascii="Times New Roman" w:hAnsi="Times New Roman" w:cs="Times New Roman"/>
                <w:color w:val="000000"/>
                <w:sz w:val="24"/>
                <w:szCs w:val="24"/>
              </w:rPr>
              <w:t>:           “Protocolo de Atención Inmediata a personas menores de edad, víctimas y testigos en sede penal”.-</w:t>
            </w:r>
          </w:p>
        </w:tc>
      </w:tr>
      <w:tr w:rsidR="006A1AF4" w:rsidRPr="006A1AF4" w14:paraId="0743B28D" w14:textId="77777777" w:rsidTr="00215B50">
        <w:tc>
          <w:tcPr>
            <w:tcW w:w="4414" w:type="dxa"/>
          </w:tcPr>
          <w:p w14:paraId="38659259"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176-2015</w:t>
            </w:r>
          </w:p>
        </w:tc>
        <w:tc>
          <w:tcPr>
            <w:tcW w:w="4414" w:type="dxa"/>
          </w:tcPr>
          <w:p w14:paraId="2BAC2CE9"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rPr>
            </w:pPr>
            <w:r w:rsidRPr="006A1AF4">
              <w:rPr>
                <w:rFonts w:ascii="Times New Roman" w:hAnsi="Times New Roman" w:cs="Times New Roman"/>
                <w:b/>
                <w:bCs/>
                <w:color w:val="000000"/>
                <w:sz w:val="24"/>
                <w:szCs w:val="24"/>
                <w:u w:val="single"/>
              </w:rPr>
              <w:t>Asunto</w:t>
            </w:r>
            <w:r w:rsidRPr="006A1AF4">
              <w:rPr>
                <w:rFonts w:ascii="Times New Roman" w:hAnsi="Times New Roman" w:cs="Times New Roman"/>
                <w:color w:val="000000"/>
                <w:sz w:val="24"/>
                <w:szCs w:val="24"/>
              </w:rPr>
              <w:t>:      Política Institucional para el Acceso a la Justicia de Personas Afrodescendientes del Poder Judicial y su Plan de Acción.-</w:t>
            </w:r>
          </w:p>
        </w:tc>
      </w:tr>
      <w:tr w:rsidR="006A1AF4" w:rsidRPr="006A1AF4" w14:paraId="79A2984E" w14:textId="77777777" w:rsidTr="00215B50">
        <w:tc>
          <w:tcPr>
            <w:tcW w:w="4414" w:type="dxa"/>
          </w:tcPr>
          <w:p w14:paraId="4B257EC6" w14:textId="77777777" w:rsidR="006A1AF4" w:rsidRPr="006A1AF4" w:rsidRDefault="006A1AF4" w:rsidP="00DC20FF">
            <w:pPr>
              <w:pStyle w:val="resumen"/>
              <w:keepNext w:val="0"/>
              <w:widowControl w:val="0"/>
              <w:suppressAutoHyphens w:val="0"/>
              <w:rPr>
                <w:rFonts w:cs="Times New Roman"/>
                <w:color w:val="000000"/>
                <w:sz w:val="24"/>
                <w:szCs w:val="24"/>
              </w:rPr>
            </w:pPr>
            <w:r w:rsidRPr="006A1AF4">
              <w:rPr>
                <w:rFonts w:cs="Times New Roman"/>
                <w:sz w:val="24"/>
                <w:szCs w:val="24"/>
              </w:rPr>
              <w:t>CIRCULAR No. 207-2015</w:t>
            </w:r>
          </w:p>
        </w:tc>
        <w:tc>
          <w:tcPr>
            <w:tcW w:w="4414" w:type="dxa"/>
          </w:tcPr>
          <w:p w14:paraId="787D4A91"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color w:val="000000"/>
              </w:rPr>
              <w:t>:           Política </w:t>
            </w:r>
            <w:r w:rsidRPr="006A1AF4">
              <w:rPr>
                <w:color w:val="000000"/>
                <w:shd w:val="clear" w:color="auto" w:fill="FFFFFF"/>
                <w:lang w:val="es-ES_tradnl"/>
              </w:rPr>
              <w:t>Institucional para garantizar el Acceso a la Justicia de Personas Adultas Mayores</w:t>
            </w:r>
            <w:r w:rsidRPr="006A1AF4">
              <w:rPr>
                <w:color w:val="000000"/>
              </w:rPr>
              <w:t>.-</w:t>
            </w:r>
          </w:p>
        </w:tc>
      </w:tr>
      <w:tr w:rsidR="006A1AF4" w:rsidRPr="006A1AF4" w14:paraId="2DBDAB5B" w14:textId="77777777" w:rsidTr="00215B50">
        <w:tc>
          <w:tcPr>
            <w:tcW w:w="4414" w:type="dxa"/>
          </w:tcPr>
          <w:p w14:paraId="6DB9DD72"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207-2015</w:t>
            </w:r>
          </w:p>
        </w:tc>
        <w:tc>
          <w:tcPr>
            <w:tcW w:w="4414" w:type="dxa"/>
          </w:tcPr>
          <w:p w14:paraId="0E715B06"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color w:val="000000"/>
              </w:rPr>
              <w:t>:           Política </w:t>
            </w:r>
            <w:r w:rsidRPr="006A1AF4">
              <w:rPr>
                <w:color w:val="000000"/>
                <w:shd w:val="clear" w:color="auto" w:fill="FFFFFF"/>
                <w:lang w:val="es-ES_tradnl"/>
              </w:rPr>
              <w:t>Institucional para garantizar el Acceso a la Justicia de Personas Adultas Mayores</w:t>
            </w:r>
            <w:r w:rsidRPr="006A1AF4">
              <w:rPr>
                <w:color w:val="000000"/>
              </w:rPr>
              <w:t>.-</w:t>
            </w:r>
          </w:p>
        </w:tc>
      </w:tr>
      <w:tr w:rsidR="006A1AF4" w:rsidRPr="006A1AF4" w14:paraId="3FD80E2E" w14:textId="77777777" w:rsidTr="00215B50">
        <w:tc>
          <w:tcPr>
            <w:tcW w:w="4414" w:type="dxa"/>
          </w:tcPr>
          <w:p w14:paraId="6063820C"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170-2016</w:t>
            </w:r>
          </w:p>
        </w:tc>
        <w:tc>
          <w:tcPr>
            <w:tcW w:w="4414" w:type="dxa"/>
          </w:tcPr>
          <w:p w14:paraId="6480E4D8"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lang w:val="es-ES_tradnl"/>
              </w:rPr>
            </w:pPr>
            <w:r w:rsidRPr="006A1AF4">
              <w:rPr>
                <w:rFonts w:ascii="Times New Roman" w:hAnsi="Times New Roman" w:cs="Times New Roman"/>
                <w:b/>
                <w:bCs/>
                <w:color w:val="000000"/>
                <w:sz w:val="24"/>
                <w:szCs w:val="24"/>
                <w:u w:val="single"/>
                <w:lang w:val="es-ES_tradnl"/>
              </w:rPr>
              <w:t>Asunto</w:t>
            </w:r>
            <w:r w:rsidRPr="006A1AF4">
              <w:rPr>
                <w:rFonts w:ascii="Times New Roman" w:hAnsi="Times New Roman" w:cs="Times New Roman"/>
                <w:color w:val="000000"/>
                <w:sz w:val="24"/>
                <w:szCs w:val="24"/>
                <w:lang w:val="es-ES_tradnl"/>
              </w:rPr>
              <w:t>: </w:t>
            </w:r>
            <w:r w:rsidRPr="006A1AF4">
              <w:rPr>
                <w:rFonts w:ascii="Times New Roman" w:hAnsi="Times New Roman" w:cs="Times New Roman"/>
                <w:color w:val="000000"/>
                <w:sz w:val="24"/>
                <w:szCs w:val="24"/>
              </w:rPr>
              <w:t>Aprobación y entrada en vigencia de la Ley 9379, Ley para la Promoción de la Autonomía Personal de las Personas con Discapacidad</w:t>
            </w:r>
            <w:r w:rsidRPr="006A1AF4">
              <w:rPr>
                <w:rFonts w:ascii="Times New Roman" w:hAnsi="Times New Roman" w:cs="Times New Roman"/>
                <w:color w:val="000000"/>
                <w:sz w:val="24"/>
                <w:szCs w:val="24"/>
                <w:lang w:val="es-ES_tradnl"/>
              </w:rPr>
              <w:t>.-</w:t>
            </w:r>
          </w:p>
        </w:tc>
      </w:tr>
      <w:tr w:rsidR="006A1AF4" w:rsidRPr="006A1AF4" w14:paraId="0A940637" w14:textId="77777777" w:rsidTr="00215B50">
        <w:tc>
          <w:tcPr>
            <w:tcW w:w="4414" w:type="dxa"/>
          </w:tcPr>
          <w:p w14:paraId="5EA4E123"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188-2016</w:t>
            </w:r>
          </w:p>
        </w:tc>
        <w:tc>
          <w:tcPr>
            <w:tcW w:w="4414" w:type="dxa"/>
          </w:tcPr>
          <w:p w14:paraId="765DE12A" w14:textId="77777777" w:rsidR="006A1AF4" w:rsidRPr="006A1AF4" w:rsidRDefault="006A1AF4" w:rsidP="00DC20FF">
            <w:pPr>
              <w:widowControl w:val="0"/>
              <w:shd w:val="clear" w:color="auto" w:fill="FFFFFF"/>
              <w:jc w:val="both"/>
              <w:rPr>
                <w:rFonts w:ascii="Times New Roman" w:eastAsia="Times New Roman" w:hAnsi="Times New Roman" w:cs="Times New Roman"/>
                <w:color w:val="000000"/>
                <w:sz w:val="24"/>
                <w:szCs w:val="24"/>
                <w:lang w:val="es-ES_tradnl" w:eastAsia="es-CR"/>
              </w:rPr>
            </w:pPr>
            <w:r w:rsidRPr="006A1AF4">
              <w:rPr>
                <w:rFonts w:ascii="Times New Roman" w:eastAsia="Times New Roman" w:hAnsi="Times New Roman" w:cs="Times New Roman"/>
                <w:b/>
                <w:bCs/>
                <w:color w:val="000000"/>
                <w:sz w:val="24"/>
                <w:szCs w:val="24"/>
                <w:u w:val="single"/>
                <w:lang w:val="es-ES_tradnl" w:eastAsia="es-CR"/>
              </w:rPr>
              <w:t>Asunto</w:t>
            </w:r>
            <w:r w:rsidRPr="006A1AF4">
              <w:rPr>
                <w:rFonts w:ascii="Times New Roman" w:eastAsia="Times New Roman" w:hAnsi="Times New Roman" w:cs="Times New Roman"/>
                <w:color w:val="000000"/>
                <w:sz w:val="24"/>
                <w:szCs w:val="24"/>
                <w:lang w:val="es-ES_tradnl" w:eastAsia="es-CR"/>
              </w:rPr>
              <w:t>: Reiteración de la circular N° 67-2015 sobre “</w:t>
            </w:r>
            <w:r w:rsidRPr="006A1AF4">
              <w:rPr>
                <w:rFonts w:ascii="Times New Roman" w:eastAsia="Times New Roman" w:hAnsi="Times New Roman" w:cs="Times New Roman"/>
                <w:i/>
                <w:iCs/>
                <w:color w:val="000000"/>
                <w:sz w:val="24"/>
                <w:szCs w:val="24"/>
                <w:lang w:val="es-ES_tradnl" w:eastAsia="es-CR"/>
              </w:rPr>
              <w:t xml:space="preserve">Atención prioritaria y trámite </w:t>
            </w:r>
            <w:r w:rsidRPr="006A1AF4">
              <w:rPr>
                <w:rFonts w:ascii="Times New Roman" w:eastAsia="Times New Roman" w:hAnsi="Times New Roman" w:cs="Times New Roman"/>
                <w:i/>
                <w:iCs/>
                <w:color w:val="000000"/>
                <w:sz w:val="24"/>
                <w:szCs w:val="24"/>
                <w:lang w:val="es-ES_tradnl" w:eastAsia="es-CR"/>
              </w:rPr>
              <w:lastRenderedPageBreak/>
              <w:t>preferente para las personas adultas mayores en los servicios judiciales</w:t>
            </w:r>
            <w:r w:rsidRPr="006A1AF4">
              <w:rPr>
                <w:rFonts w:ascii="Times New Roman" w:eastAsia="Times New Roman" w:hAnsi="Times New Roman" w:cs="Times New Roman"/>
                <w:color w:val="000000"/>
                <w:sz w:val="24"/>
                <w:szCs w:val="24"/>
                <w:lang w:val="es-ES_tradnl" w:eastAsia="es-CR"/>
              </w:rPr>
              <w:t>”.-</w:t>
            </w:r>
          </w:p>
        </w:tc>
      </w:tr>
      <w:tr w:rsidR="006A1AF4" w:rsidRPr="006A1AF4" w14:paraId="3E4499B7" w14:textId="77777777" w:rsidTr="00215B50">
        <w:tc>
          <w:tcPr>
            <w:tcW w:w="4414" w:type="dxa"/>
          </w:tcPr>
          <w:p w14:paraId="6BBF2C7E"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lastRenderedPageBreak/>
              <w:t>CIRCULAR Nº 189-2016</w:t>
            </w:r>
          </w:p>
        </w:tc>
        <w:tc>
          <w:tcPr>
            <w:tcW w:w="4414" w:type="dxa"/>
          </w:tcPr>
          <w:p w14:paraId="201AC6AD"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rPr>
            </w:pPr>
            <w:r w:rsidRPr="006A1AF4">
              <w:rPr>
                <w:rFonts w:ascii="Times New Roman" w:hAnsi="Times New Roman" w:cs="Times New Roman"/>
                <w:b/>
                <w:bCs/>
                <w:i/>
                <w:iCs/>
                <w:color w:val="000000"/>
                <w:sz w:val="24"/>
                <w:szCs w:val="24"/>
                <w:u w:val="single"/>
                <w:lang w:val="es-ES_tradnl"/>
              </w:rPr>
              <w:t>Asunto</w:t>
            </w:r>
            <w:r w:rsidRPr="006A1AF4">
              <w:rPr>
                <w:rFonts w:ascii="Times New Roman" w:hAnsi="Times New Roman" w:cs="Times New Roman"/>
                <w:b/>
                <w:bCs/>
                <w:i/>
                <w:iCs/>
                <w:color w:val="000000"/>
                <w:sz w:val="24"/>
                <w:szCs w:val="24"/>
                <w:lang w:val="es-ES_tradnl"/>
              </w:rPr>
              <w:t>:      </w:t>
            </w:r>
            <w:r w:rsidRPr="006A1AF4">
              <w:rPr>
                <w:rFonts w:ascii="Times New Roman" w:hAnsi="Times New Roman" w:cs="Times New Roman"/>
                <w:color w:val="000000"/>
                <w:sz w:val="24"/>
                <w:szCs w:val="24"/>
                <w:lang w:val="es-ES_tradnl"/>
              </w:rPr>
              <w:t>Reiteración de la Circular N° 117-13, sobre “</w:t>
            </w:r>
            <w:r w:rsidRPr="006A1AF4">
              <w:rPr>
                <w:rFonts w:ascii="Times New Roman" w:hAnsi="Times New Roman" w:cs="Times New Roman"/>
                <w:i/>
                <w:iCs/>
                <w:color w:val="000000"/>
                <w:sz w:val="24"/>
                <w:szCs w:val="24"/>
                <w:lang w:val="es-ES_tradnl"/>
              </w:rPr>
              <w:t>Plan Institucional de Equiparación de Oportunidades para Poblaciones en Condición de Vulnerabilidad 2013-2017</w:t>
            </w:r>
            <w:r w:rsidRPr="006A1AF4">
              <w:rPr>
                <w:rFonts w:ascii="Times New Roman" w:hAnsi="Times New Roman" w:cs="Times New Roman"/>
                <w:color w:val="000000"/>
                <w:sz w:val="24"/>
                <w:szCs w:val="24"/>
                <w:lang w:val="es-ES_tradnl"/>
              </w:rPr>
              <w:t>”. </w:t>
            </w:r>
            <w:r w:rsidRPr="006A1AF4">
              <w:rPr>
                <w:rFonts w:ascii="Times New Roman" w:hAnsi="Times New Roman" w:cs="Times New Roman"/>
                <w:color w:val="000000"/>
                <w:sz w:val="24"/>
                <w:szCs w:val="24"/>
              </w:rPr>
              <w:t>–</w:t>
            </w:r>
          </w:p>
        </w:tc>
      </w:tr>
      <w:tr w:rsidR="006A1AF4" w:rsidRPr="006A1AF4" w14:paraId="446D7A0B" w14:textId="77777777" w:rsidTr="00215B50">
        <w:tc>
          <w:tcPr>
            <w:tcW w:w="4414" w:type="dxa"/>
          </w:tcPr>
          <w:p w14:paraId="68C9C42A"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190-2016</w:t>
            </w:r>
          </w:p>
        </w:tc>
        <w:tc>
          <w:tcPr>
            <w:tcW w:w="4414" w:type="dxa"/>
          </w:tcPr>
          <w:p w14:paraId="1F77726D"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color w:val="000000"/>
              </w:rPr>
              <w:t>:           Reiteración de la circular N° 207-2015, sobre “</w:t>
            </w:r>
            <w:r w:rsidRPr="006A1AF4">
              <w:rPr>
                <w:i/>
                <w:iCs/>
                <w:color w:val="000000"/>
              </w:rPr>
              <w:t>Política </w:t>
            </w:r>
            <w:r w:rsidRPr="006A1AF4">
              <w:rPr>
                <w:i/>
                <w:iCs/>
                <w:color w:val="000000"/>
                <w:shd w:val="clear" w:color="auto" w:fill="FFFFFF"/>
                <w:lang w:val="es-ES_tradnl"/>
              </w:rPr>
              <w:t>Institucional para garantizar el Acceso a la Justicia de Personas Adultas Mayores</w:t>
            </w:r>
            <w:r w:rsidRPr="006A1AF4">
              <w:rPr>
                <w:color w:val="000000"/>
              </w:rPr>
              <w:t>”.-</w:t>
            </w:r>
          </w:p>
        </w:tc>
      </w:tr>
      <w:tr w:rsidR="006A1AF4" w:rsidRPr="006A1AF4" w14:paraId="1D9975D5" w14:textId="77777777" w:rsidTr="00215B50">
        <w:tc>
          <w:tcPr>
            <w:tcW w:w="4414" w:type="dxa"/>
          </w:tcPr>
          <w:p w14:paraId="36EFC58C"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116-2017</w:t>
            </w:r>
          </w:p>
        </w:tc>
        <w:tc>
          <w:tcPr>
            <w:tcW w:w="4414" w:type="dxa"/>
          </w:tcPr>
          <w:p w14:paraId="277A65A0"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lang w:val="es-ES_tradnl"/>
              </w:rPr>
            </w:pPr>
            <w:r w:rsidRPr="006A1AF4">
              <w:rPr>
                <w:rFonts w:ascii="Times New Roman" w:hAnsi="Times New Roman" w:cs="Times New Roman"/>
                <w:b/>
                <w:bCs/>
                <w:color w:val="000000"/>
                <w:sz w:val="24"/>
                <w:szCs w:val="24"/>
                <w:u w:val="single"/>
                <w:lang w:val="es-ES"/>
              </w:rPr>
              <w:t>Asunto</w:t>
            </w:r>
            <w:r w:rsidRPr="006A1AF4">
              <w:rPr>
                <w:rFonts w:ascii="Times New Roman" w:hAnsi="Times New Roman" w:cs="Times New Roman"/>
                <w:color w:val="000000"/>
                <w:sz w:val="24"/>
                <w:szCs w:val="24"/>
                <w:lang w:val="es-ES"/>
              </w:rPr>
              <w:t>:       </w:t>
            </w:r>
            <w:r w:rsidRPr="006A1AF4">
              <w:rPr>
                <w:rFonts w:ascii="Times New Roman" w:hAnsi="Times New Roman" w:cs="Times New Roman"/>
                <w:color w:val="000000"/>
                <w:sz w:val="24"/>
                <w:szCs w:val="24"/>
                <w:lang w:val="es-ES_tradnl"/>
              </w:rPr>
              <w:t>Reiteración de la circular No. 164-13 </w:t>
            </w:r>
            <w:r w:rsidRPr="006A1AF4">
              <w:rPr>
                <w:rFonts w:ascii="Times New Roman" w:hAnsi="Times New Roman" w:cs="Times New Roman"/>
                <w:i/>
                <w:iCs/>
                <w:color w:val="000000"/>
                <w:sz w:val="24"/>
                <w:szCs w:val="24"/>
                <w:lang w:val="es-ES_tradnl"/>
              </w:rPr>
              <w:t>“Reglas para el dictado de sentencias orales en la jurisdicción penal de adultos y penal juvenil”</w:t>
            </w:r>
            <w:r w:rsidRPr="006A1AF4">
              <w:rPr>
                <w:rFonts w:ascii="Times New Roman" w:hAnsi="Times New Roman" w:cs="Times New Roman"/>
                <w:color w:val="000000"/>
                <w:sz w:val="24"/>
                <w:szCs w:val="24"/>
                <w:lang w:val="es-ES_tradnl"/>
              </w:rPr>
              <w:t>.-</w:t>
            </w:r>
          </w:p>
        </w:tc>
      </w:tr>
      <w:tr w:rsidR="006A1AF4" w:rsidRPr="006A1AF4" w14:paraId="6B6B8377" w14:textId="77777777" w:rsidTr="00215B50">
        <w:tc>
          <w:tcPr>
            <w:tcW w:w="4414" w:type="dxa"/>
          </w:tcPr>
          <w:p w14:paraId="234A2387"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174-2017</w:t>
            </w:r>
          </w:p>
        </w:tc>
        <w:tc>
          <w:tcPr>
            <w:tcW w:w="4414" w:type="dxa"/>
          </w:tcPr>
          <w:p w14:paraId="6E41BFE4" w14:textId="77777777" w:rsidR="006A1AF4" w:rsidRPr="006A1AF4" w:rsidRDefault="006A1AF4" w:rsidP="00DC20FF">
            <w:pPr>
              <w:pStyle w:val="xmsonormal0"/>
              <w:widowControl w:val="0"/>
              <w:shd w:val="clear" w:color="auto" w:fill="FFFFFF"/>
              <w:spacing w:before="0" w:beforeAutospacing="0" w:after="0" w:afterAutospacing="0"/>
              <w:jc w:val="both"/>
              <w:rPr>
                <w:color w:val="000000"/>
              </w:rPr>
            </w:pPr>
            <w:r w:rsidRPr="006A1AF4">
              <w:rPr>
                <w:b/>
                <w:bCs/>
                <w:color w:val="000000"/>
                <w:u w:val="single"/>
                <w:lang w:val="es-ES"/>
              </w:rPr>
              <w:t>Asunto</w:t>
            </w:r>
            <w:r w:rsidRPr="006A1AF4">
              <w:rPr>
                <w:color w:val="000000"/>
                <w:lang w:val="es-ES"/>
              </w:rPr>
              <w:t>:     </w:t>
            </w:r>
            <w:r w:rsidRPr="006A1AF4">
              <w:rPr>
                <w:color w:val="000000"/>
                <w:lang w:val="es-ES_tradnl"/>
              </w:rPr>
              <w:t>Reiterar las</w:t>
            </w:r>
            <w:r w:rsidRPr="006A1AF4">
              <w:rPr>
                <w:color w:val="000000"/>
                <w:lang w:val="es-ES"/>
              </w:rPr>
              <w:t> circulares emitidas por la Corte Plena atinentes al </w:t>
            </w:r>
            <w:r w:rsidRPr="006A1AF4">
              <w:rPr>
                <w:i/>
                <w:iCs/>
                <w:color w:val="000000"/>
                <w:lang w:val="es-ES"/>
              </w:rPr>
              <w:t>“Acceso a la Justicia de las Personas en Vulnerabilidad Social”</w:t>
            </w:r>
            <w:r w:rsidRPr="006A1AF4">
              <w:rPr>
                <w:color w:val="000000"/>
              </w:rPr>
              <w:t>.-</w:t>
            </w:r>
          </w:p>
        </w:tc>
      </w:tr>
      <w:tr w:rsidR="006A1AF4" w:rsidRPr="006A1AF4" w14:paraId="725CC8D1" w14:textId="77777777" w:rsidTr="00215B50">
        <w:tc>
          <w:tcPr>
            <w:tcW w:w="4414" w:type="dxa"/>
          </w:tcPr>
          <w:p w14:paraId="169F4CF7"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3-2018</w:t>
            </w:r>
          </w:p>
        </w:tc>
        <w:tc>
          <w:tcPr>
            <w:tcW w:w="4414" w:type="dxa"/>
          </w:tcPr>
          <w:p w14:paraId="78586662" w14:textId="77777777" w:rsidR="006A1AF4" w:rsidRPr="006A1AF4" w:rsidRDefault="006A1AF4" w:rsidP="00DC20FF">
            <w:pPr>
              <w:pStyle w:val="xmsonormal0"/>
              <w:widowControl w:val="0"/>
              <w:shd w:val="clear" w:color="auto" w:fill="FFFFFF"/>
              <w:spacing w:before="0" w:beforeAutospacing="0" w:after="0" w:afterAutospacing="0"/>
              <w:jc w:val="both"/>
              <w:rPr>
                <w:color w:val="000000"/>
              </w:rPr>
            </w:pPr>
            <w:r w:rsidRPr="006A1AF4">
              <w:rPr>
                <w:b/>
                <w:bCs/>
                <w:color w:val="000000"/>
                <w:u w:val="single"/>
                <w:lang w:val="es-ES"/>
              </w:rPr>
              <w:t>Asunto</w:t>
            </w:r>
            <w:r w:rsidRPr="006A1AF4">
              <w:rPr>
                <w:color w:val="000000"/>
                <w:lang w:val="es-ES"/>
              </w:rPr>
              <w:t>:    Sobre </w:t>
            </w:r>
            <w:r w:rsidRPr="006A1AF4">
              <w:rPr>
                <w:color w:val="000000"/>
              </w:rPr>
              <w:t>la obligación de notificar a las personas con discapacidad, conforme a sus necesidades específicas.-</w:t>
            </w:r>
          </w:p>
        </w:tc>
      </w:tr>
      <w:tr w:rsidR="006A1AF4" w:rsidRPr="006A1AF4" w14:paraId="6071A228" w14:textId="77777777" w:rsidTr="00215B50">
        <w:tc>
          <w:tcPr>
            <w:tcW w:w="4414" w:type="dxa"/>
          </w:tcPr>
          <w:p w14:paraId="6C90E6A5"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104-2018</w:t>
            </w:r>
          </w:p>
        </w:tc>
        <w:tc>
          <w:tcPr>
            <w:tcW w:w="4414" w:type="dxa"/>
          </w:tcPr>
          <w:p w14:paraId="0DED375D"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lang w:val="es-ES_tradnl"/>
              </w:rPr>
            </w:pPr>
            <w:r w:rsidRPr="006A1AF4">
              <w:rPr>
                <w:rFonts w:ascii="Times New Roman" w:hAnsi="Times New Roman" w:cs="Times New Roman"/>
                <w:b/>
                <w:bCs/>
                <w:color w:val="000000"/>
                <w:sz w:val="24"/>
                <w:szCs w:val="24"/>
                <w:u w:val="single"/>
                <w:lang w:val="es-ES_tradnl"/>
              </w:rPr>
              <w:t>Asunto</w:t>
            </w:r>
            <w:r w:rsidRPr="006A1AF4">
              <w:rPr>
                <w:rFonts w:ascii="Times New Roman" w:hAnsi="Times New Roman" w:cs="Times New Roman"/>
                <w:color w:val="000000"/>
                <w:sz w:val="24"/>
                <w:szCs w:val="24"/>
                <w:lang w:val="es-ES_tradnl"/>
              </w:rPr>
              <w:t>: Reiteración de la circular N° 174-2017 sobre </w:t>
            </w:r>
            <w:r w:rsidRPr="006A1AF4">
              <w:rPr>
                <w:rFonts w:ascii="Times New Roman" w:hAnsi="Times New Roman" w:cs="Times New Roman"/>
                <w:i/>
                <w:iCs/>
                <w:color w:val="000000"/>
                <w:sz w:val="24"/>
                <w:szCs w:val="24"/>
                <w:lang w:val="es-ES_tradnl"/>
              </w:rPr>
              <w:t>“</w:t>
            </w:r>
            <w:r w:rsidRPr="006A1AF4">
              <w:rPr>
                <w:rFonts w:ascii="Times New Roman" w:hAnsi="Times New Roman" w:cs="Times New Roman"/>
                <w:color w:val="000000"/>
                <w:sz w:val="24"/>
                <w:szCs w:val="24"/>
                <w:lang w:val="es-ES_tradnl"/>
              </w:rPr>
              <w:t>Reiteración de las </w:t>
            </w:r>
            <w:r w:rsidRPr="006A1AF4">
              <w:rPr>
                <w:rFonts w:ascii="Times New Roman" w:hAnsi="Times New Roman" w:cs="Times New Roman"/>
                <w:color w:val="000000"/>
                <w:sz w:val="24"/>
                <w:szCs w:val="24"/>
                <w:lang w:val="es-ES"/>
              </w:rPr>
              <w:t>circulares emitidas por la Corte Plena atinentes al </w:t>
            </w:r>
            <w:r w:rsidRPr="006A1AF4">
              <w:rPr>
                <w:rFonts w:ascii="Times New Roman" w:hAnsi="Times New Roman" w:cs="Times New Roman"/>
                <w:i/>
                <w:iCs/>
                <w:color w:val="000000"/>
                <w:sz w:val="24"/>
                <w:szCs w:val="24"/>
                <w:lang w:val="es-ES"/>
              </w:rPr>
              <w:t>“Acceso a la Justicia de las Personas en Vulnerabilidad Social</w:t>
            </w:r>
            <w:r w:rsidRPr="006A1AF4">
              <w:rPr>
                <w:rFonts w:ascii="Times New Roman" w:hAnsi="Times New Roman" w:cs="Times New Roman"/>
                <w:color w:val="000000"/>
                <w:sz w:val="24"/>
                <w:szCs w:val="24"/>
                <w:lang w:val="es-ES_tradnl"/>
              </w:rPr>
              <w:t>”.-</w:t>
            </w:r>
          </w:p>
        </w:tc>
      </w:tr>
      <w:tr w:rsidR="006A1AF4" w:rsidRPr="006A1AF4" w14:paraId="3CC2F575" w14:textId="77777777" w:rsidTr="00215B50">
        <w:tc>
          <w:tcPr>
            <w:tcW w:w="4414" w:type="dxa"/>
          </w:tcPr>
          <w:p w14:paraId="0266BB4A"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173-2019</w:t>
            </w:r>
          </w:p>
        </w:tc>
        <w:tc>
          <w:tcPr>
            <w:tcW w:w="4414" w:type="dxa"/>
          </w:tcPr>
          <w:p w14:paraId="3A2BC8CB" w14:textId="77777777" w:rsidR="006A1AF4" w:rsidRPr="006A1AF4" w:rsidRDefault="006A1AF4" w:rsidP="00DC20FF">
            <w:pPr>
              <w:widowControl w:val="0"/>
              <w:shd w:val="clear" w:color="auto" w:fill="FFFFFF"/>
              <w:jc w:val="both"/>
              <w:rPr>
                <w:rFonts w:ascii="Times New Roman" w:eastAsia="Times New Roman" w:hAnsi="Times New Roman" w:cs="Times New Roman"/>
                <w:color w:val="000000"/>
                <w:sz w:val="24"/>
                <w:szCs w:val="24"/>
                <w:lang w:eastAsia="es-CR"/>
              </w:rPr>
            </w:pPr>
            <w:r w:rsidRPr="006A1AF4">
              <w:rPr>
                <w:rFonts w:ascii="Times New Roman" w:eastAsia="Times New Roman" w:hAnsi="Times New Roman" w:cs="Times New Roman"/>
                <w:b/>
                <w:bCs/>
                <w:color w:val="000000"/>
                <w:sz w:val="24"/>
                <w:szCs w:val="24"/>
                <w:u w:val="single"/>
                <w:lang w:eastAsia="es-CR"/>
              </w:rPr>
              <w:t>Asunto</w:t>
            </w:r>
            <w:r w:rsidRPr="006A1AF4">
              <w:rPr>
                <w:rFonts w:ascii="Times New Roman" w:eastAsia="Times New Roman" w:hAnsi="Times New Roman" w:cs="Times New Roman"/>
                <w:color w:val="000000"/>
                <w:sz w:val="24"/>
                <w:szCs w:val="24"/>
                <w:lang w:eastAsia="es-CR"/>
              </w:rPr>
              <w:t>:               “Modificación a la Reglas de Brasilia sobre Acceso a la Justicia de las personas en condiciones de vulnerabilidad”.</w:t>
            </w:r>
          </w:p>
        </w:tc>
      </w:tr>
      <w:tr w:rsidR="006A1AF4" w:rsidRPr="006A1AF4" w14:paraId="42F8F141" w14:textId="77777777" w:rsidTr="00215B50">
        <w:tc>
          <w:tcPr>
            <w:tcW w:w="4414" w:type="dxa"/>
          </w:tcPr>
          <w:p w14:paraId="1E4F4E97"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76 -2019</w:t>
            </w:r>
          </w:p>
        </w:tc>
        <w:tc>
          <w:tcPr>
            <w:tcW w:w="4414" w:type="dxa"/>
          </w:tcPr>
          <w:p w14:paraId="6386BC76" w14:textId="77777777" w:rsidR="006A1AF4" w:rsidRPr="006A1AF4" w:rsidRDefault="006A1AF4" w:rsidP="00DC20FF">
            <w:pPr>
              <w:widowControl w:val="0"/>
              <w:shd w:val="clear" w:color="auto" w:fill="FFFFFF"/>
              <w:jc w:val="both"/>
              <w:rPr>
                <w:rFonts w:ascii="Times New Roman" w:hAnsi="Times New Roman" w:cs="Times New Roman"/>
                <w:color w:val="000000"/>
                <w:sz w:val="24"/>
                <w:szCs w:val="24"/>
                <w:lang w:val="es-ES_tradnl"/>
              </w:rPr>
            </w:pPr>
            <w:r w:rsidRPr="006A1AF4">
              <w:rPr>
                <w:rFonts w:ascii="Times New Roman" w:hAnsi="Times New Roman" w:cs="Times New Roman"/>
                <w:b/>
                <w:bCs/>
                <w:color w:val="000000"/>
                <w:sz w:val="24"/>
                <w:szCs w:val="24"/>
                <w:u w:val="single"/>
              </w:rPr>
              <w:t>Asunto</w:t>
            </w:r>
            <w:r w:rsidRPr="006A1AF4">
              <w:rPr>
                <w:rFonts w:ascii="Times New Roman" w:hAnsi="Times New Roman" w:cs="Times New Roman"/>
                <w:b/>
                <w:bCs/>
                <w:color w:val="000000"/>
                <w:sz w:val="24"/>
                <w:szCs w:val="24"/>
                <w:lang w:val="es-ES_tradnl"/>
              </w:rPr>
              <w:t>:</w:t>
            </w:r>
            <w:r w:rsidRPr="006A1AF4">
              <w:rPr>
                <w:rFonts w:ascii="Times New Roman" w:hAnsi="Times New Roman" w:cs="Times New Roman"/>
                <w:color w:val="000000"/>
                <w:sz w:val="24"/>
                <w:szCs w:val="24"/>
                <w:lang w:val="es-ES_tradnl"/>
              </w:rPr>
              <w:t> Importancia de conocer, estudiar y aplicar los convenios e instrumentos internacionales relacionados con los derechos humanos de las personas en condición de vulnerabilidad.</w:t>
            </w:r>
          </w:p>
        </w:tc>
      </w:tr>
      <w:tr w:rsidR="006A1AF4" w:rsidRPr="006A1AF4" w14:paraId="40F92864" w14:textId="77777777" w:rsidTr="00215B50">
        <w:tc>
          <w:tcPr>
            <w:tcW w:w="4414" w:type="dxa"/>
          </w:tcPr>
          <w:p w14:paraId="634C2427"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202-2019</w:t>
            </w:r>
          </w:p>
        </w:tc>
        <w:tc>
          <w:tcPr>
            <w:tcW w:w="4414" w:type="dxa"/>
          </w:tcPr>
          <w:p w14:paraId="7B13C854"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color w:val="000000"/>
              </w:rPr>
              <w:t>: Disposiciones normativas de acatamiento obligatorio respecto de los términos a emplearse al momento de referirse a las personas en situación de discapacidad.</w:t>
            </w:r>
          </w:p>
        </w:tc>
      </w:tr>
      <w:tr w:rsidR="006A1AF4" w:rsidRPr="006A1AF4" w14:paraId="3D2442A9" w14:textId="77777777" w:rsidTr="00215B50">
        <w:tc>
          <w:tcPr>
            <w:tcW w:w="4414" w:type="dxa"/>
          </w:tcPr>
          <w:p w14:paraId="318F5121"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19-2020</w:t>
            </w:r>
          </w:p>
        </w:tc>
        <w:tc>
          <w:tcPr>
            <w:tcW w:w="4414" w:type="dxa"/>
          </w:tcPr>
          <w:p w14:paraId="62283FCB"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color w:val="000000"/>
              </w:rPr>
              <w:t>: Aclaración de la Circular Nº 67-09 sobre “Políticas de accesibilidad para las personas con discapacidad”.-</w:t>
            </w:r>
          </w:p>
        </w:tc>
      </w:tr>
      <w:tr w:rsidR="006A1AF4" w:rsidRPr="006A1AF4" w14:paraId="3EF63D18" w14:textId="77777777" w:rsidTr="00215B50">
        <w:tc>
          <w:tcPr>
            <w:tcW w:w="4414" w:type="dxa"/>
          </w:tcPr>
          <w:p w14:paraId="331E2729"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96-2020</w:t>
            </w:r>
          </w:p>
        </w:tc>
        <w:tc>
          <w:tcPr>
            <w:tcW w:w="4414" w:type="dxa"/>
          </w:tcPr>
          <w:p w14:paraId="26D11A9A"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color w:val="000000"/>
              </w:rPr>
              <w:t>: Modificación de los puntos 2.2.1.6.3 y 2.2.1.6.4 de la circular N° 66-</w:t>
            </w:r>
            <w:r w:rsidRPr="006A1AF4">
              <w:rPr>
                <w:color w:val="000000"/>
              </w:rPr>
              <w:lastRenderedPageBreak/>
              <w:t>2020.</w:t>
            </w:r>
          </w:p>
        </w:tc>
      </w:tr>
      <w:tr w:rsidR="006A1AF4" w:rsidRPr="006A1AF4" w14:paraId="737814A4" w14:textId="77777777" w:rsidTr="00215B50">
        <w:tc>
          <w:tcPr>
            <w:tcW w:w="4414" w:type="dxa"/>
          </w:tcPr>
          <w:p w14:paraId="07928F93"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lastRenderedPageBreak/>
              <w:t>CIRCULAR No. 128-2020</w:t>
            </w:r>
          </w:p>
        </w:tc>
        <w:tc>
          <w:tcPr>
            <w:tcW w:w="4414" w:type="dxa"/>
          </w:tcPr>
          <w:p w14:paraId="1C9AA351"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color w:val="000000"/>
              </w:rPr>
              <w:t>: Reiteración de la Circular N° 51-2020, sobre “Motivo de suspensión de audiencia en agenda cronos”.</w:t>
            </w:r>
          </w:p>
        </w:tc>
      </w:tr>
      <w:tr w:rsidR="006A1AF4" w:rsidRPr="006A1AF4" w14:paraId="549B2B5C" w14:textId="77777777" w:rsidTr="00215B50">
        <w:tc>
          <w:tcPr>
            <w:tcW w:w="4414" w:type="dxa"/>
          </w:tcPr>
          <w:p w14:paraId="60BCDCF3"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143-2020</w:t>
            </w:r>
          </w:p>
        </w:tc>
        <w:tc>
          <w:tcPr>
            <w:tcW w:w="4414" w:type="dxa"/>
          </w:tcPr>
          <w:p w14:paraId="48753C68" w14:textId="77777777" w:rsidR="006A1AF4" w:rsidRPr="006A1AF4" w:rsidRDefault="006A1AF4" w:rsidP="00DC20FF">
            <w:pPr>
              <w:pStyle w:val="NormalWeb"/>
              <w:widowControl w:val="0"/>
              <w:shd w:val="clear" w:color="auto" w:fill="FFFFFF"/>
              <w:spacing w:before="0" w:beforeAutospacing="0" w:after="0" w:afterAutospacing="0"/>
              <w:jc w:val="both"/>
              <w:rPr>
                <w:color w:val="757575"/>
              </w:rPr>
            </w:pPr>
            <w:r w:rsidRPr="006A1AF4">
              <w:rPr>
                <w:b/>
                <w:bCs/>
                <w:color w:val="000000"/>
                <w:u w:val="single"/>
              </w:rPr>
              <w:t>Asunto</w:t>
            </w:r>
            <w:r w:rsidRPr="006A1AF4">
              <w:rPr>
                <w:color w:val="000000"/>
              </w:rPr>
              <w:t>: Modificación del punto 2.2.1.6.3 de la circular N° 66-2020, en relación</w:t>
            </w:r>
            <w:bookmarkStart w:id="2" w:name="_Hlk35780246"/>
            <w:r w:rsidRPr="006A1AF4">
              <w:rPr>
                <w:color w:val="757575"/>
              </w:rPr>
              <w:t> al marco regulatorio general para la tutela del derecho a la salud y la vida de las personas servidoras del Poder Judicial, personas usuarias y sus familias y garantizar la continuidad de los de servicios judiciales, con motivo de la emergencia sanitaria provocada por el virus COVID-19</w:t>
            </w:r>
            <w:bookmarkEnd w:id="2"/>
          </w:p>
        </w:tc>
      </w:tr>
      <w:tr w:rsidR="006A1AF4" w:rsidRPr="006A1AF4" w14:paraId="1026A1B5" w14:textId="77777777" w:rsidTr="00215B50">
        <w:tc>
          <w:tcPr>
            <w:tcW w:w="4414" w:type="dxa"/>
          </w:tcPr>
          <w:p w14:paraId="5FDB507F"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173 -2020</w:t>
            </w:r>
          </w:p>
        </w:tc>
        <w:tc>
          <w:tcPr>
            <w:tcW w:w="4414" w:type="dxa"/>
          </w:tcPr>
          <w:p w14:paraId="7BABFD70"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color w:val="000000"/>
              </w:rPr>
              <w:t>: Observaciones finales sobre los informes periódicos quinto y sexto combinados de Costa Rica, sobre la Convención de Derechos del Niño de las Naciones Unidas.</w:t>
            </w:r>
          </w:p>
        </w:tc>
      </w:tr>
      <w:tr w:rsidR="006A1AF4" w:rsidRPr="006A1AF4" w14:paraId="56B79325" w14:textId="77777777" w:rsidTr="00215B50">
        <w:tc>
          <w:tcPr>
            <w:tcW w:w="4414" w:type="dxa"/>
          </w:tcPr>
          <w:p w14:paraId="35166583"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178-2020</w:t>
            </w:r>
          </w:p>
        </w:tc>
        <w:tc>
          <w:tcPr>
            <w:tcW w:w="4414" w:type="dxa"/>
          </w:tcPr>
          <w:p w14:paraId="37411461"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color w:val="000000"/>
              </w:rPr>
              <w:t>: Consentimientos informados y acuerdo intersectorial en los procesos de Justicia Penal Restaurativa.</w:t>
            </w:r>
          </w:p>
        </w:tc>
      </w:tr>
      <w:tr w:rsidR="006A1AF4" w:rsidRPr="006A1AF4" w14:paraId="3A7BC90E" w14:textId="77777777" w:rsidTr="00215B50">
        <w:tc>
          <w:tcPr>
            <w:tcW w:w="4414" w:type="dxa"/>
          </w:tcPr>
          <w:p w14:paraId="5B94DE56"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168-2020</w:t>
            </w:r>
          </w:p>
        </w:tc>
        <w:tc>
          <w:tcPr>
            <w:tcW w:w="4414" w:type="dxa"/>
          </w:tcPr>
          <w:p w14:paraId="792278A8"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i/>
                <w:iCs/>
                <w:color w:val="000000"/>
              </w:rPr>
              <w:t>: </w:t>
            </w:r>
            <w:r w:rsidRPr="006A1AF4">
              <w:rPr>
                <w:color w:val="000000"/>
              </w:rPr>
              <w:t>Informe del Grupo de Trabajo sobre el Examen Periódico Universal</w:t>
            </w:r>
          </w:p>
        </w:tc>
      </w:tr>
      <w:tr w:rsidR="006A1AF4" w:rsidRPr="006A1AF4" w14:paraId="11E3C3E6" w14:textId="77777777" w:rsidTr="00215B50">
        <w:tc>
          <w:tcPr>
            <w:tcW w:w="4414" w:type="dxa"/>
          </w:tcPr>
          <w:p w14:paraId="39DCFA06"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 201-2020</w:t>
            </w:r>
          </w:p>
        </w:tc>
        <w:tc>
          <w:tcPr>
            <w:tcW w:w="4414" w:type="dxa"/>
          </w:tcPr>
          <w:p w14:paraId="6D708D25"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b/>
                <w:bCs/>
                <w:color w:val="000000"/>
              </w:rPr>
              <w:t>: </w:t>
            </w:r>
            <w:r w:rsidRPr="006A1AF4">
              <w:rPr>
                <w:color w:val="000000"/>
              </w:rPr>
              <w:t>Adición a la Circular N° 175-2020 referente al Protocolo para Actuaciones Judiciales en materia agraria, durante la Emergencia Nacional por Covid-19.</w:t>
            </w:r>
          </w:p>
        </w:tc>
      </w:tr>
      <w:tr w:rsidR="006A1AF4" w:rsidRPr="006A1AF4" w14:paraId="3E8B42B0" w14:textId="77777777" w:rsidTr="00215B50">
        <w:tc>
          <w:tcPr>
            <w:tcW w:w="4414" w:type="dxa"/>
          </w:tcPr>
          <w:p w14:paraId="69DF00FB" w14:textId="77777777" w:rsidR="006A1AF4" w:rsidRPr="006A1AF4" w:rsidRDefault="006A1AF4" w:rsidP="00DC20FF">
            <w:pPr>
              <w:pStyle w:val="resumen"/>
              <w:keepNext w:val="0"/>
              <w:widowControl w:val="0"/>
              <w:suppressAutoHyphens w:val="0"/>
              <w:rPr>
                <w:rFonts w:cs="Times New Roman"/>
                <w:color w:val="000000"/>
                <w:sz w:val="24"/>
                <w:szCs w:val="24"/>
              </w:rPr>
            </w:pPr>
            <w:r w:rsidRPr="006A1AF4">
              <w:rPr>
                <w:rFonts w:cs="Times New Roman"/>
                <w:sz w:val="24"/>
                <w:szCs w:val="24"/>
              </w:rPr>
              <w:t>CIRCULAR No. 223-2020</w:t>
            </w:r>
          </w:p>
        </w:tc>
        <w:tc>
          <w:tcPr>
            <w:tcW w:w="4414" w:type="dxa"/>
          </w:tcPr>
          <w:p w14:paraId="2B358064" w14:textId="77777777" w:rsidR="006A1AF4" w:rsidRPr="006A1AF4" w:rsidRDefault="006A1AF4" w:rsidP="00DC20FF">
            <w:pPr>
              <w:pStyle w:val="NormalWeb"/>
              <w:widowControl w:val="0"/>
              <w:shd w:val="clear" w:color="auto" w:fill="FFFFFF"/>
              <w:spacing w:before="0" w:beforeAutospacing="0" w:after="0" w:afterAutospacing="0"/>
              <w:jc w:val="both"/>
              <w:rPr>
                <w:color w:val="201F1E"/>
                <w:shd w:val="clear" w:color="auto" w:fill="FFFFFF"/>
              </w:rPr>
            </w:pPr>
            <w:r w:rsidRPr="006A1AF4">
              <w:rPr>
                <w:b/>
                <w:bCs/>
                <w:color w:val="000000"/>
                <w:u w:val="single"/>
              </w:rPr>
              <w:t>Asunto</w:t>
            </w:r>
            <w:r w:rsidRPr="006A1AF4">
              <w:rPr>
                <w:color w:val="000000"/>
              </w:rPr>
              <w:t>: </w:t>
            </w:r>
            <w:r w:rsidRPr="006A1AF4">
              <w:rPr>
                <w:color w:val="201F1E"/>
                <w:shd w:val="clear" w:color="auto" w:fill="FFFFFF"/>
              </w:rPr>
              <w:t>Obligación de uso del libro de pase a fallo y de reparto automático de asuntos en materias de Familia y Pensiones Alimentarias.</w:t>
            </w:r>
          </w:p>
        </w:tc>
      </w:tr>
      <w:tr w:rsidR="006A1AF4" w:rsidRPr="006A1AF4" w14:paraId="1A270DCC" w14:textId="77777777" w:rsidTr="00215B50">
        <w:tc>
          <w:tcPr>
            <w:tcW w:w="4414" w:type="dxa"/>
          </w:tcPr>
          <w:p w14:paraId="7F8A22EA"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227-2020</w:t>
            </w:r>
          </w:p>
        </w:tc>
        <w:tc>
          <w:tcPr>
            <w:tcW w:w="4414" w:type="dxa"/>
          </w:tcPr>
          <w:p w14:paraId="716A680F"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shd w:val="clear" w:color="auto" w:fill="FFFFFF"/>
              </w:rPr>
              <w:t>Asunto</w:t>
            </w:r>
            <w:r w:rsidRPr="006A1AF4">
              <w:rPr>
                <w:color w:val="000000"/>
                <w:shd w:val="clear" w:color="auto" w:fill="FFFFFF"/>
              </w:rPr>
              <w:t>: </w:t>
            </w:r>
            <w:r w:rsidRPr="006A1AF4">
              <w:rPr>
                <w:color w:val="000000"/>
              </w:rPr>
              <w:t>Lineamientos para la realización de puestas en posesión y desalojos de personas en situación de vulnerabilidad o </w:t>
            </w:r>
            <w:proofErr w:type="spellStart"/>
            <w:r w:rsidRPr="006A1AF4">
              <w:rPr>
                <w:color w:val="000000"/>
              </w:rPr>
              <w:t>vulnerabilizadas</w:t>
            </w:r>
            <w:proofErr w:type="spellEnd"/>
            <w:r w:rsidRPr="006A1AF4">
              <w:rPr>
                <w:color w:val="000000"/>
              </w:rPr>
              <w:t>, entre otras, pertenecientes a pueblos indígenas, en situación de discapacidad, adultas mayores y menores de edad.</w:t>
            </w:r>
          </w:p>
        </w:tc>
      </w:tr>
      <w:tr w:rsidR="006A1AF4" w:rsidRPr="006A1AF4" w14:paraId="7647F460" w14:textId="77777777" w:rsidTr="00215B50">
        <w:tc>
          <w:tcPr>
            <w:tcW w:w="4414" w:type="dxa"/>
          </w:tcPr>
          <w:p w14:paraId="674918CF"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254-2020</w:t>
            </w:r>
          </w:p>
        </w:tc>
        <w:tc>
          <w:tcPr>
            <w:tcW w:w="4414" w:type="dxa"/>
          </w:tcPr>
          <w:p w14:paraId="7A49A4E6"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color w:val="000000"/>
              </w:rPr>
              <w:t>: Protocolos que se requieren con motivo del abordaje de la emergencia nacional presentada por COVID-19</w:t>
            </w:r>
            <w:r w:rsidRPr="006A1AF4">
              <w:rPr>
                <w:b/>
                <w:bCs/>
                <w:color w:val="000000"/>
              </w:rPr>
              <w:t>.-</w:t>
            </w:r>
          </w:p>
        </w:tc>
      </w:tr>
      <w:tr w:rsidR="006A1AF4" w:rsidRPr="006A1AF4" w14:paraId="20F290E4" w14:textId="77777777" w:rsidTr="00215B50">
        <w:tc>
          <w:tcPr>
            <w:tcW w:w="4414" w:type="dxa"/>
          </w:tcPr>
          <w:p w14:paraId="41770B93"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268-2020</w:t>
            </w:r>
          </w:p>
        </w:tc>
        <w:tc>
          <w:tcPr>
            <w:tcW w:w="4414" w:type="dxa"/>
          </w:tcPr>
          <w:p w14:paraId="0F03D442"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color w:val="000000"/>
              </w:rPr>
              <w:t>: “Reiteración de la circular 140-2017</w:t>
            </w:r>
            <w:r w:rsidRPr="006A1AF4">
              <w:rPr>
                <w:i/>
                <w:iCs/>
                <w:color w:val="000000"/>
              </w:rPr>
              <w:t>“Reglas Prácticas Sobre la Reforma Procesal Laboral”, </w:t>
            </w:r>
            <w:r w:rsidRPr="006A1AF4">
              <w:rPr>
                <w:color w:val="000000"/>
              </w:rPr>
              <w:t xml:space="preserve">principalmente la Sección II y la obligatoriedad de los </w:t>
            </w:r>
            <w:r w:rsidRPr="006A1AF4">
              <w:rPr>
                <w:color w:val="000000"/>
              </w:rPr>
              <w:lastRenderedPageBreak/>
              <w:t>juzgados de estimar la cuantía al momento de realizar el traslado de la demanda.</w:t>
            </w:r>
          </w:p>
        </w:tc>
      </w:tr>
      <w:tr w:rsidR="006A1AF4" w:rsidRPr="006A1AF4" w14:paraId="43F0B847" w14:textId="77777777" w:rsidTr="00215B50">
        <w:tc>
          <w:tcPr>
            <w:tcW w:w="4414" w:type="dxa"/>
          </w:tcPr>
          <w:p w14:paraId="14AD350D" w14:textId="77777777" w:rsidR="006A1AF4" w:rsidRPr="006A1AF4" w:rsidRDefault="006A1AF4" w:rsidP="00DC20FF">
            <w:pPr>
              <w:pStyle w:val="NormalWeb"/>
              <w:widowControl w:val="0"/>
              <w:shd w:val="clear" w:color="auto" w:fill="FFFFFF"/>
              <w:spacing w:before="0" w:beforeAutospacing="0" w:after="0" w:afterAutospacing="0"/>
              <w:jc w:val="both"/>
              <w:rPr>
                <w:b/>
                <w:bCs/>
                <w:color w:val="000000"/>
                <w:u w:val="single"/>
              </w:rPr>
            </w:pPr>
            <w:r w:rsidRPr="006A1AF4">
              <w:rPr>
                <w:b/>
                <w:bCs/>
                <w:lang w:val="es-ES_tradnl" w:eastAsia="ar-SA"/>
              </w:rPr>
              <w:lastRenderedPageBreak/>
              <w:t>CIRCULAR No. 269-2020</w:t>
            </w:r>
            <w:r w:rsidRPr="006A1AF4">
              <w:rPr>
                <w:b/>
                <w:bCs/>
                <w:color w:val="000000"/>
                <w:u w:val="single"/>
              </w:rPr>
              <w:t>.</w:t>
            </w:r>
          </w:p>
        </w:tc>
        <w:tc>
          <w:tcPr>
            <w:tcW w:w="4414" w:type="dxa"/>
          </w:tcPr>
          <w:p w14:paraId="53D8EC5E"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color w:val="000000"/>
              </w:rPr>
              <w:t>: Implementación en el Poder Judicial de la disposición “LS-PG-007. Lineamientos básicos de conducta para reducir el riesgo de transmisión de COVID-19, asociados a la responsabilidad individual”.</w:t>
            </w:r>
          </w:p>
        </w:tc>
      </w:tr>
      <w:tr w:rsidR="006A1AF4" w:rsidRPr="006A1AF4" w14:paraId="6AA8A0CB" w14:textId="77777777" w:rsidTr="00215B50">
        <w:tc>
          <w:tcPr>
            <w:tcW w:w="4414" w:type="dxa"/>
          </w:tcPr>
          <w:p w14:paraId="04DA4560"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No.262-2020</w:t>
            </w:r>
          </w:p>
        </w:tc>
        <w:tc>
          <w:tcPr>
            <w:tcW w:w="4414" w:type="dxa"/>
          </w:tcPr>
          <w:p w14:paraId="44A43596"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color w:val="000000"/>
              </w:rPr>
              <w:t>: Estándares internacionales en materia de derechos humanos aplicables en el marco de los desalojos forzosos a poblaciones en situación de vulnerabilidad o </w:t>
            </w:r>
            <w:proofErr w:type="spellStart"/>
            <w:r w:rsidRPr="006A1AF4">
              <w:rPr>
                <w:color w:val="000000"/>
              </w:rPr>
              <w:t>vulnerabilizadas</w:t>
            </w:r>
            <w:proofErr w:type="spellEnd"/>
            <w:r w:rsidRPr="006A1AF4">
              <w:rPr>
                <w:color w:val="000000"/>
              </w:rPr>
              <w:t>, incluyendo personas indígenas, adultas mayores, niñas y niños, entre otras.”-</w:t>
            </w:r>
          </w:p>
        </w:tc>
      </w:tr>
      <w:tr w:rsidR="006A1AF4" w:rsidRPr="006A1AF4" w14:paraId="29CD7D49" w14:textId="77777777" w:rsidTr="00215B50">
        <w:tc>
          <w:tcPr>
            <w:tcW w:w="4414" w:type="dxa"/>
          </w:tcPr>
          <w:p w14:paraId="622D7BC3"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290-2020</w:t>
            </w:r>
          </w:p>
        </w:tc>
        <w:tc>
          <w:tcPr>
            <w:tcW w:w="4414" w:type="dxa"/>
          </w:tcPr>
          <w:p w14:paraId="05F1D6E3"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color w:val="000000"/>
              </w:rPr>
              <w:t>:               Protocolo de atención por fases conforme a las alertas emitidas por el Poder Ejecutivo ante la emergencia sanitaria provocada por la enfermedad COVID-19, de aplicación para los despachos judiciales que conocen la materia Civil, Cobro y Laboral.</w:t>
            </w:r>
          </w:p>
        </w:tc>
      </w:tr>
      <w:tr w:rsidR="006A1AF4" w:rsidRPr="006A1AF4" w14:paraId="702E852D" w14:textId="77777777" w:rsidTr="00215B50">
        <w:tc>
          <w:tcPr>
            <w:tcW w:w="4414" w:type="dxa"/>
          </w:tcPr>
          <w:p w14:paraId="4B4C238C"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291-2020</w:t>
            </w:r>
          </w:p>
        </w:tc>
        <w:tc>
          <w:tcPr>
            <w:tcW w:w="4414" w:type="dxa"/>
          </w:tcPr>
          <w:p w14:paraId="42FC9D62"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color w:val="000000"/>
              </w:rPr>
              <w:t>:               Protocolo de atención por fases conforme a las alertas emitidas por el Poder Ejecutivo ante la emergencia sanitaria provocada por la enfermedad COVID-19, de aplicación para los despachos judiciales que conocen la materia de Tránsito.</w:t>
            </w:r>
          </w:p>
        </w:tc>
      </w:tr>
      <w:tr w:rsidR="006A1AF4" w:rsidRPr="006A1AF4" w14:paraId="20E0CBCA" w14:textId="77777777" w:rsidTr="00215B50">
        <w:tc>
          <w:tcPr>
            <w:tcW w:w="4414" w:type="dxa"/>
          </w:tcPr>
          <w:p w14:paraId="43B8019D"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28-2021</w:t>
            </w:r>
          </w:p>
        </w:tc>
        <w:tc>
          <w:tcPr>
            <w:tcW w:w="4414" w:type="dxa"/>
          </w:tcPr>
          <w:p w14:paraId="0522BE07"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color w:val="000000"/>
              </w:rPr>
              <w:t>: Protocolo de atención por fases conforme a las alertas emitidas por el Poder Ejecutivo ante la emergencia sanitaria provocada por la enfermedad COVID-19, de aplicación para los despachos judiciales que conocen la materia Civil, Cobro y Laboral.</w:t>
            </w:r>
          </w:p>
        </w:tc>
      </w:tr>
      <w:tr w:rsidR="006A1AF4" w:rsidRPr="006A1AF4" w14:paraId="05582177" w14:textId="77777777" w:rsidTr="00215B50">
        <w:tc>
          <w:tcPr>
            <w:tcW w:w="4414" w:type="dxa"/>
          </w:tcPr>
          <w:p w14:paraId="6AF6D587"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Nº 32-2021</w:t>
            </w:r>
          </w:p>
        </w:tc>
        <w:tc>
          <w:tcPr>
            <w:tcW w:w="4414" w:type="dxa"/>
          </w:tcPr>
          <w:p w14:paraId="1A6A9162"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b/>
                <w:bCs/>
                <w:color w:val="000000"/>
              </w:rPr>
              <w:t>: </w:t>
            </w:r>
            <w:r w:rsidRPr="006A1AF4">
              <w:rPr>
                <w:color w:val="000000"/>
              </w:rPr>
              <w:t>Lineamientos para las personas servidoras judiciales en relación con las Medidas Cautelares 321-12 de la Comisión Interamericana de Derechos Humanos contra el Estado, y la aplicación de la normativa internacional de derechos humanos referida a personas indígenas.</w:t>
            </w:r>
          </w:p>
        </w:tc>
      </w:tr>
      <w:tr w:rsidR="006A1AF4" w:rsidRPr="006A1AF4" w14:paraId="6B19DB08" w14:textId="77777777" w:rsidTr="00215B50">
        <w:tc>
          <w:tcPr>
            <w:tcW w:w="4414" w:type="dxa"/>
          </w:tcPr>
          <w:p w14:paraId="210882F0"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38-2021</w:t>
            </w:r>
          </w:p>
        </w:tc>
        <w:tc>
          <w:tcPr>
            <w:tcW w:w="4414" w:type="dxa"/>
          </w:tcPr>
          <w:p w14:paraId="5E93E736"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u w:val="single"/>
              </w:rPr>
              <w:t>Asunto</w:t>
            </w:r>
            <w:r w:rsidRPr="006A1AF4">
              <w:rPr>
                <w:color w:val="000000"/>
              </w:rPr>
              <w:t>: Nueva versión del protocolo denominado “DGH-004: Condiciones de trabajo por COVID-19.”</w:t>
            </w:r>
          </w:p>
        </w:tc>
      </w:tr>
      <w:tr w:rsidR="006A1AF4" w:rsidRPr="006A1AF4" w14:paraId="13B1DDE8" w14:textId="77777777" w:rsidTr="00215B50">
        <w:tc>
          <w:tcPr>
            <w:tcW w:w="4414" w:type="dxa"/>
          </w:tcPr>
          <w:p w14:paraId="59F4A8A2"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lastRenderedPageBreak/>
              <w:t>CIRCULAR No. 152-2021</w:t>
            </w:r>
          </w:p>
        </w:tc>
        <w:tc>
          <w:tcPr>
            <w:tcW w:w="4414" w:type="dxa"/>
          </w:tcPr>
          <w:p w14:paraId="19F629E4" w14:textId="77777777" w:rsidR="006A1AF4" w:rsidRPr="006A1AF4" w:rsidRDefault="006A1AF4" w:rsidP="00DC20FF">
            <w:pPr>
              <w:pStyle w:val="NormalWeb"/>
              <w:widowControl w:val="0"/>
              <w:shd w:val="clear" w:color="auto" w:fill="FFFFFF"/>
              <w:spacing w:before="0" w:beforeAutospacing="0" w:after="0" w:afterAutospacing="0"/>
              <w:jc w:val="both"/>
              <w:rPr>
                <w:color w:val="000000"/>
                <w:shd w:val="clear" w:color="auto" w:fill="FFFFFF"/>
              </w:rPr>
            </w:pPr>
            <w:r w:rsidRPr="006A1AF4">
              <w:rPr>
                <w:b/>
                <w:bCs/>
                <w:color w:val="000000"/>
                <w:u w:val="single"/>
                <w:shd w:val="clear" w:color="auto" w:fill="FFFFFF"/>
              </w:rPr>
              <w:t>Asunto</w:t>
            </w:r>
            <w:r w:rsidRPr="006A1AF4">
              <w:rPr>
                <w:color w:val="000000"/>
                <w:shd w:val="clear" w:color="auto" w:fill="FFFFFF"/>
              </w:rPr>
              <w:t>: Acceso a la justicia para las personas privadas de la libertad. Notificación de las resoluciones judiciales por parte de los Juzgados de Ejecución de la Pena del país.</w:t>
            </w:r>
          </w:p>
        </w:tc>
      </w:tr>
      <w:tr w:rsidR="006A1AF4" w:rsidRPr="006A1AF4" w14:paraId="4D58341B" w14:textId="77777777" w:rsidTr="00215B50">
        <w:tc>
          <w:tcPr>
            <w:tcW w:w="4414" w:type="dxa"/>
          </w:tcPr>
          <w:p w14:paraId="299ACB19"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254-2021</w:t>
            </w:r>
          </w:p>
        </w:tc>
        <w:tc>
          <w:tcPr>
            <w:tcW w:w="4414" w:type="dxa"/>
          </w:tcPr>
          <w:p w14:paraId="326E524D" w14:textId="77777777" w:rsidR="006A1AF4" w:rsidRPr="006A1AF4" w:rsidRDefault="006A1AF4" w:rsidP="00DC20FF">
            <w:pPr>
              <w:widowControl w:val="0"/>
              <w:shd w:val="clear" w:color="auto" w:fill="FFFFFF"/>
              <w:jc w:val="both"/>
              <w:rPr>
                <w:rFonts w:ascii="Times New Roman" w:eastAsia="Times New Roman" w:hAnsi="Times New Roman" w:cs="Times New Roman"/>
                <w:color w:val="000000"/>
                <w:sz w:val="24"/>
                <w:szCs w:val="24"/>
                <w:lang w:eastAsia="es-CR"/>
              </w:rPr>
            </w:pPr>
            <w:r w:rsidRPr="006A1AF4">
              <w:rPr>
                <w:rFonts w:ascii="Times New Roman" w:eastAsia="Times New Roman" w:hAnsi="Times New Roman" w:cs="Times New Roman"/>
                <w:b/>
                <w:bCs/>
                <w:color w:val="000000"/>
                <w:sz w:val="24"/>
                <w:szCs w:val="24"/>
                <w:lang w:eastAsia="es-CR"/>
              </w:rPr>
              <w:t>Asunto: </w:t>
            </w:r>
            <w:r w:rsidRPr="006A1AF4">
              <w:rPr>
                <w:rFonts w:ascii="Times New Roman" w:eastAsia="Times New Roman" w:hAnsi="Times New Roman" w:cs="Times New Roman"/>
                <w:color w:val="000000"/>
                <w:sz w:val="24"/>
                <w:szCs w:val="24"/>
                <w:lang w:eastAsia="es-CR"/>
              </w:rPr>
              <w:t>Reiteración de la Circular Nº 63-2011 sobre la “Política Judicial dirigida al Mejoramiento del Acceso a la Justicia de las Niñas, Niños y Adolescentes en Costa Rica”.-</w:t>
            </w:r>
          </w:p>
        </w:tc>
      </w:tr>
      <w:tr w:rsidR="006A1AF4" w:rsidRPr="006A1AF4" w14:paraId="542AF1B2" w14:textId="77777777" w:rsidTr="00215B50">
        <w:tc>
          <w:tcPr>
            <w:tcW w:w="4414" w:type="dxa"/>
          </w:tcPr>
          <w:p w14:paraId="4BD3CB5F"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257-2021</w:t>
            </w:r>
          </w:p>
        </w:tc>
        <w:tc>
          <w:tcPr>
            <w:tcW w:w="4414" w:type="dxa"/>
          </w:tcPr>
          <w:p w14:paraId="172DD401" w14:textId="77777777" w:rsidR="006A1AF4" w:rsidRPr="006A1AF4" w:rsidRDefault="006A1AF4" w:rsidP="00DC20FF">
            <w:pPr>
              <w:widowControl w:val="0"/>
              <w:shd w:val="clear" w:color="auto" w:fill="FFFFFF"/>
              <w:jc w:val="both"/>
              <w:rPr>
                <w:rFonts w:ascii="Times New Roman" w:eastAsia="Times New Roman" w:hAnsi="Times New Roman" w:cs="Times New Roman"/>
                <w:color w:val="000000"/>
                <w:sz w:val="24"/>
                <w:szCs w:val="24"/>
                <w:lang w:eastAsia="es-CR"/>
              </w:rPr>
            </w:pPr>
            <w:r w:rsidRPr="006A1AF4">
              <w:rPr>
                <w:rFonts w:ascii="Times New Roman" w:eastAsia="Times New Roman" w:hAnsi="Times New Roman" w:cs="Times New Roman"/>
                <w:b/>
                <w:bCs/>
                <w:color w:val="000000"/>
                <w:sz w:val="24"/>
                <w:szCs w:val="24"/>
                <w:lang w:eastAsia="es-CR"/>
              </w:rPr>
              <w:t>Asunto: </w:t>
            </w:r>
            <w:r w:rsidRPr="006A1AF4">
              <w:rPr>
                <w:rFonts w:ascii="Times New Roman" w:eastAsia="Times New Roman" w:hAnsi="Times New Roman" w:cs="Times New Roman"/>
                <w:color w:val="000000"/>
                <w:sz w:val="24"/>
                <w:szCs w:val="24"/>
                <w:lang w:eastAsia="es-CR"/>
              </w:rPr>
              <w:t>Reiteración de la circular No 192-2015, sobre el “Protocolo de Atención Inmediata a personas menores de edad, víctimas y testigos en sede penal”.-</w:t>
            </w:r>
          </w:p>
        </w:tc>
      </w:tr>
      <w:tr w:rsidR="006A1AF4" w:rsidRPr="006A1AF4" w14:paraId="4E878E88" w14:textId="77777777" w:rsidTr="00215B50">
        <w:tc>
          <w:tcPr>
            <w:tcW w:w="4414" w:type="dxa"/>
          </w:tcPr>
          <w:p w14:paraId="0E871082"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251-2021</w:t>
            </w:r>
          </w:p>
        </w:tc>
        <w:tc>
          <w:tcPr>
            <w:tcW w:w="4414" w:type="dxa"/>
          </w:tcPr>
          <w:p w14:paraId="6E9112B5" w14:textId="77777777" w:rsidR="006A1AF4" w:rsidRPr="006A1AF4" w:rsidRDefault="006A1AF4" w:rsidP="00DC20FF">
            <w:pPr>
              <w:widowControl w:val="0"/>
              <w:shd w:val="clear" w:color="auto" w:fill="FFFFFF"/>
              <w:jc w:val="both"/>
              <w:rPr>
                <w:rFonts w:ascii="Times New Roman" w:eastAsia="Times New Roman" w:hAnsi="Times New Roman" w:cs="Times New Roman"/>
                <w:color w:val="000000"/>
                <w:sz w:val="24"/>
                <w:szCs w:val="24"/>
                <w:lang w:eastAsia="es-CR"/>
              </w:rPr>
            </w:pPr>
            <w:r w:rsidRPr="006A1AF4">
              <w:rPr>
                <w:rFonts w:ascii="Times New Roman" w:eastAsia="Times New Roman" w:hAnsi="Times New Roman" w:cs="Times New Roman"/>
                <w:b/>
                <w:bCs/>
                <w:color w:val="000000"/>
                <w:sz w:val="24"/>
                <w:szCs w:val="24"/>
                <w:lang w:eastAsia="es-CR"/>
              </w:rPr>
              <w:t>Asunto: </w:t>
            </w:r>
            <w:r w:rsidRPr="006A1AF4">
              <w:rPr>
                <w:rFonts w:ascii="Times New Roman" w:eastAsia="Times New Roman" w:hAnsi="Times New Roman" w:cs="Times New Roman"/>
                <w:color w:val="000000"/>
                <w:sz w:val="24"/>
                <w:szCs w:val="24"/>
                <w:lang w:eastAsia="es-CR"/>
              </w:rPr>
              <w:t>Reiteración de la circular N° 101-2005 sobre la “Obligación de dar trato preferencial a personas con discapacidad, adultos mayores, menores de edad, indígenas, víctimas y personas en situación especial.-</w:t>
            </w:r>
          </w:p>
        </w:tc>
      </w:tr>
      <w:tr w:rsidR="006A1AF4" w:rsidRPr="006A1AF4" w14:paraId="23B5B511" w14:textId="77777777" w:rsidTr="00215B50">
        <w:tc>
          <w:tcPr>
            <w:tcW w:w="4414" w:type="dxa"/>
          </w:tcPr>
          <w:p w14:paraId="4173DD16"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252-2021</w:t>
            </w:r>
          </w:p>
        </w:tc>
        <w:tc>
          <w:tcPr>
            <w:tcW w:w="4414" w:type="dxa"/>
          </w:tcPr>
          <w:p w14:paraId="14F55B21" w14:textId="77777777" w:rsidR="006A1AF4" w:rsidRPr="006A1AF4" w:rsidRDefault="006A1AF4" w:rsidP="00DC20FF">
            <w:pPr>
              <w:widowControl w:val="0"/>
              <w:shd w:val="clear" w:color="auto" w:fill="FFFFFF"/>
              <w:jc w:val="both"/>
              <w:rPr>
                <w:rFonts w:ascii="Times New Roman" w:eastAsia="Times New Roman" w:hAnsi="Times New Roman" w:cs="Times New Roman"/>
                <w:color w:val="000000"/>
                <w:sz w:val="24"/>
                <w:szCs w:val="24"/>
                <w:lang w:eastAsia="es-CR"/>
              </w:rPr>
            </w:pPr>
            <w:r w:rsidRPr="006A1AF4">
              <w:rPr>
                <w:rFonts w:ascii="Times New Roman" w:eastAsia="Times New Roman" w:hAnsi="Times New Roman" w:cs="Times New Roman"/>
                <w:b/>
                <w:bCs/>
                <w:color w:val="000000"/>
                <w:sz w:val="24"/>
                <w:szCs w:val="24"/>
                <w:lang w:eastAsia="es-CR"/>
              </w:rPr>
              <w:t>Asunto: </w:t>
            </w:r>
            <w:r w:rsidRPr="006A1AF4">
              <w:rPr>
                <w:rFonts w:ascii="Times New Roman" w:eastAsia="Times New Roman" w:hAnsi="Times New Roman" w:cs="Times New Roman"/>
                <w:color w:val="000000"/>
                <w:sz w:val="24"/>
                <w:szCs w:val="24"/>
                <w:lang w:eastAsia="es-CR"/>
              </w:rPr>
              <w:t>Reiteración de la circular No 182-2005, sobre la “Obligación de brindar un trato preferencial a las personas con discapacidad, adultos mayores, menores de edad, indígenas, víctimas y personas con una situación especial”.-</w:t>
            </w:r>
          </w:p>
        </w:tc>
      </w:tr>
      <w:tr w:rsidR="006A1AF4" w:rsidRPr="006A1AF4" w14:paraId="6A2E3B8B" w14:textId="77777777" w:rsidTr="00215B50">
        <w:tc>
          <w:tcPr>
            <w:tcW w:w="4414" w:type="dxa"/>
          </w:tcPr>
          <w:p w14:paraId="0CF009DF"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253-2021</w:t>
            </w:r>
          </w:p>
        </w:tc>
        <w:tc>
          <w:tcPr>
            <w:tcW w:w="4414" w:type="dxa"/>
          </w:tcPr>
          <w:p w14:paraId="6FB7686E" w14:textId="77777777" w:rsidR="006A1AF4" w:rsidRPr="006A1AF4" w:rsidRDefault="006A1AF4" w:rsidP="00DC20FF">
            <w:pPr>
              <w:widowControl w:val="0"/>
              <w:shd w:val="clear" w:color="auto" w:fill="FFFFFF"/>
              <w:jc w:val="both"/>
              <w:rPr>
                <w:rFonts w:ascii="Times New Roman" w:eastAsia="Times New Roman" w:hAnsi="Times New Roman" w:cs="Times New Roman"/>
                <w:color w:val="000000"/>
                <w:sz w:val="24"/>
                <w:szCs w:val="24"/>
                <w:lang w:eastAsia="es-CR"/>
              </w:rPr>
            </w:pPr>
            <w:r w:rsidRPr="006A1AF4">
              <w:rPr>
                <w:rFonts w:ascii="Times New Roman" w:eastAsia="Times New Roman" w:hAnsi="Times New Roman" w:cs="Times New Roman"/>
                <w:b/>
                <w:bCs/>
                <w:color w:val="000000"/>
                <w:sz w:val="24"/>
                <w:szCs w:val="24"/>
                <w:lang w:eastAsia="es-CR"/>
              </w:rPr>
              <w:t>Asunto: </w:t>
            </w:r>
            <w:r w:rsidRPr="006A1AF4">
              <w:rPr>
                <w:rFonts w:ascii="Times New Roman" w:eastAsia="Times New Roman" w:hAnsi="Times New Roman" w:cs="Times New Roman"/>
                <w:color w:val="000000"/>
                <w:sz w:val="24"/>
                <w:szCs w:val="24"/>
                <w:lang w:eastAsia="es-CR"/>
              </w:rPr>
              <w:t>Reiteración de la Circular Nº 92-2005, sobre "Reglas Prácticas para reducir la Revictimización de las Personas Menores de edad en los procesos penales”.-</w:t>
            </w:r>
          </w:p>
        </w:tc>
      </w:tr>
      <w:tr w:rsidR="006A1AF4" w:rsidRPr="006A1AF4" w14:paraId="39AB591A" w14:textId="77777777" w:rsidTr="00215B50">
        <w:tc>
          <w:tcPr>
            <w:tcW w:w="4414" w:type="dxa"/>
          </w:tcPr>
          <w:p w14:paraId="0AAF3FCE"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255-2021</w:t>
            </w:r>
          </w:p>
        </w:tc>
        <w:tc>
          <w:tcPr>
            <w:tcW w:w="4414" w:type="dxa"/>
          </w:tcPr>
          <w:p w14:paraId="002F826E" w14:textId="77777777" w:rsidR="006A1AF4" w:rsidRPr="006A1AF4" w:rsidRDefault="006A1AF4" w:rsidP="00DC20FF">
            <w:pPr>
              <w:widowControl w:val="0"/>
              <w:shd w:val="clear" w:color="auto" w:fill="FFFFFF"/>
              <w:jc w:val="both"/>
              <w:rPr>
                <w:rFonts w:ascii="Times New Roman" w:eastAsia="Times New Roman" w:hAnsi="Times New Roman" w:cs="Times New Roman"/>
                <w:color w:val="000000"/>
                <w:sz w:val="24"/>
                <w:szCs w:val="24"/>
                <w:lang w:eastAsia="es-CR"/>
              </w:rPr>
            </w:pPr>
            <w:r w:rsidRPr="006A1AF4">
              <w:rPr>
                <w:rFonts w:ascii="Times New Roman" w:eastAsia="Times New Roman" w:hAnsi="Times New Roman" w:cs="Times New Roman"/>
                <w:b/>
                <w:bCs/>
                <w:color w:val="000000"/>
                <w:sz w:val="24"/>
                <w:szCs w:val="24"/>
                <w:lang w:eastAsia="es-CR"/>
              </w:rPr>
              <w:t>Asunto: </w:t>
            </w:r>
            <w:r w:rsidRPr="006A1AF4">
              <w:rPr>
                <w:rFonts w:ascii="Times New Roman" w:eastAsia="Times New Roman" w:hAnsi="Times New Roman" w:cs="Times New Roman"/>
                <w:color w:val="000000"/>
                <w:sz w:val="24"/>
                <w:szCs w:val="24"/>
                <w:lang w:eastAsia="es-CR"/>
              </w:rPr>
              <w:t>Reiteración de la circular No 182-2005, sobre la “Obligación de brindar un trato preferencial a las personas con discapacidad, adultos mayores, menores de edad, indígenas, víctimas y personas con una situación especial”.-</w:t>
            </w:r>
          </w:p>
        </w:tc>
      </w:tr>
      <w:tr w:rsidR="006A1AF4" w:rsidRPr="006A1AF4" w14:paraId="3B6165D4" w14:textId="77777777" w:rsidTr="00215B50">
        <w:tc>
          <w:tcPr>
            <w:tcW w:w="4414" w:type="dxa"/>
          </w:tcPr>
          <w:p w14:paraId="7D861B8D" w14:textId="77777777" w:rsidR="006A1AF4" w:rsidRPr="006A1AF4" w:rsidRDefault="006A1AF4" w:rsidP="00DC20FF">
            <w:pPr>
              <w:pStyle w:val="resumen"/>
              <w:keepNext w:val="0"/>
              <w:widowControl w:val="0"/>
              <w:suppressAutoHyphens w:val="0"/>
              <w:rPr>
                <w:rFonts w:cs="Times New Roman"/>
                <w:sz w:val="24"/>
                <w:szCs w:val="24"/>
              </w:rPr>
            </w:pPr>
            <w:r w:rsidRPr="006A1AF4">
              <w:rPr>
                <w:rFonts w:cs="Times New Roman"/>
                <w:sz w:val="24"/>
                <w:szCs w:val="24"/>
              </w:rPr>
              <w:t>CIRCULAR No. 258-2021</w:t>
            </w:r>
          </w:p>
        </w:tc>
        <w:tc>
          <w:tcPr>
            <w:tcW w:w="4414" w:type="dxa"/>
          </w:tcPr>
          <w:p w14:paraId="1CDBE809" w14:textId="77777777" w:rsidR="006A1AF4" w:rsidRPr="006A1AF4" w:rsidRDefault="006A1AF4" w:rsidP="00DC20FF">
            <w:pPr>
              <w:pStyle w:val="NormalWeb"/>
              <w:widowControl w:val="0"/>
              <w:shd w:val="clear" w:color="auto" w:fill="FFFFFF"/>
              <w:spacing w:before="0" w:beforeAutospacing="0" w:after="0" w:afterAutospacing="0"/>
              <w:jc w:val="both"/>
              <w:rPr>
                <w:color w:val="000000"/>
              </w:rPr>
            </w:pPr>
            <w:r w:rsidRPr="006A1AF4">
              <w:rPr>
                <w:b/>
                <w:bCs/>
                <w:color w:val="000000"/>
              </w:rPr>
              <w:t>Asunto: </w:t>
            </w:r>
            <w:r w:rsidRPr="006A1AF4">
              <w:rPr>
                <w:color w:val="000000"/>
              </w:rPr>
              <w:t>Reiteración de la circular N° 174-2017 sobre </w:t>
            </w:r>
            <w:r w:rsidRPr="006A1AF4">
              <w:rPr>
                <w:i/>
                <w:iCs/>
                <w:color w:val="000000"/>
              </w:rPr>
              <w:t>“</w:t>
            </w:r>
            <w:r w:rsidRPr="006A1AF4">
              <w:rPr>
                <w:color w:val="000000"/>
              </w:rPr>
              <w:t>Reiteración de las circulares emitidas por la Corte Plena atinentes al </w:t>
            </w:r>
            <w:r w:rsidRPr="006A1AF4">
              <w:rPr>
                <w:i/>
                <w:iCs/>
                <w:color w:val="000000"/>
              </w:rPr>
              <w:t>“Acceso a la Justicia de las Personas en Vulnerabilidad Social</w:t>
            </w:r>
            <w:r w:rsidRPr="006A1AF4">
              <w:rPr>
                <w:color w:val="000000"/>
              </w:rPr>
              <w:t>”.-</w:t>
            </w:r>
          </w:p>
        </w:tc>
      </w:tr>
    </w:tbl>
    <w:p w14:paraId="228C5793" w14:textId="77777777" w:rsidR="006A1AF4" w:rsidRDefault="006A1AF4" w:rsidP="006A1AF4">
      <w:pPr>
        <w:pStyle w:val="NormalWeb"/>
        <w:shd w:val="clear" w:color="auto" w:fill="FFFFFF"/>
        <w:spacing w:before="0" w:beforeAutospacing="0" w:after="0" w:afterAutospacing="0"/>
        <w:jc w:val="both"/>
        <w:rPr>
          <w:color w:val="000000"/>
        </w:rPr>
      </w:pPr>
    </w:p>
    <w:p w14:paraId="0C03CE58" w14:textId="7E9AC942" w:rsidR="00FC5720" w:rsidRDefault="006F3284" w:rsidP="00FC57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Las anteriores circulare</w:t>
      </w:r>
      <w:r w:rsidR="006A1AF4">
        <w:rPr>
          <w:rFonts w:ascii="Times New Roman" w:hAnsi="Times New Roman" w:cs="Times New Roman"/>
          <w:sz w:val="24"/>
          <w:szCs w:val="24"/>
        </w:rPr>
        <w:t>s</w:t>
      </w:r>
      <w:r>
        <w:rPr>
          <w:rFonts w:ascii="Times New Roman" w:hAnsi="Times New Roman" w:cs="Times New Roman"/>
          <w:sz w:val="24"/>
          <w:szCs w:val="24"/>
        </w:rPr>
        <w:t xml:space="preserve"> se podrán </w:t>
      </w:r>
      <w:proofErr w:type="spellStart"/>
      <w:r>
        <w:rPr>
          <w:rFonts w:ascii="Times New Roman" w:hAnsi="Times New Roman" w:cs="Times New Roman"/>
          <w:sz w:val="24"/>
          <w:szCs w:val="24"/>
        </w:rPr>
        <w:t>accesar</w:t>
      </w:r>
      <w:proofErr w:type="spellEnd"/>
      <w:r>
        <w:rPr>
          <w:rFonts w:ascii="Times New Roman" w:hAnsi="Times New Roman" w:cs="Times New Roman"/>
          <w:sz w:val="24"/>
          <w:szCs w:val="24"/>
        </w:rPr>
        <w:t xml:space="preserve"> </w:t>
      </w:r>
      <w:r w:rsidR="00E537F0">
        <w:rPr>
          <w:rFonts w:ascii="Times New Roman" w:hAnsi="Times New Roman" w:cs="Times New Roman"/>
          <w:sz w:val="24"/>
          <w:szCs w:val="24"/>
        </w:rPr>
        <w:t>e</w:t>
      </w:r>
      <w:r>
        <w:rPr>
          <w:rFonts w:ascii="Times New Roman" w:hAnsi="Times New Roman" w:cs="Times New Roman"/>
          <w:sz w:val="24"/>
          <w:szCs w:val="24"/>
        </w:rPr>
        <w:t xml:space="preserve">n el </w:t>
      </w:r>
      <w:r w:rsidR="00E537F0">
        <w:rPr>
          <w:rFonts w:ascii="Times New Roman" w:hAnsi="Times New Roman" w:cs="Times New Roman"/>
          <w:sz w:val="24"/>
          <w:szCs w:val="24"/>
        </w:rPr>
        <w:t>siguiente link</w:t>
      </w:r>
      <w:r>
        <w:rPr>
          <w:rFonts w:ascii="Times New Roman" w:hAnsi="Times New Roman" w:cs="Times New Roman"/>
          <w:sz w:val="24"/>
          <w:szCs w:val="24"/>
        </w:rPr>
        <w:t>:</w:t>
      </w:r>
    </w:p>
    <w:p w14:paraId="1327E0B7" w14:textId="7BE48A25" w:rsidR="003E1AE4" w:rsidRDefault="003E1AE4" w:rsidP="00FC5720">
      <w:pPr>
        <w:spacing w:after="0" w:line="240" w:lineRule="auto"/>
        <w:jc w:val="both"/>
        <w:rPr>
          <w:rFonts w:ascii="Times New Roman" w:hAnsi="Times New Roman" w:cs="Times New Roman"/>
          <w:sz w:val="24"/>
          <w:szCs w:val="24"/>
        </w:rPr>
      </w:pPr>
    </w:p>
    <w:p w14:paraId="651A8C13" w14:textId="49671F50" w:rsidR="004B0E66" w:rsidRDefault="005E3093" w:rsidP="00FC5720">
      <w:pPr>
        <w:spacing w:after="0" w:line="240" w:lineRule="auto"/>
        <w:jc w:val="both"/>
        <w:rPr>
          <w:rFonts w:ascii="Times New Roman" w:eastAsia="Calibri" w:hAnsi="Times New Roman" w:cs="Times New Roman"/>
          <w:b/>
          <w:bCs/>
          <w:sz w:val="24"/>
          <w:szCs w:val="24"/>
          <w:lang w:eastAsia="es-CR"/>
        </w:rPr>
      </w:pPr>
      <w:hyperlink r:id="rId5" w:history="1">
        <w:r w:rsidR="004B0E66" w:rsidRPr="00D97235">
          <w:rPr>
            <w:rStyle w:val="Hipervnculo"/>
            <w:rFonts w:ascii="Calibri" w:hAnsi="Calibri" w:cs="Calibri"/>
          </w:rPr>
          <w:t>https://secretariacorte.poder-judicial.go.cr/index.php/documentos?download=5194:circulares-sobre-poblaciones-vulnerables</w:t>
        </w:r>
      </w:hyperlink>
    </w:p>
    <w:p w14:paraId="3431F88C" w14:textId="77777777" w:rsidR="004B0E66" w:rsidRDefault="004B0E66" w:rsidP="00FC5720">
      <w:pPr>
        <w:spacing w:after="0" w:line="240" w:lineRule="auto"/>
        <w:jc w:val="both"/>
        <w:rPr>
          <w:rFonts w:ascii="Times New Roman" w:eastAsia="Calibri" w:hAnsi="Times New Roman" w:cs="Times New Roman"/>
          <w:b/>
          <w:bCs/>
          <w:sz w:val="24"/>
          <w:szCs w:val="24"/>
          <w:lang w:eastAsia="es-CR"/>
        </w:rPr>
      </w:pPr>
    </w:p>
    <w:p w14:paraId="384ED455" w14:textId="77777777" w:rsidR="00DC20FF" w:rsidRDefault="00FC5720" w:rsidP="00FC5720">
      <w:pPr>
        <w:spacing w:after="0" w:line="240" w:lineRule="auto"/>
        <w:jc w:val="both"/>
        <w:rPr>
          <w:rFonts w:ascii="Times New Roman" w:eastAsia="Calibri" w:hAnsi="Times New Roman" w:cs="Times New Roman"/>
          <w:b/>
          <w:bCs/>
          <w:sz w:val="24"/>
          <w:szCs w:val="24"/>
          <w:lang w:eastAsia="es-CR"/>
        </w:rPr>
      </w:pPr>
      <w:r w:rsidRPr="00131A39">
        <w:rPr>
          <w:rFonts w:ascii="Times New Roman" w:eastAsia="Calibri" w:hAnsi="Times New Roman" w:cs="Times New Roman"/>
          <w:b/>
          <w:bCs/>
          <w:sz w:val="24"/>
          <w:szCs w:val="24"/>
          <w:lang w:eastAsia="es-CR"/>
        </w:rPr>
        <w:t>De conformidad con la circular N° 67-09 emitida por la Secretaría de la Corte el 22 de junio de 2009, se comunica que en virtud del principio de gratuidad que rige esta materia, la publicación está exenta de todo pago de derechos.</w:t>
      </w:r>
    </w:p>
    <w:p w14:paraId="0839E5D6" w14:textId="433485BD" w:rsidR="00FC5720" w:rsidRPr="00131A39" w:rsidRDefault="00FC5720" w:rsidP="00FC5720">
      <w:pPr>
        <w:spacing w:after="0" w:line="240" w:lineRule="auto"/>
        <w:jc w:val="both"/>
        <w:rPr>
          <w:rFonts w:ascii="Times New Roman" w:eastAsia="Calibri" w:hAnsi="Times New Roman" w:cs="Times New Roman"/>
          <w:b/>
          <w:bCs/>
          <w:sz w:val="24"/>
          <w:szCs w:val="24"/>
          <w:lang w:eastAsia="es-CR"/>
        </w:rPr>
      </w:pPr>
      <w:r w:rsidRPr="00131A39">
        <w:rPr>
          <w:rFonts w:ascii="Times New Roman" w:eastAsia="Calibri" w:hAnsi="Times New Roman" w:cs="Times New Roman"/>
          <w:b/>
          <w:bCs/>
          <w:sz w:val="24"/>
          <w:szCs w:val="24"/>
          <w:lang w:eastAsia="es-CR"/>
        </w:rPr>
        <w:t>Publíquese una sola vez en el Boletín Judicial.</w:t>
      </w:r>
    </w:p>
    <w:p w14:paraId="3032EBE1" w14:textId="77777777" w:rsidR="00FC5720" w:rsidRPr="00131A39" w:rsidRDefault="00FC5720" w:rsidP="00FC5720">
      <w:pPr>
        <w:spacing w:after="0" w:line="240" w:lineRule="auto"/>
        <w:jc w:val="both"/>
        <w:rPr>
          <w:rFonts w:ascii="Times New Roman" w:eastAsia="Calibri" w:hAnsi="Times New Roman" w:cs="Times New Roman"/>
          <w:b/>
          <w:bCs/>
          <w:sz w:val="24"/>
          <w:szCs w:val="24"/>
          <w:lang w:eastAsia="es-CR"/>
        </w:rPr>
      </w:pPr>
    </w:p>
    <w:p w14:paraId="2C8FE5DD" w14:textId="6A046AD3" w:rsidR="00FC5720" w:rsidRPr="00131A39" w:rsidRDefault="00FC5720" w:rsidP="00FC5720">
      <w:pPr>
        <w:autoSpaceDE w:val="0"/>
        <w:autoSpaceDN w:val="0"/>
        <w:spacing w:after="0" w:line="240" w:lineRule="auto"/>
        <w:jc w:val="both"/>
        <w:rPr>
          <w:rFonts w:ascii="Times New Roman" w:hAnsi="Times New Roman" w:cs="Times New Roman"/>
          <w:sz w:val="24"/>
          <w:szCs w:val="24"/>
          <w:lang w:val="es-ES" w:eastAsia="es-ES"/>
        </w:rPr>
      </w:pPr>
      <w:r w:rsidRPr="00131A39">
        <w:rPr>
          <w:rFonts w:ascii="Times New Roman" w:hAnsi="Times New Roman" w:cs="Times New Roman"/>
          <w:b/>
          <w:bCs/>
          <w:sz w:val="24"/>
          <w:szCs w:val="24"/>
          <w:lang w:val="es-ES" w:eastAsia="es-CR"/>
        </w:rPr>
        <w:t xml:space="preserve">San José, </w:t>
      </w:r>
      <w:r w:rsidR="001A77FA">
        <w:rPr>
          <w:rFonts w:ascii="Times New Roman" w:hAnsi="Times New Roman" w:cs="Times New Roman"/>
          <w:b/>
          <w:bCs/>
          <w:sz w:val="24"/>
          <w:szCs w:val="24"/>
          <w:lang w:val="es-ES" w:eastAsia="es-CR"/>
        </w:rPr>
        <w:t>27</w:t>
      </w:r>
      <w:r w:rsidRPr="00131A39">
        <w:rPr>
          <w:rFonts w:ascii="Times New Roman" w:hAnsi="Times New Roman" w:cs="Times New Roman"/>
          <w:b/>
          <w:bCs/>
          <w:sz w:val="24"/>
          <w:szCs w:val="24"/>
          <w:lang w:val="es-ES" w:eastAsia="es-CR"/>
        </w:rPr>
        <w:t xml:space="preserve"> de enero de 2022</w:t>
      </w:r>
    </w:p>
    <w:p w14:paraId="277221EF" w14:textId="77777777" w:rsidR="00FC5720" w:rsidRPr="00383424" w:rsidRDefault="00FC5720" w:rsidP="00FC5720">
      <w:pPr>
        <w:spacing w:after="0" w:line="240" w:lineRule="auto"/>
        <w:jc w:val="both"/>
        <w:rPr>
          <w:rFonts w:ascii="Times New Roman" w:hAnsi="Times New Roman" w:cs="Times New Roman"/>
          <w:b/>
          <w:bCs/>
          <w:sz w:val="24"/>
          <w:szCs w:val="24"/>
          <w:lang w:val="es-ES" w:eastAsia="es-CR"/>
        </w:rPr>
      </w:pPr>
    </w:p>
    <w:p w14:paraId="608C8EB6" w14:textId="77777777" w:rsidR="00FC5720" w:rsidRPr="006132AF" w:rsidRDefault="00FC5720" w:rsidP="00FC5720">
      <w:pPr>
        <w:pStyle w:val="Ttulo51"/>
        <w:keepNext w:val="0"/>
        <w:tabs>
          <w:tab w:val="clear" w:pos="0"/>
          <w:tab w:val="left" w:pos="708"/>
        </w:tabs>
        <w:ind w:left="851" w:right="851"/>
        <w:rPr>
          <w:rFonts w:eastAsia="Times New Roman"/>
          <w:i w:val="0"/>
          <w:iCs w:val="0"/>
          <w:sz w:val="23"/>
          <w:szCs w:val="23"/>
          <w:u w:val="none"/>
        </w:rPr>
      </w:pPr>
      <w:r>
        <w:rPr>
          <w:rFonts w:eastAsia="Times New Roman"/>
          <w:i w:val="0"/>
          <w:iCs w:val="0"/>
          <w:sz w:val="23"/>
          <w:szCs w:val="23"/>
          <w:u w:val="none"/>
        </w:rPr>
        <w:t>Msc.</w:t>
      </w:r>
      <w:r w:rsidRPr="006132AF">
        <w:rPr>
          <w:rFonts w:eastAsia="Times New Roman"/>
          <w:i w:val="0"/>
          <w:iCs w:val="0"/>
          <w:sz w:val="23"/>
          <w:szCs w:val="23"/>
          <w:u w:val="none"/>
        </w:rPr>
        <w:t xml:space="preserve"> </w:t>
      </w:r>
      <w:r>
        <w:rPr>
          <w:rFonts w:eastAsia="Times New Roman"/>
          <w:i w:val="0"/>
          <w:iCs w:val="0"/>
          <w:sz w:val="23"/>
          <w:szCs w:val="23"/>
          <w:u w:val="none"/>
        </w:rPr>
        <w:t>Irving Vargas Rodríguez</w:t>
      </w:r>
    </w:p>
    <w:p w14:paraId="0B4BC180" w14:textId="77777777" w:rsidR="00FC5720" w:rsidRPr="006132AF" w:rsidRDefault="00FC5720" w:rsidP="00FC5720">
      <w:pPr>
        <w:pStyle w:val="Ttulo51"/>
        <w:keepNext w:val="0"/>
        <w:tabs>
          <w:tab w:val="clear" w:pos="0"/>
          <w:tab w:val="left" w:pos="708"/>
        </w:tabs>
        <w:ind w:left="851" w:right="851"/>
        <w:rPr>
          <w:rFonts w:eastAsia="Times New Roman"/>
          <w:i w:val="0"/>
          <w:iCs w:val="0"/>
          <w:sz w:val="23"/>
          <w:szCs w:val="23"/>
          <w:u w:val="none"/>
        </w:rPr>
      </w:pPr>
      <w:r w:rsidRPr="006132AF">
        <w:rPr>
          <w:rFonts w:eastAsia="Times New Roman"/>
          <w:i w:val="0"/>
          <w:iCs w:val="0"/>
          <w:sz w:val="23"/>
          <w:szCs w:val="23"/>
          <w:u w:val="none"/>
        </w:rPr>
        <w:t>Subsecretario General interino</w:t>
      </w:r>
    </w:p>
    <w:p w14:paraId="744AF5C2" w14:textId="77777777" w:rsidR="00FC5720" w:rsidRPr="006132AF" w:rsidRDefault="00FC5720" w:rsidP="00FC5720">
      <w:pPr>
        <w:ind w:left="851" w:right="851"/>
        <w:jc w:val="center"/>
        <w:rPr>
          <w:rFonts w:ascii="Times New Roman" w:hAnsi="Times New Roman"/>
          <w:b/>
          <w:bCs/>
          <w:sz w:val="23"/>
          <w:szCs w:val="23"/>
          <w:lang w:val="es-ES" w:eastAsia="ar-SA"/>
        </w:rPr>
      </w:pPr>
      <w:r w:rsidRPr="006132AF">
        <w:rPr>
          <w:rFonts w:ascii="Times New Roman" w:hAnsi="Times New Roman"/>
          <w:b/>
          <w:bCs/>
          <w:sz w:val="23"/>
          <w:szCs w:val="23"/>
          <w:lang w:val="es-ES" w:eastAsia="ar-SA"/>
        </w:rPr>
        <w:t>Corte Suprema de Justicia</w:t>
      </w:r>
    </w:p>
    <w:p w14:paraId="7AC2FE65" w14:textId="7C833494" w:rsidR="00FC5720" w:rsidRPr="00383424" w:rsidRDefault="00FC5720" w:rsidP="00FC5720">
      <w:pPr>
        <w:spacing w:after="0" w:line="240" w:lineRule="auto"/>
        <w:jc w:val="both"/>
        <w:rPr>
          <w:rFonts w:ascii="Times New Roman" w:hAnsi="Times New Roman" w:cs="Times New Roman"/>
          <w:sz w:val="24"/>
          <w:szCs w:val="24"/>
          <w:lang w:val="es-ES"/>
        </w:rPr>
      </w:pPr>
      <w:proofErr w:type="spellStart"/>
      <w:r w:rsidRPr="00383424">
        <w:rPr>
          <w:rFonts w:ascii="Times New Roman" w:hAnsi="Times New Roman" w:cs="Times New Roman"/>
          <w:sz w:val="24"/>
          <w:szCs w:val="24"/>
          <w:lang w:val="es-ES"/>
        </w:rPr>
        <w:t>Refs</w:t>
      </w:r>
      <w:proofErr w:type="spellEnd"/>
      <w:r w:rsidRPr="00383424">
        <w:rPr>
          <w:rFonts w:ascii="Times New Roman" w:hAnsi="Times New Roman" w:cs="Times New Roman"/>
          <w:sz w:val="24"/>
          <w:szCs w:val="24"/>
          <w:lang w:val="es-ES"/>
        </w:rPr>
        <w:t>: (</w:t>
      </w:r>
      <w:r>
        <w:rPr>
          <w:rFonts w:ascii="Times New Roman" w:hAnsi="Times New Roman" w:cs="Times New Roman"/>
          <w:sz w:val="24"/>
          <w:szCs w:val="24"/>
          <w:lang w:val="es-ES"/>
        </w:rPr>
        <w:t>13473-21</w:t>
      </w:r>
      <w:r w:rsidRPr="00383424">
        <w:rPr>
          <w:rFonts w:ascii="Times New Roman" w:hAnsi="Times New Roman" w:cs="Times New Roman"/>
          <w:sz w:val="24"/>
          <w:szCs w:val="24"/>
          <w:lang w:val="es-ES"/>
        </w:rPr>
        <w:t xml:space="preserve">) </w:t>
      </w:r>
    </w:p>
    <w:p w14:paraId="25A670B0" w14:textId="77777777" w:rsidR="00FC5720" w:rsidRPr="00383424" w:rsidRDefault="00FC5720" w:rsidP="00FC5720">
      <w:pPr>
        <w:spacing w:after="0" w:line="240" w:lineRule="auto"/>
        <w:jc w:val="both"/>
        <w:rPr>
          <w:rFonts w:ascii="Times New Roman" w:hAnsi="Times New Roman" w:cs="Times New Roman"/>
          <w:sz w:val="24"/>
          <w:szCs w:val="24"/>
        </w:rPr>
      </w:pPr>
      <w:r>
        <w:rPr>
          <w:rFonts w:ascii="Times New Roman" w:hAnsi="Times New Roman" w:cs="Times New Roman"/>
          <w:bCs/>
          <w:i/>
          <w:iCs/>
          <w:sz w:val="24"/>
          <w:szCs w:val="24"/>
          <w:lang w:val="es-ES"/>
        </w:rPr>
        <w:t>Randall Orozco S.</w:t>
      </w:r>
    </w:p>
    <w:p w14:paraId="47F47504" w14:textId="77777777" w:rsidR="00FC5720" w:rsidRPr="00FC5720" w:rsidRDefault="00FC5720" w:rsidP="00FC5720"/>
    <w:sectPr w:rsidR="00FC5720" w:rsidRPr="00FC5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17D71"/>
    <w:multiLevelType w:val="multilevel"/>
    <w:tmpl w:val="4822B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02C7F"/>
    <w:multiLevelType w:val="multilevel"/>
    <w:tmpl w:val="A3C42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E22D5"/>
    <w:multiLevelType w:val="multilevel"/>
    <w:tmpl w:val="112E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B42"/>
    <w:multiLevelType w:val="multilevel"/>
    <w:tmpl w:val="3A5EAF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43280"/>
    <w:multiLevelType w:val="multilevel"/>
    <w:tmpl w:val="515EE9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CA360D"/>
    <w:multiLevelType w:val="multilevel"/>
    <w:tmpl w:val="B9069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C13786"/>
    <w:multiLevelType w:val="multilevel"/>
    <w:tmpl w:val="B8762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1C73BC"/>
    <w:multiLevelType w:val="multilevel"/>
    <w:tmpl w:val="8530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452E01"/>
    <w:multiLevelType w:val="multilevel"/>
    <w:tmpl w:val="2EA60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7436E1"/>
    <w:multiLevelType w:val="multilevel"/>
    <w:tmpl w:val="2DB4D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9E565F"/>
    <w:multiLevelType w:val="multilevel"/>
    <w:tmpl w:val="602CD3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F02E2E"/>
    <w:multiLevelType w:val="multilevel"/>
    <w:tmpl w:val="C3F292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5247CB"/>
    <w:multiLevelType w:val="multilevel"/>
    <w:tmpl w:val="FA16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D14A3A"/>
    <w:multiLevelType w:val="multilevel"/>
    <w:tmpl w:val="ACCC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2F5A82"/>
    <w:multiLevelType w:val="multilevel"/>
    <w:tmpl w:val="F106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904BCB"/>
    <w:multiLevelType w:val="multilevel"/>
    <w:tmpl w:val="D13C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193F73"/>
    <w:multiLevelType w:val="multilevel"/>
    <w:tmpl w:val="9D1E04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67688E"/>
    <w:multiLevelType w:val="multilevel"/>
    <w:tmpl w:val="C7F812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157BFD"/>
    <w:multiLevelType w:val="multilevel"/>
    <w:tmpl w:val="BE56A3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372175"/>
    <w:multiLevelType w:val="multilevel"/>
    <w:tmpl w:val="9B2A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D8463B"/>
    <w:multiLevelType w:val="multilevel"/>
    <w:tmpl w:val="327070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0339D7"/>
    <w:multiLevelType w:val="multilevel"/>
    <w:tmpl w:val="7428B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8405A9"/>
    <w:multiLevelType w:val="multilevel"/>
    <w:tmpl w:val="CDB653C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29A5536"/>
    <w:multiLevelType w:val="multilevel"/>
    <w:tmpl w:val="69E61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663341"/>
    <w:multiLevelType w:val="multilevel"/>
    <w:tmpl w:val="1AFA4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C01967"/>
    <w:multiLevelType w:val="multilevel"/>
    <w:tmpl w:val="60F6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5F812CC"/>
    <w:multiLevelType w:val="multilevel"/>
    <w:tmpl w:val="939E87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61D1D09"/>
    <w:multiLevelType w:val="multilevel"/>
    <w:tmpl w:val="0D526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753020D"/>
    <w:multiLevelType w:val="multilevel"/>
    <w:tmpl w:val="AA20F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E74048"/>
    <w:multiLevelType w:val="multilevel"/>
    <w:tmpl w:val="99AA9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820321B"/>
    <w:multiLevelType w:val="multilevel"/>
    <w:tmpl w:val="F0A8FB90"/>
    <w:lvl w:ilvl="0">
      <w:start w:val="6"/>
      <w:numFmt w:val="lowerLetter"/>
      <w:lvlText w:val="%1."/>
      <w:lvlJc w:val="left"/>
      <w:pPr>
        <w:tabs>
          <w:tab w:val="num" w:pos="720"/>
        </w:tabs>
        <w:ind w:left="720" w:hanging="360"/>
      </w:pPr>
    </w:lvl>
    <w:lvl w:ilvl="1">
      <w:start w:val="6"/>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8507B1B"/>
    <w:multiLevelType w:val="multilevel"/>
    <w:tmpl w:val="2A22A0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8524694"/>
    <w:multiLevelType w:val="multilevel"/>
    <w:tmpl w:val="9CC8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9952403"/>
    <w:multiLevelType w:val="multilevel"/>
    <w:tmpl w:val="927AE5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9BB5AA5"/>
    <w:multiLevelType w:val="multilevel"/>
    <w:tmpl w:val="633C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A863FCE"/>
    <w:multiLevelType w:val="multilevel"/>
    <w:tmpl w:val="F8A8D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B1827E6"/>
    <w:multiLevelType w:val="multilevel"/>
    <w:tmpl w:val="A60A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B251C28"/>
    <w:multiLevelType w:val="multilevel"/>
    <w:tmpl w:val="DB1687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C2D0DE9"/>
    <w:multiLevelType w:val="multilevel"/>
    <w:tmpl w:val="B7B668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CED5ABB"/>
    <w:multiLevelType w:val="multilevel"/>
    <w:tmpl w:val="285E12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EF8524F"/>
    <w:multiLevelType w:val="multilevel"/>
    <w:tmpl w:val="E6B086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F09429F"/>
    <w:multiLevelType w:val="multilevel"/>
    <w:tmpl w:val="0D1C28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F8A1C47"/>
    <w:multiLevelType w:val="multilevel"/>
    <w:tmpl w:val="0AE41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FB646AA"/>
    <w:multiLevelType w:val="multilevel"/>
    <w:tmpl w:val="5658E0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0C83ECD"/>
    <w:multiLevelType w:val="multilevel"/>
    <w:tmpl w:val="231E9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1D92B8A"/>
    <w:multiLevelType w:val="multilevel"/>
    <w:tmpl w:val="2BCA4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2C92967"/>
    <w:multiLevelType w:val="multilevel"/>
    <w:tmpl w:val="20664D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3844959"/>
    <w:multiLevelType w:val="multilevel"/>
    <w:tmpl w:val="1DD246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40050DA"/>
    <w:multiLevelType w:val="multilevel"/>
    <w:tmpl w:val="22404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42E23B3"/>
    <w:multiLevelType w:val="multilevel"/>
    <w:tmpl w:val="9A08B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454639D"/>
    <w:multiLevelType w:val="multilevel"/>
    <w:tmpl w:val="AB569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5A615E9"/>
    <w:multiLevelType w:val="multilevel"/>
    <w:tmpl w:val="A07416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624683C"/>
    <w:multiLevelType w:val="multilevel"/>
    <w:tmpl w:val="4A88B966"/>
    <w:lvl w:ilvl="0">
      <w:start w:val="5"/>
      <w:numFmt w:val="lowerLetter"/>
      <w:lvlText w:val="%1."/>
      <w:lvlJc w:val="left"/>
      <w:pPr>
        <w:tabs>
          <w:tab w:val="num" w:pos="720"/>
        </w:tabs>
        <w:ind w:left="720" w:hanging="360"/>
      </w:pPr>
    </w:lvl>
    <w:lvl w:ilvl="1">
      <w:start w:val="5"/>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26A66D5C"/>
    <w:multiLevelType w:val="multilevel"/>
    <w:tmpl w:val="4FBE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7494A1F"/>
    <w:multiLevelType w:val="multilevel"/>
    <w:tmpl w:val="9CF0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74E10E1"/>
    <w:multiLevelType w:val="multilevel"/>
    <w:tmpl w:val="87427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882463D"/>
    <w:multiLevelType w:val="multilevel"/>
    <w:tmpl w:val="C0CE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8BA2751"/>
    <w:multiLevelType w:val="multilevel"/>
    <w:tmpl w:val="02E08D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90617EC"/>
    <w:multiLevelType w:val="multilevel"/>
    <w:tmpl w:val="C446573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90A11C8"/>
    <w:multiLevelType w:val="multilevel"/>
    <w:tmpl w:val="B3B6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97F275A"/>
    <w:multiLevelType w:val="multilevel"/>
    <w:tmpl w:val="A59A7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C5D30ED"/>
    <w:multiLevelType w:val="multilevel"/>
    <w:tmpl w:val="79BC8D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E1B0A8D"/>
    <w:multiLevelType w:val="multilevel"/>
    <w:tmpl w:val="05A03A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0573E88"/>
    <w:multiLevelType w:val="multilevel"/>
    <w:tmpl w:val="3BDCD3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10B20D0"/>
    <w:multiLevelType w:val="multilevel"/>
    <w:tmpl w:val="F060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3283112"/>
    <w:multiLevelType w:val="multilevel"/>
    <w:tmpl w:val="7342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39E79EB"/>
    <w:multiLevelType w:val="multilevel"/>
    <w:tmpl w:val="F00A6E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4B25633"/>
    <w:multiLevelType w:val="multilevel"/>
    <w:tmpl w:val="699A9B6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4C40E43"/>
    <w:multiLevelType w:val="multilevel"/>
    <w:tmpl w:val="BD40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4F84D20"/>
    <w:multiLevelType w:val="multilevel"/>
    <w:tmpl w:val="FCDE8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4FE2C6B"/>
    <w:multiLevelType w:val="multilevel"/>
    <w:tmpl w:val="74FA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5385B52"/>
    <w:multiLevelType w:val="multilevel"/>
    <w:tmpl w:val="623613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79D4380"/>
    <w:multiLevelType w:val="multilevel"/>
    <w:tmpl w:val="75C6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86D6BFF"/>
    <w:multiLevelType w:val="multilevel"/>
    <w:tmpl w:val="D4EE563C"/>
    <w:lvl w:ilvl="0">
      <w:start w:val="7"/>
      <w:numFmt w:val="lowerLetter"/>
      <w:lvlText w:val="%1."/>
      <w:lvlJc w:val="left"/>
      <w:pPr>
        <w:tabs>
          <w:tab w:val="num" w:pos="720"/>
        </w:tabs>
        <w:ind w:left="720" w:hanging="360"/>
      </w:pPr>
    </w:lvl>
    <w:lvl w:ilvl="1">
      <w:start w:val="7"/>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3A4F307A"/>
    <w:multiLevelType w:val="multilevel"/>
    <w:tmpl w:val="C72C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B0C6920"/>
    <w:multiLevelType w:val="multilevel"/>
    <w:tmpl w:val="9BAC7C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B2E06F3"/>
    <w:multiLevelType w:val="multilevel"/>
    <w:tmpl w:val="7E144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BE45D0C"/>
    <w:multiLevelType w:val="multilevel"/>
    <w:tmpl w:val="9DDC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BEC1B96"/>
    <w:multiLevelType w:val="multilevel"/>
    <w:tmpl w:val="E8B4F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C7760BF"/>
    <w:multiLevelType w:val="multilevel"/>
    <w:tmpl w:val="99EE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DFC1B78"/>
    <w:multiLevelType w:val="multilevel"/>
    <w:tmpl w:val="08E0E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1481D3E"/>
    <w:multiLevelType w:val="multilevel"/>
    <w:tmpl w:val="11D8E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1DB37AF"/>
    <w:multiLevelType w:val="multilevel"/>
    <w:tmpl w:val="E7E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20505AC"/>
    <w:multiLevelType w:val="multilevel"/>
    <w:tmpl w:val="7BDAFA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2475001"/>
    <w:multiLevelType w:val="multilevel"/>
    <w:tmpl w:val="114CD6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3AE3668"/>
    <w:multiLevelType w:val="multilevel"/>
    <w:tmpl w:val="D032BF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3DC160A"/>
    <w:multiLevelType w:val="multilevel"/>
    <w:tmpl w:val="73D078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4302601"/>
    <w:multiLevelType w:val="multilevel"/>
    <w:tmpl w:val="6CE654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433128B"/>
    <w:multiLevelType w:val="multilevel"/>
    <w:tmpl w:val="2718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4CD3007"/>
    <w:multiLevelType w:val="multilevel"/>
    <w:tmpl w:val="5074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7DE4B03"/>
    <w:multiLevelType w:val="multilevel"/>
    <w:tmpl w:val="CBEA6A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81C2262"/>
    <w:multiLevelType w:val="multilevel"/>
    <w:tmpl w:val="98F4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9504507"/>
    <w:multiLevelType w:val="multilevel"/>
    <w:tmpl w:val="DE867B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9580C31"/>
    <w:multiLevelType w:val="multilevel"/>
    <w:tmpl w:val="B8E850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9865D94"/>
    <w:multiLevelType w:val="multilevel"/>
    <w:tmpl w:val="78B6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AB41616"/>
    <w:multiLevelType w:val="multilevel"/>
    <w:tmpl w:val="111467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B176C62"/>
    <w:multiLevelType w:val="multilevel"/>
    <w:tmpl w:val="7CCC4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F066ED4"/>
    <w:multiLevelType w:val="multilevel"/>
    <w:tmpl w:val="FE3E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F344F77"/>
    <w:multiLevelType w:val="multilevel"/>
    <w:tmpl w:val="91E0C8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1101CE2"/>
    <w:multiLevelType w:val="multilevel"/>
    <w:tmpl w:val="8494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2110E46"/>
    <w:multiLevelType w:val="multilevel"/>
    <w:tmpl w:val="6B06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2DD20AD"/>
    <w:multiLevelType w:val="multilevel"/>
    <w:tmpl w:val="824E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37B5325"/>
    <w:multiLevelType w:val="multilevel"/>
    <w:tmpl w:val="EA2AD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42018AC"/>
    <w:multiLevelType w:val="multilevel"/>
    <w:tmpl w:val="8A4C1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57B1BDE"/>
    <w:multiLevelType w:val="multilevel"/>
    <w:tmpl w:val="99225C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600142E"/>
    <w:multiLevelType w:val="multilevel"/>
    <w:tmpl w:val="C31246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15:restartNumberingAfterBreak="0">
    <w:nsid w:val="565B38F5"/>
    <w:multiLevelType w:val="multilevel"/>
    <w:tmpl w:val="837C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76C1529"/>
    <w:multiLevelType w:val="multilevel"/>
    <w:tmpl w:val="0CDEF3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774433E"/>
    <w:multiLevelType w:val="multilevel"/>
    <w:tmpl w:val="A2AA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84214FE"/>
    <w:multiLevelType w:val="multilevel"/>
    <w:tmpl w:val="00A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A4A0490"/>
    <w:multiLevelType w:val="multilevel"/>
    <w:tmpl w:val="84A88F32"/>
    <w:lvl w:ilvl="0">
      <w:start w:val="3"/>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5B1C15E7"/>
    <w:multiLevelType w:val="multilevel"/>
    <w:tmpl w:val="F3D60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B826452"/>
    <w:multiLevelType w:val="multilevel"/>
    <w:tmpl w:val="BE0A1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B871FE3"/>
    <w:multiLevelType w:val="multilevel"/>
    <w:tmpl w:val="0EEE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C40556F"/>
    <w:multiLevelType w:val="multilevel"/>
    <w:tmpl w:val="965A92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5" w15:restartNumberingAfterBreak="0">
    <w:nsid w:val="5CFA2923"/>
    <w:multiLevelType w:val="multilevel"/>
    <w:tmpl w:val="983A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E720125"/>
    <w:multiLevelType w:val="multilevel"/>
    <w:tmpl w:val="4554F9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15:restartNumberingAfterBreak="0">
    <w:nsid w:val="60392BB6"/>
    <w:multiLevelType w:val="multilevel"/>
    <w:tmpl w:val="2E7465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05E3F8C"/>
    <w:multiLevelType w:val="multilevel"/>
    <w:tmpl w:val="1982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1181D0B"/>
    <w:multiLevelType w:val="multilevel"/>
    <w:tmpl w:val="E7C4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1BF335A"/>
    <w:multiLevelType w:val="multilevel"/>
    <w:tmpl w:val="7DCA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3091240"/>
    <w:multiLevelType w:val="multilevel"/>
    <w:tmpl w:val="AF04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39F09B2"/>
    <w:multiLevelType w:val="multilevel"/>
    <w:tmpl w:val="56BA9F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4C06CF7"/>
    <w:multiLevelType w:val="multilevel"/>
    <w:tmpl w:val="FEF0E4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4D16704"/>
    <w:multiLevelType w:val="multilevel"/>
    <w:tmpl w:val="A66643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4EE4847"/>
    <w:multiLevelType w:val="multilevel"/>
    <w:tmpl w:val="1E783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5357277"/>
    <w:multiLevelType w:val="multilevel"/>
    <w:tmpl w:val="3A3C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55963F5"/>
    <w:multiLevelType w:val="multilevel"/>
    <w:tmpl w:val="FE5A8A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56D59DF"/>
    <w:multiLevelType w:val="multilevel"/>
    <w:tmpl w:val="F188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8B526CA"/>
    <w:multiLevelType w:val="multilevel"/>
    <w:tmpl w:val="A9EA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8FF3FF7"/>
    <w:multiLevelType w:val="multilevel"/>
    <w:tmpl w:val="672C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AA61E9E"/>
    <w:multiLevelType w:val="multilevel"/>
    <w:tmpl w:val="7DCED5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AF87D90"/>
    <w:multiLevelType w:val="multilevel"/>
    <w:tmpl w:val="B22A8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C7225A6"/>
    <w:multiLevelType w:val="multilevel"/>
    <w:tmpl w:val="0B148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D0A6E07"/>
    <w:multiLevelType w:val="multilevel"/>
    <w:tmpl w:val="7DC8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6D9A0039"/>
    <w:multiLevelType w:val="multilevel"/>
    <w:tmpl w:val="6C0ED0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E2C6E78"/>
    <w:multiLevelType w:val="multilevel"/>
    <w:tmpl w:val="6372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E8D61DF"/>
    <w:multiLevelType w:val="multilevel"/>
    <w:tmpl w:val="D424FD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F2F2838"/>
    <w:multiLevelType w:val="multilevel"/>
    <w:tmpl w:val="711260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0925C16"/>
    <w:multiLevelType w:val="multilevel"/>
    <w:tmpl w:val="E272C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0DA1EBF"/>
    <w:multiLevelType w:val="multilevel"/>
    <w:tmpl w:val="64FC9518"/>
    <w:lvl w:ilvl="0">
      <w:start w:val="4"/>
      <w:numFmt w:val="lowerLetter"/>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71BF0D7B"/>
    <w:multiLevelType w:val="multilevel"/>
    <w:tmpl w:val="91B2E752"/>
    <w:lvl w:ilvl="0">
      <w:start w:val="2"/>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728F2CA1"/>
    <w:multiLevelType w:val="multilevel"/>
    <w:tmpl w:val="A0901B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72DF23DB"/>
    <w:multiLevelType w:val="multilevel"/>
    <w:tmpl w:val="7430BB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42A4277"/>
    <w:multiLevelType w:val="multilevel"/>
    <w:tmpl w:val="15B625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5" w15:restartNumberingAfterBreak="0">
    <w:nsid w:val="7453775B"/>
    <w:multiLevelType w:val="multilevel"/>
    <w:tmpl w:val="7E38D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58B3979"/>
    <w:multiLevelType w:val="multilevel"/>
    <w:tmpl w:val="0B5AD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5A632A3"/>
    <w:multiLevelType w:val="multilevel"/>
    <w:tmpl w:val="C96EF3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618397E"/>
    <w:multiLevelType w:val="multilevel"/>
    <w:tmpl w:val="BAAE15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80351E2"/>
    <w:multiLevelType w:val="multilevel"/>
    <w:tmpl w:val="06F0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A7769DF"/>
    <w:multiLevelType w:val="multilevel"/>
    <w:tmpl w:val="A028D0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1" w15:restartNumberingAfterBreak="0">
    <w:nsid w:val="7A804127"/>
    <w:multiLevelType w:val="multilevel"/>
    <w:tmpl w:val="64FC9B8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AC53ABA"/>
    <w:multiLevelType w:val="multilevel"/>
    <w:tmpl w:val="6748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AD5038B"/>
    <w:multiLevelType w:val="multilevel"/>
    <w:tmpl w:val="1DFEEF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B566B0A"/>
    <w:multiLevelType w:val="multilevel"/>
    <w:tmpl w:val="48D0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7BAE0BC3"/>
    <w:multiLevelType w:val="multilevel"/>
    <w:tmpl w:val="F294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C4F27C1"/>
    <w:multiLevelType w:val="multilevel"/>
    <w:tmpl w:val="C83C2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C5F1681"/>
    <w:multiLevelType w:val="multilevel"/>
    <w:tmpl w:val="F010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CAE005C"/>
    <w:multiLevelType w:val="multilevel"/>
    <w:tmpl w:val="DECCC5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D562FE4"/>
    <w:multiLevelType w:val="multilevel"/>
    <w:tmpl w:val="0158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9"/>
  </w:num>
  <w:num w:numId="2">
    <w:abstractNumId w:val="99"/>
  </w:num>
  <w:num w:numId="3">
    <w:abstractNumId w:val="13"/>
  </w:num>
  <w:num w:numId="4">
    <w:abstractNumId w:val="20"/>
  </w:num>
  <w:num w:numId="5">
    <w:abstractNumId w:val="16"/>
  </w:num>
  <w:num w:numId="6">
    <w:abstractNumId w:val="138"/>
  </w:num>
  <w:num w:numId="7">
    <w:abstractNumId w:val="34"/>
  </w:num>
  <w:num w:numId="8">
    <w:abstractNumId w:val="142"/>
  </w:num>
  <w:num w:numId="9">
    <w:abstractNumId w:val="141"/>
  </w:num>
  <w:num w:numId="10">
    <w:abstractNumId w:val="110"/>
  </w:num>
  <w:num w:numId="11">
    <w:abstractNumId w:val="140"/>
  </w:num>
  <w:num w:numId="12">
    <w:abstractNumId w:val="52"/>
  </w:num>
  <w:num w:numId="13">
    <w:abstractNumId w:val="30"/>
  </w:num>
  <w:num w:numId="14">
    <w:abstractNumId w:val="73"/>
  </w:num>
  <w:num w:numId="15">
    <w:abstractNumId w:val="45"/>
  </w:num>
  <w:num w:numId="16">
    <w:abstractNumId w:val="96"/>
  </w:num>
  <w:num w:numId="17">
    <w:abstractNumId w:val="55"/>
  </w:num>
  <w:num w:numId="18">
    <w:abstractNumId w:val="90"/>
  </w:num>
  <w:num w:numId="19">
    <w:abstractNumId w:val="8"/>
  </w:num>
  <w:num w:numId="20">
    <w:abstractNumId w:val="95"/>
  </w:num>
  <w:num w:numId="21">
    <w:abstractNumId w:val="26"/>
  </w:num>
  <w:num w:numId="22">
    <w:abstractNumId w:val="18"/>
  </w:num>
  <w:num w:numId="23">
    <w:abstractNumId w:val="122"/>
  </w:num>
  <w:num w:numId="24">
    <w:abstractNumId w:val="107"/>
  </w:num>
  <w:num w:numId="25">
    <w:abstractNumId w:val="33"/>
  </w:num>
  <w:num w:numId="26">
    <w:abstractNumId w:val="71"/>
  </w:num>
  <w:num w:numId="27">
    <w:abstractNumId w:val="84"/>
  </w:num>
  <w:num w:numId="28">
    <w:abstractNumId w:val="127"/>
  </w:num>
  <w:num w:numId="29">
    <w:abstractNumId w:val="86"/>
  </w:num>
  <w:num w:numId="30">
    <w:abstractNumId w:val="151"/>
  </w:num>
  <w:num w:numId="31">
    <w:abstractNumId w:val="22"/>
  </w:num>
  <w:num w:numId="32">
    <w:abstractNumId w:val="67"/>
  </w:num>
  <w:num w:numId="33">
    <w:abstractNumId w:val="58"/>
  </w:num>
  <w:num w:numId="34">
    <w:abstractNumId w:val="133"/>
  </w:num>
  <w:num w:numId="35">
    <w:abstractNumId w:val="145"/>
  </w:num>
  <w:num w:numId="36">
    <w:abstractNumId w:val="156"/>
  </w:num>
  <w:num w:numId="37">
    <w:abstractNumId w:val="41"/>
  </w:num>
  <w:num w:numId="38">
    <w:abstractNumId w:val="37"/>
  </w:num>
  <w:num w:numId="39">
    <w:abstractNumId w:val="64"/>
  </w:num>
  <w:num w:numId="40">
    <w:abstractNumId w:val="51"/>
  </w:num>
  <w:num w:numId="41">
    <w:abstractNumId w:val="112"/>
  </w:num>
  <w:num w:numId="42">
    <w:abstractNumId w:val="27"/>
  </w:num>
  <w:num w:numId="43">
    <w:abstractNumId w:val="78"/>
  </w:num>
  <w:num w:numId="44">
    <w:abstractNumId w:val="35"/>
  </w:num>
  <w:num w:numId="45">
    <w:abstractNumId w:val="43"/>
  </w:num>
  <w:num w:numId="46">
    <w:abstractNumId w:val="111"/>
  </w:num>
  <w:num w:numId="47">
    <w:abstractNumId w:val="28"/>
  </w:num>
  <w:num w:numId="48">
    <w:abstractNumId w:val="40"/>
  </w:num>
  <w:num w:numId="49">
    <w:abstractNumId w:val="92"/>
  </w:num>
  <w:num w:numId="50">
    <w:abstractNumId w:val="131"/>
  </w:num>
  <w:num w:numId="51">
    <w:abstractNumId w:val="117"/>
  </w:num>
  <w:num w:numId="52">
    <w:abstractNumId w:val="63"/>
  </w:num>
  <w:num w:numId="53">
    <w:abstractNumId w:val="9"/>
  </w:num>
  <w:num w:numId="54">
    <w:abstractNumId w:val="158"/>
  </w:num>
  <w:num w:numId="55">
    <w:abstractNumId w:val="85"/>
  </w:num>
  <w:num w:numId="56">
    <w:abstractNumId w:val="146"/>
  </w:num>
  <w:num w:numId="57">
    <w:abstractNumId w:val="23"/>
  </w:num>
  <w:num w:numId="58">
    <w:abstractNumId w:val="109"/>
  </w:num>
  <w:num w:numId="59">
    <w:abstractNumId w:val="47"/>
  </w:num>
  <w:num w:numId="60">
    <w:abstractNumId w:val="76"/>
  </w:num>
  <w:num w:numId="61">
    <w:abstractNumId w:val="3"/>
  </w:num>
  <w:num w:numId="62">
    <w:abstractNumId w:val="137"/>
  </w:num>
  <w:num w:numId="63">
    <w:abstractNumId w:val="62"/>
  </w:num>
  <w:num w:numId="64">
    <w:abstractNumId w:val="104"/>
  </w:num>
  <w:num w:numId="65">
    <w:abstractNumId w:val="66"/>
  </w:num>
  <w:num w:numId="66">
    <w:abstractNumId w:val="21"/>
  </w:num>
  <w:num w:numId="67">
    <w:abstractNumId w:val="69"/>
  </w:num>
  <w:num w:numId="68">
    <w:abstractNumId w:val="38"/>
  </w:num>
  <w:num w:numId="69">
    <w:abstractNumId w:val="50"/>
  </w:num>
  <w:num w:numId="70">
    <w:abstractNumId w:val="103"/>
  </w:num>
  <w:num w:numId="71">
    <w:abstractNumId w:val="98"/>
  </w:num>
  <w:num w:numId="72">
    <w:abstractNumId w:val="11"/>
  </w:num>
  <w:num w:numId="73">
    <w:abstractNumId w:val="57"/>
  </w:num>
  <w:num w:numId="74">
    <w:abstractNumId w:val="135"/>
  </w:num>
  <w:num w:numId="75">
    <w:abstractNumId w:val="29"/>
  </w:num>
  <w:num w:numId="76">
    <w:abstractNumId w:val="132"/>
  </w:num>
  <w:num w:numId="77">
    <w:abstractNumId w:val="61"/>
  </w:num>
  <w:num w:numId="78">
    <w:abstractNumId w:val="17"/>
  </w:num>
  <w:num w:numId="79">
    <w:abstractNumId w:val="31"/>
  </w:num>
  <w:num w:numId="80">
    <w:abstractNumId w:val="125"/>
  </w:num>
  <w:num w:numId="81">
    <w:abstractNumId w:val="1"/>
  </w:num>
  <w:num w:numId="82">
    <w:abstractNumId w:val="83"/>
  </w:num>
  <w:num w:numId="83">
    <w:abstractNumId w:val="75"/>
  </w:num>
  <w:num w:numId="84">
    <w:abstractNumId w:val="80"/>
  </w:num>
  <w:num w:numId="85">
    <w:abstractNumId w:val="24"/>
  </w:num>
  <w:num w:numId="86">
    <w:abstractNumId w:val="49"/>
  </w:num>
  <w:num w:numId="87">
    <w:abstractNumId w:val="87"/>
  </w:num>
  <w:num w:numId="88">
    <w:abstractNumId w:val="48"/>
  </w:num>
  <w:num w:numId="89">
    <w:abstractNumId w:val="124"/>
  </w:num>
  <w:num w:numId="90">
    <w:abstractNumId w:val="102"/>
  </w:num>
  <w:num w:numId="91">
    <w:abstractNumId w:val="44"/>
  </w:num>
  <w:num w:numId="92">
    <w:abstractNumId w:val="60"/>
  </w:num>
  <w:num w:numId="93">
    <w:abstractNumId w:val="10"/>
  </w:num>
  <w:num w:numId="94">
    <w:abstractNumId w:val="0"/>
  </w:num>
  <w:num w:numId="95">
    <w:abstractNumId w:val="4"/>
  </w:num>
  <w:num w:numId="96">
    <w:abstractNumId w:val="6"/>
  </w:num>
  <w:num w:numId="97">
    <w:abstractNumId w:val="153"/>
  </w:num>
  <w:num w:numId="98">
    <w:abstractNumId w:val="148"/>
  </w:num>
  <w:num w:numId="99">
    <w:abstractNumId w:val="81"/>
  </w:num>
  <w:num w:numId="100">
    <w:abstractNumId w:val="143"/>
  </w:num>
  <w:num w:numId="101">
    <w:abstractNumId w:val="93"/>
  </w:num>
  <w:num w:numId="102">
    <w:abstractNumId w:val="5"/>
  </w:num>
  <w:num w:numId="103">
    <w:abstractNumId w:val="39"/>
  </w:num>
  <w:num w:numId="104">
    <w:abstractNumId w:val="53"/>
  </w:num>
  <w:num w:numId="105">
    <w:abstractNumId w:val="119"/>
  </w:num>
  <w:num w:numId="106">
    <w:abstractNumId w:val="82"/>
  </w:num>
  <w:num w:numId="107">
    <w:abstractNumId w:val="36"/>
  </w:num>
  <w:num w:numId="108">
    <w:abstractNumId w:val="15"/>
  </w:num>
  <w:num w:numId="109">
    <w:abstractNumId w:val="136"/>
  </w:num>
  <w:num w:numId="110">
    <w:abstractNumId w:val="68"/>
  </w:num>
  <w:num w:numId="111">
    <w:abstractNumId w:val="65"/>
  </w:num>
  <w:num w:numId="112">
    <w:abstractNumId w:val="74"/>
  </w:num>
  <w:num w:numId="113">
    <w:abstractNumId w:val="89"/>
  </w:num>
  <w:num w:numId="114">
    <w:abstractNumId w:val="130"/>
  </w:num>
  <w:num w:numId="115">
    <w:abstractNumId w:val="32"/>
  </w:num>
  <w:num w:numId="116">
    <w:abstractNumId w:val="115"/>
  </w:num>
  <w:num w:numId="117">
    <w:abstractNumId w:val="100"/>
  </w:num>
  <w:num w:numId="118">
    <w:abstractNumId w:val="155"/>
  </w:num>
  <w:num w:numId="119">
    <w:abstractNumId w:val="108"/>
  </w:num>
  <w:num w:numId="120">
    <w:abstractNumId w:val="152"/>
  </w:num>
  <w:num w:numId="121">
    <w:abstractNumId w:val="14"/>
  </w:num>
  <w:num w:numId="122">
    <w:abstractNumId w:val="46"/>
  </w:num>
  <w:num w:numId="123">
    <w:abstractNumId w:val="106"/>
  </w:num>
  <w:num w:numId="124">
    <w:abstractNumId w:val="54"/>
  </w:num>
  <w:num w:numId="125">
    <w:abstractNumId w:val="159"/>
  </w:num>
  <w:num w:numId="126">
    <w:abstractNumId w:val="56"/>
  </w:num>
  <w:num w:numId="127">
    <w:abstractNumId w:val="149"/>
  </w:num>
  <w:num w:numId="128">
    <w:abstractNumId w:val="77"/>
  </w:num>
  <w:num w:numId="129">
    <w:abstractNumId w:val="120"/>
  </w:num>
  <w:num w:numId="130">
    <w:abstractNumId w:val="123"/>
  </w:num>
  <w:num w:numId="131">
    <w:abstractNumId w:val="121"/>
  </w:num>
  <w:num w:numId="132">
    <w:abstractNumId w:val="42"/>
  </w:num>
  <w:num w:numId="133">
    <w:abstractNumId w:val="113"/>
  </w:num>
  <w:num w:numId="134">
    <w:abstractNumId w:val="157"/>
  </w:num>
  <w:num w:numId="135">
    <w:abstractNumId w:val="70"/>
  </w:num>
  <w:num w:numId="136">
    <w:abstractNumId w:val="72"/>
  </w:num>
  <w:num w:numId="137">
    <w:abstractNumId w:val="2"/>
  </w:num>
  <w:num w:numId="138">
    <w:abstractNumId w:val="134"/>
  </w:num>
  <w:num w:numId="139">
    <w:abstractNumId w:val="97"/>
  </w:num>
  <w:num w:numId="140">
    <w:abstractNumId w:val="59"/>
  </w:num>
  <w:num w:numId="141">
    <w:abstractNumId w:val="7"/>
  </w:num>
  <w:num w:numId="142">
    <w:abstractNumId w:val="126"/>
  </w:num>
  <w:num w:numId="143">
    <w:abstractNumId w:val="12"/>
  </w:num>
  <w:num w:numId="144">
    <w:abstractNumId w:val="19"/>
  </w:num>
  <w:num w:numId="145">
    <w:abstractNumId w:val="150"/>
  </w:num>
  <w:num w:numId="146">
    <w:abstractNumId w:val="144"/>
  </w:num>
  <w:num w:numId="147">
    <w:abstractNumId w:val="114"/>
  </w:num>
  <w:num w:numId="148">
    <w:abstractNumId w:val="105"/>
  </w:num>
  <w:num w:numId="149">
    <w:abstractNumId w:val="116"/>
  </w:num>
  <w:num w:numId="150">
    <w:abstractNumId w:val="79"/>
  </w:num>
  <w:num w:numId="151">
    <w:abstractNumId w:val="25"/>
  </w:num>
  <w:num w:numId="152">
    <w:abstractNumId w:val="88"/>
  </w:num>
  <w:num w:numId="153">
    <w:abstractNumId w:val="101"/>
  </w:num>
  <w:num w:numId="154">
    <w:abstractNumId w:val="118"/>
  </w:num>
  <w:num w:numId="155">
    <w:abstractNumId w:val="154"/>
  </w:num>
  <w:num w:numId="156">
    <w:abstractNumId w:val="94"/>
  </w:num>
  <w:num w:numId="157">
    <w:abstractNumId w:val="128"/>
  </w:num>
  <w:num w:numId="158">
    <w:abstractNumId w:val="91"/>
  </w:num>
  <w:num w:numId="159">
    <w:abstractNumId w:val="147"/>
  </w:num>
  <w:num w:numId="160">
    <w:abstractNumId w:val="139"/>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424"/>
    <w:rsid w:val="00086899"/>
    <w:rsid w:val="001001C8"/>
    <w:rsid w:val="00104EB1"/>
    <w:rsid w:val="001A77FA"/>
    <w:rsid w:val="001B4AA3"/>
    <w:rsid w:val="00383424"/>
    <w:rsid w:val="00394FBF"/>
    <w:rsid w:val="003E1AE4"/>
    <w:rsid w:val="004B0E66"/>
    <w:rsid w:val="004C3765"/>
    <w:rsid w:val="005249FB"/>
    <w:rsid w:val="005E3093"/>
    <w:rsid w:val="005E62AC"/>
    <w:rsid w:val="00645C98"/>
    <w:rsid w:val="006546A4"/>
    <w:rsid w:val="006A1AF4"/>
    <w:rsid w:val="006C48A8"/>
    <w:rsid w:val="006D6CF5"/>
    <w:rsid w:val="006F3284"/>
    <w:rsid w:val="008E0C97"/>
    <w:rsid w:val="009B1EE4"/>
    <w:rsid w:val="00A055DC"/>
    <w:rsid w:val="00A066AA"/>
    <w:rsid w:val="00AC600B"/>
    <w:rsid w:val="00B53F67"/>
    <w:rsid w:val="00BA3BD0"/>
    <w:rsid w:val="00DC20FF"/>
    <w:rsid w:val="00E537F0"/>
    <w:rsid w:val="00FB7B2A"/>
    <w:rsid w:val="00FC572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4526"/>
  <w15:chartTrackingRefBased/>
  <w15:docId w15:val="{AAFB98E8-011A-4022-AD4F-695A80AA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48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6C48A8"/>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unhideWhenUsed/>
    <w:qFormat/>
    <w:rsid w:val="006C48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6C48A8"/>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6C48A8"/>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6C48A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6C48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48A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C48A8"/>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6C48A8"/>
    <w:rPr>
      <w:rFonts w:asciiTheme="majorHAnsi" w:eastAsiaTheme="majorEastAsia" w:hAnsiTheme="majorHAnsi" w:cstheme="majorBidi"/>
      <w:color w:val="1F3763" w:themeColor="accent1" w:themeShade="7F"/>
      <w:sz w:val="24"/>
      <w:szCs w:val="24"/>
    </w:rPr>
  </w:style>
  <w:style w:type="character" w:customStyle="1" w:styleId="Ttulo5Car">
    <w:name w:val="Título 5 Car"/>
    <w:basedOn w:val="Fuentedeprrafopredeter"/>
    <w:link w:val="Ttulo5"/>
    <w:uiPriority w:val="9"/>
    <w:semiHidden/>
    <w:rsid w:val="006C48A8"/>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6C48A8"/>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6C48A8"/>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6C48A8"/>
    <w:rPr>
      <w:rFonts w:asciiTheme="majorHAnsi" w:eastAsiaTheme="majorEastAsia" w:hAnsiTheme="majorHAnsi" w:cstheme="majorBidi"/>
      <w:color w:val="272727" w:themeColor="text1" w:themeTint="D8"/>
      <w:sz w:val="21"/>
      <w:szCs w:val="21"/>
    </w:rPr>
  </w:style>
  <w:style w:type="character" w:styleId="Hipervnculo">
    <w:name w:val="Hyperlink"/>
    <w:basedOn w:val="Fuentedeprrafopredeter"/>
    <w:uiPriority w:val="99"/>
    <w:unhideWhenUsed/>
    <w:rsid w:val="00383424"/>
    <w:rPr>
      <w:color w:val="0563C1"/>
      <w:u w:val="single"/>
    </w:rPr>
  </w:style>
  <w:style w:type="paragraph" w:customStyle="1" w:styleId="xmsonormal">
    <w:name w:val="x_msonormal"/>
    <w:basedOn w:val="Normal"/>
    <w:uiPriority w:val="99"/>
    <w:semiHidden/>
    <w:rsid w:val="00383424"/>
    <w:pPr>
      <w:spacing w:before="100" w:beforeAutospacing="1" w:after="100" w:afterAutospacing="1" w:line="240" w:lineRule="auto"/>
    </w:pPr>
    <w:rPr>
      <w:rFonts w:ascii="Times New Roman" w:hAnsi="Times New Roman" w:cs="Times New Roman"/>
      <w:sz w:val="24"/>
      <w:szCs w:val="24"/>
      <w:lang w:eastAsia="es-CR"/>
    </w:rPr>
  </w:style>
  <w:style w:type="paragraph" w:styleId="Prrafodelista">
    <w:name w:val="List Paragraph"/>
    <w:basedOn w:val="Normal"/>
    <w:uiPriority w:val="34"/>
    <w:qFormat/>
    <w:rsid w:val="001001C8"/>
    <w:pPr>
      <w:ind w:left="720"/>
      <w:contextualSpacing/>
    </w:pPr>
  </w:style>
  <w:style w:type="paragraph" w:customStyle="1" w:styleId="Ttulo51">
    <w:name w:val="Título 51"/>
    <w:next w:val="Normal"/>
    <w:rsid w:val="001001C8"/>
    <w:pPr>
      <w:keepNext/>
      <w:widowControl w:val="0"/>
      <w:shd w:val="clear" w:color="auto" w:fill="FFFFFF"/>
      <w:tabs>
        <w:tab w:val="left" w:pos="0"/>
      </w:tabs>
      <w:suppressAutoHyphens/>
      <w:spacing w:after="0" w:line="240" w:lineRule="auto"/>
      <w:jc w:val="center"/>
    </w:pPr>
    <w:rPr>
      <w:rFonts w:ascii="Times New Roman" w:eastAsia="Lucida Sans Unicode" w:hAnsi="Times New Roman" w:cs="Times New Roman"/>
      <w:b/>
      <w:bCs/>
      <w:i/>
      <w:iCs/>
      <w:sz w:val="26"/>
      <w:szCs w:val="26"/>
      <w:u w:val="single"/>
      <w:lang w:val="es-ES" w:eastAsia="ar-SA"/>
    </w:rPr>
  </w:style>
  <w:style w:type="paragraph" w:customStyle="1" w:styleId="CharChar">
    <w:name w:val="Char Char"/>
    <w:basedOn w:val="Normal"/>
    <w:semiHidden/>
    <w:rsid w:val="006D6CF5"/>
    <w:pPr>
      <w:spacing w:line="240" w:lineRule="exact"/>
    </w:pPr>
    <w:rPr>
      <w:rFonts w:ascii="Verdana" w:eastAsia="Times New Roman" w:hAnsi="Verdana" w:cs="Verdana"/>
      <w:sz w:val="20"/>
      <w:szCs w:val="20"/>
      <w:lang w:val="en-AU"/>
    </w:rPr>
  </w:style>
  <w:style w:type="paragraph" w:customStyle="1" w:styleId="informacion-documento">
    <w:name w:val="informacion-documento"/>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g-binding">
    <w:name w:val="ng-binding"/>
    <w:basedOn w:val="Fuentedeprrafopredeter"/>
    <w:rsid w:val="006C48A8"/>
  </w:style>
  <w:style w:type="character" w:customStyle="1" w:styleId="informacion-subtitulo">
    <w:name w:val="informacion-subtitulo"/>
    <w:basedOn w:val="Fuentedeprrafopredeter"/>
    <w:rsid w:val="006C48A8"/>
  </w:style>
  <w:style w:type="character" w:customStyle="1" w:styleId="enlace-citas">
    <w:name w:val="enlace-citas"/>
    <w:basedOn w:val="Fuentedeprrafopredeter"/>
    <w:rsid w:val="006C48A8"/>
  </w:style>
  <w:style w:type="paragraph" w:styleId="Textoindependiente">
    <w:name w:val="Body Text"/>
    <w:basedOn w:val="Normal"/>
    <w:link w:val="TextoindependienteCar"/>
    <w:uiPriority w:val="99"/>
    <w:semiHidden/>
    <w:unhideWhenUsed/>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extoindependienteCar">
    <w:name w:val="Texto independiente Car"/>
    <w:basedOn w:val="Fuentedeprrafopredeter"/>
    <w:link w:val="Textoindependiente"/>
    <w:uiPriority w:val="99"/>
    <w:semiHidden/>
    <w:rsid w:val="006C48A8"/>
    <w:rPr>
      <w:rFonts w:ascii="Times New Roman" w:eastAsia="Times New Roman" w:hAnsi="Times New Roman" w:cs="Times New Roman"/>
      <w:sz w:val="24"/>
      <w:szCs w:val="24"/>
      <w:lang w:eastAsia="es-CR"/>
    </w:rPr>
  </w:style>
  <w:style w:type="paragraph" w:styleId="NormalWeb">
    <w:name w:val="Normal (Web)"/>
    <w:basedOn w:val="Normal"/>
    <w:uiPriority w:val="99"/>
    <w:unhideWhenUsed/>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separador-enlaces">
    <w:name w:val="separador-enlaces"/>
    <w:basedOn w:val="Fuentedeprrafopredeter"/>
    <w:rsid w:val="006C48A8"/>
  </w:style>
  <w:style w:type="paragraph" w:customStyle="1" w:styleId="msonormal0">
    <w:name w:val="msonormal"/>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grame">
    <w:name w:val="grame"/>
    <w:basedOn w:val="Fuentedeprrafopredeter"/>
    <w:rsid w:val="006C48A8"/>
  </w:style>
  <w:style w:type="character" w:customStyle="1" w:styleId="spelle">
    <w:name w:val="spelle"/>
    <w:basedOn w:val="Fuentedeprrafopredeter"/>
    <w:rsid w:val="006C48A8"/>
  </w:style>
  <w:style w:type="character" w:styleId="Textoennegrita">
    <w:name w:val="Strong"/>
    <w:basedOn w:val="Fuentedeprrafopredeter"/>
    <w:uiPriority w:val="22"/>
    <w:qFormat/>
    <w:rsid w:val="006C48A8"/>
    <w:rPr>
      <w:b/>
      <w:bCs/>
    </w:rPr>
  </w:style>
  <w:style w:type="paragraph" w:customStyle="1" w:styleId="bodytext2">
    <w:name w:val="bodytext2"/>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caracteresdenotaalpie">
    <w:name w:val="caracteresdenotaalpie"/>
    <w:basedOn w:val="Fuentedeprrafopredeter"/>
    <w:rsid w:val="006C48A8"/>
  </w:style>
  <w:style w:type="paragraph" w:customStyle="1" w:styleId="default">
    <w:name w:val="default"/>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notapie">
    <w:name w:val="footnote text"/>
    <w:basedOn w:val="Normal"/>
    <w:link w:val="TextonotapieCar"/>
    <w:uiPriority w:val="99"/>
    <w:unhideWhenUsed/>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extonotapieCar">
    <w:name w:val="Texto nota pie Car"/>
    <w:basedOn w:val="Fuentedeprrafopredeter"/>
    <w:link w:val="Textonotapie"/>
    <w:uiPriority w:val="99"/>
    <w:rsid w:val="006C48A8"/>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6C48A8"/>
  </w:style>
  <w:style w:type="paragraph" w:styleId="Textoindependiente2">
    <w:name w:val="Body Text 2"/>
    <w:basedOn w:val="Normal"/>
    <w:link w:val="Textoindependiente2Car"/>
    <w:uiPriority w:val="99"/>
    <w:unhideWhenUsed/>
    <w:rsid w:val="006C48A8"/>
    <w:pPr>
      <w:spacing w:after="120" w:line="480" w:lineRule="auto"/>
    </w:pPr>
  </w:style>
  <w:style w:type="character" w:customStyle="1" w:styleId="Textoindependiente2Car">
    <w:name w:val="Texto independiente 2 Car"/>
    <w:basedOn w:val="Fuentedeprrafopredeter"/>
    <w:link w:val="Textoindependiente2"/>
    <w:uiPriority w:val="99"/>
    <w:rsid w:val="006C48A8"/>
  </w:style>
  <w:style w:type="paragraph" w:styleId="Ttulo">
    <w:name w:val="Title"/>
    <w:basedOn w:val="Normal"/>
    <w:link w:val="TtuloCar"/>
    <w:uiPriority w:val="10"/>
    <w:qFormat/>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tuloCar">
    <w:name w:val="Título Car"/>
    <w:basedOn w:val="Fuentedeprrafopredeter"/>
    <w:link w:val="Ttulo"/>
    <w:uiPriority w:val="10"/>
    <w:rsid w:val="006C48A8"/>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6C48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48A8"/>
  </w:style>
  <w:style w:type="paragraph" w:styleId="Piedepgina">
    <w:name w:val="footer"/>
    <w:basedOn w:val="Normal"/>
    <w:link w:val="PiedepginaCar"/>
    <w:uiPriority w:val="99"/>
    <w:unhideWhenUsed/>
    <w:rsid w:val="006C48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48A8"/>
  </w:style>
  <w:style w:type="character" w:styleId="Refdenotaalfinal">
    <w:name w:val="endnote reference"/>
    <w:basedOn w:val="Fuentedeprrafopredeter"/>
    <w:uiPriority w:val="99"/>
    <w:semiHidden/>
    <w:unhideWhenUsed/>
    <w:rsid w:val="006C48A8"/>
  </w:style>
  <w:style w:type="paragraph" w:customStyle="1" w:styleId="bodytext20">
    <w:name w:val="bodytext20"/>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notaalfinal">
    <w:name w:val="endnote text"/>
    <w:basedOn w:val="Normal"/>
    <w:link w:val="TextonotaalfinalCar"/>
    <w:uiPriority w:val="99"/>
    <w:semiHidden/>
    <w:unhideWhenUsed/>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extonotaalfinalCar">
    <w:name w:val="Texto nota al final Car"/>
    <w:basedOn w:val="Fuentedeprrafopredeter"/>
    <w:link w:val="Textonotaalfinal"/>
    <w:uiPriority w:val="99"/>
    <w:semiHidden/>
    <w:rsid w:val="006C48A8"/>
    <w:rPr>
      <w:rFonts w:ascii="Times New Roman" w:eastAsia="Times New Roman" w:hAnsi="Times New Roman" w:cs="Times New Roman"/>
      <w:sz w:val="24"/>
      <w:szCs w:val="24"/>
      <w:lang w:eastAsia="es-CR"/>
    </w:rPr>
  </w:style>
  <w:style w:type="character" w:styleId="Refdenotaalpie">
    <w:name w:val="footnote reference"/>
    <w:basedOn w:val="Fuentedeprrafopredeter"/>
    <w:uiPriority w:val="99"/>
    <w:semiHidden/>
    <w:unhideWhenUsed/>
    <w:rsid w:val="006C48A8"/>
  </w:style>
  <w:style w:type="paragraph" w:styleId="Textoindependiente3">
    <w:name w:val="Body Text 3"/>
    <w:basedOn w:val="Normal"/>
    <w:link w:val="Textoindependiente3Car"/>
    <w:uiPriority w:val="99"/>
    <w:semiHidden/>
    <w:unhideWhenUsed/>
    <w:rsid w:val="006C48A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C48A8"/>
    <w:rPr>
      <w:sz w:val="16"/>
      <w:szCs w:val="16"/>
    </w:rPr>
  </w:style>
  <w:style w:type="character" w:customStyle="1" w:styleId="SangradetextonormalCar">
    <w:name w:val="Sangría de texto normal Car"/>
    <w:basedOn w:val="Fuentedeprrafopredeter"/>
    <w:link w:val="Sangradetextonormal"/>
    <w:uiPriority w:val="99"/>
    <w:semiHidden/>
    <w:rsid w:val="006C48A8"/>
  </w:style>
  <w:style w:type="paragraph" w:styleId="Sangradetextonormal">
    <w:name w:val="Body Text Indent"/>
    <w:basedOn w:val="Normal"/>
    <w:link w:val="SangradetextonormalCar"/>
    <w:uiPriority w:val="99"/>
    <w:semiHidden/>
    <w:unhideWhenUsed/>
    <w:rsid w:val="006C48A8"/>
    <w:pPr>
      <w:spacing w:after="120"/>
      <w:ind w:left="283"/>
    </w:pPr>
  </w:style>
  <w:style w:type="paragraph" w:customStyle="1" w:styleId="pa0">
    <w:name w:val="pa0"/>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listparagraph">
    <w:name w:val="listparagraph"/>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7">
    <w:name w:val="pa7"/>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heading5">
    <w:name w:val="heading5"/>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xmsonormal0">
    <w:name w:val="xmsonormal"/>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sangra3detindependiente1">
    <w:name w:val="sangra3detindependiente1"/>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extoindependiente21">
    <w:name w:val="textoindependiente21"/>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msoins0">
    <w:name w:val="msoins"/>
    <w:basedOn w:val="Fuentedeprrafopredeter"/>
    <w:rsid w:val="006C48A8"/>
  </w:style>
  <w:style w:type="paragraph" w:customStyle="1" w:styleId="textoindependiente31">
    <w:name w:val="textoindependiente31"/>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refdenotaalpie1">
    <w:name w:val="refdenotaalpie1"/>
    <w:basedOn w:val="Fuentedeprrafopredeter"/>
    <w:rsid w:val="006C48A8"/>
  </w:style>
  <w:style w:type="paragraph" w:customStyle="1" w:styleId="textoindependiente1">
    <w:name w:val="textoindependiente1"/>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formatolibreb">
    <w:name w:val="formatolibreb"/>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rrafodelista1">
    <w:name w:val="prrafodelista1"/>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b">
    <w:name w:val="b"/>
    <w:basedOn w:val="Fuentedeprrafopredeter"/>
    <w:rsid w:val="006C48A8"/>
  </w:style>
  <w:style w:type="character" w:customStyle="1" w:styleId="footnotereference">
    <w:name w:val="footnotereference"/>
    <w:basedOn w:val="Fuentedeprrafopredeter"/>
    <w:rsid w:val="006C48A8"/>
  </w:style>
  <w:style w:type="paragraph" w:customStyle="1" w:styleId="listparagraph2">
    <w:name w:val="listparagraph2"/>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uerpob">
    <w:name w:val="cuerpob"/>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ospacing1">
    <w:name w:val="nospacing1"/>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citahtml1">
    <w:name w:val="citahtml1"/>
    <w:basedOn w:val="Fuentedeprrafopredeter"/>
    <w:rsid w:val="006C48A8"/>
  </w:style>
  <w:style w:type="paragraph" w:customStyle="1" w:styleId="textonotapie1">
    <w:name w:val="textonotapie1"/>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ospacing">
    <w:name w:val="nospacing"/>
    <w:basedOn w:val="Normal"/>
    <w:rsid w:val="006C48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6C48A8"/>
    <w:rPr>
      <w:i/>
      <w:iCs/>
    </w:rPr>
  </w:style>
  <w:style w:type="character" w:customStyle="1" w:styleId="b1">
    <w:name w:val="b1"/>
    <w:basedOn w:val="Fuentedeprrafopredeter"/>
    <w:rsid w:val="006C48A8"/>
  </w:style>
  <w:style w:type="paragraph" w:customStyle="1" w:styleId="resumen">
    <w:name w:val="resumen"/>
    <w:basedOn w:val="Ttulo3"/>
    <w:link w:val="resumenCar"/>
    <w:qFormat/>
    <w:rsid w:val="00104EB1"/>
    <w:pPr>
      <w:keepLines w:val="0"/>
      <w:suppressAutoHyphens/>
      <w:spacing w:before="120" w:after="240" w:line="240" w:lineRule="auto"/>
      <w:jc w:val="both"/>
    </w:pPr>
    <w:rPr>
      <w:rFonts w:ascii="Times New Roman" w:eastAsia="Times New Roman" w:hAnsi="Times New Roman" w:cs="Arial"/>
      <w:b/>
      <w:bCs/>
      <w:color w:val="auto"/>
      <w:sz w:val="28"/>
      <w:szCs w:val="26"/>
      <w:lang w:val="es-ES_tradnl" w:eastAsia="ar-SA"/>
    </w:rPr>
  </w:style>
  <w:style w:type="character" w:customStyle="1" w:styleId="resumenCar">
    <w:name w:val="resumen Car"/>
    <w:basedOn w:val="Fuentedeprrafopredeter"/>
    <w:link w:val="resumen"/>
    <w:rsid w:val="00104EB1"/>
    <w:rPr>
      <w:rFonts w:ascii="Times New Roman" w:eastAsia="Times New Roman" w:hAnsi="Times New Roman" w:cs="Arial"/>
      <w:b/>
      <w:bCs/>
      <w:sz w:val="28"/>
      <w:szCs w:val="26"/>
      <w:lang w:val="es-ES_tradnl" w:eastAsia="ar-SA"/>
    </w:rPr>
  </w:style>
  <w:style w:type="table" w:styleId="Tablaconcuadrcula">
    <w:name w:val="Table Grid"/>
    <w:basedOn w:val="Tablanormal"/>
    <w:uiPriority w:val="39"/>
    <w:rsid w:val="006A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B0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80785">
      <w:bodyDiv w:val="1"/>
      <w:marLeft w:val="0"/>
      <w:marRight w:val="0"/>
      <w:marTop w:val="0"/>
      <w:marBottom w:val="0"/>
      <w:divBdr>
        <w:top w:val="none" w:sz="0" w:space="0" w:color="auto"/>
        <w:left w:val="none" w:sz="0" w:space="0" w:color="auto"/>
        <w:bottom w:val="none" w:sz="0" w:space="0" w:color="auto"/>
        <w:right w:val="none" w:sz="0" w:space="0" w:color="auto"/>
      </w:divBdr>
    </w:div>
    <w:div w:id="1054541212">
      <w:bodyDiv w:val="1"/>
      <w:marLeft w:val="0"/>
      <w:marRight w:val="0"/>
      <w:marTop w:val="0"/>
      <w:marBottom w:val="0"/>
      <w:divBdr>
        <w:top w:val="none" w:sz="0" w:space="0" w:color="auto"/>
        <w:left w:val="none" w:sz="0" w:space="0" w:color="auto"/>
        <w:bottom w:val="none" w:sz="0" w:space="0" w:color="auto"/>
        <w:right w:val="none" w:sz="0" w:space="0" w:color="auto"/>
      </w:divBdr>
    </w:div>
    <w:div w:id="1463578480">
      <w:bodyDiv w:val="1"/>
      <w:marLeft w:val="0"/>
      <w:marRight w:val="0"/>
      <w:marTop w:val="0"/>
      <w:marBottom w:val="0"/>
      <w:divBdr>
        <w:top w:val="none" w:sz="0" w:space="0" w:color="auto"/>
        <w:left w:val="none" w:sz="0" w:space="0" w:color="auto"/>
        <w:bottom w:val="none" w:sz="0" w:space="0" w:color="auto"/>
        <w:right w:val="none" w:sz="0" w:space="0" w:color="auto"/>
      </w:divBdr>
    </w:div>
    <w:div w:id="19531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cretariacorte.poder-judicial.go.cr/index.php/documentos?download=5194:circulares-sobre-poblaciones-vulnerabl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2422</Words>
  <Characters>13324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General de la Corte - Comunicaciones -Marisela Duran Salazar</dc:creator>
  <cp:keywords/>
  <dc:description/>
  <cp:lastModifiedBy>Secretaría General de la Corte - Comunicaciones - Bryan Chacón Gamboa . Aut.</cp:lastModifiedBy>
  <cp:revision>2</cp:revision>
  <dcterms:created xsi:type="dcterms:W3CDTF">2022-01-28T17:18:00Z</dcterms:created>
  <dcterms:modified xsi:type="dcterms:W3CDTF">2022-01-28T17:18:00Z</dcterms:modified>
</cp:coreProperties>
</file>