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3BDD2" w14:textId="08BD143F" w:rsidR="00277BDE" w:rsidRDefault="00F953E5">
      <w:pPr>
        <w:rPr>
          <w:lang w:val="es-ES"/>
        </w:rPr>
      </w:pPr>
      <w:r>
        <w:rPr>
          <w:lang w:val="es-ES"/>
        </w:rPr>
        <w:t>Jurisprudencia Niñez y Adolescencia. Debe pasarse a página nueva.</w:t>
      </w:r>
    </w:p>
    <w:p w14:paraId="010D9268" w14:textId="6CFBEDBF" w:rsidR="00F953E5" w:rsidRDefault="00F953E5">
      <w:pPr>
        <w:rPr>
          <w:lang w:val="es-ES"/>
        </w:rPr>
      </w:pPr>
      <w:r w:rsidRPr="00F953E5">
        <w:drawing>
          <wp:inline distT="0" distB="0" distL="0" distR="0" wp14:anchorId="17DCAAF4" wp14:editId="3D1EF605">
            <wp:extent cx="5612130" cy="71945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874F6" w14:textId="77777777" w:rsidR="00F953E5" w:rsidRPr="00F953E5" w:rsidRDefault="00F953E5">
      <w:pPr>
        <w:rPr>
          <w:lang w:val="es-ES"/>
        </w:rPr>
      </w:pPr>
    </w:p>
    <w:sectPr w:rsidR="00F953E5" w:rsidRPr="00F953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277BDE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7C62"/>
  <w15:chartTrackingRefBased/>
  <w15:docId w15:val="{83522ECB-31FC-44A5-A67C-DF213203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1</cp:revision>
  <dcterms:created xsi:type="dcterms:W3CDTF">2021-01-29T16:45:00Z</dcterms:created>
  <dcterms:modified xsi:type="dcterms:W3CDTF">2021-01-29T16:46:00Z</dcterms:modified>
</cp:coreProperties>
</file>