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CECB8" w14:textId="77777777" w:rsidR="00A25249" w:rsidRDefault="00A25249" w:rsidP="00A25249">
      <w:pPr>
        <w:tabs>
          <w:tab w:val="left" w:pos="567"/>
          <w:tab w:val="left" w:pos="1134"/>
        </w:tabs>
        <w:ind w:right="29"/>
        <w:jc w:val="left"/>
        <w:rPr>
          <w:snapToGrid w:val="0"/>
          <w:szCs w:val="20"/>
        </w:rPr>
      </w:pPr>
      <w:bookmarkStart w:id="0" w:name="_GoBack"/>
      <w:bookmarkEnd w:id="0"/>
    </w:p>
    <w:p w14:paraId="5A221B6B" w14:textId="77777777" w:rsidR="00A25249" w:rsidRDefault="00A25249" w:rsidP="00A25249">
      <w:pPr>
        <w:tabs>
          <w:tab w:val="left" w:pos="567"/>
          <w:tab w:val="left" w:pos="1134"/>
        </w:tabs>
        <w:ind w:right="29"/>
        <w:jc w:val="left"/>
        <w:rPr>
          <w:snapToGrid w:val="0"/>
          <w:szCs w:val="20"/>
        </w:rPr>
      </w:pPr>
    </w:p>
    <w:p w14:paraId="6982CA22" w14:textId="77777777" w:rsidR="00A25249" w:rsidRDefault="00A25249" w:rsidP="00A25249">
      <w:pPr>
        <w:tabs>
          <w:tab w:val="left" w:pos="567"/>
          <w:tab w:val="left" w:pos="1134"/>
        </w:tabs>
        <w:ind w:right="29"/>
        <w:jc w:val="left"/>
        <w:rPr>
          <w:snapToGrid w:val="0"/>
          <w:szCs w:val="20"/>
        </w:rPr>
      </w:pPr>
    </w:p>
    <w:p w14:paraId="59917AA1" w14:textId="77777777" w:rsidR="00A25249" w:rsidRDefault="00A25249" w:rsidP="00A25249">
      <w:pPr>
        <w:tabs>
          <w:tab w:val="left" w:pos="567"/>
          <w:tab w:val="left" w:pos="1134"/>
        </w:tabs>
        <w:ind w:right="29"/>
        <w:jc w:val="left"/>
        <w:rPr>
          <w:snapToGrid w:val="0"/>
          <w:szCs w:val="20"/>
        </w:rPr>
      </w:pPr>
    </w:p>
    <w:p w14:paraId="3D1A4B21" w14:textId="77777777" w:rsidR="00A25249" w:rsidRDefault="00A25249" w:rsidP="00A25249">
      <w:pPr>
        <w:tabs>
          <w:tab w:val="left" w:pos="567"/>
          <w:tab w:val="left" w:pos="1134"/>
        </w:tabs>
        <w:ind w:right="29"/>
        <w:jc w:val="left"/>
        <w:rPr>
          <w:snapToGrid w:val="0"/>
          <w:szCs w:val="20"/>
        </w:rPr>
      </w:pPr>
    </w:p>
    <w:p w14:paraId="34C10642" w14:textId="77777777" w:rsidR="00A25249" w:rsidRDefault="00A25249" w:rsidP="00A25249">
      <w:pPr>
        <w:pStyle w:val="Ttulo"/>
        <w:ind w:right="-138"/>
        <w:jc w:val="both"/>
        <w:rPr>
          <w:rFonts w:eastAsia="MS Mincho"/>
          <w:noProof w:val="0"/>
        </w:rPr>
      </w:pPr>
    </w:p>
    <w:p w14:paraId="6C19E093" w14:textId="77777777" w:rsidR="0028214E" w:rsidRDefault="00277B45" w:rsidP="0028214E">
      <w:pPr>
        <w:spacing w:line="360" w:lineRule="auto"/>
        <w:ind w:left="2160" w:right="96" w:hanging="2160"/>
        <w:jc w:val="center"/>
        <w:rPr>
          <w:b/>
          <w:szCs w:val="20"/>
        </w:rPr>
      </w:pPr>
      <w:r>
        <w:rPr>
          <w:b/>
          <w:szCs w:val="20"/>
        </w:rPr>
        <w:t xml:space="preserve">VOTO </w:t>
      </w:r>
      <w:r w:rsidR="00247731">
        <w:rPr>
          <w:b/>
          <w:szCs w:val="20"/>
        </w:rPr>
        <w:t xml:space="preserve">CONCURRENTE </w:t>
      </w:r>
      <w:r w:rsidR="00F16F54" w:rsidRPr="00E00FA8">
        <w:rPr>
          <w:b/>
          <w:szCs w:val="20"/>
        </w:rPr>
        <w:t>DE</w:t>
      </w:r>
      <w:r>
        <w:rPr>
          <w:b/>
          <w:szCs w:val="20"/>
        </w:rPr>
        <w:t>L</w:t>
      </w:r>
      <w:r w:rsidR="00F16F54" w:rsidRPr="00E00FA8">
        <w:rPr>
          <w:b/>
          <w:szCs w:val="20"/>
        </w:rPr>
        <w:t xml:space="preserve"> </w:t>
      </w:r>
    </w:p>
    <w:p w14:paraId="37C955FF" w14:textId="77777777" w:rsidR="00F16F54" w:rsidRPr="00E00FA8" w:rsidRDefault="00277B45" w:rsidP="0028214E">
      <w:pPr>
        <w:spacing w:line="360" w:lineRule="auto"/>
        <w:ind w:left="2160" w:right="96" w:hanging="2160"/>
        <w:jc w:val="center"/>
        <w:rPr>
          <w:b/>
          <w:szCs w:val="20"/>
        </w:rPr>
      </w:pPr>
      <w:r>
        <w:rPr>
          <w:b/>
          <w:szCs w:val="20"/>
        </w:rPr>
        <w:t xml:space="preserve">JUEZ </w:t>
      </w:r>
      <w:r w:rsidR="00F16F54" w:rsidRPr="00E00FA8">
        <w:rPr>
          <w:b/>
          <w:szCs w:val="20"/>
        </w:rPr>
        <w:t>EDUARDO FERRER MAC-GREGOR POISOT</w:t>
      </w:r>
    </w:p>
    <w:p w14:paraId="41F4F55F" w14:textId="77777777" w:rsidR="00446D48" w:rsidRPr="00BC1EDE" w:rsidRDefault="00446D48" w:rsidP="00A25249">
      <w:pPr>
        <w:pStyle w:val="Ttulo"/>
        <w:ind w:left="-142" w:right="-138"/>
        <w:rPr>
          <w:rFonts w:eastAsia="MS Mincho"/>
          <w:noProof w:val="0"/>
          <w:sz w:val="16"/>
        </w:rPr>
      </w:pPr>
    </w:p>
    <w:p w14:paraId="6D762044" w14:textId="77777777" w:rsidR="00277B45" w:rsidRPr="00277B45" w:rsidRDefault="00277B45" w:rsidP="00277B45">
      <w:pPr>
        <w:pStyle w:val="Ttulo"/>
        <w:ind w:left="-142" w:right="-138"/>
        <w:rPr>
          <w:rFonts w:eastAsia="MS Mincho"/>
          <w:i/>
          <w:noProof w:val="0"/>
          <w:sz w:val="16"/>
          <w:u w:val="single"/>
        </w:rPr>
      </w:pPr>
      <w:r w:rsidRPr="00277B45">
        <w:rPr>
          <w:rFonts w:eastAsia="MS Mincho"/>
          <w:i/>
          <w:noProof w:val="0"/>
          <w:u w:val="single"/>
        </w:rPr>
        <w:t>CASO GONZALES LLUY Y OTROS VS. ECUADO</w:t>
      </w:r>
      <w:r w:rsidRPr="00277B45">
        <w:rPr>
          <w:rFonts w:cs="Verdana Bold"/>
          <w:bCs/>
          <w:i/>
          <w:caps/>
          <w:u w:val="single"/>
        </w:rPr>
        <w:t>R</w:t>
      </w:r>
    </w:p>
    <w:p w14:paraId="67C0B9FA" w14:textId="77777777" w:rsidR="00277B45" w:rsidRPr="001020FF" w:rsidRDefault="00277B45" w:rsidP="00277B45">
      <w:pPr>
        <w:pStyle w:val="Ttulo"/>
        <w:ind w:left="-142" w:right="-138"/>
        <w:rPr>
          <w:rFonts w:eastAsia="MS Mincho"/>
          <w:noProof w:val="0"/>
        </w:rPr>
      </w:pPr>
    </w:p>
    <w:p w14:paraId="67AB8D9A" w14:textId="77777777" w:rsidR="00277B45" w:rsidRPr="0028214E" w:rsidRDefault="00277B45" w:rsidP="00277B45">
      <w:pPr>
        <w:pStyle w:val="Ttulo"/>
        <w:ind w:left="-142" w:right="-138"/>
        <w:rPr>
          <w:rFonts w:eastAsia="MS Mincho"/>
          <w:noProof w:val="0"/>
          <w:sz w:val="18"/>
          <w:szCs w:val="18"/>
        </w:rPr>
      </w:pPr>
      <w:r w:rsidRPr="0028214E">
        <w:rPr>
          <w:rFonts w:eastAsia="MS Mincho"/>
          <w:noProof w:val="0"/>
          <w:sz w:val="18"/>
          <w:szCs w:val="18"/>
        </w:rPr>
        <w:t>SENTENCIA DE 1 DE SEPTIEMBRE DE 2015</w:t>
      </w:r>
    </w:p>
    <w:p w14:paraId="3B64285C" w14:textId="77777777" w:rsidR="00277B45" w:rsidRPr="0028214E" w:rsidRDefault="0028214E" w:rsidP="00277B45">
      <w:pPr>
        <w:pStyle w:val="Subttulo"/>
        <w:ind w:left="-142" w:right="-138"/>
        <w:rPr>
          <w:noProof w:val="0"/>
          <w:sz w:val="18"/>
          <w:szCs w:val="18"/>
        </w:rPr>
      </w:pPr>
      <w:r w:rsidRPr="0028214E">
        <w:rPr>
          <w:noProof w:val="0"/>
          <w:sz w:val="18"/>
          <w:szCs w:val="18"/>
        </w:rPr>
        <w:t xml:space="preserve"> </w:t>
      </w:r>
      <w:r w:rsidR="00277B45" w:rsidRPr="0028214E">
        <w:rPr>
          <w:noProof w:val="0"/>
          <w:sz w:val="18"/>
          <w:szCs w:val="18"/>
        </w:rPr>
        <w:t>(Excepciones Preliminares, Fondo, Reparaciones y Costas)</w:t>
      </w:r>
    </w:p>
    <w:p w14:paraId="0C6D1BFB" w14:textId="77777777" w:rsidR="0021789C" w:rsidRDefault="0021789C" w:rsidP="0096529D">
      <w:pPr>
        <w:ind w:right="-138"/>
        <w:rPr>
          <w:noProof w:val="0"/>
          <w:szCs w:val="20"/>
        </w:rPr>
      </w:pPr>
    </w:p>
    <w:p w14:paraId="6C5B7549" w14:textId="77777777" w:rsidR="00816469" w:rsidRDefault="00816469" w:rsidP="0096529D">
      <w:pPr>
        <w:ind w:right="-138"/>
        <w:rPr>
          <w:noProof w:val="0"/>
          <w:szCs w:val="20"/>
        </w:rPr>
      </w:pPr>
    </w:p>
    <w:p w14:paraId="50D71565" w14:textId="6F23DC35" w:rsidR="0096529D" w:rsidRDefault="005D58FC" w:rsidP="0096529D">
      <w:pPr>
        <w:ind w:right="-138"/>
        <w:rPr>
          <w:noProof w:val="0"/>
          <w:szCs w:val="20"/>
        </w:rPr>
      </w:pPr>
      <w:r>
        <w:rPr>
          <w:noProof w:val="0"/>
          <w:szCs w:val="20"/>
        </w:rPr>
        <w:t xml:space="preserve">Los Jueces </w:t>
      </w:r>
      <w:r w:rsidR="001C1482">
        <w:rPr>
          <w:noProof w:val="0"/>
          <w:szCs w:val="20"/>
        </w:rPr>
        <w:t xml:space="preserve">Roberto F. Caldas </w:t>
      </w:r>
      <w:r>
        <w:rPr>
          <w:noProof w:val="0"/>
          <w:szCs w:val="20"/>
        </w:rPr>
        <w:t xml:space="preserve">y </w:t>
      </w:r>
      <w:r w:rsidR="001C1482">
        <w:rPr>
          <w:noProof w:val="0"/>
          <w:szCs w:val="20"/>
        </w:rPr>
        <w:t xml:space="preserve">Manuel E. Ventura Robles </w:t>
      </w:r>
      <w:r>
        <w:rPr>
          <w:noProof w:val="0"/>
          <w:szCs w:val="20"/>
        </w:rPr>
        <w:t>se adhirieron al presente Voto del Juez Eduardo Ferrer Mac-Gregor Poisot.</w:t>
      </w:r>
    </w:p>
    <w:p w14:paraId="38047B98" w14:textId="77777777" w:rsidR="005D58FC" w:rsidRDefault="005D58FC" w:rsidP="0096529D">
      <w:pPr>
        <w:ind w:right="-138"/>
        <w:rPr>
          <w:noProof w:val="0"/>
          <w:szCs w:val="20"/>
        </w:rPr>
      </w:pPr>
    </w:p>
    <w:p w14:paraId="665C99C8" w14:textId="77777777" w:rsidR="0096529D" w:rsidRDefault="00073BC7" w:rsidP="0096529D">
      <w:pPr>
        <w:pStyle w:val="Ttulo1"/>
      </w:pPr>
      <w:r>
        <w:t>INTRODUCCIÓN</w:t>
      </w:r>
      <w:r w:rsidR="00ED603F">
        <w:t>: SOBRE EL DERECHO A LA EDUCACIÓN</w:t>
      </w:r>
    </w:p>
    <w:p w14:paraId="0984828C" w14:textId="77777777" w:rsidR="00073BC7" w:rsidRPr="00BC1EDE" w:rsidRDefault="00ED603F" w:rsidP="0096529D">
      <w:pPr>
        <w:pStyle w:val="Ttulo1"/>
      </w:pPr>
      <w:r>
        <w:t>Y EL DERECHO A LA SALUD</w:t>
      </w:r>
    </w:p>
    <w:p w14:paraId="3B90F61F" w14:textId="77777777" w:rsidR="0021789C" w:rsidRPr="00BC1EDE" w:rsidRDefault="0021789C" w:rsidP="00A25249">
      <w:pPr>
        <w:ind w:left="-142" w:right="-138"/>
        <w:rPr>
          <w:noProof w:val="0"/>
          <w:szCs w:val="20"/>
        </w:rPr>
      </w:pPr>
    </w:p>
    <w:p w14:paraId="433EE51E" w14:textId="7D256C26" w:rsidR="006E39FB" w:rsidRDefault="00ED603F" w:rsidP="00F86D26">
      <w:pPr>
        <w:pStyle w:val="Prrafodelista"/>
        <w:numPr>
          <w:ilvl w:val="0"/>
          <w:numId w:val="1"/>
        </w:numPr>
        <w:contextualSpacing w:val="0"/>
      </w:pPr>
      <w:r>
        <w:rPr>
          <w:lang w:val="es-CR"/>
        </w:rPr>
        <w:t>Este es el primer caso en la historia de la Corte Interamericana de Derechos Humanos (en adelante “Corte IDH” o “Tribunal Interamericano”)</w:t>
      </w:r>
      <w:r w:rsidR="006E39FB" w:rsidRPr="006E39FB">
        <w:rPr>
          <w:lang w:val="es-CR"/>
        </w:rPr>
        <w:t xml:space="preserve"> en el que se declara la violación de una norma prevista en el Protocolo</w:t>
      </w:r>
      <w:r w:rsidR="006E39FB">
        <w:t xml:space="preserve"> Adicional a la Convención Americana sobre Derechos Humanos en Materia de Derechos Económicos, Sociales y Culturales (</w:t>
      </w:r>
      <w:r w:rsidR="00FE36CF">
        <w:t xml:space="preserve">en adelante </w:t>
      </w:r>
      <w:r w:rsidR="006E39FB">
        <w:t>“Protocolo de San Salvador”)</w:t>
      </w:r>
      <w:r w:rsidR="00D622B3">
        <w:rPr>
          <w:rStyle w:val="Refdenotaalpie"/>
        </w:rPr>
        <w:footnoteReference w:id="1"/>
      </w:r>
      <w:r w:rsidR="006E39FB">
        <w:t xml:space="preserve">. En efecto, en el caso </w:t>
      </w:r>
      <w:r w:rsidR="006E39FB" w:rsidRPr="00F86D26">
        <w:rPr>
          <w:i/>
        </w:rPr>
        <w:t xml:space="preserve">Gonzales Lluy y otros </w:t>
      </w:r>
      <w:r w:rsidR="006E39FB">
        <w:t xml:space="preserve">se declara la violación del </w:t>
      </w:r>
      <w:r w:rsidR="0096529D">
        <w:t>“</w:t>
      </w:r>
      <w:r w:rsidR="006E39FB">
        <w:t>derecho a la educación</w:t>
      </w:r>
      <w:r w:rsidR="0096529D">
        <w:t>”</w:t>
      </w:r>
      <w:r w:rsidR="006E39FB">
        <w:t xml:space="preserve"> </w:t>
      </w:r>
      <w:r w:rsidR="006D10D7">
        <w:t>consagrado</w:t>
      </w:r>
      <w:r w:rsidR="006E39FB">
        <w:t xml:space="preserve"> en el artículo 13 del mencionado Protocolo, teniendo en cuenta que </w:t>
      </w:r>
      <w:r w:rsidR="00306BEC">
        <w:t>Talí</w:t>
      </w:r>
      <w:r w:rsidR="006D10D7">
        <w:t xml:space="preserve">a Gabriela </w:t>
      </w:r>
      <w:r w:rsidR="00FE36CF">
        <w:t xml:space="preserve">Gonzales </w:t>
      </w:r>
      <w:r w:rsidR="006D10D7">
        <w:t xml:space="preserve">Lluy fue expulsada </w:t>
      </w:r>
      <w:r w:rsidR="00306BEC">
        <w:t xml:space="preserve">a los 5 años de edad </w:t>
      </w:r>
      <w:r w:rsidR="006D10D7">
        <w:t>del jardín infantil en el que se encontraba estudiando por motivos relacionados a su situación de salud y de persona con VIH</w:t>
      </w:r>
      <w:r w:rsidR="00D622B3">
        <w:rPr>
          <w:rStyle w:val="Refdenotaalpie"/>
        </w:rPr>
        <w:footnoteReference w:id="2"/>
      </w:r>
      <w:r w:rsidR="00E76EE7">
        <w:t>,</w:t>
      </w:r>
      <w:r w:rsidR="00442788">
        <w:t xml:space="preserve"> señalando la autoridad que Talía podía ejercer su derecho a la educación </w:t>
      </w:r>
      <w:r w:rsidR="00442788" w:rsidRPr="00F86D26">
        <w:rPr>
          <w:rFonts w:cs="Arial"/>
          <w:szCs w:val="20"/>
        </w:rPr>
        <w:t>“mediante una instrucción particularizada y a distancia”</w:t>
      </w:r>
      <w:r w:rsidR="00442788">
        <w:rPr>
          <w:rStyle w:val="Refdenotaalpie"/>
        </w:rPr>
        <w:footnoteReference w:id="3"/>
      </w:r>
      <w:r w:rsidR="00442788" w:rsidRPr="00F86D26">
        <w:rPr>
          <w:rFonts w:cs="Arial"/>
          <w:szCs w:val="20"/>
        </w:rPr>
        <w:t>.</w:t>
      </w:r>
    </w:p>
    <w:p w14:paraId="5EE89247" w14:textId="77777777" w:rsidR="006D10D7" w:rsidRPr="001020FF" w:rsidRDefault="006D10D7" w:rsidP="006D10D7">
      <w:pPr>
        <w:pStyle w:val="Textosinformato"/>
        <w:rPr>
          <w:rFonts w:ascii="Verdana" w:hAnsi="Verdana"/>
          <w:sz w:val="20"/>
          <w:szCs w:val="20"/>
        </w:rPr>
      </w:pPr>
    </w:p>
    <w:p w14:paraId="1B409A97" w14:textId="01984846" w:rsidR="006D10D7" w:rsidRPr="006D10D7" w:rsidRDefault="006D10D7" w:rsidP="006D10D7">
      <w:pPr>
        <w:pStyle w:val="Textosinformato"/>
        <w:numPr>
          <w:ilvl w:val="0"/>
          <w:numId w:val="1"/>
        </w:numPr>
        <w:contextualSpacing/>
        <w:jc w:val="both"/>
        <w:rPr>
          <w:rFonts w:ascii="Verdana" w:hAnsi="Verdana"/>
          <w:sz w:val="20"/>
          <w:szCs w:val="20"/>
        </w:rPr>
      </w:pPr>
      <w:r w:rsidRPr="006D10D7">
        <w:rPr>
          <w:rFonts w:ascii="Verdana" w:hAnsi="Verdana"/>
          <w:sz w:val="20"/>
          <w:szCs w:val="20"/>
          <w:lang w:val="es-ES"/>
        </w:rPr>
        <w:t xml:space="preserve">La Corte </w:t>
      </w:r>
      <w:r w:rsidR="00D622B3">
        <w:rPr>
          <w:rFonts w:ascii="Verdana" w:hAnsi="Verdana"/>
          <w:sz w:val="20"/>
          <w:szCs w:val="20"/>
          <w:lang w:val="es-ES"/>
        </w:rPr>
        <w:t xml:space="preserve">IDH </w:t>
      </w:r>
      <w:r w:rsidRPr="006D10D7">
        <w:rPr>
          <w:rFonts w:ascii="Verdana" w:hAnsi="Verdana"/>
          <w:sz w:val="20"/>
          <w:szCs w:val="20"/>
          <w:lang w:val="es-ES"/>
        </w:rPr>
        <w:t xml:space="preserve">concluyó que el riesgo real y significativo de contagio que pusiese en riesgo la salud de las </w:t>
      </w:r>
      <w:r w:rsidR="00442788">
        <w:rPr>
          <w:rFonts w:ascii="Verdana" w:hAnsi="Verdana"/>
          <w:sz w:val="20"/>
          <w:szCs w:val="20"/>
          <w:lang w:val="es-ES"/>
        </w:rPr>
        <w:t>niñas y niños compañeros de Talí</w:t>
      </w:r>
      <w:r w:rsidRPr="006D10D7">
        <w:rPr>
          <w:rFonts w:ascii="Verdana" w:hAnsi="Verdana"/>
          <w:sz w:val="20"/>
          <w:szCs w:val="20"/>
          <w:lang w:val="es-ES"/>
        </w:rPr>
        <w:t xml:space="preserve">a era sumamente reducido. En el marco de un juicio de necesidad y estricta proporcionalidad de la medida, el Tribunal </w:t>
      </w:r>
      <w:r w:rsidR="00D622B3">
        <w:rPr>
          <w:rFonts w:ascii="Verdana" w:hAnsi="Verdana"/>
          <w:sz w:val="20"/>
          <w:szCs w:val="20"/>
          <w:lang w:val="es-ES"/>
        </w:rPr>
        <w:t xml:space="preserve">Interamericano </w:t>
      </w:r>
      <w:r w:rsidRPr="006D10D7">
        <w:rPr>
          <w:rFonts w:ascii="Verdana" w:hAnsi="Verdana"/>
          <w:sz w:val="20"/>
          <w:szCs w:val="20"/>
          <w:lang w:val="es-ES"/>
        </w:rPr>
        <w:t>resaltó que el medio escogido constituía la alternativa más lesiva y desproporcionada de las disponibles para cumplir con la finalidad de proteger la integridad de las demás niñas</w:t>
      </w:r>
      <w:r w:rsidR="00442788">
        <w:rPr>
          <w:rFonts w:ascii="Verdana" w:hAnsi="Verdana"/>
          <w:sz w:val="20"/>
          <w:szCs w:val="20"/>
          <w:lang w:val="es-ES"/>
        </w:rPr>
        <w:t xml:space="preserve"> y niños</w:t>
      </w:r>
      <w:r w:rsidRPr="006D10D7">
        <w:rPr>
          <w:rFonts w:ascii="Verdana" w:hAnsi="Verdana"/>
          <w:sz w:val="20"/>
          <w:szCs w:val="20"/>
          <w:lang w:val="es-ES"/>
        </w:rPr>
        <w:t xml:space="preserve"> del establecimiento educativo. Asimismo, la </w:t>
      </w:r>
      <w:r w:rsidR="00D622B3">
        <w:rPr>
          <w:rFonts w:ascii="Verdana" w:hAnsi="Verdana"/>
          <w:sz w:val="20"/>
          <w:szCs w:val="20"/>
          <w:lang w:val="es-ES"/>
        </w:rPr>
        <w:t xml:space="preserve">autoridad nacional </w:t>
      </w:r>
      <w:r w:rsidRPr="006D10D7">
        <w:rPr>
          <w:rFonts w:ascii="Verdana" w:hAnsi="Verdana"/>
          <w:sz w:val="20"/>
          <w:szCs w:val="20"/>
          <w:lang w:val="es-ES"/>
        </w:rPr>
        <w:t xml:space="preserve">utilizó </w:t>
      </w:r>
      <w:r w:rsidRPr="006D10D7">
        <w:rPr>
          <w:rFonts w:ascii="Verdana" w:hAnsi="Verdana"/>
          <w:sz w:val="20"/>
          <w:szCs w:val="20"/>
        </w:rPr>
        <w:t>argumentos abstractos y estereotipados para fundamentar una decisión que resultó extrema e innecesaria</w:t>
      </w:r>
      <w:r w:rsidR="00E76EE7">
        <w:rPr>
          <w:rFonts w:ascii="Verdana" w:hAnsi="Verdana"/>
          <w:sz w:val="20"/>
          <w:szCs w:val="20"/>
        </w:rPr>
        <w:t>,</w:t>
      </w:r>
      <w:r w:rsidRPr="006D10D7">
        <w:rPr>
          <w:rFonts w:ascii="Verdana" w:hAnsi="Verdana"/>
          <w:sz w:val="20"/>
          <w:szCs w:val="20"/>
        </w:rPr>
        <w:t xml:space="preserve"> por lo que la decisión constituyó un trato d</w:t>
      </w:r>
      <w:r w:rsidR="00442788">
        <w:rPr>
          <w:rFonts w:ascii="Verdana" w:hAnsi="Verdana"/>
          <w:sz w:val="20"/>
          <w:szCs w:val="20"/>
        </w:rPr>
        <w:t>iscriminatorio en contra de Talí</w:t>
      </w:r>
      <w:r w:rsidRPr="006D10D7">
        <w:rPr>
          <w:rFonts w:ascii="Verdana" w:hAnsi="Verdana"/>
          <w:sz w:val="20"/>
          <w:szCs w:val="20"/>
        </w:rPr>
        <w:t xml:space="preserve">a. </w:t>
      </w:r>
      <w:bookmarkStart w:id="1" w:name="_Ref319668878"/>
      <w:r w:rsidRPr="006D10D7">
        <w:rPr>
          <w:rFonts w:ascii="Verdana" w:hAnsi="Verdana"/>
          <w:sz w:val="20"/>
          <w:szCs w:val="20"/>
        </w:rPr>
        <w:t>Además</w:t>
      </w:r>
      <w:r w:rsidR="00B14AC1">
        <w:rPr>
          <w:rFonts w:ascii="Verdana" w:hAnsi="Verdana"/>
          <w:sz w:val="20"/>
          <w:szCs w:val="20"/>
        </w:rPr>
        <w:t xml:space="preserve"> —</w:t>
      </w:r>
      <w:r w:rsidRPr="006D10D7">
        <w:rPr>
          <w:rFonts w:ascii="Verdana" w:hAnsi="Verdana"/>
          <w:sz w:val="20"/>
          <w:szCs w:val="20"/>
        </w:rPr>
        <w:t>tal como profundizo en un apartado posterior</w:t>
      </w:r>
      <w:r w:rsidR="00B14AC1">
        <w:rPr>
          <w:rFonts w:ascii="Verdana" w:hAnsi="Verdana"/>
          <w:sz w:val="20"/>
          <w:szCs w:val="20"/>
        </w:rPr>
        <w:t>—</w:t>
      </w:r>
      <w:r w:rsidRPr="006D10D7">
        <w:rPr>
          <w:rFonts w:ascii="Verdana" w:hAnsi="Verdana"/>
          <w:sz w:val="20"/>
          <w:szCs w:val="20"/>
        </w:rPr>
        <w:t xml:space="preserve">, la Corte </w:t>
      </w:r>
      <w:r w:rsidR="00442788">
        <w:rPr>
          <w:rFonts w:ascii="Verdana" w:hAnsi="Verdana"/>
          <w:sz w:val="20"/>
          <w:szCs w:val="20"/>
        </w:rPr>
        <w:t xml:space="preserve">IDH </w:t>
      </w:r>
      <w:r w:rsidR="00E8513E">
        <w:rPr>
          <w:rFonts w:ascii="Verdana" w:hAnsi="Verdana"/>
          <w:sz w:val="20"/>
          <w:szCs w:val="20"/>
        </w:rPr>
        <w:t>consideró</w:t>
      </w:r>
      <w:r w:rsidRPr="006D10D7">
        <w:rPr>
          <w:rFonts w:ascii="Verdana" w:hAnsi="Verdana"/>
          <w:sz w:val="20"/>
          <w:szCs w:val="20"/>
        </w:rPr>
        <w:t xml:space="preserve"> </w:t>
      </w:r>
      <w:r w:rsidRPr="006D10D7">
        <w:rPr>
          <w:rFonts w:ascii="Verdana" w:hAnsi="Verdana"/>
          <w:sz w:val="20"/>
          <w:szCs w:val="20"/>
        </w:rPr>
        <w:lastRenderedPageBreak/>
        <w:t>que la víctima sufrió una discriminación derivada de su condición de persona viviendo con VIH, de niña, de mujer y en condición de pobreza</w:t>
      </w:r>
      <w:bookmarkEnd w:id="1"/>
      <w:r w:rsidR="00B14AC1">
        <w:rPr>
          <w:rFonts w:ascii="Verdana" w:hAnsi="Verdana"/>
          <w:sz w:val="20"/>
          <w:szCs w:val="20"/>
        </w:rPr>
        <w:t>, utilizando el Tribunal Interamericano por primera vez el concepto de “interseccionalidad” para el análisis de la discriminación.</w:t>
      </w:r>
      <w:r w:rsidRPr="006D10D7">
        <w:rPr>
          <w:rFonts w:ascii="Verdana" w:hAnsi="Verdana"/>
          <w:sz w:val="20"/>
          <w:szCs w:val="20"/>
        </w:rPr>
        <w:t xml:space="preserve"> </w:t>
      </w:r>
    </w:p>
    <w:p w14:paraId="187762CF" w14:textId="77777777" w:rsidR="006D10D7" w:rsidRPr="006D10D7" w:rsidRDefault="006D10D7" w:rsidP="006D10D7">
      <w:pPr>
        <w:pStyle w:val="Prrafodelista"/>
        <w:ind w:left="0"/>
        <w:contextualSpacing w:val="0"/>
        <w:rPr>
          <w:lang w:val="es-CR"/>
        </w:rPr>
      </w:pPr>
    </w:p>
    <w:p w14:paraId="37164B68" w14:textId="4C2E9EC8" w:rsidR="006E39FB" w:rsidRPr="00946CA9" w:rsidRDefault="006E39FB" w:rsidP="006E39FB">
      <w:pPr>
        <w:pStyle w:val="Prrafodelista"/>
        <w:numPr>
          <w:ilvl w:val="0"/>
          <w:numId w:val="1"/>
        </w:numPr>
        <w:contextualSpacing w:val="0"/>
      </w:pPr>
      <w:r>
        <w:t>Por otra parte, siguiendo su jurisprudencia previa respecto a la obligación de regulación, supervisión y fiscalización de la prestación</w:t>
      </w:r>
      <w:r w:rsidR="00442788">
        <w:t xml:space="preserve"> de servicios de salud, el Tribunal Interamericano</w:t>
      </w:r>
      <w:r>
        <w:t xml:space="preserve"> declaró la violación de los artículos 4 y 5 de la Convención Americana r</w:t>
      </w:r>
      <w:r w:rsidR="00E8513E">
        <w:t>especto al derecho a la vida y del</w:t>
      </w:r>
      <w:r>
        <w:t xml:space="preserve"> derecho a la integridad personal. En el presente caso la declaración de la violación del </w:t>
      </w:r>
      <w:r w:rsidR="0096529D">
        <w:t>“</w:t>
      </w:r>
      <w:r>
        <w:t>derecho a la vida</w:t>
      </w:r>
      <w:r w:rsidR="0096529D">
        <w:t>”</w:t>
      </w:r>
      <w:r>
        <w:t xml:space="preserve"> tuvo la particularidad de involucrar una argumentación que va mucho más allá del concepto de “vida digna” y que involucra </w:t>
      </w:r>
      <w:r w:rsidR="001049FA">
        <w:t xml:space="preserve">un análisis de circunstancias extremas como las del presente caso, donde los hechos generadores de responsabilidad internacional están asociados a un </w:t>
      </w:r>
      <w:r w:rsidR="0096529D">
        <w:t xml:space="preserve">riesgo grave para la vida de </w:t>
      </w:r>
      <w:r w:rsidR="001049FA">
        <w:t xml:space="preserve">Talía Gonzales Lluy, </w:t>
      </w:r>
      <w:r w:rsidR="0096529D">
        <w:t xml:space="preserve">riesgo con el que tendrá que </w:t>
      </w:r>
      <w:r w:rsidR="001049FA">
        <w:t xml:space="preserve">vivir durante toda su vida. </w:t>
      </w:r>
      <w:r w:rsidR="007428B1">
        <w:t>La declaración de la responsabilidad estatal tuvo en cuenta el contexto particular de vulnerabilidad enfrentado por la familia Lluy y las condiciones particulares de Talía en tanto mujer, niña, pobre y persona con VIH.</w:t>
      </w:r>
    </w:p>
    <w:p w14:paraId="6D57B510" w14:textId="77777777" w:rsidR="00946CA9" w:rsidRPr="00946CA9" w:rsidRDefault="00946CA9" w:rsidP="00946CA9">
      <w:pPr>
        <w:pStyle w:val="Prrafodelista"/>
        <w:ind w:left="0"/>
        <w:contextualSpacing w:val="0"/>
      </w:pPr>
    </w:p>
    <w:p w14:paraId="58CA104F" w14:textId="3AE8FDD6" w:rsidR="000C5014" w:rsidRDefault="00C92EF7" w:rsidP="000C5014">
      <w:pPr>
        <w:pStyle w:val="Prrafodelista"/>
        <w:numPr>
          <w:ilvl w:val="0"/>
          <w:numId w:val="1"/>
        </w:numPr>
        <w:contextualSpacing w:val="0"/>
      </w:pPr>
      <w:r>
        <w:t>Concurro plena</w:t>
      </w:r>
      <w:r w:rsidR="000C5014">
        <w:t>mente con lo establecido en la</w:t>
      </w:r>
      <w:r>
        <w:t xml:space="preserve"> Sentencia</w:t>
      </w:r>
      <w:r w:rsidR="000C5014">
        <w:t>. E</w:t>
      </w:r>
      <w:r>
        <w:t>mi</w:t>
      </w:r>
      <w:r w:rsidR="000C5014">
        <w:t xml:space="preserve">to el presente Voto </w:t>
      </w:r>
      <w:r>
        <w:t xml:space="preserve">porque estimo necesario enfatizar </w:t>
      </w:r>
      <w:r w:rsidR="00E8513E">
        <w:t xml:space="preserve">y profundizar </w:t>
      </w:r>
      <w:r w:rsidR="0096529D">
        <w:t>alguno</w:t>
      </w:r>
      <w:r w:rsidR="00E8513E">
        <w:t>s elementos del caso, que considero</w:t>
      </w:r>
      <w:r w:rsidR="0060788F">
        <w:t xml:space="preserve"> fundamentales para el desarrollo del </w:t>
      </w:r>
      <w:r w:rsidR="00873848">
        <w:t>S</w:t>
      </w:r>
      <w:r w:rsidR="0060788F">
        <w:t xml:space="preserve">istema </w:t>
      </w:r>
      <w:r w:rsidR="00873848">
        <w:t>I</w:t>
      </w:r>
      <w:r w:rsidR="0060788F">
        <w:t xml:space="preserve">nteramericano de </w:t>
      </w:r>
      <w:r w:rsidR="00873848">
        <w:t>D</w:t>
      </w:r>
      <w:r w:rsidR="0060788F">
        <w:t xml:space="preserve">erechos </w:t>
      </w:r>
      <w:r w:rsidR="00873848">
        <w:t>H</w:t>
      </w:r>
      <w:r w:rsidR="0060788F">
        <w:t xml:space="preserve">umanos: </w:t>
      </w:r>
      <w:r w:rsidR="000C5014">
        <w:t xml:space="preserve">I) </w:t>
      </w:r>
      <w:r w:rsidR="004440F0">
        <w:t>e</w:t>
      </w:r>
      <w:r w:rsidR="00BC3A5F">
        <w:t xml:space="preserve">l concepto de </w:t>
      </w:r>
      <w:r w:rsidR="000C5014">
        <w:t>“</w:t>
      </w:r>
      <w:r w:rsidR="00BC3A5F">
        <w:t>interseccionalidad</w:t>
      </w:r>
      <w:r w:rsidR="000C5014">
        <w:t>”</w:t>
      </w:r>
      <w:r w:rsidR="00BC3A5F">
        <w:t xml:space="preserve"> en l</w:t>
      </w:r>
      <w:r w:rsidR="00BC3A5F" w:rsidRPr="002F0CF8">
        <w:t>a discriminación</w:t>
      </w:r>
      <w:r w:rsidR="000C5014">
        <w:t xml:space="preserve"> (</w:t>
      </w:r>
      <w:r w:rsidR="000C5014" w:rsidRPr="000C5014">
        <w:rPr>
          <w:i/>
        </w:rPr>
        <w:t xml:space="preserve">párrs. </w:t>
      </w:r>
      <w:r w:rsidR="004440F0">
        <w:rPr>
          <w:i/>
        </w:rPr>
        <w:t>5</w:t>
      </w:r>
      <w:r w:rsidR="000C5014" w:rsidRPr="000C5014">
        <w:rPr>
          <w:i/>
        </w:rPr>
        <w:t>-12</w:t>
      </w:r>
      <w:r w:rsidR="000C5014">
        <w:t xml:space="preserve">); II) </w:t>
      </w:r>
      <w:r w:rsidR="004440F0">
        <w:t>l</w:t>
      </w:r>
      <w:r w:rsidR="00BC3A5F" w:rsidRPr="002F0CF8">
        <w:t xml:space="preserve">a posibilidad de haber abordado el </w:t>
      </w:r>
      <w:r w:rsidR="0096529D">
        <w:t>“</w:t>
      </w:r>
      <w:r w:rsidR="00BC3A5F" w:rsidRPr="002F0CF8">
        <w:t>derecho a la salud</w:t>
      </w:r>
      <w:r w:rsidR="0096529D">
        <w:t>”</w:t>
      </w:r>
      <w:r w:rsidR="00BC3A5F" w:rsidRPr="002F0CF8">
        <w:t xml:space="preserve"> de manera directa y eventualmente haber declarado la violación del artículo 26 de la Convención Americana</w:t>
      </w:r>
      <w:r w:rsidR="000C5014">
        <w:t xml:space="preserve"> (</w:t>
      </w:r>
      <w:r w:rsidR="000C5014" w:rsidRPr="000C5014">
        <w:rPr>
          <w:i/>
        </w:rPr>
        <w:t>párrs. 13-17</w:t>
      </w:r>
      <w:r w:rsidR="000C5014">
        <w:t xml:space="preserve">); y III) </w:t>
      </w:r>
      <w:r w:rsidR="004440F0">
        <w:t>l</w:t>
      </w:r>
      <w:r w:rsidR="000C5014">
        <w:t xml:space="preserve">a necesidad de seguir avanzando hacia la justiciabilidad plena de los derechos económicos, sociales, culturales y ambientales en el </w:t>
      </w:r>
      <w:r w:rsidR="002E73D2">
        <w:t>S</w:t>
      </w:r>
      <w:r w:rsidR="000C5014">
        <w:t xml:space="preserve">istema </w:t>
      </w:r>
      <w:r w:rsidR="002E73D2">
        <w:t>I</w:t>
      </w:r>
      <w:r w:rsidR="000C5014">
        <w:t>nteramericano</w:t>
      </w:r>
      <w:r w:rsidR="000C5014">
        <w:rPr>
          <w:lang w:val="es-MX"/>
        </w:rPr>
        <w:t xml:space="preserve"> (</w:t>
      </w:r>
      <w:r w:rsidR="000C5014" w:rsidRPr="000C5014">
        <w:rPr>
          <w:i/>
          <w:lang w:val="es-MX"/>
        </w:rPr>
        <w:t>párrs. 18-23</w:t>
      </w:r>
      <w:r w:rsidR="000C5014">
        <w:rPr>
          <w:lang w:val="es-MX"/>
        </w:rPr>
        <w:t>).</w:t>
      </w:r>
    </w:p>
    <w:p w14:paraId="5AE09D4F" w14:textId="77777777" w:rsidR="0096529D" w:rsidRDefault="0096529D" w:rsidP="0096529D"/>
    <w:p w14:paraId="75FFCE24" w14:textId="77777777" w:rsidR="00395FBB" w:rsidRDefault="0096529D" w:rsidP="0096529D">
      <w:pPr>
        <w:pStyle w:val="Ttulo1"/>
      </w:pPr>
      <w:r>
        <w:t xml:space="preserve">I.  </w:t>
      </w:r>
      <w:r w:rsidR="00BC3A5F">
        <w:t>interseccionalidad de la discriminación</w:t>
      </w:r>
    </w:p>
    <w:p w14:paraId="7194313D" w14:textId="77777777" w:rsidR="00900B45" w:rsidRPr="00900B45" w:rsidRDefault="00900B45" w:rsidP="00900B45">
      <w:pPr>
        <w:pStyle w:val="Prrafodelista"/>
        <w:ind w:left="1287"/>
      </w:pPr>
    </w:p>
    <w:p w14:paraId="5D31DC3B" w14:textId="7DE6ADB6" w:rsidR="00F86D26" w:rsidRPr="00F86D26" w:rsidRDefault="00F86D26" w:rsidP="00F86D26">
      <w:pPr>
        <w:pStyle w:val="Prrafodelista"/>
        <w:numPr>
          <w:ilvl w:val="0"/>
          <w:numId w:val="1"/>
        </w:numPr>
        <w:contextualSpacing w:val="0"/>
        <w:rPr>
          <w:szCs w:val="20"/>
        </w:rPr>
      </w:pPr>
      <w:r>
        <w:t xml:space="preserve">El Tribunal Interamericano consideró que </w:t>
      </w:r>
      <w:r w:rsidRPr="001020FF">
        <w:rPr>
          <w:szCs w:val="20"/>
        </w:rPr>
        <w:t xml:space="preserve">el Estado violó el </w:t>
      </w:r>
      <w:r>
        <w:rPr>
          <w:szCs w:val="20"/>
        </w:rPr>
        <w:t>“</w:t>
      </w:r>
      <w:r w:rsidRPr="001020FF">
        <w:rPr>
          <w:szCs w:val="20"/>
        </w:rPr>
        <w:t>derecho a la educación</w:t>
      </w:r>
      <w:r>
        <w:rPr>
          <w:szCs w:val="20"/>
        </w:rPr>
        <w:t>”</w:t>
      </w:r>
      <w:r w:rsidRPr="001020FF">
        <w:rPr>
          <w:szCs w:val="20"/>
        </w:rPr>
        <w:t xml:space="preserve"> contenido en el artículo 13 del P</w:t>
      </w:r>
      <w:r w:rsidR="004440F0">
        <w:rPr>
          <w:szCs w:val="20"/>
        </w:rPr>
        <w:t>rotocolo</w:t>
      </w:r>
      <w:r w:rsidRPr="001020FF">
        <w:rPr>
          <w:szCs w:val="20"/>
        </w:rPr>
        <w:t xml:space="preserve"> de San Salvador</w:t>
      </w:r>
      <w:r>
        <w:rPr>
          <w:rStyle w:val="Refdenotaalpie"/>
        </w:rPr>
        <w:footnoteReference w:id="4"/>
      </w:r>
      <w:r w:rsidRPr="001020FF">
        <w:rPr>
          <w:szCs w:val="20"/>
        </w:rPr>
        <w:t xml:space="preserve">, en relación con los artículos 19 </w:t>
      </w:r>
      <w:r w:rsidR="0096529D">
        <w:rPr>
          <w:szCs w:val="20"/>
        </w:rPr>
        <w:lastRenderedPageBreak/>
        <w:t xml:space="preserve">(derechos del niño) </w:t>
      </w:r>
      <w:r w:rsidRPr="001020FF">
        <w:rPr>
          <w:szCs w:val="20"/>
        </w:rPr>
        <w:t xml:space="preserve">y 1.1 </w:t>
      </w:r>
      <w:r w:rsidR="0096529D">
        <w:rPr>
          <w:szCs w:val="20"/>
        </w:rPr>
        <w:t>(</w:t>
      </w:r>
      <w:r w:rsidR="004440F0">
        <w:rPr>
          <w:szCs w:val="20"/>
        </w:rPr>
        <w:t>o</w:t>
      </w:r>
      <w:r w:rsidR="0096529D">
        <w:rPr>
          <w:szCs w:val="20"/>
        </w:rPr>
        <w:t xml:space="preserve">bligación de respetar los derechos) </w:t>
      </w:r>
      <w:r w:rsidRPr="001020FF">
        <w:rPr>
          <w:szCs w:val="20"/>
        </w:rPr>
        <w:t xml:space="preserve">de la Convención Americana en perjuicio de </w:t>
      </w:r>
      <w:r>
        <w:rPr>
          <w:szCs w:val="20"/>
        </w:rPr>
        <w:t>Talía</w:t>
      </w:r>
      <w:r w:rsidRPr="001020FF">
        <w:rPr>
          <w:szCs w:val="20"/>
        </w:rPr>
        <w:t xml:space="preserve"> Gonzales Lluy</w:t>
      </w:r>
      <w:r w:rsidR="00421FBA">
        <w:rPr>
          <w:szCs w:val="20"/>
        </w:rPr>
        <w:t>, debido a la discriminación sufrida teniendo en consideración</w:t>
      </w:r>
      <w:r>
        <w:rPr>
          <w:szCs w:val="20"/>
        </w:rPr>
        <w:t xml:space="preserve"> su condición de persona viviendo con VIH, de niña, de mujer y </w:t>
      </w:r>
      <w:r w:rsidR="004C757B">
        <w:rPr>
          <w:szCs w:val="20"/>
        </w:rPr>
        <w:t xml:space="preserve">en </w:t>
      </w:r>
      <w:r>
        <w:rPr>
          <w:szCs w:val="20"/>
        </w:rPr>
        <w:t>condición de pobreza.</w:t>
      </w:r>
    </w:p>
    <w:p w14:paraId="5CDAB300" w14:textId="77777777" w:rsidR="00F86D26" w:rsidRDefault="00F86D26" w:rsidP="00F86D26">
      <w:pPr>
        <w:pStyle w:val="Prrafodelista"/>
        <w:ind w:left="0"/>
        <w:contextualSpacing w:val="0"/>
      </w:pPr>
    </w:p>
    <w:p w14:paraId="4D11F299" w14:textId="77777777" w:rsidR="00395FBB" w:rsidRDefault="00F86D26" w:rsidP="00395FBB">
      <w:pPr>
        <w:pStyle w:val="Prrafodelista"/>
        <w:numPr>
          <w:ilvl w:val="0"/>
          <w:numId w:val="1"/>
        </w:numPr>
        <w:contextualSpacing w:val="0"/>
      </w:pPr>
      <w:r>
        <w:t>L</w:t>
      </w:r>
      <w:r w:rsidR="000C5014">
        <w:t>a Corte IDH por primera vez utiliza</w:t>
      </w:r>
      <w:r w:rsidR="00B015D5">
        <w:t xml:space="preserve"> el concepto de </w:t>
      </w:r>
      <w:r>
        <w:t>“</w:t>
      </w:r>
      <w:r w:rsidR="00B015D5">
        <w:t>interseccionalidad</w:t>
      </w:r>
      <w:r>
        <w:t>”</w:t>
      </w:r>
      <w:r w:rsidR="00B015D5">
        <w:t xml:space="preserve"> de la discriminación en los siguientes términos:</w:t>
      </w:r>
    </w:p>
    <w:p w14:paraId="4494AB21" w14:textId="77777777" w:rsidR="00B12008" w:rsidRPr="00085970" w:rsidRDefault="00B12008" w:rsidP="00B12008">
      <w:pPr>
        <w:pStyle w:val="Prrafodelista"/>
        <w:ind w:left="0"/>
      </w:pPr>
    </w:p>
    <w:p w14:paraId="1675D8C6" w14:textId="398F3128" w:rsidR="00B015D5" w:rsidRPr="00421FBA" w:rsidRDefault="001B6FF6" w:rsidP="00B12008">
      <w:pPr>
        <w:pStyle w:val="Prrafodelista"/>
        <w:contextualSpacing w:val="0"/>
        <w:rPr>
          <w:sz w:val="18"/>
          <w:szCs w:val="18"/>
        </w:rPr>
      </w:pPr>
      <w:r w:rsidRPr="00421FBA">
        <w:rPr>
          <w:snapToGrid w:val="0"/>
          <w:sz w:val="18"/>
          <w:szCs w:val="18"/>
          <w:lang w:val="es-CO"/>
        </w:rPr>
        <w:t>29</w:t>
      </w:r>
      <w:r w:rsidR="0035013D">
        <w:rPr>
          <w:snapToGrid w:val="0"/>
          <w:sz w:val="18"/>
          <w:szCs w:val="18"/>
          <w:lang w:val="es-CO"/>
        </w:rPr>
        <w:t>0</w:t>
      </w:r>
      <w:r w:rsidRPr="00421FBA">
        <w:rPr>
          <w:snapToGrid w:val="0"/>
          <w:sz w:val="18"/>
          <w:szCs w:val="18"/>
          <w:lang w:val="es-CO"/>
        </w:rPr>
        <w:t>.</w:t>
      </w:r>
      <w:r w:rsidRPr="00421FBA">
        <w:rPr>
          <w:snapToGrid w:val="0"/>
          <w:sz w:val="18"/>
          <w:szCs w:val="18"/>
          <w:lang w:val="es-CO"/>
        </w:rPr>
        <w:tab/>
      </w:r>
      <w:r w:rsidR="00B12008" w:rsidRPr="00421FBA">
        <w:rPr>
          <w:snapToGrid w:val="0"/>
          <w:sz w:val="18"/>
          <w:szCs w:val="18"/>
          <w:lang w:val="es-CO"/>
        </w:rPr>
        <w:t xml:space="preserve">Como se observa, la Corte nota que en el caso Talía confluyeron </w:t>
      </w:r>
      <w:r w:rsidR="00B12008" w:rsidRPr="00421FBA">
        <w:rPr>
          <w:b/>
          <w:snapToGrid w:val="0"/>
          <w:sz w:val="18"/>
          <w:szCs w:val="18"/>
          <w:lang w:val="es-CO"/>
        </w:rPr>
        <w:t>en forma interseccional</w:t>
      </w:r>
      <w:r w:rsidR="00B12008" w:rsidRPr="00421FBA">
        <w:rPr>
          <w:snapToGrid w:val="0"/>
          <w:sz w:val="18"/>
          <w:szCs w:val="18"/>
          <w:lang w:val="es-CO"/>
        </w:rPr>
        <w:t xml:space="preserve"> múltiples factores de vulnerabilidad y riesgo de discriminación asociados a su condición de niña, mujer, persona en situación de pobreza y persona viviendo con VIH. La discriminación que vivió Talía no sólo fue ocasionada por múltiples factores, </w:t>
      </w:r>
      <w:r w:rsidR="00B12008" w:rsidRPr="004C757B">
        <w:rPr>
          <w:b/>
          <w:snapToGrid w:val="0"/>
          <w:sz w:val="18"/>
          <w:szCs w:val="18"/>
          <w:lang w:val="es-CO"/>
        </w:rPr>
        <w:t>sino que derivó en una forma específica de discriminación que resultó de la intersección de dichos factores, es decir, si alguno de dichos factores no hubiese existido, la discriminación habría tenido una naturaleza diferente</w:t>
      </w:r>
      <w:r w:rsidR="00B12008" w:rsidRPr="00421FBA">
        <w:rPr>
          <w:snapToGrid w:val="0"/>
          <w:sz w:val="18"/>
          <w:szCs w:val="18"/>
          <w:lang w:val="es-CO"/>
        </w:rPr>
        <w:t>. En efecto, la pobreza impactó en el acceso inicial a una atención en salud que no fue de calidad y que, por el contrario, generó el contagio con VIH. La situación de pobreza impactó también en las dificultades para encontrar un mejor acceso al sistema educativo y tener una vivienda digna. Posteriormente, en tanto niña con VIH, los obstáculos que sufrió Talía en el acceso a la educación t</w:t>
      </w:r>
      <w:r w:rsidR="0035013D">
        <w:rPr>
          <w:snapToGrid w:val="0"/>
          <w:sz w:val="18"/>
          <w:szCs w:val="18"/>
          <w:lang w:val="es-CO"/>
        </w:rPr>
        <w:t>uvieron</w:t>
      </w:r>
      <w:r w:rsidR="00B12008" w:rsidRPr="00421FBA">
        <w:rPr>
          <w:snapToGrid w:val="0"/>
          <w:sz w:val="18"/>
          <w:szCs w:val="18"/>
          <w:lang w:val="es-CO"/>
        </w:rPr>
        <w:t xml:space="preserve"> un impacto negativo para su desarrollo integral, que es también un impacto diferenciado teniendo en cuenta el rol de la educación para superar los estereotipos de género. Como niña con VIH necesitaba mayor apoyo del Estado para impulsar su proyecto</w:t>
      </w:r>
      <w:r w:rsidR="006649C9">
        <w:rPr>
          <w:snapToGrid w:val="0"/>
          <w:sz w:val="18"/>
          <w:szCs w:val="18"/>
          <w:lang w:val="es-CO"/>
        </w:rPr>
        <w:t xml:space="preserve"> de</w:t>
      </w:r>
      <w:r w:rsidR="00B12008" w:rsidRPr="00421FBA">
        <w:rPr>
          <w:snapToGrid w:val="0"/>
          <w:sz w:val="18"/>
          <w:szCs w:val="18"/>
          <w:lang w:val="es-CO"/>
        </w:rPr>
        <w:t xml:space="preserve"> vida. Como mujer, Talía ha señalado los dilemas que siente en torno a la maternidad futura y su interacción en relaciones de pareja, y ha hecho visible que no ha contado con consejería adecuada. En suma, el caso de Talía ilustra que la estigmatización </w:t>
      </w:r>
      <w:r w:rsidR="00B12008" w:rsidRPr="00421FBA">
        <w:rPr>
          <w:sz w:val="18"/>
          <w:szCs w:val="18"/>
          <w:lang w:val="es-ES"/>
        </w:rPr>
        <w:t>relacionada con el VIH no impacta en forma homogénea a todas las personas y que resultan más graves los impactos en los grupos que de por sí son marginados.</w:t>
      </w:r>
      <w:r w:rsidR="000C5014" w:rsidRPr="00421FBA">
        <w:rPr>
          <w:sz w:val="18"/>
          <w:szCs w:val="18"/>
          <w:lang w:val="es-ES"/>
        </w:rPr>
        <w:t xml:space="preserve"> (N</w:t>
      </w:r>
      <w:r w:rsidR="00583FB4" w:rsidRPr="00421FBA">
        <w:rPr>
          <w:sz w:val="18"/>
          <w:szCs w:val="18"/>
          <w:lang w:val="es-ES"/>
        </w:rPr>
        <w:t>egrilla fuera de texto)</w:t>
      </w:r>
      <w:r w:rsidR="000C5014" w:rsidRPr="00421FBA">
        <w:rPr>
          <w:sz w:val="18"/>
          <w:szCs w:val="18"/>
          <w:lang w:val="es-ES"/>
        </w:rPr>
        <w:t>.</w:t>
      </w:r>
    </w:p>
    <w:p w14:paraId="4209D7DB" w14:textId="77777777" w:rsidR="00395FBB" w:rsidRDefault="00395FBB" w:rsidP="00395FBB">
      <w:pPr>
        <w:pStyle w:val="Prrafodelista"/>
        <w:ind w:left="0"/>
      </w:pPr>
    </w:p>
    <w:p w14:paraId="0EAAC1AE" w14:textId="30C9CB49" w:rsidR="00B1216B" w:rsidRPr="00B1216B" w:rsidRDefault="008A1021" w:rsidP="00B1216B">
      <w:pPr>
        <w:pStyle w:val="Prrafodelista"/>
        <w:numPr>
          <w:ilvl w:val="0"/>
          <w:numId w:val="1"/>
        </w:numPr>
        <w:contextualSpacing w:val="0"/>
      </w:pPr>
      <w:r>
        <w:rPr>
          <w:rFonts w:cs="Arial"/>
          <w:color w:val="000000"/>
          <w:szCs w:val="20"/>
          <w:lang w:val="es-ES"/>
        </w:rPr>
        <w:t>E</w:t>
      </w:r>
      <w:r w:rsidR="00570728">
        <w:rPr>
          <w:rFonts w:cs="Arial"/>
          <w:color w:val="000000"/>
          <w:szCs w:val="20"/>
          <w:lang w:val="es-ES"/>
        </w:rPr>
        <w:t xml:space="preserve">l </w:t>
      </w:r>
      <w:r>
        <w:rPr>
          <w:rFonts w:cs="Arial"/>
          <w:color w:val="000000"/>
          <w:szCs w:val="20"/>
          <w:lang w:val="es-ES"/>
        </w:rPr>
        <w:t>concepto</w:t>
      </w:r>
      <w:r w:rsidR="00570728">
        <w:rPr>
          <w:rFonts w:cs="Arial"/>
          <w:color w:val="000000"/>
          <w:szCs w:val="20"/>
          <w:lang w:val="es-ES"/>
        </w:rPr>
        <w:t xml:space="preserve"> de interseccionalidad</w:t>
      </w:r>
      <w:r>
        <w:rPr>
          <w:rFonts w:cs="Arial"/>
          <w:color w:val="000000"/>
          <w:szCs w:val="20"/>
          <w:lang w:val="es-ES"/>
        </w:rPr>
        <w:t xml:space="preserve"> </w:t>
      </w:r>
      <w:r w:rsidRPr="008A1021">
        <w:rPr>
          <w:szCs w:val="20"/>
          <w:lang w:val="es-ES" w:eastAsia="es-ES"/>
        </w:rPr>
        <w:t xml:space="preserve">permite profundizar la línea jurisprudencial del Tribunal </w:t>
      </w:r>
      <w:r w:rsidR="00421FBA">
        <w:rPr>
          <w:szCs w:val="20"/>
          <w:lang w:val="es-ES" w:eastAsia="es-ES"/>
        </w:rPr>
        <w:t xml:space="preserve">Interamericano </w:t>
      </w:r>
      <w:r w:rsidRPr="008A1021">
        <w:rPr>
          <w:szCs w:val="20"/>
          <w:lang w:val="es-ES" w:eastAsia="es-ES"/>
        </w:rPr>
        <w:t xml:space="preserve">sobre los alcances del principio de no discriminación, teniendo en cuenta que </w:t>
      </w:r>
      <w:r w:rsidR="0095431E">
        <w:rPr>
          <w:szCs w:val="20"/>
          <w:lang w:val="es-ES" w:eastAsia="es-ES"/>
        </w:rPr>
        <w:t xml:space="preserve">en el presente caso </w:t>
      </w:r>
      <w:r w:rsidRPr="008A1021">
        <w:rPr>
          <w:rFonts w:cs="Arial"/>
          <w:color w:val="000000"/>
          <w:szCs w:val="20"/>
          <w:lang w:val="es-ES"/>
        </w:rPr>
        <w:t>se configuró una discriminación múltiple asociad</w:t>
      </w:r>
      <w:r w:rsidR="006649C9">
        <w:rPr>
          <w:rFonts w:cs="Arial"/>
          <w:color w:val="000000"/>
          <w:szCs w:val="20"/>
          <w:lang w:val="es-ES"/>
        </w:rPr>
        <w:t>a</w:t>
      </w:r>
      <w:r w:rsidRPr="008A1021">
        <w:rPr>
          <w:rFonts w:cs="Arial"/>
          <w:color w:val="000000"/>
          <w:szCs w:val="20"/>
          <w:lang w:val="es-ES"/>
        </w:rPr>
        <w:t xml:space="preserve"> al carácter compuesto en las causas de la discriminación. En efect</w:t>
      </w:r>
      <w:r w:rsidR="0095431E">
        <w:rPr>
          <w:rFonts w:cs="Arial"/>
          <w:color w:val="000000"/>
          <w:szCs w:val="20"/>
          <w:lang w:val="es-ES"/>
        </w:rPr>
        <w:t xml:space="preserve">o, la discriminación contra Talía </w:t>
      </w:r>
      <w:r w:rsidR="00570728">
        <w:rPr>
          <w:rFonts w:cs="Arial"/>
          <w:color w:val="000000"/>
          <w:szCs w:val="20"/>
          <w:lang w:val="es-ES"/>
        </w:rPr>
        <w:t xml:space="preserve">estuvo </w:t>
      </w:r>
      <w:r w:rsidRPr="008A1021">
        <w:rPr>
          <w:rFonts w:cs="Arial"/>
          <w:color w:val="000000"/>
          <w:szCs w:val="20"/>
          <w:lang w:val="es-ES"/>
        </w:rPr>
        <w:t xml:space="preserve">asociada a </w:t>
      </w:r>
      <w:r w:rsidRPr="008A1021">
        <w:rPr>
          <w:szCs w:val="20"/>
          <w:lang w:val="es-ES"/>
        </w:rPr>
        <w:t xml:space="preserve">factores como ser mujer, persona con VIH, persona con discapacidad, ser menor de edad, y su estatus socioeconómico. Estos aspectos la hicieron más vulnerable y agravaron los daños que sufrió. </w:t>
      </w:r>
      <w:r w:rsidR="0095431E">
        <w:rPr>
          <w:szCs w:val="20"/>
          <w:lang w:val="es-ES"/>
        </w:rPr>
        <w:t>L</w:t>
      </w:r>
      <w:r w:rsidRPr="008A1021">
        <w:rPr>
          <w:szCs w:val="20"/>
          <w:lang w:val="es-ES" w:eastAsia="es-ES"/>
        </w:rPr>
        <w:t>a intersección de estos factores en una discriminación con caract</w:t>
      </w:r>
      <w:r w:rsidR="0095431E">
        <w:rPr>
          <w:szCs w:val="20"/>
          <w:lang w:val="es-ES" w:eastAsia="es-ES"/>
        </w:rPr>
        <w:t>erísticas específicas constituyó</w:t>
      </w:r>
      <w:r w:rsidRPr="008A1021">
        <w:rPr>
          <w:szCs w:val="20"/>
          <w:lang w:val="es-ES" w:eastAsia="es-ES"/>
        </w:rPr>
        <w:t xml:space="preserve"> </w:t>
      </w:r>
      <w:r w:rsidR="00570728">
        <w:rPr>
          <w:szCs w:val="20"/>
          <w:lang w:val="es-ES" w:eastAsia="es-ES"/>
        </w:rPr>
        <w:t xml:space="preserve">una discriminación múltiple que, a su vez, constituyó una </w:t>
      </w:r>
      <w:r w:rsidRPr="008A1021">
        <w:rPr>
          <w:szCs w:val="20"/>
          <w:lang w:val="es-ES" w:eastAsia="es-ES"/>
        </w:rPr>
        <w:t>discriminación interseccional.</w:t>
      </w:r>
      <w:r w:rsidR="00570728">
        <w:rPr>
          <w:szCs w:val="20"/>
          <w:lang w:val="es-ES" w:eastAsia="es-ES"/>
        </w:rPr>
        <w:t xml:space="preserve"> Sin embargo, no toda discriminación múltiple, necesariamente, está asociada a interseccionalidad.</w:t>
      </w:r>
    </w:p>
    <w:p w14:paraId="47D4F0E0" w14:textId="77777777" w:rsidR="00B1216B" w:rsidRDefault="00B1216B" w:rsidP="00B1216B">
      <w:pPr>
        <w:pStyle w:val="Prrafodelista"/>
        <w:ind w:left="0"/>
        <w:contextualSpacing w:val="0"/>
      </w:pPr>
    </w:p>
    <w:p w14:paraId="4F2991D9" w14:textId="7D16C647" w:rsidR="00A17697" w:rsidRPr="00A17697" w:rsidRDefault="00570728" w:rsidP="00A17697">
      <w:pPr>
        <w:pStyle w:val="Prrafodelista"/>
        <w:numPr>
          <w:ilvl w:val="0"/>
          <w:numId w:val="1"/>
        </w:numPr>
        <w:contextualSpacing w:val="0"/>
      </w:pPr>
      <w:r w:rsidRPr="00A17697">
        <w:rPr>
          <w:lang w:val="es-ES" w:eastAsia="es-ES"/>
        </w:rPr>
        <w:t>En efecto, r</w:t>
      </w:r>
      <w:r w:rsidR="008A1021" w:rsidRPr="00A17697">
        <w:rPr>
          <w:lang w:val="es-ES" w:eastAsia="es-ES"/>
        </w:rPr>
        <w:t xml:space="preserve">especto a la discriminación múltiple o compuesta, el Comité de Derechos Económicos, Sociales y Culturales </w:t>
      </w:r>
      <w:r w:rsidR="006649C9">
        <w:rPr>
          <w:lang w:val="es-ES" w:eastAsia="es-ES"/>
        </w:rPr>
        <w:t xml:space="preserve">de Naciones Unidas </w:t>
      </w:r>
      <w:r w:rsidR="008A1021" w:rsidRPr="00A17697">
        <w:rPr>
          <w:lang w:val="es-ES" w:eastAsia="es-ES"/>
        </w:rPr>
        <w:t>ha sostenido que algunos individuos o grupos sufren discriminación por más de uno de los motivos prohibidos, y que esa discriminación acumulativa afecta a las personas de manera especial y concreta y merece particular consideración y medidas específicas para combatirla</w:t>
      </w:r>
      <w:r w:rsidR="008A1021">
        <w:rPr>
          <w:rStyle w:val="Refdenotaalpie"/>
          <w:lang w:val="es-ES" w:eastAsia="es-ES"/>
        </w:rPr>
        <w:footnoteReference w:id="5"/>
      </w:r>
      <w:r w:rsidR="008A1021" w:rsidRPr="00A17697">
        <w:rPr>
          <w:lang w:val="es-ES" w:eastAsia="es-ES"/>
        </w:rPr>
        <w:t xml:space="preserve">. </w:t>
      </w:r>
      <w:r w:rsidR="00B1216B" w:rsidRPr="00A17697">
        <w:rPr>
          <w:lang w:val="es-ES" w:eastAsia="es-ES"/>
        </w:rPr>
        <w:t xml:space="preserve">Para que sea posible considerar una discriminación como “múltiple” es necesario que existan varios factores que motiven dicha discriminación. </w:t>
      </w:r>
      <w:r w:rsidR="00A17697" w:rsidRPr="00A17697">
        <w:rPr>
          <w:lang w:val="es-ES" w:eastAsia="es-ES"/>
        </w:rPr>
        <w:t xml:space="preserve">En similar sentido la </w:t>
      </w:r>
      <w:r w:rsidR="00A17697">
        <w:t>Convención Interamericana sobre la Protección de los Derechos Humanos de las Personas Mayores</w:t>
      </w:r>
      <w:r w:rsidR="009F08B4">
        <w:t xml:space="preserve">, adoptada </w:t>
      </w:r>
      <w:r w:rsidR="00421FBA">
        <w:t xml:space="preserve">por la Asamblea General de la OEA </w:t>
      </w:r>
      <w:r w:rsidR="009F08B4">
        <w:t>en junio de 2015,</w:t>
      </w:r>
      <w:r w:rsidR="00A17697">
        <w:t xml:space="preserve"> define la discriminación múltiple como “</w:t>
      </w:r>
      <w:r w:rsidR="00D96241">
        <w:t>[</w:t>
      </w:r>
      <w:r w:rsidR="00A17697">
        <w:t>c</w:t>
      </w:r>
      <w:r w:rsidR="00D96241">
        <w:t>]</w:t>
      </w:r>
      <w:r w:rsidR="00A17697" w:rsidRPr="0079006C">
        <w:t>ualquier distinción, exclusión o restricción hacia la persona mayor fundada en dos o más factores de discriminación</w:t>
      </w:r>
      <w:r w:rsidR="00A17697">
        <w:t>”</w:t>
      </w:r>
      <w:r w:rsidR="00A17697">
        <w:rPr>
          <w:rStyle w:val="Refdenotaalpie"/>
        </w:rPr>
        <w:footnoteReference w:id="6"/>
      </w:r>
      <w:r w:rsidR="00A17697" w:rsidRPr="0079006C">
        <w:t>.</w:t>
      </w:r>
    </w:p>
    <w:p w14:paraId="08CD0ED2" w14:textId="77777777" w:rsidR="00A17697" w:rsidRDefault="00A17697" w:rsidP="00A17697">
      <w:pPr>
        <w:pStyle w:val="Prrafodelista"/>
      </w:pPr>
    </w:p>
    <w:p w14:paraId="3DBE51BA" w14:textId="77777777" w:rsidR="00B1216B" w:rsidRPr="003B708D" w:rsidRDefault="00B1216B" w:rsidP="00B1216B">
      <w:pPr>
        <w:pStyle w:val="Prrafodelista"/>
        <w:numPr>
          <w:ilvl w:val="0"/>
          <w:numId w:val="1"/>
        </w:numPr>
        <w:contextualSpacing w:val="0"/>
      </w:pPr>
      <w:r w:rsidRPr="003B708D">
        <w:t>Ahora bien, lo múltiple alude al carácter compuesto de las causas de discriminación</w:t>
      </w:r>
      <w:r w:rsidR="00570728">
        <w:t xml:space="preserve">. Un aspecto diferente lo constituye determinar la forma como, en algunos casos, </w:t>
      </w:r>
      <w:r w:rsidRPr="003B708D">
        <w:t>interactúan esas causas entre sí</w:t>
      </w:r>
      <w:r w:rsidR="00570728">
        <w:t xml:space="preserve">, lo cual implica valorar si se proyectan en forma separada o en forma simultánea. </w:t>
      </w:r>
    </w:p>
    <w:p w14:paraId="49521254" w14:textId="77777777" w:rsidR="00395FBB" w:rsidRDefault="00395FBB" w:rsidP="00395FBB">
      <w:pPr>
        <w:pStyle w:val="Prrafodelista"/>
        <w:ind w:left="0"/>
      </w:pPr>
    </w:p>
    <w:p w14:paraId="6C95FE79" w14:textId="48887ABF" w:rsidR="00B10625" w:rsidRPr="003B708D" w:rsidRDefault="0095431E" w:rsidP="00B10625">
      <w:pPr>
        <w:pStyle w:val="Prrafodelista"/>
        <w:numPr>
          <w:ilvl w:val="0"/>
          <w:numId w:val="1"/>
        </w:numPr>
      </w:pPr>
      <w:r>
        <w:rPr>
          <w:lang w:val="es-ES" w:eastAsia="es-ES"/>
        </w:rPr>
        <w:t>Por su parte, l</w:t>
      </w:r>
      <w:r w:rsidRPr="00B6295E">
        <w:rPr>
          <w:lang w:val="es-ES" w:eastAsia="es-ES"/>
        </w:rPr>
        <w:t>a interseccionalidad de la discriminación no sólo describe una discriminación basada en diferentes motivos, sino que evoca un encuentro o concurrencia simultánea de diversas causas de discriminación. Es decir</w:t>
      </w:r>
      <w:r w:rsidR="00421FBA">
        <w:rPr>
          <w:lang w:val="es-ES" w:eastAsia="es-ES"/>
        </w:rPr>
        <w:t>,</w:t>
      </w:r>
      <w:r w:rsidRPr="00B6295E">
        <w:rPr>
          <w:lang w:val="es-ES" w:eastAsia="es-ES"/>
        </w:rPr>
        <w:t xml:space="preserve"> que en un mismo evento se produce una discriminación debido a la concurrencia de dos o más motivos prohibidos. Esa discriminación puede tener un efecto sinérgico, que supere la suma simple de varias formas de discriminación, o puede activar una forma específica de discriminación que sólo opera cuando se combinan varios motivos de discriminación. </w:t>
      </w:r>
      <w:r w:rsidR="00B10625" w:rsidRPr="00B10625">
        <w:rPr>
          <w:lang w:val="es-ES" w:eastAsia="es-ES"/>
        </w:rPr>
        <w:t xml:space="preserve">No toda discriminación múltiple sería discriminación interseccional. La interseccionalidad evoca un encuentro o concurrencia simultánea de diversas causas de discriminación. </w:t>
      </w:r>
      <w:r w:rsidR="00B10625" w:rsidRPr="003B708D">
        <w:t>Ello activa</w:t>
      </w:r>
      <w:r w:rsidR="00D96241">
        <w:t xml:space="preserve">o </w:t>
      </w:r>
      <w:r w:rsidR="00B10625" w:rsidRPr="003B708D">
        <w:t>visibiliza una discriminación que sólo se produce cuando se combinan dichos motivos</w:t>
      </w:r>
      <w:r w:rsidR="00AD30B4">
        <w:rPr>
          <w:rStyle w:val="Refdenotaalpie"/>
        </w:rPr>
        <w:footnoteReference w:id="7"/>
      </w:r>
      <w:r w:rsidR="00B10625" w:rsidRPr="003B708D">
        <w:t xml:space="preserve">. </w:t>
      </w:r>
    </w:p>
    <w:p w14:paraId="51505F9E" w14:textId="77777777" w:rsidR="00B10625" w:rsidRPr="00B10625" w:rsidRDefault="00B10625" w:rsidP="00B10625">
      <w:pPr>
        <w:pStyle w:val="Prrafodelista"/>
        <w:rPr>
          <w:lang w:eastAsia="es-ES"/>
        </w:rPr>
      </w:pPr>
    </w:p>
    <w:p w14:paraId="13710D63" w14:textId="77777777" w:rsidR="000C7DDB" w:rsidRPr="003B708D" w:rsidRDefault="00BE0A01" w:rsidP="000C7DDB">
      <w:pPr>
        <w:pStyle w:val="Prrafodelista"/>
        <w:numPr>
          <w:ilvl w:val="0"/>
          <w:numId w:val="1"/>
        </w:numPr>
      </w:pPr>
      <w:r w:rsidRPr="00C52B9C">
        <w:rPr>
          <w:lang w:val="es-ES"/>
        </w:rPr>
        <w:t>La discriminación interseccional se refiere</w:t>
      </w:r>
      <w:r w:rsidR="009A0D31">
        <w:rPr>
          <w:lang w:val="es-ES"/>
        </w:rPr>
        <w:t xml:space="preserve"> entonces</w:t>
      </w:r>
      <w:r w:rsidRPr="00C52B9C">
        <w:rPr>
          <w:lang w:val="es-ES"/>
        </w:rPr>
        <w:t xml:space="preserve"> a múltiples bases o factores interactuando para crear un riesgo o una carga de discriminación única o distinta. La interseccionalidad es asociada a dos características. Primero, las bases o los factores son analíticamente inseparables como la experiencia de la discriminación no puede ser desagregada en diferentes bases. La experiencia es transformada por la interacción. Segundo, la interseccionalidad es asociada con una experiencia cualitativa diferente, creando consecuencias para esos afectados en formas que son diferentes por las consecuencias sufridas por aquellos que son sujetos de solo una forma de discriminación</w:t>
      </w:r>
      <w:r>
        <w:rPr>
          <w:rStyle w:val="Refdenotaalpie"/>
          <w:lang w:val="es-ES"/>
        </w:rPr>
        <w:footnoteReference w:id="8"/>
      </w:r>
      <w:r w:rsidRPr="00C52B9C">
        <w:rPr>
          <w:lang w:val="es-ES"/>
        </w:rPr>
        <w:t xml:space="preserve">. </w:t>
      </w:r>
      <w:r w:rsidR="000C7DDB" w:rsidRPr="003B708D">
        <w:t xml:space="preserve">Este enfoque es importante porque permite visibilizar las particularidades de la discriminación que sufren grupos que históricamente han sido discriminados por más de uno de </w:t>
      </w:r>
      <w:r w:rsidR="00270048">
        <w:t xml:space="preserve">los </w:t>
      </w:r>
      <w:r w:rsidR="000C7DDB" w:rsidRPr="003B708D">
        <w:t>motivos prohibidos</w:t>
      </w:r>
      <w:r w:rsidR="00270048">
        <w:t xml:space="preserve"> establecidos en varios tratados de derechos humanos</w:t>
      </w:r>
      <w:r w:rsidR="000C7DDB" w:rsidRPr="003B708D">
        <w:t xml:space="preserve">. </w:t>
      </w:r>
    </w:p>
    <w:p w14:paraId="731B5266" w14:textId="77777777" w:rsidR="00BE0A01" w:rsidRPr="000C7DDB" w:rsidRDefault="00BE0A01" w:rsidP="00BE0A01">
      <w:pPr>
        <w:pStyle w:val="Prrafodelista"/>
      </w:pPr>
    </w:p>
    <w:p w14:paraId="7A34FF2C" w14:textId="77777777" w:rsidR="000C5014" w:rsidRDefault="00BE0A01" w:rsidP="00421FBA">
      <w:pPr>
        <w:pStyle w:val="Prrafodelista"/>
        <w:numPr>
          <w:ilvl w:val="0"/>
          <w:numId w:val="1"/>
        </w:numPr>
      </w:pPr>
      <w:r w:rsidRPr="00BE0A01">
        <w:rPr>
          <w:lang w:val="es-ES"/>
        </w:rPr>
        <w:t xml:space="preserve">En suma, la interseccionalidad en el presente caso es fundamental para entender la injusticia </w:t>
      </w:r>
      <w:r w:rsidR="000C5014">
        <w:rPr>
          <w:lang w:val="es-ES"/>
        </w:rPr>
        <w:t>específica de lo ocurrido a Talí</w:t>
      </w:r>
      <w:r w:rsidRPr="00BE0A01">
        <w:rPr>
          <w:lang w:val="es-ES"/>
        </w:rPr>
        <w:t>a y a la familia Lluy, la cual solo puede entenderse en el marco de la convergencia de las diversas discriminaciones ocurridas. La interseccionalidad constituye un daño distinto y único, diferente a las discriminaciones valoradas por separado. Ninguna de las discriminaciones valoradas en forma aislada explicaría la particularidad y especificidad del daño sufrido en la experiencia interseccional.</w:t>
      </w:r>
      <w:r w:rsidR="00ED1484">
        <w:rPr>
          <w:lang w:val="es-ES"/>
        </w:rPr>
        <w:t xml:space="preserve"> En el futuro la Corte </w:t>
      </w:r>
      <w:r w:rsidR="001C6F58">
        <w:rPr>
          <w:lang w:val="es-ES"/>
        </w:rPr>
        <w:t xml:space="preserve">IDH </w:t>
      </w:r>
      <w:r w:rsidR="00ED1484">
        <w:rPr>
          <w:lang w:val="es-ES"/>
        </w:rPr>
        <w:t>podrá ir precisando los alcances de este enfoque, lo cual contribuirá a redimensionar el principio de no discriminación</w:t>
      </w:r>
      <w:r w:rsidR="00C56456">
        <w:rPr>
          <w:lang w:val="es-ES"/>
        </w:rPr>
        <w:t xml:space="preserve"> en cierto tipo de casos</w:t>
      </w:r>
      <w:r w:rsidR="00ED1484">
        <w:rPr>
          <w:lang w:val="es-ES"/>
        </w:rPr>
        <w:t>.</w:t>
      </w:r>
      <w:bookmarkStart w:id="2" w:name="_Toc416164823"/>
    </w:p>
    <w:p w14:paraId="5E2E3F62" w14:textId="77777777" w:rsidR="000C5014" w:rsidRDefault="000C5014" w:rsidP="006D1B24">
      <w:pPr>
        <w:pStyle w:val="Ttulo1"/>
      </w:pPr>
    </w:p>
    <w:p w14:paraId="2F426AF2" w14:textId="77777777" w:rsidR="006D1B24" w:rsidRPr="00817815" w:rsidRDefault="009A3078" w:rsidP="00421FBA">
      <w:pPr>
        <w:pStyle w:val="Ttulo1"/>
        <w:spacing w:before="0" w:after="0" w:line="360" w:lineRule="auto"/>
      </w:pPr>
      <w:r>
        <w:t>II</w:t>
      </w:r>
      <w:r w:rsidR="00CC0F2A">
        <w:t>.</w:t>
      </w:r>
      <w:r w:rsidR="00CC0F2A">
        <w:tab/>
      </w:r>
      <w:bookmarkEnd w:id="2"/>
      <w:r w:rsidR="006D1B24" w:rsidRPr="00817815">
        <w:t>LA POSIBILIDAD DE HABER ABORDADO EL DERECHO A LA SALUD DE MANERA DIRECTA Y AUTÓNOMA (ARTÍCULOS 26 Y 1.1 DE LA CONVENCIÓN AMERICANA)</w:t>
      </w:r>
    </w:p>
    <w:p w14:paraId="220D7F50" w14:textId="77777777" w:rsidR="006D1B24" w:rsidRPr="00993AB8" w:rsidRDefault="006D1B24" w:rsidP="00395FBB">
      <w:pPr>
        <w:pStyle w:val="Prrafodelista"/>
        <w:ind w:left="0"/>
      </w:pPr>
    </w:p>
    <w:p w14:paraId="7AD9D8C8" w14:textId="6B4FAEE7" w:rsidR="00395FBB" w:rsidRDefault="005F5726" w:rsidP="00395FBB">
      <w:pPr>
        <w:pStyle w:val="Prrafodelista"/>
        <w:numPr>
          <w:ilvl w:val="0"/>
          <w:numId w:val="1"/>
        </w:numPr>
        <w:contextualSpacing w:val="0"/>
      </w:pPr>
      <w:r>
        <w:t xml:space="preserve">En el caso </w:t>
      </w:r>
      <w:r>
        <w:rPr>
          <w:i/>
        </w:rPr>
        <w:t>Suárez Peralta Vs. Ecuador</w:t>
      </w:r>
      <w:r w:rsidRPr="005F5726">
        <w:rPr>
          <w:rStyle w:val="Refdenotaalpie"/>
        </w:rPr>
        <w:footnoteReference w:id="9"/>
      </w:r>
      <w:r>
        <w:t xml:space="preserve">, me permití </w:t>
      </w:r>
      <w:r w:rsidR="00D804A2">
        <w:t>exponer</w:t>
      </w:r>
      <w:r>
        <w:t xml:space="preserve"> en un </w:t>
      </w:r>
      <w:r w:rsidR="00F1098E">
        <w:rPr>
          <w:i/>
        </w:rPr>
        <w:t>Voto</w:t>
      </w:r>
      <w:r w:rsidRPr="00F1098E">
        <w:rPr>
          <w:i/>
        </w:rPr>
        <w:t xml:space="preserve"> Concurrente</w:t>
      </w:r>
      <w:r>
        <w:t xml:space="preserve"> las razones por las cuales estimo que el </w:t>
      </w:r>
      <w:r w:rsidR="00421FBA">
        <w:t>“</w:t>
      </w:r>
      <w:r>
        <w:t>derecho a la salud</w:t>
      </w:r>
      <w:r w:rsidR="00421FBA">
        <w:t>”</w:t>
      </w:r>
      <w:r>
        <w:t xml:space="preserve"> puede ser interpretado como un derecho susceptible de justiciabilidad directa en el marco de lo dispuesto por el artícul</w:t>
      </w:r>
      <w:r w:rsidR="00421FBA">
        <w:t>o 26 de la Convención Americana.</w:t>
      </w:r>
      <w:r>
        <w:t xml:space="preserve"> </w:t>
      </w:r>
    </w:p>
    <w:p w14:paraId="125E5DC1" w14:textId="77777777" w:rsidR="005415B0" w:rsidRDefault="005415B0" w:rsidP="005415B0">
      <w:pPr>
        <w:pStyle w:val="Prrafodelista"/>
        <w:ind w:left="0"/>
        <w:contextualSpacing w:val="0"/>
      </w:pPr>
    </w:p>
    <w:p w14:paraId="493F7A92" w14:textId="6305EAC8" w:rsidR="00D804A2" w:rsidRDefault="00D804A2" w:rsidP="00395FBB">
      <w:pPr>
        <w:pStyle w:val="Prrafodelista"/>
        <w:numPr>
          <w:ilvl w:val="0"/>
          <w:numId w:val="1"/>
        </w:numPr>
        <w:contextualSpacing w:val="0"/>
      </w:pPr>
      <w:r>
        <w:t xml:space="preserve">En el presente caso surge con mayor intensidad la </w:t>
      </w:r>
      <w:r w:rsidR="00B8418B">
        <w:t xml:space="preserve">pertinencia de un análisis basado en </w:t>
      </w:r>
      <w:r>
        <w:t xml:space="preserve">el </w:t>
      </w:r>
      <w:r w:rsidR="00421FBA">
        <w:t>“</w:t>
      </w:r>
      <w:r>
        <w:t>derecho a la salud</w:t>
      </w:r>
      <w:r w:rsidR="00421FBA">
        <w:t>”</w:t>
      </w:r>
      <w:r>
        <w:t xml:space="preserve">. La Corte </w:t>
      </w:r>
      <w:r w:rsidR="000C5014">
        <w:t xml:space="preserve">IDH </w:t>
      </w:r>
      <w:r>
        <w:t xml:space="preserve">avanza un poco en esta materia al delinear algunos aspectos específicos sobre el alcance de este derecho que no habían sido establecidos previamente en su jurisprudencia. Por ejemplo, el Tribunal </w:t>
      </w:r>
      <w:r w:rsidR="0038500B">
        <w:t xml:space="preserve">Interamericano </w:t>
      </w:r>
      <w:r>
        <w:t xml:space="preserve">alude a </w:t>
      </w:r>
      <w:r w:rsidR="0040369E">
        <w:t xml:space="preserve">algunos estándares relacionados con el acceso a medicamentos y, en particular, precisa en qué forma </w:t>
      </w:r>
      <w:r w:rsidR="0040369E" w:rsidRPr="00352424">
        <w:t>el acceso a los fármacos antirretrovíricos es solo uno de los elementos de una respuesta eficaz para las personas que viven con VIH</w:t>
      </w:r>
      <w:r w:rsidR="0040369E">
        <w:t xml:space="preserve">, dado que </w:t>
      </w:r>
      <w:r w:rsidR="0040369E" w:rsidRPr="00352424">
        <w:t>las personas que viven con VIH requieren un enfoque integral que comprende una secuencia continua de prevención, tratamiento, atención y apoyo</w:t>
      </w:r>
      <w:r w:rsidR="0038500B">
        <w:rPr>
          <w:rStyle w:val="Refdenotaalpie"/>
        </w:rPr>
        <w:footnoteReference w:id="10"/>
      </w:r>
      <w:r w:rsidR="0040369E" w:rsidRPr="00352424">
        <w:t xml:space="preserve">. </w:t>
      </w:r>
      <w:r w:rsidR="00A213FE">
        <w:t xml:space="preserve">Por otra parte, la Corte </w:t>
      </w:r>
      <w:r w:rsidR="0038500B">
        <w:t xml:space="preserve">IDH </w:t>
      </w:r>
      <w:r w:rsidR="00A213FE">
        <w:t>alude a algunos temas sobre</w:t>
      </w:r>
      <w:r w:rsidR="00E770AB">
        <w:t xml:space="preserve"> el</w:t>
      </w:r>
      <w:r w:rsidR="00A213FE">
        <w:t xml:space="preserve"> acceso a la in</w:t>
      </w:r>
      <w:r w:rsidR="0038500B">
        <w:t>formación en salud</w:t>
      </w:r>
      <w:r w:rsidR="0038500B">
        <w:rPr>
          <w:rStyle w:val="Refdenotaalpie"/>
        </w:rPr>
        <w:footnoteReference w:id="11"/>
      </w:r>
      <w:r w:rsidR="005C34E1">
        <w:t>;</w:t>
      </w:r>
      <w:r w:rsidR="00A213FE">
        <w:t xml:space="preserve"> derecho a la salud de las niñas y los niños</w:t>
      </w:r>
      <w:r w:rsidR="0038500B">
        <w:rPr>
          <w:rStyle w:val="Refdenotaalpie"/>
        </w:rPr>
        <w:footnoteReference w:id="12"/>
      </w:r>
      <w:r w:rsidR="005C34E1">
        <w:t>,</w:t>
      </w:r>
      <w:r w:rsidR="00A213FE">
        <w:t xml:space="preserve"> y</w:t>
      </w:r>
      <w:r w:rsidR="005C34E1">
        <w:t xml:space="preserve"> </w:t>
      </w:r>
      <w:r w:rsidR="00A213FE">
        <w:t>el derecho a la salud de las niñas y los niños con VIH</w:t>
      </w:r>
      <w:r w:rsidR="005620C2">
        <w:t>/SIDA</w:t>
      </w:r>
      <w:r w:rsidR="0038500B">
        <w:rPr>
          <w:rStyle w:val="Refdenotaalpie"/>
        </w:rPr>
        <w:footnoteReference w:id="13"/>
      </w:r>
      <w:r w:rsidR="00A213FE">
        <w:t xml:space="preserve">. </w:t>
      </w:r>
      <w:r w:rsidR="008A5B1E">
        <w:t xml:space="preserve">Sin embargo, el análisis de la Corte </w:t>
      </w:r>
      <w:r w:rsidR="0038500B">
        <w:t xml:space="preserve">IDH </w:t>
      </w:r>
      <w:r w:rsidR="008A5B1E">
        <w:t xml:space="preserve">es realizado a la luz de su tradicional jurisprudencia sobre la conexidad de la salud con los derechos a la vida y a la integridad personal. </w:t>
      </w:r>
    </w:p>
    <w:p w14:paraId="234E1B7E" w14:textId="77777777" w:rsidR="00D804A2" w:rsidRDefault="00D804A2" w:rsidP="00D804A2">
      <w:pPr>
        <w:pStyle w:val="Prrafodelista"/>
      </w:pPr>
    </w:p>
    <w:p w14:paraId="06816C32" w14:textId="7BD3737D" w:rsidR="00D804A2" w:rsidRDefault="00C41D08" w:rsidP="00395FBB">
      <w:pPr>
        <w:pStyle w:val="Prrafodelista"/>
        <w:numPr>
          <w:ilvl w:val="0"/>
          <w:numId w:val="1"/>
        </w:numPr>
        <w:contextualSpacing w:val="0"/>
      </w:pPr>
      <w:r>
        <w:t xml:space="preserve">Al respecto, como lo expuse en el mencionado </w:t>
      </w:r>
      <w:r w:rsidRPr="00F1098E">
        <w:rPr>
          <w:i/>
        </w:rPr>
        <w:t xml:space="preserve">Voto </w:t>
      </w:r>
      <w:r w:rsidR="00F1098E" w:rsidRPr="00F1098E">
        <w:rPr>
          <w:i/>
        </w:rPr>
        <w:t>Concurrente</w:t>
      </w:r>
      <w:r w:rsidR="00F1098E">
        <w:t xml:space="preserve"> </w:t>
      </w:r>
      <w:r w:rsidR="0038500B">
        <w:t xml:space="preserve">del </w:t>
      </w:r>
      <w:r w:rsidR="0038500B" w:rsidRPr="0038500B">
        <w:rPr>
          <w:i/>
        </w:rPr>
        <w:t>Caso Suárez Peralta</w:t>
      </w:r>
      <w:r w:rsidR="0038500B">
        <w:t xml:space="preserve"> (2013)</w:t>
      </w:r>
      <w:r>
        <w:t xml:space="preserve">, existen al menos </w:t>
      </w:r>
      <w:r w:rsidR="002A7F13">
        <w:t xml:space="preserve">estas </w:t>
      </w:r>
      <w:r w:rsidR="00B14AC1">
        <w:t xml:space="preserve">consideraciones </w:t>
      </w:r>
      <w:r w:rsidR="00B05BBF">
        <w:t>por las cuales conviene abordar de manera directa el derecho a la salud</w:t>
      </w:r>
      <w:r w:rsidR="002A7F13">
        <w:t>:</w:t>
      </w:r>
      <w:r w:rsidR="00B05BBF">
        <w:t xml:space="preserve"> </w:t>
      </w:r>
    </w:p>
    <w:p w14:paraId="2E206F37" w14:textId="77777777" w:rsidR="00C63ACA" w:rsidRDefault="00C63ACA" w:rsidP="00C63ACA">
      <w:pPr>
        <w:pStyle w:val="Prrafodelista"/>
      </w:pPr>
    </w:p>
    <w:p w14:paraId="2D575B89" w14:textId="77777777" w:rsidR="00581322" w:rsidRPr="00421FBA" w:rsidRDefault="002F6E8A" w:rsidP="002F6E8A">
      <w:pPr>
        <w:tabs>
          <w:tab w:val="left" w:pos="709"/>
          <w:tab w:val="left" w:pos="9356"/>
        </w:tabs>
        <w:spacing w:after="240"/>
        <w:ind w:left="709" w:right="4"/>
        <w:rPr>
          <w:sz w:val="18"/>
          <w:szCs w:val="18"/>
        </w:rPr>
      </w:pPr>
      <w:r w:rsidRPr="00421FBA">
        <w:rPr>
          <w:sz w:val="18"/>
          <w:szCs w:val="18"/>
        </w:rPr>
        <w:t xml:space="preserve">5.  </w:t>
      </w:r>
      <w:r w:rsidR="00581322" w:rsidRPr="00421FBA">
        <w:rPr>
          <w:sz w:val="18"/>
          <w:szCs w:val="18"/>
        </w:rPr>
        <w:t xml:space="preserve">Partiendo de la premisa de que el Tribunal Interamericano tiene plena competencia para analizar violaciones de </w:t>
      </w:r>
      <w:r w:rsidR="00581322" w:rsidRPr="00421FBA">
        <w:rPr>
          <w:i/>
          <w:sz w:val="18"/>
          <w:szCs w:val="18"/>
        </w:rPr>
        <w:t>todos los derechos</w:t>
      </w:r>
      <w:r w:rsidR="00581322" w:rsidRPr="00421FBA">
        <w:rPr>
          <w:sz w:val="18"/>
          <w:szCs w:val="18"/>
        </w:rPr>
        <w:t xml:space="preserve"> reconocidos en la Convención Americana incluyendo los relativos al artículo 26</w:t>
      </w:r>
      <w:r w:rsidR="00581322" w:rsidRPr="00421FBA">
        <w:rPr>
          <w:rStyle w:val="Refdenotaalpie"/>
          <w:sz w:val="18"/>
          <w:szCs w:val="18"/>
        </w:rPr>
        <w:footnoteReference w:id="14"/>
      </w:r>
      <w:r w:rsidR="00581322" w:rsidRPr="00421FBA">
        <w:rPr>
          <w:sz w:val="18"/>
          <w:szCs w:val="18"/>
        </w:rPr>
        <w:t>, entre los cuales se encuentra el derecho al Desarrollo Progresivo de los Derechos Económicos, Sociales y Culturales, que comprende el derecho a la salud —como se reconoce en la Sentencia que motiva el presente voto razonado—, considero que en el presente caso se debió analizar directamente este derecho social, debido a la competencia que entiendo tiene esta Corte IDH para pronunciarse sobre una posible violación a la garantía de los derechos económicos, sociales y culturales, especialmente del derecho a la salud.</w:t>
      </w:r>
    </w:p>
    <w:p w14:paraId="0B5F6659" w14:textId="36D9D950" w:rsidR="00581322" w:rsidRPr="00421FBA" w:rsidRDefault="002F6E8A" w:rsidP="002F6E8A">
      <w:pPr>
        <w:tabs>
          <w:tab w:val="left" w:pos="709"/>
          <w:tab w:val="left" w:pos="9356"/>
        </w:tabs>
        <w:spacing w:after="240"/>
        <w:ind w:left="709" w:right="4"/>
        <w:rPr>
          <w:sz w:val="18"/>
          <w:szCs w:val="18"/>
        </w:rPr>
      </w:pPr>
      <w:r w:rsidRPr="00421FBA">
        <w:rPr>
          <w:sz w:val="18"/>
          <w:szCs w:val="18"/>
        </w:rPr>
        <w:lastRenderedPageBreak/>
        <w:t xml:space="preserve">6. </w:t>
      </w:r>
      <w:r w:rsidR="00581322" w:rsidRPr="00421FBA">
        <w:rPr>
          <w:sz w:val="18"/>
          <w:szCs w:val="18"/>
        </w:rPr>
        <w:t>En efecto, la competencia de la Corte IDH para conocer del derecho a la salud se encuentra directamente en el artículo 26 (Desarrollo Progresivo) del Pacto de San José (a través de distintas vías interpretativas (</w:t>
      </w:r>
      <w:r w:rsidR="00581322" w:rsidRPr="00421FBA">
        <w:rPr>
          <w:i/>
          <w:sz w:val="18"/>
          <w:szCs w:val="18"/>
        </w:rPr>
        <w:t>infra</w:t>
      </w:r>
      <w:r w:rsidR="00581322" w:rsidRPr="00421FBA">
        <w:rPr>
          <w:sz w:val="18"/>
          <w:szCs w:val="18"/>
        </w:rPr>
        <w:t xml:space="preserve"> párrs. 33-72), en relación con los artículos 1.1 (Obligación de Respetar los Derechos) y 2 (Deber de Adoptar Disposiciones de Derecho Interno), así como del artículo 29 (Normas de Interpretación) de la propia Convención Americana. Además, considerando los artículos 34.i) y 45 h) de la Carta de la Organización de los Estados Americanos, el artículo XI de la Declaración Americana de los Derechos y Deberes del Hombre, y el artículo 25.1 de la Declaración Universal de Derechos Humanos (los dos últimos instrumentos de conformidad con lo previsto en el artículo 29.d del Pacto de San José), así como otros instrumentos y fuentes internacionales que le otorgan contenido, definición y alcances al derecho a la salud —como lo ha hecho la Corte IDH respecto de los derechos civiles y políticos—, como lo son los artículos 10 del Protocolo Adicional a la Convención Americana sobre Derechos Económicos, Sociales y Culturales, 17 y 33.2 de la Carta Social de las Américas, 12.1 y 12.2.d) del Pacto Internacional de Derechos Económicos, Sociales y Culturales, 12.1 de la Convención sobre la Eliminación de Todas las Formas de Discriminación contra la Mujer,  24 y 25 de la Convención sobre los Derechos del Niño, entre otros instrumentos y fuentes internacionales —incluso nacionales vía el artículo 29.b) de la Convención Americana—. Y lo anterior sin que sea obstáculo el artículo 19.6 del Protocolo de San Salvador, que refiere sólo a la justiciabilidad de algunos derechos sindicales y de educación, toda vez que es el propio artículo 26 de la Convención Americana el que otorga esta posibilidad, como veremos más adelante.</w:t>
      </w:r>
    </w:p>
    <w:p w14:paraId="65E6140F" w14:textId="77777777" w:rsidR="00581322" w:rsidRPr="00421FBA" w:rsidRDefault="002F6E8A" w:rsidP="002F6E8A">
      <w:pPr>
        <w:tabs>
          <w:tab w:val="left" w:pos="709"/>
          <w:tab w:val="left" w:pos="9356"/>
        </w:tabs>
        <w:spacing w:after="240"/>
        <w:ind w:left="709" w:right="4"/>
        <w:rPr>
          <w:sz w:val="18"/>
          <w:szCs w:val="18"/>
        </w:rPr>
      </w:pPr>
      <w:r w:rsidRPr="00421FBA">
        <w:rPr>
          <w:sz w:val="18"/>
          <w:szCs w:val="18"/>
        </w:rPr>
        <w:t xml:space="preserve">7. </w:t>
      </w:r>
      <w:r w:rsidR="00581322" w:rsidRPr="00421FBA">
        <w:rPr>
          <w:sz w:val="18"/>
          <w:szCs w:val="18"/>
        </w:rPr>
        <w:t xml:space="preserve">Evidentemente, esta posición demanda un mayor escrutinio en la interpretación normativa interamericana en su conjunto y particularmente del artículo 26 del Pacto de San José, que prevé “la plena efectividad” de los derechos económicos, sociales y culturales, sin que los elementos de “progresividad” y de “recursos disponibles” a que alude este precepto, puedan configurarse como condicionantes normativos para la justiciabilidad de dichos derechos, sino en todo caso constituyen aspectos sobre su implementación de conformidad con las particularidades de cada Estado. De hecho, tal como se señaló en el caso </w:t>
      </w:r>
      <w:r w:rsidR="00581322" w:rsidRPr="00421FBA">
        <w:rPr>
          <w:i/>
          <w:sz w:val="18"/>
          <w:szCs w:val="18"/>
        </w:rPr>
        <w:t>Acevedo Buendía</w:t>
      </w:r>
      <w:r w:rsidR="00581322" w:rsidRPr="00421FBA">
        <w:rPr>
          <w:sz w:val="18"/>
          <w:szCs w:val="18"/>
        </w:rPr>
        <w:t xml:space="preserve">, pueden surgir casos donde el control judicial se concentre en alegadas medidas regresivas o en indebido manejo de los recursos disponibles (es decir, control judicial respecto al avance progresivo). </w:t>
      </w:r>
    </w:p>
    <w:p w14:paraId="469C7856" w14:textId="77777777" w:rsidR="00581322" w:rsidRPr="00421FBA" w:rsidRDefault="002F6E8A" w:rsidP="002F6E8A">
      <w:pPr>
        <w:tabs>
          <w:tab w:val="left" w:pos="709"/>
          <w:tab w:val="left" w:pos="9356"/>
        </w:tabs>
        <w:spacing w:after="240"/>
        <w:ind w:left="709" w:right="4"/>
        <w:rPr>
          <w:sz w:val="18"/>
          <w:szCs w:val="18"/>
        </w:rPr>
      </w:pPr>
      <w:r w:rsidRPr="00421FBA">
        <w:rPr>
          <w:sz w:val="18"/>
          <w:szCs w:val="18"/>
        </w:rPr>
        <w:t xml:space="preserve">8. </w:t>
      </w:r>
      <w:r w:rsidR="00581322" w:rsidRPr="00421FBA">
        <w:rPr>
          <w:sz w:val="18"/>
          <w:szCs w:val="18"/>
        </w:rPr>
        <w:t xml:space="preserve">Además, esta exigencia argumentativa requiere una visión e interpretación evolutiva, acorde con los tiempos actuales, lo que exige considerar los avances del derecho comparado —especialmente de las altas jurisdicciones nacionales de los Estados Partes, incluso de la tendencia en otros países del mundo—, así como una interpretación que analice el </w:t>
      </w:r>
      <w:r w:rsidR="00581322" w:rsidRPr="00421FBA">
        <w:rPr>
          <w:i/>
          <w:sz w:val="18"/>
          <w:szCs w:val="18"/>
        </w:rPr>
        <w:t>corpus juris</w:t>
      </w:r>
      <w:r w:rsidR="00581322" w:rsidRPr="00421FBA">
        <w:rPr>
          <w:sz w:val="18"/>
          <w:szCs w:val="18"/>
        </w:rPr>
        <w:t xml:space="preserve"> interamericano en su conjunto, especialmente la relación de la Convención Americana y el Protocolo de San Salvador.</w:t>
      </w:r>
    </w:p>
    <w:p w14:paraId="7BC162DD" w14:textId="77777777" w:rsidR="00D649A5" w:rsidRPr="00421FBA" w:rsidRDefault="00D649A5" w:rsidP="002F6E8A">
      <w:pPr>
        <w:tabs>
          <w:tab w:val="left" w:pos="709"/>
          <w:tab w:val="left" w:pos="9356"/>
        </w:tabs>
        <w:spacing w:after="240"/>
        <w:ind w:left="709" w:right="4"/>
        <w:rPr>
          <w:sz w:val="18"/>
          <w:szCs w:val="18"/>
        </w:rPr>
      </w:pPr>
      <w:r w:rsidRPr="00421FBA">
        <w:rPr>
          <w:sz w:val="18"/>
          <w:szCs w:val="18"/>
        </w:rPr>
        <w:t>[…]</w:t>
      </w:r>
    </w:p>
    <w:p w14:paraId="44FAC081" w14:textId="77777777" w:rsidR="00581322" w:rsidRPr="00421FBA" w:rsidRDefault="002F6E8A" w:rsidP="002F6E8A">
      <w:pPr>
        <w:tabs>
          <w:tab w:val="left" w:pos="709"/>
          <w:tab w:val="left" w:pos="9356"/>
        </w:tabs>
        <w:spacing w:after="240"/>
        <w:ind w:left="709" w:right="4"/>
        <w:rPr>
          <w:sz w:val="18"/>
          <w:szCs w:val="18"/>
        </w:rPr>
      </w:pPr>
      <w:r w:rsidRPr="00421FBA">
        <w:rPr>
          <w:sz w:val="18"/>
          <w:szCs w:val="18"/>
        </w:rPr>
        <w:t xml:space="preserve">11. </w:t>
      </w:r>
      <w:r w:rsidR="00581322" w:rsidRPr="00421FBA">
        <w:rPr>
          <w:sz w:val="18"/>
          <w:szCs w:val="18"/>
        </w:rPr>
        <w:t xml:space="preserve">En efecto, sin negar los avances alcanzados en la protección de los derechos económicos, sociales y culturales por la vía indirecta y en conexión con otros derechos civiles y políticos —que ha sido la reconocida práctica de este Tribunal Interamericano—; en mi opinión, este proceder no otorga una eficacia y efectividad plena de esos derechos, desnaturaliza su esencia, no abona al esclarecimiento de las obligaciones estatales sobre la materia y, en definitiva, provoca traslapes entre derechos, lo que lleva a confusiones innecesarias en los tiempos actuales de clara tendencia hacia el reconocimiento y eficacia normativa de </w:t>
      </w:r>
      <w:r w:rsidR="00581322" w:rsidRPr="00421FBA">
        <w:rPr>
          <w:i/>
          <w:sz w:val="18"/>
          <w:szCs w:val="18"/>
        </w:rPr>
        <w:t>todos los derechos</w:t>
      </w:r>
      <w:r w:rsidR="00581322" w:rsidRPr="00421FBA">
        <w:rPr>
          <w:sz w:val="18"/>
          <w:szCs w:val="18"/>
        </w:rPr>
        <w:t xml:space="preserve"> conforme a los evidentes avances que se advierten en los ámbitos nacional y en el derecho internacional de los derechos humanos.  </w:t>
      </w:r>
    </w:p>
    <w:p w14:paraId="62B7F764" w14:textId="77777777" w:rsidR="00581322" w:rsidRPr="00421FBA" w:rsidRDefault="00D649A5" w:rsidP="002F6E8A">
      <w:pPr>
        <w:pStyle w:val="Prrafodelista"/>
        <w:tabs>
          <w:tab w:val="left" w:pos="709"/>
          <w:tab w:val="left" w:pos="9356"/>
        </w:tabs>
        <w:autoSpaceDE w:val="0"/>
        <w:autoSpaceDN w:val="0"/>
        <w:adjustRightInd w:val="0"/>
        <w:spacing w:after="240"/>
        <w:ind w:left="709" w:right="4"/>
        <w:rPr>
          <w:sz w:val="18"/>
          <w:szCs w:val="18"/>
        </w:rPr>
      </w:pPr>
      <w:r w:rsidRPr="00421FBA">
        <w:rPr>
          <w:sz w:val="18"/>
          <w:szCs w:val="18"/>
        </w:rPr>
        <w:t>[…]</w:t>
      </w:r>
    </w:p>
    <w:p w14:paraId="469AB210"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rPr>
      </w:pPr>
    </w:p>
    <w:p w14:paraId="37ADD785"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rPr>
        <w:t>15</w:t>
      </w:r>
      <w:r w:rsidR="002F6E8A" w:rsidRPr="00421FBA">
        <w:rPr>
          <w:sz w:val="18"/>
          <w:szCs w:val="18"/>
        </w:rPr>
        <w:t xml:space="preserve">.  </w:t>
      </w:r>
      <w:r w:rsidRPr="00421FBA">
        <w:rPr>
          <w:sz w:val="18"/>
          <w:szCs w:val="18"/>
        </w:rPr>
        <w:t>La posibilidad de que este Tribunal Interamericano se pronuncie sobre el derecho a la salud deriva, en primer término, de la “interdependencia e indivisibilidad” existente entre los derechos civiles y políticos con respecto de</w:t>
      </w:r>
      <w:r w:rsidRPr="00421FBA">
        <w:rPr>
          <w:sz w:val="18"/>
          <w:szCs w:val="18"/>
          <w:lang w:val="es-ES"/>
        </w:rPr>
        <w:t xml:space="preserve"> los económicos, sociales y culturales. En efecto, en la Sentencia que motiva el presente voto razonado, expresamente se reconoce ese carácter, </w:t>
      </w:r>
      <w:r w:rsidRPr="00421FBA">
        <w:rPr>
          <w:sz w:val="18"/>
          <w:szCs w:val="18"/>
          <w:lang w:val="es-ES"/>
        </w:rPr>
        <w:lastRenderedPageBreak/>
        <w:t xml:space="preserve">ya que deben ser entendidos integralmente como derechos humanos, sin jerarquía entre sí y exigibles en todos los casos ante aquellas autoridades que resulten competentes para ello. </w:t>
      </w:r>
    </w:p>
    <w:p w14:paraId="2331DCA4"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lang w:val="es-ES"/>
        </w:rPr>
      </w:pPr>
    </w:p>
    <w:p w14:paraId="4AEA3274" w14:textId="77777777" w:rsidR="00D649A5" w:rsidRPr="00421FBA" w:rsidRDefault="002A7F13"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lang w:val="es-ES"/>
        </w:rPr>
        <w:t>[…]</w:t>
      </w:r>
    </w:p>
    <w:p w14:paraId="159E72CC" w14:textId="77777777" w:rsidR="002A7F13" w:rsidRPr="00421FBA" w:rsidRDefault="002A7F13" w:rsidP="002F6E8A">
      <w:pPr>
        <w:pStyle w:val="Prrafodelista"/>
        <w:tabs>
          <w:tab w:val="left" w:pos="709"/>
          <w:tab w:val="left" w:pos="9356"/>
        </w:tabs>
        <w:autoSpaceDE w:val="0"/>
        <w:autoSpaceDN w:val="0"/>
        <w:adjustRightInd w:val="0"/>
        <w:spacing w:after="240"/>
        <w:ind w:left="709" w:right="4"/>
        <w:rPr>
          <w:sz w:val="18"/>
          <w:szCs w:val="18"/>
          <w:lang w:val="es-ES"/>
        </w:rPr>
      </w:pPr>
    </w:p>
    <w:p w14:paraId="7AA6A9BD" w14:textId="5E72A96D" w:rsidR="00581322" w:rsidRPr="00421FBA" w:rsidRDefault="00D57E11"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lang w:val="es-ES"/>
        </w:rPr>
        <w:t xml:space="preserve">18.  </w:t>
      </w:r>
      <w:r w:rsidR="00581322" w:rsidRPr="00421FBA">
        <w:rPr>
          <w:sz w:val="18"/>
          <w:szCs w:val="18"/>
          <w:lang w:val="es-ES"/>
        </w:rPr>
        <w:t xml:space="preserve">Lo importante de esta consideración sobre la interdependencia de los derechos civiles y políticos en relación con los económicos, sociales y culturales, realizada por la Corte IDH en el </w:t>
      </w:r>
      <w:r w:rsidR="00581322" w:rsidRPr="00421FBA">
        <w:rPr>
          <w:i/>
          <w:sz w:val="18"/>
          <w:szCs w:val="18"/>
          <w:lang w:val="es-ES"/>
        </w:rPr>
        <w:t>Caso Acevedo Buendía y otros Vs. Perú</w:t>
      </w:r>
      <w:r w:rsidR="00581322" w:rsidRPr="00421FBA">
        <w:rPr>
          <w:sz w:val="18"/>
          <w:szCs w:val="18"/>
          <w:lang w:val="es-ES"/>
        </w:rPr>
        <w:t xml:space="preserve">, radica en que dicho pronunciamiento se efectúa al estudiar los alcances interpretativos del artículo 26 de la Convención Americana, respecto de un derecho (seguridad social) no reconocido expresamente como justiciable en el artículo 19.6 del Protocolo de San Salvador. Previo al análisis de fondo, el Tribunal Interamericano expresamente había desestimado la excepción preliminar de falta de competencia </w:t>
      </w:r>
      <w:r w:rsidR="00581322" w:rsidRPr="00421FBA">
        <w:rPr>
          <w:i/>
          <w:sz w:val="18"/>
          <w:szCs w:val="18"/>
          <w:lang w:val="es-ES"/>
        </w:rPr>
        <w:t>ratione materiae</w:t>
      </w:r>
      <w:r w:rsidR="00581322" w:rsidRPr="00421FBA">
        <w:rPr>
          <w:sz w:val="18"/>
          <w:szCs w:val="18"/>
          <w:lang w:val="es-ES"/>
        </w:rPr>
        <w:t xml:space="preserve"> opuesta por el Estado demandado</w:t>
      </w:r>
      <w:r w:rsidR="00E75A6E" w:rsidRPr="00421FBA">
        <w:rPr>
          <w:sz w:val="18"/>
          <w:szCs w:val="18"/>
          <w:lang w:val="es-ES"/>
        </w:rPr>
        <w:t>[</w:t>
      </w:r>
      <w:r w:rsidR="00E75A6E">
        <w:rPr>
          <w:sz w:val="18"/>
          <w:szCs w:val="18"/>
          <w:lang w:val="es-ES"/>
        </w:rPr>
        <w:t>.</w:t>
      </w:r>
      <w:r w:rsidR="00E75A6E" w:rsidRPr="00421FBA">
        <w:rPr>
          <w:sz w:val="18"/>
          <w:szCs w:val="18"/>
          <w:lang w:val="es-ES"/>
        </w:rPr>
        <w:t>]</w:t>
      </w:r>
    </w:p>
    <w:p w14:paraId="66CAA940"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lang w:val="es-ES"/>
        </w:rPr>
      </w:pPr>
    </w:p>
    <w:p w14:paraId="07CBE42E" w14:textId="77777777" w:rsidR="00581322" w:rsidRPr="00421FBA" w:rsidRDefault="00D57E11"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lang w:val="es-ES"/>
        </w:rPr>
        <w:t xml:space="preserve">19.  </w:t>
      </w:r>
      <w:r w:rsidR="00581322" w:rsidRPr="00421FBA">
        <w:rPr>
          <w:sz w:val="18"/>
          <w:szCs w:val="18"/>
          <w:lang w:val="es-ES"/>
        </w:rPr>
        <w:t>La Corte IDH, sin hacer mención al Protocolo de San Salvador para determinar si tenía competencia sobre el mismo, al estimar que no era necesario toda vez que no se alegó violación directa a dicho instrumento internacional, desestimó la excepción preliminar del Estado, al considerar, por una parte, que como cualquier otro órgano con funciones jurisdiccionales, el Tribunal Interamericano tiene el poder inherente a sus atribuciones de determinar el alcance de su propia competencia  (</w:t>
      </w:r>
      <w:r w:rsidR="00581322" w:rsidRPr="00421FBA">
        <w:rPr>
          <w:i/>
          <w:sz w:val="18"/>
          <w:szCs w:val="18"/>
          <w:lang w:val="es-ES"/>
        </w:rPr>
        <w:t>compétence de la compétence</w:t>
      </w:r>
      <w:r w:rsidR="00581322" w:rsidRPr="00421FBA">
        <w:rPr>
          <w:sz w:val="18"/>
          <w:szCs w:val="18"/>
          <w:lang w:val="es-ES"/>
        </w:rPr>
        <w:t xml:space="preserve">); y, por otra parte,  que “la Corte debe tener en cuenta que los instrumentos de reconocimiento de la cláusula facultativa de la jurisdicción obligatoria (artículo 62.1 de la Convención) presuponen la admisión, por los Estados que la presentan, del derecho de la Corte a resolver </w:t>
      </w:r>
      <w:r w:rsidR="00581322" w:rsidRPr="00421FBA">
        <w:rPr>
          <w:i/>
          <w:sz w:val="18"/>
          <w:szCs w:val="18"/>
          <w:lang w:val="es-ES"/>
        </w:rPr>
        <w:t>cualquier controversia relativa a su jurisdicción</w:t>
      </w:r>
      <w:r w:rsidR="00581322" w:rsidRPr="00421FBA">
        <w:rPr>
          <w:sz w:val="18"/>
          <w:szCs w:val="18"/>
          <w:lang w:val="es-ES"/>
        </w:rPr>
        <w:t xml:space="preserve">.  Además, el Tribunal ha señalado anteriormente que los términos amplios en que está redactada la Convención indican que la Corte ejerce una </w:t>
      </w:r>
      <w:r w:rsidR="00581322" w:rsidRPr="00421FBA">
        <w:rPr>
          <w:i/>
          <w:sz w:val="18"/>
          <w:szCs w:val="18"/>
          <w:lang w:val="es-ES"/>
        </w:rPr>
        <w:t>jurisdicción plena sobre todos sus artículos y disposiciones</w:t>
      </w:r>
      <w:r w:rsidR="00581322" w:rsidRPr="00421FBA">
        <w:rPr>
          <w:sz w:val="18"/>
          <w:szCs w:val="18"/>
          <w:lang w:val="es-ES"/>
        </w:rPr>
        <w:t>”.</w:t>
      </w:r>
    </w:p>
    <w:p w14:paraId="33FD69B7"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lang w:val="es-ES"/>
        </w:rPr>
      </w:pPr>
    </w:p>
    <w:p w14:paraId="1BCD6361" w14:textId="77777777" w:rsidR="00581322" w:rsidRPr="00421FBA" w:rsidRDefault="00FB7B15"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lang w:val="es-ES"/>
        </w:rPr>
        <w:t xml:space="preserve">20. </w:t>
      </w:r>
      <w:r w:rsidR="00581322" w:rsidRPr="00421FBA">
        <w:rPr>
          <w:sz w:val="18"/>
          <w:szCs w:val="18"/>
          <w:lang w:val="es-ES"/>
        </w:rPr>
        <w:t>En este importante precedente, la Corte IDH desestimó la excepción del Estado demandado que expresamente alegaba que carecía de competencia dicho órgano jurisdiccional para pronunciarse sobre un derecho no justiciable en términos del artículo 19.6 del Protocolo de San Salvador. Es decir, el Tribunal Interamericano al desestimar dicha excepción preliminar y estudiar el fondo del asunto, consideró su competencia para conocer y resolver (incluso poder declarar violado) el artículo 26 del Pacto de San José. No obstante, en el caso particular estimó que no resultaba infracción a dicho precepto convencional.  Al estudiar el fondo del asunto, la Corte IDH consideró que los derechos económicos, sociales y culturales a que se refiere el artículo 26 están sujetos a las obligaciones generales contenidas en los artículos 1.1 y 2 de la Convención Americana, como lo están los derechos civiles y políticos previstos en los artículos 3 a 25.</w:t>
      </w:r>
    </w:p>
    <w:p w14:paraId="316A482C" w14:textId="77777777" w:rsidR="00581322" w:rsidRPr="00421FBA" w:rsidRDefault="00581322" w:rsidP="002F6E8A">
      <w:pPr>
        <w:pStyle w:val="Prrafodelista"/>
        <w:tabs>
          <w:tab w:val="left" w:pos="709"/>
          <w:tab w:val="left" w:pos="9356"/>
        </w:tabs>
        <w:autoSpaceDE w:val="0"/>
        <w:autoSpaceDN w:val="0"/>
        <w:adjustRightInd w:val="0"/>
        <w:spacing w:after="240"/>
        <w:ind w:left="709" w:right="4"/>
        <w:rPr>
          <w:sz w:val="18"/>
          <w:szCs w:val="18"/>
          <w:lang w:val="es-ES"/>
        </w:rPr>
      </w:pPr>
    </w:p>
    <w:p w14:paraId="555F81D8" w14:textId="77777777" w:rsidR="00D649A5" w:rsidRPr="00421FBA" w:rsidRDefault="00D649A5" w:rsidP="002F6E8A">
      <w:pPr>
        <w:pStyle w:val="Prrafodelista"/>
        <w:tabs>
          <w:tab w:val="left" w:pos="709"/>
          <w:tab w:val="left" w:pos="9356"/>
        </w:tabs>
        <w:autoSpaceDE w:val="0"/>
        <w:autoSpaceDN w:val="0"/>
        <w:adjustRightInd w:val="0"/>
        <w:spacing w:after="240"/>
        <w:ind w:left="709" w:right="4"/>
        <w:rPr>
          <w:sz w:val="18"/>
          <w:szCs w:val="18"/>
          <w:lang w:val="es-ES"/>
        </w:rPr>
      </w:pPr>
      <w:r w:rsidRPr="00421FBA">
        <w:rPr>
          <w:sz w:val="18"/>
          <w:szCs w:val="18"/>
          <w:lang w:val="es-ES"/>
        </w:rPr>
        <w:t>[…]</w:t>
      </w:r>
    </w:p>
    <w:p w14:paraId="4C052EB5" w14:textId="6FDAB2DB" w:rsidR="00581322" w:rsidRPr="00421FBA" w:rsidRDefault="00FB7B15" w:rsidP="002F6E8A">
      <w:pPr>
        <w:tabs>
          <w:tab w:val="left" w:pos="709"/>
          <w:tab w:val="left" w:pos="9356"/>
        </w:tabs>
        <w:spacing w:after="240"/>
        <w:ind w:left="709" w:right="4"/>
        <w:rPr>
          <w:color w:val="000000"/>
          <w:sz w:val="18"/>
          <w:szCs w:val="18"/>
        </w:rPr>
      </w:pPr>
      <w:r w:rsidRPr="00421FBA">
        <w:rPr>
          <w:color w:val="000000"/>
          <w:sz w:val="18"/>
          <w:szCs w:val="18"/>
        </w:rPr>
        <w:t xml:space="preserve">27. </w:t>
      </w:r>
      <w:r w:rsidR="00581322" w:rsidRPr="00421FBA">
        <w:rPr>
          <w:color w:val="000000"/>
          <w:sz w:val="18"/>
          <w:szCs w:val="18"/>
        </w:rPr>
        <w:t xml:space="preserve">Desde mi perspectiva, estos alcances </w:t>
      </w:r>
      <w:r w:rsidR="00D649A5" w:rsidRPr="00421FBA">
        <w:rPr>
          <w:color w:val="000000"/>
          <w:sz w:val="18"/>
          <w:szCs w:val="18"/>
        </w:rPr>
        <w:t xml:space="preserve">[de la interdependencia] </w:t>
      </w:r>
      <w:r w:rsidR="00581322" w:rsidRPr="00421FBA">
        <w:rPr>
          <w:color w:val="000000"/>
          <w:sz w:val="18"/>
          <w:szCs w:val="18"/>
        </w:rPr>
        <w:t xml:space="preserve">implican: a) establecer una relación fuerte y de igual importancia entre derechos civiles y políticos y los derechos económicos, sociales y culturales; b) obligar a interpretar todos los derechos de manera conjunta —que en algunos ocasiones arrojan contenidos traslapados o superpuestos— y a valorar las implicaciones que tiene el respeto, protección y garantía de unos derechos sobre otros para su implementación efectiva; c) otorgar una visión autónoma a los derechos económicos, sociales y culturales, conforme a su esencia y características propias; d) reconocer que pueden ser violados de manera autónoma, lo que podría conducir —como sucede con los derechos civiles y políticos— a declarar violado el deber de garantía de los derechos derivados del artículo 26 del Pacto de San José, en relación con las obligaciones generales previstas en los artículos 1 y 2 de la Convención Americana; e) precisar las obligaciones que deben cumplir los Estados en materia de derechos económicos, sociales y culturales; f) permitir una interpretación evolutiva del </w:t>
      </w:r>
      <w:r w:rsidR="00581322" w:rsidRPr="00421FBA">
        <w:rPr>
          <w:i/>
          <w:color w:val="000000"/>
          <w:sz w:val="18"/>
          <w:szCs w:val="18"/>
        </w:rPr>
        <w:t xml:space="preserve">corpus juris </w:t>
      </w:r>
      <w:r w:rsidR="00581322" w:rsidRPr="00421FBA">
        <w:rPr>
          <w:color w:val="000000"/>
          <w:sz w:val="18"/>
          <w:szCs w:val="18"/>
        </w:rPr>
        <w:t>interamericano y de manera sistemática, especialmente para advertir los alcances del artículo 26 de la Convención con respecto al Protocolo de San Salvador</w:t>
      </w:r>
      <w:r w:rsidR="00E75A6E">
        <w:rPr>
          <w:color w:val="000000"/>
          <w:sz w:val="18"/>
          <w:szCs w:val="18"/>
        </w:rPr>
        <w:t>[,]</w:t>
      </w:r>
      <w:r w:rsidR="00E75A6E" w:rsidRPr="00421FBA">
        <w:rPr>
          <w:color w:val="000000"/>
          <w:sz w:val="18"/>
          <w:szCs w:val="18"/>
        </w:rPr>
        <w:t xml:space="preserve"> </w:t>
      </w:r>
      <w:r w:rsidR="00581322" w:rsidRPr="00421FBA">
        <w:rPr>
          <w:color w:val="000000"/>
          <w:sz w:val="18"/>
          <w:szCs w:val="18"/>
        </w:rPr>
        <w:t>y g) proporcionar un fundamento más para utilizar otros instrumentos e interpretaciones de organismos internacionales relativas a los derechos económicos, sociales y culturales con el fin de darles contenido.</w:t>
      </w:r>
    </w:p>
    <w:p w14:paraId="7DDDBD87" w14:textId="77777777" w:rsidR="00581322" w:rsidRPr="00421FBA" w:rsidRDefault="00D649A5" w:rsidP="002F6E8A">
      <w:pPr>
        <w:tabs>
          <w:tab w:val="left" w:pos="709"/>
          <w:tab w:val="left" w:pos="9356"/>
        </w:tabs>
        <w:spacing w:after="240"/>
        <w:ind w:left="709" w:right="4"/>
        <w:rPr>
          <w:color w:val="000000"/>
          <w:sz w:val="18"/>
          <w:szCs w:val="18"/>
        </w:rPr>
      </w:pPr>
      <w:r w:rsidRPr="00421FBA">
        <w:rPr>
          <w:color w:val="000000"/>
          <w:sz w:val="18"/>
          <w:szCs w:val="18"/>
        </w:rPr>
        <w:lastRenderedPageBreak/>
        <w:t>[…]</w:t>
      </w:r>
    </w:p>
    <w:p w14:paraId="3EBCD3D6" w14:textId="77777777" w:rsidR="00581322" w:rsidRPr="00421FBA" w:rsidRDefault="00FB7B15" w:rsidP="002F6E8A">
      <w:pPr>
        <w:tabs>
          <w:tab w:val="left" w:pos="709"/>
          <w:tab w:val="left" w:pos="9356"/>
        </w:tabs>
        <w:spacing w:after="240"/>
        <w:ind w:left="709" w:right="4"/>
        <w:rPr>
          <w:color w:val="000000"/>
          <w:sz w:val="18"/>
          <w:szCs w:val="18"/>
        </w:rPr>
      </w:pPr>
      <w:r w:rsidRPr="00421FBA">
        <w:rPr>
          <w:color w:val="000000"/>
          <w:sz w:val="18"/>
          <w:szCs w:val="18"/>
        </w:rPr>
        <w:t xml:space="preserve">34.  </w:t>
      </w:r>
      <w:r w:rsidR="00581322" w:rsidRPr="00421FBA">
        <w:rPr>
          <w:color w:val="000000"/>
          <w:sz w:val="18"/>
          <w:szCs w:val="18"/>
        </w:rPr>
        <w:t xml:space="preserve">Al pensar sobre las implicaciones del derecho a la salud, es necesaria una revaluación interpretativa del Artículo 26 de la Convención Americana, única norma de dicho Pacto que se refiere “a los derechos que se derivan de las normas económicas, sociales y sobre educación, ciencia y cultura, contenidas en la Carta de la Organización de los Estados Americana, reformada por el Protocolo de Buenos Aires”, partiendo de que el Tribunal Interamericano ejerce una jurisdicción plena sobre todos sus artículos y disposiciones, entre los cuales se encuentra dicha disposición convencional.   </w:t>
      </w:r>
    </w:p>
    <w:p w14:paraId="6D1792E1" w14:textId="77777777" w:rsidR="00581322" w:rsidRPr="00421FBA" w:rsidRDefault="00FB7B15" w:rsidP="002F6E8A">
      <w:pPr>
        <w:tabs>
          <w:tab w:val="left" w:pos="709"/>
          <w:tab w:val="left" w:pos="9356"/>
        </w:tabs>
        <w:spacing w:after="240"/>
        <w:ind w:left="709" w:right="4"/>
        <w:rPr>
          <w:color w:val="000000"/>
          <w:sz w:val="18"/>
          <w:szCs w:val="18"/>
        </w:rPr>
      </w:pPr>
      <w:r w:rsidRPr="00421FBA">
        <w:rPr>
          <w:color w:val="000000"/>
          <w:sz w:val="18"/>
          <w:szCs w:val="18"/>
        </w:rPr>
        <w:t xml:space="preserve">35.  </w:t>
      </w:r>
      <w:r w:rsidR="00581322" w:rsidRPr="00421FBA">
        <w:rPr>
          <w:color w:val="000000"/>
          <w:sz w:val="18"/>
          <w:szCs w:val="18"/>
        </w:rPr>
        <w:t xml:space="preserve">Además, el artículo 26 está dentro de la Parte I (Deberes de los Estados y Derechos Protegidos) de la Convención Americana y, por lo tanto, le es aplicable las obligaciones generales de los Estados previstas en los artículos 1.1 y 2 del mismo Pacto, como fue reconocido por el propio Tribunal Interamericano en el </w:t>
      </w:r>
      <w:r w:rsidR="00581322" w:rsidRPr="00421FBA">
        <w:rPr>
          <w:i/>
          <w:color w:val="000000"/>
          <w:sz w:val="18"/>
          <w:szCs w:val="18"/>
        </w:rPr>
        <w:t>Caso Acevedo Buendía Vs. Perú</w:t>
      </w:r>
      <w:r w:rsidR="00581322" w:rsidRPr="00421FBA">
        <w:rPr>
          <w:color w:val="000000"/>
          <w:sz w:val="18"/>
          <w:szCs w:val="18"/>
        </w:rPr>
        <w:t>. Existe, sin embargo, una aparente tensión interpretativa con los alcances que deben darse al artículo 26 del Pacto de San José en relación con el artículo 19.6 del Protocolo de San Salvador que limita la justiciabilidad de los derechos económicos, sociales y culturales a sólo a ciertos derechos.</w:t>
      </w:r>
    </w:p>
    <w:p w14:paraId="3C6AAF49" w14:textId="77777777" w:rsidR="002A7F13" w:rsidRPr="00421FBA" w:rsidRDefault="002A7F13" w:rsidP="002F6E8A">
      <w:pPr>
        <w:tabs>
          <w:tab w:val="left" w:pos="709"/>
          <w:tab w:val="left" w:pos="9356"/>
        </w:tabs>
        <w:spacing w:after="240"/>
        <w:ind w:left="709" w:right="4"/>
        <w:rPr>
          <w:color w:val="000000"/>
          <w:sz w:val="18"/>
          <w:szCs w:val="18"/>
        </w:rPr>
      </w:pPr>
      <w:r w:rsidRPr="00421FBA">
        <w:rPr>
          <w:color w:val="000000"/>
          <w:sz w:val="18"/>
          <w:szCs w:val="18"/>
        </w:rPr>
        <w:t>[…]</w:t>
      </w:r>
    </w:p>
    <w:p w14:paraId="63D34C93" w14:textId="77777777" w:rsidR="00581322" w:rsidRPr="00421FBA" w:rsidRDefault="00581322" w:rsidP="002F6E8A">
      <w:pPr>
        <w:tabs>
          <w:tab w:val="left" w:pos="709"/>
          <w:tab w:val="left" w:pos="9356"/>
        </w:tabs>
        <w:spacing w:after="240"/>
        <w:ind w:left="709" w:right="4"/>
        <w:rPr>
          <w:color w:val="000000"/>
          <w:sz w:val="18"/>
          <w:szCs w:val="18"/>
        </w:rPr>
      </w:pPr>
      <w:r w:rsidRPr="00421FBA">
        <w:rPr>
          <w:color w:val="000000"/>
          <w:sz w:val="18"/>
          <w:szCs w:val="18"/>
        </w:rPr>
        <w:t>36.</w:t>
      </w:r>
      <w:r w:rsidR="00FB7B15" w:rsidRPr="00421FBA">
        <w:rPr>
          <w:color w:val="000000"/>
          <w:sz w:val="18"/>
          <w:szCs w:val="18"/>
        </w:rPr>
        <w:t xml:space="preserve"> </w:t>
      </w:r>
      <w:r w:rsidRPr="00421FBA">
        <w:rPr>
          <w:color w:val="000000"/>
          <w:sz w:val="18"/>
          <w:szCs w:val="18"/>
        </w:rPr>
        <w:t>Desde mi perspectiva, se requiere un desarrollo interpretativo del Artículo 26 del Pacto de San José en la jurisprudencia de la Corte IDH que podría representar nuevos derroteros para la efectividad de los derechos económicos, sociales y culturales, tanto en sus dimensiones individual y colectiva. Y podría configurarse un nuevo contenido en el futuro a través de interpretaciones evolutivas que refuercen el carácter interdependiente e indivisible de los derechos humanos.</w:t>
      </w:r>
    </w:p>
    <w:p w14:paraId="6C8047A7" w14:textId="0FA06581" w:rsidR="00E75A6E" w:rsidRDefault="00581322" w:rsidP="002F6E8A">
      <w:pPr>
        <w:tabs>
          <w:tab w:val="left" w:pos="709"/>
          <w:tab w:val="left" w:pos="9356"/>
        </w:tabs>
        <w:spacing w:after="240"/>
        <w:ind w:left="709" w:right="4"/>
        <w:rPr>
          <w:sz w:val="18"/>
          <w:szCs w:val="18"/>
          <w:lang w:val="es-CR"/>
        </w:rPr>
      </w:pPr>
      <w:r w:rsidRPr="00421FBA">
        <w:rPr>
          <w:color w:val="000000"/>
          <w:sz w:val="18"/>
          <w:szCs w:val="18"/>
        </w:rPr>
        <w:t xml:space="preserve">37. </w:t>
      </w:r>
      <w:r w:rsidR="00FB7B15" w:rsidRPr="00421FBA">
        <w:rPr>
          <w:color w:val="000000"/>
          <w:sz w:val="18"/>
          <w:szCs w:val="18"/>
        </w:rPr>
        <w:t xml:space="preserve"> </w:t>
      </w:r>
      <w:r w:rsidRPr="00421FBA">
        <w:rPr>
          <w:color w:val="000000"/>
          <w:sz w:val="18"/>
          <w:szCs w:val="18"/>
        </w:rPr>
        <w:t xml:space="preserve">En ese sentido, considero oportuno el llamado que la muy distinguida jueza Margarette May Macaulay —de la anterior integración de la Corte IDH— realizara en su voto concurrente hace unos meses, en el </w:t>
      </w:r>
      <w:r w:rsidRPr="00421FBA">
        <w:rPr>
          <w:i/>
          <w:color w:val="000000"/>
          <w:sz w:val="18"/>
          <w:szCs w:val="18"/>
        </w:rPr>
        <w:t xml:space="preserve">Caso Furlan y Familiares Vs. Argentina, </w:t>
      </w:r>
      <w:r w:rsidRPr="00421FBA">
        <w:rPr>
          <w:color w:val="000000"/>
          <w:sz w:val="18"/>
          <w:szCs w:val="18"/>
        </w:rPr>
        <w:t>dirigido a actualizar el sentido normativo de dicho precepto convencional. La ex jueza</w:t>
      </w:r>
      <w:r w:rsidRPr="00421FBA">
        <w:rPr>
          <w:sz w:val="18"/>
          <w:szCs w:val="18"/>
          <w:lang w:val="es-CR"/>
        </w:rPr>
        <w:t xml:space="preserve"> señaló que el Protocolo de San Salvador “no establece ninguna disposición cuya intención fuera limitar el alcance de la Convención Americana”. </w:t>
      </w:r>
      <w:r w:rsidR="002A7F13" w:rsidRPr="00421FBA">
        <w:rPr>
          <w:sz w:val="18"/>
          <w:szCs w:val="18"/>
          <w:lang w:val="es-CR"/>
        </w:rPr>
        <w:t xml:space="preserve">[…] </w:t>
      </w:r>
    </w:p>
    <w:p w14:paraId="3C2D8110" w14:textId="770E7755" w:rsidR="00581322" w:rsidRPr="00421FBA" w:rsidRDefault="00E75A6E" w:rsidP="002F6E8A">
      <w:pPr>
        <w:tabs>
          <w:tab w:val="left" w:pos="709"/>
          <w:tab w:val="left" w:pos="9356"/>
        </w:tabs>
        <w:spacing w:after="240"/>
        <w:ind w:left="709" w:right="4"/>
        <w:rPr>
          <w:sz w:val="18"/>
          <w:szCs w:val="18"/>
          <w:lang w:val="es-CR"/>
        </w:rPr>
      </w:pPr>
      <w:r>
        <w:rPr>
          <w:sz w:val="18"/>
          <w:szCs w:val="18"/>
          <w:lang w:val="es-CR"/>
        </w:rPr>
        <w:t xml:space="preserve">38. </w:t>
      </w:r>
      <w:r w:rsidR="00581322" w:rsidRPr="00421FBA">
        <w:rPr>
          <w:sz w:val="18"/>
          <w:szCs w:val="18"/>
          <w:lang w:val="es-CR"/>
        </w:rPr>
        <w:t xml:space="preserve">La jueza Macaulay precisó que correspondía a la Corte IDH actualizar el sentido normativo del Artículo 26 </w:t>
      </w:r>
      <w:r w:rsidR="002A7F13" w:rsidRPr="00421FBA">
        <w:rPr>
          <w:sz w:val="18"/>
          <w:szCs w:val="18"/>
          <w:lang w:val="es-CR"/>
        </w:rPr>
        <w:t>[…].</w:t>
      </w:r>
    </w:p>
    <w:p w14:paraId="38BD1E9A" w14:textId="77777777" w:rsidR="00581322" w:rsidRPr="00421FBA" w:rsidRDefault="00581322" w:rsidP="002F6E8A">
      <w:pPr>
        <w:tabs>
          <w:tab w:val="left" w:pos="709"/>
          <w:tab w:val="left" w:pos="9356"/>
        </w:tabs>
        <w:ind w:left="709" w:right="4"/>
        <w:rPr>
          <w:sz w:val="18"/>
          <w:szCs w:val="18"/>
          <w:lang w:val="es-CR"/>
        </w:rPr>
      </w:pPr>
      <w:r w:rsidRPr="00421FBA">
        <w:rPr>
          <w:sz w:val="18"/>
          <w:szCs w:val="18"/>
          <w:lang w:val="es-CR"/>
        </w:rPr>
        <w:t xml:space="preserve">39. Además de lo expresado, pueden considerarse algunos argumentos adicionales a esta interpretación de la relación entre la Convención Americana y el Protocolo de San Salvador, relativo a la competencia de la Corte para conocer de violaciones directas a derechos económicos, sociales y culturales a la luz del Artículo 26 del Pacto de San José. </w:t>
      </w:r>
    </w:p>
    <w:p w14:paraId="4A4BC0FA" w14:textId="77777777" w:rsidR="00581322" w:rsidRPr="00421FBA" w:rsidRDefault="00581322" w:rsidP="002F6E8A">
      <w:pPr>
        <w:tabs>
          <w:tab w:val="left" w:pos="9356"/>
        </w:tabs>
        <w:ind w:left="709" w:right="4"/>
        <w:rPr>
          <w:sz w:val="18"/>
          <w:szCs w:val="18"/>
          <w:lang w:val="es-CR"/>
        </w:rPr>
      </w:pPr>
    </w:p>
    <w:p w14:paraId="57371827" w14:textId="77777777" w:rsidR="00581322" w:rsidRPr="00421FBA" w:rsidRDefault="00581322" w:rsidP="002F6E8A">
      <w:pPr>
        <w:tabs>
          <w:tab w:val="left" w:pos="709"/>
          <w:tab w:val="left" w:pos="9356"/>
        </w:tabs>
        <w:ind w:left="709" w:right="4"/>
        <w:rPr>
          <w:sz w:val="18"/>
          <w:szCs w:val="18"/>
          <w:lang w:val="es-CR"/>
        </w:rPr>
      </w:pPr>
      <w:r w:rsidRPr="00421FBA">
        <w:rPr>
          <w:sz w:val="18"/>
          <w:szCs w:val="18"/>
          <w:lang w:val="es-CR"/>
        </w:rPr>
        <w:t>40.</w:t>
      </w:r>
      <w:r w:rsidR="00FB7B15" w:rsidRPr="00421FBA">
        <w:rPr>
          <w:sz w:val="18"/>
          <w:szCs w:val="18"/>
          <w:lang w:val="es-CR"/>
        </w:rPr>
        <w:t xml:space="preserve"> </w:t>
      </w:r>
      <w:r w:rsidRPr="00421FBA">
        <w:rPr>
          <w:sz w:val="18"/>
          <w:szCs w:val="18"/>
          <w:lang w:val="es-CR"/>
        </w:rPr>
        <w:t xml:space="preserve">En primer lugar, resulta indispensable partir de la importancia de tener en cuenta la interpretación literal del Artículo 26 respecto a la competencia establecida para proteger </w:t>
      </w:r>
      <w:r w:rsidRPr="00421FBA">
        <w:rPr>
          <w:i/>
          <w:sz w:val="18"/>
          <w:szCs w:val="18"/>
          <w:lang w:val="es-CR"/>
        </w:rPr>
        <w:t>todos los derechos</w:t>
      </w:r>
      <w:r w:rsidRPr="00421FBA">
        <w:rPr>
          <w:sz w:val="18"/>
          <w:szCs w:val="18"/>
          <w:lang w:val="es-CR"/>
        </w:rPr>
        <w:t xml:space="preserve"> establecidos en el Pacto de San José, lo que incluyen los derechos previstos en los artículos 3 a 26 (Capítulos II: “Derechos Civiles y Políticos, y Capítulo III: “Derechos Económicos, Sociales y Culturales”). Como ya lo referí, la Corte IDH así lo ha reconocido de manera expresa en la sentencia en el caso </w:t>
      </w:r>
      <w:r w:rsidRPr="00421FBA">
        <w:rPr>
          <w:i/>
          <w:sz w:val="18"/>
          <w:szCs w:val="18"/>
          <w:lang w:val="es-CR"/>
        </w:rPr>
        <w:t>Acevedo Buendía y otros Vs. Perú</w:t>
      </w:r>
      <w:r w:rsidR="002A7F13" w:rsidRPr="00421FBA">
        <w:rPr>
          <w:sz w:val="18"/>
          <w:szCs w:val="18"/>
          <w:lang w:val="es-CR"/>
        </w:rPr>
        <w:t xml:space="preserve"> […].</w:t>
      </w:r>
    </w:p>
    <w:p w14:paraId="77A66821" w14:textId="77777777" w:rsidR="00581322" w:rsidRPr="00421FBA" w:rsidRDefault="00581322" w:rsidP="002F6E8A">
      <w:pPr>
        <w:tabs>
          <w:tab w:val="left" w:pos="9356"/>
        </w:tabs>
        <w:ind w:left="709" w:right="4"/>
        <w:rPr>
          <w:b/>
          <w:sz w:val="18"/>
          <w:szCs w:val="18"/>
          <w:lang w:val="es-CR"/>
        </w:rPr>
      </w:pPr>
    </w:p>
    <w:p w14:paraId="45F5C3A2" w14:textId="77777777" w:rsidR="00581322" w:rsidRPr="00421FBA" w:rsidRDefault="00581322" w:rsidP="002F6E8A">
      <w:pPr>
        <w:tabs>
          <w:tab w:val="left" w:pos="709"/>
          <w:tab w:val="left" w:pos="9356"/>
        </w:tabs>
        <w:ind w:left="709" w:right="4"/>
        <w:rPr>
          <w:sz w:val="18"/>
          <w:szCs w:val="18"/>
          <w:lang w:val="es-CR"/>
        </w:rPr>
      </w:pPr>
      <w:r w:rsidRPr="00421FBA">
        <w:rPr>
          <w:sz w:val="18"/>
          <w:szCs w:val="18"/>
          <w:lang w:val="es-CR"/>
        </w:rPr>
        <w:t>42.</w:t>
      </w:r>
      <w:r w:rsidR="00FB7B15" w:rsidRPr="00421FBA">
        <w:rPr>
          <w:sz w:val="18"/>
          <w:szCs w:val="18"/>
          <w:lang w:val="es-CR"/>
        </w:rPr>
        <w:t xml:space="preserve"> </w:t>
      </w:r>
      <w:r w:rsidRPr="00421FBA">
        <w:rPr>
          <w:sz w:val="18"/>
          <w:szCs w:val="18"/>
          <w:lang w:val="es-CR"/>
        </w:rPr>
        <w:t xml:space="preserve">Ahora bien, en ningún precepto del Protocolo de San Salvador se realiza referencia alguna sobre los alcances de las obligaciones generales a que se refieren los artículos 1.1 y 2 de la Convención Americana. Si el Pacto de San José no está siendo modificado expresamente, la interpretación que corresponde debe ser la menos restringida respecto a sus alcances. En este aspecto, es importante resaltar que la misma Convención Americana dispone un procedimiento específico para su modificación. Si el Protocolo de Salvador pretendía derogar o modificar el alcance del artículo 26, ello debió haberse establecido en forma expresa e inequívoca. La clara redacción del artículo 19.6 del Protocolo no permite inferir conclusión alguna respecto a la </w:t>
      </w:r>
      <w:r w:rsidRPr="00421FBA">
        <w:rPr>
          <w:sz w:val="18"/>
          <w:szCs w:val="18"/>
          <w:lang w:val="es-CR"/>
        </w:rPr>
        <w:lastRenderedPageBreak/>
        <w:t>literalidad de la relación del artículo 26 con los artículos 1.1 y 2 de la Convención Americana, tal y como ha reconocido la Corte IDH.</w:t>
      </w:r>
    </w:p>
    <w:p w14:paraId="005EEB42" w14:textId="77777777" w:rsidR="00581322" w:rsidRPr="00421FBA" w:rsidRDefault="00581322" w:rsidP="002F6E8A">
      <w:pPr>
        <w:tabs>
          <w:tab w:val="left" w:pos="9356"/>
        </w:tabs>
        <w:ind w:left="709" w:right="4"/>
        <w:rPr>
          <w:b/>
          <w:sz w:val="18"/>
          <w:szCs w:val="18"/>
          <w:lang w:val="es-CR"/>
        </w:rPr>
      </w:pPr>
    </w:p>
    <w:p w14:paraId="5473E871" w14:textId="77777777" w:rsidR="00581322" w:rsidRPr="00421FBA" w:rsidRDefault="00581322" w:rsidP="002F6E8A">
      <w:pPr>
        <w:tabs>
          <w:tab w:val="left" w:pos="709"/>
          <w:tab w:val="left" w:pos="9356"/>
        </w:tabs>
        <w:ind w:left="709" w:right="4"/>
        <w:rPr>
          <w:sz w:val="18"/>
          <w:szCs w:val="18"/>
          <w:lang w:val="es-CR"/>
        </w:rPr>
      </w:pPr>
      <w:r w:rsidRPr="00421FBA">
        <w:rPr>
          <w:sz w:val="18"/>
          <w:szCs w:val="18"/>
          <w:lang w:val="es-CR"/>
        </w:rPr>
        <w:t>43.</w:t>
      </w:r>
      <w:r w:rsidR="00FB7B15" w:rsidRPr="00421FBA">
        <w:rPr>
          <w:sz w:val="18"/>
          <w:szCs w:val="18"/>
          <w:lang w:val="es-CR"/>
        </w:rPr>
        <w:t xml:space="preserve">  </w:t>
      </w:r>
      <w:r w:rsidRPr="00421FBA">
        <w:rPr>
          <w:sz w:val="18"/>
          <w:szCs w:val="18"/>
          <w:lang w:val="es-CR"/>
        </w:rPr>
        <w:t xml:space="preserve">Sobre la interpretación del artículo 26 y su relación con el Protocolo de San Salvador se han generado diversas posiciones. En mi opinión, lo que corresponde es aplicar el principio de interpretación más favorable no sólo en relación con aspectos sustantivos de la Convención sino también en aspectos procesales relacionados con la atribución de competencia, siempre y cuando exista un conflicto interpretativo concreto y genuino. Si el Protocolo de San Salvador expresamente hubiera señalado que debía entenderse que el artículo 26 ya no tenía vigencia, no podría el intérprete llegar a una conclusión en contrario. Sin embargo, ninguna norma del Protocolo se refiere a disminuir o limitar el alcance de la Convención Americana. </w:t>
      </w:r>
    </w:p>
    <w:p w14:paraId="7DA909FF" w14:textId="77777777" w:rsidR="00581322" w:rsidRPr="00421FBA" w:rsidRDefault="00581322" w:rsidP="002F6E8A">
      <w:pPr>
        <w:tabs>
          <w:tab w:val="left" w:pos="709"/>
          <w:tab w:val="left" w:pos="9356"/>
        </w:tabs>
        <w:ind w:left="709" w:right="4"/>
        <w:rPr>
          <w:sz w:val="18"/>
          <w:szCs w:val="18"/>
          <w:lang w:val="es-CR"/>
        </w:rPr>
      </w:pPr>
    </w:p>
    <w:p w14:paraId="58F166C8" w14:textId="77777777" w:rsidR="00581322" w:rsidRPr="00421FBA" w:rsidRDefault="00581322" w:rsidP="002F6E8A">
      <w:pPr>
        <w:tabs>
          <w:tab w:val="left" w:pos="709"/>
          <w:tab w:val="left" w:pos="9356"/>
        </w:tabs>
        <w:ind w:left="709" w:right="4"/>
        <w:rPr>
          <w:sz w:val="18"/>
          <w:szCs w:val="18"/>
          <w:lang w:val="es-CR"/>
        </w:rPr>
      </w:pPr>
      <w:r w:rsidRPr="00421FBA">
        <w:rPr>
          <w:sz w:val="18"/>
          <w:szCs w:val="18"/>
          <w:lang w:val="es-CR"/>
        </w:rPr>
        <w:t>44. Por el contrario, una de las normas del Protocolo señala que este instrumento no debe ser interpretado para desconocer otros derechos vigentes en los Estados Parte, lo cual incluye los derechos que se derivan del artículo 26 en el marco de la Convención Americana. Asimismo, en términos del artículo 29.b) de la Convención Americana, no puede realizarse una interpretación restrictiva de los derechos.</w:t>
      </w:r>
    </w:p>
    <w:p w14:paraId="4000FD45" w14:textId="77777777" w:rsidR="00581322" w:rsidRPr="00421FBA" w:rsidRDefault="00581322" w:rsidP="002F6E8A">
      <w:pPr>
        <w:tabs>
          <w:tab w:val="left" w:pos="709"/>
          <w:tab w:val="left" w:pos="9356"/>
        </w:tabs>
        <w:ind w:left="709" w:right="4"/>
        <w:rPr>
          <w:sz w:val="18"/>
          <w:szCs w:val="18"/>
          <w:lang w:val="es-CR"/>
        </w:rPr>
      </w:pPr>
    </w:p>
    <w:p w14:paraId="01010827" w14:textId="77777777" w:rsidR="00581322" w:rsidRPr="00421FBA" w:rsidRDefault="00581322" w:rsidP="002F6E8A">
      <w:pPr>
        <w:tabs>
          <w:tab w:val="left" w:pos="709"/>
          <w:tab w:val="left" w:pos="9356"/>
        </w:tabs>
        <w:autoSpaceDE w:val="0"/>
        <w:autoSpaceDN w:val="0"/>
        <w:adjustRightInd w:val="0"/>
        <w:ind w:left="709" w:right="4"/>
        <w:rPr>
          <w:rFonts w:eastAsia="Calibri" w:cs="NewBaskerville-Roman"/>
          <w:sz w:val="18"/>
          <w:szCs w:val="18"/>
          <w:lang w:val="es-CR"/>
        </w:rPr>
      </w:pPr>
      <w:r w:rsidRPr="00421FBA">
        <w:rPr>
          <w:sz w:val="18"/>
          <w:szCs w:val="18"/>
          <w:lang w:val="es-CR"/>
        </w:rPr>
        <w:t xml:space="preserve">45. Corresponde entonces resolver este —aparente— problema a partir de una interpretación sistemática, teleológica, evolutiva y que tenga en cuenta la interpretación más favorable para impulsar la mejor protección del ser humano y el objeto y fin del artículo 26 de la Convención Americana respecto a la necesidad de garantizar efectivamente los derechos económicos, sociales y culturales. </w:t>
      </w:r>
      <w:r w:rsidRPr="00421FBA">
        <w:rPr>
          <w:rFonts w:eastAsia="Calibri" w:cs="NewBaskerville-Roman"/>
          <w:sz w:val="18"/>
          <w:szCs w:val="18"/>
          <w:lang w:val="es-CR"/>
        </w:rPr>
        <w:t xml:space="preserve">En un conflicto interpretativo corresponde otorgar prevalencia a una interpretación sistemática de las normas relevantes. </w:t>
      </w:r>
    </w:p>
    <w:p w14:paraId="1FA2699B" w14:textId="77777777" w:rsidR="00581322" w:rsidRPr="00421FBA" w:rsidRDefault="00581322" w:rsidP="002F6E8A">
      <w:pPr>
        <w:tabs>
          <w:tab w:val="left" w:pos="9356"/>
        </w:tabs>
        <w:ind w:left="709" w:right="4"/>
        <w:rPr>
          <w:sz w:val="18"/>
          <w:szCs w:val="18"/>
          <w:lang w:val="es-CR"/>
        </w:rPr>
      </w:pPr>
    </w:p>
    <w:p w14:paraId="34BA23F2" w14:textId="77777777" w:rsidR="00581322" w:rsidRPr="00421FBA" w:rsidRDefault="00581322" w:rsidP="002F6E8A">
      <w:pPr>
        <w:tabs>
          <w:tab w:val="left" w:pos="709"/>
          <w:tab w:val="left" w:pos="9356"/>
        </w:tabs>
        <w:autoSpaceDE w:val="0"/>
        <w:autoSpaceDN w:val="0"/>
        <w:adjustRightInd w:val="0"/>
        <w:ind w:left="709" w:right="4"/>
        <w:rPr>
          <w:rFonts w:eastAsia="Calibri" w:cs="NewBaskerville-Roman"/>
          <w:sz w:val="18"/>
          <w:szCs w:val="18"/>
          <w:lang w:val="es-CR"/>
        </w:rPr>
      </w:pPr>
      <w:r w:rsidRPr="00421FBA">
        <w:rPr>
          <w:rFonts w:eastAsia="Calibri" w:cs="NewBaskerville-Roman"/>
          <w:sz w:val="18"/>
          <w:szCs w:val="18"/>
          <w:lang w:val="es-CR"/>
        </w:rPr>
        <w:t xml:space="preserve">46. En este sentido, la Corte IDH ha señalado en </w:t>
      </w:r>
      <w:r w:rsidRPr="00421FBA">
        <w:rPr>
          <w:sz w:val="18"/>
          <w:szCs w:val="18"/>
          <w:lang w:eastAsia="de-DE"/>
        </w:rPr>
        <w:t>otras oportunidades que los tratados de derechos humanos son instrumentos vivos, cuya interpretación tiene que acompañar la evolución de los tiempos y las condiciones de vida actuales. Asimismo, también ha sostenido que esa interpretación evolutiva es consecuente con las reglas generales de interpretación establecidas en el artículo 29 de la Convención Americana, así como en la Convención</w:t>
      </w:r>
      <w:r w:rsidRPr="00421FBA">
        <w:rPr>
          <w:i/>
          <w:sz w:val="18"/>
          <w:szCs w:val="18"/>
          <w:lang w:eastAsia="de-DE"/>
        </w:rPr>
        <w:t xml:space="preserve"> </w:t>
      </w:r>
      <w:r w:rsidRPr="00421FBA">
        <w:rPr>
          <w:sz w:val="18"/>
          <w:szCs w:val="18"/>
          <w:lang w:eastAsia="de-DE"/>
        </w:rPr>
        <w:t xml:space="preserve">de Viena sobre el Derecho de los Tratados. Al efectuar una interpretación evolutiva la Corte le ha otorgado especial relevancia al derecho comparado, razón por la cual </w:t>
      </w:r>
      <w:r w:rsidRPr="00421FBA">
        <w:rPr>
          <w:rFonts w:cs="Arial"/>
          <w:sz w:val="18"/>
          <w:szCs w:val="18"/>
          <w:lang w:val="es-CO"/>
        </w:rPr>
        <w:t>ha utilizado normativa nacional o jurisprudencia de tribunales internos a la hora de analizar controversias específicas en los casos contenciosos.</w:t>
      </w:r>
    </w:p>
    <w:p w14:paraId="6401C893" w14:textId="77777777" w:rsidR="00581322" w:rsidRPr="00421FBA" w:rsidRDefault="00581322" w:rsidP="002F6E8A">
      <w:pPr>
        <w:tabs>
          <w:tab w:val="left" w:pos="709"/>
          <w:tab w:val="left" w:pos="9356"/>
        </w:tabs>
        <w:ind w:left="709" w:right="4"/>
        <w:rPr>
          <w:sz w:val="18"/>
          <w:szCs w:val="18"/>
          <w:lang w:val="es-CR"/>
        </w:rPr>
      </w:pPr>
    </w:p>
    <w:p w14:paraId="3378A6CD" w14:textId="77777777" w:rsidR="00581322" w:rsidRPr="00421FBA" w:rsidRDefault="00581322" w:rsidP="002F6E8A">
      <w:pPr>
        <w:tabs>
          <w:tab w:val="left" w:pos="709"/>
          <w:tab w:val="left" w:pos="9356"/>
        </w:tabs>
        <w:ind w:left="709" w:right="4"/>
        <w:rPr>
          <w:rFonts w:eastAsia="Calibri" w:cs="NewBaskerville-Roman"/>
          <w:sz w:val="18"/>
          <w:szCs w:val="18"/>
          <w:lang w:val="es-CR"/>
        </w:rPr>
      </w:pPr>
      <w:r w:rsidRPr="00421FBA">
        <w:rPr>
          <w:sz w:val="18"/>
          <w:szCs w:val="18"/>
          <w:lang w:val="es-CR"/>
        </w:rPr>
        <w:t>47.</w:t>
      </w:r>
      <w:r w:rsidR="00FB7B15" w:rsidRPr="00421FBA">
        <w:rPr>
          <w:sz w:val="18"/>
          <w:szCs w:val="18"/>
          <w:lang w:val="es-CR"/>
        </w:rPr>
        <w:t xml:space="preserve"> </w:t>
      </w:r>
      <w:r w:rsidRPr="00421FBA">
        <w:rPr>
          <w:sz w:val="18"/>
          <w:szCs w:val="18"/>
          <w:lang w:val="es-CR"/>
        </w:rPr>
        <w:t xml:space="preserve">Es claro que la Corte IDH no puede declarar la violación del derecho a la salud en el marco del Protocolo de San Salvador, porque así se advierte de la literalidad del artículo 19.6 del mismo.  Sin embargo, es posible </w:t>
      </w:r>
      <w:r w:rsidRPr="00421FBA">
        <w:rPr>
          <w:rFonts w:eastAsia="Calibri" w:cs="NewBaskerville-Roman"/>
          <w:sz w:val="18"/>
          <w:szCs w:val="18"/>
          <w:lang w:val="es-CR"/>
        </w:rPr>
        <w:t xml:space="preserve">entender entonces al Protocolo de San Salvador como uno de los referentes interpretativos sobre el alcance del derecho a la salud que protege el artículo 26 de la Convención Americana. El Protocolo Adicional, a la luz del </w:t>
      </w:r>
      <w:r w:rsidRPr="00421FBA">
        <w:rPr>
          <w:rFonts w:eastAsia="Calibri" w:cs="NewBaskerville-Roman"/>
          <w:i/>
          <w:sz w:val="18"/>
          <w:szCs w:val="18"/>
          <w:lang w:val="es-CR"/>
        </w:rPr>
        <w:t>corpus juris</w:t>
      </w:r>
      <w:r w:rsidRPr="00421FBA">
        <w:rPr>
          <w:rFonts w:eastAsia="Calibri" w:cs="NewBaskerville-Roman"/>
          <w:sz w:val="18"/>
          <w:szCs w:val="18"/>
          <w:lang w:val="es-CR"/>
        </w:rPr>
        <w:t xml:space="preserve"> de derechos humanos, ilustra sobre el contenido que deben tener las obligaciones de respeto y garantía respecto a este derecho. Es decir, el Protocolo de San Salvador </w:t>
      </w:r>
      <w:r w:rsidRPr="00421FBA">
        <w:rPr>
          <w:rFonts w:eastAsia="Calibri" w:cs="NewBaskerville-Roman"/>
          <w:i/>
          <w:sz w:val="18"/>
          <w:szCs w:val="18"/>
          <w:lang w:val="es-CR"/>
        </w:rPr>
        <w:t>orienta</w:t>
      </w:r>
      <w:r w:rsidRPr="00421FBA">
        <w:rPr>
          <w:rFonts w:eastAsia="Calibri" w:cs="NewBaskerville-Roman"/>
          <w:sz w:val="18"/>
          <w:szCs w:val="18"/>
          <w:lang w:val="es-CR"/>
        </w:rPr>
        <w:t xml:space="preserve"> sobre la aplicación que corresponde del artículo 26 en conjunto con las obligaciones establecidas en los artículos 1.1 y 2 del Pacto de San José.</w:t>
      </w:r>
    </w:p>
    <w:p w14:paraId="36A3DE24" w14:textId="77777777" w:rsidR="000E5B55" w:rsidRPr="00421FBA" w:rsidRDefault="000E5B55" w:rsidP="002F6E8A">
      <w:pPr>
        <w:pStyle w:val="Textosinformato"/>
        <w:tabs>
          <w:tab w:val="left" w:pos="9356"/>
        </w:tabs>
        <w:ind w:left="709" w:right="4"/>
        <w:jc w:val="both"/>
        <w:rPr>
          <w:rFonts w:ascii="Verdana" w:hAnsi="Verdana"/>
          <w:b/>
          <w:sz w:val="18"/>
          <w:szCs w:val="18"/>
          <w:lang w:val="es-ES"/>
        </w:rPr>
      </w:pPr>
    </w:p>
    <w:p w14:paraId="478DD27C" w14:textId="77777777" w:rsidR="00581322" w:rsidRDefault="000E5B55" w:rsidP="002F6E8A">
      <w:pPr>
        <w:pStyle w:val="Textosinformato"/>
        <w:tabs>
          <w:tab w:val="left" w:pos="9356"/>
        </w:tabs>
        <w:ind w:left="709" w:right="4"/>
        <w:jc w:val="both"/>
        <w:rPr>
          <w:rFonts w:ascii="Verdana" w:hAnsi="Verdana"/>
          <w:sz w:val="18"/>
          <w:szCs w:val="18"/>
          <w:lang w:val="es-ES"/>
        </w:rPr>
      </w:pPr>
      <w:r w:rsidRPr="00421FBA">
        <w:rPr>
          <w:rFonts w:ascii="Verdana" w:hAnsi="Verdana"/>
          <w:sz w:val="18"/>
          <w:szCs w:val="18"/>
          <w:lang w:val="es-ES"/>
        </w:rPr>
        <w:t>[…]</w:t>
      </w:r>
    </w:p>
    <w:p w14:paraId="7CCB305C" w14:textId="77777777" w:rsidR="00454072" w:rsidRPr="00421FBA" w:rsidRDefault="00454072" w:rsidP="002F6E8A">
      <w:pPr>
        <w:pStyle w:val="Textosinformato"/>
        <w:tabs>
          <w:tab w:val="left" w:pos="9356"/>
        </w:tabs>
        <w:ind w:left="709" w:right="4"/>
        <w:jc w:val="both"/>
        <w:rPr>
          <w:rFonts w:ascii="Verdana" w:hAnsi="Verdana"/>
          <w:sz w:val="18"/>
          <w:szCs w:val="18"/>
          <w:lang w:val="es-ES"/>
        </w:rPr>
      </w:pPr>
    </w:p>
    <w:p w14:paraId="30EA0749" w14:textId="77777777" w:rsidR="00581322" w:rsidRPr="00421FBA" w:rsidRDefault="00581322" w:rsidP="002F6E8A">
      <w:pPr>
        <w:pStyle w:val="Textosinformato"/>
        <w:tabs>
          <w:tab w:val="left" w:pos="709"/>
          <w:tab w:val="left" w:pos="9356"/>
        </w:tabs>
        <w:spacing w:after="240"/>
        <w:ind w:left="709" w:right="6"/>
        <w:jc w:val="both"/>
        <w:rPr>
          <w:rFonts w:ascii="Verdana" w:hAnsi="Verdana"/>
          <w:sz w:val="18"/>
          <w:szCs w:val="18"/>
          <w:lang w:val="es-ES_tradnl"/>
        </w:rPr>
      </w:pPr>
      <w:r w:rsidRPr="00421FBA">
        <w:rPr>
          <w:rFonts w:ascii="Verdana" w:hAnsi="Verdana"/>
          <w:sz w:val="18"/>
          <w:szCs w:val="18"/>
          <w:lang w:val="es-ES"/>
        </w:rPr>
        <w:t>57.</w:t>
      </w:r>
      <w:r w:rsidR="00FB7B15" w:rsidRPr="00421FBA">
        <w:rPr>
          <w:rFonts w:ascii="Verdana" w:hAnsi="Verdana"/>
          <w:sz w:val="18"/>
          <w:szCs w:val="18"/>
          <w:lang w:val="es-ES"/>
        </w:rPr>
        <w:t xml:space="preserve"> </w:t>
      </w:r>
      <w:r w:rsidRPr="00421FBA">
        <w:rPr>
          <w:rFonts w:ascii="Verdana" w:hAnsi="Verdana"/>
          <w:sz w:val="18"/>
          <w:szCs w:val="18"/>
          <w:lang w:val="es-ES"/>
        </w:rPr>
        <w:t xml:space="preserve">Hasta el momento, la Corte IDH ha utilizado diversos aspectos del </w:t>
      </w:r>
      <w:r w:rsidRPr="00421FBA">
        <w:rPr>
          <w:rFonts w:ascii="Verdana" w:hAnsi="Verdana"/>
          <w:i/>
          <w:sz w:val="18"/>
          <w:szCs w:val="18"/>
          <w:lang w:val="es-ES"/>
        </w:rPr>
        <w:t>corpus juris</w:t>
      </w:r>
      <w:r w:rsidRPr="00421FBA">
        <w:rPr>
          <w:rFonts w:ascii="Verdana" w:hAnsi="Verdana"/>
          <w:sz w:val="18"/>
          <w:szCs w:val="18"/>
          <w:lang w:val="es-ES"/>
        </w:rPr>
        <w:t xml:space="preserve"> sobre el derecho a la salud para fundamentar su argumentación sobre el alcance del derecho a la vida o a la integridad personal, utilizando el concepto de vida digna u otro tipo de análisis basad</w:t>
      </w:r>
      <w:r w:rsidRPr="00421FBA">
        <w:rPr>
          <w:rFonts w:ascii="Verdana" w:hAnsi="Verdana"/>
          <w:sz w:val="18"/>
          <w:szCs w:val="18"/>
        </w:rPr>
        <w:t>o</w:t>
      </w:r>
      <w:r w:rsidRPr="00421FBA">
        <w:rPr>
          <w:rFonts w:ascii="Verdana" w:hAnsi="Verdana"/>
          <w:sz w:val="18"/>
          <w:szCs w:val="18"/>
          <w:lang w:val="es-ES"/>
        </w:rPr>
        <w:t>s en la conexidad de la salud con estos derechos civiles (</w:t>
      </w:r>
      <w:r w:rsidR="003C101F" w:rsidRPr="00421FBA">
        <w:rPr>
          <w:rFonts w:ascii="Verdana" w:hAnsi="Verdana"/>
          <w:sz w:val="18"/>
          <w:szCs w:val="18"/>
          <w:lang w:val="es-ES"/>
        </w:rPr>
        <w:t>…</w:t>
      </w:r>
      <w:r w:rsidRPr="00421FBA">
        <w:rPr>
          <w:rFonts w:ascii="Verdana" w:hAnsi="Verdana"/>
          <w:sz w:val="18"/>
          <w:szCs w:val="18"/>
          <w:lang w:val="es-ES"/>
        </w:rPr>
        <w:t xml:space="preserve">). Esta estrategia argumentativa es valiosa y ha permitido un importante avance de la jurisprudencia interamericana. Sin embargo, el principal problema de esta técnica argumentativa es que impide un análisis a profundidad sobre el alcance de las obligaciones de respeto y garantía frente al derecho a la salud, como sucedió en la Sentencia que motiva el presente voto razonado. Asimismo, </w:t>
      </w:r>
      <w:r w:rsidRPr="00421FBA">
        <w:rPr>
          <w:rFonts w:ascii="Verdana" w:hAnsi="Verdana"/>
          <w:sz w:val="18"/>
          <w:szCs w:val="18"/>
          <w:lang w:val="es-ES_tradnl"/>
        </w:rPr>
        <w:t xml:space="preserve">existen algunos componentes de los derechos sociales que no pueden ser reconducidos a estándares de derechos civiles y políticos. Como se ha puesto de relieve, “podría perderse la especificidad tanto de derechos civiles y políticos (que empiezan a abarcarlo todo) como de derechos sociales (que no logran proyectar sus especificidades)”. </w:t>
      </w:r>
    </w:p>
    <w:p w14:paraId="1D263A50" w14:textId="77777777" w:rsidR="00581322" w:rsidRPr="00421FBA" w:rsidRDefault="00581322" w:rsidP="002F6E8A">
      <w:pPr>
        <w:tabs>
          <w:tab w:val="left" w:pos="709"/>
          <w:tab w:val="left" w:pos="9356"/>
        </w:tabs>
        <w:spacing w:after="240"/>
        <w:ind w:left="709" w:right="4"/>
        <w:rPr>
          <w:color w:val="000000"/>
          <w:sz w:val="18"/>
          <w:szCs w:val="18"/>
        </w:rPr>
      </w:pPr>
      <w:r w:rsidRPr="00421FBA">
        <w:rPr>
          <w:color w:val="000000"/>
          <w:sz w:val="18"/>
          <w:szCs w:val="18"/>
        </w:rPr>
        <w:lastRenderedPageBreak/>
        <w:t>58.</w:t>
      </w:r>
      <w:r w:rsidR="00FB7B15" w:rsidRPr="00421FBA">
        <w:rPr>
          <w:color w:val="000000"/>
          <w:sz w:val="18"/>
          <w:szCs w:val="18"/>
        </w:rPr>
        <w:t xml:space="preserve"> </w:t>
      </w:r>
      <w:r w:rsidRPr="00421FBA">
        <w:rPr>
          <w:color w:val="000000"/>
          <w:sz w:val="18"/>
          <w:szCs w:val="18"/>
        </w:rPr>
        <w:t>Atendiendo a que la Corte IDH en su jurisprudencia evolutiva ya ha aceptado explícitamente la justici</w:t>
      </w:r>
      <w:r w:rsidR="003C101F" w:rsidRPr="00421FBA">
        <w:rPr>
          <w:color w:val="000000"/>
          <w:sz w:val="18"/>
          <w:szCs w:val="18"/>
        </w:rPr>
        <w:t>abilidad del artículo 26 […]</w:t>
      </w:r>
      <w:r w:rsidRPr="00421FBA">
        <w:rPr>
          <w:color w:val="000000"/>
          <w:sz w:val="18"/>
          <w:szCs w:val="18"/>
        </w:rPr>
        <w:t xml:space="preserve">, en mi opinión, ahora el Tribunal Interamericano tendría que resolver varios aspectos de este precepto convencional que plantea la difícil tarea de definir en el futuro tres cuestiones distintas, referidas a i) qué derechos protege, ii) qué tipo de obligaciones derivan de tales derechos, y iii) qué implicaciones tiene el principio de progresividad. </w:t>
      </w:r>
      <w:r w:rsidR="003C101F" w:rsidRPr="00421FBA">
        <w:rPr>
          <w:color w:val="000000"/>
          <w:sz w:val="18"/>
          <w:szCs w:val="18"/>
        </w:rPr>
        <w:t>[…]</w:t>
      </w:r>
    </w:p>
    <w:p w14:paraId="5E97CAC7" w14:textId="22910E43" w:rsidR="004369B7" w:rsidRPr="007A0C2C" w:rsidRDefault="004369B7" w:rsidP="004369B7">
      <w:pPr>
        <w:pStyle w:val="Prrafodelista"/>
        <w:numPr>
          <w:ilvl w:val="0"/>
          <w:numId w:val="1"/>
        </w:numPr>
        <w:tabs>
          <w:tab w:val="left" w:pos="567"/>
        </w:tabs>
        <w:contextualSpacing w:val="0"/>
      </w:pPr>
      <w:r>
        <w:t xml:space="preserve">Asimismo, respecto a argumentos según los cuales la Convención Americana no consagraría derechos sociales porque si estos derechos ya se encontraban en dicho tratado </w:t>
      </w:r>
      <w:r w:rsidRPr="007A0C2C">
        <w:t>los Estados Parte hubieran preferido efectuar una enmienda de</w:t>
      </w:r>
      <w:r>
        <w:t xml:space="preserve">l mismo </w:t>
      </w:r>
      <w:r w:rsidRPr="007A0C2C">
        <w:t>para complementar o expandir el alcance de esos derechos</w:t>
      </w:r>
      <w:r w:rsidR="00EF205E">
        <w:t xml:space="preserve"> —</w:t>
      </w:r>
      <w:r>
        <w:t>y no un protocolo</w:t>
      </w:r>
      <w:r w:rsidR="00EF205E">
        <w:t>—</w:t>
      </w:r>
      <w:r w:rsidR="00F1098E">
        <w:t>;</w:t>
      </w:r>
      <w:r>
        <w:t xml:space="preserve"> en nuestro </w:t>
      </w:r>
      <w:r w:rsidRPr="00F1098E">
        <w:rPr>
          <w:i/>
        </w:rPr>
        <w:t>Voto Conjunto Concurrente</w:t>
      </w:r>
      <w:r>
        <w:t xml:space="preserve"> a la Sentencia en el </w:t>
      </w:r>
      <w:r w:rsidR="00911548">
        <w:t xml:space="preserve">reciente </w:t>
      </w:r>
      <w:r>
        <w:t xml:space="preserve">caso </w:t>
      </w:r>
      <w:r>
        <w:rPr>
          <w:i/>
        </w:rPr>
        <w:t>Canales Huapaya y otros Vs. Perú</w:t>
      </w:r>
      <w:r w:rsidR="00EF205E">
        <w:rPr>
          <w:i/>
        </w:rPr>
        <w:t>,</w:t>
      </w:r>
      <w:r>
        <w:rPr>
          <w:i/>
        </w:rPr>
        <w:t xml:space="preserve"> </w:t>
      </w:r>
      <w:r>
        <w:t xml:space="preserve">el Juez Roberto F. Caldas y el </w:t>
      </w:r>
      <w:r w:rsidR="0038500B">
        <w:t>que escribe,</w:t>
      </w:r>
      <w:r>
        <w:t xml:space="preserve"> precisamos que </w:t>
      </w:r>
      <w:r w:rsidR="00F00776">
        <w:t xml:space="preserve">era posible una interpretación distinta sobre la relación entre “tratados” y sus “protocolos” en el derecho internacional de los derechos humanos, tal como se puede observar en varios protocolos adicionales a tratados que establecen </w:t>
      </w:r>
      <w:r w:rsidR="00F00776" w:rsidRPr="007A0C2C">
        <w:t>regulación complementaria a la materia desarrollada en el tratado respectivo</w:t>
      </w:r>
      <w:r w:rsidR="00DD39AC">
        <w:t>, es decir, que los protocolos no están restringidos a la consagración de derechos nuevos</w:t>
      </w:r>
      <w:r>
        <w:rPr>
          <w:rStyle w:val="Refdenotaalpie"/>
        </w:rPr>
        <w:footnoteReference w:id="15"/>
      </w:r>
      <w:r w:rsidRPr="007A0C2C">
        <w:t xml:space="preserve">. </w:t>
      </w:r>
      <w:r w:rsidR="00F1098E">
        <w:t>Y lo anterior lo consideramos válido a la luz de una interpretación sistemática de los artículos 26, 31 y 77 del Pacto de San José.</w:t>
      </w:r>
    </w:p>
    <w:p w14:paraId="004B2B95" w14:textId="77777777" w:rsidR="004369B7" w:rsidRPr="004369B7" w:rsidRDefault="004369B7" w:rsidP="004369B7">
      <w:pPr>
        <w:pStyle w:val="Prrafodelista"/>
        <w:rPr>
          <w:highlight w:val="yellow"/>
          <w:lang w:val="es-CR"/>
        </w:rPr>
      </w:pPr>
    </w:p>
    <w:p w14:paraId="5ED3AD32" w14:textId="77777777" w:rsidR="00C63ACA" w:rsidRPr="00BD2DFB" w:rsidRDefault="000F7222" w:rsidP="00395FBB">
      <w:pPr>
        <w:pStyle w:val="Prrafodelista"/>
        <w:numPr>
          <w:ilvl w:val="0"/>
          <w:numId w:val="1"/>
        </w:numPr>
        <w:contextualSpacing w:val="0"/>
      </w:pPr>
      <w:r w:rsidRPr="00BD2DFB">
        <w:t xml:space="preserve">En el caso particular, el análisis del derecho a la salud como derecho autónomo hubiera permitido evaluar </w:t>
      </w:r>
      <w:r w:rsidR="00530FC8" w:rsidRPr="00BD2DFB">
        <w:t xml:space="preserve">con mayor profundidad </w:t>
      </w:r>
      <w:r w:rsidR="00AF2459" w:rsidRPr="00BD2DFB">
        <w:t>temáticas asociadas a la disponibilidad de antirretrovirales en determinadas épocas, los problemas de accesibilidad geográfica por la necesidad de trasladarse de una ciudad a otra para lograr una mejor</w:t>
      </w:r>
      <w:r w:rsidR="00B3216A" w:rsidRPr="00BD2DFB">
        <w:t xml:space="preserve"> atención, entre otros aspectos. En relación con este tipo de temas, su análisis a la luz de</w:t>
      </w:r>
      <w:r w:rsidR="00AF2459" w:rsidRPr="00BD2DFB">
        <w:t>l derecho a la vida y el derecho a la integridad personal puede resultar limitada</w:t>
      </w:r>
      <w:r w:rsidR="00BD2DFB" w:rsidRPr="00BD2DFB">
        <w:t>, dado que estos derechos no incorporan directamente cierto tipo de obligaciones asociadas específicamente al derecho a la salud</w:t>
      </w:r>
      <w:r w:rsidR="00AF2459" w:rsidRPr="00BD2DFB">
        <w:t xml:space="preserve">. Por el entendimiento de la relación entre el derecho a la salud y los sistemas de salud es importante para aplicar adecuadamente un enfoque de derechos respecto a estas temáticas de especial relevancia </w:t>
      </w:r>
      <w:r w:rsidR="0038500B">
        <w:t xml:space="preserve">y sensibilidad </w:t>
      </w:r>
      <w:r w:rsidR="00AF2459" w:rsidRPr="00BD2DFB">
        <w:t xml:space="preserve">para </w:t>
      </w:r>
      <w:r w:rsidR="00B869DE" w:rsidRPr="00BD2DFB">
        <w:t xml:space="preserve">la región. </w:t>
      </w:r>
    </w:p>
    <w:p w14:paraId="48DC4056" w14:textId="77777777" w:rsidR="0038500B" w:rsidRDefault="0038500B" w:rsidP="0038500B">
      <w:pPr>
        <w:pStyle w:val="Ttulo1"/>
        <w:spacing w:before="0" w:after="0" w:line="360" w:lineRule="auto"/>
      </w:pPr>
      <w:bookmarkStart w:id="3" w:name="_Toc416164824"/>
    </w:p>
    <w:p w14:paraId="449D0DB7" w14:textId="77777777" w:rsidR="0038500B" w:rsidRDefault="009A3078" w:rsidP="0038500B">
      <w:pPr>
        <w:pStyle w:val="Ttulo1"/>
        <w:spacing w:before="0" w:after="0" w:line="360" w:lineRule="auto"/>
        <w:rPr>
          <w:lang w:val="es-MX"/>
        </w:rPr>
      </w:pPr>
      <w:r>
        <w:t>III</w:t>
      </w:r>
      <w:r w:rsidR="00CC0F2A">
        <w:t>.</w:t>
      </w:r>
      <w:r w:rsidR="00CC0F2A">
        <w:tab/>
      </w:r>
      <w:bookmarkEnd w:id="3"/>
      <w:r w:rsidR="0038500B">
        <w:rPr>
          <w:lang w:val="es-MX"/>
        </w:rPr>
        <w:t xml:space="preserve">La </w:t>
      </w:r>
      <w:r w:rsidR="003C101F">
        <w:rPr>
          <w:lang w:val="es-MX"/>
        </w:rPr>
        <w:t xml:space="preserve">NECESIDAD DE SEGUIR AVANZANDO </w:t>
      </w:r>
      <w:r w:rsidR="003C101F" w:rsidRPr="00AB4A7C">
        <w:rPr>
          <w:lang w:val="es-MX"/>
        </w:rPr>
        <w:t>HACIA LA JUSTICIABILIDAD PLENA DE LOS</w:t>
      </w:r>
      <w:r w:rsidR="0038500B">
        <w:rPr>
          <w:lang w:val="es-MX"/>
        </w:rPr>
        <w:t xml:space="preserve"> DERECHOS ECONÓMICOS, SOCIALES,</w:t>
      </w:r>
      <w:r w:rsidR="003C101F" w:rsidRPr="00AB4A7C">
        <w:rPr>
          <w:lang w:val="es-MX"/>
        </w:rPr>
        <w:t xml:space="preserve"> CULTURALES </w:t>
      </w:r>
      <w:r w:rsidR="0038500B">
        <w:rPr>
          <w:lang w:val="es-MX"/>
        </w:rPr>
        <w:t xml:space="preserve">y ambientales </w:t>
      </w:r>
    </w:p>
    <w:p w14:paraId="58240397" w14:textId="77777777" w:rsidR="003C101F" w:rsidRPr="003C101F" w:rsidRDefault="003C101F" w:rsidP="0038500B">
      <w:pPr>
        <w:pStyle w:val="Ttulo1"/>
        <w:spacing w:before="0" w:after="0" w:line="360" w:lineRule="auto"/>
      </w:pPr>
      <w:r w:rsidRPr="00AB4A7C">
        <w:rPr>
          <w:lang w:val="es-MX"/>
        </w:rPr>
        <w:t>EN EL SISTEMA INTERAMERICANO</w:t>
      </w:r>
    </w:p>
    <w:p w14:paraId="78AA9716" w14:textId="77777777" w:rsidR="00395FBB" w:rsidRPr="003C101F" w:rsidRDefault="00395FBB" w:rsidP="00395FBB">
      <w:pPr>
        <w:pStyle w:val="Prrafodelista"/>
        <w:rPr>
          <w:lang w:val="es-MX"/>
        </w:rPr>
      </w:pPr>
    </w:p>
    <w:p w14:paraId="43732206" w14:textId="4013D724" w:rsidR="008D5B58" w:rsidRDefault="00410E2F" w:rsidP="00395FBB">
      <w:pPr>
        <w:pStyle w:val="Prrafodelista"/>
        <w:numPr>
          <w:ilvl w:val="0"/>
          <w:numId w:val="1"/>
        </w:numPr>
        <w:contextualSpacing w:val="0"/>
      </w:pPr>
      <w:r>
        <w:t xml:space="preserve">Desde el primer caso </w:t>
      </w:r>
      <w:r w:rsidR="00C054A3">
        <w:t xml:space="preserve">de fondo </w:t>
      </w:r>
      <w:r>
        <w:t>que tuve que conocer como Juez ti</w:t>
      </w:r>
      <w:r w:rsidR="001C6F58">
        <w:t>tular de la Corte IDH</w:t>
      </w:r>
      <w:r>
        <w:t xml:space="preserve"> me pronuncié a favor de la justiciabilidad directa del derecho a la salud</w:t>
      </w:r>
      <w:r w:rsidR="001C6F58">
        <w:t>,</w:t>
      </w:r>
      <w:r>
        <w:t xml:space="preserve"> </w:t>
      </w:r>
      <w:r w:rsidR="00454072">
        <w:t>realizando</w:t>
      </w:r>
      <w:r>
        <w:t xml:space="preserve"> una interpretación evolutiva del artículo 26 de la Convenci</w:t>
      </w:r>
      <w:r w:rsidR="001C6F58">
        <w:t xml:space="preserve">ón Americana en relación con los artículos 1.1 y 2, conjuntamente con </w:t>
      </w:r>
      <w:r w:rsidR="008E7225">
        <w:t>el artículo 29 de dicho tratado</w:t>
      </w:r>
      <w:r w:rsidR="008A3082">
        <w:t>;</w:t>
      </w:r>
      <w:r w:rsidR="008E7225">
        <w:t xml:space="preserve"> y </w:t>
      </w:r>
      <w:r w:rsidR="00650FAD">
        <w:t xml:space="preserve">a la luz de una interpretación </w:t>
      </w:r>
      <w:r w:rsidR="00454072">
        <w:t xml:space="preserve">sistemática </w:t>
      </w:r>
      <w:r w:rsidR="008A3082">
        <w:t xml:space="preserve">con </w:t>
      </w:r>
      <w:r w:rsidR="008E7225">
        <w:t>los artículos 4 y 19.6 del Protocolo de San Salvador</w:t>
      </w:r>
      <w:r w:rsidR="001C6F58">
        <w:rPr>
          <w:rStyle w:val="Refdenotaalpie"/>
        </w:rPr>
        <w:footnoteReference w:id="16"/>
      </w:r>
      <w:r w:rsidR="008E7225">
        <w:t>.</w:t>
      </w:r>
    </w:p>
    <w:p w14:paraId="32ED23E9" w14:textId="77777777" w:rsidR="008D5B58" w:rsidRDefault="008D5B58" w:rsidP="008D5B58">
      <w:pPr>
        <w:pStyle w:val="Prrafodelista"/>
        <w:ind w:left="0"/>
        <w:contextualSpacing w:val="0"/>
      </w:pPr>
    </w:p>
    <w:p w14:paraId="4E87726B" w14:textId="340C69DB" w:rsidR="00C1563B" w:rsidRPr="00C1563B" w:rsidRDefault="008D5B58" w:rsidP="00C1563B">
      <w:pPr>
        <w:pStyle w:val="Prrafodelista"/>
        <w:numPr>
          <w:ilvl w:val="0"/>
          <w:numId w:val="1"/>
        </w:numPr>
        <w:contextualSpacing w:val="0"/>
      </w:pPr>
      <w:r>
        <w:t xml:space="preserve">En el presente caso me permito reiterar la necesidad de </w:t>
      </w:r>
      <w:r w:rsidR="00B32635" w:rsidRPr="006217EB">
        <w:rPr>
          <w:rFonts w:eastAsia="Calibri" w:cs="NewBaskerville-Roman"/>
          <w:lang w:val="es-CR"/>
        </w:rPr>
        <w:t xml:space="preserve">defender una interpretación que intenta otorgar primacía al valor normativo del artículo 26 de la Convención Americana. </w:t>
      </w:r>
      <w:r w:rsidR="00C1563B">
        <w:rPr>
          <w:rFonts w:eastAsia="Calibri" w:cs="NewBaskerville-Roman"/>
          <w:lang w:val="es-CR"/>
        </w:rPr>
        <w:t xml:space="preserve">No se trata de ignorar </w:t>
      </w:r>
      <w:r w:rsidR="00B32635" w:rsidRPr="006217EB">
        <w:rPr>
          <w:rFonts w:eastAsia="Calibri" w:cs="NewBaskerville-Roman"/>
          <w:lang w:val="es-CR"/>
        </w:rPr>
        <w:t>el Protocolo de San Salvador</w:t>
      </w:r>
      <w:r w:rsidR="00C1563B">
        <w:rPr>
          <w:rFonts w:eastAsia="Calibri" w:cs="NewBaskerville-Roman"/>
          <w:lang w:val="es-CR"/>
        </w:rPr>
        <w:t xml:space="preserve"> ni </w:t>
      </w:r>
      <w:r w:rsidR="00B32635" w:rsidRPr="006217EB">
        <w:rPr>
          <w:rFonts w:eastAsia="Calibri" w:cs="NewBaskerville-Roman"/>
          <w:lang w:val="es-CR"/>
        </w:rPr>
        <w:t xml:space="preserve">menoscabar el artículo 26 del Pacto de San José. Debe asumirse la interpretación a la luz de ambos instrumentos. Bajo ese </w:t>
      </w:r>
      <w:r w:rsidR="00B32635" w:rsidRPr="006217EB">
        <w:rPr>
          <w:rFonts w:eastAsia="Calibri" w:cs="NewBaskerville-Roman"/>
          <w:lang w:val="es-CR"/>
        </w:rPr>
        <w:lastRenderedPageBreak/>
        <w:t xml:space="preserve">entendido el Protocolo Adicional no puede restar valor normativo a la Convención Americana si expresamente no se planteó tal objetivo en aquel instrumento respecto de las obligaciones </w:t>
      </w:r>
      <w:r w:rsidR="00B32635" w:rsidRPr="006217EB">
        <w:rPr>
          <w:rFonts w:eastAsia="Calibri" w:cs="NewBaskerville-Roman"/>
          <w:i/>
          <w:lang w:val="es-CR"/>
        </w:rPr>
        <w:t>erga omnes</w:t>
      </w:r>
      <w:r w:rsidR="00B32635" w:rsidRPr="006217EB">
        <w:rPr>
          <w:rFonts w:eastAsia="Calibri" w:cs="NewBaskerville-Roman"/>
          <w:lang w:val="es-CR"/>
        </w:rPr>
        <w:t xml:space="preserve"> que prevén los artículos 1 y 2 de la Convención Americana, obligaciones generales que aplican para todos los derechos, incluso para los derechos económicos, sociales y culturales, como expresamente lo ha reconocido el Tribunal Interamericano</w:t>
      </w:r>
      <w:r w:rsidR="00B32635">
        <w:rPr>
          <w:rStyle w:val="Refdenotaalpie"/>
          <w:rFonts w:eastAsia="Calibri" w:cs="NewBaskerville-Roman"/>
          <w:lang w:val="es-CR"/>
        </w:rPr>
        <w:footnoteReference w:id="17"/>
      </w:r>
      <w:r w:rsidR="00B32635" w:rsidRPr="006217EB">
        <w:rPr>
          <w:rFonts w:eastAsia="Calibri" w:cs="NewBaskerville-Roman"/>
          <w:lang w:val="es-CR"/>
        </w:rPr>
        <w:t>.</w:t>
      </w:r>
    </w:p>
    <w:p w14:paraId="3D3D455E" w14:textId="77777777" w:rsidR="00C1563B" w:rsidRPr="00C1563B" w:rsidRDefault="00C1563B" w:rsidP="00C1563B">
      <w:pPr>
        <w:pStyle w:val="Prrafodelista"/>
        <w:rPr>
          <w:rFonts w:eastAsia="Calibri" w:cs="NewBaskerville-Roman"/>
          <w:lang w:val="es-CR"/>
        </w:rPr>
      </w:pPr>
    </w:p>
    <w:p w14:paraId="729B0076" w14:textId="1CC0D41D" w:rsidR="00C1563B" w:rsidRPr="00C1563B" w:rsidRDefault="00B32635" w:rsidP="00C1563B">
      <w:pPr>
        <w:pStyle w:val="Prrafodelista"/>
        <w:numPr>
          <w:ilvl w:val="0"/>
          <w:numId w:val="1"/>
        </w:numPr>
        <w:contextualSpacing w:val="0"/>
      </w:pPr>
      <w:r w:rsidRPr="00C1563B">
        <w:rPr>
          <w:rFonts w:eastAsia="Calibri" w:cs="NewBaskerville-Roman"/>
          <w:lang w:val="es-CR"/>
        </w:rPr>
        <w:t>La interpretación evolutiva</w:t>
      </w:r>
      <w:r w:rsidR="00A466BC">
        <w:rPr>
          <w:rStyle w:val="Refdenotaalpie"/>
          <w:rFonts w:eastAsia="Calibri"/>
          <w:lang w:val="es-CR"/>
        </w:rPr>
        <w:footnoteReference w:id="18"/>
      </w:r>
      <w:r w:rsidRPr="00C1563B">
        <w:rPr>
          <w:rFonts w:eastAsia="Calibri" w:cs="NewBaskerville-Roman"/>
          <w:lang w:val="es-CR"/>
        </w:rPr>
        <w:t xml:space="preserve"> a la que se ha hecho referencia busca otorgar eficacia real a la protección interamericana en la materia, que luego de veinticinco años de adopción del Protocolo </w:t>
      </w:r>
      <w:r w:rsidR="00ED2C64">
        <w:rPr>
          <w:rFonts w:eastAsia="Calibri" w:cs="NewBaskerville-Roman"/>
          <w:lang w:val="es-CR"/>
        </w:rPr>
        <w:t>de San Salvador</w:t>
      </w:r>
      <w:r w:rsidRPr="00C1563B">
        <w:rPr>
          <w:rFonts w:eastAsia="Calibri" w:cs="NewBaskerville-Roman"/>
          <w:lang w:val="es-CR"/>
        </w:rPr>
        <w:t>, y a casi tres lustros de su entrada en vigor</w:t>
      </w:r>
      <w:r w:rsidR="00A466BC">
        <w:rPr>
          <w:rFonts w:eastAsia="Calibri" w:cs="NewBaskerville-Roman"/>
          <w:lang w:val="es-CR"/>
        </w:rPr>
        <w:t>, resulta mínima su efectividad;</w:t>
      </w:r>
      <w:r w:rsidRPr="00C1563B">
        <w:rPr>
          <w:rFonts w:eastAsia="Calibri" w:cs="NewBaskerville-Roman"/>
          <w:lang w:val="es-CR"/>
        </w:rPr>
        <w:t xml:space="preserve"> requiriendo una interpretación más dirigida a establecer el mayor efecto útil posible a las normas interamericanas en su conjunto, como lo ha venido realizando el Tribunal Interamericano respecto de los derechos civiles y políticos. </w:t>
      </w:r>
    </w:p>
    <w:p w14:paraId="3F6D9C7D" w14:textId="77777777" w:rsidR="00C1563B" w:rsidRDefault="00C1563B" w:rsidP="00C1563B">
      <w:pPr>
        <w:pStyle w:val="Prrafodelista"/>
      </w:pPr>
    </w:p>
    <w:p w14:paraId="6B19375B" w14:textId="1607BCB6" w:rsidR="00B32635" w:rsidRPr="0059764C" w:rsidRDefault="00B32635" w:rsidP="00C1563B">
      <w:pPr>
        <w:pStyle w:val="Prrafodelista"/>
        <w:numPr>
          <w:ilvl w:val="0"/>
          <w:numId w:val="1"/>
        </w:numPr>
        <w:contextualSpacing w:val="0"/>
      </w:pPr>
      <w:r>
        <w:t>Resulta</w:t>
      </w:r>
      <w:r w:rsidRPr="0059764C">
        <w:t xml:space="preserve"> de la esencia del derecho a la salud su interdependencia con el derecho a la vida y el derecho a la integridad personal</w:t>
      </w:r>
      <w:r w:rsidR="00ED2C64">
        <w:t>.</w:t>
      </w:r>
      <w:r w:rsidRPr="0059764C">
        <w:t xml:space="preserve"> </w:t>
      </w:r>
      <w:r w:rsidR="00ED2C64">
        <w:t>E</w:t>
      </w:r>
      <w:r w:rsidRPr="0059764C">
        <w:t>llo no justifica</w:t>
      </w:r>
      <w:r>
        <w:t>, sin embargo,</w:t>
      </w:r>
      <w:r w:rsidRPr="0059764C">
        <w:t xml:space="preserve"> negar </w:t>
      </w:r>
      <w:r>
        <w:t>la</w:t>
      </w:r>
      <w:r w:rsidRPr="0059764C">
        <w:t xml:space="preserve"> aut</w:t>
      </w:r>
      <w:r>
        <w:t>o</w:t>
      </w:r>
      <w:r w:rsidRPr="0059764C">
        <w:t>nom</w:t>
      </w:r>
      <w:r>
        <w:t>í</w:t>
      </w:r>
      <w:r w:rsidRPr="0059764C">
        <w:t>a sobre el alcance de</w:t>
      </w:r>
      <w:r>
        <w:t xml:space="preserve"> aquel</w:t>
      </w:r>
      <w:r w:rsidRPr="0059764C">
        <w:t xml:space="preserve"> derecho</w:t>
      </w:r>
      <w:r>
        <w:t xml:space="preserve"> social</w:t>
      </w:r>
      <w:r w:rsidRPr="0059764C">
        <w:t xml:space="preserve">, a partir del artículo 26 de la </w:t>
      </w:r>
      <w:r>
        <w:t>C</w:t>
      </w:r>
      <w:r w:rsidRPr="0059764C">
        <w:t xml:space="preserve">onvención </w:t>
      </w:r>
      <w:r>
        <w:t xml:space="preserve">Americana </w:t>
      </w:r>
      <w:r w:rsidRPr="0059764C">
        <w:t xml:space="preserve">en </w:t>
      </w:r>
      <w:r>
        <w:t>relación</w:t>
      </w:r>
      <w:r w:rsidRPr="0059764C">
        <w:t xml:space="preserve"> con </w:t>
      </w:r>
      <w:r>
        <w:t xml:space="preserve">las obligaciones de respeto y garantía contenidos </w:t>
      </w:r>
      <w:r w:rsidRPr="0059764C">
        <w:t>e</w:t>
      </w:r>
      <w:r>
        <w:t>n el artículo</w:t>
      </w:r>
      <w:r w:rsidRPr="0059764C">
        <w:t xml:space="preserve"> 1.1 </w:t>
      </w:r>
      <w:r>
        <w:t xml:space="preserve">del propio Pacto, </w:t>
      </w:r>
      <w:r w:rsidRPr="0059764C">
        <w:t xml:space="preserve">que exige interpretar </w:t>
      </w:r>
      <w:r>
        <w:t>el Pacto de San José</w:t>
      </w:r>
      <w:r w:rsidRPr="0059764C">
        <w:t xml:space="preserve"> a la luz del </w:t>
      </w:r>
      <w:r w:rsidRPr="00C1563B">
        <w:rPr>
          <w:i/>
        </w:rPr>
        <w:t>corpus iuris</w:t>
      </w:r>
      <w:r w:rsidRPr="0059764C">
        <w:t xml:space="preserve"> en materia de derecho a la salud</w:t>
      </w:r>
      <w:r>
        <w:t xml:space="preserve"> —</w:t>
      </w:r>
      <w:r w:rsidRPr="0059764C">
        <w:t xml:space="preserve">como en efecto se hace en el </w:t>
      </w:r>
      <w:r w:rsidRPr="00C1563B">
        <w:rPr>
          <w:i/>
        </w:rPr>
        <w:t xml:space="preserve">Caso </w:t>
      </w:r>
      <w:r w:rsidR="00C1563B">
        <w:rPr>
          <w:i/>
        </w:rPr>
        <w:t>Gonzales Lluy y otros</w:t>
      </w:r>
      <w:r>
        <w:t xml:space="preserve"> que motiva el presente voto razonado</w:t>
      </w:r>
      <w:r w:rsidRPr="0059764C">
        <w:t>, aunque se le denomina integridad personal</w:t>
      </w:r>
      <w:r>
        <w:t>, limitando significativamente por la vía de la conexidad los alcances reales del derecho a la salud—</w:t>
      </w:r>
      <w:r w:rsidR="008A3082">
        <w:rPr>
          <w:rStyle w:val="Refdenotaalpie"/>
        </w:rPr>
        <w:footnoteReference w:id="19"/>
      </w:r>
      <w:r w:rsidRPr="0059764C">
        <w:t>.</w:t>
      </w:r>
      <w:r w:rsidR="00C02A03">
        <w:t xml:space="preserve"> Tal como señalé en mi </w:t>
      </w:r>
      <w:r w:rsidR="00C02A03" w:rsidRPr="00A466BC">
        <w:rPr>
          <w:i/>
        </w:rPr>
        <w:t>Voto Concurrente</w:t>
      </w:r>
      <w:r w:rsidR="00C02A03">
        <w:t xml:space="preserve"> en el caso </w:t>
      </w:r>
      <w:r w:rsidR="00C02A03">
        <w:rPr>
          <w:i/>
        </w:rPr>
        <w:t>Suárez Peralta:</w:t>
      </w:r>
    </w:p>
    <w:p w14:paraId="416D96FE" w14:textId="77777777" w:rsidR="00B32635" w:rsidRDefault="00B32635" w:rsidP="00B32635">
      <w:pPr>
        <w:tabs>
          <w:tab w:val="left" w:pos="709"/>
          <w:tab w:val="left" w:pos="9356"/>
        </w:tabs>
        <w:autoSpaceDE w:val="0"/>
        <w:autoSpaceDN w:val="0"/>
        <w:adjustRightInd w:val="0"/>
        <w:ind w:right="4"/>
        <w:rPr>
          <w:rFonts w:eastAsia="Calibri" w:cs="NewBaskerville-Roman"/>
          <w:lang w:val="es-CR"/>
        </w:rPr>
      </w:pPr>
    </w:p>
    <w:p w14:paraId="24466EB5" w14:textId="77777777" w:rsidR="00B32635" w:rsidRDefault="00C02A03" w:rsidP="00C02A03">
      <w:pPr>
        <w:tabs>
          <w:tab w:val="left" w:pos="709"/>
          <w:tab w:val="left" w:pos="9356"/>
        </w:tabs>
        <w:autoSpaceDE w:val="0"/>
        <w:autoSpaceDN w:val="0"/>
        <w:adjustRightInd w:val="0"/>
        <w:ind w:left="709" w:right="6"/>
        <w:rPr>
          <w:rFonts w:eastAsia="Calibri" w:cs="NewBaskerville-Roman"/>
          <w:sz w:val="18"/>
          <w:szCs w:val="18"/>
          <w:lang w:val="es-CR"/>
        </w:rPr>
      </w:pPr>
      <w:r w:rsidRPr="00421FBA">
        <w:rPr>
          <w:rFonts w:eastAsia="Calibri" w:cs="NewBaskerville-Roman"/>
          <w:sz w:val="18"/>
          <w:szCs w:val="18"/>
          <w:lang w:val="es-CR"/>
        </w:rPr>
        <w:t xml:space="preserve">102.  </w:t>
      </w:r>
      <w:r w:rsidR="00B32635" w:rsidRPr="00421FBA">
        <w:rPr>
          <w:rFonts w:eastAsia="Calibri" w:cs="NewBaskerville-Roman"/>
          <w:sz w:val="18"/>
          <w:szCs w:val="18"/>
          <w:lang w:val="es-CR"/>
        </w:rPr>
        <w:t xml:space="preserve">Lo que involucra esta visión de justiciabilidad directa es que la metodología para imputar responsabilidad internacional se circunscribe a las obligaciones respecto al derecho a la salud. Ello implica la necesidad de una argumentación más específica en torno a la razonabilidad y proporcionalidad de cierto tipo de medidas de política pública. Dado lo delicado de una valoración en tal sentido, las decisiones de la Corte IDH adquieren más transparencia y </w:t>
      </w:r>
      <w:r w:rsidR="00B32635" w:rsidRPr="00421FBA">
        <w:rPr>
          <w:rFonts w:eastAsia="Calibri" w:cs="NewBaskerville-Roman"/>
          <w:sz w:val="18"/>
          <w:szCs w:val="18"/>
          <w:lang w:val="es-CR"/>
        </w:rPr>
        <w:lastRenderedPageBreak/>
        <w:t xml:space="preserve">fortaleza si el análisis se hace </w:t>
      </w:r>
      <w:r w:rsidR="00B32635" w:rsidRPr="00421FBA">
        <w:rPr>
          <w:rFonts w:eastAsia="Calibri" w:cs="NewBaskerville-Roman"/>
          <w:i/>
          <w:sz w:val="18"/>
          <w:szCs w:val="18"/>
          <w:lang w:val="es-CR"/>
        </w:rPr>
        <w:t xml:space="preserve">directamente </w:t>
      </w:r>
      <w:r w:rsidR="00B32635" w:rsidRPr="00421FBA">
        <w:rPr>
          <w:rFonts w:eastAsia="Calibri" w:cs="NewBaskerville-Roman"/>
          <w:sz w:val="18"/>
          <w:szCs w:val="18"/>
          <w:lang w:val="es-CR"/>
        </w:rPr>
        <w:t xml:space="preserve">desde esta vía respecto a obligaciones en torno al derecho a la salud en lugar de respecto al ámbito más relacionado con las consecuencias de ciertas afectaciones respecto a la integridad personal, esto es, por la vía indirecta o por conexidad con los derechos civiles. En este mismo sentido, las reparaciones que tradicionalmente otorga la Corte, y que en muchos casos impactan en prestaciones relacionadas con el derecho a la salud, como las medidas de rehabilitación o satisfacción,  pueden adquirir un verdadero nexo de causalidad entre el derecho violado y la medida dispuesta con todos sus alcances. A su vez, hablar de justiciabilidad directa implica transformar la metodología a partir de la cual se valora el cumplimiento de las obligaciones de respeto y garantía (artículo 1.1 del Pacto de San José), que ciertamente es distinto respecto al derecho a la vida y el derecho a la integridad personal, que respecto al derecho a la salud y otros derechos sociales, económicos y culturales. </w:t>
      </w:r>
    </w:p>
    <w:p w14:paraId="7A35844D" w14:textId="77777777" w:rsidR="00C44084" w:rsidRDefault="00C44084" w:rsidP="00C02A03">
      <w:pPr>
        <w:tabs>
          <w:tab w:val="left" w:pos="709"/>
          <w:tab w:val="left" w:pos="9356"/>
        </w:tabs>
        <w:autoSpaceDE w:val="0"/>
        <w:autoSpaceDN w:val="0"/>
        <w:adjustRightInd w:val="0"/>
        <w:ind w:left="709" w:right="6"/>
        <w:rPr>
          <w:rFonts w:eastAsia="Calibri" w:cs="NewBaskerville-Roman"/>
          <w:sz w:val="18"/>
          <w:szCs w:val="18"/>
          <w:lang w:val="es-CR"/>
        </w:rPr>
      </w:pPr>
    </w:p>
    <w:p w14:paraId="0A205407" w14:textId="784E2960" w:rsidR="00C44084" w:rsidRPr="00C44084" w:rsidRDefault="00520641" w:rsidP="00C44084">
      <w:pPr>
        <w:tabs>
          <w:tab w:val="left" w:pos="709"/>
          <w:tab w:val="left" w:pos="9356"/>
        </w:tabs>
        <w:ind w:left="709" w:right="6"/>
        <w:rPr>
          <w:sz w:val="18"/>
          <w:szCs w:val="18"/>
          <w:lang w:val="es-MX"/>
        </w:rPr>
      </w:pPr>
      <w:r>
        <w:rPr>
          <w:sz w:val="18"/>
          <w:szCs w:val="18"/>
          <w:lang w:val="es-MX"/>
        </w:rPr>
        <w:t xml:space="preserve">103. </w:t>
      </w:r>
      <w:r w:rsidR="00C44084" w:rsidRPr="00C44084">
        <w:rPr>
          <w:sz w:val="18"/>
          <w:szCs w:val="18"/>
          <w:lang w:val="es-MX"/>
        </w:rPr>
        <w:t xml:space="preserve">La ciudadanía social ha avanzado significativamente en el mundo entero y, por supuesto, en los países del continente americano. La justiciabilidad “directa” de los derechos económicos, sociales y culturales constituye no sólo una opción interpretativa y argumentativa viable a la luz del actual </w:t>
      </w:r>
      <w:r w:rsidR="00C44084" w:rsidRPr="00C44084">
        <w:rPr>
          <w:i/>
          <w:sz w:val="18"/>
          <w:szCs w:val="18"/>
          <w:lang w:val="es-MX"/>
        </w:rPr>
        <w:t>corpus juris</w:t>
      </w:r>
      <w:r w:rsidR="00C44084" w:rsidRPr="00C44084">
        <w:rPr>
          <w:sz w:val="18"/>
          <w:szCs w:val="18"/>
          <w:lang w:val="es-MX"/>
        </w:rPr>
        <w:t xml:space="preserve"> interamericano; representa también una obligación de la Corte IDH, como órgano jurisdiccional del Sistema Interamericano, avanzar hacia esa dirección sobre la justicia social, al tener competencia sobre </w:t>
      </w:r>
      <w:r w:rsidR="00C44084" w:rsidRPr="00C44084">
        <w:rPr>
          <w:i/>
          <w:sz w:val="18"/>
          <w:szCs w:val="18"/>
          <w:lang w:val="es-MX"/>
        </w:rPr>
        <w:t>todas las disposiciones</w:t>
      </w:r>
      <w:r w:rsidR="00C44084" w:rsidRPr="00C44084">
        <w:rPr>
          <w:sz w:val="18"/>
          <w:szCs w:val="18"/>
          <w:lang w:val="es-MX"/>
        </w:rPr>
        <w:t xml:space="preserve"> del Pacto de San José. La garantía efectiva de los derechos económicos, sociales y culturales es una alternativa que abriría nuevos derroteros en aras de la transparencia y realización plena de los derechos, sin artilugios y de manera frontal, y así reconocer lo que desde hace tiempo viene realizando la Corte IDH de manera indirecta o en conexión con los derechos civiles y políticos. </w:t>
      </w:r>
    </w:p>
    <w:p w14:paraId="15445568" w14:textId="77777777" w:rsidR="00C44084" w:rsidRPr="00C44084" w:rsidRDefault="00C44084" w:rsidP="00C44084">
      <w:pPr>
        <w:tabs>
          <w:tab w:val="left" w:pos="709"/>
          <w:tab w:val="left" w:pos="9356"/>
        </w:tabs>
        <w:ind w:left="709" w:right="6"/>
        <w:rPr>
          <w:sz w:val="18"/>
          <w:szCs w:val="18"/>
          <w:lang w:val="es-MX"/>
        </w:rPr>
      </w:pPr>
    </w:p>
    <w:p w14:paraId="798D277B" w14:textId="6AFA2D10" w:rsidR="00C44084" w:rsidRPr="00C44084" w:rsidRDefault="00520641" w:rsidP="00C44084">
      <w:pPr>
        <w:tabs>
          <w:tab w:val="left" w:pos="709"/>
          <w:tab w:val="left" w:pos="9356"/>
        </w:tabs>
        <w:ind w:left="709" w:right="4"/>
        <w:rPr>
          <w:sz w:val="18"/>
          <w:szCs w:val="18"/>
          <w:lang w:val="es-MX"/>
        </w:rPr>
      </w:pPr>
      <w:r>
        <w:rPr>
          <w:sz w:val="18"/>
          <w:szCs w:val="18"/>
          <w:lang w:val="es-MX"/>
        </w:rPr>
        <w:t xml:space="preserve">104. </w:t>
      </w:r>
      <w:r w:rsidR="00C44084" w:rsidRPr="00C44084">
        <w:rPr>
          <w:sz w:val="18"/>
          <w:szCs w:val="18"/>
          <w:lang w:val="es-MX"/>
        </w:rPr>
        <w:t xml:space="preserve">En definitiva, se trata de reconocer lo que de facto realiza el Tribunal Interamericano y las altas jurisdicciones nacionales de los países de la región, teniendo en cuenta el </w:t>
      </w:r>
      <w:r w:rsidR="00C44084" w:rsidRPr="00C44084">
        <w:rPr>
          <w:i/>
          <w:sz w:val="18"/>
          <w:szCs w:val="18"/>
          <w:lang w:val="es-MX"/>
        </w:rPr>
        <w:t>corpus juris</w:t>
      </w:r>
      <w:r w:rsidR="00C44084" w:rsidRPr="00C44084">
        <w:rPr>
          <w:sz w:val="18"/>
          <w:szCs w:val="18"/>
          <w:lang w:val="es-MX"/>
        </w:rPr>
        <w:t xml:space="preserve"> en derechos sociales nacional, interamericano y universal, lo que además constituiría una mayor y efectiva protección de los derechos sociales fundamentales, con obligaciones más claras hacia los Estados parte. Todo ello va en sintonía con los signos actuales de eficacia plena de los derechos humanos (en los ámbitos nacional e internacional), sin distingo o categorización entre ellos, particularmente importante en la región latinoamericana donde lamentablemente persisten altos índices de desigualdad, permanecen porcentajes significativos de la población en la pobreza e incluso en la indigencia, y existen múltiples formas de discriminación hacia los más vulnerables.  </w:t>
      </w:r>
    </w:p>
    <w:p w14:paraId="37309C6F" w14:textId="77777777" w:rsidR="00C44084" w:rsidRPr="00C44084" w:rsidRDefault="00C44084" w:rsidP="00C44084">
      <w:pPr>
        <w:tabs>
          <w:tab w:val="left" w:pos="709"/>
          <w:tab w:val="left" w:pos="9356"/>
        </w:tabs>
        <w:ind w:left="709" w:right="4"/>
        <w:rPr>
          <w:sz w:val="18"/>
          <w:szCs w:val="18"/>
          <w:lang w:val="es-MX"/>
        </w:rPr>
      </w:pPr>
    </w:p>
    <w:p w14:paraId="5EEE26D0" w14:textId="7EAB1FCF" w:rsidR="00C44084" w:rsidRPr="00C44084" w:rsidRDefault="00520641" w:rsidP="00C44084">
      <w:pPr>
        <w:tabs>
          <w:tab w:val="left" w:pos="709"/>
          <w:tab w:val="left" w:pos="9356"/>
        </w:tabs>
        <w:ind w:left="709" w:right="4"/>
        <w:rPr>
          <w:sz w:val="18"/>
          <w:szCs w:val="18"/>
          <w:lang w:val="es-MX"/>
        </w:rPr>
      </w:pPr>
      <w:r>
        <w:rPr>
          <w:sz w:val="18"/>
          <w:szCs w:val="18"/>
          <w:lang w:val="es-MX"/>
        </w:rPr>
        <w:t xml:space="preserve">105. </w:t>
      </w:r>
      <w:r w:rsidR="00C44084" w:rsidRPr="00C44084">
        <w:rPr>
          <w:sz w:val="18"/>
          <w:szCs w:val="18"/>
          <w:lang w:val="es-MX"/>
        </w:rPr>
        <w:t>El Tribunal Interamericano no puede quedar al margen del debate contemporáneo sobre los derechos sociales fundamentales</w:t>
      </w:r>
      <w:r w:rsidR="00C44084" w:rsidRPr="00C44084">
        <w:rPr>
          <w:rStyle w:val="Refdenotaalpie"/>
          <w:sz w:val="18"/>
          <w:szCs w:val="18"/>
          <w:lang w:val="es-MX"/>
        </w:rPr>
        <w:footnoteReference w:id="20"/>
      </w:r>
      <w:r w:rsidR="00C44084" w:rsidRPr="00C44084">
        <w:rPr>
          <w:sz w:val="18"/>
          <w:szCs w:val="18"/>
          <w:lang w:val="es-MX"/>
        </w:rPr>
        <w:t xml:space="preserve"> —que tienen un largo camino andado en la historia de los derechos humanos—, y que son motivo de continua transformación para su plena realización y efectividad en las democracias constitucionales de nuestros días. </w:t>
      </w:r>
    </w:p>
    <w:p w14:paraId="4A2DEFBC" w14:textId="77777777" w:rsidR="00C44084" w:rsidRPr="00C44084" w:rsidRDefault="00C44084" w:rsidP="00C44084">
      <w:pPr>
        <w:tabs>
          <w:tab w:val="left" w:pos="709"/>
          <w:tab w:val="left" w:pos="9356"/>
        </w:tabs>
        <w:ind w:left="709" w:right="4"/>
        <w:rPr>
          <w:sz w:val="18"/>
          <w:szCs w:val="18"/>
          <w:lang w:val="es-MX"/>
        </w:rPr>
      </w:pPr>
    </w:p>
    <w:p w14:paraId="79AE7262" w14:textId="79CF4916" w:rsidR="00C44084" w:rsidRPr="00C44084" w:rsidRDefault="00520641" w:rsidP="00C44084">
      <w:pPr>
        <w:tabs>
          <w:tab w:val="left" w:pos="709"/>
          <w:tab w:val="left" w:pos="9356"/>
        </w:tabs>
        <w:ind w:left="709" w:right="4"/>
        <w:rPr>
          <w:sz w:val="18"/>
          <w:szCs w:val="18"/>
          <w:lang w:val="es-MX"/>
        </w:rPr>
      </w:pPr>
      <w:r>
        <w:rPr>
          <w:sz w:val="18"/>
          <w:szCs w:val="18"/>
          <w:lang w:val="es-MX"/>
        </w:rPr>
        <w:t xml:space="preserve">106. </w:t>
      </w:r>
      <w:r w:rsidR="00C44084" w:rsidRPr="00C44084">
        <w:rPr>
          <w:sz w:val="18"/>
          <w:szCs w:val="18"/>
          <w:lang w:val="es-MX"/>
        </w:rPr>
        <w:t xml:space="preserve">Ante este escenario de dinamismo en la materia en el ámbito nacional y el Sistema Universal, es previsible que la Comisión Interamericana o las presuntas víctimas o sus representantes, invoquen en el futuro con mayor intensidad eventuales vulneraciones a las garantías </w:t>
      </w:r>
      <w:r w:rsidR="00C44084" w:rsidRPr="00C44084">
        <w:rPr>
          <w:spacing w:val="-2"/>
          <w:sz w:val="18"/>
          <w:szCs w:val="18"/>
          <w:lang w:val="es-MX"/>
        </w:rPr>
        <w:t>de los derechos económicos, sociales y culturales derivados del artículo 26 de la Convención Americana, en relación con las obligaciones generales previstas en los artículos 1 y 2 del propio Pacto de San José. Especialmente, las presuntas víctimas pueden invocar dichas vulneraciones por sus nuevas facultades en el acceso directo que ahora tienen ante la Corte IDH, a partir del nuevo</w:t>
      </w:r>
      <w:r w:rsidR="00C44084" w:rsidRPr="00C44084">
        <w:rPr>
          <w:sz w:val="18"/>
          <w:szCs w:val="18"/>
          <w:lang w:val="es-MX"/>
        </w:rPr>
        <w:t xml:space="preserve"> Reglamento de este órgano jurisdiccional, vigente desde 2010.</w:t>
      </w:r>
    </w:p>
    <w:p w14:paraId="34670B6B" w14:textId="77777777" w:rsidR="00C44084" w:rsidRPr="00C44084" w:rsidRDefault="00C44084" w:rsidP="00C44084">
      <w:pPr>
        <w:tabs>
          <w:tab w:val="left" w:pos="709"/>
          <w:tab w:val="left" w:pos="9356"/>
        </w:tabs>
        <w:ind w:left="709" w:right="4"/>
        <w:rPr>
          <w:sz w:val="18"/>
          <w:szCs w:val="18"/>
          <w:lang w:val="es-MX"/>
        </w:rPr>
      </w:pPr>
    </w:p>
    <w:p w14:paraId="702DDE69" w14:textId="18F09AF7" w:rsidR="00C44084" w:rsidRPr="00C44084" w:rsidRDefault="00520641" w:rsidP="00C44084">
      <w:pPr>
        <w:tabs>
          <w:tab w:val="left" w:pos="709"/>
          <w:tab w:val="left" w:pos="9356"/>
        </w:tabs>
        <w:ind w:left="709" w:right="4"/>
        <w:rPr>
          <w:sz w:val="18"/>
          <w:szCs w:val="18"/>
          <w:lang w:val="es-MX"/>
        </w:rPr>
      </w:pPr>
      <w:r>
        <w:rPr>
          <w:sz w:val="18"/>
          <w:szCs w:val="18"/>
          <w:lang w:val="es-MX"/>
        </w:rPr>
        <w:t xml:space="preserve">107. </w:t>
      </w:r>
      <w:r w:rsidR="00C44084" w:rsidRPr="00C44084">
        <w:rPr>
          <w:sz w:val="18"/>
          <w:szCs w:val="18"/>
          <w:lang w:val="es-MX"/>
        </w:rPr>
        <w:t xml:space="preserve">Como nuevo integrante del Tribunal Interamericano no es mi deseo introducir debates estériles en el seno del Sistema Interamericano y, particularmente, en su órgano de protección de naturaleza jurisdiccional; simplemente pretendo llamar a la reflexión —por ser </w:t>
      </w:r>
      <w:r w:rsidR="00C44084" w:rsidRPr="00C44084">
        <w:rPr>
          <w:sz w:val="18"/>
          <w:szCs w:val="18"/>
          <w:lang w:val="es-MX"/>
        </w:rPr>
        <w:lastRenderedPageBreak/>
        <w:t>mi profunda convicción— sobre la legítima posibilidad interpretativa y argumentativa para otorgar vía el artículo 26 del Pacto de San José efectividad directa a los derechos económicos, sociales y culturales, especialmente en el caso concreto sobre el derecho a la salud. La posibilidad está latente para avanzar hacia una nueva etapa en la jurisprudencia interamericana, lo cual no representa ninguna novedad si atendemos a que, por un lado, la Comisión Interamericana así lo ha entendido en varias oportunidades y, por otro, la propia Corte IDH ha reconocido explícitamente la justiciabilidad del artículo 26 de la Convención Americana en 2009</w:t>
      </w:r>
      <w:r w:rsidR="00C44084" w:rsidRPr="00C44084">
        <w:rPr>
          <w:rStyle w:val="Refdenotaalpie"/>
          <w:sz w:val="18"/>
          <w:szCs w:val="18"/>
          <w:lang w:val="es-MX"/>
        </w:rPr>
        <w:footnoteReference w:id="21"/>
      </w:r>
      <w:r w:rsidR="00C44084" w:rsidRPr="00C44084">
        <w:rPr>
          <w:sz w:val="18"/>
          <w:szCs w:val="18"/>
          <w:lang w:val="es-MX"/>
        </w:rPr>
        <w:t>.</w:t>
      </w:r>
    </w:p>
    <w:p w14:paraId="3D11E6D4" w14:textId="77777777" w:rsidR="00B32635" w:rsidRPr="00C44084" w:rsidRDefault="00B32635" w:rsidP="00520641">
      <w:pPr>
        <w:tabs>
          <w:tab w:val="left" w:pos="709"/>
          <w:tab w:val="left" w:pos="9356"/>
        </w:tabs>
        <w:ind w:right="6"/>
        <w:rPr>
          <w:sz w:val="18"/>
          <w:szCs w:val="18"/>
          <w:lang w:val="es-MX"/>
        </w:rPr>
      </w:pPr>
    </w:p>
    <w:p w14:paraId="72D11B05" w14:textId="5D0E0F44" w:rsidR="00B32635" w:rsidRPr="00C44084" w:rsidRDefault="00520641" w:rsidP="00C44084">
      <w:pPr>
        <w:pStyle w:val="Prrafodelista"/>
        <w:tabs>
          <w:tab w:val="left" w:pos="709"/>
        </w:tabs>
        <w:ind w:left="709"/>
        <w:contextualSpacing w:val="0"/>
        <w:rPr>
          <w:sz w:val="18"/>
          <w:szCs w:val="18"/>
          <w:highlight w:val="yellow"/>
        </w:rPr>
      </w:pPr>
      <w:r>
        <w:rPr>
          <w:sz w:val="18"/>
          <w:szCs w:val="18"/>
          <w:lang w:val="es-MX"/>
        </w:rPr>
        <w:t xml:space="preserve">108. </w:t>
      </w:r>
      <w:r w:rsidR="00B32635" w:rsidRPr="00C44084">
        <w:rPr>
          <w:sz w:val="18"/>
          <w:szCs w:val="18"/>
          <w:lang w:val="es-MX"/>
        </w:rPr>
        <w:t xml:space="preserve">En conclusión, a más de veinticinco años de continua evolución de la jurisprudencia interamericana resulta legítimo —y razonable por el camino de la hermenéutica y la argumentación convencional— otorgar pleno contenido normativo al artículo 26 del Pacto de San José, en consonancia y congruencia con el </w:t>
      </w:r>
      <w:r w:rsidR="00B32635" w:rsidRPr="00C44084">
        <w:rPr>
          <w:i/>
          <w:sz w:val="18"/>
          <w:szCs w:val="18"/>
          <w:lang w:val="es-MX"/>
        </w:rPr>
        <w:t>corpus juris</w:t>
      </w:r>
      <w:r w:rsidR="00B32635" w:rsidRPr="00C44084">
        <w:rPr>
          <w:sz w:val="18"/>
          <w:szCs w:val="18"/>
          <w:lang w:val="es-MX"/>
        </w:rPr>
        <w:t xml:space="preserve"> interamericano en su integralidad. Este sendero permitiría interpretaciones dinámicas a la altura de nuestro tiempo, que podrían conducir hacia una efectividad plena, real, directa y transparente de todos los derechos, sean civiles, políticos, económicos, sociales y culturales, sin jerarquía y categorizaciones que menoscaben su realización, como se desprende del Preámbulo de la Convención Americana, cuyo espíritu e ideal permea al Sistema Interamericano en su conjunto.</w:t>
      </w:r>
    </w:p>
    <w:p w14:paraId="5B067E02" w14:textId="77777777" w:rsidR="00395FBB" w:rsidRPr="00CD21AC" w:rsidRDefault="00395FBB" w:rsidP="00395FBB">
      <w:pPr>
        <w:pStyle w:val="Prrafodelista"/>
        <w:ind w:left="0"/>
      </w:pPr>
    </w:p>
    <w:p w14:paraId="231D01D9" w14:textId="161FA546" w:rsidR="00E24B51" w:rsidRDefault="006D7142" w:rsidP="00E24B51">
      <w:pPr>
        <w:pStyle w:val="Prrafodelista"/>
        <w:numPr>
          <w:ilvl w:val="0"/>
          <w:numId w:val="1"/>
        </w:numPr>
        <w:contextualSpacing w:val="0"/>
      </w:pPr>
      <w:r w:rsidRPr="003070D0">
        <w:rPr>
          <w:lang w:val="es-ES"/>
        </w:rPr>
        <w:t xml:space="preserve">Pasados </w:t>
      </w:r>
      <w:r w:rsidR="005D58FC">
        <w:rPr>
          <w:lang w:val="es-ES"/>
        </w:rPr>
        <w:t>casi 4</w:t>
      </w:r>
      <w:r w:rsidRPr="003070D0">
        <w:rPr>
          <w:lang w:val="es-ES"/>
        </w:rPr>
        <w:t xml:space="preserve">6 años desde la suscripción de la Convención Americana y 27 años desde </w:t>
      </w:r>
      <w:r w:rsidR="005C37A9" w:rsidRPr="003070D0">
        <w:rPr>
          <w:lang w:val="es-ES"/>
        </w:rPr>
        <w:t>la adopción d</w:t>
      </w:r>
      <w:r w:rsidRPr="003070D0">
        <w:rPr>
          <w:lang w:val="es-ES"/>
        </w:rPr>
        <w:t>el Protocolo de San Salvador, es necesario dar pasos con mayor claridad hacia la justiciabilidad directa de los derechos económicos, sociales, culturales y ambientales teniendo en cuenta los avances del derecho internacional de los derechos humanos</w:t>
      </w:r>
      <w:r>
        <w:rPr>
          <w:rStyle w:val="Refdenotaalpie"/>
          <w:lang w:val="es-ES"/>
        </w:rPr>
        <w:footnoteReference w:id="22"/>
      </w:r>
      <w:r w:rsidRPr="003070D0">
        <w:rPr>
          <w:lang w:val="es-ES"/>
        </w:rPr>
        <w:t xml:space="preserve"> y atendiendo a los claros avances de los Estados Parte</w:t>
      </w:r>
      <w:r w:rsidR="005C37A9" w:rsidRPr="003070D0">
        <w:rPr>
          <w:lang w:val="es-ES"/>
        </w:rPr>
        <w:t xml:space="preserve"> </w:t>
      </w:r>
      <w:r w:rsidR="005D58FC">
        <w:rPr>
          <w:lang w:val="es-ES"/>
        </w:rPr>
        <w:t>d</w:t>
      </w:r>
      <w:r w:rsidR="005C37A9" w:rsidRPr="003070D0">
        <w:rPr>
          <w:lang w:val="es-ES"/>
        </w:rPr>
        <w:t>e la Convención Americana</w:t>
      </w:r>
      <w:r w:rsidRPr="003070D0">
        <w:rPr>
          <w:lang w:val="es-ES"/>
        </w:rPr>
        <w:t xml:space="preserve">. Sobre esto último destaco en particular la Carta Social de las Américas </w:t>
      </w:r>
      <w:r w:rsidR="005D58FC">
        <w:rPr>
          <w:lang w:val="es-ES"/>
        </w:rPr>
        <w:t xml:space="preserve">de </w:t>
      </w:r>
      <w:r w:rsidR="00D47102">
        <w:rPr>
          <w:lang w:val="es-ES"/>
        </w:rPr>
        <w:t xml:space="preserve">2012 </w:t>
      </w:r>
      <w:r w:rsidRPr="003070D0">
        <w:rPr>
          <w:lang w:val="es-ES"/>
        </w:rPr>
        <w:t xml:space="preserve">y muy en particular la reciente </w:t>
      </w:r>
      <w:r w:rsidR="003070D0">
        <w:t>Convención Interamericana sobre la Protección de los Derechos Humanos de las Personas Mayores, aprobada el 15 de junio de 2015. En efecto, el art</w:t>
      </w:r>
      <w:r w:rsidR="002E29D2">
        <w:t>ículo 36</w:t>
      </w:r>
      <w:r w:rsidR="002E29D2">
        <w:rPr>
          <w:rStyle w:val="Refdenotaalpie"/>
        </w:rPr>
        <w:footnoteReference w:id="23"/>
      </w:r>
      <w:r w:rsidR="003070D0">
        <w:t xml:space="preserve"> de esta Convención dispone la posibilidad de que opere el sistema de peticiones individuales en relación con los derechos previstos en dicha Convención, los cuales incluyen, entre otros, el derecho </w:t>
      </w:r>
      <w:r w:rsidR="002E29D2">
        <w:t xml:space="preserve">a la seguridad social (artículo 17), derecho al trabajo (artículo 18), derecho a la salud (artículo 19), </w:t>
      </w:r>
      <w:r w:rsidR="00E24B51">
        <w:t xml:space="preserve">y </w:t>
      </w:r>
      <w:r w:rsidR="002E29D2">
        <w:t>derecho a la vivienda (artículo 24)</w:t>
      </w:r>
      <w:r w:rsidR="00E24B51">
        <w:t>.</w:t>
      </w:r>
      <w:r w:rsidR="002E29D2">
        <w:t xml:space="preserve"> </w:t>
      </w:r>
      <w:r w:rsidR="003800C3">
        <w:t xml:space="preserve">Como puede observarse, este paso adoptado por varios Estados Parte </w:t>
      </w:r>
      <w:r w:rsidR="005D58FC">
        <w:t xml:space="preserve">de </w:t>
      </w:r>
      <w:r w:rsidR="003800C3">
        <w:t xml:space="preserve">la OEA evidencia una tendencia cada vez mayoritaria hacia la plena justiciabilidad de los derechos económicos, sociales y culturales. </w:t>
      </w:r>
    </w:p>
    <w:p w14:paraId="2ADCA39F" w14:textId="77777777" w:rsidR="00E24B51" w:rsidRDefault="00E24B51" w:rsidP="00E24B51">
      <w:pPr>
        <w:pStyle w:val="Prrafodelista"/>
        <w:ind w:left="0"/>
        <w:contextualSpacing w:val="0"/>
      </w:pPr>
    </w:p>
    <w:p w14:paraId="7E3F57FC" w14:textId="31188F0B" w:rsidR="00406600" w:rsidRPr="00406600" w:rsidRDefault="00AF1938" w:rsidP="00406600">
      <w:pPr>
        <w:pStyle w:val="Prrafodelista"/>
        <w:numPr>
          <w:ilvl w:val="0"/>
          <w:numId w:val="1"/>
        </w:numPr>
        <w:contextualSpacing w:val="0"/>
      </w:pPr>
      <w:r w:rsidRPr="00E24B51">
        <w:rPr>
          <w:lang w:val="es-CR"/>
        </w:rPr>
        <w:lastRenderedPageBreak/>
        <w:t>Por todos los argumentos expuestos en este Voto, esta interpretación hermeneútica no menoscaba la legitimidad de la Corte. Esa l</w:t>
      </w:r>
      <w:r w:rsidR="00D47102">
        <w:rPr>
          <w:lang w:val="es-CR"/>
        </w:rPr>
        <w:t>egitimidad tampoco se ha menguado</w:t>
      </w:r>
      <w:r w:rsidRPr="00E24B51">
        <w:rPr>
          <w:lang w:val="es-CR"/>
        </w:rPr>
        <w:t xml:space="preserve"> al adoptarse criterios jurisprudenciales que tenían menos base normativa, como ha ocurrido al declararse la existencia de ciertos derechos innominados no previstos convencionalmente</w:t>
      </w:r>
      <w:r>
        <w:rPr>
          <w:rStyle w:val="Refdenotaalpie"/>
          <w:lang w:val="es-CR"/>
        </w:rPr>
        <w:footnoteReference w:id="24"/>
      </w:r>
      <w:r w:rsidRPr="00E24B51">
        <w:rPr>
          <w:lang w:val="es-CR"/>
        </w:rPr>
        <w:t>. Por el contrario, la interpretación sistemática, integral y evoluti</w:t>
      </w:r>
      <w:r w:rsidR="00D47102">
        <w:rPr>
          <w:lang w:val="es-CR"/>
        </w:rPr>
        <w:t>va, cimentada</w:t>
      </w:r>
      <w:r w:rsidRPr="00E24B51">
        <w:rPr>
          <w:lang w:val="es-CR"/>
        </w:rPr>
        <w:t xml:space="preserve"> en la base normativa prevista en el artículo 26 de la Convención </w:t>
      </w:r>
      <w:r w:rsidR="00D47102">
        <w:rPr>
          <w:lang w:val="es-CR"/>
        </w:rPr>
        <w:t xml:space="preserve">Americana </w:t>
      </w:r>
      <w:r w:rsidRPr="00E24B51">
        <w:rPr>
          <w:lang w:val="es-CR"/>
        </w:rPr>
        <w:t xml:space="preserve">y en sus relaciones con los artículos 1.1 y 2 de la misma, bajo la idea de que este artículo debe tener efecto útil porque no ha sido derogado, </w:t>
      </w:r>
      <w:r w:rsidR="00D47102">
        <w:rPr>
          <w:lang w:val="es-CR"/>
        </w:rPr>
        <w:t>otorgan plena legitimación</w:t>
      </w:r>
      <w:r w:rsidRPr="00E24B51">
        <w:rPr>
          <w:lang w:val="es-CR"/>
        </w:rPr>
        <w:t xml:space="preserve"> a </w:t>
      </w:r>
      <w:r w:rsidR="001C6F58">
        <w:rPr>
          <w:lang w:val="es-CR"/>
        </w:rPr>
        <w:t>este Tribunal Interamericano</w:t>
      </w:r>
      <w:r w:rsidRPr="00E24B51">
        <w:rPr>
          <w:lang w:val="es-CR"/>
        </w:rPr>
        <w:t xml:space="preserve"> a dar pasos más decididos hacia la justiciabilidad directa de los</w:t>
      </w:r>
      <w:r w:rsidR="001C6F58">
        <w:rPr>
          <w:lang w:val="es-CR"/>
        </w:rPr>
        <w:t xml:space="preserve"> derechos económicos, sociales y</w:t>
      </w:r>
      <w:r w:rsidRPr="00E24B51">
        <w:rPr>
          <w:lang w:val="es-CR"/>
        </w:rPr>
        <w:t xml:space="preserve"> culturales, más aún si se tiene en cuenta la tragedia diaria asociada a la negación sistemática de estos derechos en los países de las Américas. </w:t>
      </w:r>
    </w:p>
    <w:p w14:paraId="446A25B5" w14:textId="77777777" w:rsidR="00A466BC" w:rsidRDefault="00A466BC" w:rsidP="00F16749">
      <w:pPr>
        <w:pStyle w:val="Prrafodelista"/>
        <w:spacing w:after="240"/>
        <w:ind w:left="0" w:right="96"/>
        <w:contextualSpacing w:val="0"/>
        <w:rPr>
          <w:lang w:val="es-CR"/>
        </w:rPr>
      </w:pPr>
    </w:p>
    <w:p w14:paraId="2295E6ED" w14:textId="27624E33" w:rsidR="00722204" w:rsidRDefault="00722204" w:rsidP="00F16749">
      <w:pPr>
        <w:pStyle w:val="Prrafodelista"/>
        <w:spacing w:after="240"/>
        <w:ind w:left="0" w:right="96"/>
        <w:contextualSpacing w:val="0"/>
        <w:rPr>
          <w:lang w:val="es-CR"/>
        </w:rPr>
      </w:pPr>
    </w:p>
    <w:p w14:paraId="09DDACAD" w14:textId="77777777" w:rsidR="00F16749" w:rsidRPr="001B4A16" w:rsidRDefault="00F16749" w:rsidP="00ED603F">
      <w:pPr>
        <w:pStyle w:val="NormalWeb"/>
        <w:spacing w:before="0" w:beforeAutospacing="0" w:after="0" w:afterAutospacing="0"/>
        <w:ind w:left="3600" w:right="96" w:firstLine="720"/>
        <w:jc w:val="center"/>
        <w:rPr>
          <w:rFonts w:ascii="Verdana" w:eastAsia="Calibri" w:hAnsi="Verdana"/>
          <w:sz w:val="20"/>
          <w:szCs w:val="20"/>
          <w:lang w:eastAsia="en-US"/>
        </w:rPr>
      </w:pPr>
      <w:r w:rsidRPr="001B4A16">
        <w:rPr>
          <w:rFonts w:ascii="Verdana" w:eastAsia="Calibri" w:hAnsi="Verdana"/>
          <w:sz w:val="20"/>
          <w:szCs w:val="20"/>
          <w:lang w:eastAsia="en-US"/>
        </w:rPr>
        <w:t>Eduardo Ferrer Mac-Gregor Poisot</w:t>
      </w:r>
    </w:p>
    <w:p w14:paraId="2054574E" w14:textId="5DF25E6E" w:rsidR="00ED603F" w:rsidRPr="00650FAD" w:rsidRDefault="00F16749" w:rsidP="00650FAD">
      <w:pPr>
        <w:pStyle w:val="NormalWeb"/>
        <w:spacing w:before="0" w:beforeAutospacing="0" w:after="0" w:afterAutospacing="0"/>
        <w:ind w:left="3960" w:right="96" w:firstLine="360"/>
        <w:jc w:val="center"/>
        <w:rPr>
          <w:rFonts w:ascii="Verdana" w:eastAsia="Calibri" w:hAnsi="Verdana"/>
          <w:sz w:val="20"/>
          <w:szCs w:val="20"/>
          <w:lang w:eastAsia="en-US"/>
        </w:rPr>
      </w:pPr>
      <w:r w:rsidRPr="001B4A16">
        <w:rPr>
          <w:rFonts w:ascii="Verdana" w:eastAsia="Calibri" w:hAnsi="Verdana"/>
          <w:sz w:val="20"/>
          <w:szCs w:val="20"/>
          <w:lang w:eastAsia="en-US"/>
        </w:rPr>
        <w:t>Juez</w:t>
      </w:r>
    </w:p>
    <w:p w14:paraId="1697C57B" w14:textId="4860A009" w:rsidR="00520641" w:rsidRDefault="00520641" w:rsidP="00C76C94">
      <w:pPr>
        <w:rPr>
          <w:lang w:val="es-CR"/>
        </w:rPr>
      </w:pPr>
    </w:p>
    <w:p w14:paraId="66437CF7" w14:textId="77777777" w:rsidR="00996668" w:rsidRDefault="00996668" w:rsidP="00C76C94">
      <w:pPr>
        <w:rPr>
          <w:lang w:val="es-CR"/>
        </w:rPr>
      </w:pPr>
    </w:p>
    <w:p w14:paraId="6E977B82" w14:textId="77777777" w:rsidR="00A466BC" w:rsidRPr="001B4A16" w:rsidRDefault="00A466BC" w:rsidP="00C76C94">
      <w:pPr>
        <w:rPr>
          <w:lang w:val="es-CR"/>
        </w:rPr>
      </w:pPr>
    </w:p>
    <w:p w14:paraId="77A93645" w14:textId="77777777" w:rsidR="00F16749" w:rsidRPr="001B4A16" w:rsidRDefault="00F16749" w:rsidP="00C76C94">
      <w:pPr>
        <w:rPr>
          <w:lang w:val="es-CR"/>
        </w:rPr>
      </w:pPr>
      <w:r w:rsidRPr="001B4A16">
        <w:rPr>
          <w:lang w:val="es-CR"/>
        </w:rPr>
        <w:t>Pablo Saavedra Alessandri</w:t>
      </w:r>
    </w:p>
    <w:p w14:paraId="1446690A" w14:textId="373577C8" w:rsidR="00F16749" w:rsidRPr="00A466BC" w:rsidRDefault="00F16749" w:rsidP="00A466BC">
      <w:pPr>
        <w:rPr>
          <w:lang w:val="es-CR"/>
        </w:rPr>
      </w:pPr>
      <w:r w:rsidRPr="001B4A16">
        <w:rPr>
          <w:lang w:val="es-CR"/>
        </w:rPr>
        <w:tab/>
        <w:t>Secretario</w:t>
      </w:r>
    </w:p>
    <w:sectPr w:rsidR="00F16749" w:rsidRPr="00A466BC" w:rsidSect="00C4408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DDCFA" w14:textId="77777777" w:rsidR="007A5A22" w:rsidRDefault="007A5A22" w:rsidP="00446D48">
      <w:r>
        <w:separator/>
      </w:r>
    </w:p>
  </w:endnote>
  <w:endnote w:type="continuationSeparator" w:id="0">
    <w:p w14:paraId="59656D63" w14:textId="77777777" w:rsidR="007A5A22" w:rsidRDefault="007A5A22" w:rsidP="0044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Palatino-Italic">
    <w:altName w:val="Palatino Linotyp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entury Gothic">
    <w:altName w:val="Century Gothic"/>
    <w:panose1 w:val="020B0502020202020204"/>
    <w:charset w:val="00"/>
    <w:family w:val="swiss"/>
    <w:pitch w:val="variable"/>
    <w:sig w:usb0="00000287" w:usb1="00000000" w:usb2="00000000" w:usb3="00000000" w:csb0="0000009F" w:csb1="00000000"/>
  </w:font>
  <w:font w:name="Verdana Bold">
    <w:altName w:val="Times New Roman"/>
    <w:panose1 w:val="00000000000000000000"/>
    <w:charset w:val="00"/>
    <w:family w:val="roman"/>
    <w:notTrueType/>
    <w:pitch w:val="default"/>
  </w:font>
  <w:font w:name="NewBaskerville-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428E" w14:textId="77777777" w:rsidR="0047653D" w:rsidRDefault="0047653D">
    <w:pPr>
      <w:pStyle w:val="Piedepgina"/>
      <w:jc w:val="center"/>
    </w:pPr>
  </w:p>
  <w:p w14:paraId="7766029F" w14:textId="77777777" w:rsidR="0047653D" w:rsidRDefault="004765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C7A33" w14:textId="77777777" w:rsidR="007A5A22" w:rsidRDefault="007A5A22" w:rsidP="00446D48">
      <w:r>
        <w:separator/>
      </w:r>
    </w:p>
  </w:footnote>
  <w:footnote w:type="continuationSeparator" w:id="0">
    <w:p w14:paraId="43EF76BB" w14:textId="77777777" w:rsidR="007A5A22" w:rsidRDefault="007A5A22" w:rsidP="00446D48">
      <w:r>
        <w:continuationSeparator/>
      </w:r>
    </w:p>
  </w:footnote>
  <w:footnote w:id="1">
    <w:p w14:paraId="63C7197B" w14:textId="734F0813" w:rsidR="0047653D" w:rsidRPr="0028214E" w:rsidRDefault="0047653D" w:rsidP="0028214E">
      <w:pPr>
        <w:pStyle w:val="Textonotapie"/>
        <w:rPr>
          <w:szCs w:val="16"/>
        </w:rPr>
      </w:pPr>
      <w:r w:rsidRPr="0028214E">
        <w:rPr>
          <w:rStyle w:val="Refdenotaalpie"/>
          <w:szCs w:val="16"/>
        </w:rPr>
        <w:footnoteRef/>
      </w:r>
      <w:r w:rsidRPr="0028214E">
        <w:rPr>
          <w:szCs w:val="16"/>
        </w:rPr>
        <w:t xml:space="preserve"> </w:t>
      </w:r>
      <w:r w:rsidRPr="0028214E">
        <w:rPr>
          <w:szCs w:val="16"/>
        </w:rPr>
        <w:tab/>
      </w:r>
      <w:r w:rsidRPr="0028214E">
        <w:rPr>
          <w:rFonts w:eastAsiaTheme="minorHAnsi" w:cs="Verdana"/>
          <w:noProof w:val="0"/>
          <w:szCs w:val="16"/>
          <w:lang w:val="es-ES"/>
        </w:rPr>
        <w:t>Adoptado en San Salvador, El Salvador, el 17 de noviembre de 1988,</w:t>
      </w:r>
      <w:r w:rsidR="00FE36CF">
        <w:rPr>
          <w:rFonts w:eastAsiaTheme="minorHAnsi" w:cs="Verdana"/>
          <w:noProof w:val="0"/>
          <w:szCs w:val="16"/>
          <w:lang w:val="es-ES"/>
        </w:rPr>
        <w:t xml:space="preserve"> </w:t>
      </w:r>
      <w:r w:rsidRPr="0028214E">
        <w:rPr>
          <w:rFonts w:eastAsiaTheme="minorHAnsi" w:cs="Verdana"/>
          <w:noProof w:val="0"/>
          <w:szCs w:val="16"/>
          <w:lang w:val="es-ES"/>
        </w:rPr>
        <w:t xml:space="preserve">en el </w:t>
      </w:r>
      <w:r w:rsidR="00FE36CF">
        <w:rPr>
          <w:rFonts w:eastAsiaTheme="minorHAnsi" w:cs="Verdana"/>
          <w:noProof w:val="0"/>
          <w:szCs w:val="16"/>
          <w:lang w:val="es-ES"/>
        </w:rPr>
        <w:t>D</w:t>
      </w:r>
      <w:r w:rsidRPr="0028214E">
        <w:rPr>
          <w:rFonts w:eastAsiaTheme="minorHAnsi" w:cs="Verdana"/>
          <w:noProof w:val="0"/>
          <w:szCs w:val="16"/>
          <w:lang w:val="es-ES"/>
        </w:rPr>
        <w:t xml:space="preserve">ecimoctavo </w:t>
      </w:r>
      <w:r w:rsidR="00FE36CF">
        <w:rPr>
          <w:rFonts w:eastAsiaTheme="minorHAnsi" w:cs="Verdana"/>
          <w:noProof w:val="0"/>
          <w:szCs w:val="16"/>
          <w:lang w:val="es-ES"/>
        </w:rPr>
        <w:t>P</w:t>
      </w:r>
      <w:r w:rsidRPr="0028214E">
        <w:rPr>
          <w:rFonts w:eastAsiaTheme="minorHAnsi" w:cs="Verdana"/>
          <w:noProof w:val="0"/>
          <w:szCs w:val="16"/>
          <w:lang w:val="es-ES"/>
        </w:rPr>
        <w:t xml:space="preserve">eríodo </w:t>
      </w:r>
      <w:r w:rsidR="00FE36CF">
        <w:rPr>
          <w:rFonts w:eastAsiaTheme="minorHAnsi" w:cs="Verdana"/>
          <w:noProof w:val="0"/>
          <w:szCs w:val="16"/>
          <w:lang w:val="es-ES"/>
        </w:rPr>
        <w:t>O</w:t>
      </w:r>
      <w:r w:rsidRPr="0028214E">
        <w:rPr>
          <w:rFonts w:eastAsiaTheme="minorHAnsi" w:cs="Verdana"/>
          <w:noProof w:val="0"/>
          <w:szCs w:val="16"/>
          <w:lang w:val="es-ES"/>
        </w:rPr>
        <w:t xml:space="preserve">rdinario de </w:t>
      </w:r>
      <w:r w:rsidR="00FE36CF">
        <w:rPr>
          <w:rFonts w:eastAsiaTheme="minorHAnsi" w:cs="Verdana"/>
          <w:noProof w:val="0"/>
          <w:szCs w:val="16"/>
          <w:lang w:val="es-ES"/>
        </w:rPr>
        <w:t>S</w:t>
      </w:r>
      <w:r w:rsidRPr="0028214E">
        <w:rPr>
          <w:rFonts w:eastAsiaTheme="minorHAnsi" w:cs="Verdana"/>
          <w:noProof w:val="0"/>
          <w:szCs w:val="16"/>
          <w:lang w:val="es-ES"/>
        </w:rPr>
        <w:t>esiones de la Asamblea General de la O</w:t>
      </w:r>
      <w:r w:rsidR="00FE36CF">
        <w:rPr>
          <w:rFonts w:eastAsiaTheme="minorHAnsi" w:cs="Verdana"/>
          <w:noProof w:val="0"/>
          <w:szCs w:val="16"/>
          <w:lang w:val="es-ES"/>
        </w:rPr>
        <w:t xml:space="preserve">rganización de </w:t>
      </w:r>
      <w:r w:rsidRPr="0028214E">
        <w:rPr>
          <w:rFonts w:eastAsiaTheme="minorHAnsi" w:cs="Verdana"/>
          <w:noProof w:val="0"/>
          <w:szCs w:val="16"/>
          <w:lang w:val="es-ES"/>
        </w:rPr>
        <w:t>E</w:t>
      </w:r>
      <w:r w:rsidR="00FE36CF">
        <w:rPr>
          <w:rFonts w:eastAsiaTheme="minorHAnsi" w:cs="Verdana"/>
          <w:noProof w:val="0"/>
          <w:szCs w:val="16"/>
          <w:lang w:val="es-ES"/>
        </w:rPr>
        <w:t xml:space="preserve">stados </w:t>
      </w:r>
      <w:r w:rsidRPr="0028214E">
        <w:rPr>
          <w:rFonts w:eastAsiaTheme="minorHAnsi" w:cs="Verdana"/>
          <w:noProof w:val="0"/>
          <w:szCs w:val="16"/>
          <w:lang w:val="es-ES"/>
        </w:rPr>
        <w:t>A</w:t>
      </w:r>
      <w:r w:rsidR="00FE36CF">
        <w:rPr>
          <w:rFonts w:eastAsiaTheme="minorHAnsi" w:cs="Verdana"/>
          <w:noProof w:val="0"/>
          <w:szCs w:val="16"/>
          <w:lang w:val="es-ES"/>
        </w:rPr>
        <w:t>mericanos (“OEA”)</w:t>
      </w:r>
      <w:r w:rsidRPr="0028214E">
        <w:rPr>
          <w:rFonts w:eastAsiaTheme="minorHAnsi" w:cs="Verdana"/>
          <w:noProof w:val="0"/>
          <w:szCs w:val="16"/>
          <w:lang w:val="es-ES"/>
        </w:rPr>
        <w:t>, entrando en vigor el 16 de noviembre de 1999. Hasta la fecha e</w:t>
      </w:r>
      <w:r>
        <w:rPr>
          <w:rFonts w:eastAsiaTheme="minorHAnsi" w:cs="Verdana"/>
          <w:noProof w:val="0"/>
          <w:szCs w:val="16"/>
          <w:lang w:val="es-ES"/>
        </w:rPr>
        <w:t>ste Protocolo está vigente en 16</w:t>
      </w:r>
      <w:r w:rsidRPr="0028214E">
        <w:rPr>
          <w:rFonts w:eastAsiaTheme="minorHAnsi" w:cs="Verdana"/>
          <w:noProof w:val="0"/>
          <w:szCs w:val="16"/>
          <w:lang w:val="es-ES"/>
        </w:rPr>
        <w:t xml:space="preserve"> países: Argentina, Bolivia, Brasil, Colombia, Costa Rica, Ecuador, El Salvador, Guatemala, Honduras, México, Nicaragua, Panamá, Paraguay, Perú, </w:t>
      </w:r>
      <w:proofErr w:type="spellStart"/>
      <w:r w:rsidRPr="0028214E">
        <w:rPr>
          <w:rFonts w:eastAsiaTheme="minorHAnsi" w:cs="Verdana"/>
          <w:noProof w:val="0"/>
          <w:szCs w:val="16"/>
          <w:lang w:val="es-ES"/>
        </w:rPr>
        <w:t>Suriname</w:t>
      </w:r>
      <w:proofErr w:type="spellEnd"/>
      <w:r w:rsidRPr="0028214E">
        <w:rPr>
          <w:rFonts w:eastAsiaTheme="minorHAnsi" w:cs="Verdana"/>
          <w:noProof w:val="0"/>
          <w:szCs w:val="16"/>
          <w:lang w:val="es-ES"/>
        </w:rPr>
        <w:t xml:space="preserve"> y Uruguay.</w:t>
      </w:r>
    </w:p>
  </w:footnote>
  <w:footnote w:id="2">
    <w:p w14:paraId="68298096" w14:textId="77777777" w:rsidR="0047653D" w:rsidRPr="0028214E" w:rsidRDefault="0047653D" w:rsidP="0028214E">
      <w:pPr>
        <w:pStyle w:val="Textonotapie"/>
        <w:rPr>
          <w:szCs w:val="16"/>
        </w:rPr>
      </w:pPr>
      <w:r w:rsidRPr="0028214E">
        <w:rPr>
          <w:rStyle w:val="Refdenotaalpie"/>
          <w:szCs w:val="16"/>
        </w:rPr>
        <w:footnoteRef/>
      </w:r>
      <w:r w:rsidRPr="0028214E">
        <w:rPr>
          <w:szCs w:val="16"/>
        </w:rPr>
        <w:t xml:space="preserve"> </w:t>
      </w:r>
      <w:r>
        <w:rPr>
          <w:szCs w:val="16"/>
        </w:rPr>
        <w:tab/>
      </w:r>
      <w:r>
        <w:rPr>
          <w:rFonts w:cs="Arial"/>
        </w:rPr>
        <w:t>E</w:t>
      </w:r>
      <w:r w:rsidRPr="001020FF">
        <w:rPr>
          <w:rFonts w:cs="Arial"/>
        </w:rPr>
        <w:t>l Tribunal Distrital de lo Contencioso Nº 3 declaró inadmisible el recurso de amparo constitucional, considerando que “exist[ía] un conflicto de intereses, entre los derechos y garantías individuales de [</w:t>
      </w:r>
      <w:r>
        <w:rPr>
          <w:rFonts w:cs="Arial"/>
        </w:rPr>
        <w:t>Talía</w:t>
      </w:r>
      <w:r w:rsidRPr="001020FF">
        <w:rPr>
          <w:rFonts w:cs="Arial"/>
        </w:rPr>
        <w:t>] frente a los intereses de un conglomerado estudiantil, colisión que hac[ía] que predomin[ara]n los sociales o colectivos, como lo es, el derecho a la vida, frente al derecho de la educación”</w:t>
      </w:r>
      <w:r>
        <w:rPr>
          <w:rFonts w:cs="Arial"/>
        </w:rPr>
        <w:t xml:space="preserve">. </w:t>
      </w:r>
      <w:r w:rsidRPr="003C3BE1">
        <w:rPr>
          <w:rFonts w:cs="Arial"/>
          <w:i/>
        </w:rPr>
        <w:t>Cfr</w:t>
      </w:r>
      <w:r>
        <w:rPr>
          <w:rFonts w:cs="Arial"/>
        </w:rPr>
        <w:t>. párr. 141 de la Sentencia.</w:t>
      </w:r>
    </w:p>
  </w:footnote>
  <w:footnote w:id="3">
    <w:p w14:paraId="1B36F2D4" w14:textId="39F5BE7C" w:rsidR="0047653D" w:rsidRDefault="0047653D" w:rsidP="00442788">
      <w:pPr>
        <w:pStyle w:val="Textonotapie"/>
      </w:pPr>
      <w:r>
        <w:rPr>
          <w:rStyle w:val="Refdenotaalpie"/>
        </w:rPr>
        <w:footnoteRef/>
      </w:r>
      <w:r>
        <w:t xml:space="preserve"> </w:t>
      </w:r>
      <w:r>
        <w:tab/>
        <w:t>Párr. 14</w:t>
      </w:r>
      <w:r w:rsidR="00E76EE7">
        <w:t>4</w:t>
      </w:r>
      <w:r>
        <w:t xml:space="preserve"> de la Sentencia.</w:t>
      </w:r>
    </w:p>
  </w:footnote>
  <w:footnote w:id="4">
    <w:p w14:paraId="260E7DEB" w14:textId="23995F02"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Style w:val="Refdenotaalpie"/>
          <w:sz w:val="16"/>
          <w:szCs w:val="16"/>
        </w:rPr>
        <w:footnoteRef/>
      </w:r>
      <w:r w:rsidRPr="0028214E">
        <w:rPr>
          <w:sz w:val="16"/>
          <w:szCs w:val="16"/>
        </w:rPr>
        <w:t xml:space="preserve"> </w:t>
      </w:r>
      <w:r w:rsidRPr="0028214E">
        <w:rPr>
          <w:sz w:val="16"/>
          <w:szCs w:val="16"/>
        </w:rPr>
        <w:tab/>
      </w:r>
      <w:r>
        <w:rPr>
          <w:sz w:val="16"/>
          <w:szCs w:val="16"/>
        </w:rPr>
        <w:t>“</w:t>
      </w:r>
      <w:r w:rsidRPr="0028214E">
        <w:rPr>
          <w:rFonts w:eastAsiaTheme="minorHAnsi" w:cs="Verdana"/>
          <w:bCs/>
          <w:noProof w:val="0"/>
          <w:sz w:val="16"/>
          <w:szCs w:val="16"/>
          <w:u w:val="single"/>
          <w:lang w:val="es-ES"/>
        </w:rPr>
        <w:t>Artículo 13</w:t>
      </w:r>
      <w:r w:rsidR="004440F0">
        <w:rPr>
          <w:rFonts w:eastAsiaTheme="minorHAnsi" w:cs="Verdana"/>
          <w:bCs/>
          <w:noProof w:val="0"/>
          <w:sz w:val="16"/>
          <w:szCs w:val="16"/>
          <w:u w:val="single"/>
          <w:lang w:val="es-ES"/>
        </w:rPr>
        <w:t>:</w:t>
      </w:r>
      <w:r w:rsidR="004440F0">
        <w:rPr>
          <w:rFonts w:eastAsiaTheme="minorHAnsi" w:cs="Verdana"/>
          <w:bCs/>
          <w:noProof w:val="0"/>
          <w:sz w:val="16"/>
          <w:szCs w:val="16"/>
          <w:lang w:val="es-ES"/>
        </w:rPr>
        <w:t xml:space="preserve"> </w:t>
      </w:r>
      <w:r w:rsidRPr="0028214E">
        <w:rPr>
          <w:rFonts w:eastAsiaTheme="minorHAnsi" w:cs="Verdana"/>
          <w:bCs/>
          <w:noProof w:val="0"/>
          <w:sz w:val="16"/>
          <w:szCs w:val="16"/>
          <w:lang w:val="es-ES"/>
        </w:rPr>
        <w:t>Derecho a la Educación</w:t>
      </w:r>
      <w:r>
        <w:rPr>
          <w:rFonts w:eastAsiaTheme="minorHAnsi" w:cs="Verdana"/>
          <w:bCs/>
          <w:noProof w:val="0"/>
          <w:sz w:val="16"/>
          <w:szCs w:val="16"/>
          <w:lang w:val="es-ES"/>
        </w:rPr>
        <w:t>:</w:t>
      </w:r>
    </w:p>
    <w:p w14:paraId="15015E1D" w14:textId="77777777" w:rsidR="0047653D" w:rsidRPr="0028214E" w:rsidRDefault="0047653D" w:rsidP="00F86D26">
      <w:pPr>
        <w:widowControl w:val="0"/>
        <w:autoSpaceDE w:val="0"/>
        <w:autoSpaceDN w:val="0"/>
        <w:adjustRightInd w:val="0"/>
        <w:ind w:firstLine="960"/>
        <w:rPr>
          <w:rFonts w:ascii="Times" w:eastAsiaTheme="minorHAnsi" w:hAnsi="Times"/>
          <w:noProof w:val="0"/>
          <w:sz w:val="16"/>
          <w:szCs w:val="16"/>
          <w:lang w:val="es-ES"/>
        </w:rPr>
      </w:pPr>
      <w:r w:rsidRPr="0028214E">
        <w:rPr>
          <w:rFonts w:eastAsiaTheme="minorHAnsi" w:cs="Verdana"/>
          <w:noProof w:val="0"/>
          <w:sz w:val="16"/>
          <w:szCs w:val="16"/>
          <w:lang w:val="es-ES"/>
        </w:rPr>
        <w:t>1.    Toda persona tiene derecho a la educación.</w:t>
      </w:r>
    </w:p>
    <w:p w14:paraId="70844BC9" w14:textId="77777777" w:rsidR="0047653D" w:rsidRPr="0028214E" w:rsidRDefault="0047653D" w:rsidP="00F86D26">
      <w:pPr>
        <w:widowControl w:val="0"/>
        <w:autoSpaceDE w:val="0"/>
        <w:autoSpaceDN w:val="0"/>
        <w:adjustRightInd w:val="0"/>
        <w:ind w:firstLine="960"/>
        <w:rPr>
          <w:rFonts w:ascii="Times" w:eastAsiaTheme="minorHAnsi" w:hAnsi="Times"/>
          <w:noProof w:val="0"/>
          <w:sz w:val="16"/>
          <w:szCs w:val="16"/>
          <w:lang w:val="es-ES"/>
        </w:rPr>
      </w:pPr>
      <w:r w:rsidRPr="0028214E">
        <w:rPr>
          <w:rFonts w:eastAsiaTheme="minorHAnsi" w:cs="Verdana"/>
          <w:noProof w:val="0"/>
          <w:sz w:val="16"/>
          <w:szCs w:val="16"/>
          <w:lang w:val="es-ES"/>
        </w:rPr>
        <w:t>2.    Los Estados partes en el presente Protocolo convienen en que la educación deberá orientarse hacia el pleno desarrollo de la personalidad humana y del sentido de su dignidad y deberá fortalecer el respeto por los derechos humanos, el pluralismo ideológico, las libertades fundamentales, la justicia y la paz. Convienen, asimismo, en que la educación debe capacitar a todas las personas para participar efectivamente en una sociedad democrática y pluralista, lograr una subsistencia digna, favorecer la comprensión, la tolerancia y la amistad entre todas las naciones y todos los grupos raciales, étnicos o religiosos y promover las actividades en favor del mantenimiento de la paz.</w:t>
      </w:r>
    </w:p>
    <w:p w14:paraId="1E5C4247" w14:textId="77777777" w:rsidR="0047653D" w:rsidRPr="0028214E" w:rsidRDefault="0047653D" w:rsidP="00F86D26">
      <w:pPr>
        <w:widowControl w:val="0"/>
        <w:autoSpaceDE w:val="0"/>
        <w:autoSpaceDN w:val="0"/>
        <w:adjustRightInd w:val="0"/>
        <w:ind w:firstLine="960"/>
        <w:rPr>
          <w:rFonts w:ascii="Times" w:eastAsiaTheme="minorHAnsi" w:hAnsi="Times"/>
          <w:noProof w:val="0"/>
          <w:sz w:val="16"/>
          <w:szCs w:val="16"/>
          <w:lang w:val="es-ES"/>
        </w:rPr>
      </w:pPr>
      <w:r w:rsidRPr="0028214E">
        <w:rPr>
          <w:rFonts w:eastAsiaTheme="minorHAnsi" w:cs="Verdana"/>
          <w:noProof w:val="0"/>
          <w:sz w:val="16"/>
          <w:szCs w:val="16"/>
          <w:lang w:val="es-ES"/>
        </w:rPr>
        <w:t>3.    Los Estados partes en el presente Protocolo reconocen que, con objeto de lograr el pleno ejercicio del derecho a la educación:</w:t>
      </w:r>
    </w:p>
    <w:p w14:paraId="546752C4" w14:textId="77777777"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Fonts w:eastAsiaTheme="minorHAnsi" w:cs="Verdana"/>
          <w:noProof w:val="0"/>
          <w:sz w:val="16"/>
          <w:szCs w:val="16"/>
          <w:lang w:val="es-ES"/>
        </w:rPr>
        <w:t>a.    la enseñanza primaria debe ser obligatoria y asequible a todos gratuitamente;</w:t>
      </w:r>
    </w:p>
    <w:p w14:paraId="1ADF1328" w14:textId="4DDE9FE6"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Fonts w:eastAsiaTheme="minorHAnsi" w:cs="Verdana"/>
          <w:noProof w:val="0"/>
          <w:sz w:val="16"/>
          <w:szCs w:val="16"/>
          <w:lang w:val="es-ES"/>
        </w:rPr>
        <w:t>b.    la enseñanza secundaria en sus diferentes formas, incluso la enseñanza secundaria técnica y profesional, debe ser generalizada y hacerse accesible a todos, por cuantos medios sean apropiados y en particular</w:t>
      </w:r>
      <w:r w:rsidR="004440F0">
        <w:rPr>
          <w:rFonts w:eastAsiaTheme="minorHAnsi" w:cs="Verdana"/>
          <w:noProof w:val="0"/>
          <w:sz w:val="16"/>
          <w:szCs w:val="16"/>
          <w:lang w:val="es-ES"/>
        </w:rPr>
        <w:t>,</w:t>
      </w:r>
      <w:r w:rsidRPr="0028214E">
        <w:rPr>
          <w:rFonts w:eastAsiaTheme="minorHAnsi" w:cs="Verdana"/>
          <w:noProof w:val="0"/>
          <w:sz w:val="16"/>
          <w:szCs w:val="16"/>
          <w:lang w:val="es-ES"/>
        </w:rPr>
        <w:t xml:space="preserve"> por la implantación progresiva de la enseñanza gratuita;</w:t>
      </w:r>
    </w:p>
    <w:p w14:paraId="7AEE92DC" w14:textId="70A92207"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Fonts w:eastAsiaTheme="minorHAnsi" w:cs="Verdana"/>
          <w:noProof w:val="0"/>
          <w:sz w:val="16"/>
          <w:szCs w:val="16"/>
          <w:lang w:val="es-ES"/>
        </w:rPr>
        <w:t>c.    la enseñanza superior debe hacerse igualmente accesible a todos, sobre la base de la capacidad de cada uno, por cuantos medios sean apropiados y en particular, por la implantación progresiva de la enseñanza gratuita;</w:t>
      </w:r>
    </w:p>
    <w:p w14:paraId="2D84FE01" w14:textId="77777777"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Fonts w:eastAsiaTheme="minorHAnsi" w:cs="Verdana"/>
          <w:noProof w:val="0"/>
          <w:sz w:val="16"/>
          <w:szCs w:val="16"/>
          <w:lang w:val="es-ES"/>
        </w:rPr>
        <w:t>d.    se deberá fomentar o intensificar, en la medida de lo posible, la educación básica para aquellas personas que no hayan recibido o terminado el ciclo completo de instrucción primaria;</w:t>
      </w:r>
    </w:p>
    <w:p w14:paraId="62113E68" w14:textId="77777777" w:rsidR="0047653D" w:rsidRPr="0028214E" w:rsidRDefault="0047653D" w:rsidP="00F86D26">
      <w:pPr>
        <w:widowControl w:val="0"/>
        <w:autoSpaceDE w:val="0"/>
        <w:autoSpaceDN w:val="0"/>
        <w:adjustRightInd w:val="0"/>
        <w:rPr>
          <w:rFonts w:ascii="Times" w:eastAsiaTheme="minorHAnsi" w:hAnsi="Times"/>
          <w:noProof w:val="0"/>
          <w:sz w:val="16"/>
          <w:szCs w:val="16"/>
          <w:lang w:val="es-ES"/>
        </w:rPr>
      </w:pPr>
      <w:r w:rsidRPr="0028214E">
        <w:rPr>
          <w:rFonts w:eastAsiaTheme="minorHAnsi" w:cs="Verdana"/>
          <w:noProof w:val="0"/>
          <w:sz w:val="16"/>
          <w:szCs w:val="16"/>
          <w:lang w:val="es-ES"/>
        </w:rPr>
        <w:t>e.    se deberán establecer programas de enseñanza diferenciada para los minusválidos a fin de proporcionar una especial instrucción y formación a personas con impedimentos físicos o deficiencias mentales.</w:t>
      </w:r>
    </w:p>
    <w:p w14:paraId="4A941803" w14:textId="77777777" w:rsidR="0047653D" w:rsidRDefault="0047653D" w:rsidP="00F86D26">
      <w:pPr>
        <w:widowControl w:val="0"/>
        <w:autoSpaceDE w:val="0"/>
        <w:autoSpaceDN w:val="0"/>
        <w:adjustRightInd w:val="0"/>
        <w:ind w:firstLine="960"/>
        <w:rPr>
          <w:rFonts w:eastAsiaTheme="minorHAnsi" w:cs="Verdana"/>
          <w:noProof w:val="0"/>
          <w:sz w:val="16"/>
          <w:szCs w:val="16"/>
          <w:lang w:val="es-ES"/>
        </w:rPr>
      </w:pPr>
      <w:r w:rsidRPr="0028214E">
        <w:rPr>
          <w:rFonts w:eastAsiaTheme="minorHAnsi" w:cs="Verdana"/>
          <w:noProof w:val="0"/>
          <w:sz w:val="16"/>
          <w:szCs w:val="16"/>
          <w:lang w:val="es-ES"/>
        </w:rPr>
        <w:t>4.    Conforme con la legislación interna de los Estados partes, los padres tendrán derecho a escoger el tipo de educación que habrá de darse a sus hijos, siempre que ella se adecue a los principios enunciados precedentemente.</w:t>
      </w:r>
      <w:r>
        <w:rPr>
          <w:rFonts w:eastAsiaTheme="minorHAnsi" w:cs="Verdana"/>
          <w:noProof w:val="0"/>
          <w:sz w:val="16"/>
          <w:szCs w:val="16"/>
          <w:lang w:val="es-ES"/>
        </w:rPr>
        <w:t xml:space="preserve"> </w:t>
      </w:r>
    </w:p>
    <w:p w14:paraId="2E6A0B13" w14:textId="77777777" w:rsidR="0047653D" w:rsidRPr="0028214E" w:rsidRDefault="0047653D" w:rsidP="00F86D26">
      <w:pPr>
        <w:widowControl w:val="0"/>
        <w:autoSpaceDE w:val="0"/>
        <w:autoSpaceDN w:val="0"/>
        <w:adjustRightInd w:val="0"/>
        <w:spacing w:after="120"/>
        <w:ind w:firstLine="958"/>
        <w:rPr>
          <w:rFonts w:ascii="Times" w:eastAsiaTheme="minorHAnsi" w:hAnsi="Times"/>
          <w:noProof w:val="0"/>
          <w:sz w:val="16"/>
          <w:szCs w:val="16"/>
          <w:lang w:val="es-ES"/>
        </w:rPr>
      </w:pPr>
      <w:r w:rsidRPr="0028214E">
        <w:rPr>
          <w:rFonts w:eastAsiaTheme="minorHAnsi" w:cs="Verdana"/>
          <w:noProof w:val="0"/>
          <w:sz w:val="16"/>
          <w:szCs w:val="16"/>
          <w:lang w:val="es-ES"/>
        </w:rPr>
        <w:t>5.    Nada de lo dispuesto en este Protocolo se interpretará como una restricción de la libertad de los particulares y entidades para establecer y dirigir instituciones de enseñanza, de acuerdo con la legislación interna de los Estados partes</w:t>
      </w:r>
      <w:r>
        <w:rPr>
          <w:rFonts w:eastAsiaTheme="minorHAnsi" w:cs="Verdana"/>
          <w:noProof w:val="0"/>
          <w:sz w:val="16"/>
          <w:szCs w:val="16"/>
          <w:lang w:val="es-ES"/>
        </w:rPr>
        <w:t>”</w:t>
      </w:r>
      <w:r w:rsidRPr="0028214E">
        <w:rPr>
          <w:rFonts w:eastAsiaTheme="minorHAnsi" w:cs="Verdana"/>
          <w:noProof w:val="0"/>
          <w:sz w:val="16"/>
          <w:szCs w:val="16"/>
          <w:lang w:val="es-ES"/>
        </w:rPr>
        <w:t>.</w:t>
      </w:r>
    </w:p>
  </w:footnote>
  <w:footnote w:id="5">
    <w:p w14:paraId="3537A587" w14:textId="0F0BB551" w:rsidR="0047653D" w:rsidRPr="0028214E" w:rsidRDefault="0047653D" w:rsidP="0028214E">
      <w:pPr>
        <w:pStyle w:val="Textonotapie"/>
        <w:spacing w:before="0"/>
        <w:rPr>
          <w:szCs w:val="16"/>
          <w:lang w:val="es-ES"/>
        </w:rPr>
      </w:pPr>
      <w:r w:rsidRPr="0028214E">
        <w:rPr>
          <w:rStyle w:val="Refdenotaalpie"/>
          <w:szCs w:val="16"/>
        </w:rPr>
        <w:footnoteRef/>
      </w:r>
      <w:r w:rsidRPr="0028214E">
        <w:rPr>
          <w:szCs w:val="16"/>
        </w:rPr>
        <w:t xml:space="preserve"> </w:t>
      </w:r>
      <w:r w:rsidRPr="0028214E">
        <w:rPr>
          <w:szCs w:val="16"/>
          <w:lang w:val="es-ES"/>
        </w:rPr>
        <w:tab/>
        <w:t xml:space="preserve">Comité </w:t>
      </w:r>
      <w:r w:rsidR="006649C9">
        <w:rPr>
          <w:szCs w:val="16"/>
          <w:lang w:val="es-ES"/>
        </w:rPr>
        <w:t xml:space="preserve">de </w:t>
      </w:r>
      <w:r w:rsidRPr="0028214E">
        <w:rPr>
          <w:szCs w:val="16"/>
          <w:lang w:val="es-ES"/>
        </w:rPr>
        <w:t>D</w:t>
      </w:r>
      <w:r w:rsidR="006649C9">
        <w:rPr>
          <w:szCs w:val="16"/>
          <w:lang w:val="es-ES"/>
        </w:rPr>
        <w:t>erechos Económicos, Sociales y Culturales de Naciones Unidas.</w:t>
      </w:r>
      <w:r w:rsidRPr="0028214E">
        <w:rPr>
          <w:szCs w:val="16"/>
          <w:lang w:val="es-ES"/>
        </w:rPr>
        <w:t xml:space="preserve"> Observación General </w:t>
      </w:r>
      <w:r w:rsidR="006649C9">
        <w:rPr>
          <w:szCs w:val="16"/>
          <w:lang w:val="es-ES"/>
        </w:rPr>
        <w:t xml:space="preserve">No. </w:t>
      </w:r>
      <w:r w:rsidRPr="0028214E">
        <w:rPr>
          <w:szCs w:val="16"/>
          <w:lang w:val="es-ES"/>
        </w:rPr>
        <w:t xml:space="preserve">20, </w:t>
      </w:r>
      <w:r w:rsidR="006649C9">
        <w:rPr>
          <w:szCs w:val="16"/>
          <w:lang w:val="es-ES"/>
        </w:rPr>
        <w:t>E</w:t>
      </w:r>
      <w:r w:rsidRPr="0028214E">
        <w:rPr>
          <w:szCs w:val="16"/>
          <w:lang w:val="es-ES"/>
        </w:rPr>
        <w:t>/</w:t>
      </w:r>
      <w:r w:rsidR="006649C9">
        <w:rPr>
          <w:szCs w:val="16"/>
          <w:lang w:val="es-ES"/>
        </w:rPr>
        <w:t>C</w:t>
      </w:r>
      <w:r w:rsidRPr="0028214E">
        <w:rPr>
          <w:szCs w:val="16"/>
          <w:lang w:val="es-ES"/>
        </w:rPr>
        <w:t xml:space="preserve">.12/GC/20 </w:t>
      </w:r>
      <w:r w:rsidR="006649C9">
        <w:rPr>
          <w:szCs w:val="16"/>
          <w:lang w:val="es-ES"/>
        </w:rPr>
        <w:t xml:space="preserve">de </w:t>
      </w:r>
      <w:r w:rsidRPr="0028214E">
        <w:rPr>
          <w:szCs w:val="16"/>
          <w:lang w:val="es-ES"/>
        </w:rPr>
        <w:t>2 de julio de 2009, párr</w:t>
      </w:r>
      <w:r w:rsidR="006649C9">
        <w:rPr>
          <w:szCs w:val="16"/>
          <w:lang w:val="es-ES"/>
        </w:rPr>
        <w:t>.</w:t>
      </w:r>
      <w:r w:rsidRPr="0028214E">
        <w:rPr>
          <w:szCs w:val="16"/>
          <w:lang w:val="es-ES"/>
        </w:rPr>
        <w:t xml:space="preserve"> 17</w:t>
      </w:r>
      <w:r w:rsidR="006649C9">
        <w:rPr>
          <w:szCs w:val="16"/>
          <w:lang w:val="es-ES"/>
        </w:rPr>
        <w:t>.</w:t>
      </w:r>
    </w:p>
  </w:footnote>
  <w:footnote w:id="6">
    <w:p w14:paraId="32D60CC7" w14:textId="10A7486E" w:rsidR="0047653D" w:rsidRPr="0028214E" w:rsidRDefault="0047653D" w:rsidP="0028214E">
      <w:pPr>
        <w:pStyle w:val="Textonotapie"/>
        <w:rPr>
          <w:szCs w:val="16"/>
        </w:rPr>
      </w:pPr>
      <w:r w:rsidRPr="0028214E">
        <w:rPr>
          <w:rStyle w:val="Refdenotaalpie"/>
          <w:szCs w:val="16"/>
        </w:rPr>
        <w:footnoteRef/>
      </w:r>
      <w:r w:rsidRPr="0028214E">
        <w:rPr>
          <w:szCs w:val="16"/>
        </w:rPr>
        <w:t xml:space="preserve"> </w:t>
      </w:r>
      <w:r w:rsidRPr="0028214E">
        <w:rPr>
          <w:szCs w:val="16"/>
        </w:rPr>
        <w:tab/>
        <w:t xml:space="preserve">Convención Interamericana sobre la Protección de los Derechos Humanos de las Personas Mayores, </w:t>
      </w:r>
      <w:r>
        <w:rPr>
          <w:szCs w:val="16"/>
        </w:rPr>
        <w:t xml:space="preserve">aprobada por la Asamblea General de la OEA el 15 de junio de 2015, </w:t>
      </w:r>
      <w:r w:rsidRPr="0028214E">
        <w:rPr>
          <w:szCs w:val="16"/>
        </w:rPr>
        <w:t xml:space="preserve">artículo 2. </w:t>
      </w:r>
    </w:p>
  </w:footnote>
  <w:footnote w:id="7">
    <w:p w14:paraId="58B4F4E0" w14:textId="4F37937B" w:rsidR="0047653D" w:rsidRPr="003C3BE1" w:rsidRDefault="0047653D" w:rsidP="0028214E">
      <w:pPr>
        <w:pStyle w:val="Textonotapie"/>
        <w:rPr>
          <w:szCs w:val="16"/>
          <w:lang w:val="en-US"/>
        </w:rPr>
      </w:pPr>
      <w:r w:rsidRPr="0028214E">
        <w:rPr>
          <w:rStyle w:val="Refdenotaalpie"/>
          <w:szCs w:val="16"/>
        </w:rPr>
        <w:footnoteRef/>
      </w:r>
      <w:r w:rsidRPr="0028214E">
        <w:rPr>
          <w:szCs w:val="16"/>
        </w:rPr>
        <w:t xml:space="preserve"> </w:t>
      </w:r>
      <w:r w:rsidRPr="0028214E">
        <w:rPr>
          <w:szCs w:val="16"/>
        </w:rPr>
        <w:tab/>
        <w:t>Para un mayor desarrollo doctrinal sobre el tema,</w:t>
      </w:r>
      <w:r w:rsidR="00D96241">
        <w:rPr>
          <w:szCs w:val="16"/>
        </w:rPr>
        <w:t xml:space="preserve"> ver</w:t>
      </w:r>
      <w:r w:rsidRPr="0028214E">
        <w:rPr>
          <w:szCs w:val="16"/>
        </w:rPr>
        <w:t xml:space="preserve"> Aylward, Carol, “Intersectionality: Crossing the Theoretical and Praxis Divide”, </w:t>
      </w:r>
      <w:r w:rsidRPr="0028214E">
        <w:rPr>
          <w:i/>
          <w:szCs w:val="16"/>
        </w:rPr>
        <w:t>Journal of Critical Race Inquiry</w:t>
      </w:r>
      <w:r w:rsidRPr="0028214E">
        <w:rPr>
          <w:szCs w:val="16"/>
        </w:rPr>
        <w:t>, Vol 1, No 1</w:t>
      </w:r>
      <w:r>
        <w:rPr>
          <w:szCs w:val="16"/>
        </w:rPr>
        <w:t xml:space="preserve">; </w:t>
      </w:r>
      <w:r w:rsidRPr="0028214E">
        <w:rPr>
          <w:szCs w:val="16"/>
        </w:rPr>
        <w:t>y Góngora Mera, Manuel Eduardo, “Derecho a la salud y discriminación interseccional: Una perspectiva judicial de experiencias latin</w:t>
      </w:r>
      <w:r>
        <w:rPr>
          <w:szCs w:val="16"/>
        </w:rPr>
        <w:t>oamericanas,” en Clérico, Laura, Ronconi, Liliana, y</w:t>
      </w:r>
      <w:r w:rsidRPr="0028214E">
        <w:rPr>
          <w:szCs w:val="16"/>
        </w:rPr>
        <w:t xml:space="preserve"> Aldao, Martín (eds.): </w:t>
      </w:r>
      <w:r w:rsidRPr="0028214E">
        <w:rPr>
          <w:i/>
          <w:szCs w:val="16"/>
        </w:rPr>
        <w:t>Tratado de Derecho a la Salud</w:t>
      </w:r>
      <w:r>
        <w:rPr>
          <w:szCs w:val="16"/>
        </w:rPr>
        <w:t>, Buenos Aires,</w:t>
      </w:r>
      <w:r w:rsidRPr="0028214E">
        <w:rPr>
          <w:szCs w:val="16"/>
        </w:rPr>
        <w:t xml:space="preserve"> Abeledo Perrot, 2013, </w:t>
      </w:r>
      <w:r w:rsidR="00D96241" w:rsidRPr="0028214E">
        <w:rPr>
          <w:szCs w:val="16"/>
        </w:rPr>
        <w:t>p</w:t>
      </w:r>
      <w:r w:rsidR="00D96241">
        <w:rPr>
          <w:szCs w:val="16"/>
        </w:rPr>
        <w:t>ágs</w:t>
      </w:r>
      <w:r w:rsidRPr="0028214E">
        <w:rPr>
          <w:szCs w:val="16"/>
        </w:rPr>
        <w:t xml:space="preserve">. </w:t>
      </w:r>
      <w:r w:rsidRPr="003C3BE1">
        <w:rPr>
          <w:szCs w:val="16"/>
          <w:lang w:val="en-US"/>
        </w:rPr>
        <w:t>133-159.</w:t>
      </w:r>
    </w:p>
  </w:footnote>
  <w:footnote w:id="8">
    <w:p w14:paraId="31231343" w14:textId="68B2E35F" w:rsidR="0047653D" w:rsidRPr="00C1563B" w:rsidRDefault="0047653D" w:rsidP="0028214E">
      <w:pPr>
        <w:spacing w:after="120"/>
        <w:rPr>
          <w:kern w:val="2"/>
          <w:sz w:val="16"/>
          <w:szCs w:val="16"/>
          <w:lang w:val="es-ES"/>
        </w:rPr>
      </w:pPr>
      <w:r w:rsidRPr="0028214E">
        <w:rPr>
          <w:rStyle w:val="Refdenotaalpie"/>
          <w:sz w:val="16"/>
          <w:szCs w:val="16"/>
        </w:rPr>
        <w:footnoteRef/>
      </w:r>
      <w:r w:rsidRPr="007963C2">
        <w:rPr>
          <w:sz w:val="16"/>
          <w:szCs w:val="16"/>
          <w:lang w:val="en-US"/>
        </w:rPr>
        <w:t xml:space="preserve"> </w:t>
      </w:r>
      <w:r w:rsidRPr="007963C2">
        <w:rPr>
          <w:sz w:val="16"/>
          <w:szCs w:val="16"/>
          <w:lang w:val="en-US"/>
        </w:rPr>
        <w:tab/>
      </w:r>
      <w:r w:rsidR="00F031A3" w:rsidRPr="007963C2">
        <w:rPr>
          <w:sz w:val="16"/>
          <w:szCs w:val="16"/>
          <w:lang w:val="en-US"/>
        </w:rPr>
        <w:t>Asamblea General de Naciones Unidas.</w:t>
      </w:r>
      <w:r w:rsidRPr="007963C2">
        <w:rPr>
          <w:kern w:val="2"/>
          <w:sz w:val="16"/>
          <w:szCs w:val="16"/>
          <w:lang w:val="en-US"/>
        </w:rPr>
        <w:t xml:space="preserve"> </w:t>
      </w:r>
      <w:r w:rsidRPr="00F031A3">
        <w:rPr>
          <w:kern w:val="2"/>
          <w:sz w:val="16"/>
          <w:szCs w:val="16"/>
          <w:lang w:val="en-US"/>
        </w:rPr>
        <w:t xml:space="preserve">World Conference </w:t>
      </w:r>
      <w:r w:rsidR="00F031A3">
        <w:rPr>
          <w:kern w:val="2"/>
          <w:sz w:val="16"/>
          <w:szCs w:val="16"/>
          <w:lang w:val="en-US"/>
        </w:rPr>
        <w:t>A</w:t>
      </w:r>
      <w:r w:rsidRPr="00F031A3">
        <w:rPr>
          <w:kern w:val="2"/>
          <w:sz w:val="16"/>
          <w:szCs w:val="16"/>
          <w:lang w:val="en-US"/>
        </w:rPr>
        <w:t xml:space="preserve">gainst </w:t>
      </w:r>
      <w:r w:rsidR="00F031A3">
        <w:rPr>
          <w:kern w:val="2"/>
          <w:sz w:val="16"/>
          <w:szCs w:val="16"/>
          <w:lang w:val="en-US"/>
        </w:rPr>
        <w:t>R</w:t>
      </w:r>
      <w:r w:rsidRPr="00F031A3">
        <w:rPr>
          <w:kern w:val="2"/>
          <w:sz w:val="16"/>
          <w:szCs w:val="16"/>
          <w:lang w:val="en-US"/>
        </w:rPr>
        <w:t xml:space="preserve">acism, </w:t>
      </w:r>
      <w:r w:rsidR="00F031A3">
        <w:rPr>
          <w:kern w:val="2"/>
          <w:sz w:val="16"/>
          <w:szCs w:val="16"/>
          <w:lang w:val="fr-CH"/>
        </w:rPr>
        <w:t>R</w:t>
      </w:r>
      <w:r w:rsidRPr="00F031A3">
        <w:rPr>
          <w:kern w:val="2"/>
          <w:sz w:val="16"/>
          <w:szCs w:val="16"/>
          <w:lang w:val="fr-CH"/>
        </w:rPr>
        <w:t xml:space="preserve">acial </w:t>
      </w:r>
      <w:r w:rsidR="00F031A3">
        <w:rPr>
          <w:kern w:val="2"/>
          <w:sz w:val="16"/>
          <w:szCs w:val="16"/>
          <w:lang w:val="fr-CH"/>
        </w:rPr>
        <w:t>D</w:t>
      </w:r>
      <w:r w:rsidRPr="00F031A3">
        <w:rPr>
          <w:kern w:val="2"/>
          <w:sz w:val="16"/>
          <w:szCs w:val="16"/>
          <w:lang w:val="fr-CH"/>
        </w:rPr>
        <w:t xml:space="preserve">iscrimination, </w:t>
      </w:r>
      <w:r w:rsidR="00F031A3">
        <w:rPr>
          <w:kern w:val="2"/>
          <w:sz w:val="16"/>
          <w:szCs w:val="16"/>
          <w:lang w:val="fr-CH"/>
        </w:rPr>
        <w:t>X</w:t>
      </w:r>
      <w:r w:rsidRPr="00F031A3">
        <w:rPr>
          <w:kern w:val="2"/>
          <w:sz w:val="16"/>
          <w:szCs w:val="16"/>
          <w:lang w:val="fr-CH"/>
        </w:rPr>
        <w:t xml:space="preserve">enophobia </w:t>
      </w:r>
      <w:r w:rsidRPr="00F031A3">
        <w:rPr>
          <w:kern w:val="2"/>
          <w:sz w:val="16"/>
          <w:szCs w:val="16"/>
          <w:lang w:val="en-US"/>
        </w:rPr>
        <w:t xml:space="preserve">and </w:t>
      </w:r>
      <w:r w:rsidR="00F031A3">
        <w:rPr>
          <w:kern w:val="2"/>
          <w:sz w:val="16"/>
          <w:szCs w:val="16"/>
          <w:lang w:val="en-US"/>
        </w:rPr>
        <w:t>R</w:t>
      </w:r>
      <w:r w:rsidRPr="00F031A3">
        <w:rPr>
          <w:kern w:val="2"/>
          <w:sz w:val="16"/>
          <w:szCs w:val="16"/>
          <w:lang w:val="en-US"/>
        </w:rPr>
        <w:t xml:space="preserve">elated </w:t>
      </w:r>
      <w:r w:rsidR="00F031A3">
        <w:rPr>
          <w:kern w:val="2"/>
          <w:sz w:val="16"/>
          <w:szCs w:val="16"/>
          <w:lang w:val="en-US"/>
        </w:rPr>
        <w:t>I</w:t>
      </w:r>
      <w:r w:rsidRPr="00F031A3">
        <w:rPr>
          <w:kern w:val="2"/>
          <w:sz w:val="16"/>
          <w:szCs w:val="16"/>
          <w:lang w:val="en-US"/>
        </w:rPr>
        <w:t xml:space="preserve">ntolerance. </w:t>
      </w:r>
      <w:r w:rsidRPr="00F031A3">
        <w:rPr>
          <w:sz w:val="16"/>
          <w:szCs w:val="16"/>
          <w:lang w:val="en-US"/>
        </w:rPr>
        <w:t xml:space="preserve">“The idea of </w:t>
      </w:r>
      <w:r w:rsidR="00F031A3">
        <w:rPr>
          <w:sz w:val="16"/>
          <w:szCs w:val="16"/>
          <w:lang w:val="en-US"/>
        </w:rPr>
        <w:t>‘</w:t>
      </w:r>
      <w:r w:rsidRPr="00F031A3">
        <w:rPr>
          <w:sz w:val="16"/>
          <w:szCs w:val="16"/>
          <w:lang w:val="en-US"/>
        </w:rPr>
        <w:t>intersectionality</w:t>
      </w:r>
      <w:r w:rsidR="00F031A3">
        <w:rPr>
          <w:sz w:val="16"/>
          <w:szCs w:val="16"/>
          <w:lang w:val="en-US"/>
        </w:rPr>
        <w:t>’</w:t>
      </w:r>
      <w:r w:rsidRPr="00F031A3">
        <w:rPr>
          <w:sz w:val="16"/>
          <w:szCs w:val="16"/>
          <w:lang w:val="en-US"/>
        </w:rPr>
        <w:t xml:space="preserve"> seeks to capture both the structural and dynamic consequences of the interaction between two or more forms of discrimination or systems of subordination”. “Whatever the type of intersectional discrimination, the consequence is that different forms of discrimination are more often than not experienced simultaneously by marginalized women”. </w:t>
      </w:r>
      <w:r w:rsidRPr="003C3BE1">
        <w:rPr>
          <w:sz w:val="16"/>
          <w:szCs w:val="16"/>
          <w:lang w:val="en-US"/>
        </w:rPr>
        <w:t xml:space="preserve"> </w:t>
      </w:r>
      <w:r w:rsidRPr="00F031A3">
        <w:rPr>
          <w:sz w:val="16"/>
          <w:szCs w:val="16"/>
          <w:lang w:val="es-ES"/>
        </w:rPr>
        <w:t>A/CONF.189/PC.3/5</w:t>
      </w:r>
      <w:r w:rsidR="00F031A3">
        <w:rPr>
          <w:sz w:val="16"/>
          <w:szCs w:val="16"/>
          <w:lang w:val="es-ES"/>
        </w:rPr>
        <w:t xml:space="preserve"> de 27 de julio de 2001,</w:t>
      </w:r>
      <w:r w:rsidRPr="00F031A3">
        <w:rPr>
          <w:sz w:val="16"/>
          <w:szCs w:val="16"/>
          <w:lang w:val="es-ES"/>
        </w:rPr>
        <w:t xml:space="preserve"> párrs. 23 y 32. Al respecto, el Comité de la CEDAW ha reconocido que la discriminación contra la mujer basada en el sexo y el género está indisolublemente vinculada a otros factores que afectan a la mujer, como la raza, el origen étnico, la religión o las creencias, la salud, la condición jurídica y social, la edad, la clase, la casta, la orientación sexual y la identidad de género. Comité para la Eliminación de la Discriminación contra la Mujer</w:t>
      </w:r>
      <w:r w:rsidR="00F031A3">
        <w:rPr>
          <w:sz w:val="16"/>
          <w:szCs w:val="16"/>
          <w:lang w:val="es-ES"/>
        </w:rPr>
        <w:t xml:space="preserve"> de Naciones Unidas.</w:t>
      </w:r>
      <w:r w:rsidRPr="00F031A3">
        <w:rPr>
          <w:sz w:val="16"/>
          <w:szCs w:val="16"/>
          <w:lang w:val="es-ES"/>
        </w:rPr>
        <w:t xml:space="preserve"> Dictamen </w:t>
      </w:r>
      <w:r w:rsidRPr="00F031A3">
        <w:rPr>
          <w:i/>
          <w:sz w:val="16"/>
          <w:szCs w:val="16"/>
          <w:lang w:val="es-ES"/>
        </w:rPr>
        <w:t xml:space="preserve">Comunicación Nro. 17/2008, Alyne da Silva Pimentel Teixeira </w:t>
      </w:r>
      <w:r w:rsidR="00F031A3">
        <w:rPr>
          <w:i/>
          <w:sz w:val="16"/>
          <w:szCs w:val="16"/>
          <w:lang w:val="es-ES"/>
        </w:rPr>
        <w:t>Vs</w:t>
      </w:r>
      <w:r w:rsidRPr="00F031A3">
        <w:rPr>
          <w:i/>
          <w:sz w:val="16"/>
          <w:szCs w:val="16"/>
          <w:lang w:val="es-ES"/>
        </w:rPr>
        <w:t>. Brasil</w:t>
      </w:r>
      <w:r w:rsidR="00F031A3">
        <w:rPr>
          <w:sz w:val="16"/>
          <w:szCs w:val="16"/>
          <w:lang w:val="es-ES"/>
        </w:rPr>
        <w:t>.</w:t>
      </w:r>
      <w:r w:rsidRPr="00F031A3">
        <w:rPr>
          <w:sz w:val="16"/>
          <w:szCs w:val="16"/>
          <w:lang w:val="es-ES"/>
        </w:rPr>
        <w:t xml:space="preserve"> CEDAW</w:t>
      </w:r>
      <w:r w:rsidR="00E770AB">
        <w:rPr>
          <w:sz w:val="16"/>
          <w:szCs w:val="16"/>
          <w:lang w:val="es-ES"/>
        </w:rPr>
        <w:t>/</w:t>
      </w:r>
      <w:r w:rsidRPr="00F031A3">
        <w:rPr>
          <w:sz w:val="16"/>
          <w:szCs w:val="16"/>
          <w:lang w:val="es-ES"/>
        </w:rPr>
        <w:t>C</w:t>
      </w:r>
      <w:r w:rsidR="00E770AB">
        <w:rPr>
          <w:sz w:val="16"/>
          <w:szCs w:val="16"/>
          <w:lang w:val="es-ES"/>
        </w:rPr>
        <w:t>/</w:t>
      </w:r>
      <w:r w:rsidRPr="00F031A3">
        <w:rPr>
          <w:sz w:val="16"/>
          <w:szCs w:val="16"/>
          <w:lang w:val="es-ES"/>
        </w:rPr>
        <w:t>49</w:t>
      </w:r>
      <w:r w:rsidR="00E770AB">
        <w:rPr>
          <w:sz w:val="16"/>
          <w:szCs w:val="16"/>
          <w:lang w:val="es-ES"/>
        </w:rPr>
        <w:t>/</w:t>
      </w:r>
      <w:r w:rsidRPr="00F031A3">
        <w:rPr>
          <w:sz w:val="16"/>
          <w:szCs w:val="16"/>
          <w:lang w:val="es-ES"/>
        </w:rPr>
        <w:t>D</w:t>
      </w:r>
      <w:r w:rsidR="00E770AB">
        <w:rPr>
          <w:sz w:val="16"/>
          <w:szCs w:val="16"/>
          <w:lang w:val="es-ES"/>
        </w:rPr>
        <w:t>/</w:t>
      </w:r>
      <w:r w:rsidRPr="00F031A3">
        <w:rPr>
          <w:sz w:val="16"/>
          <w:szCs w:val="16"/>
          <w:lang w:val="es-ES"/>
        </w:rPr>
        <w:t>17</w:t>
      </w:r>
      <w:r w:rsidR="00E770AB">
        <w:rPr>
          <w:sz w:val="16"/>
          <w:szCs w:val="16"/>
          <w:lang w:val="es-ES"/>
        </w:rPr>
        <w:t>/</w:t>
      </w:r>
      <w:r w:rsidRPr="00F031A3">
        <w:rPr>
          <w:sz w:val="16"/>
          <w:szCs w:val="16"/>
          <w:lang w:val="es-ES"/>
        </w:rPr>
        <w:t>2008</w:t>
      </w:r>
      <w:r w:rsidR="00E770AB">
        <w:rPr>
          <w:sz w:val="16"/>
          <w:szCs w:val="16"/>
          <w:lang w:val="es-ES"/>
        </w:rPr>
        <w:t xml:space="preserve"> de 27 de septiembre de 2011</w:t>
      </w:r>
      <w:r w:rsidRPr="00F031A3">
        <w:rPr>
          <w:sz w:val="16"/>
          <w:szCs w:val="16"/>
          <w:lang w:val="es-ES"/>
        </w:rPr>
        <w:t>, párr. 7.7</w:t>
      </w:r>
      <w:r w:rsidRPr="00C1563B">
        <w:rPr>
          <w:sz w:val="16"/>
          <w:szCs w:val="16"/>
          <w:lang w:val="es-ES"/>
        </w:rPr>
        <w:t xml:space="preserve">. </w:t>
      </w:r>
    </w:p>
  </w:footnote>
  <w:footnote w:id="9">
    <w:p w14:paraId="29A6BBAC" w14:textId="1D9A018F" w:rsidR="0047653D" w:rsidRPr="00C1563B" w:rsidRDefault="0047653D">
      <w:pPr>
        <w:pStyle w:val="Textonotapie"/>
        <w:rPr>
          <w:szCs w:val="16"/>
          <w:lang w:val="es-CO"/>
        </w:rPr>
      </w:pPr>
      <w:r w:rsidRPr="00C1563B">
        <w:rPr>
          <w:rStyle w:val="Refdenotaalpie"/>
          <w:szCs w:val="16"/>
        </w:rPr>
        <w:footnoteRef/>
      </w:r>
      <w:r w:rsidRPr="00C1563B">
        <w:rPr>
          <w:szCs w:val="16"/>
        </w:rPr>
        <w:t xml:space="preserve"> </w:t>
      </w:r>
      <w:r>
        <w:rPr>
          <w:szCs w:val="16"/>
          <w:lang w:val="es-CO"/>
        </w:rPr>
        <w:tab/>
      </w:r>
      <w:r w:rsidR="00E770AB">
        <w:rPr>
          <w:i/>
          <w:szCs w:val="16"/>
          <w:lang w:val="es-CO"/>
        </w:rPr>
        <w:t xml:space="preserve">Cfr. </w:t>
      </w:r>
      <w:r w:rsidRPr="00C51A45">
        <w:rPr>
          <w:rStyle w:val="Textoennegrita"/>
          <w:b w:val="0"/>
          <w:i/>
          <w:szCs w:val="16"/>
          <w:shd w:val="clear" w:color="auto" w:fill="FFFFFF"/>
        </w:rPr>
        <w:t>Caso Suárez Peralta Vs. Ecuador. Excepciones Preliminares, Fondo, Reparaciones y Costas</w:t>
      </w:r>
      <w:r w:rsidRPr="00C51A45">
        <w:rPr>
          <w:rStyle w:val="Textoennegrita"/>
          <w:b w:val="0"/>
          <w:szCs w:val="16"/>
          <w:shd w:val="clear" w:color="auto" w:fill="FFFFFF"/>
        </w:rPr>
        <w:t>. Sentencia de 21 de mayo de 2013. Serie C No. 261</w:t>
      </w:r>
      <w:r>
        <w:rPr>
          <w:rStyle w:val="Textoennegrita"/>
          <w:b w:val="0"/>
          <w:szCs w:val="16"/>
          <w:shd w:val="clear" w:color="auto" w:fill="FFFFFF"/>
        </w:rPr>
        <w:t>.</w:t>
      </w:r>
    </w:p>
  </w:footnote>
  <w:footnote w:id="10">
    <w:p w14:paraId="7C7A7026" w14:textId="3D28D87C" w:rsidR="0047653D" w:rsidRDefault="0047653D">
      <w:pPr>
        <w:pStyle w:val="Textonotapie"/>
      </w:pPr>
      <w:r>
        <w:rPr>
          <w:rStyle w:val="Refdenotaalpie"/>
        </w:rPr>
        <w:footnoteRef/>
      </w:r>
      <w:r>
        <w:t xml:space="preserve"> </w:t>
      </w:r>
      <w:r>
        <w:tab/>
      </w:r>
      <w:r w:rsidR="00E770AB">
        <w:rPr>
          <w:i/>
        </w:rPr>
        <w:t xml:space="preserve">Cfr. </w:t>
      </w:r>
      <w:r>
        <w:t>Párrs. 193 a 197 de la Sentencia.</w:t>
      </w:r>
    </w:p>
  </w:footnote>
  <w:footnote w:id="11">
    <w:p w14:paraId="002D6AA1" w14:textId="750CDD69" w:rsidR="0047653D" w:rsidRDefault="0047653D">
      <w:pPr>
        <w:pStyle w:val="Textonotapie"/>
      </w:pPr>
      <w:r>
        <w:rPr>
          <w:rStyle w:val="Refdenotaalpie"/>
        </w:rPr>
        <w:footnoteRef/>
      </w:r>
      <w:r>
        <w:t xml:space="preserve"> </w:t>
      </w:r>
      <w:r>
        <w:tab/>
      </w:r>
      <w:r w:rsidR="00E770AB">
        <w:rPr>
          <w:i/>
        </w:rPr>
        <w:t xml:space="preserve">Cfr. </w:t>
      </w:r>
      <w:r>
        <w:t>Párr. 198 de la Sentencia.</w:t>
      </w:r>
    </w:p>
  </w:footnote>
  <w:footnote w:id="12">
    <w:p w14:paraId="696049AC" w14:textId="0996EE6C" w:rsidR="0047653D" w:rsidRDefault="0047653D">
      <w:pPr>
        <w:pStyle w:val="Textonotapie"/>
      </w:pPr>
      <w:r>
        <w:rPr>
          <w:rStyle w:val="Refdenotaalpie"/>
        </w:rPr>
        <w:footnoteRef/>
      </w:r>
      <w:r>
        <w:t xml:space="preserve"> </w:t>
      </w:r>
      <w:r>
        <w:tab/>
      </w:r>
      <w:r w:rsidR="00E770AB">
        <w:rPr>
          <w:i/>
        </w:rPr>
        <w:t xml:space="preserve">Cfr. </w:t>
      </w:r>
      <w:r>
        <w:t>Párr. 174 de la Sentencia.</w:t>
      </w:r>
    </w:p>
  </w:footnote>
  <w:footnote w:id="13">
    <w:p w14:paraId="2DF74B9D" w14:textId="13B76A30" w:rsidR="0047653D" w:rsidRDefault="0047653D">
      <w:pPr>
        <w:pStyle w:val="Textonotapie"/>
      </w:pPr>
      <w:r>
        <w:rPr>
          <w:rStyle w:val="Refdenotaalpie"/>
        </w:rPr>
        <w:footnoteRef/>
      </w:r>
      <w:r>
        <w:t xml:space="preserve"> </w:t>
      </w:r>
      <w:r>
        <w:tab/>
      </w:r>
      <w:r w:rsidR="00E770AB">
        <w:rPr>
          <w:i/>
        </w:rPr>
        <w:t xml:space="preserve">Cfr. </w:t>
      </w:r>
      <w:r>
        <w:t>Párr</w:t>
      </w:r>
      <w:r w:rsidR="00E770AB">
        <w:t>s</w:t>
      </w:r>
      <w:r>
        <w:t xml:space="preserve">. </w:t>
      </w:r>
      <w:r w:rsidR="00E770AB">
        <w:t xml:space="preserve">198 y </w:t>
      </w:r>
      <w:r>
        <w:t>199 de la Sentencia.</w:t>
      </w:r>
    </w:p>
  </w:footnote>
  <w:footnote w:id="14">
    <w:p w14:paraId="031C9F21" w14:textId="31C9B178" w:rsidR="0047653D" w:rsidRPr="00C1563B" w:rsidRDefault="0047653D" w:rsidP="00581322">
      <w:pPr>
        <w:pStyle w:val="Textonotapie"/>
        <w:spacing w:after="240"/>
        <w:rPr>
          <w:szCs w:val="16"/>
          <w:lang w:val="es-MX"/>
        </w:rPr>
      </w:pPr>
      <w:r w:rsidRPr="00C1563B">
        <w:rPr>
          <w:rStyle w:val="Refdenotaalpie"/>
          <w:szCs w:val="16"/>
        </w:rPr>
        <w:footnoteRef/>
      </w:r>
      <w:r w:rsidRPr="00C1563B">
        <w:rPr>
          <w:szCs w:val="16"/>
        </w:rPr>
        <w:t xml:space="preserve"> </w:t>
      </w:r>
      <w:r w:rsidRPr="00C1563B">
        <w:rPr>
          <w:szCs w:val="16"/>
        </w:rPr>
        <w:tab/>
      </w:r>
      <w:r w:rsidRPr="00C1563B">
        <w:rPr>
          <w:i/>
          <w:szCs w:val="16"/>
        </w:rPr>
        <w:t>Cfr.</w:t>
      </w:r>
      <w:r w:rsidR="00E75A6E" w:rsidRPr="00E75A6E">
        <w:t xml:space="preserve"> </w:t>
      </w:r>
      <w:r w:rsidR="00E75A6E" w:rsidRPr="00E75A6E">
        <w:rPr>
          <w:i/>
          <w:szCs w:val="16"/>
        </w:rPr>
        <w:t xml:space="preserve">Caso Acevedo Buendía y otros  (“Cesantes y Jubilados de la Contraloría”) Vs. Perú. Excepción Preliminar, Fondo, Reparaciones y Costas. </w:t>
      </w:r>
      <w:r w:rsidR="00E75A6E" w:rsidRPr="00E75A6E">
        <w:rPr>
          <w:szCs w:val="16"/>
        </w:rPr>
        <w:t>Senten</w:t>
      </w:r>
      <w:r w:rsidR="00E75A6E">
        <w:rPr>
          <w:szCs w:val="16"/>
        </w:rPr>
        <w:t xml:space="preserve">cia de 1 de julio de 2009. </w:t>
      </w:r>
      <w:r w:rsidR="00E75A6E" w:rsidRPr="00E75A6E">
        <w:rPr>
          <w:szCs w:val="16"/>
        </w:rPr>
        <w:t>Serie C No. 198,</w:t>
      </w:r>
      <w:r w:rsidR="00E75A6E" w:rsidRPr="00E75A6E">
        <w:rPr>
          <w:i/>
          <w:szCs w:val="16"/>
        </w:rPr>
        <w:t xml:space="preserve"> </w:t>
      </w:r>
      <w:r w:rsidRPr="00C1563B">
        <w:rPr>
          <w:i/>
          <w:szCs w:val="16"/>
        </w:rPr>
        <w:t xml:space="preserve"> </w:t>
      </w:r>
      <w:r w:rsidRPr="00C1563B">
        <w:rPr>
          <w:bCs/>
          <w:szCs w:val="16"/>
        </w:rPr>
        <w:t>párr. 16: “</w:t>
      </w:r>
      <w:r w:rsidRPr="00C1563B">
        <w:rPr>
          <w:szCs w:val="16"/>
          <w:lang w:val="es-MX"/>
        </w:rPr>
        <w:t>el Tribunal ha señalado anteriormente que los términos amplios en que está redactada la Convención indican que la Corte ejerce una jurisdicción plena sobre todos sus artículos y disposiciones”, y así decide entrar al fondo del asunto al desestimar la excepción preliminar planteada por el Estado, precisamente sobre la supuesta incompetencia de la Corte IDH respecto del artículo 26 de la Convención Americana.</w:t>
      </w:r>
    </w:p>
  </w:footnote>
  <w:footnote w:id="15">
    <w:p w14:paraId="7C116756" w14:textId="21AA0909" w:rsidR="0047653D" w:rsidRPr="00C1563B" w:rsidRDefault="0047653D">
      <w:pPr>
        <w:pStyle w:val="Textonotapie"/>
        <w:rPr>
          <w:szCs w:val="16"/>
          <w:lang w:val="es-CO"/>
        </w:rPr>
      </w:pPr>
      <w:r w:rsidRPr="00C1563B">
        <w:rPr>
          <w:rStyle w:val="Refdenotaalpie"/>
          <w:szCs w:val="16"/>
        </w:rPr>
        <w:footnoteRef/>
      </w:r>
      <w:r w:rsidRPr="00C1563B">
        <w:rPr>
          <w:szCs w:val="16"/>
        </w:rPr>
        <w:t xml:space="preserve"> </w:t>
      </w:r>
      <w:r w:rsidRPr="00C1563B">
        <w:rPr>
          <w:szCs w:val="16"/>
          <w:lang w:val="es-CO"/>
        </w:rPr>
        <w:tab/>
      </w:r>
      <w:r w:rsidRPr="00AA4BCE">
        <w:rPr>
          <w:szCs w:val="16"/>
          <w:lang w:val="es-CO"/>
        </w:rPr>
        <w:t xml:space="preserve">Voto Conjunto Concurrente de los Jueces Roberto F. Caldas y Eduardo Ferrer Mac-Gregor Poisot. </w:t>
      </w:r>
      <w:r w:rsidRPr="00AA4BCE">
        <w:rPr>
          <w:i/>
          <w:szCs w:val="16"/>
          <w:lang w:val="es-CO"/>
        </w:rPr>
        <w:t>Caso Canales Huapaya y otros Vs. Perú. Excepciones Preliminares, Fondo, Reparaciones y Costas</w:t>
      </w:r>
      <w:r w:rsidR="00CF3D87">
        <w:rPr>
          <w:szCs w:val="16"/>
          <w:lang w:val="es-CO"/>
        </w:rPr>
        <w:t>. Sentencia de</w:t>
      </w:r>
      <w:r>
        <w:rPr>
          <w:szCs w:val="16"/>
          <w:lang w:val="es-CO"/>
        </w:rPr>
        <w:t xml:space="preserve"> 24 de junio de 2015, especialmente párrs. 26 a 29.</w:t>
      </w:r>
      <w:r w:rsidRPr="00AA4BCE">
        <w:rPr>
          <w:szCs w:val="16"/>
          <w:lang w:val="es-CO"/>
        </w:rPr>
        <w:t xml:space="preserve"> </w:t>
      </w:r>
      <w:r w:rsidRPr="00C1563B">
        <w:rPr>
          <w:szCs w:val="16"/>
          <w:lang w:val="es-CO"/>
        </w:rPr>
        <w:t>En dicho voto aludimos a ejemplos relacionados con Protocolos Adicionales al Convenio Europeo de Derechos Humanos y al Pacto Internacional d</w:t>
      </w:r>
      <w:r>
        <w:rPr>
          <w:szCs w:val="16"/>
          <w:lang w:val="es-CO"/>
        </w:rPr>
        <w:t>e Derechos Civiles y Políticos.</w:t>
      </w:r>
    </w:p>
  </w:footnote>
  <w:footnote w:id="16">
    <w:p w14:paraId="42B650D8" w14:textId="5A531C09" w:rsidR="0047653D" w:rsidRPr="008A3082" w:rsidRDefault="0047653D" w:rsidP="001C6F58">
      <w:pPr>
        <w:pStyle w:val="Textonotapie"/>
        <w:rPr>
          <w:szCs w:val="16"/>
          <w:lang w:val="es-CO"/>
        </w:rPr>
      </w:pPr>
      <w:r>
        <w:rPr>
          <w:rStyle w:val="Refdenotaalpie"/>
        </w:rPr>
        <w:footnoteRef/>
      </w:r>
      <w:r>
        <w:t xml:space="preserve"> </w:t>
      </w:r>
      <w:r>
        <w:tab/>
        <w:t xml:space="preserve">Voto Concurrente del Juez Eduardo Ferrer Mac-Gregor Poisot, en el </w:t>
      </w:r>
      <w:r w:rsidRPr="00C054A3">
        <w:rPr>
          <w:i/>
        </w:rPr>
        <w:t>Caso Suárez Peralta Vs. Ecuador</w:t>
      </w:r>
      <w:r>
        <w:t xml:space="preserve">. </w:t>
      </w:r>
      <w:r w:rsidRPr="00C51A45">
        <w:rPr>
          <w:rStyle w:val="Textoennegrita"/>
          <w:b w:val="0"/>
          <w:i/>
          <w:szCs w:val="16"/>
          <w:shd w:val="clear" w:color="auto" w:fill="FFFFFF"/>
        </w:rPr>
        <w:t>Excepciones Preliminares, Fondo, Reparaciones y Costas</w:t>
      </w:r>
      <w:r w:rsidRPr="00C51A45">
        <w:rPr>
          <w:rStyle w:val="Textoennegrita"/>
          <w:b w:val="0"/>
          <w:szCs w:val="16"/>
          <w:shd w:val="clear" w:color="auto" w:fill="FFFFFF"/>
        </w:rPr>
        <w:t>. Sentencia de 21 de mayo de 2013. Serie C No. 261</w:t>
      </w:r>
      <w:r>
        <w:rPr>
          <w:rStyle w:val="Textoennegrita"/>
          <w:b w:val="0"/>
          <w:szCs w:val="16"/>
          <w:shd w:val="clear" w:color="auto" w:fill="FFFFFF"/>
        </w:rPr>
        <w:t>.</w:t>
      </w:r>
    </w:p>
  </w:footnote>
  <w:footnote w:id="17">
    <w:p w14:paraId="67484FF3" w14:textId="5C048407" w:rsidR="0047653D" w:rsidRPr="00C1563B" w:rsidRDefault="0047653D" w:rsidP="00B32635">
      <w:pPr>
        <w:pStyle w:val="Textonotapie"/>
        <w:spacing w:after="240"/>
        <w:rPr>
          <w:szCs w:val="16"/>
          <w:lang w:val="es-MX"/>
        </w:rPr>
      </w:pPr>
      <w:r w:rsidRPr="00C1563B">
        <w:rPr>
          <w:rStyle w:val="Refdenotaalpie"/>
          <w:szCs w:val="16"/>
        </w:rPr>
        <w:footnoteRef/>
      </w:r>
      <w:r w:rsidRPr="00C1563B">
        <w:rPr>
          <w:szCs w:val="16"/>
        </w:rPr>
        <w:t xml:space="preserve"> </w:t>
      </w:r>
      <w:r w:rsidRPr="00C1563B">
        <w:rPr>
          <w:szCs w:val="16"/>
          <w:lang w:val="es-MX"/>
        </w:rPr>
        <w:tab/>
      </w:r>
      <w:r w:rsidRPr="00C1563B">
        <w:rPr>
          <w:i/>
          <w:szCs w:val="16"/>
          <w:lang w:val="es-MX"/>
        </w:rPr>
        <w:t>Cfr. Caso Acevedo Buendía y otros (“Cesantes y Jubilados de la Contraloría”)</w:t>
      </w:r>
      <w:r w:rsidR="00ED2C64">
        <w:rPr>
          <w:i/>
          <w:szCs w:val="16"/>
          <w:lang w:val="es-MX"/>
        </w:rPr>
        <w:t xml:space="preserve"> Vs. Perú</w:t>
      </w:r>
      <w:r w:rsidRPr="00C1563B">
        <w:rPr>
          <w:i/>
          <w:szCs w:val="16"/>
          <w:lang w:val="es-MX"/>
        </w:rPr>
        <w:t xml:space="preserve">, supra, </w:t>
      </w:r>
      <w:r w:rsidRPr="00C1563B">
        <w:rPr>
          <w:szCs w:val="16"/>
          <w:lang w:val="es-MX"/>
        </w:rPr>
        <w:t>párr. 100.</w:t>
      </w:r>
    </w:p>
  </w:footnote>
  <w:footnote w:id="18">
    <w:p w14:paraId="3D850E58" w14:textId="20D56B08" w:rsidR="0047653D" w:rsidRPr="0047653D" w:rsidRDefault="0047653D" w:rsidP="00A466BC">
      <w:pPr>
        <w:tabs>
          <w:tab w:val="left" w:pos="709"/>
          <w:tab w:val="left" w:pos="9356"/>
        </w:tabs>
        <w:spacing w:after="240"/>
        <w:ind w:right="4"/>
        <w:rPr>
          <w:sz w:val="16"/>
          <w:szCs w:val="16"/>
        </w:rPr>
      </w:pPr>
      <w:r w:rsidRPr="0047653D">
        <w:rPr>
          <w:rStyle w:val="Refdenotaalpie"/>
          <w:sz w:val="16"/>
          <w:szCs w:val="16"/>
        </w:rPr>
        <w:footnoteRef/>
      </w:r>
      <w:r w:rsidRPr="0047653D">
        <w:rPr>
          <w:sz w:val="16"/>
          <w:szCs w:val="16"/>
        </w:rPr>
        <w:t xml:space="preserve"> </w:t>
      </w:r>
      <w:r w:rsidRPr="0047653D">
        <w:rPr>
          <w:sz w:val="16"/>
          <w:szCs w:val="16"/>
        </w:rPr>
        <w:tab/>
        <w:t>La interpretación evolutiva del artículo 26 de la Convención Americana también tiene fundamento a la luz de la normativa constitucional y de las prácticas de las altas jurisdicciones nacionales, especialmente para la justiciabilidad del “derecho a la salud”; como tratamos de evidenciar en los párrs. 73 a 87, de</w:t>
      </w:r>
      <w:r w:rsidR="00ED2C64">
        <w:rPr>
          <w:sz w:val="16"/>
          <w:szCs w:val="16"/>
        </w:rPr>
        <w:t>l</w:t>
      </w:r>
      <w:r w:rsidRPr="0047653D">
        <w:rPr>
          <w:sz w:val="16"/>
          <w:szCs w:val="16"/>
        </w:rPr>
        <w:t xml:space="preserve"> </w:t>
      </w:r>
      <w:r w:rsidRPr="0047653D">
        <w:rPr>
          <w:i/>
          <w:sz w:val="16"/>
          <w:szCs w:val="16"/>
        </w:rPr>
        <w:t>Voto Concurrente</w:t>
      </w:r>
      <w:r w:rsidRPr="0047653D">
        <w:rPr>
          <w:sz w:val="16"/>
          <w:szCs w:val="16"/>
        </w:rPr>
        <w:t xml:space="preserve"> en el </w:t>
      </w:r>
      <w:r w:rsidRPr="0047653D">
        <w:rPr>
          <w:i/>
          <w:sz w:val="16"/>
          <w:szCs w:val="16"/>
        </w:rPr>
        <w:t>Caso Suárez Peralta Vs. Ecuador</w:t>
      </w:r>
      <w:r w:rsidRPr="0047653D">
        <w:rPr>
          <w:sz w:val="16"/>
          <w:szCs w:val="16"/>
        </w:rPr>
        <w:t>. Sobre las prácticas judiciales para la protección del derecho a la salud en distintos países del mundo, véase</w:t>
      </w:r>
      <w:r w:rsidRPr="0047653D">
        <w:rPr>
          <w:sz w:val="16"/>
          <w:szCs w:val="16"/>
          <w:lang w:val="es-CR"/>
        </w:rPr>
        <w:t xml:space="preserve"> </w:t>
      </w:r>
      <w:r>
        <w:rPr>
          <w:sz w:val="16"/>
          <w:szCs w:val="16"/>
          <w:lang w:val="es-CR"/>
        </w:rPr>
        <w:t xml:space="preserve">Yamin, </w:t>
      </w:r>
      <w:r w:rsidRPr="0047653D">
        <w:rPr>
          <w:sz w:val="16"/>
          <w:szCs w:val="16"/>
          <w:lang w:val="es-CR"/>
        </w:rPr>
        <w:t>Alicia Ely y Gloppen, Siri (coords.)</w:t>
      </w:r>
      <w:r w:rsidRPr="0047653D">
        <w:rPr>
          <w:i/>
          <w:sz w:val="16"/>
          <w:szCs w:val="16"/>
          <w:lang w:val="es-CR"/>
        </w:rPr>
        <w:t xml:space="preserve"> La lucha por los derechos de la salud. ¿Puede la justicia ser una herramienta de cambio?</w:t>
      </w:r>
      <w:r w:rsidRPr="0047653D">
        <w:rPr>
          <w:sz w:val="16"/>
          <w:szCs w:val="16"/>
          <w:lang w:val="es-CR"/>
        </w:rPr>
        <w:t>, Buenos Aires, Siglo XXI, 2013.</w:t>
      </w:r>
    </w:p>
  </w:footnote>
  <w:footnote w:id="19">
    <w:p w14:paraId="3DF75B59" w14:textId="0D3FABD8" w:rsidR="0047653D" w:rsidRPr="00406600" w:rsidRDefault="0047653D" w:rsidP="00406600">
      <w:pPr>
        <w:rPr>
          <w:sz w:val="16"/>
          <w:szCs w:val="16"/>
        </w:rPr>
      </w:pPr>
      <w:r w:rsidRPr="00EF205E">
        <w:rPr>
          <w:rStyle w:val="Refdenotaalpie"/>
          <w:sz w:val="16"/>
          <w:szCs w:val="16"/>
        </w:rPr>
        <w:footnoteRef/>
      </w:r>
      <w:r w:rsidRPr="00EF205E">
        <w:rPr>
          <w:sz w:val="16"/>
          <w:szCs w:val="16"/>
        </w:rPr>
        <w:t xml:space="preserve"> </w:t>
      </w:r>
      <w:r w:rsidRPr="00EF205E">
        <w:rPr>
          <w:sz w:val="16"/>
          <w:szCs w:val="16"/>
        </w:rPr>
        <w:tab/>
        <w:t>En los párrs. 172 y 173 de la Sentencia que motiva el presente Voto, se remarca “</w:t>
      </w:r>
      <w:r w:rsidRPr="00EF205E">
        <w:rPr>
          <w:sz w:val="16"/>
          <w:szCs w:val="16"/>
          <w:lang w:val="es-ES"/>
        </w:rPr>
        <w:t>la interdependencia e</w:t>
      </w:r>
      <w:r w:rsidRPr="007658F2">
        <w:rPr>
          <w:sz w:val="16"/>
          <w:szCs w:val="16"/>
          <w:lang w:val="es-ES"/>
        </w:rPr>
        <w:t xml:space="preserve"> indivisibilidad existente entre los derechos civiles y políticos y los </w:t>
      </w:r>
      <w:r w:rsidR="0035013D">
        <w:rPr>
          <w:sz w:val="16"/>
          <w:szCs w:val="16"/>
          <w:lang w:val="es-ES"/>
        </w:rPr>
        <w:t xml:space="preserve">derechos </w:t>
      </w:r>
      <w:r w:rsidRPr="007658F2">
        <w:rPr>
          <w:sz w:val="16"/>
          <w:szCs w:val="16"/>
          <w:lang w:val="es-ES"/>
        </w:rPr>
        <w:t>económicos</w:t>
      </w:r>
      <w:r w:rsidR="0035013D">
        <w:rPr>
          <w:sz w:val="16"/>
          <w:szCs w:val="16"/>
          <w:lang w:val="es-ES"/>
        </w:rPr>
        <w:t>,</w:t>
      </w:r>
      <w:r w:rsidRPr="007658F2">
        <w:rPr>
          <w:sz w:val="16"/>
          <w:szCs w:val="16"/>
          <w:lang w:val="es-ES"/>
        </w:rPr>
        <w:t xml:space="preserve"> sociales y culturales, ya que deben ser entendidos integralmente como derechos humanos, sin jerarquía entre sí y exigibles en todos los casos ante aquellas autoridades que resulten competentes para ello</w:t>
      </w:r>
      <w:r>
        <w:rPr>
          <w:sz w:val="16"/>
          <w:szCs w:val="16"/>
          <w:lang w:val="es-ES"/>
        </w:rPr>
        <w:t>”.</w:t>
      </w:r>
      <w:r w:rsidRPr="007658F2">
        <w:rPr>
          <w:sz w:val="16"/>
          <w:szCs w:val="16"/>
          <w:lang w:val="es-ES"/>
        </w:rPr>
        <w:t xml:space="preserve"> </w:t>
      </w:r>
      <w:r>
        <w:rPr>
          <w:sz w:val="16"/>
          <w:szCs w:val="16"/>
          <w:lang w:val="es-ES"/>
        </w:rPr>
        <w:t xml:space="preserve">Asimismo, se recurre a una amplia normatividad relacionada con el derecho a la salud: </w:t>
      </w:r>
      <w:r>
        <w:rPr>
          <w:sz w:val="16"/>
          <w:szCs w:val="16"/>
          <w:lang w:val="es-CR"/>
        </w:rPr>
        <w:t>“</w:t>
      </w:r>
      <w:r w:rsidRPr="007658F2">
        <w:rPr>
          <w:sz w:val="16"/>
          <w:szCs w:val="16"/>
          <w:lang w:val="es-CR"/>
        </w:rPr>
        <w:t xml:space="preserve">la Declaración Americana de los Derechos y Deberes del Hombre establece en su Artículo XI que toda persona tiene el derecho </w:t>
      </w:r>
      <w:r w:rsidR="00ED2C64">
        <w:rPr>
          <w:sz w:val="16"/>
          <w:szCs w:val="16"/>
          <w:lang w:val="es-CR"/>
        </w:rPr>
        <w:t>‘</w:t>
      </w:r>
      <w:r w:rsidRPr="007658F2">
        <w:rPr>
          <w:sz w:val="16"/>
          <w:szCs w:val="16"/>
          <w:lang w:val="es-CR"/>
        </w:rPr>
        <w:t>a que su salud sea preservada por medidas sanitarias y sociales, relativas a […] la asistencia médica, correspondientes al nivel que permitan los recursos públicos y los de la comunidad</w:t>
      </w:r>
      <w:r w:rsidR="00ED2C64">
        <w:rPr>
          <w:sz w:val="16"/>
          <w:szCs w:val="16"/>
          <w:lang w:val="es-CR"/>
        </w:rPr>
        <w:t>’</w:t>
      </w:r>
      <w:r w:rsidRPr="007658F2">
        <w:rPr>
          <w:sz w:val="16"/>
          <w:szCs w:val="16"/>
          <w:lang w:val="es-CR"/>
        </w:rPr>
        <w:t>. Por su parte, el Artículo 45 de la Carta de la OEA requiere que los Estados Miembros “dedi[quen] sus máximos esfuerzos [… para el] [d]esarrollo de una política eficiente de seguridad social</w:t>
      </w:r>
      <w:r w:rsidR="0035013D">
        <w:rPr>
          <w:sz w:val="16"/>
          <w:szCs w:val="16"/>
          <w:lang w:val="es-CR"/>
        </w:rPr>
        <w:t>’</w:t>
      </w:r>
      <w:r w:rsidRPr="007658F2">
        <w:rPr>
          <w:sz w:val="16"/>
          <w:szCs w:val="16"/>
          <w:lang w:val="es-CR"/>
        </w:rPr>
        <w:t xml:space="preserve">. </w:t>
      </w:r>
      <w:r w:rsidRPr="007658F2">
        <w:rPr>
          <w:sz w:val="16"/>
          <w:szCs w:val="16"/>
          <w:lang w:val="es-ES"/>
        </w:rPr>
        <w:t>En este sentido, el artículo 10</w:t>
      </w:r>
      <w:r>
        <w:rPr>
          <w:sz w:val="16"/>
          <w:szCs w:val="16"/>
          <w:lang w:val="es-ES"/>
        </w:rPr>
        <w:t xml:space="preserve"> </w:t>
      </w:r>
      <w:r w:rsidRPr="007658F2">
        <w:rPr>
          <w:sz w:val="16"/>
          <w:szCs w:val="16"/>
          <w:lang w:val="es-ES"/>
        </w:rPr>
        <w:t xml:space="preserve">del Protocolo Adicional </w:t>
      </w:r>
      <w:r w:rsidRPr="007658F2">
        <w:rPr>
          <w:rFonts w:cs="Verdana"/>
          <w:sz w:val="16"/>
          <w:szCs w:val="16"/>
          <w:lang w:val="es-ES"/>
        </w:rPr>
        <w:t>a la Convención Americana</w:t>
      </w:r>
      <w:r w:rsidRPr="007658F2">
        <w:rPr>
          <w:sz w:val="16"/>
          <w:szCs w:val="16"/>
          <w:lang w:val="es-ES"/>
        </w:rPr>
        <w:t xml:space="preserve"> </w:t>
      </w:r>
      <w:r w:rsidRPr="007658F2">
        <w:rPr>
          <w:rFonts w:cs="Verdana"/>
          <w:sz w:val="16"/>
          <w:szCs w:val="16"/>
          <w:lang w:val="es-ES"/>
        </w:rPr>
        <w:t>sobre Derechos Humanos en materia de Derechos Económicos, Sociales y</w:t>
      </w:r>
      <w:r w:rsidRPr="007658F2">
        <w:rPr>
          <w:sz w:val="16"/>
          <w:szCs w:val="16"/>
          <w:lang w:val="es-ES"/>
        </w:rPr>
        <w:t xml:space="preserve"> </w:t>
      </w:r>
      <w:r w:rsidRPr="007658F2">
        <w:rPr>
          <w:rFonts w:cs="Verdana"/>
          <w:sz w:val="16"/>
          <w:szCs w:val="16"/>
          <w:lang w:val="es-ES"/>
        </w:rPr>
        <w:t>Culturales, ratificado por Ecuador el 25 de marzo de 1993, establece que toda persona tiene derecho a la salud, entendida</w:t>
      </w:r>
      <w:r w:rsidRPr="007658F2">
        <w:rPr>
          <w:sz w:val="16"/>
          <w:szCs w:val="16"/>
          <w:lang w:val="es-ES"/>
        </w:rPr>
        <w:t xml:space="preserve"> </w:t>
      </w:r>
      <w:r w:rsidRPr="007658F2">
        <w:rPr>
          <w:rFonts w:cs="Verdana"/>
          <w:sz w:val="16"/>
          <w:szCs w:val="16"/>
          <w:lang w:val="es-ES"/>
        </w:rPr>
        <w:t>como el disfrute del más alto nivel de bienestar físico, mental y social, e</w:t>
      </w:r>
      <w:r w:rsidRPr="007658F2">
        <w:rPr>
          <w:sz w:val="16"/>
          <w:szCs w:val="16"/>
          <w:lang w:val="es-ES"/>
        </w:rPr>
        <w:t xml:space="preserve"> </w:t>
      </w:r>
      <w:r w:rsidRPr="007658F2">
        <w:rPr>
          <w:rFonts w:cs="Verdana"/>
          <w:sz w:val="16"/>
          <w:szCs w:val="16"/>
          <w:lang w:val="es-ES"/>
        </w:rPr>
        <w:t>indica que la salud es un bien público.</w:t>
      </w:r>
      <w:r w:rsidRPr="007658F2">
        <w:rPr>
          <w:sz w:val="16"/>
          <w:szCs w:val="16"/>
          <w:lang w:val="es-ES"/>
        </w:rPr>
        <w:t xml:space="preserve"> Adicionalmente, en julio de 2012, la Asamblea General de la Organización de Estados Americanos enfatizó la calidad de los establecimientos, bienes y servicios de salud, lo cual requiere la </w:t>
      </w:r>
      <w:r w:rsidRPr="00EF205E">
        <w:rPr>
          <w:sz w:val="16"/>
          <w:szCs w:val="16"/>
          <w:lang w:val="es-ES"/>
        </w:rPr>
        <w:t>presencia de personal médico capacitado, así como de condiciones sanitarias adecuadas”</w:t>
      </w:r>
      <w:r w:rsidR="00ED2C64">
        <w:rPr>
          <w:sz w:val="16"/>
          <w:szCs w:val="16"/>
          <w:lang w:val="es-ES"/>
        </w:rPr>
        <w:t>.</w:t>
      </w:r>
      <w:r w:rsidRPr="00EF205E">
        <w:rPr>
          <w:sz w:val="16"/>
          <w:szCs w:val="16"/>
          <w:lang w:val="es-ES"/>
        </w:rPr>
        <w:t xml:space="preserve"> </w:t>
      </w:r>
      <w:r w:rsidR="00ED2C64">
        <w:rPr>
          <w:sz w:val="16"/>
          <w:szCs w:val="16"/>
          <w:lang w:val="es-ES"/>
        </w:rPr>
        <w:t xml:space="preserve">Véase, </w:t>
      </w:r>
      <w:r w:rsidRPr="00EF205E">
        <w:rPr>
          <w:sz w:val="16"/>
          <w:szCs w:val="16"/>
          <w:lang w:val="es-ES"/>
        </w:rPr>
        <w:t>OEA</w:t>
      </w:r>
      <w:r w:rsidR="00ED2C64">
        <w:rPr>
          <w:sz w:val="16"/>
          <w:szCs w:val="16"/>
          <w:lang w:val="es-ES"/>
        </w:rPr>
        <w:t>.</w:t>
      </w:r>
      <w:r w:rsidRPr="00EF205E">
        <w:rPr>
          <w:sz w:val="16"/>
          <w:szCs w:val="16"/>
          <w:lang w:val="es-ES"/>
        </w:rPr>
        <w:t xml:space="preserve"> </w:t>
      </w:r>
      <w:r w:rsidRPr="00EF205E">
        <w:rPr>
          <w:iCs/>
          <w:sz w:val="16"/>
          <w:szCs w:val="16"/>
          <w:lang w:val="es-ES"/>
        </w:rPr>
        <w:t>Indicadores de Progreso para Medición de Derechos Contemplados en el Protocolo de San Salvador</w:t>
      </w:r>
      <w:r w:rsidRPr="00EF205E">
        <w:rPr>
          <w:sz w:val="16"/>
          <w:szCs w:val="16"/>
          <w:lang w:val="es-ES"/>
        </w:rPr>
        <w:t>, OEA/Ser.L/XXV.2.1, Doc 2/11 rev.2</w:t>
      </w:r>
      <w:r w:rsidR="00ED2C64">
        <w:rPr>
          <w:sz w:val="16"/>
          <w:szCs w:val="16"/>
          <w:lang w:val="es-ES"/>
        </w:rPr>
        <w:t xml:space="preserve"> de</w:t>
      </w:r>
      <w:r w:rsidRPr="00EF205E">
        <w:rPr>
          <w:sz w:val="16"/>
          <w:szCs w:val="16"/>
          <w:lang w:val="es-ES"/>
        </w:rPr>
        <w:t xml:space="preserve"> 16 de di</w:t>
      </w:r>
      <w:r>
        <w:rPr>
          <w:sz w:val="16"/>
          <w:szCs w:val="16"/>
          <w:lang w:val="es-ES"/>
        </w:rPr>
        <w:t xml:space="preserve">ciembre de 2011, párrs. 66 y 67. Incluso, en la Sentencia se consideran los elementos esenciales del derecho a la salud, relativos a la </w:t>
      </w:r>
      <w:r w:rsidRPr="00EF205E">
        <w:rPr>
          <w:i/>
          <w:sz w:val="16"/>
          <w:szCs w:val="16"/>
          <w:lang w:val="es-ES"/>
        </w:rPr>
        <w:t>disponibilidad, accesibilidad, aceptabilidad y calidad</w:t>
      </w:r>
      <w:r>
        <w:rPr>
          <w:sz w:val="16"/>
          <w:szCs w:val="16"/>
          <w:lang w:val="es-ES"/>
        </w:rPr>
        <w:t xml:space="preserve">, a que se refiere el Comité </w:t>
      </w:r>
      <w:r w:rsidRPr="00650FAD">
        <w:rPr>
          <w:sz w:val="16"/>
          <w:szCs w:val="16"/>
          <w:lang w:val="es-ES"/>
        </w:rPr>
        <w:t>de</w:t>
      </w:r>
      <w:r>
        <w:rPr>
          <w:sz w:val="16"/>
          <w:szCs w:val="16"/>
          <w:lang w:val="es-ES"/>
        </w:rPr>
        <w:t>l Pacto Internacional de</w:t>
      </w:r>
      <w:r w:rsidRPr="00650FAD">
        <w:rPr>
          <w:sz w:val="16"/>
          <w:szCs w:val="16"/>
          <w:lang w:val="es-ES"/>
        </w:rPr>
        <w:t xml:space="preserve"> Derechos Económicos, Sociales y Culturales de la ONU (</w:t>
      </w:r>
      <w:r w:rsidRPr="00650FAD">
        <w:rPr>
          <w:i/>
          <w:sz w:val="16"/>
          <w:szCs w:val="16"/>
        </w:rPr>
        <w:t>Observación General N. 14</w:t>
      </w:r>
      <w:r w:rsidRPr="00650FAD">
        <w:rPr>
          <w:sz w:val="16"/>
          <w:szCs w:val="16"/>
          <w:lang w:val="es-ES"/>
        </w:rPr>
        <w:t>)</w:t>
      </w:r>
      <w:r>
        <w:rPr>
          <w:sz w:val="16"/>
          <w:szCs w:val="16"/>
          <w:lang w:val="es-ES"/>
        </w:rPr>
        <w:t>, de conformidad con el párr. 173 de la Sentencia que motiva el presente Voto.</w:t>
      </w:r>
    </w:p>
  </w:footnote>
  <w:footnote w:id="20">
    <w:p w14:paraId="7153E741" w14:textId="77777777" w:rsidR="0047653D" w:rsidRPr="00520641" w:rsidRDefault="0047653D" w:rsidP="00C44084">
      <w:pPr>
        <w:pStyle w:val="Textonotapie"/>
        <w:spacing w:after="240"/>
        <w:rPr>
          <w:szCs w:val="16"/>
          <w:lang w:val="es-MX"/>
        </w:rPr>
      </w:pPr>
      <w:r w:rsidRPr="00520641">
        <w:rPr>
          <w:rStyle w:val="Refdenotaalpie"/>
          <w:szCs w:val="16"/>
        </w:rPr>
        <w:footnoteRef/>
      </w:r>
      <w:r w:rsidRPr="00520641">
        <w:rPr>
          <w:szCs w:val="16"/>
        </w:rPr>
        <w:t xml:space="preserve"> </w:t>
      </w:r>
      <w:r w:rsidRPr="00520641">
        <w:rPr>
          <w:szCs w:val="16"/>
          <w:lang w:val="es-MX"/>
        </w:rPr>
        <w:tab/>
        <w:t xml:space="preserve">Al respecto, véase von Bogdandy, Armin, Fix-Fierro, Héctor, Morales Antoniazzi, Mariela y Ferrer Mac-Gregor, Eduardo (coords.), </w:t>
      </w:r>
      <w:r w:rsidRPr="00520641">
        <w:rPr>
          <w:i/>
          <w:szCs w:val="16"/>
          <w:lang w:val="es-MX"/>
        </w:rPr>
        <w:t xml:space="preserve">Construcción y papel de los derechos sociales fundamentales. Hacia </w:t>
      </w:r>
      <w:r w:rsidRPr="00520641">
        <w:rPr>
          <w:szCs w:val="16"/>
          <w:lang w:val="es-MX"/>
        </w:rPr>
        <w:t>un Ius Constitutionale Commune</w:t>
      </w:r>
      <w:r w:rsidRPr="00520641">
        <w:rPr>
          <w:i/>
          <w:szCs w:val="16"/>
          <w:lang w:val="es-MX"/>
        </w:rPr>
        <w:t xml:space="preserve"> en América Latina</w:t>
      </w:r>
      <w:r w:rsidRPr="00520641">
        <w:rPr>
          <w:szCs w:val="16"/>
          <w:lang w:val="es-MX"/>
        </w:rPr>
        <w:t>, México, UNAM-IIJ-Instituto Iberoamericano de Derecho Constitucional-Max-Planck-Institut für ausländisches öffentiliches Recht und Völkerrecht, 2011.</w:t>
      </w:r>
    </w:p>
  </w:footnote>
  <w:footnote w:id="21">
    <w:p w14:paraId="2ABA5A7B" w14:textId="09334CA3" w:rsidR="0047653D" w:rsidRPr="00520641" w:rsidRDefault="0047653D" w:rsidP="00335FC3">
      <w:pPr>
        <w:pStyle w:val="Textonotapie"/>
        <w:tabs>
          <w:tab w:val="left" w:pos="709"/>
          <w:tab w:val="left" w:pos="9356"/>
        </w:tabs>
        <w:spacing w:before="0"/>
        <w:rPr>
          <w:szCs w:val="16"/>
          <w:lang w:val="es-MX"/>
        </w:rPr>
      </w:pPr>
      <w:r w:rsidRPr="00520641">
        <w:rPr>
          <w:rStyle w:val="Refdenotaalpie"/>
          <w:szCs w:val="16"/>
        </w:rPr>
        <w:footnoteRef/>
      </w:r>
      <w:r w:rsidRPr="00520641">
        <w:rPr>
          <w:szCs w:val="16"/>
        </w:rPr>
        <w:t xml:space="preserve"> </w:t>
      </w:r>
      <w:r w:rsidRPr="00520641">
        <w:rPr>
          <w:szCs w:val="16"/>
        </w:rPr>
        <w:tab/>
      </w:r>
      <w:r w:rsidRPr="00520641">
        <w:rPr>
          <w:i/>
          <w:szCs w:val="16"/>
          <w:lang w:val="es-MX"/>
        </w:rPr>
        <w:t>Cfr. Caso Acevedo Buendía y otros (“Cesantes y Jubilados de la Contraloría”)</w:t>
      </w:r>
      <w:r w:rsidR="00ED2C64">
        <w:rPr>
          <w:i/>
          <w:szCs w:val="16"/>
          <w:lang w:val="es-MX"/>
        </w:rPr>
        <w:t xml:space="preserve"> Vs. Perú</w:t>
      </w:r>
      <w:r w:rsidRPr="00520641">
        <w:rPr>
          <w:i/>
          <w:szCs w:val="16"/>
          <w:lang w:val="es-MX"/>
        </w:rPr>
        <w:t>, supra</w:t>
      </w:r>
      <w:r w:rsidRPr="00520641">
        <w:rPr>
          <w:szCs w:val="16"/>
        </w:rPr>
        <w:t>, párrs. 99-103.</w:t>
      </w:r>
    </w:p>
  </w:footnote>
  <w:footnote w:id="22">
    <w:p w14:paraId="5C30032E" w14:textId="5EB02F38" w:rsidR="0047653D" w:rsidRPr="00C1563B" w:rsidRDefault="0047653D">
      <w:pPr>
        <w:pStyle w:val="Textonotapie"/>
        <w:rPr>
          <w:szCs w:val="16"/>
          <w:lang w:val="es-CO"/>
        </w:rPr>
      </w:pPr>
      <w:r w:rsidRPr="00C1563B">
        <w:rPr>
          <w:rStyle w:val="Refdenotaalpie"/>
          <w:szCs w:val="16"/>
        </w:rPr>
        <w:footnoteRef/>
      </w:r>
      <w:r w:rsidRPr="00C1563B">
        <w:rPr>
          <w:szCs w:val="16"/>
        </w:rPr>
        <w:t xml:space="preserve"> </w:t>
      </w:r>
      <w:r w:rsidRPr="00C1563B">
        <w:rPr>
          <w:szCs w:val="16"/>
          <w:lang w:val="es-CO"/>
        </w:rPr>
        <w:tab/>
        <w:t>Protocolo Adicional al P</w:t>
      </w:r>
      <w:r w:rsidR="005D58FC">
        <w:rPr>
          <w:szCs w:val="16"/>
          <w:lang w:val="es-CO"/>
        </w:rPr>
        <w:t>acto Internacional de Derechos Económicos Sociales y Culturales</w:t>
      </w:r>
      <w:r w:rsidRPr="00C1563B">
        <w:rPr>
          <w:szCs w:val="16"/>
          <w:lang w:val="es-CO"/>
        </w:rPr>
        <w:t xml:space="preserve">, suscrito por </w:t>
      </w:r>
      <w:r w:rsidR="005D58FC">
        <w:rPr>
          <w:szCs w:val="16"/>
          <w:lang w:val="es-CO"/>
        </w:rPr>
        <w:t xml:space="preserve">el </w:t>
      </w:r>
      <w:r w:rsidRPr="00C1563B">
        <w:rPr>
          <w:szCs w:val="16"/>
          <w:lang w:val="es-CO"/>
        </w:rPr>
        <w:t xml:space="preserve">Ecuador. </w:t>
      </w:r>
    </w:p>
  </w:footnote>
  <w:footnote w:id="23">
    <w:p w14:paraId="38F6D6C0" w14:textId="77777777" w:rsidR="0047653D" w:rsidRPr="00C1563B" w:rsidRDefault="0047653D" w:rsidP="002E29D2">
      <w:pPr>
        <w:pStyle w:val="Textonotapie"/>
        <w:rPr>
          <w:szCs w:val="16"/>
          <w:lang w:val="es-CO"/>
        </w:rPr>
      </w:pPr>
      <w:r w:rsidRPr="00C1563B">
        <w:rPr>
          <w:rStyle w:val="Refdenotaalpie"/>
          <w:szCs w:val="16"/>
        </w:rPr>
        <w:footnoteRef/>
      </w:r>
      <w:r w:rsidRPr="00C1563B">
        <w:rPr>
          <w:szCs w:val="16"/>
        </w:rPr>
        <w:t xml:space="preserve"> </w:t>
      </w:r>
      <w:r w:rsidRPr="00C1563B">
        <w:rPr>
          <w:szCs w:val="16"/>
          <w:lang w:val="es-CO"/>
        </w:rPr>
        <w:tab/>
        <w:t>Artículo 36. Sistema de peticiones individuales. Cualquier persona o grupo de personas, o entidad no gubernamental legalmente reconocida en uno o más Estados Miembros de la Organización de los Estados Americanos, puede presentar a la Comisión Interamericana de Derechos Humanos peticiones que contengan denuncias o quejas de violación de alguno de los artículos de la presente Convención por un Estado Parte. / Para el desarrollo de lo previsto en el presente artículo se tendrá en cuenta la naturaleza progresiva de la vigencia de los derechos económicos, sociales y culturales objeto de protección por la presente Convención. / Asimismo, todo Estado Parte puede, en el momento del depósito de su instrumento de ratificación o de adhesión a la presente Convención, o en cualquier momento posterior, declarar que reconoce la competencia de la Comisión Interamericana de Derechos Humanos para recibir y examinar las comunicaciones en que un Estado Parte alegue que otro Estado Parte ha incurrido en violaciones de los derechos humanos establecidos en la presente Convención. En dicho caso, se aplicarán todas las normas de procedimiento pertinentes contenidas en la Convención Americana sobre Derechos Humanos. / […] Todo Estado Parte puede, en el momento del depósito de su instrumento de ratificación o de adhesión a la presente Convención, o en cualquier momento posterior, declarar que reconoce como obligatoria y de pleno derecho y sin acuerdo especial la competencia de la Corte Interamericana de Derechos Humanos sobre todos los casos relativos a la interpretación o aplicación de la presente Convención. En dicho caso, se aplicarán todas las normas de procedimiento pertinentes contenidas en la Convención Americana sobre Derechos Humanos.</w:t>
      </w:r>
    </w:p>
  </w:footnote>
  <w:footnote w:id="24">
    <w:p w14:paraId="709951D3" w14:textId="28106890" w:rsidR="0047653D" w:rsidRPr="00FE0871" w:rsidRDefault="0047653D" w:rsidP="00335FC3">
      <w:pPr>
        <w:pStyle w:val="Textonotapie"/>
        <w:spacing w:before="0"/>
        <w:rPr>
          <w:rFonts w:eastAsia="MS Mincho" w:cs="Verdana"/>
          <w:b/>
          <w:bCs/>
          <w:smallCaps/>
          <w:sz w:val="20"/>
        </w:rPr>
      </w:pPr>
      <w:r w:rsidRPr="00C1563B">
        <w:rPr>
          <w:rStyle w:val="Refdenotaalpie"/>
          <w:szCs w:val="16"/>
        </w:rPr>
        <w:footnoteRef/>
      </w:r>
      <w:r w:rsidRPr="00C1563B">
        <w:rPr>
          <w:szCs w:val="16"/>
        </w:rPr>
        <w:t xml:space="preserve"> </w:t>
      </w:r>
      <w:r w:rsidRPr="00C1563B">
        <w:rPr>
          <w:szCs w:val="16"/>
          <w:lang w:val="es-CO"/>
        </w:rPr>
        <w:tab/>
        <w:t xml:space="preserve">Así por ejemplo, en el </w:t>
      </w:r>
      <w:r w:rsidRPr="00C1563B">
        <w:rPr>
          <w:i/>
          <w:szCs w:val="16"/>
          <w:lang w:val="es-CO"/>
        </w:rPr>
        <w:t>Caso del Pueblo Indígena Kichwa de Sarayaku Vs.</w:t>
      </w:r>
      <w:r w:rsidRPr="00C1563B">
        <w:rPr>
          <w:szCs w:val="16"/>
          <w:lang w:val="es-CO"/>
        </w:rPr>
        <w:t xml:space="preserve"> </w:t>
      </w:r>
      <w:r w:rsidRPr="003C3BE1">
        <w:rPr>
          <w:i/>
          <w:szCs w:val="16"/>
          <w:lang w:val="es-CO"/>
        </w:rPr>
        <w:t>Ecuador</w:t>
      </w:r>
      <w:r w:rsidRPr="00C1563B">
        <w:rPr>
          <w:szCs w:val="16"/>
          <w:lang w:val="es-CO"/>
        </w:rPr>
        <w:t xml:space="preserve"> la Corte </w:t>
      </w:r>
      <w:r>
        <w:rPr>
          <w:szCs w:val="16"/>
          <w:lang w:val="es-CO"/>
        </w:rPr>
        <w:t xml:space="preserve">IDH </w:t>
      </w:r>
      <w:r w:rsidRPr="00C1563B">
        <w:rPr>
          <w:szCs w:val="16"/>
          <w:lang w:val="es-CO"/>
        </w:rPr>
        <w:t xml:space="preserve">interpretó el </w:t>
      </w:r>
      <w:r>
        <w:rPr>
          <w:szCs w:val="16"/>
          <w:lang w:val="es-CO"/>
        </w:rPr>
        <w:t>“</w:t>
      </w:r>
      <w:r w:rsidRPr="00C1563B">
        <w:rPr>
          <w:szCs w:val="16"/>
          <w:lang w:val="es-CO"/>
        </w:rPr>
        <w:t>derecho a la consulta previa, libre e informada</w:t>
      </w:r>
      <w:r>
        <w:rPr>
          <w:szCs w:val="16"/>
          <w:lang w:val="es-CO"/>
        </w:rPr>
        <w:t>”</w:t>
      </w:r>
      <w:r w:rsidRPr="00C1563B">
        <w:rPr>
          <w:szCs w:val="16"/>
          <w:lang w:val="es-CO"/>
        </w:rPr>
        <w:t xml:space="preserve"> de las comunidades y pueblos indígenas y tribales en el reconocimiento de los derechos a la cultura propia o identidad cultural, reconocidos en el Convenio 169 de la OIT. En el </w:t>
      </w:r>
      <w:r w:rsidRPr="00C1563B">
        <w:rPr>
          <w:i/>
          <w:szCs w:val="16"/>
          <w:lang w:val="es-CO"/>
        </w:rPr>
        <w:t>Caso Chitay Nech Vs. Guatemala</w:t>
      </w:r>
      <w:r w:rsidRPr="00C1563B">
        <w:rPr>
          <w:szCs w:val="16"/>
          <w:lang w:val="es-CO"/>
        </w:rPr>
        <w:t xml:space="preserve">, la Corte IDH estableció la obligación especial de garantizar el </w:t>
      </w:r>
      <w:r>
        <w:rPr>
          <w:szCs w:val="16"/>
          <w:lang w:val="es-CO"/>
        </w:rPr>
        <w:t>“</w:t>
      </w:r>
      <w:r w:rsidRPr="00C1563B">
        <w:rPr>
          <w:szCs w:val="16"/>
          <w:lang w:val="es-CO"/>
        </w:rPr>
        <w:t>derecho a la vida cultural</w:t>
      </w:r>
      <w:r>
        <w:rPr>
          <w:szCs w:val="16"/>
          <w:lang w:val="es-CO"/>
        </w:rPr>
        <w:t>”</w:t>
      </w:r>
      <w:r w:rsidRPr="00C1563B">
        <w:rPr>
          <w:szCs w:val="16"/>
          <w:lang w:val="es-CO"/>
        </w:rPr>
        <w:t xml:space="preserve"> de los niños indígenas. Además, en el </w:t>
      </w:r>
      <w:r w:rsidRPr="00C1563B">
        <w:rPr>
          <w:i/>
          <w:szCs w:val="16"/>
          <w:lang w:val="es-CO"/>
        </w:rPr>
        <w:t>Caso de la Masacre de las Dos Erres Vs. Guatemala</w:t>
      </w:r>
      <w:r w:rsidRPr="00C1563B">
        <w:rPr>
          <w:szCs w:val="16"/>
          <w:lang w:val="es-CO"/>
        </w:rPr>
        <w:t xml:space="preserve">, para analizar la responsabilidad del Estado respecto de los derechos al nombre (artículo 18), a la familia (artículo 17) y del niño (artículo 19, de la </w:t>
      </w:r>
      <w:r w:rsidR="005D58FC" w:rsidRPr="00C1563B">
        <w:rPr>
          <w:szCs w:val="16"/>
          <w:lang w:val="es-CO"/>
        </w:rPr>
        <w:t>C</w:t>
      </w:r>
      <w:r w:rsidR="005D58FC">
        <w:rPr>
          <w:szCs w:val="16"/>
          <w:lang w:val="es-CO"/>
        </w:rPr>
        <w:t>onvención Americana</w:t>
      </w:r>
      <w:r w:rsidRPr="00C1563B">
        <w:rPr>
          <w:szCs w:val="16"/>
          <w:lang w:val="es-CO"/>
        </w:rPr>
        <w:t xml:space="preserve">), la Corte </w:t>
      </w:r>
      <w:r>
        <w:rPr>
          <w:szCs w:val="16"/>
          <w:lang w:val="es-CO"/>
        </w:rPr>
        <w:t xml:space="preserve">IDH </w:t>
      </w:r>
      <w:r w:rsidRPr="00C1563B">
        <w:rPr>
          <w:szCs w:val="16"/>
          <w:lang w:val="es-CO"/>
        </w:rPr>
        <w:t xml:space="preserve">consideró que el derecho de toda persona a recibir protección contra injerencias arbitrarias o ilegales en su familia forma parte, implícitamente, del derecho a la protección a la familia y del niño. En similar sentido, en el </w:t>
      </w:r>
      <w:r w:rsidRPr="00C1563B">
        <w:rPr>
          <w:i/>
          <w:szCs w:val="16"/>
          <w:lang w:val="es-CO"/>
        </w:rPr>
        <w:t>Caso Gelman Vs. Uruguay</w:t>
      </w:r>
      <w:r w:rsidRPr="00C1563B">
        <w:rPr>
          <w:szCs w:val="16"/>
          <w:lang w:val="es-CO"/>
        </w:rPr>
        <w:t xml:space="preserve">, la Corte </w:t>
      </w:r>
      <w:r>
        <w:rPr>
          <w:szCs w:val="16"/>
          <w:lang w:val="es-CO"/>
        </w:rPr>
        <w:t xml:space="preserve">IDH </w:t>
      </w:r>
      <w:r w:rsidRPr="00C1563B">
        <w:rPr>
          <w:szCs w:val="16"/>
          <w:lang w:val="es-CO"/>
        </w:rPr>
        <w:t xml:space="preserve">desarrolló el denominado </w:t>
      </w:r>
      <w:r>
        <w:rPr>
          <w:szCs w:val="16"/>
          <w:lang w:val="es-CO"/>
        </w:rPr>
        <w:t>“</w:t>
      </w:r>
      <w:r w:rsidRPr="00C1563B">
        <w:rPr>
          <w:szCs w:val="16"/>
          <w:lang w:val="es-CO"/>
        </w:rPr>
        <w:t>derecho a la identidad</w:t>
      </w:r>
      <w:r>
        <w:rPr>
          <w:szCs w:val="16"/>
          <w:lang w:val="es-CO"/>
        </w:rPr>
        <w:t>”</w:t>
      </w:r>
      <w:r w:rsidRPr="00C1563B">
        <w:rPr>
          <w:szCs w:val="16"/>
          <w:lang w:val="es-CO"/>
        </w:rPr>
        <w:t xml:space="preserve"> (el cual no se encuentra expresamente contemplado en la Convención Americana) sobre la base de lo dispuesto en el artículo 8 de la Convención sobre Derechos del Niño, que establece que tal derecho comprende, entre otros, el derecho a la nacionalidad, al nombre y a las relaciones de familia. </w:t>
      </w:r>
      <w:r>
        <w:rPr>
          <w:szCs w:val="16"/>
          <w:lang w:val="es-CO"/>
        </w:rPr>
        <w:t xml:space="preserve">En el </w:t>
      </w:r>
      <w:r w:rsidRPr="00335FC3">
        <w:rPr>
          <w:i/>
          <w:szCs w:val="16"/>
          <w:lang w:val="es-CO"/>
        </w:rPr>
        <w:t>Caso Gomes Lund y Otros (“Guerrilha do Araguaia”) Vs. Brasil</w:t>
      </w:r>
      <w:r>
        <w:rPr>
          <w:szCs w:val="16"/>
          <w:lang w:val="es-CO"/>
        </w:rPr>
        <w:t>, el Tribunal Interamericano declaró violado el “derecho a conocer la verdad” (derecho no previsto de manera autónoma en la Convención Americana)</w:t>
      </w:r>
      <w:r>
        <w:rPr>
          <w:rFonts w:eastAsia="MS Mincho" w:cs="Verdana"/>
          <w:bCs/>
          <w:smallCaps/>
          <w:sz w:val="20"/>
        </w:rPr>
        <w:t xml:space="preserve">. </w:t>
      </w:r>
      <w:r w:rsidRPr="00C1563B">
        <w:rPr>
          <w:szCs w:val="16"/>
          <w:lang w:val="es-CO"/>
        </w:rPr>
        <w:t xml:space="preserve">Por otra parte, en el </w:t>
      </w:r>
      <w:r w:rsidRPr="00C1563B">
        <w:rPr>
          <w:i/>
          <w:szCs w:val="16"/>
          <w:lang w:val="es-CO"/>
        </w:rPr>
        <w:t>Caso Masacres de El Mozote y lugares aledaños Vs. El Salvador</w:t>
      </w:r>
      <w:r w:rsidRPr="00C1563B">
        <w:rPr>
          <w:szCs w:val="16"/>
          <w:lang w:val="es-CO"/>
        </w:rPr>
        <w:t xml:space="preserve">, la Corte complementó su jurisprudencia en relación con el derecho a la propiedad privada contemplado en el artículo 21 de la Convención al referirse a los artículos 13 y 14 del Protocolo II adicional a los Convenios de Ginebra de 1949 relativo a la protección de las víctimas de los conflictos armados sin carácter internacional de 8 de junio de 1977 . Posteriormente, en el </w:t>
      </w:r>
      <w:r w:rsidRPr="00C1563B">
        <w:rPr>
          <w:i/>
          <w:szCs w:val="16"/>
          <w:lang w:val="es-CO"/>
        </w:rPr>
        <w:t>Caso Masacre de Santo Domingo Vs. Colombia</w:t>
      </w:r>
      <w:r w:rsidRPr="00C1563B">
        <w:rPr>
          <w:szCs w:val="16"/>
          <w:lang w:val="es-CO"/>
        </w:rPr>
        <w:t xml:space="preserve">, el Tribunal </w:t>
      </w:r>
      <w:r>
        <w:rPr>
          <w:szCs w:val="16"/>
          <w:lang w:val="es-CO"/>
        </w:rPr>
        <w:t xml:space="preserve">Interamericano </w:t>
      </w:r>
      <w:r w:rsidRPr="00C1563B">
        <w:rPr>
          <w:szCs w:val="16"/>
          <w:lang w:val="es-CO"/>
        </w:rPr>
        <w:t>interpretó los alcances del mismo artículo 21 utilizando tratados distintos a la Convención Americana. De esta forma, se refirió a la Norma 7 de Derecho Internacional Humanitario Consuetudinario, relativa a la distinción entre bienes de carácter civil y objetivos militares y el artículo 4.2.g del Protocolo I</w:t>
      </w:r>
      <w:r>
        <w:rPr>
          <w:szCs w:val="16"/>
          <w:lang w:val="es-CO"/>
        </w:rPr>
        <w:t>I, respecto del acto de pillaje</w:t>
      </w:r>
      <w:r w:rsidRPr="00C1563B">
        <w:rPr>
          <w:szCs w:val="16"/>
          <w:lang w:val="es-CO"/>
        </w:rPr>
        <w:t>, para llenar de contenido el derecho a la propiedad privada previsto en el artículo 21 de la Convención Americana.</w:t>
      </w:r>
    </w:p>
    <w:p w14:paraId="44E4EFD5" w14:textId="0D9D632B" w:rsidR="0047653D" w:rsidRPr="00C1563B" w:rsidRDefault="0047653D" w:rsidP="00533C32">
      <w:pPr>
        <w:pStyle w:val="Textonotapie"/>
        <w:rPr>
          <w:szCs w:val="16"/>
          <w:lang w:val="es-CO"/>
        </w:rPr>
      </w:pPr>
      <w:r w:rsidRPr="00C1563B">
        <w:rPr>
          <w:szCs w:val="16"/>
          <w:lang w:val="es-CO"/>
        </w:rPr>
        <w:t xml:space="preserve">Como se puede apreciar de estos ejemplos de la jurisprudencia interamericana, ha sido una práctica reiterada de la Corte IDH utilizar distintos instrumentos y fuentes internacionales más allá del Pacto de San José para definir los contenidos e incluso ampliar los alcances de los derechos previstos en la Convención Americana y precisar </w:t>
      </w:r>
      <w:r>
        <w:rPr>
          <w:szCs w:val="16"/>
          <w:lang w:val="es-CO"/>
        </w:rPr>
        <w:t>las obligaciones de los Estados</w:t>
      </w:r>
      <w:r w:rsidRPr="00C1563B">
        <w:rPr>
          <w:szCs w:val="16"/>
          <w:lang w:val="es-CO"/>
        </w:rPr>
        <w:t xml:space="preserve">, en tanto dichos instrumentos y fuentes internacionales forman parte de un muy comprensivo </w:t>
      </w:r>
      <w:r w:rsidRPr="00335FC3">
        <w:rPr>
          <w:i/>
          <w:szCs w:val="16"/>
          <w:lang w:val="es-CO"/>
        </w:rPr>
        <w:t>corpus iuris</w:t>
      </w:r>
      <w:r w:rsidRPr="00C1563B">
        <w:rPr>
          <w:szCs w:val="16"/>
          <w:lang w:val="es-CO"/>
        </w:rPr>
        <w:t xml:space="preserve"> internacional en la materia, utilizando, también el Protocolo de San Salvador. La posibilidad de utilizar el Protocolo de San Salvador para darle contenido y alcances a los derechos económicos, sociales y culturales derivados del artículo 26 de la Convención Americana, en relación con las obligaciones generales previstas en los artículos 1 y 2 de la misma es viable conforme lo ha venido realizando el Tribunal Interamericana para dotar de contenido a muchos derechos convencionales utilizando distintos tratados y fuentes distintos del Pacto de San José. De ahí que también podría utilizarse el Protocolo de San Salvador, junto con otros instrumentos internacionales, para establecer el contenido y alcances del derecho a la salud que protege el artículo 26 de la Convención Americana.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05F5" w14:textId="77777777" w:rsidR="0047653D" w:rsidRDefault="0047653D" w:rsidP="0056323E">
    <w:pPr>
      <w:pStyle w:val="Encabezado"/>
      <w:jc w:val="center"/>
    </w:pPr>
    <w:r>
      <w:t>-</w:t>
    </w:r>
    <w:sdt>
      <w:sdtPr>
        <w:id w:val="772264916"/>
        <w:docPartObj>
          <w:docPartGallery w:val="Page Numbers (Bottom of Page)"/>
          <w:docPartUnique/>
        </w:docPartObj>
      </w:sdtPr>
      <w:sdtEndPr/>
      <w:sdtContent>
        <w:r>
          <w:fldChar w:fldCharType="begin"/>
        </w:r>
        <w:r>
          <w:instrText xml:space="preserve"> PAGE   \* MERGEFORMAT </w:instrText>
        </w:r>
        <w:r>
          <w:fldChar w:fldCharType="separate"/>
        </w:r>
        <w:r w:rsidR="00E95225">
          <w:t>14</w:t>
        </w:r>
        <w:r>
          <w:fldChar w:fldCharType="end"/>
        </w:r>
        <w: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365B"/>
    <w:multiLevelType w:val="hybridMultilevel"/>
    <w:tmpl w:val="47A26680"/>
    <w:lvl w:ilvl="0" w:tplc="B75CF160">
      <w:start w:val="1"/>
      <w:numFmt w:val="lowerLetter"/>
      <w:pStyle w:val="Ttulo5"/>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84F0621"/>
    <w:multiLevelType w:val="hybridMultilevel"/>
    <w:tmpl w:val="3594C338"/>
    <w:lvl w:ilvl="0" w:tplc="954CEE0A">
      <w:start w:val="1"/>
      <w:numFmt w:val="upperLetter"/>
      <w:pStyle w:val="Ttulo2"/>
      <w:lvlText w:val="%1."/>
      <w:lvlJc w:val="left"/>
      <w:pPr>
        <w:ind w:left="720" w:hanging="360"/>
      </w:pPr>
      <w:rPr>
        <w:rFonts w:ascii="Verdana" w:hAnsi="Verdana" w:hint="default"/>
        <w:b/>
        <w:i/>
        <w:strike w:val="0"/>
        <w:color w:val="auto"/>
        <w:sz w:val="20"/>
      </w:rPr>
    </w:lvl>
    <w:lvl w:ilvl="1" w:tplc="2C0A0019" w:tentative="1">
      <w:start w:val="1"/>
      <w:numFmt w:val="lowerLetter"/>
      <w:lvlText w:val="%2."/>
      <w:lvlJc w:val="left"/>
      <w:pPr>
        <w:ind w:left="1440" w:hanging="360"/>
      </w:pPr>
    </w:lvl>
    <w:lvl w:ilvl="2" w:tplc="4202A1AC" w:tentative="1">
      <w:start w:val="1"/>
      <w:numFmt w:val="lowerRoman"/>
      <w:lvlText w:val="%3."/>
      <w:lvlJc w:val="right"/>
      <w:pPr>
        <w:ind w:left="2160" w:hanging="180"/>
      </w:pPr>
    </w:lvl>
    <w:lvl w:ilvl="3" w:tplc="3F0893E6" w:tentative="1">
      <w:start w:val="1"/>
      <w:numFmt w:val="decimal"/>
      <w:lvlText w:val="%4."/>
      <w:lvlJc w:val="left"/>
      <w:pPr>
        <w:ind w:left="2880" w:hanging="360"/>
      </w:pPr>
    </w:lvl>
    <w:lvl w:ilvl="4" w:tplc="E7BA4BB6">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4D76B39"/>
    <w:multiLevelType w:val="hybridMultilevel"/>
    <w:tmpl w:val="B8FC3084"/>
    <w:lvl w:ilvl="0" w:tplc="92BCB18E">
      <w:start w:val="1"/>
      <w:numFmt w:val="upperLetter"/>
      <w:pStyle w:val="Estilo5"/>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3F9B713D"/>
    <w:multiLevelType w:val="hybridMultilevel"/>
    <w:tmpl w:val="82D002F4"/>
    <w:lvl w:ilvl="0" w:tplc="7E8E8A74">
      <w:start w:val="1"/>
      <w:numFmt w:val="decimal"/>
      <w:pStyle w:val="NormalNumbered"/>
      <w:lvlText w:val="%1."/>
      <w:lvlJc w:val="left"/>
      <w:pPr>
        <w:ind w:left="720" w:hanging="720"/>
      </w:pPr>
      <w:rPr>
        <w:rFonts w:ascii="Verdana" w:hAnsi="Verdana" w:hint="default"/>
        <w:b w:val="0"/>
        <w:i w:val="0"/>
        <w:strike w:val="0"/>
        <w:color w:val="auto"/>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BA2962C">
      <w:start w:val="1"/>
      <w:numFmt w:val="decimal"/>
      <w:lvlText w:val="%4."/>
      <w:lvlJc w:val="left"/>
      <w:pPr>
        <w:ind w:left="2520" w:hanging="360"/>
      </w:pPr>
      <w:rPr>
        <w:b/>
        <w:i w:val="0"/>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CE2C1FBE">
      <w:start w:val="17"/>
      <w:numFmt w:val="lowerLetter"/>
      <w:lvlText w:val="%7)"/>
      <w:lvlJc w:val="left"/>
      <w:pPr>
        <w:ind w:left="4680" w:hanging="360"/>
      </w:pPr>
      <w:rPr>
        <w:rFonts w:hint="default"/>
      </w:r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9B101FB"/>
    <w:multiLevelType w:val="hybridMultilevel"/>
    <w:tmpl w:val="AD16C2DC"/>
    <w:lvl w:ilvl="0" w:tplc="996A088A">
      <w:start w:val="1"/>
      <w:numFmt w:val="upperRoman"/>
      <w:lvlText w:val="%1."/>
      <w:lvlJc w:val="right"/>
      <w:pPr>
        <w:ind w:left="720" w:hanging="360"/>
      </w:pPr>
      <w:rPr>
        <w:rFonts w:hint="default"/>
      </w:rPr>
    </w:lvl>
    <w:lvl w:ilvl="1" w:tplc="2C0A0019">
      <w:start w:val="1"/>
      <w:numFmt w:val="lowerLetter"/>
      <w:lvlText w:val="%2."/>
      <w:lvlJc w:val="left"/>
      <w:pPr>
        <w:ind w:left="1440" w:hanging="360"/>
      </w:pPr>
    </w:lvl>
    <w:lvl w:ilvl="2" w:tplc="4202A1AC">
      <w:start w:val="1"/>
      <w:numFmt w:val="lowerRoman"/>
      <w:lvlText w:val="%3."/>
      <w:lvlJc w:val="right"/>
      <w:pPr>
        <w:ind w:left="2160" w:hanging="180"/>
      </w:pPr>
    </w:lvl>
    <w:lvl w:ilvl="3" w:tplc="3F0893E6">
      <w:start w:val="1"/>
      <w:numFmt w:val="decimal"/>
      <w:lvlText w:val="%4)"/>
      <w:lvlJc w:val="left"/>
      <w:pPr>
        <w:ind w:left="2880" w:hanging="360"/>
      </w:pPr>
      <w:rPr>
        <w:rFonts w:hint="default"/>
      </w:rPr>
    </w:lvl>
    <w:lvl w:ilvl="4" w:tplc="E7BA4BB6">
      <w:start w:val="1"/>
      <w:numFmt w:val="decimal"/>
      <w:pStyle w:val="PrrafodeSentencia"/>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6753A80"/>
    <w:multiLevelType w:val="hybridMultilevel"/>
    <w:tmpl w:val="1C343AEC"/>
    <w:lvl w:ilvl="0" w:tplc="D50E3498">
      <w:start w:val="1"/>
      <w:numFmt w:val="decimal"/>
      <w:lvlText w:val="%1."/>
      <w:lvlJc w:val="left"/>
      <w:pPr>
        <w:ind w:left="0" w:firstLine="0"/>
      </w:pPr>
      <w:rPr>
        <w:rFonts w:ascii="Verdana" w:hAnsi="Verdana" w:hint="default"/>
        <w:b w:val="0"/>
        <w:i w:val="0"/>
        <w:strike w:val="0"/>
        <w:color w:val="auto"/>
        <w:sz w:val="20"/>
        <w:szCs w:val="20"/>
        <w:lang w:val="es-ES_tradnl"/>
      </w:rPr>
    </w:lvl>
    <w:lvl w:ilvl="1" w:tplc="2C0A0019">
      <w:start w:val="1"/>
      <w:numFmt w:val="lowerLetter"/>
      <w:lvlText w:val="%2."/>
      <w:lvlJc w:val="left"/>
      <w:pPr>
        <w:ind w:left="1353" w:hanging="360"/>
      </w:pPr>
      <w:rPr>
        <w:rFonts w:hint="default"/>
        <w:lang w:val="es-CR"/>
      </w:rPr>
    </w:lvl>
    <w:lvl w:ilvl="2" w:tplc="B768858A">
      <w:start w:val="1"/>
      <w:numFmt w:val="lowerRoman"/>
      <w:lvlText w:val="%3."/>
      <w:lvlJc w:val="right"/>
      <w:pPr>
        <w:ind w:left="2018" w:hanging="180"/>
      </w:pPr>
      <w:rPr>
        <w:i/>
      </w:rPr>
    </w:lvl>
    <w:lvl w:ilvl="3" w:tplc="3F0893E6">
      <w:start w:val="1"/>
      <w:numFmt w:val="decimal"/>
      <w:lvlText w:val="%4."/>
      <w:lvlJc w:val="left"/>
      <w:pPr>
        <w:ind w:left="2738" w:hanging="360"/>
      </w:pPr>
    </w:lvl>
    <w:lvl w:ilvl="4" w:tplc="E7BA4BB6"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abstractNum w:abstractNumId="6" w15:restartNumberingAfterBreak="0">
    <w:nsid w:val="7CE64D32"/>
    <w:multiLevelType w:val="hybridMultilevel"/>
    <w:tmpl w:val="9F8AF72C"/>
    <w:lvl w:ilvl="0" w:tplc="996A088A">
      <w:start w:val="1"/>
      <w:numFmt w:val="decimal"/>
      <w:lvlText w:val="%1."/>
      <w:lvlJc w:val="left"/>
      <w:pPr>
        <w:tabs>
          <w:tab w:val="num" w:pos="0"/>
        </w:tabs>
        <w:ind w:left="0" w:firstLine="0"/>
      </w:pPr>
      <w:rPr>
        <w:rFonts w:ascii="Verdana" w:eastAsia="Times New Roman" w:hAnsi="Verdana" w:cs="Times New Roman" w:hint="default"/>
        <w:b w:val="0"/>
        <w:i w:val="0"/>
        <w:strike w:val="0"/>
        <w:color w:val="auto"/>
        <w:sz w:val="20"/>
        <w:lang w:val="es-CO"/>
      </w:rPr>
    </w:lvl>
    <w:lvl w:ilvl="1" w:tplc="2C0A0019">
      <w:start w:val="1"/>
      <w:numFmt w:val="decimal"/>
      <w:lvlText w:val="%2."/>
      <w:lvlJc w:val="left"/>
      <w:pPr>
        <w:tabs>
          <w:tab w:val="num" w:pos="0"/>
        </w:tabs>
        <w:ind w:left="0" w:firstLine="0"/>
      </w:pPr>
      <w:rPr>
        <w:rFonts w:ascii="Verdana" w:eastAsia="Times New Roman" w:hAnsi="Verdana" w:cs="Times New Roman" w:hint="default"/>
        <w:b/>
        <w:i w:val="0"/>
        <w:strike w:val="0"/>
        <w:color w:val="auto"/>
        <w:sz w:val="20"/>
        <w:lang w:val="es-CO"/>
      </w:rPr>
    </w:lvl>
    <w:lvl w:ilvl="2" w:tplc="4202A1AC">
      <w:start w:val="1"/>
      <w:numFmt w:val="lowerRoman"/>
      <w:pStyle w:val="Estilo7"/>
      <w:lvlText w:val="%3."/>
      <w:lvlJc w:val="right"/>
      <w:pPr>
        <w:tabs>
          <w:tab w:val="num" w:pos="2160"/>
        </w:tabs>
        <w:ind w:left="2160" w:hanging="180"/>
      </w:pPr>
      <w:rPr>
        <w:rFonts w:cs="Times New Roman"/>
      </w:rPr>
    </w:lvl>
    <w:lvl w:ilvl="3" w:tplc="3F0893E6">
      <w:start w:val="1"/>
      <w:numFmt w:val="decimal"/>
      <w:lvlText w:val="%4."/>
      <w:lvlJc w:val="left"/>
      <w:pPr>
        <w:tabs>
          <w:tab w:val="num" w:pos="2880"/>
        </w:tabs>
        <w:ind w:left="2880" w:hanging="360"/>
      </w:pPr>
      <w:rPr>
        <w:rFonts w:cs="Times New Roman"/>
      </w:rPr>
    </w:lvl>
    <w:lvl w:ilvl="4" w:tplc="E7BA4BB6">
      <w:start w:val="1"/>
      <w:numFmt w:val="lowerLetter"/>
      <w:lvlText w:val="%5."/>
      <w:lvlJc w:val="left"/>
      <w:pPr>
        <w:tabs>
          <w:tab w:val="num" w:pos="3600"/>
        </w:tabs>
        <w:ind w:left="3600" w:hanging="360"/>
      </w:pPr>
      <w:rPr>
        <w:rFonts w:cs="Times New Roman"/>
      </w:rPr>
    </w:lvl>
    <w:lvl w:ilvl="5" w:tplc="2C0A001B">
      <w:start w:val="1"/>
      <w:numFmt w:val="lowerRoman"/>
      <w:lvlText w:val="%6."/>
      <w:lvlJc w:val="right"/>
      <w:pPr>
        <w:tabs>
          <w:tab w:val="num" w:pos="4320"/>
        </w:tabs>
        <w:ind w:left="4320" w:hanging="180"/>
      </w:pPr>
      <w:rPr>
        <w:rFonts w:cs="Times New Roman"/>
      </w:rPr>
    </w:lvl>
    <w:lvl w:ilvl="6" w:tplc="2C0A000F">
      <w:start w:val="1"/>
      <w:numFmt w:val="decimal"/>
      <w:lvlText w:val="%7."/>
      <w:lvlJc w:val="left"/>
      <w:pPr>
        <w:tabs>
          <w:tab w:val="num" w:pos="5040"/>
        </w:tabs>
        <w:ind w:left="5040" w:hanging="360"/>
      </w:pPr>
      <w:rPr>
        <w:rFonts w:cs="Times New Roman"/>
      </w:rPr>
    </w:lvl>
    <w:lvl w:ilvl="7" w:tplc="2C0A0019">
      <w:start w:val="1"/>
      <w:numFmt w:val="lowerLetter"/>
      <w:lvlText w:val="%8."/>
      <w:lvlJc w:val="left"/>
      <w:pPr>
        <w:tabs>
          <w:tab w:val="num" w:pos="5760"/>
        </w:tabs>
        <w:ind w:left="5760" w:hanging="360"/>
      </w:pPr>
      <w:rPr>
        <w:rFonts w:cs="Times New Roman"/>
      </w:rPr>
    </w:lvl>
    <w:lvl w:ilvl="8" w:tplc="2C0A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48"/>
    <w:rsid w:val="000001FA"/>
    <w:rsid w:val="0000028C"/>
    <w:rsid w:val="00002CB3"/>
    <w:rsid w:val="00002D87"/>
    <w:rsid w:val="0000538D"/>
    <w:rsid w:val="00005C5C"/>
    <w:rsid w:val="00007CCA"/>
    <w:rsid w:val="000100EC"/>
    <w:rsid w:val="000108C5"/>
    <w:rsid w:val="00011286"/>
    <w:rsid w:val="000131D5"/>
    <w:rsid w:val="00014CED"/>
    <w:rsid w:val="00017137"/>
    <w:rsid w:val="00017B79"/>
    <w:rsid w:val="00021BB6"/>
    <w:rsid w:val="00022B96"/>
    <w:rsid w:val="00023589"/>
    <w:rsid w:val="00025443"/>
    <w:rsid w:val="00025B07"/>
    <w:rsid w:val="00025BA9"/>
    <w:rsid w:val="00026474"/>
    <w:rsid w:val="00030ADF"/>
    <w:rsid w:val="000338E5"/>
    <w:rsid w:val="00033FBB"/>
    <w:rsid w:val="00035259"/>
    <w:rsid w:val="00035340"/>
    <w:rsid w:val="00036507"/>
    <w:rsid w:val="000378E0"/>
    <w:rsid w:val="0004083F"/>
    <w:rsid w:val="00040DFC"/>
    <w:rsid w:val="00041D0C"/>
    <w:rsid w:val="000420A9"/>
    <w:rsid w:val="0004258A"/>
    <w:rsid w:val="0004402F"/>
    <w:rsid w:val="000451D8"/>
    <w:rsid w:val="00053A32"/>
    <w:rsid w:val="00053E21"/>
    <w:rsid w:val="000545EE"/>
    <w:rsid w:val="0005467A"/>
    <w:rsid w:val="00054BEF"/>
    <w:rsid w:val="00056740"/>
    <w:rsid w:val="00056934"/>
    <w:rsid w:val="00056C4B"/>
    <w:rsid w:val="0006042B"/>
    <w:rsid w:val="000607FB"/>
    <w:rsid w:val="00061A1C"/>
    <w:rsid w:val="00062585"/>
    <w:rsid w:val="00062724"/>
    <w:rsid w:val="00063C66"/>
    <w:rsid w:val="00063CC3"/>
    <w:rsid w:val="000643B4"/>
    <w:rsid w:val="00065384"/>
    <w:rsid w:val="0006551C"/>
    <w:rsid w:val="00066F93"/>
    <w:rsid w:val="00067F60"/>
    <w:rsid w:val="000700E7"/>
    <w:rsid w:val="00071CE0"/>
    <w:rsid w:val="00072ECC"/>
    <w:rsid w:val="0007305F"/>
    <w:rsid w:val="00073531"/>
    <w:rsid w:val="0007354F"/>
    <w:rsid w:val="00073614"/>
    <w:rsid w:val="00073BC7"/>
    <w:rsid w:val="000758EA"/>
    <w:rsid w:val="00076512"/>
    <w:rsid w:val="000767C2"/>
    <w:rsid w:val="00080403"/>
    <w:rsid w:val="000804B9"/>
    <w:rsid w:val="00080FEC"/>
    <w:rsid w:val="000834FD"/>
    <w:rsid w:val="000837CC"/>
    <w:rsid w:val="00083BD3"/>
    <w:rsid w:val="000876A2"/>
    <w:rsid w:val="000876FD"/>
    <w:rsid w:val="00090ADA"/>
    <w:rsid w:val="000920FA"/>
    <w:rsid w:val="0009242B"/>
    <w:rsid w:val="00092F18"/>
    <w:rsid w:val="0009668E"/>
    <w:rsid w:val="00096693"/>
    <w:rsid w:val="00096AF5"/>
    <w:rsid w:val="00096C90"/>
    <w:rsid w:val="000A0311"/>
    <w:rsid w:val="000A0C34"/>
    <w:rsid w:val="000A0E35"/>
    <w:rsid w:val="000A203D"/>
    <w:rsid w:val="000A3D87"/>
    <w:rsid w:val="000A4B95"/>
    <w:rsid w:val="000A58BB"/>
    <w:rsid w:val="000A6E61"/>
    <w:rsid w:val="000A7A36"/>
    <w:rsid w:val="000B0899"/>
    <w:rsid w:val="000B37BD"/>
    <w:rsid w:val="000B3A30"/>
    <w:rsid w:val="000B4DD5"/>
    <w:rsid w:val="000B539E"/>
    <w:rsid w:val="000B6B8D"/>
    <w:rsid w:val="000B7126"/>
    <w:rsid w:val="000B731B"/>
    <w:rsid w:val="000B7D3B"/>
    <w:rsid w:val="000C00AD"/>
    <w:rsid w:val="000C1D70"/>
    <w:rsid w:val="000C20A9"/>
    <w:rsid w:val="000C239B"/>
    <w:rsid w:val="000C2B18"/>
    <w:rsid w:val="000C2E3A"/>
    <w:rsid w:val="000C3B43"/>
    <w:rsid w:val="000C4EDE"/>
    <w:rsid w:val="000C5014"/>
    <w:rsid w:val="000C56ED"/>
    <w:rsid w:val="000C63C8"/>
    <w:rsid w:val="000C66DA"/>
    <w:rsid w:val="000C69C0"/>
    <w:rsid w:val="000C7252"/>
    <w:rsid w:val="000C7DDB"/>
    <w:rsid w:val="000D078A"/>
    <w:rsid w:val="000D088C"/>
    <w:rsid w:val="000D0C21"/>
    <w:rsid w:val="000D0DF8"/>
    <w:rsid w:val="000D1F82"/>
    <w:rsid w:val="000D2D45"/>
    <w:rsid w:val="000D2EB0"/>
    <w:rsid w:val="000D3042"/>
    <w:rsid w:val="000D4EAA"/>
    <w:rsid w:val="000D71AC"/>
    <w:rsid w:val="000D73EA"/>
    <w:rsid w:val="000E0378"/>
    <w:rsid w:val="000E1165"/>
    <w:rsid w:val="000E1FB1"/>
    <w:rsid w:val="000E2350"/>
    <w:rsid w:val="000E2917"/>
    <w:rsid w:val="000E2BBF"/>
    <w:rsid w:val="000E32CE"/>
    <w:rsid w:val="000E459D"/>
    <w:rsid w:val="000E48F5"/>
    <w:rsid w:val="000E5A95"/>
    <w:rsid w:val="000E5B55"/>
    <w:rsid w:val="000E5DFA"/>
    <w:rsid w:val="000E6F10"/>
    <w:rsid w:val="000F14E7"/>
    <w:rsid w:val="000F1FE3"/>
    <w:rsid w:val="000F2B14"/>
    <w:rsid w:val="000F3082"/>
    <w:rsid w:val="000F591B"/>
    <w:rsid w:val="000F5C39"/>
    <w:rsid w:val="000F6294"/>
    <w:rsid w:val="000F62F7"/>
    <w:rsid w:val="000F7222"/>
    <w:rsid w:val="000F7244"/>
    <w:rsid w:val="000F7D36"/>
    <w:rsid w:val="00100641"/>
    <w:rsid w:val="001009AC"/>
    <w:rsid w:val="00101EA7"/>
    <w:rsid w:val="00102508"/>
    <w:rsid w:val="001048FD"/>
    <w:rsid w:val="001049FA"/>
    <w:rsid w:val="00104BCC"/>
    <w:rsid w:val="00105F3B"/>
    <w:rsid w:val="001072A6"/>
    <w:rsid w:val="001103C4"/>
    <w:rsid w:val="00112767"/>
    <w:rsid w:val="00114872"/>
    <w:rsid w:val="00115921"/>
    <w:rsid w:val="00115D82"/>
    <w:rsid w:val="00115FDB"/>
    <w:rsid w:val="001164DF"/>
    <w:rsid w:val="00120934"/>
    <w:rsid w:val="00120BED"/>
    <w:rsid w:val="00121E36"/>
    <w:rsid w:val="00122EF0"/>
    <w:rsid w:val="001242BE"/>
    <w:rsid w:val="00125FAC"/>
    <w:rsid w:val="00126260"/>
    <w:rsid w:val="00126FBE"/>
    <w:rsid w:val="00131C3C"/>
    <w:rsid w:val="001333FF"/>
    <w:rsid w:val="001349D7"/>
    <w:rsid w:val="00134A8D"/>
    <w:rsid w:val="00134CE4"/>
    <w:rsid w:val="00135E61"/>
    <w:rsid w:val="00141D02"/>
    <w:rsid w:val="00142B77"/>
    <w:rsid w:val="00142ED0"/>
    <w:rsid w:val="001463F2"/>
    <w:rsid w:val="001466AA"/>
    <w:rsid w:val="0014726E"/>
    <w:rsid w:val="00147BE7"/>
    <w:rsid w:val="0015192B"/>
    <w:rsid w:val="00151B62"/>
    <w:rsid w:val="0015208C"/>
    <w:rsid w:val="00152C9B"/>
    <w:rsid w:val="00154CD0"/>
    <w:rsid w:val="001560FB"/>
    <w:rsid w:val="001577BB"/>
    <w:rsid w:val="00157C47"/>
    <w:rsid w:val="00160357"/>
    <w:rsid w:val="00161EDE"/>
    <w:rsid w:val="00162487"/>
    <w:rsid w:val="001629B5"/>
    <w:rsid w:val="00162B5A"/>
    <w:rsid w:val="0016358D"/>
    <w:rsid w:val="0016367F"/>
    <w:rsid w:val="00164499"/>
    <w:rsid w:val="00165E05"/>
    <w:rsid w:val="00165E0B"/>
    <w:rsid w:val="00165F01"/>
    <w:rsid w:val="001668E2"/>
    <w:rsid w:val="001700F3"/>
    <w:rsid w:val="001730D5"/>
    <w:rsid w:val="00173D31"/>
    <w:rsid w:val="001804AC"/>
    <w:rsid w:val="001809A5"/>
    <w:rsid w:val="00180ECA"/>
    <w:rsid w:val="001814B3"/>
    <w:rsid w:val="00184193"/>
    <w:rsid w:val="00185AEA"/>
    <w:rsid w:val="0018614F"/>
    <w:rsid w:val="00186CF4"/>
    <w:rsid w:val="0018770E"/>
    <w:rsid w:val="00192948"/>
    <w:rsid w:val="0019324A"/>
    <w:rsid w:val="00194C34"/>
    <w:rsid w:val="001958BB"/>
    <w:rsid w:val="00196D72"/>
    <w:rsid w:val="00197993"/>
    <w:rsid w:val="001A0648"/>
    <w:rsid w:val="001A0A96"/>
    <w:rsid w:val="001A18ED"/>
    <w:rsid w:val="001A2AD5"/>
    <w:rsid w:val="001A59C9"/>
    <w:rsid w:val="001A63A9"/>
    <w:rsid w:val="001A7E27"/>
    <w:rsid w:val="001B2DC2"/>
    <w:rsid w:val="001B45D1"/>
    <w:rsid w:val="001B56BB"/>
    <w:rsid w:val="001B6363"/>
    <w:rsid w:val="001B6FF6"/>
    <w:rsid w:val="001B7A91"/>
    <w:rsid w:val="001B7FD9"/>
    <w:rsid w:val="001C1216"/>
    <w:rsid w:val="001C1482"/>
    <w:rsid w:val="001C19E9"/>
    <w:rsid w:val="001C41E7"/>
    <w:rsid w:val="001C4F9B"/>
    <w:rsid w:val="001C6F58"/>
    <w:rsid w:val="001C77CE"/>
    <w:rsid w:val="001D2292"/>
    <w:rsid w:val="001D34B8"/>
    <w:rsid w:val="001D4AB2"/>
    <w:rsid w:val="001D50BE"/>
    <w:rsid w:val="001D536E"/>
    <w:rsid w:val="001D5E13"/>
    <w:rsid w:val="001D713D"/>
    <w:rsid w:val="001D7576"/>
    <w:rsid w:val="001E0A1D"/>
    <w:rsid w:val="001E264A"/>
    <w:rsid w:val="001E304B"/>
    <w:rsid w:val="001E4DCA"/>
    <w:rsid w:val="001E4EC4"/>
    <w:rsid w:val="001E51AB"/>
    <w:rsid w:val="001E5BFB"/>
    <w:rsid w:val="001E7C88"/>
    <w:rsid w:val="001F0B4B"/>
    <w:rsid w:val="001F1963"/>
    <w:rsid w:val="001F2420"/>
    <w:rsid w:val="001F24D6"/>
    <w:rsid w:val="001F2F5A"/>
    <w:rsid w:val="001F35CA"/>
    <w:rsid w:val="001F3A78"/>
    <w:rsid w:val="001F3C26"/>
    <w:rsid w:val="001F4617"/>
    <w:rsid w:val="001F5814"/>
    <w:rsid w:val="001F592B"/>
    <w:rsid w:val="001F5D8A"/>
    <w:rsid w:val="001F623F"/>
    <w:rsid w:val="001F6782"/>
    <w:rsid w:val="001F7F18"/>
    <w:rsid w:val="0020016D"/>
    <w:rsid w:val="00201B6D"/>
    <w:rsid w:val="00201FF4"/>
    <w:rsid w:val="00202373"/>
    <w:rsid w:val="0020367E"/>
    <w:rsid w:val="00203978"/>
    <w:rsid w:val="00203CE9"/>
    <w:rsid w:val="00204A89"/>
    <w:rsid w:val="00204FF7"/>
    <w:rsid w:val="00205FF8"/>
    <w:rsid w:val="00206A79"/>
    <w:rsid w:val="0021155C"/>
    <w:rsid w:val="00211E14"/>
    <w:rsid w:val="00214678"/>
    <w:rsid w:val="0021637D"/>
    <w:rsid w:val="002168F3"/>
    <w:rsid w:val="00217348"/>
    <w:rsid w:val="0021789C"/>
    <w:rsid w:val="00220C19"/>
    <w:rsid w:val="00221605"/>
    <w:rsid w:val="00221BC1"/>
    <w:rsid w:val="00223D18"/>
    <w:rsid w:val="0022733C"/>
    <w:rsid w:val="00230452"/>
    <w:rsid w:val="0023229D"/>
    <w:rsid w:val="00233C40"/>
    <w:rsid w:val="002364EF"/>
    <w:rsid w:val="002415E9"/>
    <w:rsid w:val="00241A2A"/>
    <w:rsid w:val="00241A8F"/>
    <w:rsid w:val="00242963"/>
    <w:rsid w:val="00242C9A"/>
    <w:rsid w:val="00243059"/>
    <w:rsid w:val="0024335D"/>
    <w:rsid w:val="002436B1"/>
    <w:rsid w:val="002437B6"/>
    <w:rsid w:val="00244BD1"/>
    <w:rsid w:val="00246FCD"/>
    <w:rsid w:val="00247731"/>
    <w:rsid w:val="00250487"/>
    <w:rsid w:val="002509E5"/>
    <w:rsid w:val="00252B13"/>
    <w:rsid w:val="0025350E"/>
    <w:rsid w:val="00256E4E"/>
    <w:rsid w:val="00257C40"/>
    <w:rsid w:val="002601DB"/>
    <w:rsid w:val="00260750"/>
    <w:rsid w:val="002614CA"/>
    <w:rsid w:val="00261C27"/>
    <w:rsid w:val="00261FCB"/>
    <w:rsid w:val="00262358"/>
    <w:rsid w:val="00263915"/>
    <w:rsid w:val="002652E3"/>
    <w:rsid w:val="002662C1"/>
    <w:rsid w:val="00266AD0"/>
    <w:rsid w:val="00266C3B"/>
    <w:rsid w:val="0026732D"/>
    <w:rsid w:val="0026751B"/>
    <w:rsid w:val="00270048"/>
    <w:rsid w:val="00271468"/>
    <w:rsid w:val="00272D73"/>
    <w:rsid w:val="0027377A"/>
    <w:rsid w:val="00273D58"/>
    <w:rsid w:val="002749BA"/>
    <w:rsid w:val="002754EE"/>
    <w:rsid w:val="00275594"/>
    <w:rsid w:val="002758C8"/>
    <w:rsid w:val="00275A1A"/>
    <w:rsid w:val="00276A06"/>
    <w:rsid w:val="00277B45"/>
    <w:rsid w:val="00277D9F"/>
    <w:rsid w:val="00277FA9"/>
    <w:rsid w:val="00280FF5"/>
    <w:rsid w:val="00281ED2"/>
    <w:rsid w:val="00282024"/>
    <w:rsid w:val="0028214E"/>
    <w:rsid w:val="00283863"/>
    <w:rsid w:val="00283EBD"/>
    <w:rsid w:val="002843CB"/>
    <w:rsid w:val="00286018"/>
    <w:rsid w:val="00286DED"/>
    <w:rsid w:val="00286EF2"/>
    <w:rsid w:val="00290551"/>
    <w:rsid w:val="00291B07"/>
    <w:rsid w:val="00292EF6"/>
    <w:rsid w:val="00293044"/>
    <w:rsid w:val="002931DB"/>
    <w:rsid w:val="00293D5A"/>
    <w:rsid w:val="00294549"/>
    <w:rsid w:val="002947DD"/>
    <w:rsid w:val="00294D63"/>
    <w:rsid w:val="00294FDB"/>
    <w:rsid w:val="00296555"/>
    <w:rsid w:val="002A260D"/>
    <w:rsid w:val="002A2F3C"/>
    <w:rsid w:val="002A33CA"/>
    <w:rsid w:val="002A4CD1"/>
    <w:rsid w:val="002A5055"/>
    <w:rsid w:val="002A51C9"/>
    <w:rsid w:val="002A54F0"/>
    <w:rsid w:val="002A7877"/>
    <w:rsid w:val="002A7F13"/>
    <w:rsid w:val="002B0897"/>
    <w:rsid w:val="002B37B2"/>
    <w:rsid w:val="002B50D6"/>
    <w:rsid w:val="002B5E3F"/>
    <w:rsid w:val="002B70ED"/>
    <w:rsid w:val="002C012A"/>
    <w:rsid w:val="002C06A9"/>
    <w:rsid w:val="002C13F7"/>
    <w:rsid w:val="002C153A"/>
    <w:rsid w:val="002C305F"/>
    <w:rsid w:val="002C5393"/>
    <w:rsid w:val="002C55CD"/>
    <w:rsid w:val="002C6637"/>
    <w:rsid w:val="002C675F"/>
    <w:rsid w:val="002C7431"/>
    <w:rsid w:val="002C7ACF"/>
    <w:rsid w:val="002D01D7"/>
    <w:rsid w:val="002D082B"/>
    <w:rsid w:val="002D1B3A"/>
    <w:rsid w:val="002D6445"/>
    <w:rsid w:val="002E03FD"/>
    <w:rsid w:val="002E08E8"/>
    <w:rsid w:val="002E1285"/>
    <w:rsid w:val="002E1368"/>
    <w:rsid w:val="002E256F"/>
    <w:rsid w:val="002E2600"/>
    <w:rsid w:val="002E2882"/>
    <w:rsid w:val="002E2908"/>
    <w:rsid w:val="002E29D2"/>
    <w:rsid w:val="002E2E42"/>
    <w:rsid w:val="002E3982"/>
    <w:rsid w:val="002E4CA5"/>
    <w:rsid w:val="002E50CC"/>
    <w:rsid w:val="002E6455"/>
    <w:rsid w:val="002E705A"/>
    <w:rsid w:val="002E73D2"/>
    <w:rsid w:val="002E762E"/>
    <w:rsid w:val="002E7740"/>
    <w:rsid w:val="002E7CB1"/>
    <w:rsid w:val="002E7ED8"/>
    <w:rsid w:val="002F0CF8"/>
    <w:rsid w:val="002F1298"/>
    <w:rsid w:val="002F15E8"/>
    <w:rsid w:val="002F1DCF"/>
    <w:rsid w:val="002F32F3"/>
    <w:rsid w:val="002F3AD6"/>
    <w:rsid w:val="002F4D25"/>
    <w:rsid w:val="002F5246"/>
    <w:rsid w:val="002F6E8A"/>
    <w:rsid w:val="002F6F08"/>
    <w:rsid w:val="002F7106"/>
    <w:rsid w:val="002F733C"/>
    <w:rsid w:val="002F78E6"/>
    <w:rsid w:val="003041B9"/>
    <w:rsid w:val="00304AA6"/>
    <w:rsid w:val="00305338"/>
    <w:rsid w:val="00306BEC"/>
    <w:rsid w:val="003070D0"/>
    <w:rsid w:val="00307A7E"/>
    <w:rsid w:val="00307F27"/>
    <w:rsid w:val="003101D6"/>
    <w:rsid w:val="00311F59"/>
    <w:rsid w:val="00312DF4"/>
    <w:rsid w:val="0031326C"/>
    <w:rsid w:val="0031400B"/>
    <w:rsid w:val="0031438E"/>
    <w:rsid w:val="00315F2B"/>
    <w:rsid w:val="003161B2"/>
    <w:rsid w:val="00316248"/>
    <w:rsid w:val="00316969"/>
    <w:rsid w:val="00316AB7"/>
    <w:rsid w:val="00321E2C"/>
    <w:rsid w:val="00322846"/>
    <w:rsid w:val="0032568E"/>
    <w:rsid w:val="00326D7E"/>
    <w:rsid w:val="00327895"/>
    <w:rsid w:val="0033003B"/>
    <w:rsid w:val="00330342"/>
    <w:rsid w:val="00331A2A"/>
    <w:rsid w:val="003331BF"/>
    <w:rsid w:val="00333AA5"/>
    <w:rsid w:val="00334426"/>
    <w:rsid w:val="00334AAF"/>
    <w:rsid w:val="00334EB5"/>
    <w:rsid w:val="00334F2F"/>
    <w:rsid w:val="00335FC3"/>
    <w:rsid w:val="00340079"/>
    <w:rsid w:val="003406C6"/>
    <w:rsid w:val="00341248"/>
    <w:rsid w:val="00341B61"/>
    <w:rsid w:val="003421E5"/>
    <w:rsid w:val="00343320"/>
    <w:rsid w:val="0034367B"/>
    <w:rsid w:val="003436F3"/>
    <w:rsid w:val="00343B12"/>
    <w:rsid w:val="00343DFD"/>
    <w:rsid w:val="00346762"/>
    <w:rsid w:val="0034794B"/>
    <w:rsid w:val="0035013D"/>
    <w:rsid w:val="0035136A"/>
    <w:rsid w:val="00354BBE"/>
    <w:rsid w:val="00354DCF"/>
    <w:rsid w:val="003556C6"/>
    <w:rsid w:val="0035781C"/>
    <w:rsid w:val="00360274"/>
    <w:rsid w:val="00361D72"/>
    <w:rsid w:val="00361EA5"/>
    <w:rsid w:val="00362482"/>
    <w:rsid w:val="003663C0"/>
    <w:rsid w:val="003670D6"/>
    <w:rsid w:val="0037094D"/>
    <w:rsid w:val="00370F31"/>
    <w:rsid w:val="00373990"/>
    <w:rsid w:val="00373A75"/>
    <w:rsid w:val="00374E67"/>
    <w:rsid w:val="00374EE6"/>
    <w:rsid w:val="003800C3"/>
    <w:rsid w:val="003801A7"/>
    <w:rsid w:val="003801A9"/>
    <w:rsid w:val="003802C2"/>
    <w:rsid w:val="00380C2F"/>
    <w:rsid w:val="00381DF9"/>
    <w:rsid w:val="00381E99"/>
    <w:rsid w:val="00382062"/>
    <w:rsid w:val="00382E9D"/>
    <w:rsid w:val="00384E93"/>
    <w:rsid w:val="0038500B"/>
    <w:rsid w:val="00386A3F"/>
    <w:rsid w:val="00386EFB"/>
    <w:rsid w:val="0038730A"/>
    <w:rsid w:val="0038740D"/>
    <w:rsid w:val="0039055A"/>
    <w:rsid w:val="00391A89"/>
    <w:rsid w:val="00391CE8"/>
    <w:rsid w:val="00393216"/>
    <w:rsid w:val="0039365C"/>
    <w:rsid w:val="0039544B"/>
    <w:rsid w:val="00395B1D"/>
    <w:rsid w:val="00395FBB"/>
    <w:rsid w:val="003964B6"/>
    <w:rsid w:val="00397AC0"/>
    <w:rsid w:val="003A04CF"/>
    <w:rsid w:val="003A0F33"/>
    <w:rsid w:val="003A203A"/>
    <w:rsid w:val="003A2510"/>
    <w:rsid w:val="003A3046"/>
    <w:rsid w:val="003A340A"/>
    <w:rsid w:val="003A4073"/>
    <w:rsid w:val="003A6721"/>
    <w:rsid w:val="003A6839"/>
    <w:rsid w:val="003A79A2"/>
    <w:rsid w:val="003B07D9"/>
    <w:rsid w:val="003B2D1B"/>
    <w:rsid w:val="003B4835"/>
    <w:rsid w:val="003B6F32"/>
    <w:rsid w:val="003C101F"/>
    <w:rsid w:val="003C23E8"/>
    <w:rsid w:val="003C355C"/>
    <w:rsid w:val="003C3BE1"/>
    <w:rsid w:val="003C5964"/>
    <w:rsid w:val="003C6339"/>
    <w:rsid w:val="003C7D19"/>
    <w:rsid w:val="003D0532"/>
    <w:rsid w:val="003D0B4E"/>
    <w:rsid w:val="003D1B68"/>
    <w:rsid w:val="003D3A48"/>
    <w:rsid w:val="003D48C0"/>
    <w:rsid w:val="003D4AFC"/>
    <w:rsid w:val="003D567D"/>
    <w:rsid w:val="003E071F"/>
    <w:rsid w:val="003E158E"/>
    <w:rsid w:val="003E1781"/>
    <w:rsid w:val="003E5164"/>
    <w:rsid w:val="003E51F6"/>
    <w:rsid w:val="003E5452"/>
    <w:rsid w:val="003E597E"/>
    <w:rsid w:val="003E5CE3"/>
    <w:rsid w:val="003E64AB"/>
    <w:rsid w:val="003E6F74"/>
    <w:rsid w:val="003E7E97"/>
    <w:rsid w:val="003F0D85"/>
    <w:rsid w:val="003F0ECA"/>
    <w:rsid w:val="003F0F5C"/>
    <w:rsid w:val="003F1DF8"/>
    <w:rsid w:val="003F1E33"/>
    <w:rsid w:val="003F2B5A"/>
    <w:rsid w:val="003F33AF"/>
    <w:rsid w:val="003F362E"/>
    <w:rsid w:val="003F3856"/>
    <w:rsid w:val="003F387C"/>
    <w:rsid w:val="003F3A5C"/>
    <w:rsid w:val="003F3FFB"/>
    <w:rsid w:val="003F4309"/>
    <w:rsid w:val="003F473C"/>
    <w:rsid w:val="003F4A81"/>
    <w:rsid w:val="003F4F10"/>
    <w:rsid w:val="003F7296"/>
    <w:rsid w:val="003F7938"/>
    <w:rsid w:val="003F7AC3"/>
    <w:rsid w:val="00400DC1"/>
    <w:rsid w:val="004011EC"/>
    <w:rsid w:val="004021C9"/>
    <w:rsid w:val="0040369E"/>
    <w:rsid w:val="00404F55"/>
    <w:rsid w:val="00406600"/>
    <w:rsid w:val="00407B60"/>
    <w:rsid w:val="00410C80"/>
    <w:rsid w:val="00410E2F"/>
    <w:rsid w:val="004113CA"/>
    <w:rsid w:val="004126D9"/>
    <w:rsid w:val="00412988"/>
    <w:rsid w:val="00413BAF"/>
    <w:rsid w:val="00414253"/>
    <w:rsid w:val="004145D7"/>
    <w:rsid w:val="00414947"/>
    <w:rsid w:val="00414F24"/>
    <w:rsid w:val="00416923"/>
    <w:rsid w:val="00416FE5"/>
    <w:rsid w:val="00417965"/>
    <w:rsid w:val="0042093E"/>
    <w:rsid w:val="0042099A"/>
    <w:rsid w:val="00420F3E"/>
    <w:rsid w:val="0042131C"/>
    <w:rsid w:val="00421743"/>
    <w:rsid w:val="00421B02"/>
    <w:rsid w:val="00421EAC"/>
    <w:rsid w:val="00421FA9"/>
    <w:rsid w:val="00421FBA"/>
    <w:rsid w:val="004222F7"/>
    <w:rsid w:val="00422717"/>
    <w:rsid w:val="00423E81"/>
    <w:rsid w:val="00426118"/>
    <w:rsid w:val="00427800"/>
    <w:rsid w:val="0043092C"/>
    <w:rsid w:val="00432A44"/>
    <w:rsid w:val="00433391"/>
    <w:rsid w:val="004339F8"/>
    <w:rsid w:val="00433A4F"/>
    <w:rsid w:val="00433A97"/>
    <w:rsid w:val="00434BC6"/>
    <w:rsid w:val="004369B7"/>
    <w:rsid w:val="00437444"/>
    <w:rsid w:val="00440799"/>
    <w:rsid w:val="00440F92"/>
    <w:rsid w:val="0044257F"/>
    <w:rsid w:val="00442788"/>
    <w:rsid w:val="00442BFF"/>
    <w:rsid w:val="004440F0"/>
    <w:rsid w:val="00445E7A"/>
    <w:rsid w:val="00446D48"/>
    <w:rsid w:val="0044754A"/>
    <w:rsid w:val="0044760E"/>
    <w:rsid w:val="004478CF"/>
    <w:rsid w:val="00447E66"/>
    <w:rsid w:val="00451B15"/>
    <w:rsid w:val="00451CA7"/>
    <w:rsid w:val="004532BF"/>
    <w:rsid w:val="00454072"/>
    <w:rsid w:val="0045428C"/>
    <w:rsid w:val="004543B1"/>
    <w:rsid w:val="00454A93"/>
    <w:rsid w:val="00455928"/>
    <w:rsid w:val="004573C7"/>
    <w:rsid w:val="004618E0"/>
    <w:rsid w:val="004622E3"/>
    <w:rsid w:val="00462909"/>
    <w:rsid w:val="00462B2C"/>
    <w:rsid w:val="0046367D"/>
    <w:rsid w:val="0046408B"/>
    <w:rsid w:val="00466F6D"/>
    <w:rsid w:val="004677B5"/>
    <w:rsid w:val="00467F68"/>
    <w:rsid w:val="00470CE8"/>
    <w:rsid w:val="004719E7"/>
    <w:rsid w:val="00471E53"/>
    <w:rsid w:val="00471E7E"/>
    <w:rsid w:val="004721C8"/>
    <w:rsid w:val="00472211"/>
    <w:rsid w:val="00474FF5"/>
    <w:rsid w:val="0047653D"/>
    <w:rsid w:val="00476C04"/>
    <w:rsid w:val="00476C5D"/>
    <w:rsid w:val="00476D45"/>
    <w:rsid w:val="00480DD3"/>
    <w:rsid w:val="00480EBE"/>
    <w:rsid w:val="004821EE"/>
    <w:rsid w:val="004827E4"/>
    <w:rsid w:val="00483524"/>
    <w:rsid w:val="0049261E"/>
    <w:rsid w:val="004957E5"/>
    <w:rsid w:val="004978F4"/>
    <w:rsid w:val="004A18E9"/>
    <w:rsid w:val="004A2099"/>
    <w:rsid w:val="004A2AD1"/>
    <w:rsid w:val="004A3EBB"/>
    <w:rsid w:val="004A47DB"/>
    <w:rsid w:val="004A53B0"/>
    <w:rsid w:val="004A6511"/>
    <w:rsid w:val="004A6F83"/>
    <w:rsid w:val="004B0A6E"/>
    <w:rsid w:val="004B0BBD"/>
    <w:rsid w:val="004B170A"/>
    <w:rsid w:val="004B4E1B"/>
    <w:rsid w:val="004B5B8E"/>
    <w:rsid w:val="004B6384"/>
    <w:rsid w:val="004B7E6E"/>
    <w:rsid w:val="004C0034"/>
    <w:rsid w:val="004C0938"/>
    <w:rsid w:val="004C0B25"/>
    <w:rsid w:val="004C1775"/>
    <w:rsid w:val="004C526C"/>
    <w:rsid w:val="004C69FE"/>
    <w:rsid w:val="004C757B"/>
    <w:rsid w:val="004C75BA"/>
    <w:rsid w:val="004D0FC6"/>
    <w:rsid w:val="004D1B3D"/>
    <w:rsid w:val="004D3435"/>
    <w:rsid w:val="004D4149"/>
    <w:rsid w:val="004D4AF6"/>
    <w:rsid w:val="004D5D9E"/>
    <w:rsid w:val="004E069D"/>
    <w:rsid w:val="004E06B1"/>
    <w:rsid w:val="004E09B9"/>
    <w:rsid w:val="004E15DB"/>
    <w:rsid w:val="004E1B25"/>
    <w:rsid w:val="004E1D5E"/>
    <w:rsid w:val="004E31BC"/>
    <w:rsid w:val="004E3F2F"/>
    <w:rsid w:val="004E4827"/>
    <w:rsid w:val="004E72AC"/>
    <w:rsid w:val="004E7635"/>
    <w:rsid w:val="004F00D0"/>
    <w:rsid w:val="004F1F15"/>
    <w:rsid w:val="004F341C"/>
    <w:rsid w:val="004F5102"/>
    <w:rsid w:val="004F5362"/>
    <w:rsid w:val="004F5378"/>
    <w:rsid w:val="004F6184"/>
    <w:rsid w:val="004F626A"/>
    <w:rsid w:val="004F6F52"/>
    <w:rsid w:val="004F718D"/>
    <w:rsid w:val="004F7B7A"/>
    <w:rsid w:val="005013F4"/>
    <w:rsid w:val="0050200B"/>
    <w:rsid w:val="00502F30"/>
    <w:rsid w:val="00503AA8"/>
    <w:rsid w:val="0050445E"/>
    <w:rsid w:val="0050608E"/>
    <w:rsid w:val="005068B7"/>
    <w:rsid w:val="005072A2"/>
    <w:rsid w:val="005110FD"/>
    <w:rsid w:val="005112FB"/>
    <w:rsid w:val="00511AB3"/>
    <w:rsid w:val="00512217"/>
    <w:rsid w:val="0051320C"/>
    <w:rsid w:val="005132B6"/>
    <w:rsid w:val="005134C9"/>
    <w:rsid w:val="005136DF"/>
    <w:rsid w:val="005141DD"/>
    <w:rsid w:val="00514738"/>
    <w:rsid w:val="005147D6"/>
    <w:rsid w:val="00515E23"/>
    <w:rsid w:val="00517288"/>
    <w:rsid w:val="005200E9"/>
    <w:rsid w:val="00520641"/>
    <w:rsid w:val="00520F41"/>
    <w:rsid w:val="0052264D"/>
    <w:rsid w:val="005227C5"/>
    <w:rsid w:val="005233AE"/>
    <w:rsid w:val="005239A6"/>
    <w:rsid w:val="00523D8F"/>
    <w:rsid w:val="00523ED5"/>
    <w:rsid w:val="00524D43"/>
    <w:rsid w:val="00524E2C"/>
    <w:rsid w:val="005259BA"/>
    <w:rsid w:val="00525EDF"/>
    <w:rsid w:val="005265BE"/>
    <w:rsid w:val="00526837"/>
    <w:rsid w:val="00527F66"/>
    <w:rsid w:val="00530149"/>
    <w:rsid w:val="00530FC8"/>
    <w:rsid w:val="00531ADA"/>
    <w:rsid w:val="00533C32"/>
    <w:rsid w:val="00534453"/>
    <w:rsid w:val="00535A1E"/>
    <w:rsid w:val="00537CEB"/>
    <w:rsid w:val="00537F9D"/>
    <w:rsid w:val="005409D3"/>
    <w:rsid w:val="005409FF"/>
    <w:rsid w:val="00540A01"/>
    <w:rsid w:val="0054140B"/>
    <w:rsid w:val="00541595"/>
    <w:rsid w:val="005415B0"/>
    <w:rsid w:val="005416B6"/>
    <w:rsid w:val="00542A3E"/>
    <w:rsid w:val="005434ED"/>
    <w:rsid w:val="00544972"/>
    <w:rsid w:val="00545ED0"/>
    <w:rsid w:val="00547BEC"/>
    <w:rsid w:val="00550BA5"/>
    <w:rsid w:val="00551FE6"/>
    <w:rsid w:val="005537B5"/>
    <w:rsid w:val="0055387E"/>
    <w:rsid w:val="00553FA7"/>
    <w:rsid w:val="0055409B"/>
    <w:rsid w:val="005555D7"/>
    <w:rsid w:val="00557066"/>
    <w:rsid w:val="00557FAB"/>
    <w:rsid w:val="00560F5B"/>
    <w:rsid w:val="005620C2"/>
    <w:rsid w:val="00562E41"/>
    <w:rsid w:val="0056323E"/>
    <w:rsid w:val="00563FDD"/>
    <w:rsid w:val="00564791"/>
    <w:rsid w:val="00564D65"/>
    <w:rsid w:val="005670E8"/>
    <w:rsid w:val="005679DB"/>
    <w:rsid w:val="00570728"/>
    <w:rsid w:val="00571734"/>
    <w:rsid w:val="00571A9B"/>
    <w:rsid w:val="00576233"/>
    <w:rsid w:val="0057673B"/>
    <w:rsid w:val="00576A47"/>
    <w:rsid w:val="00576FAF"/>
    <w:rsid w:val="005778E4"/>
    <w:rsid w:val="005804BE"/>
    <w:rsid w:val="005808CC"/>
    <w:rsid w:val="00580CAC"/>
    <w:rsid w:val="00580D81"/>
    <w:rsid w:val="00581322"/>
    <w:rsid w:val="00582B6B"/>
    <w:rsid w:val="00583FB4"/>
    <w:rsid w:val="0058679A"/>
    <w:rsid w:val="00586E6D"/>
    <w:rsid w:val="00591048"/>
    <w:rsid w:val="00593617"/>
    <w:rsid w:val="00593C7D"/>
    <w:rsid w:val="00595774"/>
    <w:rsid w:val="005A0F1F"/>
    <w:rsid w:val="005A2B36"/>
    <w:rsid w:val="005A30A6"/>
    <w:rsid w:val="005A5747"/>
    <w:rsid w:val="005A6424"/>
    <w:rsid w:val="005A6ACE"/>
    <w:rsid w:val="005B0330"/>
    <w:rsid w:val="005B2A78"/>
    <w:rsid w:val="005B3075"/>
    <w:rsid w:val="005B32F3"/>
    <w:rsid w:val="005B33D1"/>
    <w:rsid w:val="005B3487"/>
    <w:rsid w:val="005B4026"/>
    <w:rsid w:val="005B4469"/>
    <w:rsid w:val="005B4745"/>
    <w:rsid w:val="005B5D11"/>
    <w:rsid w:val="005B6231"/>
    <w:rsid w:val="005B62DE"/>
    <w:rsid w:val="005B6BEB"/>
    <w:rsid w:val="005B6CD3"/>
    <w:rsid w:val="005B79BC"/>
    <w:rsid w:val="005B7E6E"/>
    <w:rsid w:val="005C1D8F"/>
    <w:rsid w:val="005C2851"/>
    <w:rsid w:val="005C34E1"/>
    <w:rsid w:val="005C37A9"/>
    <w:rsid w:val="005C523E"/>
    <w:rsid w:val="005C52F2"/>
    <w:rsid w:val="005C6459"/>
    <w:rsid w:val="005D09C8"/>
    <w:rsid w:val="005D1E4B"/>
    <w:rsid w:val="005D3AD8"/>
    <w:rsid w:val="005D54C8"/>
    <w:rsid w:val="005D58FC"/>
    <w:rsid w:val="005D6BC6"/>
    <w:rsid w:val="005D7D49"/>
    <w:rsid w:val="005E13EE"/>
    <w:rsid w:val="005E1A04"/>
    <w:rsid w:val="005E3178"/>
    <w:rsid w:val="005E3A0D"/>
    <w:rsid w:val="005E4548"/>
    <w:rsid w:val="005E5236"/>
    <w:rsid w:val="005E5AFD"/>
    <w:rsid w:val="005E6757"/>
    <w:rsid w:val="005E6E3A"/>
    <w:rsid w:val="005E6F0C"/>
    <w:rsid w:val="005E7E66"/>
    <w:rsid w:val="005F2AAE"/>
    <w:rsid w:val="005F2EB0"/>
    <w:rsid w:val="005F2FF1"/>
    <w:rsid w:val="005F3CC2"/>
    <w:rsid w:val="005F4EB6"/>
    <w:rsid w:val="005F570F"/>
    <w:rsid w:val="005F5726"/>
    <w:rsid w:val="005F6D17"/>
    <w:rsid w:val="005F6F39"/>
    <w:rsid w:val="006005E1"/>
    <w:rsid w:val="00600BE3"/>
    <w:rsid w:val="00600F5A"/>
    <w:rsid w:val="00606E6E"/>
    <w:rsid w:val="0060788F"/>
    <w:rsid w:val="006101D5"/>
    <w:rsid w:val="0061081A"/>
    <w:rsid w:val="00611823"/>
    <w:rsid w:val="00611F0A"/>
    <w:rsid w:val="006124B2"/>
    <w:rsid w:val="006129C1"/>
    <w:rsid w:val="00612ADB"/>
    <w:rsid w:val="00613DC2"/>
    <w:rsid w:val="0061557F"/>
    <w:rsid w:val="00616089"/>
    <w:rsid w:val="00617770"/>
    <w:rsid w:val="0061783A"/>
    <w:rsid w:val="006217EB"/>
    <w:rsid w:val="00621C99"/>
    <w:rsid w:val="006237A6"/>
    <w:rsid w:val="00623B42"/>
    <w:rsid w:val="00623D10"/>
    <w:rsid w:val="00625D3B"/>
    <w:rsid w:val="006260A6"/>
    <w:rsid w:val="00626F0E"/>
    <w:rsid w:val="00626FFD"/>
    <w:rsid w:val="00627D3C"/>
    <w:rsid w:val="00627DC0"/>
    <w:rsid w:val="00627F54"/>
    <w:rsid w:val="00627F6C"/>
    <w:rsid w:val="00630951"/>
    <w:rsid w:val="00632F9E"/>
    <w:rsid w:val="00633CC7"/>
    <w:rsid w:val="00635721"/>
    <w:rsid w:val="00640AE0"/>
    <w:rsid w:val="00641B75"/>
    <w:rsid w:val="00641CCB"/>
    <w:rsid w:val="006447D2"/>
    <w:rsid w:val="0064543A"/>
    <w:rsid w:val="00646996"/>
    <w:rsid w:val="006478D0"/>
    <w:rsid w:val="00650FAD"/>
    <w:rsid w:val="00652B73"/>
    <w:rsid w:val="00655497"/>
    <w:rsid w:val="00655F56"/>
    <w:rsid w:val="006561A3"/>
    <w:rsid w:val="00657905"/>
    <w:rsid w:val="00660195"/>
    <w:rsid w:val="006609BF"/>
    <w:rsid w:val="0066118A"/>
    <w:rsid w:val="00661AC4"/>
    <w:rsid w:val="006620BC"/>
    <w:rsid w:val="00662FAB"/>
    <w:rsid w:val="006649C9"/>
    <w:rsid w:val="00665566"/>
    <w:rsid w:val="0066599E"/>
    <w:rsid w:val="006659E7"/>
    <w:rsid w:val="00666B67"/>
    <w:rsid w:val="006670E5"/>
    <w:rsid w:val="006675C7"/>
    <w:rsid w:val="00667DA4"/>
    <w:rsid w:val="006706C9"/>
    <w:rsid w:val="00670AFD"/>
    <w:rsid w:val="00670CF7"/>
    <w:rsid w:val="00671127"/>
    <w:rsid w:val="00671E5B"/>
    <w:rsid w:val="00672F61"/>
    <w:rsid w:val="0067603D"/>
    <w:rsid w:val="006807BE"/>
    <w:rsid w:val="00681FC8"/>
    <w:rsid w:val="00682226"/>
    <w:rsid w:val="00684302"/>
    <w:rsid w:val="006852D1"/>
    <w:rsid w:val="00685643"/>
    <w:rsid w:val="00686C33"/>
    <w:rsid w:val="0069079A"/>
    <w:rsid w:val="00690B86"/>
    <w:rsid w:val="00693066"/>
    <w:rsid w:val="00695283"/>
    <w:rsid w:val="0069601B"/>
    <w:rsid w:val="00697167"/>
    <w:rsid w:val="006A0801"/>
    <w:rsid w:val="006A0CA6"/>
    <w:rsid w:val="006A1B22"/>
    <w:rsid w:val="006A1C12"/>
    <w:rsid w:val="006A285F"/>
    <w:rsid w:val="006A417C"/>
    <w:rsid w:val="006A48D4"/>
    <w:rsid w:val="006A5054"/>
    <w:rsid w:val="006A50ED"/>
    <w:rsid w:val="006A6D3C"/>
    <w:rsid w:val="006A6F2F"/>
    <w:rsid w:val="006A7C32"/>
    <w:rsid w:val="006B045D"/>
    <w:rsid w:val="006B1FCE"/>
    <w:rsid w:val="006B24A0"/>
    <w:rsid w:val="006B311D"/>
    <w:rsid w:val="006B3DB2"/>
    <w:rsid w:val="006B4813"/>
    <w:rsid w:val="006B4B9B"/>
    <w:rsid w:val="006B6B03"/>
    <w:rsid w:val="006B6D07"/>
    <w:rsid w:val="006B735B"/>
    <w:rsid w:val="006C0EF5"/>
    <w:rsid w:val="006C1D77"/>
    <w:rsid w:val="006C2C67"/>
    <w:rsid w:val="006C3911"/>
    <w:rsid w:val="006C3D5E"/>
    <w:rsid w:val="006C570A"/>
    <w:rsid w:val="006C59D2"/>
    <w:rsid w:val="006C60B2"/>
    <w:rsid w:val="006C7435"/>
    <w:rsid w:val="006C7AE6"/>
    <w:rsid w:val="006C7F1E"/>
    <w:rsid w:val="006D01F4"/>
    <w:rsid w:val="006D0380"/>
    <w:rsid w:val="006D0549"/>
    <w:rsid w:val="006D0C23"/>
    <w:rsid w:val="006D10D7"/>
    <w:rsid w:val="006D1530"/>
    <w:rsid w:val="006D1B24"/>
    <w:rsid w:val="006D1DBD"/>
    <w:rsid w:val="006D31CE"/>
    <w:rsid w:val="006D3807"/>
    <w:rsid w:val="006D4B04"/>
    <w:rsid w:val="006D594B"/>
    <w:rsid w:val="006D6086"/>
    <w:rsid w:val="006D7142"/>
    <w:rsid w:val="006E0B7F"/>
    <w:rsid w:val="006E1037"/>
    <w:rsid w:val="006E2223"/>
    <w:rsid w:val="006E2BF6"/>
    <w:rsid w:val="006E33F9"/>
    <w:rsid w:val="006E39FB"/>
    <w:rsid w:val="006E459C"/>
    <w:rsid w:val="006E483B"/>
    <w:rsid w:val="006E4A68"/>
    <w:rsid w:val="006E4D3C"/>
    <w:rsid w:val="006E6626"/>
    <w:rsid w:val="006E6891"/>
    <w:rsid w:val="006E6972"/>
    <w:rsid w:val="006E74D0"/>
    <w:rsid w:val="006E7788"/>
    <w:rsid w:val="006E78B1"/>
    <w:rsid w:val="006F0613"/>
    <w:rsid w:val="006F0F67"/>
    <w:rsid w:val="006F1041"/>
    <w:rsid w:val="006F123D"/>
    <w:rsid w:val="006F17CF"/>
    <w:rsid w:val="006F1834"/>
    <w:rsid w:val="006F1B52"/>
    <w:rsid w:val="006F1FD7"/>
    <w:rsid w:val="006F2054"/>
    <w:rsid w:val="006F20E0"/>
    <w:rsid w:val="006F2FD7"/>
    <w:rsid w:val="006F7726"/>
    <w:rsid w:val="007002AF"/>
    <w:rsid w:val="00701CB4"/>
    <w:rsid w:val="00702577"/>
    <w:rsid w:val="00702E17"/>
    <w:rsid w:val="00704353"/>
    <w:rsid w:val="0070447A"/>
    <w:rsid w:val="0070475C"/>
    <w:rsid w:val="00704A06"/>
    <w:rsid w:val="007057FD"/>
    <w:rsid w:val="00705BE2"/>
    <w:rsid w:val="007060B7"/>
    <w:rsid w:val="00706CB0"/>
    <w:rsid w:val="00712CCA"/>
    <w:rsid w:val="007151E0"/>
    <w:rsid w:val="00715D68"/>
    <w:rsid w:val="00716FC6"/>
    <w:rsid w:val="00722204"/>
    <w:rsid w:val="00723F4F"/>
    <w:rsid w:val="00725CF0"/>
    <w:rsid w:val="007272DD"/>
    <w:rsid w:val="00727459"/>
    <w:rsid w:val="007275AE"/>
    <w:rsid w:val="007277A4"/>
    <w:rsid w:val="00727B17"/>
    <w:rsid w:val="00727B3E"/>
    <w:rsid w:val="00727FA4"/>
    <w:rsid w:val="00730B37"/>
    <w:rsid w:val="007316F1"/>
    <w:rsid w:val="007318D8"/>
    <w:rsid w:val="00735120"/>
    <w:rsid w:val="00735A6A"/>
    <w:rsid w:val="00735DB1"/>
    <w:rsid w:val="00736B4F"/>
    <w:rsid w:val="00737F1A"/>
    <w:rsid w:val="007413A7"/>
    <w:rsid w:val="0074191F"/>
    <w:rsid w:val="00742039"/>
    <w:rsid w:val="007427DA"/>
    <w:rsid w:val="007428B1"/>
    <w:rsid w:val="00743499"/>
    <w:rsid w:val="007439CD"/>
    <w:rsid w:val="00744727"/>
    <w:rsid w:val="007452E4"/>
    <w:rsid w:val="00745801"/>
    <w:rsid w:val="00745E87"/>
    <w:rsid w:val="007470B7"/>
    <w:rsid w:val="00750F82"/>
    <w:rsid w:val="00751BA2"/>
    <w:rsid w:val="00751C70"/>
    <w:rsid w:val="00752127"/>
    <w:rsid w:val="007521BC"/>
    <w:rsid w:val="00754AEB"/>
    <w:rsid w:val="00755D79"/>
    <w:rsid w:val="0075692D"/>
    <w:rsid w:val="00757762"/>
    <w:rsid w:val="00764010"/>
    <w:rsid w:val="0076403B"/>
    <w:rsid w:val="007658F2"/>
    <w:rsid w:val="00767410"/>
    <w:rsid w:val="0076753C"/>
    <w:rsid w:val="00767E35"/>
    <w:rsid w:val="00770FCD"/>
    <w:rsid w:val="007723CB"/>
    <w:rsid w:val="007762C0"/>
    <w:rsid w:val="00777377"/>
    <w:rsid w:val="007775AA"/>
    <w:rsid w:val="00781857"/>
    <w:rsid w:val="00782261"/>
    <w:rsid w:val="0078303E"/>
    <w:rsid w:val="00784585"/>
    <w:rsid w:val="007863BE"/>
    <w:rsid w:val="00786825"/>
    <w:rsid w:val="00787726"/>
    <w:rsid w:val="00787CFF"/>
    <w:rsid w:val="00793AF8"/>
    <w:rsid w:val="007963C2"/>
    <w:rsid w:val="0079656A"/>
    <w:rsid w:val="0079754F"/>
    <w:rsid w:val="007979A1"/>
    <w:rsid w:val="00797A9D"/>
    <w:rsid w:val="007A0C2C"/>
    <w:rsid w:val="007A18F3"/>
    <w:rsid w:val="007A27BD"/>
    <w:rsid w:val="007A2C25"/>
    <w:rsid w:val="007A34D8"/>
    <w:rsid w:val="007A4269"/>
    <w:rsid w:val="007A42CB"/>
    <w:rsid w:val="007A437E"/>
    <w:rsid w:val="007A4A7E"/>
    <w:rsid w:val="007A5A22"/>
    <w:rsid w:val="007A5FB8"/>
    <w:rsid w:val="007A67F8"/>
    <w:rsid w:val="007B0081"/>
    <w:rsid w:val="007B0AD5"/>
    <w:rsid w:val="007B0C2D"/>
    <w:rsid w:val="007B129E"/>
    <w:rsid w:val="007B1F9A"/>
    <w:rsid w:val="007B4D60"/>
    <w:rsid w:val="007B7FA8"/>
    <w:rsid w:val="007C4817"/>
    <w:rsid w:val="007C48EC"/>
    <w:rsid w:val="007C62DE"/>
    <w:rsid w:val="007C74CB"/>
    <w:rsid w:val="007D19B1"/>
    <w:rsid w:val="007D29A7"/>
    <w:rsid w:val="007D2C9B"/>
    <w:rsid w:val="007D477B"/>
    <w:rsid w:val="007D4EB1"/>
    <w:rsid w:val="007D5BA2"/>
    <w:rsid w:val="007D5D3E"/>
    <w:rsid w:val="007D62C1"/>
    <w:rsid w:val="007E2103"/>
    <w:rsid w:val="007E3F35"/>
    <w:rsid w:val="007E4FAE"/>
    <w:rsid w:val="007E75E7"/>
    <w:rsid w:val="007E7604"/>
    <w:rsid w:val="007F1663"/>
    <w:rsid w:val="007F2C3D"/>
    <w:rsid w:val="007F2E7D"/>
    <w:rsid w:val="007F2F4F"/>
    <w:rsid w:val="007F3E2A"/>
    <w:rsid w:val="007F4080"/>
    <w:rsid w:val="007F5D69"/>
    <w:rsid w:val="007F5FFD"/>
    <w:rsid w:val="007F6600"/>
    <w:rsid w:val="007F6C57"/>
    <w:rsid w:val="00800E56"/>
    <w:rsid w:val="008030E2"/>
    <w:rsid w:val="00805A47"/>
    <w:rsid w:val="00806AE4"/>
    <w:rsid w:val="00806DAB"/>
    <w:rsid w:val="00807436"/>
    <w:rsid w:val="0080755F"/>
    <w:rsid w:val="00807E34"/>
    <w:rsid w:val="00810E60"/>
    <w:rsid w:val="00810F4C"/>
    <w:rsid w:val="008138A4"/>
    <w:rsid w:val="008140EE"/>
    <w:rsid w:val="008152F6"/>
    <w:rsid w:val="00816469"/>
    <w:rsid w:val="00816C1C"/>
    <w:rsid w:val="008170B8"/>
    <w:rsid w:val="00817815"/>
    <w:rsid w:val="008178C5"/>
    <w:rsid w:val="00817B0C"/>
    <w:rsid w:val="008216CB"/>
    <w:rsid w:val="008216EA"/>
    <w:rsid w:val="00821AAF"/>
    <w:rsid w:val="008227E2"/>
    <w:rsid w:val="0082394F"/>
    <w:rsid w:val="00823C10"/>
    <w:rsid w:val="0082636D"/>
    <w:rsid w:val="008263A0"/>
    <w:rsid w:val="00826C84"/>
    <w:rsid w:val="0082742F"/>
    <w:rsid w:val="00827532"/>
    <w:rsid w:val="00831474"/>
    <w:rsid w:val="008329FC"/>
    <w:rsid w:val="00832A21"/>
    <w:rsid w:val="00832D42"/>
    <w:rsid w:val="00836510"/>
    <w:rsid w:val="008423CD"/>
    <w:rsid w:val="008423DF"/>
    <w:rsid w:val="00843255"/>
    <w:rsid w:val="0084339F"/>
    <w:rsid w:val="00843C14"/>
    <w:rsid w:val="00843DBF"/>
    <w:rsid w:val="008477B7"/>
    <w:rsid w:val="0085013F"/>
    <w:rsid w:val="008503C4"/>
    <w:rsid w:val="00850556"/>
    <w:rsid w:val="00851860"/>
    <w:rsid w:val="00851909"/>
    <w:rsid w:val="00851F67"/>
    <w:rsid w:val="00852184"/>
    <w:rsid w:val="00852E08"/>
    <w:rsid w:val="00853782"/>
    <w:rsid w:val="008552F0"/>
    <w:rsid w:val="00855FEA"/>
    <w:rsid w:val="0085661A"/>
    <w:rsid w:val="00856950"/>
    <w:rsid w:val="0086017C"/>
    <w:rsid w:val="00861371"/>
    <w:rsid w:val="00865287"/>
    <w:rsid w:val="00865815"/>
    <w:rsid w:val="00867457"/>
    <w:rsid w:val="00867550"/>
    <w:rsid w:val="00870062"/>
    <w:rsid w:val="00870D3D"/>
    <w:rsid w:val="00870DB1"/>
    <w:rsid w:val="00870DCB"/>
    <w:rsid w:val="00870E85"/>
    <w:rsid w:val="008727E1"/>
    <w:rsid w:val="00872B02"/>
    <w:rsid w:val="00872BA7"/>
    <w:rsid w:val="00873848"/>
    <w:rsid w:val="00875DB9"/>
    <w:rsid w:val="00876B3F"/>
    <w:rsid w:val="0087756B"/>
    <w:rsid w:val="00877C01"/>
    <w:rsid w:val="0088032F"/>
    <w:rsid w:val="008803F7"/>
    <w:rsid w:val="00880997"/>
    <w:rsid w:val="008810B9"/>
    <w:rsid w:val="00881839"/>
    <w:rsid w:val="0088248C"/>
    <w:rsid w:val="00882949"/>
    <w:rsid w:val="0088399F"/>
    <w:rsid w:val="0088517A"/>
    <w:rsid w:val="00885D5C"/>
    <w:rsid w:val="008921FE"/>
    <w:rsid w:val="00892FD2"/>
    <w:rsid w:val="008945E0"/>
    <w:rsid w:val="008954BE"/>
    <w:rsid w:val="00896DDC"/>
    <w:rsid w:val="008A0DC7"/>
    <w:rsid w:val="008A1021"/>
    <w:rsid w:val="008A10AB"/>
    <w:rsid w:val="008A1BC5"/>
    <w:rsid w:val="008A2EF7"/>
    <w:rsid w:val="008A3082"/>
    <w:rsid w:val="008A47DB"/>
    <w:rsid w:val="008A5B1E"/>
    <w:rsid w:val="008B1B2D"/>
    <w:rsid w:val="008B1D9F"/>
    <w:rsid w:val="008B2055"/>
    <w:rsid w:val="008B2E63"/>
    <w:rsid w:val="008B4D39"/>
    <w:rsid w:val="008B575E"/>
    <w:rsid w:val="008B6F39"/>
    <w:rsid w:val="008B709A"/>
    <w:rsid w:val="008C2081"/>
    <w:rsid w:val="008C2EA5"/>
    <w:rsid w:val="008C3031"/>
    <w:rsid w:val="008C3332"/>
    <w:rsid w:val="008C3E66"/>
    <w:rsid w:val="008C4B58"/>
    <w:rsid w:val="008C51E2"/>
    <w:rsid w:val="008D1364"/>
    <w:rsid w:val="008D24C2"/>
    <w:rsid w:val="008D59BD"/>
    <w:rsid w:val="008D5B58"/>
    <w:rsid w:val="008D672C"/>
    <w:rsid w:val="008D74FC"/>
    <w:rsid w:val="008D78C4"/>
    <w:rsid w:val="008E25F8"/>
    <w:rsid w:val="008E41A0"/>
    <w:rsid w:val="008E47F8"/>
    <w:rsid w:val="008E58EC"/>
    <w:rsid w:val="008E7225"/>
    <w:rsid w:val="008E7A83"/>
    <w:rsid w:val="008F0204"/>
    <w:rsid w:val="008F0B26"/>
    <w:rsid w:val="008F16E3"/>
    <w:rsid w:val="008F5F3D"/>
    <w:rsid w:val="008F74FC"/>
    <w:rsid w:val="008F7DF3"/>
    <w:rsid w:val="00900B45"/>
    <w:rsid w:val="00901221"/>
    <w:rsid w:val="0090148F"/>
    <w:rsid w:val="009018AA"/>
    <w:rsid w:val="00903048"/>
    <w:rsid w:val="0090323C"/>
    <w:rsid w:val="00903461"/>
    <w:rsid w:val="009037AE"/>
    <w:rsid w:val="00903B2B"/>
    <w:rsid w:val="00903CD5"/>
    <w:rsid w:val="009044FE"/>
    <w:rsid w:val="009047EC"/>
    <w:rsid w:val="00904CB0"/>
    <w:rsid w:val="00904DAA"/>
    <w:rsid w:val="00904DC5"/>
    <w:rsid w:val="00905097"/>
    <w:rsid w:val="00906AD5"/>
    <w:rsid w:val="0091008D"/>
    <w:rsid w:val="00911548"/>
    <w:rsid w:val="00911C5A"/>
    <w:rsid w:val="00912365"/>
    <w:rsid w:val="00912566"/>
    <w:rsid w:val="009125F3"/>
    <w:rsid w:val="00913621"/>
    <w:rsid w:val="00913FA9"/>
    <w:rsid w:val="00914D01"/>
    <w:rsid w:val="00914F4D"/>
    <w:rsid w:val="00916559"/>
    <w:rsid w:val="00916E4A"/>
    <w:rsid w:val="00916F9A"/>
    <w:rsid w:val="00917C55"/>
    <w:rsid w:val="00917E12"/>
    <w:rsid w:val="0092250B"/>
    <w:rsid w:val="00923F06"/>
    <w:rsid w:val="009240BD"/>
    <w:rsid w:val="00927226"/>
    <w:rsid w:val="009274AC"/>
    <w:rsid w:val="009301E5"/>
    <w:rsid w:val="00931E73"/>
    <w:rsid w:val="0093226C"/>
    <w:rsid w:val="00932751"/>
    <w:rsid w:val="00933B0C"/>
    <w:rsid w:val="00935116"/>
    <w:rsid w:val="00935948"/>
    <w:rsid w:val="00941124"/>
    <w:rsid w:val="009435D2"/>
    <w:rsid w:val="00945049"/>
    <w:rsid w:val="00946CA9"/>
    <w:rsid w:val="00946EE9"/>
    <w:rsid w:val="0094700C"/>
    <w:rsid w:val="00947734"/>
    <w:rsid w:val="009501D6"/>
    <w:rsid w:val="009504A3"/>
    <w:rsid w:val="00950E45"/>
    <w:rsid w:val="00950F90"/>
    <w:rsid w:val="00951488"/>
    <w:rsid w:val="0095149D"/>
    <w:rsid w:val="00951CC2"/>
    <w:rsid w:val="00951EF3"/>
    <w:rsid w:val="00952229"/>
    <w:rsid w:val="00953E8F"/>
    <w:rsid w:val="0095431E"/>
    <w:rsid w:val="00954703"/>
    <w:rsid w:val="00955F15"/>
    <w:rsid w:val="00956866"/>
    <w:rsid w:val="009571B1"/>
    <w:rsid w:val="00960048"/>
    <w:rsid w:val="00960921"/>
    <w:rsid w:val="00960A7E"/>
    <w:rsid w:val="00960C4D"/>
    <w:rsid w:val="00960F65"/>
    <w:rsid w:val="009613BE"/>
    <w:rsid w:val="009633B7"/>
    <w:rsid w:val="0096389C"/>
    <w:rsid w:val="00963900"/>
    <w:rsid w:val="00964308"/>
    <w:rsid w:val="009646E9"/>
    <w:rsid w:val="009649CA"/>
    <w:rsid w:val="009651F9"/>
    <w:rsid w:val="0096529D"/>
    <w:rsid w:val="009669FC"/>
    <w:rsid w:val="00966A35"/>
    <w:rsid w:val="00966B93"/>
    <w:rsid w:val="00967430"/>
    <w:rsid w:val="0097085A"/>
    <w:rsid w:val="009735E0"/>
    <w:rsid w:val="0097442F"/>
    <w:rsid w:val="009825FA"/>
    <w:rsid w:val="00982E1D"/>
    <w:rsid w:val="00982F91"/>
    <w:rsid w:val="00983279"/>
    <w:rsid w:val="00983C87"/>
    <w:rsid w:val="00984032"/>
    <w:rsid w:val="00984733"/>
    <w:rsid w:val="00985304"/>
    <w:rsid w:val="00986C4F"/>
    <w:rsid w:val="009916FB"/>
    <w:rsid w:val="00991FC4"/>
    <w:rsid w:val="00993B15"/>
    <w:rsid w:val="00995C0C"/>
    <w:rsid w:val="00996668"/>
    <w:rsid w:val="00997A3E"/>
    <w:rsid w:val="00997B95"/>
    <w:rsid w:val="009A036D"/>
    <w:rsid w:val="009A0D31"/>
    <w:rsid w:val="009A1BE1"/>
    <w:rsid w:val="009A21A8"/>
    <w:rsid w:val="009A3078"/>
    <w:rsid w:val="009A3996"/>
    <w:rsid w:val="009A4082"/>
    <w:rsid w:val="009A445A"/>
    <w:rsid w:val="009A4A98"/>
    <w:rsid w:val="009A5029"/>
    <w:rsid w:val="009A5CBD"/>
    <w:rsid w:val="009A6934"/>
    <w:rsid w:val="009B0158"/>
    <w:rsid w:val="009B5E85"/>
    <w:rsid w:val="009C156E"/>
    <w:rsid w:val="009C1BFB"/>
    <w:rsid w:val="009C2B90"/>
    <w:rsid w:val="009C3404"/>
    <w:rsid w:val="009C4285"/>
    <w:rsid w:val="009C5253"/>
    <w:rsid w:val="009C613C"/>
    <w:rsid w:val="009C6509"/>
    <w:rsid w:val="009C7562"/>
    <w:rsid w:val="009D2A0F"/>
    <w:rsid w:val="009D3011"/>
    <w:rsid w:val="009D38B3"/>
    <w:rsid w:val="009D3C70"/>
    <w:rsid w:val="009D3F2A"/>
    <w:rsid w:val="009D3F52"/>
    <w:rsid w:val="009D4C45"/>
    <w:rsid w:val="009D5266"/>
    <w:rsid w:val="009D703F"/>
    <w:rsid w:val="009D763E"/>
    <w:rsid w:val="009D7693"/>
    <w:rsid w:val="009E145E"/>
    <w:rsid w:val="009E1F69"/>
    <w:rsid w:val="009E21DB"/>
    <w:rsid w:val="009E25AF"/>
    <w:rsid w:val="009E55FF"/>
    <w:rsid w:val="009E5A6D"/>
    <w:rsid w:val="009E68F6"/>
    <w:rsid w:val="009E70AC"/>
    <w:rsid w:val="009E7112"/>
    <w:rsid w:val="009F08B4"/>
    <w:rsid w:val="009F644D"/>
    <w:rsid w:val="009F7278"/>
    <w:rsid w:val="009F7AD9"/>
    <w:rsid w:val="00A013C3"/>
    <w:rsid w:val="00A01BA3"/>
    <w:rsid w:val="00A01E4A"/>
    <w:rsid w:val="00A01EA9"/>
    <w:rsid w:val="00A02122"/>
    <w:rsid w:val="00A021E8"/>
    <w:rsid w:val="00A02743"/>
    <w:rsid w:val="00A06AF2"/>
    <w:rsid w:val="00A12552"/>
    <w:rsid w:val="00A135B6"/>
    <w:rsid w:val="00A13814"/>
    <w:rsid w:val="00A17697"/>
    <w:rsid w:val="00A17AC2"/>
    <w:rsid w:val="00A20A1E"/>
    <w:rsid w:val="00A213FE"/>
    <w:rsid w:val="00A246D3"/>
    <w:rsid w:val="00A25249"/>
    <w:rsid w:val="00A26076"/>
    <w:rsid w:val="00A26C0C"/>
    <w:rsid w:val="00A27558"/>
    <w:rsid w:val="00A27D37"/>
    <w:rsid w:val="00A30458"/>
    <w:rsid w:val="00A30DD1"/>
    <w:rsid w:val="00A310FD"/>
    <w:rsid w:val="00A3229E"/>
    <w:rsid w:val="00A329F4"/>
    <w:rsid w:val="00A337B3"/>
    <w:rsid w:val="00A339F9"/>
    <w:rsid w:val="00A35169"/>
    <w:rsid w:val="00A360D8"/>
    <w:rsid w:val="00A367E3"/>
    <w:rsid w:val="00A37060"/>
    <w:rsid w:val="00A37090"/>
    <w:rsid w:val="00A378D3"/>
    <w:rsid w:val="00A379FE"/>
    <w:rsid w:val="00A37F99"/>
    <w:rsid w:val="00A405CA"/>
    <w:rsid w:val="00A414BA"/>
    <w:rsid w:val="00A41F70"/>
    <w:rsid w:val="00A42280"/>
    <w:rsid w:val="00A42A97"/>
    <w:rsid w:val="00A42D60"/>
    <w:rsid w:val="00A45059"/>
    <w:rsid w:val="00A466BC"/>
    <w:rsid w:val="00A46E6A"/>
    <w:rsid w:val="00A47DC0"/>
    <w:rsid w:val="00A504EE"/>
    <w:rsid w:val="00A52972"/>
    <w:rsid w:val="00A52B01"/>
    <w:rsid w:val="00A53197"/>
    <w:rsid w:val="00A533FD"/>
    <w:rsid w:val="00A550BE"/>
    <w:rsid w:val="00A56C43"/>
    <w:rsid w:val="00A570F8"/>
    <w:rsid w:val="00A57316"/>
    <w:rsid w:val="00A5791B"/>
    <w:rsid w:val="00A6022A"/>
    <w:rsid w:val="00A60BBB"/>
    <w:rsid w:val="00A60EFB"/>
    <w:rsid w:val="00A63FE8"/>
    <w:rsid w:val="00A64880"/>
    <w:rsid w:val="00A64A0B"/>
    <w:rsid w:val="00A65DF2"/>
    <w:rsid w:val="00A66EB5"/>
    <w:rsid w:val="00A71A6A"/>
    <w:rsid w:val="00A71D13"/>
    <w:rsid w:val="00A71E24"/>
    <w:rsid w:val="00A722ED"/>
    <w:rsid w:val="00A72877"/>
    <w:rsid w:val="00A73F35"/>
    <w:rsid w:val="00A74B20"/>
    <w:rsid w:val="00A74EBE"/>
    <w:rsid w:val="00A753B2"/>
    <w:rsid w:val="00A75C9F"/>
    <w:rsid w:val="00A75E10"/>
    <w:rsid w:val="00A76948"/>
    <w:rsid w:val="00A7746E"/>
    <w:rsid w:val="00A779E9"/>
    <w:rsid w:val="00A77C3A"/>
    <w:rsid w:val="00A77C63"/>
    <w:rsid w:val="00A80529"/>
    <w:rsid w:val="00A807D5"/>
    <w:rsid w:val="00A82A47"/>
    <w:rsid w:val="00A85371"/>
    <w:rsid w:val="00A855C7"/>
    <w:rsid w:val="00A861B7"/>
    <w:rsid w:val="00A86E0B"/>
    <w:rsid w:val="00A87359"/>
    <w:rsid w:val="00A8770E"/>
    <w:rsid w:val="00A90D2C"/>
    <w:rsid w:val="00A91017"/>
    <w:rsid w:val="00A92A62"/>
    <w:rsid w:val="00A92C12"/>
    <w:rsid w:val="00A93033"/>
    <w:rsid w:val="00A93267"/>
    <w:rsid w:val="00A939E4"/>
    <w:rsid w:val="00A93F8C"/>
    <w:rsid w:val="00A97B46"/>
    <w:rsid w:val="00A97CEC"/>
    <w:rsid w:val="00AA09B4"/>
    <w:rsid w:val="00AA0EBA"/>
    <w:rsid w:val="00AA1111"/>
    <w:rsid w:val="00AA1A9E"/>
    <w:rsid w:val="00AA2CCC"/>
    <w:rsid w:val="00AA31AB"/>
    <w:rsid w:val="00AA4BCE"/>
    <w:rsid w:val="00AA54E8"/>
    <w:rsid w:val="00AA5D67"/>
    <w:rsid w:val="00AA7683"/>
    <w:rsid w:val="00AA7996"/>
    <w:rsid w:val="00AB259B"/>
    <w:rsid w:val="00AB412A"/>
    <w:rsid w:val="00AB6069"/>
    <w:rsid w:val="00AC10AE"/>
    <w:rsid w:val="00AC12F7"/>
    <w:rsid w:val="00AC20DA"/>
    <w:rsid w:val="00AC2B81"/>
    <w:rsid w:val="00AC403F"/>
    <w:rsid w:val="00AC571F"/>
    <w:rsid w:val="00AC661C"/>
    <w:rsid w:val="00AC737F"/>
    <w:rsid w:val="00AC78D5"/>
    <w:rsid w:val="00AC7F53"/>
    <w:rsid w:val="00AD1911"/>
    <w:rsid w:val="00AD21AB"/>
    <w:rsid w:val="00AD2EE2"/>
    <w:rsid w:val="00AD30B4"/>
    <w:rsid w:val="00AD66BD"/>
    <w:rsid w:val="00AD7588"/>
    <w:rsid w:val="00AF0210"/>
    <w:rsid w:val="00AF042A"/>
    <w:rsid w:val="00AF0607"/>
    <w:rsid w:val="00AF1938"/>
    <w:rsid w:val="00AF2211"/>
    <w:rsid w:val="00AF2459"/>
    <w:rsid w:val="00AF383D"/>
    <w:rsid w:val="00AF4EBB"/>
    <w:rsid w:val="00AF4F2E"/>
    <w:rsid w:val="00AF4F3A"/>
    <w:rsid w:val="00AF54A0"/>
    <w:rsid w:val="00AF5883"/>
    <w:rsid w:val="00AF6C3F"/>
    <w:rsid w:val="00AF6F2F"/>
    <w:rsid w:val="00B00124"/>
    <w:rsid w:val="00B007EC"/>
    <w:rsid w:val="00B015D5"/>
    <w:rsid w:val="00B01DE9"/>
    <w:rsid w:val="00B02E65"/>
    <w:rsid w:val="00B04561"/>
    <w:rsid w:val="00B04694"/>
    <w:rsid w:val="00B05BBF"/>
    <w:rsid w:val="00B065E3"/>
    <w:rsid w:val="00B07207"/>
    <w:rsid w:val="00B072C1"/>
    <w:rsid w:val="00B077BF"/>
    <w:rsid w:val="00B07A54"/>
    <w:rsid w:val="00B10625"/>
    <w:rsid w:val="00B10DE1"/>
    <w:rsid w:val="00B11A24"/>
    <w:rsid w:val="00B12008"/>
    <w:rsid w:val="00B12101"/>
    <w:rsid w:val="00B1216B"/>
    <w:rsid w:val="00B12680"/>
    <w:rsid w:val="00B12F7E"/>
    <w:rsid w:val="00B14AC1"/>
    <w:rsid w:val="00B157DA"/>
    <w:rsid w:val="00B17FDB"/>
    <w:rsid w:val="00B2070E"/>
    <w:rsid w:val="00B20790"/>
    <w:rsid w:val="00B21A0E"/>
    <w:rsid w:val="00B23054"/>
    <w:rsid w:val="00B24DCB"/>
    <w:rsid w:val="00B25208"/>
    <w:rsid w:val="00B27742"/>
    <w:rsid w:val="00B30751"/>
    <w:rsid w:val="00B30C23"/>
    <w:rsid w:val="00B31268"/>
    <w:rsid w:val="00B319A6"/>
    <w:rsid w:val="00B31B1C"/>
    <w:rsid w:val="00B31E81"/>
    <w:rsid w:val="00B3216A"/>
    <w:rsid w:val="00B32635"/>
    <w:rsid w:val="00B34527"/>
    <w:rsid w:val="00B35460"/>
    <w:rsid w:val="00B35591"/>
    <w:rsid w:val="00B364AE"/>
    <w:rsid w:val="00B378E9"/>
    <w:rsid w:val="00B40A8D"/>
    <w:rsid w:val="00B42600"/>
    <w:rsid w:val="00B45527"/>
    <w:rsid w:val="00B458AF"/>
    <w:rsid w:val="00B469C4"/>
    <w:rsid w:val="00B469ED"/>
    <w:rsid w:val="00B50584"/>
    <w:rsid w:val="00B50FDF"/>
    <w:rsid w:val="00B537C7"/>
    <w:rsid w:val="00B53F14"/>
    <w:rsid w:val="00B5438C"/>
    <w:rsid w:val="00B562C1"/>
    <w:rsid w:val="00B60481"/>
    <w:rsid w:val="00B61344"/>
    <w:rsid w:val="00B63F4A"/>
    <w:rsid w:val="00B66A63"/>
    <w:rsid w:val="00B672E1"/>
    <w:rsid w:val="00B674F3"/>
    <w:rsid w:val="00B70A19"/>
    <w:rsid w:val="00B72A61"/>
    <w:rsid w:val="00B73AC1"/>
    <w:rsid w:val="00B754F0"/>
    <w:rsid w:val="00B75AC0"/>
    <w:rsid w:val="00B80804"/>
    <w:rsid w:val="00B80C99"/>
    <w:rsid w:val="00B80D18"/>
    <w:rsid w:val="00B81319"/>
    <w:rsid w:val="00B8389A"/>
    <w:rsid w:val="00B8418B"/>
    <w:rsid w:val="00B847AE"/>
    <w:rsid w:val="00B86450"/>
    <w:rsid w:val="00B869DE"/>
    <w:rsid w:val="00B87532"/>
    <w:rsid w:val="00B87F48"/>
    <w:rsid w:val="00B912B1"/>
    <w:rsid w:val="00B91759"/>
    <w:rsid w:val="00B917AE"/>
    <w:rsid w:val="00B91DF8"/>
    <w:rsid w:val="00B92062"/>
    <w:rsid w:val="00B9231E"/>
    <w:rsid w:val="00B94D87"/>
    <w:rsid w:val="00B94F42"/>
    <w:rsid w:val="00BA02E2"/>
    <w:rsid w:val="00BA2010"/>
    <w:rsid w:val="00BA3542"/>
    <w:rsid w:val="00BA368B"/>
    <w:rsid w:val="00BA53AC"/>
    <w:rsid w:val="00BA59EB"/>
    <w:rsid w:val="00BA5B35"/>
    <w:rsid w:val="00BA60F0"/>
    <w:rsid w:val="00BB15CE"/>
    <w:rsid w:val="00BB19CF"/>
    <w:rsid w:val="00BB20A3"/>
    <w:rsid w:val="00BB27C5"/>
    <w:rsid w:val="00BB3D8B"/>
    <w:rsid w:val="00BB6A90"/>
    <w:rsid w:val="00BC09D2"/>
    <w:rsid w:val="00BC1EDE"/>
    <w:rsid w:val="00BC3A58"/>
    <w:rsid w:val="00BC3A5F"/>
    <w:rsid w:val="00BC471F"/>
    <w:rsid w:val="00BC6791"/>
    <w:rsid w:val="00BC7399"/>
    <w:rsid w:val="00BC7A63"/>
    <w:rsid w:val="00BD0098"/>
    <w:rsid w:val="00BD020F"/>
    <w:rsid w:val="00BD128A"/>
    <w:rsid w:val="00BD1C24"/>
    <w:rsid w:val="00BD2012"/>
    <w:rsid w:val="00BD2DFB"/>
    <w:rsid w:val="00BD416A"/>
    <w:rsid w:val="00BD4949"/>
    <w:rsid w:val="00BD4FB5"/>
    <w:rsid w:val="00BD5525"/>
    <w:rsid w:val="00BE01F8"/>
    <w:rsid w:val="00BE04A7"/>
    <w:rsid w:val="00BE0A01"/>
    <w:rsid w:val="00BE14DD"/>
    <w:rsid w:val="00BE31F6"/>
    <w:rsid w:val="00BE3BD8"/>
    <w:rsid w:val="00BE3F0B"/>
    <w:rsid w:val="00BE58E4"/>
    <w:rsid w:val="00BE5E0F"/>
    <w:rsid w:val="00BE5F56"/>
    <w:rsid w:val="00BE7A6F"/>
    <w:rsid w:val="00BF1E74"/>
    <w:rsid w:val="00BF45CB"/>
    <w:rsid w:val="00BF6570"/>
    <w:rsid w:val="00BF65C6"/>
    <w:rsid w:val="00BF6781"/>
    <w:rsid w:val="00BF7085"/>
    <w:rsid w:val="00BF7179"/>
    <w:rsid w:val="00C01FC0"/>
    <w:rsid w:val="00C02A03"/>
    <w:rsid w:val="00C054A3"/>
    <w:rsid w:val="00C06707"/>
    <w:rsid w:val="00C0786B"/>
    <w:rsid w:val="00C11C80"/>
    <w:rsid w:val="00C11E31"/>
    <w:rsid w:val="00C120AC"/>
    <w:rsid w:val="00C12E50"/>
    <w:rsid w:val="00C14582"/>
    <w:rsid w:val="00C14C50"/>
    <w:rsid w:val="00C153E4"/>
    <w:rsid w:val="00C1563B"/>
    <w:rsid w:val="00C16B9C"/>
    <w:rsid w:val="00C171A4"/>
    <w:rsid w:val="00C17328"/>
    <w:rsid w:val="00C17DD6"/>
    <w:rsid w:val="00C20339"/>
    <w:rsid w:val="00C2086F"/>
    <w:rsid w:val="00C2310E"/>
    <w:rsid w:val="00C24778"/>
    <w:rsid w:val="00C25EA5"/>
    <w:rsid w:val="00C262E0"/>
    <w:rsid w:val="00C26774"/>
    <w:rsid w:val="00C26BEC"/>
    <w:rsid w:val="00C27BBA"/>
    <w:rsid w:val="00C3267B"/>
    <w:rsid w:val="00C34F9D"/>
    <w:rsid w:val="00C35958"/>
    <w:rsid w:val="00C40E97"/>
    <w:rsid w:val="00C414CF"/>
    <w:rsid w:val="00C417F8"/>
    <w:rsid w:val="00C41D08"/>
    <w:rsid w:val="00C431CB"/>
    <w:rsid w:val="00C43D59"/>
    <w:rsid w:val="00C44084"/>
    <w:rsid w:val="00C445A8"/>
    <w:rsid w:val="00C4476F"/>
    <w:rsid w:val="00C51310"/>
    <w:rsid w:val="00C51684"/>
    <w:rsid w:val="00C519B3"/>
    <w:rsid w:val="00C5278F"/>
    <w:rsid w:val="00C5383C"/>
    <w:rsid w:val="00C5433E"/>
    <w:rsid w:val="00C54836"/>
    <w:rsid w:val="00C55C7C"/>
    <w:rsid w:val="00C56456"/>
    <w:rsid w:val="00C56B29"/>
    <w:rsid w:val="00C56D2C"/>
    <w:rsid w:val="00C61C1B"/>
    <w:rsid w:val="00C6323F"/>
    <w:rsid w:val="00C63319"/>
    <w:rsid w:val="00C63399"/>
    <w:rsid w:val="00C63A11"/>
    <w:rsid w:val="00C63ACA"/>
    <w:rsid w:val="00C646EC"/>
    <w:rsid w:val="00C66DEF"/>
    <w:rsid w:val="00C700D7"/>
    <w:rsid w:val="00C70403"/>
    <w:rsid w:val="00C70599"/>
    <w:rsid w:val="00C7136F"/>
    <w:rsid w:val="00C71579"/>
    <w:rsid w:val="00C71DBC"/>
    <w:rsid w:val="00C7277F"/>
    <w:rsid w:val="00C72C53"/>
    <w:rsid w:val="00C72EA0"/>
    <w:rsid w:val="00C75310"/>
    <w:rsid w:val="00C7636C"/>
    <w:rsid w:val="00C76B0E"/>
    <w:rsid w:val="00C76C94"/>
    <w:rsid w:val="00C77D88"/>
    <w:rsid w:val="00C80EE1"/>
    <w:rsid w:val="00C80F46"/>
    <w:rsid w:val="00C81033"/>
    <w:rsid w:val="00C82F41"/>
    <w:rsid w:val="00C83016"/>
    <w:rsid w:val="00C8306D"/>
    <w:rsid w:val="00C83FCE"/>
    <w:rsid w:val="00C849B5"/>
    <w:rsid w:val="00C8503A"/>
    <w:rsid w:val="00C85C8A"/>
    <w:rsid w:val="00C90956"/>
    <w:rsid w:val="00C90B4F"/>
    <w:rsid w:val="00C914F7"/>
    <w:rsid w:val="00C925C4"/>
    <w:rsid w:val="00C92EF7"/>
    <w:rsid w:val="00C9585F"/>
    <w:rsid w:val="00C970CE"/>
    <w:rsid w:val="00C97109"/>
    <w:rsid w:val="00C97593"/>
    <w:rsid w:val="00C97B6D"/>
    <w:rsid w:val="00CA1237"/>
    <w:rsid w:val="00CA1308"/>
    <w:rsid w:val="00CA1BD5"/>
    <w:rsid w:val="00CA22B7"/>
    <w:rsid w:val="00CA3BD1"/>
    <w:rsid w:val="00CA4AA5"/>
    <w:rsid w:val="00CA4C20"/>
    <w:rsid w:val="00CA5344"/>
    <w:rsid w:val="00CA6792"/>
    <w:rsid w:val="00CA7BDB"/>
    <w:rsid w:val="00CB0114"/>
    <w:rsid w:val="00CB1015"/>
    <w:rsid w:val="00CB11E5"/>
    <w:rsid w:val="00CB1513"/>
    <w:rsid w:val="00CB2F1C"/>
    <w:rsid w:val="00CB4D2D"/>
    <w:rsid w:val="00CB5C3D"/>
    <w:rsid w:val="00CB70C5"/>
    <w:rsid w:val="00CB713B"/>
    <w:rsid w:val="00CB79C7"/>
    <w:rsid w:val="00CC02BC"/>
    <w:rsid w:val="00CC0A0D"/>
    <w:rsid w:val="00CC0F2A"/>
    <w:rsid w:val="00CC16D9"/>
    <w:rsid w:val="00CC26F7"/>
    <w:rsid w:val="00CC2B93"/>
    <w:rsid w:val="00CC36F6"/>
    <w:rsid w:val="00CC4333"/>
    <w:rsid w:val="00CC4FDA"/>
    <w:rsid w:val="00CC52BE"/>
    <w:rsid w:val="00CC557A"/>
    <w:rsid w:val="00CC5606"/>
    <w:rsid w:val="00CC605A"/>
    <w:rsid w:val="00CC67FE"/>
    <w:rsid w:val="00CD0295"/>
    <w:rsid w:val="00CD0BF1"/>
    <w:rsid w:val="00CD11D4"/>
    <w:rsid w:val="00CD31CE"/>
    <w:rsid w:val="00CD5DDA"/>
    <w:rsid w:val="00CD6FE1"/>
    <w:rsid w:val="00CD78BC"/>
    <w:rsid w:val="00CD7C54"/>
    <w:rsid w:val="00CE0316"/>
    <w:rsid w:val="00CE1AA9"/>
    <w:rsid w:val="00CE29F0"/>
    <w:rsid w:val="00CE326A"/>
    <w:rsid w:val="00CE341C"/>
    <w:rsid w:val="00CE3D4E"/>
    <w:rsid w:val="00CE42AA"/>
    <w:rsid w:val="00CE4FFE"/>
    <w:rsid w:val="00CE50CD"/>
    <w:rsid w:val="00CE59EF"/>
    <w:rsid w:val="00CE5F65"/>
    <w:rsid w:val="00CE6649"/>
    <w:rsid w:val="00CE7BDD"/>
    <w:rsid w:val="00CF09D0"/>
    <w:rsid w:val="00CF3B44"/>
    <w:rsid w:val="00CF3D87"/>
    <w:rsid w:val="00CF40C8"/>
    <w:rsid w:val="00CF461E"/>
    <w:rsid w:val="00CF486C"/>
    <w:rsid w:val="00CF4D14"/>
    <w:rsid w:val="00CF4FB8"/>
    <w:rsid w:val="00CF5FF1"/>
    <w:rsid w:val="00CF61FD"/>
    <w:rsid w:val="00CF6D36"/>
    <w:rsid w:val="00CF7C2F"/>
    <w:rsid w:val="00CF7DD7"/>
    <w:rsid w:val="00D00CCD"/>
    <w:rsid w:val="00D00DAB"/>
    <w:rsid w:val="00D01151"/>
    <w:rsid w:val="00D014D2"/>
    <w:rsid w:val="00D0410C"/>
    <w:rsid w:val="00D0439B"/>
    <w:rsid w:val="00D108EA"/>
    <w:rsid w:val="00D11D6E"/>
    <w:rsid w:val="00D12681"/>
    <w:rsid w:val="00D13940"/>
    <w:rsid w:val="00D13E89"/>
    <w:rsid w:val="00D14A72"/>
    <w:rsid w:val="00D15428"/>
    <w:rsid w:val="00D1794E"/>
    <w:rsid w:val="00D17F4A"/>
    <w:rsid w:val="00D2058C"/>
    <w:rsid w:val="00D21033"/>
    <w:rsid w:val="00D22CF7"/>
    <w:rsid w:val="00D230AC"/>
    <w:rsid w:val="00D2457B"/>
    <w:rsid w:val="00D24F41"/>
    <w:rsid w:val="00D268C0"/>
    <w:rsid w:val="00D27004"/>
    <w:rsid w:val="00D325C3"/>
    <w:rsid w:val="00D353E6"/>
    <w:rsid w:val="00D3659C"/>
    <w:rsid w:val="00D37CC2"/>
    <w:rsid w:val="00D4090D"/>
    <w:rsid w:val="00D40ABC"/>
    <w:rsid w:val="00D41895"/>
    <w:rsid w:val="00D42FD6"/>
    <w:rsid w:val="00D446A3"/>
    <w:rsid w:val="00D44D96"/>
    <w:rsid w:val="00D47102"/>
    <w:rsid w:val="00D47611"/>
    <w:rsid w:val="00D508CB"/>
    <w:rsid w:val="00D51FEC"/>
    <w:rsid w:val="00D53422"/>
    <w:rsid w:val="00D549D2"/>
    <w:rsid w:val="00D554CC"/>
    <w:rsid w:val="00D556E5"/>
    <w:rsid w:val="00D560D4"/>
    <w:rsid w:val="00D567BF"/>
    <w:rsid w:val="00D56B6F"/>
    <w:rsid w:val="00D56C14"/>
    <w:rsid w:val="00D57BE1"/>
    <w:rsid w:val="00D57E11"/>
    <w:rsid w:val="00D57E7C"/>
    <w:rsid w:val="00D6169A"/>
    <w:rsid w:val="00D61704"/>
    <w:rsid w:val="00D622B3"/>
    <w:rsid w:val="00D6282C"/>
    <w:rsid w:val="00D629E7"/>
    <w:rsid w:val="00D63594"/>
    <w:rsid w:val="00D635A6"/>
    <w:rsid w:val="00D64563"/>
    <w:rsid w:val="00D649A5"/>
    <w:rsid w:val="00D66652"/>
    <w:rsid w:val="00D715B5"/>
    <w:rsid w:val="00D7248C"/>
    <w:rsid w:val="00D725E7"/>
    <w:rsid w:val="00D73084"/>
    <w:rsid w:val="00D73CAC"/>
    <w:rsid w:val="00D75B0D"/>
    <w:rsid w:val="00D7641A"/>
    <w:rsid w:val="00D76554"/>
    <w:rsid w:val="00D802B4"/>
    <w:rsid w:val="00D804A2"/>
    <w:rsid w:val="00D80F78"/>
    <w:rsid w:val="00D81E7F"/>
    <w:rsid w:val="00D81F69"/>
    <w:rsid w:val="00D8333D"/>
    <w:rsid w:val="00D8500C"/>
    <w:rsid w:val="00D85DEB"/>
    <w:rsid w:val="00D867BE"/>
    <w:rsid w:val="00D9297C"/>
    <w:rsid w:val="00D9344B"/>
    <w:rsid w:val="00D95660"/>
    <w:rsid w:val="00D96241"/>
    <w:rsid w:val="00D96688"/>
    <w:rsid w:val="00DA22BB"/>
    <w:rsid w:val="00DA2EC2"/>
    <w:rsid w:val="00DA2FDF"/>
    <w:rsid w:val="00DA3D34"/>
    <w:rsid w:val="00DA45D6"/>
    <w:rsid w:val="00DA4E13"/>
    <w:rsid w:val="00DA668D"/>
    <w:rsid w:val="00DA6DA5"/>
    <w:rsid w:val="00DA7AA7"/>
    <w:rsid w:val="00DB0822"/>
    <w:rsid w:val="00DB3C91"/>
    <w:rsid w:val="00DB4A3E"/>
    <w:rsid w:val="00DB56E4"/>
    <w:rsid w:val="00DB5F46"/>
    <w:rsid w:val="00DB7551"/>
    <w:rsid w:val="00DC0D81"/>
    <w:rsid w:val="00DC1FA6"/>
    <w:rsid w:val="00DC31F7"/>
    <w:rsid w:val="00DC6046"/>
    <w:rsid w:val="00DC7B37"/>
    <w:rsid w:val="00DD2857"/>
    <w:rsid w:val="00DD2BA7"/>
    <w:rsid w:val="00DD39AC"/>
    <w:rsid w:val="00DD50BA"/>
    <w:rsid w:val="00DD5597"/>
    <w:rsid w:val="00DD7688"/>
    <w:rsid w:val="00DD78B3"/>
    <w:rsid w:val="00DE039E"/>
    <w:rsid w:val="00DE0825"/>
    <w:rsid w:val="00DE0B56"/>
    <w:rsid w:val="00DE2E1C"/>
    <w:rsid w:val="00DE384C"/>
    <w:rsid w:val="00DE3A77"/>
    <w:rsid w:val="00DE6277"/>
    <w:rsid w:val="00DE757D"/>
    <w:rsid w:val="00DF13EE"/>
    <w:rsid w:val="00DF1454"/>
    <w:rsid w:val="00DF2AA1"/>
    <w:rsid w:val="00DF3318"/>
    <w:rsid w:val="00DF5F77"/>
    <w:rsid w:val="00DF633E"/>
    <w:rsid w:val="00E00DBA"/>
    <w:rsid w:val="00E0331F"/>
    <w:rsid w:val="00E03927"/>
    <w:rsid w:val="00E04893"/>
    <w:rsid w:val="00E04C90"/>
    <w:rsid w:val="00E05EE6"/>
    <w:rsid w:val="00E1068E"/>
    <w:rsid w:val="00E12358"/>
    <w:rsid w:val="00E1297A"/>
    <w:rsid w:val="00E12B84"/>
    <w:rsid w:val="00E133C8"/>
    <w:rsid w:val="00E16CEE"/>
    <w:rsid w:val="00E16E2C"/>
    <w:rsid w:val="00E17864"/>
    <w:rsid w:val="00E20B11"/>
    <w:rsid w:val="00E23427"/>
    <w:rsid w:val="00E23D16"/>
    <w:rsid w:val="00E24B51"/>
    <w:rsid w:val="00E25C86"/>
    <w:rsid w:val="00E26145"/>
    <w:rsid w:val="00E2651D"/>
    <w:rsid w:val="00E265E2"/>
    <w:rsid w:val="00E2769B"/>
    <w:rsid w:val="00E308BD"/>
    <w:rsid w:val="00E30B46"/>
    <w:rsid w:val="00E325EB"/>
    <w:rsid w:val="00E32C65"/>
    <w:rsid w:val="00E32DDF"/>
    <w:rsid w:val="00E32FC1"/>
    <w:rsid w:val="00E33ABC"/>
    <w:rsid w:val="00E40B0C"/>
    <w:rsid w:val="00E41514"/>
    <w:rsid w:val="00E417ED"/>
    <w:rsid w:val="00E41954"/>
    <w:rsid w:val="00E4467F"/>
    <w:rsid w:val="00E44C1E"/>
    <w:rsid w:val="00E456EA"/>
    <w:rsid w:val="00E52D38"/>
    <w:rsid w:val="00E53D7B"/>
    <w:rsid w:val="00E5431B"/>
    <w:rsid w:val="00E545E7"/>
    <w:rsid w:val="00E54FEA"/>
    <w:rsid w:val="00E5625C"/>
    <w:rsid w:val="00E562F8"/>
    <w:rsid w:val="00E57540"/>
    <w:rsid w:val="00E578DA"/>
    <w:rsid w:val="00E60748"/>
    <w:rsid w:val="00E6098E"/>
    <w:rsid w:val="00E62577"/>
    <w:rsid w:val="00E644F6"/>
    <w:rsid w:val="00E6518D"/>
    <w:rsid w:val="00E65BE3"/>
    <w:rsid w:val="00E67904"/>
    <w:rsid w:val="00E70BC6"/>
    <w:rsid w:val="00E70E94"/>
    <w:rsid w:val="00E7146C"/>
    <w:rsid w:val="00E72836"/>
    <w:rsid w:val="00E731F9"/>
    <w:rsid w:val="00E7388B"/>
    <w:rsid w:val="00E74839"/>
    <w:rsid w:val="00E74988"/>
    <w:rsid w:val="00E750BE"/>
    <w:rsid w:val="00E7563A"/>
    <w:rsid w:val="00E75A6E"/>
    <w:rsid w:val="00E7644F"/>
    <w:rsid w:val="00E76EE7"/>
    <w:rsid w:val="00E770AB"/>
    <w:rsid w:val="00E770D6"/>
    <w:rsid w:val="00E77B72"/>
    <w:rsid w:val="00E804EA"/>
    <w:rsid w:val="00E80EA8"/>
    <w:rsid w:val="00E81CE4"/>
    <w:rsid w:val="00E81D41"/>
    <w:rsid w:val="00E83484"/>
    <w:rsid w:val="00E83895"/>
    <w:rsid w:val="00E843B1"/>
    <w:rsid w:val="00E8513E"/>
    <w:rsid w:val="00E85635"/>
    <w:rsid w:val="00E876E1"/>
    <w:rsid w:val="00E87BC3"/>
    <w:rsid w:val="00E90380"/>
    <w:rsid w:val="00E911E7"/>
    <w:rsid w:val="00E91620"/>
    <w:rsid w:val="00E91831"/>
    <w:rsid w:val="00E91F6A"/>
    <w:rsid w:val="00E92AB5"/>
    <w:rsid w:val="00E930B8"/>
    <w:rsid w:val="00E93F74"/>
    <w:rsid w:val="00E95225"/>
    <w:rsid w:val="00E96083"/>
    <w:rsid w:val="00E96BD9"/>
    <w:rsid w:val="00EA2B6B"/>
    <w:rsid w:val="00EA3BAE"/>
    <w:rsid w:val="00EA3ED7"/>
    <w:rsid w:val="00EA4B4D"/>
    <w:rsid w:val="00EA5418"/>
    <w:rsid w:val="00EA71AE"/>
    <w:rsid w:val="00EA752F"/>
    <w:rsid w:val="00EA7A9C"/>
    <w:rsid w:val="00EB07EF"/>
    <w:rsid w:val="00EB08BC"/>
    <w:rsid w:val="00EB2EBE"/>
    <w:rsid w:val="00EB32D9"/>
    <w:rsid w:val="00EB4E95"/>
    <w:rsid w:val="00EB632D"/>
    <w:rsid w:val="00EB7456"/>
    <w:rsid w:val="00EC0850"/>
    <w:rsid w:val="00EC1566"/>
    <w:rsid w:val="00EC5B6F"/>
    <w:rsid w:val="00ED00A1"/>
    <w:rsid w:val="00ED03FB"/>
    <w:rsid w:val="00ED0F94"/>
    <w:rsid w:val="00ED1484"/>
    <w:rsid w:val="00ED2C64"/>
    <w:rsid w:val="00ED334D"/>
    <w:rsid w:val="00ED603F"/>
    <w:rsid w:val="00ED7950"/>
    <w:rsid w:val="00EE04A7"/>
    <w:rsid w:val="00EE05F9"/>
    <w:rsid w:val="00EE0A85"/>
    <w:rsid w:val="00EE335C"/>
    <w:rsid w:val="00EE351C"/>
    <w:rsid w:val="00EE629B"/>
    <w:rsid w:val="00EE6459"/>
    <w:rsid w:val="00EE7CEB"/>
    <w:rsid w:val="00EF0588"/>
    <w:rsid w:val="00EF0FEE"/>
    <w:rsid w:val="00EF1336"/>
    <w:rsid w:val="00EF13CB"/>
    <w:rsid w:val="00EF1FA0"/>
    <w:rsid w:val="00EF205E"/>
    <w:rsid w:val="00EF236B"/>
    <w:rsid w:val="00EF3965"/>
    <w:rsid w:val="00EF4D8C"/>
    <w:rsid w:val="00EF646A"/>
    <w:rsid w:val="00F0026A"/>
    <w:rsid w:val="00F00776"/>
    <w:rsid w:val="00F01A71"/>
    <w:rsid w:val="00F02A4F"/>
    <w:rsid w:val="00F031A3"/>
    <w:rsid w:val="00F03DC7"/>
    <w:rsid w:val="00F03EAB"/>
    <w:rsid w:val="00F0599F"/>
    <w:rsid w:val="00F06331"/>
    <w:rsid w:val="00F06782"/>
    <w:rsid w:val="00F06F10"/>
    <w:rsid w:val="00F07134"/>
    <w:rsid w:val="00F10514"/>
    <w:rsid w:val="00F1098E"/>
    <w:rsid w:val="00F11E94"/>
    <w:rsid w:val="00F1236C"/>
    <w:rsid w:val="00F125CC"/>
    <w:rsid w:val="00F12DA3"/>
    <w:rsid w:val="00F14969"/>
    <w:rsid w:val="00F14D54"/>
    <w:rsid w:val="00F161E3"/>
    <w:rsid w:val="00F16749"/>
    <w:rsid w:val="00F16A92"/>
    <w:rsid w:val="00F16F03"/>
    <w:rsid w:val="00F16F54"/>
    <w:rsid w:val="00F17E89"/>
    <w:rsid w:val="00F21277"/>
    <w:rsid w:val="00F25FF2"/>
    <w:rsid w:val="00F260DA"/>
    <w:rsid w:val="00F26225"/>
    <w:rsid w:val="00F26D7A"/>
    <w:rsid w:val="00F27904"/>
    <w:rsid w:val="00F27AD1"/>
    <w:rsid w:val="00F27CCC"/>
    <w:rsid w:val="00F31024"/>
    <w:rsid w:val="00F31431"/>
    <w:rsid w:val="00F33079"/>
    <w:rsid w:val="00F3375F"/>
    <w:rsid w:val="00F348EE"/>
    <w:rsid w:val="00F34CA4"/>
    <w:rsid w:val="00F351E5"/>
    <w:rsid w:val="00F37998"/>
    <w:rsid w:val="00F37D87"/>
    <w:rsid w:val="00F4019E"/>
    <w:rsid w:val="00F41FB7"/>
    <w:rsid w:val="00F426EE"/>
    <w:rsid w:val="00F43946"/>
    <w:rsid w:val="00F446CC"/>
    <w:rsid w:val="00F4475A"/>
    <w:rsid w:val="00F44776"/>
    <w:rsid w:val="00F44E03"/>
    <w:rsid w:val="00F46AE9"/>
    <w:rsid w:val="00F471A3"/>
    <w:rsid w:val="00F47395"/>
    <w:rsid w:val="00F517D8"/>
    <w:rsid w:val="00F5220F"/>
    <w:rsid w:val="00F527EA"/>
    <w:rsid w:val="00F54649"/>
    <w:rsid w:val="00F54C16"/>
    <w:rsid w:val="00F557AD"/>
    <w:rsid w:val="00F5710E"/>
    <w:rsid w:val="00F61EDD"/>
    <w:rsid w:val="00F62298"/>
    <w:rsid w:val="00F625B2"/>
    <w:rsid w:val="00F636FA"/>
    <w:rsid w:val="00F63DAC"/>
    <w:rsid w:val="00F64581"/>
    <w:rsid w:val="00F6467A"/>
    <w:rsid w:val="00F65850"/>
    <w:rsid w:val="00F66AE2"/>
    <w:rsid w:val="00F72D25"/>
    <w:rsid w:val="00F72E52"/>
    <w:rsid w:val="00F742D6"/>
    <w:rsid w:val="00F74D20"/>
    <w:rsid w:val="00F753DF"/>
    <w:rsid w:val="00F75CFE"/>
    <w:rsid w:val="00F76914"/>
    <w:rsid w:val="00F76BB0"/>
    <w:rsid w:val="00F77191"/>
    <w:rsid w:val="00F8121D"/>
    <w:rsid w:val="00F815A0"/>
    <w:rsid w:val="00F81635"/>
    <w:rsid w:val="00F81B72"/>
    <w:rsid w:val="00F831F8"/>
    <w:rsid w:val="00F84DEB"/>
    <w:rsid w:val="00F84F19"/>
    <w:rsid w:val="00F85F3C"/>
    <w:rsid w:val="00F86D26"/>
    <w:rsid w:val="00F86FC8"/>
    <w:rsid w:val="00F878DC"/>
    <w:rsid w:val="00F9065B"/>
    <w:rsid w:val="00F9104C"/>
    <w:rsid w:val="00F91DB6"/>
    <w:rsid w:val="00F91DD0"/>
    <w:rsid w:val="00F92842"/>
    <w:rsid w:val="00F940DD"/>
    <w:rsid w:val="00F94A6E"/>
    <w:rsid w:val="00F95031"/>
    <w:rsid w:val="00F965F8"/>
    <w:rsid w:val="00F96A98"/>
    <w:rsid w:val="00F972A2"/>
    <w:rsid w:val="00FA0AB5"/>
    <w:rsid w:val="00FA2C2F"/>
    <w:rsid w:val="00FA4008"/>
    <w:rsid w:val="00FA49C1"/>
    <w:rsid w:val="00FA4D6F"/>
    <w:rsid w:val="00FA560C"/>
    <w:rsid w:val="00FA6C24"/>
    <w:rsid w:val="00FA6CE9"/>
    <w:rsid w:val="00FA73E5"/>
    <w:rsid w:val="00FB063E"/>
    <w:rsid w:val="00FB08D3"/>
    <w:rsid w:val="00FB0DC1"/>
    <w:rsid w:val="00FB3A13"/>
    <w:rsid w:val="00FB3FDD"/>
    <w:rsid w:val="00FB639D"/>
    <w:rsid w:val="00FB65EB"/>
    <w:rsid w:val="00FB684E"/>
    <w:rsid w:val="00FB73EC"/>
    <w:rsid w:val="00FB7B15"/>
    <w:rsid w:val="00FC0182"/>
    <w:rsid w:val="00FC0BA1"/>
    <w:rsid w:val="00FC1AF2"/>
    <w:rsid w:val="00FC25C1"/>
    <w:rsid w:val="00FC2BD2"/>
    <w:rsid w:val="00FC331C"/>
    <w:rsid w:val="00FC3945"/>
    <w:rsid w:val="00FC478D"/>
    <w:rsid w:val="00FC559F"/>
    <w:rsid w:val="00FC56CD"/>
    <w:rsid w:val="00FC7395"/>
    <w:rsid w:val="00FC78DF"/>
    <w:rsid w:val="00FC7AF2"/>
    <w:rsid w:val="00FC7B6A"/>
    <w:rsid w:val="00FD0557"/>
    <w:rsid w:val="00FD14E9"/>
    <w:rsid w:val="00FD20D5"/>
    <w:rsid w:val="00FD21A1"/>
    <w:rsid w:val="00FD6096"/>
    <w:rsid w:val="00FD631F"/>
    <w:rsid w:val="00FD72F4"/>
    <w:rsid w:val="00FD7E47"/>
    <w:rsid w:val="00FE0871"/>
    <w:rsid w:val="00FE22D8"/>
    <w:rsid w:val="00FE2CA7"/>
    <w:rsid w:val="00FE36CF"/>
    <w:rsid w:val="00FE38B6"/>
    <w:rsid w:val="00FE40A4"/>
    <w:rsid w:val="00FE445E"/>
    <w:rsid w:val="00FE497F"/>
    <w:rsid w:val="00FE4AF8"/>
    <w:rsid w:val="00FE5867"/>
    <w:rsid w:val="00FF0000"/>
    <w:rsid w:val="00FF20F1"/>
    <w:rsid w:val="00FF230E"/>
    <w:rsid w:val="00FF353F"/>
    <w:rsid w:val="00FF3E95"/>
    <w:rsid w:val="00FF4765"/>
    <w:rsid w:val="00FF694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3CCEF"/>
  <w15:docId w15:val="{5F1622FB-DBFF-4050-B5F2-332840F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48"/>
    <w:pPr>
      <w:spacing w:after="0" w:line="240" w:lineRule="auto"/>
      <w:jc w:val="both"/>
    </w:pPr>
    <w:rPr>
      <w:rFonts w:ascii="Verdana" w:eastAsia="Batang" w:hAnsi="Verdana" w:cs="Times"/>
      <w:noProof/>
      <w:sz w:val="20"/>
      <w:szCs w:val="24"/>
      <w:lang w:val="es-ES_tradnl"/>
    </w:rPr>
  </w:style>
  <w:style w:type="paragraph" w:styleId="Ttulo1">
    <w:name w:val="heading 1"/>
    <w:basedOn w:val="Normal"/>
    <w:next w:val="Normal"/>
    <w:link w:val="Ttulo1Car"/>
    <w:uiPriority w:val="9"/>
    <w:qFormat/>
    <w:rsid w:val="000643B4"/>
    <w:pPr>
      <w:keepNext/>
      <w:keepLines/>
      <w:spacing w:before="60" w:after="60"/>
      <w:jc w:val="center"/>
      <w:outlineLvl w:val="0"/>
    </w:pPr>
    <w:rPr>
      <w:rFonts w:eastAsia="Times New Roman" w:cs="Verdana"/>
      <w:b/>
      <w:bCs/>
      <w:caps/>
      <w:snapToGrid w:val="0"/>
      <w:szCs w:val="20"/>
      <w:lang w:val="es-CR" w:eastAsia="es-ES"/>
    </w:rPr>
  </w:style>
  <w:style w:type="paragraph" w:styleId="Ttulo2">
    <w:name w:val="heading 2"/>
    <w:basedOn w:val="Normal"/>
    <w:next w:val="Normal"/>
    <w:link w:val="Ttulo2Car"/>
    <w:uiPriority w:val="9"/>
    <w:unhideWhenUsed/>
    <w:qFormat/>
    <w:rsid w:val="00FF20F1"/>
    <w:pPr>
      <w:keepNext/>
      <w:keepLines/>
      <w:numPr>
        <w:numId w:val="3"/>
      </w:numPr>
      <w:spacing w:before="60" w:after="60"/>
      <w:ind w:left="714" w:hanging="357"/>
      <w:outlineLvl w:val="1"/>
    </w:pPr>
    <w:rPr>
      <w:rFonts w:eastAsia="Times New Roman" w:cs="Times New Roman"/>
      <w:b/>
      <w:bCs/>
      <w:i/>
      <w:szCs w:val="20"/>
    </w:rPr>
  </w:style>
  <w:style w:type="paragraph" w:styleId="Ttulo3">
    <w:name w:val="heading 3"/>
    <w:basedOn w:val="Normal"/>
    <w:next w:val="Normal"/>
    <w:link w:val="Ttulo3Car"/>
    <w:uiPriority w:val="9"/>
    <w:unhideWhenUsed/>
    <w:qFormat/>
    <w:rsid w:val="00912365"/>
    <w:pPr>
      <w:keepNext/>
      <w:ind w:left="567"/>
      <w:outlineLvl w:val="2"/>
    </w:pPr>
    <w:rPr>
      <w:rFonts w:eastAsia="Times New Roman" w:cs="Times New Roman"/>
      <w:bCs/>
      <w:i/>
      <w:szCs w:val="20"/>
    </w:rPr>
  </w:style>
  <w:style w:type="paragraph" w:styleId="Ttulo4">
    <w:name w:val="heading 4"/>
    <w:basedOn w:val="Normal"/>
    <w:next w:val="Normal"/>
    <w:link w:val="Ttulo4Car"/>
    <w:uiPriority w:val="9"/>
    <w:unhideWhenUsed/>
    <w:qFormat/>
    <w:rsid w:val="00FA0AB5"/>
    <w:pPr>
      <w:keepNext/>
      <w:keepLines/>
      <w:spacing w:before="60" w:after="60"/>
      <w:ind w:left="567" w:firstLine="709"/>
      <w:outlineLvl w:val="3"/>
    </w:pPr>
    <w:rPr>
      <w:rFonts w:eastAsia="Times New Roman" w:cs="Times New Roman"/>
      <w:bCs/>
      <w:i/>
      <w:iCs/>
    </w:rPr>
  </w:style>
  <w:style w:type="paragraph" w:styleId="Ttulo5">
    <w:name w:val="heading 5"/>
    <w:basedOn w:val="Normal"/>
    <w:next w:val="Normal"/>
    <w:link w:val="Ttulo5Car"/>
    <w:uiPriority w:val="9"/>
    <w:unhideWhenUsed/>
    <w:qFormat/>
    <w:rsid w:val="00203CE9"/>
    <w:pPr>
      <w:keepNext/>
      <w:keepLines/>
      <w:numPr>
        <w:numId w:val="5"/>
      </w:numPr>
      <w:spacing w:before="60" w:after="60"/>
      <w:ind w:left="714" w:hanging="357"/>
      <w:outlineLvl w:val="4"/>
    </w:pPr>
    <w:rPr>
      <w:rFonts w:eastAsia="Times New Roman" w:cs="Times New Roman"/>
      <w:i/>
    </w:rPr>
  </w:style>
  <w:style w:type="paragraph" w:styleId="Ttulo6">
    <w:name w:val="heading 6"/>
    <w:basedOn w:val="Ttulo5"/>
    <w:next w:val="Normal"/>
    <w:link w:val="Ttulo6Car"/>
    <w:unhideWhenUsed/>
    <w:qFormat/>
    <w:rsid w:val="005409D3"/>
    <w:pPr>
      <w:keepNext w:val="0"/>
      <w:keepLines w:val="0"/>
      <w:numPr>
        <w:numId w:val="0"/>
      </w:numPr>
      <w:tabs>
        <w:tab w:val="num" w:pos="3600"/>
      </w:tabs>
      <w:spacing w:before="0" w:after="0"/>
      <w:ind w:left="3600" w:hanging="360"/>
      <w:outlineLvl w:val="5"/>
    </w:pPr>
    <w:rPr>
      <w:i w:val="0"/>
      <w:noProof w:val="0"/>
      <w:spacing w:val="-2"/>
      <w:szCs w:val="20"/>
      <w:lang w:eastAsia="es-CR"/>
    </w:rPr>
  </w:style>
  <w:style w:type="paragraph" w:styleId="Ttulo7">
    <w:name w:val="heading 7"/>
    <w:basedOn w:val="Normal"/>
    <w:next w:val="Normal"/>
    <w:link w:val="Ttulo7Car"/>
    <w:uiPriority w:val="9"/>
    <w:semiHidden/>
    <w:unhideWhenUsed/>
    <w:qFormat/>
    <w:rsid w:val="00446D48"/>
    <w:pPr>
      <w:keepNext/>
      <w:keepLines/>
      <w:spacing w:before="200"/>
      <w:outlineLvl w:val="6"/>
    </w:pPr>
    <w:rPr>
      <w:rFonts w:ascii="Cambria" w:eastAsia="Times New Roman" w:hAnsi="Cambria" w:cs="Times New Roman"/>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43B4"/>
    <w:rPr>
      <w:rFonts w:ascii="Verdana" w:eastAsia="Times New Roman" w:hAnsi="Verdana" w:cs="Verdana"/>
      <w:b/>
      <w:bCs/>
      <w:caps/>
      <w:noProof/>
      <w:snapToGrid w:val="0"/>
      <w:sz w:val="20"/>
      <w:szCs w:val="20"/>
      <w:lang w:val="es-CR" w:eastAsia="es-ES"/>
    </w:rPr>
  </w:style>
  <w:style w:type="character" w:customStyle="1" w:styleId="Ttulo2Car">
    <w:name w:val="Título 2 Car"/>
    <w:basedOn w:val="Fuentedeprrafopredeter"/>
    <w:link w:val="Ttulo2"/>
    <w:uiPriority w:val="9"/>
    <w:rsid w:val="00FF20F1"/>
    <w:rPr>
      <w:rFonts w:ascii="Verdana" w:eastAsia="Times New Roman" w:hAnsi="Verdana" w:cs="Times New Roman"/>
      <w:b/>
      <w:bCs/>
      <w:i/>
      <w:noProof/>
      <w:sz w:val="20"/>
      <w:szCs w:val="20"/>
      <w:lang w:val="es-ES_tradnl"/>
    </w:rPr>
  </w:style>
  <w:style w:type="character" w:customStyle="1" w:styleId="Ttulo3Car">
    <w:name w:val="Título 3 Car"/>
    <w:basedOn w:val="Fuentedeprrafopredeter"/>
    <w:link w:val="Ttulo3"/>
    <w:uiPriority w:val="9"/>
    <w:rsid w:val="00912365"/>
    <w:rPr>
      <w:rFonts w:ascii="Verdana" w:eastAsia="Times New Roman" w:hAnsi="Verdana" w:cs="Times New Roman"/>
      <w:bCs/>
      <w:i/>
      <w:noProof/>
      <w:sz w:val="20"/>
      <w:szCs w:val="20"/>
      <w:lang w:val="es-ES_tradnl"/>
    </w:rPr>
  </w:style>
  <w:style w:type="character" w:customStyle="1" w:styleId="Ttulo4Car">
    <w:name w:val="Título 4 Car"/>
    <w:basedOn w:val="Fuentedeprrafopredeter"/>
    <w:link w:val="Ttulo4"/>
    <w:uiPriority w:val="9"/>
    <w:rsid w:val="00FA0AB5"/>
    <w:rPr>
      <w:rFonts w:ascii="Verdana" w:eastAsia="Times New Roman" w:hAnsi="Verdana" w:cs="Times New Roman"/>
      <w:bCs/>
      <w:i/>
      <w:iCs/>
      <w:noProof/>
      <w:sz w:val="20"/>
      <w:szCs w:val="24"/>
      <w:lang w:val="es-ES_tradnl"/>
    </w:rPr>
  </w:style>
  <w:style w:type="character" w:customStyle="1" w:styleId="Ttulo5Car">
    <w:name w:val="Título 5 Car"/>
    <w:basedOn w:val="Fuentedeprrafopredeter"/>
    <w:link w:val="Ttulo5"/>
    <w:uiPriority w:val="9"/>
    <w:rsid w:val="00203CE9"/>
    <w:rPr>
      <w:rFonts w:ascii="Verdana" w:eastAsia="Times New Roman" w:hAnsi="Verdana" w:cs="Times New Roman"/>
      <w:i/>
      <w:noProof/>
      <w:sz w:val="20"/>
      <w:szCs w:val="24"/>
      <w:lang w:val="es-ES_tradnl"/>
    </w:rPr>
  </w:style>
  <w:style w:type="character" w:customStyle="1" w:styleId="Ttulo7Car">
    <w:name w:val="Título 7 Car"/>
    <w:basedOn w:val="Fuentedeprrafopredeter"/>
    <w:link w:val="Ttulo7"/>
    <w:uiPriority w:val="9"/>
    <w:semiHidden/>
    <w:rsid w:val="00446D48"/>
    <w:rPr>
      <w:rFonts w:ascii="Cambria" w:eastAsia="Times New Roman" w:hAnsi="Cambria" w:cs="Times New Roman"/>
      <w:i/>
      <w:iCs/>
      <w:noProof/>
      <w:color w:val="404040"/>
      <w:sz w:val="20"/>
      <w:szCs w:val="24"/>
      <w:lang w:val="es-ES_tradnl"/>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basedOn w:val="Fuentedeprrafopredeter"/>
    <w:uiPriority w:val="99"/>
    <w:qFormat/>
    <w:rsid w:val="00446D48"/>
    <w:rPr>
      <w:rFonts w:cs="Times New Roman"/>
      <w:szCs w:val="20"/>
      <w:vertAlign w:val="superscript"/>
    </w:rPr>
  </w:style>
  <w:style w:type="paragraph" w:styleId="Ttulo">
    <w:name w:val="Title"/>
    <w:basedOn w:val="Normal"/>
    <w:link w:val="TtuloCar1"/>
    <w:qFormat/>
    <w:rsid w:val="00446D48"/>
    <w:pPr>
      <w:jc w:val="center"/>
    </w:pPr>
    <w:rPr>
      <w:rFonts w:eastAsia="Times New Roman" w:cs="Times New Roman"/>
      <w:b/>
      <w:szCs w:val="20"/>
    </w:rPr>
  </w:style>
  <w:style w:type="character" w:customStyle="1" w:styleId="TtuloCar1">
    <w:name w:val="Título Car1"/>
    <w:basedOn w:val="Fuentedeprrafopredeter"/>
    <w:link w:val="Ttulo"/>
    <w:rsid w:val="00446D48"/>
    <w:rPr>
      <w:rFonts w:ascii="Verdana" w:eastAsia="Times New Roman" w:hAnsi="Verdana" w:cs="Times New Roman"/>
      <w:b/>
      <w:noProof/>
      <w:sz w:val="20"/>
      <w:szCs w:val="20"/>
      <w:lang w:val="es-ES_tradnl"/>
    </w:rPr>
  </w:style>
  <w:style w:type="paragraph" w:styleId="Subttulo">
    <w:name w:val="Subtitle"/>
    <w:basedOn w:val="Normal"/>
    <w:next w:val="Normal"/>
    <w:link w:val="SubttuloCar1"/>
    <w:uiPriority w:val="11"/>
    <w:qFormat/>
    <w:rsid w:val="00446D48"/>
    <w:pPr>
      <w:numPr>
        <w:ilvl w:val="1"/>
      </w:numPr>
      <w:jc w:val="center"/>
    </w:pPr>
    <w:rPr>
      <w:rFonts w:eastAsia="Times New Roman" w:cs="Times New Roman"/>
      <w:b/>
      <w:i/>
      <w:iCs/>
      <w:spacing w:val="15"/>
    </w:rPr>
  </w:style>
  <w:style w:type="character" w:customStyle="1" w:styleId="SubttuloCar1">
    <w:name w:val="Subtítulo Car1"/>
    <w:basedOn w:val="Fuentedeprrafopredeter"/>
    <w:link w:val="Subttulo"/>
    <w:rsid w:val="00446D48"/>
    <w:rPr>
      <w:rFonts w:ascii="Verdana" w:eastAsia="Times New Roman" w:hAnsi="Verdana" w:cs="Times New Roman"/>
      <w:b/>
      <w:i/>
      <w:iCs/>
      <w:noProof/>
      <w:spacing w:val="15"/>
      <w:sz w:val="20"/>
      <w:szCs w:val="24"/>
      <w:lang w:val="es-ES_tradnl"/>
    </w:rPr>
  </w:style>
  <w:style w:type="paragraph" w:customStyle="1" w:styleId="citaindirecta">
    <w:name w:val="cita indirecta"/>
    <w:basedOn w:val="Normal"/>
    <w:rsid w:val="00446D48"/>
    <w:pPr>
      <w:ind w:left="708"/>
    </w:pPr>
    <w:rPr>
      <w:rFonts w:eastAsia="Times New Roman" w:cs="Times New Roman"/>
      <w:szCs w:val="20"/>
    </w:rPr>
  </w:style>
  <w:style w:type="paragraph" w:styleId="Prrafodelista">
    <w:name w:val="List Paragraph"/>
    <w:aliases w:val="Footnote,List Paragraph1,Colorful List - Accent 11"/>
    <w:basedOn w:val="Normal"/>
    <w:link w:val="PrrafodelistaCar"/>
    <w:qFormat/>
    <w:rsid w:val="00446D48"/>
    <w:pPr>
      <w:ind w:left="720"/>
      <w:contextualSpacing/>
    </w:pPr>
  </w:style>
  <w:style w:type="character" w:customStyle="1" w:styleId="PrrafodelistaCar">
    <w:name w:val="Párrafo de lista Car"/>
    <w:aliases w:val="Footnote Car,List Paragraph1 Car,Colorful List - Accent 11 Car"/>
    <w:basedOn w:val="Fuentedeprrafopredeter"/>
    <w:link w:val="Prrafodelista"/>
    <w:locked/>
    <w:rsid w:val="00446D48"/>
    <w:rPr>
      <w:rFonts w:ascii="Verdana" w:eastAsia="Batang" w:hAnsi="Verdana" w:cs="Times"/>
      <w:noProof/>
      <w:sz w:val="20"/>
      <w:szCs w:val="24"/>
      <w:lang w:val="es-ES_tradnl"/>
    </w:rPr>
  </w:style>
  <w:style w:type="paragraph" w:styleId="Textonotapie">
    <w:name w:val="footnote text"/>
    <w:aliases w:val="2. Footnote Text,Footnote Tesina,FA Fu,Footnote Text Char Char Char Char Char,Footnote Text Char Char Char Char,Footnote reference,Footnote Text Char Char Char,Footnote Text Cha,FA Fußnotentext,FA Fuﬂnotentext,Texto nota pie Car,Ca,C,ft"/>
    <w:basedOn w:val="Normal"/>
    <w:link w:val="TextonotapieCar2"/>
    <w:unhideWhenUsed/>
    <w:qFormat/>
    <w:rsid w:val="00446D48"/>
    <w:pPr>
      <w:spacing w:before="120" w:after="120"/>
    </w:pPr>
    <w:rPr>
      <w:sz w:val="16"/>
      <w:szCs w:val="20"/>
    </w:rPr>
  </w:style>
  <w:style w:type="character" w:customStyle="1" w:styleId="FootnoteTextChar">
    <w:name w:val="Footnote Text Char"/>
    <w:aliases w:val="FA Fußnotentext Char,FA Fuﬂnotentext Char,C Char,ft Char,Texto nota pie Car Char,FA Fu Car Char,FA Fu Car Car Char,2. Footnote Text Char1,Footnote Tesina Char1,FA Fu Char1,Footnote Text Char Char Char Char Char Char1,Ca Char1"/>
    <w:basedOn w:val="Fuentedeprrafopredeter"/>
    <w:rsid w:val="00446D48"/>
    <w:rPr>
      <w:rFonts w:ascii="Verdana" w:eastAsia="Batang" w:hAnsi="Verdana" w:cs="Times"/>
      <w:noProof/>
      <w:sz w:val="20"/>
      <w:szCs w:val="20"/>
      <w:lang w:val="es-ES_tradnl"/>
    </w:rPr>
  </w:style>
  <w:style w:type="character" w:customStyle="1" w:styleId="TextonotapieCar2">
    <w:name w:val="Texto nota pie Car2"/>
    <w:aliases w:val="2. Footnote Text Car1,Footnote Tesina Car1,FA Fu Car1,Footnote Text Char Char Char Char Char Car1,Footnote Text Char Char Char Char Car1,Footnote reference Car1,Footnote Text Char Char Char Car1,Footnote Text Cha Car1,Ca Car,C Car"/>
    <w:basedOn w:val="Fuentedeprrafopredeter"/>
    <w:link w:val="Textonotapie"/>
    <w:rsid w:val="00446D48"/>
    <w:rPr>
      <w:rFonts w:ascii="Verdana" w:eastAsia="Batang" w:hAnsi="Verdana" w:cs="Times"/>
      <w:noProof/>
      <w:sz w:val="16"/>
      <w:szCs w:val="20"/>
      <w:lang w:val="es-ES_tradnl"/>
    </w:rPr>
  </w:style>
  <w:style w:type="paragraph" w:customStyle="1" w:styleId="Estilo1">
    <w:name w:val="Estilo1"/>
    <w:basedOn w:val="Normal"/>
    <w:link w:val="Estilo1Car"/>
    <w:qFormat/>
    <w:rsid w:val="00446D48"/>
    <w:pPr>
      <w:spacing w:after="120"/>
      <w:ind w:left="2018" w:right="6" w:hanging="180"/>
    </w:pPr>
    <w:rPr>
      <w:i/>
    </w:rPr>
  </w:style>
  <w:style w:type="character" w:customStyle="1" w:styleId="Estilo1Car">
    <w:name w:val="Estilo1 Car"/>
    <w:basedOn w:val="Fuentedeprrafopredeter"/>
    <w:link w:val="Estilo1"/>
    <w:rsid w:val="00446D48"/>
    <w:rPr>
      <w:rFonts w:ascii="Verdana" w:eastAsia="Batang" w:hAnsi="Verdana" w:cs="Times"/>
      <w:i/>
      <w:noProof/>
      <w:sz w:val="20"/>
      <w:szCs w:val="24"/>
      <w:lang w:val="es-ES_tradnl"/>
    </w:rPr>
  </w:style>
  <w:style w:type="paragraph" w:customStyle="1" w:styleId="Style1">
    <w:name w:val="Style1"/>
    <w:basedOn w:val="Ttulo1"/>
    <w:link w:val="Style1Char"/>
    <w:qFormat/>
    <w:rsid w:val="00446D48"/>
    <w:pPr>
      <w:spacing w:before="0"/>
    </w:pPr>
    <w:rPr>
      <w:lang w:val="es-ES"/>
    </w:rPr>
  </w:style>
  <w:style w:type="character" w:customStyle="1" w:styleId="Style1Char">
    <w:name w:val="Style1 Char"/>
    <w:basedOn w:val="Ttulo1Car"/>
    <w:link w:val="Style1"/>
    <w:rsid w:val="00446D48"/>
    <w:rPr>
      <w:rFonts w:ascii="Verdana" w:eastAsia="Times New Roman" w:hAnsi="Verdana" w:cs="Verdana"/>
      <w:b/>
      <w:bCs/>
      <w:caps/>
      <w:noProof/>
      <w:snapToGrid w:val="0"/>
      <w:sz w:val="20"/>
      <w:szCs w:val="20"/>
      <w:lang w:val="es-ES" w:eastAsia="es-ES"/>
    </w:rPr>
  </w:style>
  <w:style w:type="paragraph" w:customStyle="1" w:styleId="Estilo7">
    <w:name w:val="Estilo7"/>
    <w:basedOn w:val="Normal"/>
    <w:link w:val="Estilo7Car"/>
    <w:qFormat/>
    <w:rsid w:val="00446D48"/>
    <w:pPr>
      <w:numPr>
        <w:ilvl w:val="2"/>
        <w:numId w:val="2"/>
      </w:numPr>
      <w:tabs>
        <w:tab w:val="left" w:pos="567"/>
        <w:tab w:val="left" w:pos="851"/>
      </w:tabs>
      <w:spacing w:before="120" w:after="120"/>
    </w:pPr>
    <w:rPr>
      <w:rFonts w:cs="Times New Roman"/>
      <w:b/>
      <w:i/>
      <w:szCs w:val="20"/>
      <w:lang w:eastAsia="es-MX"/>
    </w:rPr>
  </w:style>
  <w:style w:type="paragraph" w:customStyle="1" w:styleId="Footnotes">
    <w:name w:val="**. Footnotes"/>
    <w:basedOn w:val="Textonotapie"/>
    <w:link w:val="FootnotesChar"/>
    <w:autoRedefine/>
    <w:qFormat/>
    <w:rsid w:val="00446D48"/>
    <w:rPr>
      <w:rFonts w:eastAsia="Times New Roman" w:cs="Times New Roman"/>
      <w:bCs/>
      <w:iCs/>
      <w:noProof w:val="0"/>
      <w:szCs w:val="16"/>
      <w:lang w:val="es-ES"/>
    </w:rPr>
  </w:style>
  <w:style w:type="character" w:customStyle="1" w:styleId="FootnotesChar">
    <w:name w:val="**. Footnotes Char"/>
    <w:link w:val="Footnotes"/>
    <w:rsid w:val="00446D48"/>
    <w:rPr>
      <w:rFonts w:ascii="Verdana" w:eastAsia="Times New Roman" w:hAnsi="Verdana" w:cs="Times New Roman"/>
      <w:bCs/>
      <w:iCs/>
      <w:sz w:val="16"/>
      <w:szCs w:val="16"/>
      <w:lang w:val="es-ES"/>
    </w:rPr>
  </w:style>
  <w:style w:type="character" w:styleId="Hipervnculo">
    <w:name w:val="Hyperlink"/>
    <w:basedOn w:val="Fuentedeprrafopredeter"/>
    <w:uiPriority w:val="99"/>
    <w:unhideWhenUsed/>
    <w:rsid w:val="00446D48"/>
    <w:rPr>
      <w:color w:val="0000FF"/>
      <w:u w:val="single"/>
    </w:rPr>
  </w:style>
  <w:style w:type="paragraph" w:customStyle="1" w:styleId="Style2">
    <w:name w:val="Style2"/>
    <w:basedOn w:val="Ttulo2"/>
    <w:link w:val="Style2Char"/>
    <w:autoRedefine/>
    <w:qFormat/>
    <w:rsid w:val="00446D48"/>
    <w:pPr>
      <w:numPr>
        <w:numId w:val="0"/>
      </w:numPr>
      <w:spacing w:before="360"/>
    </w:pPr>
    <w:rPr>
      <w:lang w:val="es-CR"/>
    </w:rPr>
  </w:style>
  <w:style w:type="paragraph" w:customStyle="1" w:styleId="Default">
    <w:name w:val="Default"/>
    <w:rsid w:val="00446D48"/>
    <w:pPr>
      <w:autoSpaceDE w:val="0"/>
      <w:autoSpaceDN w:val="0"/>
      <w:adjustRightInd w:val="0"/>
      <w:spacing w:after="0" w:line="240" w:lineRule="auto"/>
    </w:pPr>
    <w:rPr>
      <w:rFonts w:ascii="Verdana" w:eastAsia="Calibri" w:hAnsi="Verdana" w:cs="Verdana"/>
      <w:color w:val="000000"/>
      <w:sz w:val="24"/>
      <w:szCs w:val="24"/>
    </w:rPr>
  </w:style>
  <w:style w:type="character" w:customStyle="1" w:styleId="Style2Char">
    <w:name w:val="Style2 Char"/>
    <w:basedOn w:val="Ttulo2Car"/>
    <w:link w:val="Style2"/>
    <w:rsid w:val="00446D48"/>
    <w:rPr>
      <w:rFonts w:ascii="Verdana" w:eastAsia="Times New Roman" w:hAnsi="Verdana" w:cs="Times New Roman"/>
      <w:b/>
      <w:bCs/>
      <w:i/>
      <w:noProof/>
      <w:sz w:val="20"/>
      <w:szCs w:val="20"/>
      <w:lang w:val="es-CR"/>
    </w:rPr>
  </w:style>
  <w:style w:type="paragraph" w:styleId="TDC1">
    <w:name w:val="toc 1"/>
    <w:basedOn w:val="Normal"/>
    <w:next w:val="Normal"/>
    <w:autoRedefine/>
    <w:uiPriority w:val="39"/>
    <w:unhideWhenUsed/>
    <w:rsid w:val="00FA2C2F"/>
    <w:rPr>
      <w:b/>
      <w:szCs w:val="20"/>
    </w:rPr>
  </w:style>
  <w:style w:type="paragraph" w:styleId="TDC2">
    <w:name w:val="toc 2"/>
    <w:basedOn w:val="Normal"/>
    <w:next w:val="Normal"/>
    <w:autoRedefine/>
    <w:uiPriority w:val="39"/>
    <w:unhideWhenUsed/>
    <w:rsid w:val="00580D81"/>
    <w:pPr>
      <w:tabs>
        <w:tab w:val="left" w:pos="426"/>
        <w:tab w:val="right" w:leader="dot" w:pos="9356"/>
      </w:tabs>
      <w:spacing w:before="60" w:after="60"/>
      <w:ind w:left="142"/>
      <w:contextualSpacing/>
    </w:pPr>
    <w:rPr>
      <w:rFonts w:cs="Times New Roman"/>
      <w:smallCaps/>
      <w:sz w:val="18"/>
      <w:lang w:bidi="en-US"/>
    </w:rPr>
  </w:style>
  <w:style w:type="paragraph" w:styleId="TDC3">
    <w:name w:val="toc 3"/>
    <w:basedOn w:val="Normal"/>
    <w:next w:val="Normal"/>
    <w:autoRedefine/>
    <w:uiPriority w:val="39"/>
    <w:unhideWhenUsed/>
    <w:rsid w:val="00446D48"/>
    <w:pPr>
      <w:tabs>
        <w:tab w:val="left" w:pos="851"/>
        <w:tab w:val="right" w:leader="dot" w:pos="9356"/>
      </w:tabs>
      <w:spacing w:before="60" w:after="60"/>
      <w:ind w:left="426" w:right="4"/>
      <w:contextualSpacing/>
    </w:pPr>
    <w:rPr>
      <w:sz w:val="18"/>
    </w:rPr>
  </w:style>
  <w:style w:type="paragraph" w:styleId="TDC4">
    <w:name w:val="toc 4"/>
    <w:basedOn w:val="Normal"/>
    <w:next w:val="Normal"/>
    <w:autoRedefine/>
    <w:uiPriority w:val="39"/>
    <w:unhideWhenUsed/>
    <w:rsid w:val="00446D48"/>
    <w:pPr>
      <w:spacing w:before="60" w:after="60"/>
      <w:ind w:left="601"/>
      <w:contextualSpacing/>
    </w:pPr>
    <w:rPr>
      <w:sz w:val="18"/>
    </w:rPr>
  </w:style>
  <w:style w:type="paragraph" w:styleId="TDC5">
    <w:name w:val="toc 5"/>
    <w:basedOn w:val="Normal"/>
    <w:next w:val="Normal"/>
    <w:autoRedefine/>
    <w:uiPriority w:val="39"/>
    <w:unhideWhenUsed/>
    <w:rsid w:val="00446D48"/>
    <w:pPr>
      <w:spacing w:before="60" w:after="60"/>
      <w:ind w:left="799"/>
      <w:contextualSpacing/>
    </w:pPr>
    <w:rPr>
      <w:sz w:val="18"/>
    </w:rPr>
  </w:style>
  <w:style w:type="paragraph" w:styleId="TtuloTDC">
    <w:name w:val="TOC Heading"/>
    <w:basedOn w:val="Ttulo1"/>
    <w:next w:val="Normal"/>
    <w:uiPriority w:val="39"/>
    <w:semiHidden/>
    <w:unhideWhenUsed/>
    <w:qFormat/>
    <w:rsid w:val="00446D48"/>
    <w:pPr>
      <w:spacing w:before="480" w:after="0" w:line="276" w:lineRule="auto"/>
      <w:jc w:val="left"/>
      <w:outlineLvl w:val="9"/>
    </w:pPr>
    <w:rPr>
      <w:rFonts w:ascii="Cambria" w:hAnsi="Cambria" w:cs="Times New Roman"/>
      <w:caps w:val="0"/>
      <w:snapToGrid/>
      <w:color w:val="365F91"/>
      <w:sz w:val="28"/>
      <w:szCs w:val="28"/>
      <w:lang w:val="en-US" w:eastAsia="en-US"/>
    </w:rPr>
  </w:style>
  <w:style w:type="paragraph" w:styleId="Textodeglobo">
    <w:name w:val="Balloon Text"/>
    <w:basedOn w:val="Normal"/>
    <w:link w:val="TextodegloboCar"/>
    <w:uiPriority w:val="99"/>
    <w:semiHidden/>
    <w:unhideWhenUsed/>
    <w:rsid w:val="00446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D48"/>
    <w:rPr>
      <w:rFonts w:ascii="Tahoma" w:eastAsia="Batang" w:hAnsi="Tahoma" w:cs="Tahoma"/>
      <w:noProof/>
      <w:sz w:val="16"/>
      <w:szCs w:val="16"/>
      <w:lang w:val="es-ES_tradnl"/>
    </w:rPr>
  </w:style>
  <w:style w:type="paragraph" w:customStyle="1" w:styleId="PrrafodeSentencia0">
    <w:name w:val="*. Párrafo de Sentencia"/>
    <w:basedOn w:val="Textonotapie"/>
    <w:link w:val="PrrafodeSentenciaChar"/>
    <w:autoRedefine/>
    <w:qFormat/>
    <w:rsid w:val="00C56D2C"/>
    <w:pPr>
      <w:widowControl w:val="0"/>
      <w:spacing w:before="240" w:after="240"/>
      <w:ind w:firstLine="720"/>
    </w:pPr>
    <w:rPr>
      <w:rFonts w:cs="Times New Roman"/>
      <w:noProof w:val="0"/>
      <w:sz w:val="20"/>
      <w:lang w:val="es-CR" w:eastAsia="es-MX" w:bidi="en-US"/>
    </w:rPr>
  </w:style>
  <w:style w:type="paragraph" w:customStyle="1" w:styleId="Estilo2">
    <w:name w:val="Estilo2"/>
    <w:basedOn w:val="Normal"/>
    <w:link w:val="Estilo2Car"/>
    <w:qFormat/>
    <w:rsid w:val="00446D48"/>
    <w:pPr>
      <w:tabs>
        <w:tab w:val="left" w:pos="567"/>
        <w:tab w:val="left" w:pos="1134"/>
        <w:tab w:val="num" w:pos="4767"/>
      </w:tabs>
      <w:spacing w:after="120"/>
      <w:ind w:firstLine="357"/>
    </w:pPr>
    <w:rPr>
      <w:rFonts w:eastAsia="Calibri" w:cs="Times New Roman"/>
      <w:szCs w:val="20"/>
    </w:rPr>
  </w:style>
  <w:style w:type="table" w:styleId="Listavistosa-nfasis1">
    <w:name w:val="Colorful List Accent 1"/>
    <w:basedOn w:val="Tablanormal"/>
    <w:uiPriority w:val="99"/>
    <w:rsid w:val="00446D48"/>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t">
    <w:name w:val="st"/>
    <w:basedOn w:val="Fuentedeprrafopredeter"/>
    <w:rsid w:val="00446D48"/>
    <w:rPr>
      <w:rFonts w:cs="Times New Roman"/>
    </w:rPr>
  </w:style>
  <w:style w:type="paragraph" w:styleId="Textoindependiente">
    <w:name w:val="Body Text"/>
    <w:aliases w:val="Body Text Char Car Car Car Car Car Car Car Car Car Car Car Car Car,Body Text Char Car Car Car Car Car Car Car Car Car Car Car Car"/>
    <w:basedOn w:val="Normal"/>
    <w:link w:val="TextoindependienteCar"/>
    <w:unhideWhenUsed/>
    <w:rsid w:val="00446D48"/>
    <w:rPr>
      <w:rFonts w:ascii="Garamond" w:eastAsia="Times" w:hAnsi="Garamond" w:cs="Times New Roman"/>
      <w:sz w:val="22"/>
      <w:szCs w:val="20"/>
    </w:rPr>
  </w:style>
  <w:style w:type="character" w:customStyle="1" w:styleId="TextoindependienteCar">
    <w:name w:val="Texto independiente Car"/>
    <w:aliases w:val="Body Text Char Car Car Car Car Car Car Car Car Car Car Car Car Car Car,Body Text Char Car Car Car Car Car Car Car Car Car Car Car Car Car1"/>
    <w:basedOn w:val="Fuentedeprrafopredeter"/>
    <w:link w:val="Textoindependiente"/>
    <w:rsid w:val="00446D48"/>
    <w:rPr>
      <w:rFonts w:ascii="Garamond" w:eastAsia="Times" w:hAnsi="Garamond" w:cs="Times New Roman"/>
      <w:noProof/>
      <w:szCs w:val="20"/>
      <w:lang w:val="es-ES_tradnl"/>
    </w:rPr>
  </w:style>
  <w:style w:type="paragraph" w:styleId="Sinespaciado">
    <w:name w:val="No Spacing"/>
    <w:uiPriority w:val="1"/>
    <w:qFormat/>
    <w:rsid w:val="00446D48"/>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446D48"/>
    <w:pPr>
      <w:tabs>
        <w:tab w:val="center" w:pos="4419"/>
        <w:tab w:val="right" w:pos="8838"/>
      </w:tabs>
    </w:pPr>
  </w:style>
  <w:style w:type="character" w:customStyle="1" w:styleId="EncabezadoCar">
    <w:name w:val="Encabezado Car"/>
    <w:basedOn w:val="Fuentedeprrafopredeter"/>
    <w:link w:val="Encabezado"/>
    <w:uiPriority w:val="99"/>
    <w:rsid w:val="00446D48"/>
    <w:rPr>
      <w:rFonts w:ascii="Verdana" w:eastAsia="Batang" w:hAnsi="Verdana" w:cs="Times"/>
      <w:noProof/>
      <w:sz w:val="20"/>
      <w:szCs w:val="24"/>
      <w:lang w:val="es-ES_tradnl"/>
    </w:rPr>
  </w:style>
  <w:style w:type="paragraph" w:styleId="Piedepgina">
    <w:name w:val="footer"/>
    <w:basedOn w:val="Normal"/>
    <w:link w:val="PiedepginaCar"/>
    <w:uiPriority w:val="99"/>
    <w:unhideWhenUsed/>
    <w:rsid w:val="00446D48"/>
    <w:pPr>
      <w:tabs>
        <w:tab w:val="center" w:pos="4419"/>
        <w:tab w:val="right" w:pos="8838"/>
      </w:tabs>
    </w:pPr>
  </w:style>
  <w:style w:type="character" w:customStyle="1" w:styleId="PiedepginaCar">
    <w:name w:val="Pie de página Car"/>
    <w:basedOn w:val="Fuentedeprrafopredeter"/>
    <w:link w:val="Piedepgina"/>
    <w:uiPriority w:val="99"/>
    <w:rsid w:val="00446D48"/>
    <w:rPr>
      <w:rFonts w:ascii="Verdana" w:eastAsia="Batang" w:hAnsi="Verdana" w:cs="Times"/>
      <w:noProof/>
      <w:sz w:val="20"/>
      <w:szCs w:val="24"/>
      <w:lang w:val="es-ES_tradnl"/>
    </w:rPr>
  </w:style>
  <w:style w:type="paragraph" w:customStyle="1" w:styleId="NotasProyectos">
    <w:name w:val="Notas Proyectos"/>
    <w:basedOn w:val="Normal"/>
    <w:link w:val="NotasProyectosChar"/>
    <w:autoRedefine/>
    <w:qFormat/>
    <w:rsid w:val="00446D48"/>
    <w:pPr>
      <w:spacing w:before="120"/>
      <w:ind w:left="720"/>
    </w:pPr>
    <w:rPr>
      <w:rFonts w:eastAsia="Times New Roman" w:cs="Times New Roman"/>
      <w:szCs w:val="20"/>
      <w:lang w:eastAsia="es-ES"/>
    </w:rPr>
  </w:style>
  <w:style w:type="character" w:customStyle="1" w:styleId="NotasProyectosChar">
    <w:name w:val="Notas Proyectos Char"/>
    <w:basedOn w:val="Fuentedeprrafopredeter"/>
    <w:link w:val="NotasProyectos"/>
    <w:rsid w:val="00446D48"/>
    <w:rPr>
      <w:rFonts w:ascii="Verdana" w:eastAsia="Times New Roman" w:hAnsi="Verdana" w:cs="Times New Roman"/>
      <w:noProof/>
      <w:sz w:val="20"/>
      <w:szCs w:val="20"/>
      <w:lang w:val="es-ES_tradnl" w:eastAsia="es-ES"/>
    </w:rPr>
  </w:style>
  <w:style w:type="paragraph" w:styleId="Textocomentario">
    <w:name w:val="annotation text"/>
    <w:basedOn w:val="Normal"/>
    <w:link w:val="TextocomentarioCar"/>
    <w:uiPriority w:val="99"/>
    <w:unhideWhenUsed/>
    <w:rsid w:val="00446D48"/>
    <w:pPr>
      <w:jc w:val="left"/>
    </w:pPr>
    <w:rPr>
      <w:rFonts w:ascii="Times New Roman" w:eastAsia="Times New Roman" w:hAnsi="Times New Roman" w:cs="Times New Roman"/>
      <w:szCs w:val="20"/>
    </w:rPr>
  </w:style>
  <w:style w:type="character" w:customStyle="1" w:styleId="TextocomentarioCar">
    <w:name w:val="Texto comentario Car"/>
    <w:basedOn w:val="Fuentedeprrafopredeter"/>
    <w:link w:val="Textocomentario"/>
    <w:uiPriority w:val="99"/>
    <w:rsid w:val="00446D48"/>
    <w:rPr>
      <w:rFonts w:ascii="Times New Roman" w:eastAsia="Times New Roman" w:hAnsi="Times New Roman" w:cs="Times New Roman"/>
      <w:noProof/>
      <w:sz w:val="20"/>
      <w:szCs w:val="20"/>
      <w:lang w:val="es-ES_tradnl"/>
    </w:rPr>
  </w:style>
  <w:style w:type="paragraph" w:customStyle="1" w:styleId="1Prrafosentencia">
    <w:name w:val="1. Párrafo sentencia"/>
    <w:basedOn w:val="Prrafodelista"/>
    <w:autoRedefine/>
    <w:qFormat/>
    <w:rsid w:val="00446D48"/>
    <w:pPr>
      <w:spacing w:before="120" w:after="120"/>
      <w:ind w:left="1440" w:hanging="360"/>
      <w:contextualSpacing w:val="0"/>
    </w:pPr>
    <w:rPr>
      <w:rFonts w:eastAsia="Times New Roman" w:cs="Univers"/>
      <w:color w:val="000000"/>
      <w:sz w:val="24"/>
    </w:rPr>
  </w:style>
  <w:style w:type="character" w:styleId="Refdecomentario">
    <w:name w:val="annotation reference"/>
    <w:basedOn w:val="Fuentedeprrafopredeter"/>
    <w:uiPriority w:val="99"/>
    <w:unhideWhenUsed/>
    <w:rsid w:val="00446D48"/>
    <w:rPr>
      <w:sz w:val="16"/>
      <w:szCs w:val="16"/>
    </w:rPr>
  </w:style>
  <w:style w:type="paragraph" w:styleId="Sangradetextonormal">
    <w:name w:val="Body Text Indent"/>
    <w:basedOn w:val="Normal"/>
    <w:link w:val="SangradetextonormalCar"/>
    <w:unhideWhenUsed/>
    <w:rsid w:val="00446D48"/>
    <w:pPr>
      <w:tabs>
        <w:tab w:val="left" w:pos="1276"/>
      </w:tabs>
      <w:spacing w:before="120" w:after="120"/>
      <w:ind w:left="1996" w:firstLine="164"/>
    </w:pPr>
    <w:rPr>
      <w:rFonts w:cs="Arial"/>
      <w:i/>
      <w:szCs w:val="20"/>
    </w:rPr>
  </w:style>
  <w:style w:type="character" w:customStyle="1" w:styleId="SangradetextonormalCar">
    <w:name w:val="Sangría de texto normal Car"/>
    <w:basedOn w:val="Fuentedeprrafopredeter"/>
    <w:link w:val="Sangradetextonormal"/>
    <w:rsid w:val="00446D48"/>
    <w:rPr>
      <w:rFonts w:ascii="Verdana" w:eastAsia="Batang" w:hAnsi="Verdana" w:cs="Arial"/>
      <w:i/>
      <w:noProof/>
      <w:sz w:val="20"/>
      <w:szCs w:val="20"/>
      <w:lang w:val="es-ES_tradnl"/>
    </w:rPr>
  </w:style>
  <w:style w:type="character" w:styleId="nfasis">
    <w:name w:val="Emphasis"/>
    <w:basedOn w:val="Fuentedeprrafopredeter"/>
    <w:uiPriority w:val="99"/>
    <w:qFormat/>
    <w:rsid w:val="00446D48"/>
    <w:rPr>
      <w:i/>
      <w:iCs/>
    </w:rPr>
  </w:style>
  <w:style w:type="paragraph" w:customStyle="1" w:styleId="Prrafonumerado">
    <w:name w:val="Párrafo numerado"/>
    <w:basedOn w:val="Normal"/>
    <w:autoRedefine/>
    <w:rsid w:val="00446D48"/>
    <w:pPr>
      <w:spacing w:before="120" w:after="120"/>
      <w:ind w:left="567" w:right="855"/>
    </w:pPr>
    <w:rPr>
      <w:rFonts w:eastAsia="Times New Roman" w:cs="Times New Roman"/>
      <w:sz w:val="16"/>
      <w:szCs w:val="16"/>
      <w:lang w:val="es-CO" w:eastAsia="es-ES"/>
    </w:rPr>
  </w:style>
  <w:style w:type="paragraph" w:customStyle="1" w:styleId="2Footnotes">
    <w:name w:val="2. Footnotes"/>
    <w:basedOn w:val="Textonotapie"/>
    <w:link w:val="2FootnotesChar"/>
    <w:autoRedefine/>
    <w:qFormat/>
    <w:rsid w:val="00446D48"/>
    <w:rPr>
      <w:rFonts w:eastAsia="Times New Roman" w:cs="Palatino-Italic"/>
      <w:iCs/>
      <w:szCs w:val="18"/>
      <w:lang w:val="es-ES"/>
    </w:rPr>
  </w:style>
  <w:style w:type="character" w:customStyle="1" w:styleId="2FootnotesChar">
    <w:name w:val="2. Footnotes Char"/>
    <w:basedOn w:val="Fuentedeprrafopredeter"/>
    <w:link w:val="2Footnotes"/>
    <w:rsid w:val="00446D48"/>
    <w:rPr>
      <w:rFonts w:ascii="Verdana" w:eastAsia="Times New Roman" w:hAnsi="Verdana" w:cs="Palatino-Italic"/>
      <w:iCs/>
      <w:noProof/>
      <w:sz w:val="16"/>
      <w:szCs w:val="18"/>
      <w:lang w:val="es-ES"/>
    </w:rPr>
  </w:style>
  <w:style w:type="paragraph" w:styleId="Mapadeldocumento">
    <w:name w:val="Document Map"/>
    <w:basedOn w:val="Normal"/>
    <w:link w:val="MapadeldocumentoCar"/>
    <w:uiPriority w:val="99"/>
    <w:semiHidden/>
    <w:unhideWhenUsed/>
    <w:rsid w:val="00446D4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46D48"/>
    <w:rPr>
      <w:rFonts w:ascii="Tahoma" w:eastAsia="Batang" w:hAnsi="Tahoma" w:cs="Tahoma"/>
      <w:noProof/>
      <w:sz w:val="16"/>
      <w:szCs w:val="16"/>
      <w:lang w:val="es-ES_tradnl"/>
    </w:rPr>
  </w:style>
  <w:style w:type="paragraph" w:styleId="Textonotaalfinal">
    <w:name w:val="endnote text"/>
    <w:basedOn w:val="Normal"/>
    <w:link w:val="TextonotaalfinalCar"/>
    <w:unhideWhenUsed/>
    <w:rsid w:val="00446D48"/>
    <w:rPr>
      <w:szCs w:val="20"/>
    </w:rPr>
  </w:style>
  <w:style w:type="character" w:customStyle="1" w:styleId="TextonotaalfinalCar">
    <w:name w:val="Texto nota al final Car"/>
    <w:basedOn w:val="Fuentedeprrafopredeter"/>
    <w:link w:val="Textonotaalfinal"/>
    <w:rsid w:val="00446D48"/>
    <w:rPr>
      <w:rFonts w:ascii="Verdana" w:eastAsia="Batang" w:hAnsi="Verdana" w:cs="Times"/>
      <w:noProof/>
      <w:sz w:val="20"/>
      <w:szCs w:val="20"/>
      <w:lang w:val="es-ES_tradnl"/>
    </w:rPr>
  </w:style>
  <w:style w:type="character" w:styleId="Refdenotaalfinal">
    <w:name w:val="endnote reference"/>
    <w:basedOn w:val="Fuentedeprrafopredeter"/>
    <w:unhideWhenUsed/>
    <w:rsid w:val="00446D48"/>
    <w:rPr>
      <w:vertAlign w:val="superscript"/>
    </w:rPr>
  </w:style>
  <w:style w:type="paragraph" w:customStyle="1" w:styleId="PrrafodeSentencia">
    <w:name w:val="Párrafo de Sentencia"/>
    <w:basedOn w:val="Prrafodelista"/>
    <w:autoRedefine/>
    <w:qFormat/>
    <w:rsid w:val="00446D48"/>
    <w:pPr>
      <w:numPr>
        <w:ilvl w:val="4"/>
        <w:numId w:val="4"/>
      </w:numPr>
      <w:tabs>
        <w:tab w:val="num" w:pos="360"/>
      </w:tabs>
      <w:ind w:left="720" w:firstLine="0"/>
    </w:pPr>
    <w:rPr>
      <w:rFonts w:eastAsia="Times New Roman" w:cs="Times New Roman"/>
      <w:szCs w:val="20"/>
      <w:lang w:eastAsia="es-ES"/>
    </w:rPr>
  </w:style>
  <w:style w:type="paragraph" w:customStyle="1" w:styleId="Textonotapie1">
    <w:name w:val="Texto nota pie1"/>
    <w:basedOn w:val="Normal"/>
    <w:semiHidden/>
    <w:rsid w:val="00446D48"/>
    <w:pPr>
      <w:jc w:val="left"/>
    </w:pPr>
    <w:rPr>
      <w:rFonts w:ascii="Times New Roman" w:eastAsia="Times New Roman" w:hAnsi="Times New Roman" w:cs="Times New Roman"/>
      <w:szCs w:val="20"/>
      <w:lang w:eastAsia="es-ES"/>
    </w:rPr>
  </w:style>
  <w:style w:type="paragraph" w:styleId="TDC6">
    <w:name w:val="toc 6"/>
    <w:basedOn w:val="Normal"/>
    <w:next w:val="Normal"/>
    <w:autoRedefine/>
    <w:uiPriority w:val="39"/>
    <w:unhideWhenUsed/>
    <w:rsid w:val="00446D48"/>
    <w:pPr>
      <w:spacing w:after="100" w:line="276" w:lineRule="auto"/>
      <w:ind w:left="1100"/>
      <w:jc w:val="left"/>
    </w:pPr>
    <w:rPr>
      <w:rFonts w:ascii="Calibri" w:eastAsia="Times New Roman" w:hAnsi="Calibri" w:cs="Times New Roman"/>
      <w:sz w:val="22"/>
      <w:szCs w:val="22"/>
      <w:lang w:val="es-CR" w:eastAsia="es-CR"/>
    </w:rPr>
  </w:style>
  <w:style w:type="paragraph" w:styleId="TDC7">
    <w:name w:val="toc 7"/>
    <w:basedOn w:val="Normal"/>
    <w:next w:val="Normal"/>
    <w:autoRedefine/>
    <w:uiPriority w:val="39"/>
    <w:unhideWhenUsed/>
    <w:rsid w:val="00446D48"/>
    <w:pPr>
      <w:spacing w:after="100" w:line="276" w:lineRule="auto"/>
      <w:ind w:left="1320"/>
      <w:jc w:val="left"/>
    </w:pPr>
    <w:rPr>
      <w:rFonts w:ascii="Calibri" w:eastAsia="Times New Roman" w:hAnsi="Calibri" w:cs="Times New Roman"/>
      <w:sz w:val="22"/>
      <w:szCs w:val="22"/>
      <w:lang w:val="es-CR" w:eastAsia="es-CR"/>
    </w:rPr>
  </w:style>
  <w:style w:type="paragraph" w:styleId="TDC8">
    <w:name w:val="toc 8"/>
    <w:basedOn w:val="Normal"/>
    <w:next w:val="Normal"/>
    <w:autoRedefine/>
    <w:uiPriority w:val="39"/>
    <w:unhideWhenUsed/>
    <w:rsid w:val="00446D48"/>
    <w:pPr>
      <w:spacing w:after="100" w:line="276" w:lineRule="auto"/>
      <w:ind w:left="1540"/>
      <w:jc w:val="left"/>
    </w:pPr>
    <w:rPr>
      <w:rFonts w:ascii="Calibri" w:eastAsia="Times New Roman" w:hAnsi="Calibri" w:cs="Times New Roman"/>
      <w:sz w:val="22"/>
      <w:szCs w:val="22"/>
      <w:lang w:val="es-CR" w:eastAsia="es-CR"/>
    </w:rPr>
  </w:style>
  <w:style w:type="paragraph" w:styleId="TDC9">
    <w:name w:val="toc 9"/>
    <w:basedOn w:val="Normal"/>
    <w:next w:val="Normal"/>
    <w:autoRedefine/>
    <w:uiPriority w:val="39"/>
    <w:unhideWhenUsed/>
    <w:rsid w:val="00446D48"/>
    <w:pPr>
      <w:spacing w:after="100" w:line="276" w:lineRule="auto"/>
      <w:ind w:left="1760"/>
      <w:jc w:val="left"/>
    </w:pPr>
    <w:rPr>
      <w:rFonts w:ascii="Calibri" w:eastAsia="Times New Roman" w:hAnsi="Calibri" w:cs="Times New Roman"/>
      <w:sz w:val="22"/>
      <w:szCs w:val="22"/>
      <w:lang w:val="es-CR" w:eastAsia="es-CR"/>
    </w:rPr>
  </w:style>
  <w:style w:type="character" w:customStyle="1" w:styleId="normalchar">
    <w:name w:val="normal__char"/>
    <w:basedOn w:val="Fuentedeprrafopredeter"/>
    <w:rsid w:val="00446D48"/>
  </w:style>
  <w:style w:type="character" w:customStyle="1" w:styleId="apple-converted-space">
    <w:name w:val="apple-converted-space"/>
    <w:basedOn w:val="Fuentedeprrafopredeter"/>
    <w:rsid w:val="00446D48"/>
  </w:style>
  <w:style w:type="paragraph" w:styleId="NormalWeb">
    <w:name w:val="Normal (Web)"/>
    <w:aliases w:val="Normal (Web) Char1,Normal (Web) Char Char,Normal (Web) Char1 Char,Normal (Web) Char Char Char"/>
    <w:basedOn w:val="Normal"/>
    <w:uiPriority w:val="99"/>
    <w:unhideWhenUsed/>
    <w:rsid w:val="00446D48"/>
    <w:pPr>
      <w:spacing w:before="100" w:beforeAutospacing="1" w:after="100" w:afterAutospacing="1"/>
      <w:jc w:val="left"/>
    </w:pPr>
    <w:rPr>
      <w:rFonts w:ascii="Times New Roman" w:eastAsia="Times New Roman" w:hAnsi="Times New Roman" w:cs="Times New Roman"/>
      <w:sz w:val="24"/>
      <w:lang w:val="es-CR" w:eastAsia="es-CR"/>
    </w:rPr>
  </w:style>
  <w:style w:type="character" w:styleId="Nmerodelnea">
    <w:name w:val="line number"/>
    <w:basedOn w:val="Fuentedeprrafopredeter"/>
    <w:uiPriority w:val="99"/>
    <w:semiHidden/>
    <w:unhideWhenUsed/>
    <w:rsid w:val="00446D48"/>
  </w:style>
  <w:style w:type="character" w:customStyle="1" w:styleId="PrrafodeSentenciaChar">
    <w:name w:val="*. Párrafo de Sentencia Char"/>
    <w:link w:val="PrrafodeSentencia0"/>
    <w:rsid w:val="00C56D2C"/>
    <w:rPr>
      <w:rFonts w:ascii="Verdana" w:eastAsia="Batang" w:hAnsi="Verdana" w:cs="Times New Roman"/>
      <w:sz w:val="20"/>
      <w:szCs w:val="20"/>
      <w:lang w:val="es-CR" w:eastAsia="es-MX" w:bidi="en-US"/>
    </w:rPr>
  </w:style>
  <w:style w:type="character" w:customStyle="1" w:styleId="Caracteresdenotafinal">
    <w:name w:val="Caracteres de nota final"/>
    <w:basedOn w:val="Fuentedeprrafopredeter"/>
    <w:rsid w:val="00446D48"/>
    <w:rPr>
      <w:vertAlign w:val="superscript"/>
    </w:rPr>
  </w:style>
  <w:style w:type="character" w:customStyle="1" w:styleId="FootnoteRef">
    <w:name w:val="Footnote Ref"/>
    <w:rsid w:val="00446D48"/>
    <w:rPr>
      <w:rFonts w:cs="Times New Roman"/>
      <w:vertAlign w:val="superscript"/>
    </w:rPr>
  </w:style>
  <w:style w:type="paragraph" w:styleId="Textosinformato">
    <w:name w:val="Plain Text"/>
    <w:basedOn w:val="Normal"/>
    <w:link w:val="TextosinformatoCar"/>
    <w:uiPriority w:val="99"/>
    <w:unhideWhenUsed/>
    <w:rsid w:val="00446D48"/>
    <w:pPr>
      <w:jc w:val="left"/>
    </w:pPr>
    <w:rPr>
      <w:rFonts w:ascii="Consolas" w:eastAsia="Calibri" w:hAnsi="Consolas" w:cs="Consolas"/>
      <w:sz w:val="21"/>
      <w:szCs w:val="21"/>
      <w:lang w:val="es-CR" w:eastAsia="es-CR"/>
    </w:rPr>
  </w:style>
  <w:style w:type="character" w:customStyle="1" w:styleId="TextosinformatoCar">
    <w:name w:val="Texto sin formato Car"/>
    <w:basedOn w:val="Fuentedeprrafopredeter"/>
    <w:link w:val="Textosinformato"/>
    <w:uiPriority w:val="99"/>
    <w:rsid w:val="00446D48"/>
    <w:rPr>
      <w:rFonts w:ascii="Consolas" w:eastAsia="Calibri" w:hAnsi="Consolas" w:cs="Consolas"/>
      <w:noProof/>
      <w:sz w:val="21"/>
      <w:szCs w:val="21"/>
      <w:lang w:val="es-CR" w:eastAsia="es-CR"/>
    </w:rPr>
  </w:style>
  <w:style w:type="paragraph" w:styleId="Asuntodelcomentario">
    <w:name w:val="annotation subject"/>
    <w:basedOn w:val="Textocomentario"/>
    <w:next w:val="Textocomentario"/>
    <w:link w:val="AsuntodelcomentarioCar"/>
    <w:uiPriority w:val="99"/>
    <w:semiHidden/>
    <w:unhideWhenUsed/>
    <w:rsid w:val="00446D48"/>
    <w:pPr>
      <w:jc w:val="both"/>
    </w:pPr>
    <w:rPr>
      <w:rFonts w:ascii="Verdana" w:eastAsia="Batang" w:hAnsi="Verdana" w:cs="Times"/>
      <w:b/>
      <w:bCs/>
    </w:rPr>
  </w:style>
  <w:style w:type="character" w:customStyle="1" w:styleId="AsuntodelcomentarioCar">
    <w:name w:val="Asunto del comentario Car"/>
    <w:basedOn w:val="TextocomentarioCar"/>
    <w:link w:val="Asuntodelcomentario"/>
    <w:uiPriority w:val="99"/>
    <w:semiHidden/>
    <w:rsid w:val="00446D48"/>
    <w:rPr>
      <w:rFonts w:ascii="Verdana" w:eastAsia="Batang" w:hAnsi="Verdana" w:cs="Times"/>
      <w:b/>
      <w:bCs/>
      <w:noProof/>
      <w:sz w:val="20"/>
      <w:szCs w:val="20"/>
      <w:lang w:val="es-ES_tradnl"/>
    </w:rPr>
  </w:style>
  <w:style w:type="character" w:styleId="Hipervnculovisitado">
    <w:name w:val="FollowedHyperlink"/>
    <w:basedOn w:val="Fuentedeprrafopredeter"/>
    <w:uiPriority w:val="99"/>
    <w:unhideWhenUsed/>
    <w:rsid w:val="00446D48"/>
    <w:rPr>
      <w:color w:val="800080"/>
      <w:u w:val="single"/>
    </w:rPr>
  </w:style>
  <w:style w:type="paragraph" w:customStyle="1" w:styleId="CM15">
    <w:name w:val="CM15"/>
    <w:basedOn w:val="Default"/>
    <w:next w:val="Default"/>
    <w:uiPriority w:val="99"/>
    <w:rsid w:val="00446D48"/>
    <w:pPr>
      <w:spacing w:line="276" w:lineRule="atLeast"/>
    </w:pPr>
    <w:rPr>
      <w:rFonts w:ascii="Arial" w:hAnsi="Arial" w:cs="Arial"/>
      <w:color w:val="auto"/>
    </w:rPr>
  </w:style>
  <w:style w:type="character" w:customStyle="1" w:styleId="longtext1">
    <w:name w:val="long_text1"/>
    <w:basedOn w:val="Fuentedeprrafopredeter"/>
    <w:rsid w:val="00446D48"/>
    <w:rPr>
      <w:sz w:val="14"/>
      <w:szCs w:val="14"/>
    </w:rPr>
  </w:style>
  <w:style w:type="character" w:customStyle="1" w:styleId="ListParagraphChar1">
    <w:name w:val="List Paragraph Char1"/>
    <w:aliases w:val="Footnote Char2"/>
    <w:basedOn w:val="Fuentedeprrafopredeter"/>
    <w:rsid w:val="00446D48"/>
    <w:rPr>
      <w:rFonts w:ascii="Verdana" w:eastAsia="Times New Roman" w:hAnsi="Verdana"/>
      <w:lang w:val="es-ES_tradnl" w:eastAsia="en-US"/>
    </w:rPr>
  </w:style>
  <w:style w:type="character" w:customStyle="1" w:styleId="apple-style-span">
    <w:name w:val="apple-style-span"/>
    <w:basedOn w:val="Fuentedeprrafopredeter"/>
    <w:rsid w:val="00446D48"/>
  </w:style>
  <w:style w:type="character" w:customStyle="1" w:styleId="Refdenotaalpie2">
    <w:name w:val="Ref. de nota al pie2"/>
    <w:rsid w:val="00446D48"/>
    <w:rPr>
      <w:vertAlign w:val="superscript"/>
    </w:rPr>
  </w:style>
  <w:style w:type="paragraph" w:styleId="Revisin">
    <w:name w:val="Revision"/>
    <w:hidden/>
    <w:uiPriority w:val="99"/>
    <w:semiHidden/>
    <w:rsid w:val="00446D48"/>
    <w:pPr>
      <w:spacing w:after="0" w:line="240" w:lineRule="auto"/>
    </w:pPr>
    <w:rPr>
      <w:rFonts w:ascii="Verdana" w:eastAsia="Batang" w:hAnsi="Verdana" w:cs="Times"/>
      <w:noProof/>
      <w:sz w:val="20"/>
      <w:szCs w:val="24"/>
      <w:lang w:val="es-ES_tradnl"/>
    </w:rPr>
  </w:style>
  <w:style w:type="paragraph" w:customStyle="1" w:styleId="xl66">
    <w:name w:val="xl66"/>
    <w:basedOn w:val="Normal"/>
    <w:rsid w:val="00446D48"/>
    <w:pPr>
      <w:pBdr>
        <w:top w:val="single" w:sz="8" w:space="0" w:color="auto"/>
        <w:left w:val="single" w:sz="8" w:space="0" w:color="auto"/>
      </w:pBdr>
      <w:spacing w:before="100" w:beforeAutospacing="1" w:after="100" w:afterAutospacing="1"/>
      <w:jc w:val="center"/>
      <w:textAlignment w:val="center"/>
    </w:pPr>
    <w:rPr>
      <w:rFonts w:ascii="Book Antiqua" w:eastAsia="Times New Roman" w:hAnsi="Book Antiqua" w:cs="Times New Roman"/>
      <w:b/>
      <w:bCs/>
      <w:noProof w:val="0"/>
      <w:color w:val="000000"/>
      <w:sz w:val="24"/>
      <w:lang w:val="es-CR" w:eastAsia="es-CR"/>
    </w:rPr>
  </w:style>
  <w:style w:type="paragraph" w:customStyle="1" w:styleId="xl67">
    <w:name w:val="xl67"/>
    <w:basedOn w:val="Normal"/>
    <w:rsid w:val="00446D48"/>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eastAsia="Times New Roman" w:hAnsi="Book Antiqua" w:cs="Times New Roman"/>
      <w:b/>
      <w:bCs/>
      <w:noProof w:val="0"/>
      <w:color w:val="000000"/>
      <w:sz w:val="24"/>
      <w:lang w:val="es-CR" w:eastAsia="es-CR"/>
    </w:rPr>
  </w:style>
  <w:style w:type="paragraph" w:customStyle="1" w:styleId="xl68">
    <w:name w:val="xl68"/>
    <w:basedOn w:val="Normal"/>
    <w:rsid w:val="00446D48"/>
    <w:pPr>
      <w:pBdr>
        <w:top w:val="single" w:sz="8" w:space="0" w:color="auto"/>
      </w:pBdr>
      <w:spacing w:before="100" w:beforeAutospacing="1" w:after="100" w:afterAutospacing="1"/>
      <w:jc w:val="center"/>
      <w:textAlignment w:val="center"/>
    </w:pPr>
    <w:rPr>
      <w:rFonts w:ascii="Book Antiqua" w:eastAsia="Times New Roman" w:hAnsi="Book Antiqua" w:cs="Times New Roman"/>
      <w:b/>
      <w:bCs/>
      <w:noProof w:val="0"/>
      <w:color w:val="000000"/>
      <w:sz w:val="24"/>
      <w:lang w:val="es-CR" w:eastAsia="es-CR"/>
    </w:rPr>
  </w:style>
  <w:style w:type="paragraph" w:customStyle="1" w:styleId="xl70">
    <w:name w:val="xl70"/>
    <w:basedOn w:val="Normal"/>
    <w:rsid w:val="00446D48"/>
    <w:pPr>
      <w:pBdr>
        <w:top w:val="single" w:sz="4" w:space="0" w:color="auto"/>
        <w:left w:val="single" w:sz="8" w:space="0" w:color="auto"/>
        <w:bottom w:val="single" w:sz="4" w:space="0" w:color="auto"/>
      </w:pBdr>
      <w:spacing w:before="100" w:beforeAutospacing="1" w:after="100" w:afterAutospacing="1"/>
      <w:jc w:val="center"/>
      <w:textAlignment w:val="center"/>
    </w:pPr>
    <w:rPr>
      <w:rFonts w:ascii="Book Antiqua" w:eastAsia="Times New Roman" w:hAnsi="Book Antiqua" w:cs="Times New Roman"/>
      <w:b/>
      <w:bCs/>
      <w:noProof w:val="0"/>
      <w:color w:val="000000"/>
      <w:sz w:val="24"/>
      <w:lang w:val="es-CR" w:eastAsia="es-CR"/>
    </w:rPr>
  </w:style>
  <w:style w:type="paragraph" w:customStyle="1" w:styleId="xl71">
    <w:name w:val="xl71"/>
    <w:basedOn w:val="Normal"/>
    <w:rsid w:val="00446D48"/>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2">
    <w:name w:val="xl72"/>
    <w:basedOn w:val="Normal"/>
    <w:rsid w:val="00446D48"/>
    <w:pPr>
      <w:pBdr>
        <w:top w:val="single" w:sz="4" w:space="0" w:color="auto"/>
        <w:bottom w:val="single" w:sz="4" w:space="0" w:color="auto"/>
      </w:pBdr>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3">
    <w:name w:val="xl73"/>
    <w:basedOn w:val="Normal"/>
    <w:rsid w:val="00446D48"/>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4">
    <w:name w:val="xl74"/>
    <w:basedOn w:val="Normal"/>
    <w:rsid w:val="00446D48"/>
    <w:pPr>
      <w:pBdr>
        <w:top w:val="single" w:sz="4" w:space="0" w:color="auto"/>
        <w:left w:val="single" w:sz="8" w:space="0" w:color="auto"/>
        <w:right w:val="single" w:sz="8" w:space="0" w:color="auto"/>
      </w:pBdr>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5">
    <w:name w:val="xl75"/>
    <w:basedOn w:val="Normal"/>
    <w:rsid w:val="00446D48"/>
    <w:pPr>
      <w:pBdr>
        <w:top w:val="single" w:sz="4" w:space="0" w:color="auto"/>
        <w:left w:val="single" w:sz="8" w:space="0" w:color="auto"/>
        <w:bottom w:val="single" w:sz="4" w:space="0" w:color="auto"/>
        <w:right w:val="single" w:sz="8" w:space="0" w:color="auto"/>
      </w:pBdr>
      <w:shd w:val="clear" w:color="000000" w:fill="E6B9B8"/>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6">
    <w:name w:val="xl76"/>
    <w:basedOn w:val="Normal"/>
    <w:rsid w:val="00446D48"/>
    <w:pPr>
      <w:pBdr>
        <w:top w:val="single" w:sz="4" w:space="0" w:color="auto"/>
        <w:bottom w:val="single" w:sz="4" w:space="0" w:color="auto"/>
      </w:pBdr>
      <w:shd w:val="clear" w:color="000000" w:fill="E6B9B8"/>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77">
    <w:name w:val="xl77"/>
    <w:basedOn w:val="Normal"/>
    <w:rsid w:val="00446D48"/>
    <w:pPr>
      <w:pBdr>
        <w:top w:val="single" w:sz="4" w:space="0" w:color="auto"/>
        <w:left w:val="single" w:sz="8" w:space="0" w:color="auto"/>
        <w:bottom w:val="single" w:sz="4" w:space="0" w:color="auto"/>
        <w:right w:val="single" w:sz="8" w:space="0" w:color="auto"/>
      </w:pBdr>
      <w:shd w:val="clear" w:color="000000" w:fill="E6B9B8"/>
      <w:spacing w:before="100" w:beforeAutospacing="1" w:after="100" w:afterAutospacing="1"/>
      <w:jc w:val="left"/>
      <w:textAlignment w:val="center"/>
    </w:pPr>
    <w:rPr>
      <w:rFonts w:ascii="Book Antiqua" w:eastAsia="Times New Roman" w:hAnsi="Book Antiqua" w:cs="Times New Roman"/>
      <w:noProof w:val="0"/>
      <w:color w:val="000000"/>
      <w:sz w:val="24"/>
      <w:lang w:val="es-CR" w:eastAsia="es-CR"/>
    </w:rPr>
  </w:style>
  <w:style w:type="paragraph" w:customStyle="1" w:styleId="xl69">
    <w:name w:val="xl69"/>
    <w:basedOn w:val="Normal"/>
    <w:rsid w:val="00446D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24"/>
      <w:lang w:val="es-CR" w:eastAsia="es-CR"/>
    </w:rPr>
  </w:style>
  <w:style w:type="paragraph" w:styleId="Sangra2detindependiente">
    <w:name w:val="Body Text Indent 2"/>
    <w:basedOn w:val="Normal"/>
    <w:link w:val="Sangra2detindependienteCar"/>
    <w:uiPriority w:val="99"/>
    <w:unhideWhenUsed/>
    <w:rsid w:val="00DD2BA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D2BA7"/>
    <w:rPr>
      <w:rFonts w:ascii="Verdana" w:eastAsia="Batang" w:hAnsi="Verdana" w:cs="Times"/>
      <w:noProof/>
      <w:sz w:val="20"/>
      <w:szCs w:val="24"/>
      <w:lang w:val="es-ES_tradnl"/>
    </w:rPr>
  </w:style>
  <w:style w:type="character" w:customStyle="1" w:styleId="Ttulo6Car">
    <w:name w:val="Título 6 Car"/>
    <w:basedOn w:val="Fuentedeprrafopredeter"/>
    <w:link w:val="Ttulo6"/>
    <w:rsid w:val="005409D3"/>
    <w:rPr>
      <w:rFonts w:ascii="Verdana" w:eastAsia="Times New Roman" w:hAnsi="Verdana" w:cs="Times New Roman"/>
      <w:spacing w:val="-2"/>
      <w:sz w:val="20"/>
      <w:szCs w:val="20"/>
      <w:lang w:val="es-ES_tradnl" w:eastAsia="es-CR"/>
    </w:rPr>
  </w:style>
  <w:style w:type="paragraph" w:customStyle="1" w:styleId="NotasProyectos0">
    <w:name w:val="***. Notas Proyectos"/>
    <w:basedOn w:val="Normal"/>
    <w:link w:val="NotasProyectosChar0"/>
    <w:autoRedefine/>
    <w:qFormat/>
    <w:rsid w:val="00ED0F94"/>
    <w:pPr>
      <w:spacing w:before="120"/>
      <w:ind w:left="720"/>
    </w:pPr>
    <w:rPr>
      <w:rFonts w:eastAsia="Times New Roman" w:cs="Times New Roman"/>
      <w:noProof w:val="0"/>
      <w:szCs w:val="20"/>
      <w:lang w:eastAsia="es-ES"/>
    </w:rPr>
  </w:style>
  <w:style w:type="character" w:customStyle="1" w:styleId="NotasProyectosChar0">
    <w:name w:val="***. Notas Proyectos Char"/>
    <w:link w:val="NotasProyectos0"/>
    <w:rsid w:val="00ED0F94"/>
    <w:rPr>
      <w:rFonts w:ascii="Verdana" w:eastAsia="Times New Roman" w:hAnsi="Verdana" w:cs="Times New Roman"/>
      <w:sz w:val="20"/>
      <w:szCs w:val="20"/>
      <w:lang w:val="es-ES_tradnl" w:eastAsia="es-ES"/>
    </w:rPr>
  </w:style>
  <w:style w:type="character" w:customStyle="1" w:styleId="Smbolodenotaalpie">
    <w:name w:val="Símbolo de nota al pie"/>
    <w:basedOn w:val="Fuentedeprrafopredeter"/>
    <w:rsid w:val="00ED0F94"/>
    <w:rPr>
      <w:vertAlign w:val="superscript"/>
    </w:rPr>
  </w:style>
  <w:style w:type="table" w:styleId="Tablaconcuadrcula">
    <w:name w:val="Table Grid"/>
    <w:basedOn w:val="Tablanormal"/>
    <w:rsid w:val="005E1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31">
    <w:name w:val="Body Text 31"/>
    <w:basedOn w:val="Normal"/>
    <w:rsid w:val="005E1A04"/>
    <w:pPr>
      <w:overflowPunct w:val="0"/>
      <w:autoSpaceDE w:val="0"/>
      <w:autoSpaceDN w:val="0"/>
      <w:adjustRightInd w:val="0"/>
      <w:jc w:val="left"/>
      <w:textAlignment w:val="baseline"/>
    </w:pPr>
    <w:rPr>
      <w:rFonts w:ascii="Times" w:eastAsia="Times New Roman" w:hAnsi="Times" w:cs="Times New Roman"/>
      <w:b/>
      <w:caps/>
      <w:noProof w:val="0"/>
      <w:sz w:val="24"/>
      <w:szCs w:val="20"/>
      <w:lang w:val="en-US" w:eastAsia="es-ES"/>
    </w:rPr>
  </w:style>
  <w:style w:type="character" w:styleId="Textoennegrita">
    <w:name w:val="Strong"/>
    <w:basedOn w:val="Fuentedeprrafopredeter"/>
    <w:uiPriority w:val="22"/>
    <w:qFormat/>
    <w:rsid w:val="00C12E50"/>
    <w:rPr>
      <w:b/>
      <w:bCs/>
    </w:rPr>
  </w:style>
  <w:style w:type="character" w:customStyle="1" w:styleId="Estilo2Car">
    <w:name w:val="Estilo2 Car"/>
    <w:link w:val="Estilo2"/>
    <w:rsid w:val="00A25249"/>
    <w:rPr>
      <w:rFonts w:ascii="Verdana" w:eastAsia="Calibri" w:hAnsi="Verdana" w:cs="Times New Roman"/>
      <w:noProof/>
      <w:sz w:val="20"/>
      <w:szCs w:val="20"/>
      <w:lang w:val="es-ES_tradnl"/>
    </w:rPr>
  </w:style>
  <w:style w:type="paragraph" w:customStyle="1" w:styleId="Textoindependiente1">
    <w:name w:val="Texto independiente1"/>
    <w:basedOn w:val="Normal"/>
    <w:rsid w:val="00865815"/>
    <w:pPr>
      <w:widowControl w:val="0"/>
    </w:pPr>
    <w:rPr>
      <w:rFonts w:ascii="Times New Roman" w:eastAsia="MS Mincho" w:hAnsi="Times New Roman" w:cs="Times New Roman"/>
      <w:noProof w:val="0"/>
      <w:sz w:val="24"/>
      <w:szCs w:val="20"/>
      <w:lang w:val="es-ES"/>
    </w:rPr>
  </w:style>
  <w:style w:type="paragraph" w:customStyle="1" w:styleId="xmsonormal">
    <w:name w:val="x_msonormal"/>
    <w:basedOn w:val="Normal"/>
    <w:rsid w:val="00115D82"/>
    <w:pPr>
      <w:spacing w:before="100" w:beforeAutospacing="1" w:after="100" w:afterAutospacing="1"/>
      <w:jc w:val="left"/>
    </w:pPr>
    <w:rPr>
      <w:rFonts w:ascii="Times New Roman" w:eastAsia="Times New Roman" w:hAnsi="Times New Roman" w:cs="Times New Roman"/>
      <w:noProof w:val="0"/>
      <w:sz w:val="24"/>
      <w:lang w:val="es-CR" w:eastAsia="es-CR"/>
    </w:rPr>
  </w:style>
  <w:style w:type="character" w:customStyle="1" w:styleId="normal--char">
    <w:name w:val="normal--char"/>
    <w:basedOn w:val="Fuentedeprrafopredeter"/>
    <w:rsid w:val="00F351E5"/>
  </w:style>
  <w:style w:type="paragraph" w:customStyle="1" w:styleId="Prrafodelista1">
    <w:name w:val="Párrafo de lista1"/>
    <w:basedOn w:val="Normal"/>
    <w:uiPriority w:val="34"/>
    <w:qFormat/>
    <w:rsid w:val="00F351E5"/>
    <w:pPr>
      <w:ind w:left="720"/>
      <w:jc w:val="left"/>
    </w:pPr>
    <w:rPr>
      <w:rFonts w:eastAsia="Times" w:cs="Times New Roman"/>
      <w:noProof w:val="0"/>
      <w:szCs w:val="20"/>
    </w:rPr>
  </w:style>
  <w:style w:type="character" w:customStyle="1" w:styleId="ju-005fpara-002cleft-002cfirst-0020line-003a-0020-00200-0020cm--char">
    <w:name w:val="ju-005fpara-002cleft-002cfirst-0020line-003a-0020-00200-0020cm--char"/>
    <w:basedOn w:val="Fuentedeprrafopredeter"/>
    <w:rsid w:val="00F351E5"/>
  </w:style>
  <w:style w:type="character" w:customStyle="1" w:styleId="skypepnhprintcontainer">
    <w:name w:val="skype_pnh_print_container"/>
    <w:basedOn w:val="Fuentedeprrafopredeter"/>
    <w:rsid w:val="00395FBB"/>
  </w:style>
  <w:style w:type="character" w:customStyle="1" w:styleId="s6b621b36">
    <w:name w:val="s6b621b36"/>
    <w:basedOn w:val="Fuentedeprrafopredeter"/>
    <w:rsid w:val="00395FBB"/>
  </w:style>
  <w:style w:type="paragraph" w:customStyle="1" w:styleId="ng-scope1">
    <w:name w:val="ng-scope1"/>
    <w:basedOn w:val="Normal"/>
    <w:rsid w:val="00395FBB"/>
    <w:pPr>
      <w:spacing w:before="100" w:beforeAutospacing="1" w:after="100" w:afterAutospacing="1"/>
      <w:jc w:val="left"/>
    </w:pPr>
    <w:rPr>
      <w:rFonts w:ascii="Times New Roman" w:eastAsia="Times New Roman" w:hAnsi="Times New Roman" w:cs="Times New Roman"/>
      <w:noProof w:val="0"/>
      <w:sz w:val="24"/>
      <w:lang w:val="en-US"/>
    </w:rPr>
  </w:style>
  <w:style w:type="character" w:customStyle="1" w:styleId="TtuloCar">
    <w:name w:val="Título Car"/>
    <w:rsid w:val="00277B45"/>
    <w:rPr>
      <w:rFonts w:ascii="Verdana" w:eastAsia="Times New Roman" w:hAnsi="Verdana" w:cs="Times New Roman"/>
      <w:b/>
      <w:noProof/>
      <w:sz w:val="20"/>
      <w:szCs w:val="20"/>
      <w:lang w:val="es-ES_tradnl"/>
    </w:rPr>
  </w:style>
  <w:style w:type="character" w:customStyle="1" w:styleId="SubttuloCar">
    <w:name w:val="Subtítulo Car"/>
    <w:uiPriority w:val="11"/>
    <w:rsid w:val="00277B45"/>
    <w:rPr>
      <w:rFonts w:ascii="Verdana" w:eastAsia="Times New Roman" w:hAnsi="Verdana" w:cs="Times New Roman"/>
      <w:b/>
      <w:i/>
      <w:iCs/>
      <w:noProof/>
      <w:spacing w:val="15"/>
      <w:sz w:val="20"/>
      <w:szCs w:val="24"/>
      <w:lang w:val="es-ES_tradnl"/>
    </w:rPr>
  </w:style>
  <w:style w:type="character" w:customStyle="1" w:styleId="TextonotapieCar1">
    <w:name w:val="Texto nota pie Car1"/>
    <w:aliases w:val="2. Footnote Text Car,Footnote Tesina Car,FA Fu Car,Footnote Text Char Char Char Char Char Car,Footnote Text Char Char Char Char Car,Footnote reference Car,Footnote Text Char Char Char Car,Footnote Text Cha Car,FA Fußnotentext Car"/>
    <w:rsid w:val="00277B45"/>
    <w:rPr>
      <w:rFonts w:ascii="Verdana" w:eastAsia="Batang" w:hAnsi="Verdana" w:cs="Times"/>
      <w:noProof/>
      <w:sz w:val="16"/>
      <w:szCs w:val="20"/>
      <w:lang w:val="es-ES_tradnl"/>
    </w:rPr>
  </w:style>
  <w:style w:type="paragraph" w:customStyle="1" w:styleId="EstiloTtulo2Cursiva">
    <w:name w:val="Estilo Título 2 + Cursiva"/>
    <w:basedOn w:val="Ttulo2"/>
    <w:uiPriority w:val="99"/>
    <w:rsid w:val="00581322"/>
    <w:pPr>
      <w:keepLines w:val="0"/>
      <w:numPr>
        <w:numId w:val="0"/>
      </w:numPr>
      <w:spacing w:before="120" w:after="120"/>
    </w:pPr>
    <w:rPr>
      <w:rFonts w:eastAsia="MS Mincho" w:cs="Arial"/>
      <w:i w:val="0"/>
      <w:iCs/>
      <w:noProof w:val="0"/>
      <w:szCs w:val="28"/>
      <w:lang w:val="es-CL" w:eastAsia="es-CL"/>
    </w:rPr>
  </w:style>
  <w:style w:type="paragraph" w:customStyle="1" w:styleId="Estilo5">
    <w:name w:val="Estilo5"/>
    <w:basedOn w:val="Normal"/>
    <w:link w:val="Estilo5Car"/>
    <w:rsid w:val="00581322"/>
    <w:pPr>
      <w:keepNext/>
      <w:numPr>
        <w:numId w:val="6"/>
      </w:numPr>
      <w:tabs>
        <w:tab w:val="left" w:pos="426"/>
        <w:tab w:val="left" w:pos="567"/>
        <w:tab w:val="left" w:pos="1134"/>
      </w:tabs>
      <w:spacing w:after="120"/>
      <w:ind w:right="-91"/>
    </w:pPr>
    <w:rPr>
      <w:rFonts w:cs="Times New Roman"/>
      <w:b/>
      <w:i/>
      <w:noProof w:val="0"/>
      <w:szCs w:val="20"/>
      <w:lang w:eastAsia="x-none"/>
    </w:rPr>
  </w:style>
  <w:style w:type="paragraph" w:customStyle="1" w:styleId="Estilo6">
    <w:name w:val="Estilo6"/>
    <w:basedOn w:val="Normal"/>
    <w:link w:val="Estilo6Car"/>
    <w:qFormat/>
    <w:rsid w:val="00581322"/>
    <w:pPr>
      <w:tabs>
        <w:tab w:val="left" w:pos="709"/>
        <w:tab w:val="left" w:pos="851"/>
        <w:tab w:val="left" w:pos="1134"/>
      </w:tabs>
      <w:autoSpaceDE w:val="0"/>
      <w:autoSpaceDN w:val="0"/>
      <w:adjustRightInd w:val="0"/>
      <w:spacing w:after="120"/>
      <w:ind w:left="714" w:right="-91" w:hanging="357"/>
      <w:jc w:val="left"/>
    </w:pPr>
    <w:rPr>
      <w:rFonts w:eastAsia="Calibri" w:cs="Times New Roman"/>
      <w:b/>
      <w:i/>
      <w:noProof w:val="0"/>
      <w:szCs w:val="20"/>
      <w:lang w:eastAsia="es-MX"/>
    </w:rPr>
  </w:style>
  <w:style w:type="character" w:customStyle="1" w:styleId="Estilo5Car">
    <w:name w:val="Estilo5 Car"/>
    <w:link w:val="Estilo5"/>
    <w:rsid w:val="00581322"/>
    <w:rPr>
      <w:rFonts w:ascii="Verdana" w:eastAsia="Batang" w:hAnsi="Verdana" w:cs="Times New Roman"/>
      <w:b/>
      <w:i/>
      <w:sz w:val="20"/>
      <w:szCs w:val="20"/>
      <w:lang w:val="es-ES_tradnl" w:eastAsia="x-none"/>
    </w:rPr>
  </w:style>
  <w:style w:type="character" w:customStyle="1" w:styleId="Estilo6Car">
    <w:name w:val="Estilo6 Car"/>
    <w:link w:val="Estilo6"/>
    <w:rsid w:val="00581322"/>
    <w:rPr>
      <w:rFonts w:ascii="Verdana" w:eastAsia="Calibri" w:hAnsi="Verdana" w:cs="Times New Roman"/>
      <w:b/>
      <w:i/>
      <w:sz w:val="20"/>
      <w:szCs w:val="20"/>
      <w:lang w:val="es-ES_tradnl" w:eastAsia="es-MX"/>
    </w:rPr>
  </w:style>
  <w:style w:type="character" w:customStyle="1" w:styleId="Estilo7Car">
    <w:name w:val="Estilo7 Car"/>
    <w:link w:val="Estilo7"/>
    <w:rsid w:val="00581322"/>
    <w:rPr>
      <w:rFonts w:ascii="Verdana" w:eastAsia="Batang" w:hAnsi="Verdana" w:cs="Times New Roman"/>
      <w:b/>
      <w:i/>
      <w:noProof/>
      <w:sz w:val="20"/>
      <w:szCs w:val="20"/>
      <w:lang w:val="es-ES_tradnl" w:eastAsia="es-MX"/>
    </w:rPr>
  </w:style>
  <w:style w:type="paragraph" w:customStyle="1" w:styleId="NormalNumbered">
    <w:name w:val="Normal Numbered"/>
    <w:basedOn w:val="Normal"/>
    <w:link w:val="NormalNumberedChar"/>
    <w:qFormat/>
    <w:rsid w:val="00581322"/>
    <w:pPr>
      <w:numPr>
        <w:numId w:val="7"/>
      </w:numPr>
      <w:ind w:left="0" w:firstLine="0"/>
    </w:pPr>
    <w:rPr>
      <w:rFonts w:eastAsia="Times New Roman" w:cs="Times New Roman"/>
      <w:noProof w:val="0"/>
      <w:szCs w:val="20"/>
      <w:lang w:val="en-US" w:eastAsia="x-none"/>
    </w:rPr>
  </w:style>
  <w:style w:type="character" w:customStyle="1" w:styleId="NormalNumberedChar">
    <w:name w:val="Normal Numbered Char"/>
    <w:link w:val="NormalNumbered"/>
    <w:rsid w:val="00581322"/>
    <w:rPr>
      <w:rFonts w:ascii="Verdana" w:eastAsia="Times New Roman" w:hAnsi="Verdana" w:cs="Times New Roman"/>
      <w:sz w:val="20"/>
      <w:szCs w:val="20"/>
      <w:lang w:eastAsia="x-none"/>
    </w:rPr>
  </w:style>
  <w:style w:type="character" w:customStyle="1" w:styleId="skypepnhmark">
    <w:name w:val="skype_pnh_mark"/>
    <w:rsid w:val="00581322"/>
    <w:rPr>
      <w:vanish/>
      <w:webHidden w:val="0"/>
      <w:specVanish w:val="0"/>
    </w:rPr>
  </w:style>
  <w:style w:type="character" w:customStyle="1" w:styleId="skypepnhcontainer">
    <w:name w:val="skype_pnh_container"/>
    <w:basedOn w:val="Fuentedeprrafopredeter"/>
    <w:rsid w:val="00581322"/>
  </w:style>
  <w:style w:type="character" w:customStyle="1" w:styleId="skypepnhtextspan">
    <w:name w:val="skype_pnh_text_span"/>
    <w:basedOn w:val="Fuentedeprrafopredeter"/>
    <w:rsid w:val="00581322"/>
  </w:style>
  <w:style w:type="character" w:customStyle="1" w:styleId="skypepnhrightspan">
    <w:name w:val="skype_pnh_right_span"/>
    <w:basedOn w:val="Fuentedeprrafopredeter"/>
    <w:rsid w:val="00581322"/>
  </w:style>
  <w:style w:type="paragraph" w:customStyle="1" w:styleId="NoteLevel21">
    <w:name w:val="Note Level 21"/>
    <w:qFormat/>
    <w:rsid w:val="00581322"/>
    <w:pPr>
      <w:spacing w:after="0" w:line="240" w:lineRule="auto"/>
    </w:pPr>
    <w:rPr>
      <w:rFonts w:ascii="Verdana" w:eastAsia="Times New Roman" w:hAnsi="Verdana" w:cs="Times New Roman"/>
      <w:sz w:val="20"/>
      <w:szCs w:val="20"/>
      <w:lang w:val="es-ES_tradnl"/>
    </w:rPr>
  </w:style>
  <w:style w:type="character" w:customStyle="1" w:styleId="LightGrid-Accent3Char">
    <w:name w:val="Light Grid - Accent 3 Char"/>
    <w:aliases w:val="Footnote Char"/>
    <w:link w:val="Sombreadovistoso-nfasis3"/>
    <w:uiPriority w:val="34"/>
    <w:rsid w:val="00581322"/>
    <w:rPr>
      <w:rFonts w:ascii="Verdana" w:eastAsia="Batang" w:hAnsi="Verdana" w:cs="Times"/>
      <w:sz w:val="20"/>
      <w:szCs w:val="24"/>
      <w:lang w:val="es-ES_tradnl"/>
    </w:rPr>
  </w:style>
  <w:style w:type="table" w:styleId="Sombreadovistoso-nfasis3">
    <w:name w:val="Colorful Shading Accent 3"/>
    <w:basedOn w:val="Tablanormal"/>
    <w:link w:val="LightGrid-Accent3Char"/>
    <w:uiPriority w:val="34"/>
    <w:rsid w:val="00581322"/>
    <w:pPr>
      <w:spacing w:after="0" w:line="240" w:lineRule="auto"/>
    </w:pPr>
    <w:rPr>
      <w:rFonts w:ascii="Verdana" w:eastAsia="Batang" w:hAnsi="Verdana" w:cs="Times"/>
      <w:sz w:val="20"/>
      <w:szCs w:val="24"/>
      <w:lang w:val="es-ES_trad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extodebloque">
    <w:name w:val="Block Text"/>
    <w:basedOn w:val="Normal"/>
    <w:semiHidden/>
    <w:rsid w:val="00581322"/>
    <w:pPr>
      <w:widowControl w:val="0"/>
      <w:spacing w:line="360" w:lineRule="auto"/>
      <w:ind w:left="709" w:right="566"/>
    </w:pPr>
    <w:rPr>
      <w:rFonts w:ascii="Garamond" w:eastAsia="Times New Roman" w:hAnsi="Garamond" w:cs="Times New Roman"/>
      <w:noProof w:val="0"/>
      <w:szCs w:val="20"/>
      <w:lang w:val="es-ES" w:eastAsia="es-ES"/>
    </w:rPr>
  </w:style>
  <w:style w:type="paragraph" w:styleId="HTMLconformatoprevio">
    <w:name w:val="HTML Preformatted"/>
    <w:basedOn w:val="Normal"/>
    <w:link w:val="HTMLconformatoprevioCar"/>
    <w:uiPriority w:val="99"/>
    <w:unhideWhenUsed/>
    <w:rsid w:val="00581322"/>
    <w:pPr>
      <w:jc w:val="left"/>
    </w:pPr>
    <w:rPr>
      <w:rFonts w:ascii="Consolas" w:eastAsia="Calibri" w:hAnsi="Consolas" w:cs="Times New Roman"/>
      <w:noProof w:val="0"/>
      <w:szCs w:val="20"/>
      <w:lang w:val="es-ES"/>
    </w:rPr>
  </w:style>
  <w:style w:type="character" w:customStyle="1" w:styleId="HTMLconformatoprevioCar">
    <w:name w:val="HTML con formato previo Car"/>
    <w:basedOn w:val="Fuentedeprrafopredeter"/>
    <w:link w:val="HTMLconformatoprevio"/>
    <w:uiPriority w:val="99"/>
    <w:rsid w:val="00581322"/>
    <w:rPr>
      <w:rFonts w:ascii="Consolas" w:eastAsia="Calibri" w:hAnsi="Consolas" w:cs="Times New Roman"/>
      <w:sz w:val="20"/>
      <w:szCs w:val="20"/>
      <w:lang w:val="es-ES"/>
    </w:rPr>
  </w:style>
  <w:style w:type="paragraph" w:customStyle="1" w:styleId="ju-005fpara">
    <w:name w:val="ju-005fpara"/>
    <w:basedOn w:val="Normal"/>
    <w:rsid w:val="00581322"/>
    <w:pPr>
      <w:spacing w:before="100" w:beforeAutospacing="1" w:after="100" w:afterAutospacing="1"/>
      <w:jc w:val="left"/>
    </w:pPr>
    <w:rPr>
      <w:rFonts w:ascii="Times New Roman" w:eastAsia="Times New Roman" w:hAnsi="Times New Roman" w:cs="Times New Roman"/>
      <w:noProof w:val="0"/>
      <w:sz w:val="24"/>
      <w:lang w:val="es-ES" w:eastAsia="es-ES"/>
    </w:rPr>
  </w:style>
  <w:style w:type="character" w:customStyle="1" w:styleId="tccabeceratexto1">
    <w:name w:val="tccabeceratexto1"/>
    <w:rsid w:val="00581322"/>
    <w:rPr>
      <w:rFonts w:ascii="Verdana" w:hAnsi="Verdana" w:hint="default"/>
      <w:b w:val="0"/>
      <w:bCs w:val="0"/>
      <w:i w:val="0"/>
      <w:iCs w:val="0"/>
      <w:smallCaps w:val="0"/>
      <w:color w:val="000000"/>
      <w:sz w:val="18"/>
      <w:szCs w:val="18"/>
    </w:rPr>
  </w:style>
  <w:style w:type="character" w:customStyle="1" w:styleId="ListParagraphChar">
    <w:name w:val="List Paragraph Char"/>
    <w:aliases w:val="Footnote Char1,List Paragraph1 Char"/>
    <w:uiPriority w:val="99"/>
    <w:rsid w:val="00581322"/>
    <w:rPr>
      <w:rFonts w:ascii="Verdana" w:eastAsia="Times New Roman" w:hAnsi="Verdana"/>
      <w:lang w:val="es-ES_tradnl" w:eastAsia="en-US"/>
    </w:rPr>
  </w:style>
  <w:style w:type="character" w:customStyle="1" w:styleId="ju-005fpara--char">
    <w:name w:val="ju-005fpara--char"/>
    <w:basedOn w:val="Fuentedeprrafopredeter"/>
    <w:rsid w:val="00581322"/>
  </w:style>
  <w:style w:type="character" w:customStyle="1" w:styleId="ju--005fpara--002cleft--002cfirst--0020line--003a--0020--00200--0020cm----char--char">
    <w:name w:val="ju--005fpara--002cleft--002cfirst--0020line--003a--0020--00200--0020cm----char--char"/>
    <w:basedOn w:val="Fuentedeprrafopredeter"/>
    <w:rsid w:val="00581322"/>
  </w:style>
  <w:style w:type="paragraph" w:customStyle="1" w:styleId="Body1">
    <w:name w:val="Body 1"/>
    <w:link w:val="Body1Char"/>
    <w:rsid w:val="00581322"/>
    <w:pPr>
      <w:spacing w:after="0" w:line="240" w:lineRule="auto"/>
      <w:outlineLvl w:val="0"/>
    </w:pPr>
    <w:rPr>
      <w:rFonts w:ascii="Helvetica" w:eastAsia="ヒラギノ角ゴ Pro W3" w:hAnsi="Helvetica" w:cs="Times New Roman"/>
      <w:color w:val="000000"/>
      <w:lang w:eastAsia="es-CR"/>
    </w:rPr>
  </w:style>
  <w:style w:type="character" w:customStyle="1" w:styleId="Body1Char">
    <w:name w:val="Body 1 Char"/>
    <w:link w:val="Body1"/>
    <w:rsid w:val="00581322"/>
    <w:rPr>
      <w:rFonts w:ascii="Helvetica" w:eastAsia="ヒラギノ角ゴ Pro W3" w:hAnsi="Helvetica" w:cs="Times New Roman"/>
      <w:color w:val="000000"/>
      <w:lang w:eastAsia="es-CR"/>
    </w:rPr>
  </w:style>
  <w:style w:type="paragraph" w:customStyle="1" w:styleId="default0">
    <w:name w:val="default"/>
    <w:basedOn w:val="Normal"/>
    <w:rsid w:val="00581322"/>
    <w:pPr>
      <w:autoSpaceDE w:val="0"/>
      <w:autoSpaceDN w:val="0"/>
    </w:pPr>
    <w:rPr>
      <w:rFonts w:ascii="Book Antiqua" w:eastAsia="Calibri" w:hAnsi="Book Antiqua" w:cs="Times New Roman"/>
      <w:noProof w:val="0"/>
      <w:color w:val="000000"/>
      <w:sz w:val="22"/>
      <w:lang w:val="en-US"/>
    </w:rPr>
  </w:style>
  <w:style w:type="paragraph" w:customStyle="1" w:styleId="MediumGrid1-Accent21">
    <w:name w:val="Medium Grid 1 - Accent 21"/>
    <w:basedOn w:val="Normal"/>
    <w:qFormat/>
    <w:rsid w:val="00581322"/>
    <w:pPr>
      <w:ind w:left="720"/>
      <w:contextualSpacing/>
    </w:pPr>
    <w:rPr>
      <w:rFonts w:ascii="Times New Roman" w:eastAsia="Times New Roman" w:hAnsi="Times New Roman" w:cs="Times New Roman"/>
      <w:noProof w:val="0"/>
      <w:sz w:val="22"/>
    </w:rPr>
  </w:style>
  <w:style w:type="paragraph" w:customStyle="1" w:styleId="Textoindependiente2">
    <w:name w:val="Texto independiente2"/>
    <w:basedOn w:val="Normal"/>
    <w:rsid w:val="00581322"/>
    <w:pPr>
      <w:widowControl w:val="0"/>
    </w:pPr>
    <w:rPr>
      <w:rFonts w:ascii="New York" w:eastAsia="Times New Roman" w:hAnsi="New York" w:cs="Times New Roman"/>
      <w:noProof w:val="0"/>
      <w:sz w:val="22"/>
      <w:szCs w:val="20"/>
    </w:rPr>
  </w:style>
  <w:style w:type="paragraph" w:customStyle="1" w:styleId="Prrafodelista2">
    <w:name w:val="Párrafo de lista2"/>
    <w:basedOn w:val="Normal"/>
    <w:uiPriority w:val="99"/>
    <w:qFormat/>
    <w:rsid w:val="00581322"/>
    <w:pPr>
      <w:ind w:left="720"/>
      <w:jc w:val="left"/>
    </w:pPr>
    <w:rPr>
      <w:rFonts w:eastAsia="MS Mincho" w:cs="Times New Roman"/>
      <w:noProof w:val="0"/>
      <w:szCs w:val="20"/>
    </w:rPr>
  </w:style>
  <w:style w:type="paragraph" w:styleId="Textoindependiente20">
    <w:name w:val="Body Text 2"/>
    <w:basedOn w:val="Normal"/>
    <w:link w:val="Textoindependiente2Car"/>
    <w:uiPriority w:val="99"/>
    <w:rsid w:val="00581322"/>
    <w:pPr>
      <w:widowControl w:val="0"/>
    </w:pPr>
    <w:rPr>
      <w:rFonts w:ascii="Garamond" w:eastAsia="Times New Roman" w:hAnsi="Garamond" w:cs="Times New Roman"/>
      <w:noProof w:val="0"/>
      <w:sz w:val="24"/>
      <w:szCs w:val="20"/>
      <w:lang w:eastAsia="es-ES"/>
    </w:rPr>
  </w:style>
  <w:style w:type="character" w:customStyle="1" w:styleId="Textoindependiente2Car">
    <w:name w:val="Texto independiente 2 Car"/>
    <w:basedOn w:val="Fuentedeprrafopredeter"/>
    <w:link w:val="Textoindependiente20"/>
    <w:uiPriority w:val="99"/>
    <w:rsid w:val="00581322"/>
    <w:rPr>
      <w:rFonts w:ascii="Garamond" w:eastAsia="Times New Roman" w:hAnsi="Garamond" w:cs="Times New Roman"/>
      <w:sz w:val="24"/>
      <w:szCs w:val="20"/>
      <w:lang w:val="es-ES_tradnl" w:eastAsia="es-ES"/>
    </w:rPr>
  </w:style>
  <w:style w:type="character" w:styleId="Nmerodepgina">
    <w:name w:val="page number"/>
    <w:uiPriority w:val="99"/>
    <w:rsid w:val="00581322"/>
    <w:rPr>
      <w:rFonts w:cs="Times New Roman"/>
    </w:rPr>
  </w:style>
  <w:style w:type="paragraph" w:customStyle="1" w:styleId="bodyind">
    <w:name w:val="bodyind"/>
    <w:basedOn w:val="Normal"/>
    <w:uiPriority w:val="99"/>
    <w:rsid w:val="00581322"/>
    <w:pPr>
      <w:spacing w:before="100" w:beforeAutospacing="1" w:after="100" w:afterAutospacing="1"/>
      <w:ind w:firstLine="567"/>
    </w:pPr>
    <w:rPr>
      <w:rFonts w:eastAsia="Times New Roman" w:cs="Times New Roman"/>
      <w:noProof w:val="0"/>
      <w:color w:val="1F1A17"/>
      <w:sz w:val="18"/>
      <w:szCs w:val="18"/>
      <w:lang w:val="es-AR" w:eastAsia="es-AR"/>
    </w:rPr>
  </w:style>
  <w:style w:type="paragraph" w:customStyle="1" w:styleId="body8n">
    <w:name w:val="body8n"/>
    <w:basedOn w:val="Normal"/>
    <w:uiPriority w:val="99"/>
    <w:rsid w:val="00581322"/>
    <w:pPr>
      <w:spacing w:before="100" w:beforeAutospacing="1" w:after="100" w:afterAutospacing="1"/>
      <w:ind w:left="720" w:right="720"/>
    </w:pPr>
    <w:rPr>
      <w:rFonts w:eastAsia="Times New Roman" w:cs="Times New Roman"/>
      <w:noProof w:val="0"/>
      <w:color w:val="666666"/>
      <w:sz w:val="16"/>
      <w:szCs w:val="16"/>
      <w:lang w:val="es-AR" w:eastAsia="es-AR"/>
    </w:rPr>
  </w:style>
  <w:style w:type="paragraph" w:customStyle="1" w:styleId="art">
    <w:name w:val="art"/>
    <w:basedOn w:val="Normal"/>
    <w:uiPriority w:val="99"/>
    <w:rsid w:val="00581322"/>
    <w:pPr>
      <w:spacing w:before="100" w:beforeAutospacing="1" w:after="100" w:afterAutospacing="1"/>
    </w:pPr>
    <w:rPr>
      <w:rFonts w:eastAsia="Times New Roman" w:cs="Times New Roman"/>
      <w:noProof w:val="0"/>
      <w:color w:val="1F1A17"/>
      <w:sz w:val="18"/>
      <w:szCs w:val="18"/>
      <w:lang w:val="es-AR" w:eastAsia="es-AR"/>
    </w:rPr>
  </w:style>
  <w:style w:type="character" w:customStyle="1" w:styleId="artnum">
    <w:name w:val="artnum"/>
    <w:uiPriority w:val="99"/>
    <w:rsid w:val="00581322"/>
    <w:rPr>
      <w:rFonts w:cs="Times New Roman"/>
    </w:rPr>
  </w:style>
  <w:style w:type="paragraph" w:customStyle="1" w:styleId="body">
    <w:name w:val="body"/>
    <w:basedOn w:val="Normal"/>
    <w:uiPriority w:val="99"/>
    <w:rsid w:val="00581322"/>
    <w:pPr>
      <w:spacing w:before="100" w:beforeAutospacing="1" w:after="100" w:afterAutospacing="1"/>
    </w:pPr>
    <w:rPr>
      <w:rFonts w:eastAsia="Times New Roman" w:cs="Times New Roman"/>
      <w:noProof w:val="0"/>
      <w:color w:val="1F1A17"/>
      <w:sz w:val="18"/>
      <w:szCs w:val="18"/>
      <w:lang w:val="es-AR" w:eastAsia="es-AR"/>
    </w:rPr>
  </w:style>
  <w:style w:type="paragraph" w:customStyle="1" w:styleId="Prrafodelista3">
    <w:name w:val="Párrafo de lista3"/>
    <w:basedOn w:val="Normal"/>
    <w:uiPriority w:val="99"/>
    <w:rsid w:val="00581322"/>
    <w:pPr>
      <w:spacing w:after="200" w:line="276" w:lineRule="auto"/>
      <w:ind w:left="720"/>
      <w:contextualSpacing/>
      <w:jc w:val="left"/>
    </w:pPr>
    <w:rPr>
      <w:rFonts w:ascii="Calibri" w:eastAsia="Calibri" w:hAnsi="Calibri" w:cs="Times New Roman"/>
      <w:noProof w:val="0"/>
      <w:sz w:val="22"/>
      <w:szCs w:val="22"/>
      <w:lang w:val="en-US"/>
    </w:rPr>
  </w:style>
  <w:style w:type="character" w:customStyle="1" w:styleId="Refdenotaalpie1">
    <w:name w:val="Ref. de nota al pie1"/>
    <w:uiPriority w:val="99"/>
    <w:rsid w:val="00581322"/>
    <w:rPr>
      <w:rFonts w:cs="Times New Roman"/>
      <w:sz w:val="20"/>
      <w:vertAlign w:val="superscript"/>
    </w:rPr>
  </w:style>
  <w:style w:type="paragraph" w:customStyle="1" w:styleId="StyleHeading111ptJustified">
    <w:name w:val="Style Heading 1 + 11 pt Justified"/>
    <w:basedOn w:val="Ttulo1"/>
    <w:uiPriority w:val="99"/>
    <w:rsid w:val="00581322"/>
    <w:pPr>
      <w:keepNext w:val="0"/>
      <w:keepLines w:val="0"/>
      <w:spacing w:before="0" w:after="0"/>
      <w:ind w:left="810" w:hanging="360"/>
    </w:pPr>
    <w:rPr>
      <w:rFonts w:cs="Times New Roman"/>
      <w:caps w:val="0"/>
      <w:noProof w:val="0"/>
      <w:snapToGrid/>
      <w:sz w:val="22"/>
      <w:szCs w:val="24"/>
      <w:lang w:val="en-US" w:eastAsia="en-US"/>
    </w:rPr>
  </w:style>
  <w:style w:type="character" w:customStyle="1" w:styleId="ColorfulList-Accent1Char">
    <w:name w:val="Colorful List - Accent 1 Char"/>
    <w:uiPriority w:val="99"/>
    <w:locked/>
    <w:rsid w:val="00581322"/>
    <w:rPr>
      <w:rFonts w:ascii="Verdana" w:eastAsia="Times New Roman" w:hAnsi="Verdana"/>
      <w:lang w:val="es-ES_tradnl" w:eastAsia="en-US"/>
    </w:rPr>
  </w:style>
  <w:style w:type="character" w:customStyle="1" w:styleId="Listavistosa-nfasis1Car">
    <w:name w:val="Lista vistosa - Énfasis 1 Car"/>
    <w:link w:val="Cuadrculamedia1-nfasis2"/>
    <w:uiPriority w:val="99"/>
    <w:rsid w:val="00581322"/>
    <w:rPr>
      <w:sz w:val="24"/>
      <w:szCs w:val="24"/>
      <w:lang w:val="es-ES_tradnl"/>
    </w:rPr>
  </w:style>
  <w:style w:type="table" w:styleId="Cuadrculamedia1-nfasis2">
    <w:name w:val="Medium Grid 1 Accent 2"/>
    <w:basedOn w:val="Tablanormal"/>
    <w:link w:val="Listavistosa-nfasis1Car"/>
    <w:uiPriority w:val="99"/>
    <w:rsid w:val="00581322"/>
    <w:pPr>
      <w:spacing w:after="0" w:line="240" w:lineRule="auto"/>
    </w:pPr>
    <w:rPr>
      <w:sz w:val="24"/>
      <w:szCs w:val="24"/>
      <w:lang w:val="es-ES_tradnl"/>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xcolumn01">
    <w:name w:val="x_column01"/>
    <w:basedOn w:val="Fuentedeprrafopredeter"/>
    <w:rsid w:val="00581322"/>
  </w:style>
  <w:style w:type="character" w:customStyle="1" w:styleId="xs6b621b36">
    <w:name w:val="x_s6b621b36"/>
    <w:basedOn w:val="Fuentedeprrafopredeter"/>
    <w:rsid w:val="00581322"/>
  </w:style>
  <w:style w:type="paragraph" w:customStyle="1" w:styleId="Sinespaciado1">
    <w:name w:val="Sin espaciado1"/>
    <w:uiPriority w:val="1"/>
    <w:qFormat/>
    <w:rsid w:val="00581322"/>
    <w:pPr>
      <w:spacing w:after="0" w:line="240" w:lineRule="auto"/>
    </w:pPr>
    <w:rPr>
      <w:rFonts w:ascii="Calibri" w:eastAsia="Batang" w:hAnsi="Calibri" w:cs="Times New Roman"/>
      <w:lang w:val="es-ES"/>
    </w:rPr>
  </w:style>
  <w:style w:type="character" w:customStyle="1" w:styleId="column01">
    <w:name w:val="column01"/>
    <w:basedOn w:val="Fuentedeprrafopredeter"/>
    <w:rsid w:val="00581322"/>
  </w:style>
  <w:style w:type="character" w:customStyle="1" w:styleId="sb8d990e2">
    <w:name w:val="sb8d990e2"/>
    <w:basedOn w:val="Fuentedeprrafopredeter"/>
    <w:rsid w:val="00581322"/>
  </w:style>
  <w:style w:type="paragraph" w:customStyle="1" w:styleId="Prrafodelista4">
    <w:name w:val="Párrafo de lista4"/>
    <w:basedOn w:val="Normal"/>
    <w:uiPriority w:val="34"/>
    <w:qFormat/>
    <w:rsid w:val="00581322"/>
    <w:pPr>
      <w:ind w:left="720"/>
      <w:jc w:val="left"/>
    </w:pPr>
    <w:rPr>
      <w:rFonts w:eastAsia="Times New Roman" w:cs="Times New Roman"/>
      <w:noProof w:val="0"/>
      <w:szCs w:val="20"/>
    </w:rPr>
  </w:style>
  <w:style w:type="character" w:customStyle="1" w:styleId="FootnoteReference1">
    <w:name w:val="Footnote Reference1"/>
    <w:rsid w:val="00581322"/>
    <w:rPr>
      <w:color w:val="000000"/>
      <w:sz w:val="22"/>
      <w:vertAlign w:val="superscript"/>
    </w:rPr>
  </w:style>
  <w:style w:type="paragraph" w:customStyle="1" w:styleId="FootnoteText1">
    <w:name w:val="Footnote Text1"/>
    <w:rsid w:val="00581322"/>
    <w:pPr>
      <w:spacing w:after="0" w:line="240" w:lineRule="auto"/>
    </w:pPr>
    <w:rPr>
      <w:rFonts w:ascii="Lucida Grande" w:eastAsia="ヒラギノ角ゴ Pro W3" w:hAnsi="Lucida Grande" w:cs="Times New Roman"/>
      <w:color w:val="000000"/>
      <w:sz w:val="20"/>
      <w:szCs w:val="20"/>
    </w:rPr>
  </w:style>
  <w:style w:type="paragraph" w:customStyle="1" w:styleId="xs30eec3f8">
    <w:name w:val="x_s30eec3f8"/>
    <w:basedOn w:val="Normal"/>
    <w:rsid w:val="00581322"/>
    <w:pPr>
      <w:spacing w:before="100" w:beforeAutospacing="1" w:after="100" w:afterAutospacing="1"/>
      <w:jc w:val="left"/>
    </w:pPr>
    <w:rPr>
      <w:rFonts w:ascii="Times New Roman" w:eastAsia="Times New Roman" w:hAnsi="Times New Roman" w:cs="Times New Roman"/>
      <w:noProof w:val="0"/>
      <w:sz w:val="24"/>
      <w:lang w:val="es-CO" w:eastAsia="es-CO"/>
    </w:rPr>
  </w:style>
  <w:style w:type="character" w:customStyle="1" w:styleId="xsb8d990e2">
    <w:name w:val="x_sb8d990e2"/>
    <w:basedOn w:val="Fuentedeprrafopredeter"/>
    <w:rsid w:val="00581322"/>
  </w:style>
  <w:style w:type="numbering" w:customStyle="1" w:styleId="NoList1">
    <w:name w:val="No List1"/>
    <w:next w:val="Sinlista"/>
    <w:uiPriority w:val="99"/>
    <w:semiHidden/>
    <w:unhideWhenUsed/>
    <w:rsid w:val="00581322"/>
  </w:style>
  <w:style w:type="character" w:customStyle="1" w:styleId="BodyTextChar1">
    <w:name w:val="Body Text Char1"/>
    <w:aliases w:val="Body Text Char Car Car Car Car Car Car Car Car Car Car Car Car Car Char1,Body Text Char Car Car Car Car Car Car Car Car Car Car Car Car Char1"/>
    <w:semiHidden/>
    <w:rsid w:val="00581322"/>
    <w:rPr>
      <w:rFonts w:ascii="Verdana" w:hAnsi="Verdana"/>
      <w:szCs w:val="22"/>
      <w:lang w:val="es-ES" w:eastAsia="en-US"/>
    </w:rPr>
  </w:style>
  <w:style w:type="paragraph" w:customStyle="1" w:styleId="ju-005fpara-002cleft-002cfirst-0020line-003a-0020-00200-0020cm">
    <w:name w:val="ju-005fpara-002cleft-002cfirst-0020line-003a-0020-00200-0020cm"/>
    <w:basedOn w:val="Normal"/>
    <w:uiPriority w:val="99"/>
    <w:rsid w:val="00581322"/>
    <w:pPr>
      <w:spacing w:before="100" w:beforeAutospacing="1" w:after="100" w:afterAutospacing="1"/>
    </w:pPr>
    <w:rPr>
      <w:rFonts w:ascii="Times New Roman" w:eastAsia="Times New Roman" w:hAnsi="Times New Roman" w:cs="Times New Roman"/>
      <w:noProof w:val="0"/>
      <w:sz w:val="24"/>
      <w:lang w:val="es-ES" w:eastAsia="es-ES"/>
    </w:rPr>
  </w:style>
  <w:style w:type="paragraph" w:customStyle="1" w:styleId="c02alineaalta">
    <w:name w:val="c02alineaalta"/>
    <w:basedOn w:val="Normal"/>
    <w:rsid w:val="00581322"/>
    <w:pPr>
      <w:spacing w:before="100" w:beforeAutospacing="1" w:after="100" w:afterAutospacing="1"/>
      <w:jc w:val="left"/>
    </w:pPr>
    <w:rPr>
      <w:rFonts w:ascii="Times New Roman" w:eastAsia="Times New Roman" w:hAnsi="Times New Roman" w:cs="Times New Roman"/>
      <w:noProof w:val="0"/>
      <w:sz w:val="24"/>
      <w:lang w:val="es-ES" w:eastAsia="es-ES"/>
    </w:rPr>
  </w:style>
  <w:style w:type="paragraph" w:customStyle="1" w:styleId="Prrafodelista5">
    <w:name w:val="Párrafo de lista5"/>
    <w:basedOn w:val="Normal"/>
    <w:qFormat/>
    <w:rsid w:val="00581322"/>
    <w:pPr>
      <w:ind w:left="720"/>
      <w:jc w:val="left"/>
    </w:pPr>
    <w:rPr>
      <w:rFonts w:eastAsia="Times New Roman" w:cs="Times New Roman"/>
      <w:noProof w:val="0"/>
      <w:szCs w:val="20"/>
      <w:lang w:eastAsia="x-none"/>
    </w:rPr>
  </w:style>
  <w:style w:type="character" w:customStyle="1" w:styleId="hps">
    <w:name w:val="hps"/>
    <w:basedOn w:val="Fuentedeprrafopredeter"/>
    <w:rsid w:val="00581322"/>
  </w:style>
  <w:style w:type="character" w:customStyle="1" w:styleId="FootnoteTextChar3">
    <w:name w:val="Footnote Text Char3"/>
    <w:aliases w:val="Footnote Text Char Char Char Char Char Char3,Footnote Text Char Char Char Char Char4,Footnote reference Char3,FA Fu Char3,Footnote Text Char Char Char Char4,Footnote Text Cha Char3,FA Fußnotentext Char3,FA Fuﬂnotentext Char3,Ca Char3"/>
    <w:uiPriority w:val="99"/>
    <w:rsid w:val="00581322"/>
    <w:rPr>
      <w:rFonts w:ascii="Verdana" w:hAnsi="Verdana" w:cs="Verdana"/>
      <w:sz w:val="20"/>
      <w:szCs w:val="20"/>
      <w:lang w:val="es-ES_tradnl"/>
    </w:rPr>
  </w:style>
  <w:style w:type="paragraph" w:customStyle="1" w:styleId="Normal1">
    <w:name w:val="Normal1"/>
    <w:link w:val="NormalChar0"/>
    <w:qFormat/>
    <w:rsid w:val="00581322"/>
    <w:pPr>
      <w:tabs>
        <w:tab w:val="num" w:pos="1247"/>
      </w:tabs>
      <w:autoSpaceDE w:val="0"/>
      <w:autoSpaceDN w:val="0"/>
      <w:adjustRightInd w:val="0"/>
      <w:contextualSpacing/>
      <w:jc w:val="both"/>
    </w:pPr>
    <w:rPr>
      <w:rFonts w:ascii="Calibri" w:eastAsia="Calibri" w:hAnsi="Calibri" w:cs="Times New Roman"/>
      <w:lang w:val="es-CR"/>
    </w:rPr>
  </w:style>
  <w:style w:type="character" w:customStyle="1" w:styleId="NormalChar0">
    <w:name w:val="Normal Char"/>
    <w:link w:val="Normal1"/>
    <w:rsid w:val="00581322"/>
    <w:rPr>
      <w:rFonts w:ascii="Calibri" w:eastAsia="Calibri" w:hAnsi="Calibri" w:cs="Times New Roman"/>
      <w:lang w:val="es-CR"/>
    </w:rPr>
  </w:style>
  <w:style w:type="paragraph" w:customStyle="1" w:styleId="Estilo4">
    <w:name w:val="Estilo4"/>
    <w:basedOn w:val="Ttulo1"/>
    <w:link w:val="Estilo4Car"/>
    <w:qFormat/>
    <w:rsid w:val="00581322"/>
    <w:pPr>
      <w:keepLines w:val="0"/>
      <w:tabs>
        <w:tab w:val="left" w:pos="567"/>
        <w:tab w:val="left" w:pos="1134"/>
      </w:tabs>
      <w:spacing w:before="0" w:after="120"/>
    </w:pPr>
    <w:rPr>
      <w:rFonts w:cs="Times New Roman"/>
      <w:caps w:val="0"/>
      <w:noProof w:val="0"/>
      <w:snapToGrid/>
      <w:kern w:val="32"/>
      <w:szCs w:val="32"/>
      <w:lang w:val="es-ES_tradnl" w:eastAsia="x-none"/>
    </w:rPr>
  </w:style>
  <w:style w:type="character" w:customStyle="1" w:styleId="Estilo4Car">
    <w:name w:val="Estilo4 Car"/>
    <w:link w:val="Estilo4"/>
    <w:rsid w:val="00581322"/>
    <w:rPr>
      <w:rFonts w:ascii="Verdana" w:eastAsia="Times New Roman" w:hAnsi="Verdana" w:cs="Times New Roman"/>
      <w:b/>
      <w:bCs/>
      <w:kern w:val="32"/>
      <w:sz w:val="20"/>
      <w:szCs w:val="32"/>
      <w:lang w:val="es-ES_tradnl" w:eastAsia="x-none"/>
    </w:rPr>
  </w:style>
  <w:style w:type="character" w:customStyle="1" w:styleId="normalchar1">
    <w:name w:val="normal__char1"/>
    <w:rsid w:val="00581322"/>
    <w:rPr>
      <w:rFonts w:ascii="Verdana" w:hAnsi="Verdana" w:hint="default"/>
      <w:sz w:val="20"/>
      <w:szCs w:val="20"/>
    </w:rPr>
  </w:style>
  <w:style w:type="character" w:customStyle="1" w:styleId="d">
    <w:name w:val="d"/>
    <w:basedOn w:val="Fuentedeprrafopredeter"/>
    <w:rsid w:val="00581322"/>
  </w:style>
  <w:style w:type="paragraph" w:customStyle="1" w:styleId="std">
    <w:name w:val="std"/>
    <w:basedOn w:val="Normal"/>
    <w:rsid w:val="00581322"/>
    <w:pPr>
      <w:jc w:val="left"/>
    </w:pPr>
    <w:rPr>
      <w:rFonts w:ascii="Times New Roman" w:eastAsia="Times New Roman" w:hAnsi="Times New Roman" w:cs="Times New Roman"/>
      <w:noProof w:val="0"/>
      <w:sz w:val="24"/>
      <w:lang w:val="es-ES" w:eastAsia="es-ES"/>
    </w:rPr>
  </w:style>
  <w:style w:type="character" w:customStyle="1" w:styleId="elema1">
    <w:name w:val="elema1"/>
    <w:rsid w:val="00581322"/>
    <w:rPr>
      <w:color w:val="0000FF"/>
      <w:sz w:val="30"/>
      <w:szCs w:val="30"/>
    </w:rPr>
  </w:style>
  <w:style w:type="character" w:customStyle="1" w:styleId="eordenaceplema1">
    <w:name w:val="eordenaceplema1"/>
    <w:rsid w:val="00581322"/>
    <w:rPr>
      <w:color w:val="0000FF"/>
    </w:rPr>
  </w:style>
  <w:style w:type="character" w:customStyle="1" w:styleId="eabrv1">
    <w:name w:val="eabrv1"/>
    <w:rsid w:val="00581322"/>
    <w:rPr>
      <w:color w:val="0000FF"/>
    </w:rPr>
  </w:style>
  <w:style w:type="character" w:customStyle="1" w:styleId="eacep1">
    <w:name w:val="eacep1"/>
    <w:rsid w:val="00581322"/>
    <w:rPr>
      <w:color w:val="000000"/>
    </w:rPr>
  </w:style>
  <w:style w:type="character" w:customStyle="1" w:styleId="FontStyle25">
    <w:name w:val="Font Style25"/>
    <w:rsid w:val="00581322"/>
    <w:rPr>
      <w:rFonts w:ascii="Century Gothic" w:hAnsi="Century Gothic" w:cs="Century Gothic"/>
      <w:b/>
      <w:bCs/>
      <w:sz w:val="20"/>
      <w:szCs w:val="20"/>
    </w:rPr>
  </w:style>
  <w:style w:type="paragraph" w:customStyle="1" w:styleId="Listavistosa-nfasis11">
    <w:name w:val="Lista vistosa - Énfasis 11"/>
    <w:basedOn w:val="Normal"/>
    <w:qFormat/>
    <w:rsid w:val="00581322"/>
    <w:pPr>
      <w:ind w:left="720"/>
      <w:contextualSpacing/>
      <w:jc w:val="left"/>
    </w:pPr>
    <w:rPr>
      <w:rFonts w:ascii="Calibri" w:eastAsia="Calibri" w:hAnsi="Calibri" w:cs="Times New Roman"/>
      <w:noProof w:val="0"/>
      <w:sz w:val="22"/>
      <w:szCs w:val="22"/>
      <w:lang w:val="es-MX"/>
    </w:rPr>
  </w:style>
  <w:style w:type="paragraph" w:customStyle="1" w:styleId="Heading4A">
    <w:name w:val="Heading 4 A"/>
    <w:next w:val="Normal"/>
    <w:rsid w:val="00581322"/>
    <w:pPr>
      <w:keepNext/>
      <w:spacing w:after="0" w:line="360" w:lineRule="auto"/>
      <w:jc w:val="center"/>
      <w:outlineLvl w:val="3"/>
    </w:pPr>
    <w:rPr>
      <w:rFonts w:ascii="Verdana" w:eastAsia="ヒラギノ角ゴ Pro W3" w:hAnsi="Verdana" w:cs="Times New Roman"/>
      <w:b/>
      <w:smallCaps/>
      <w:color w:val="000000"/>
      <w:sz w:val="20"/>
      <w:szCs w:val="20"/>
      <w:lang w:val="es-ES_tradnl"/>
    </w:rPr>
  </w:style>
  <w:style w:type="paragraph" w:customStyle="1" w:styleId="corte4fondo">
    <w:name w:val="corte4 fondo"/>
    <w:basedOn w:val="Normal"/>
    <w:link w:val="corte4fondoCar2"/>
    <w:qFormat/>
    <w:rsid w:val="00581322"/>
    <w:pPr>
      <w:autoSpaceDE w:val="0"/>
      <w:autoSpaceDN w:val="0"/>
      <w:adjustRightInd w:val="0"/>
      <w:spacing w:line="360" w:lineRule="auto"/>
      <w:ind w:firstLine="709"/>
    </w:pPr>
    <w:rPr>
      <w:rFonts w:ascii="Arial" w:eastAsia="Times New Roman" w:hAnsi="Arial" w:cs="Times New Roman"/>
      <w:noProof w:val="0"/>
      <w:sz w:val="30"/>
      <w:szCs w:val="20"/>
      <w:lang w:eastAsia="x-none"/>
    </w:rPr>
  </w:style>
  <w:style w:type="character" w:customStyle="1" w:styleId="corte4fondoCar2">
    <w:name w:val="corte4 fondo Car2"/>
    <w:link w:val="corte4fondo"/>
    <w:rsid w:val="00581322"/>
    <w:rPr>
      <w:rFonts w:ascii="Arial" w:eastAsia="Times New Roman" w:hAnsi="Arial" w:cs="Times New Roman"/>
      <w:sz w:val="30"/>
      <w:szCs w:val="20"/>
      <w:lang w:val="es-ES_tradnl" w:eastAsia="x-none"/>
    </w:rPr>
  </w:style>
  <w:style w:type="character" w:customStyle="1" w:styleId="corchete-llamada1">
    <w:name w:val="corchete-llamada1"/>
    <w:rsid w:val="00581322"/>
    <w:rPr>
      <w:vanish/>
      <w:webHidden w:val="0"/>
      <w:specVanish w:val="0"/>
    </w:rPr>
  </w:style>
  <w:style w:type="character" w:customStyle="1" w:styleId="red1">
    <w:name w:val="red1"/>
    <w:rsid w:val="00581322"/>
    <w:rPr>
      <w:b/>
      <w:bCs/>
      <w:color w:val="0000FF"/>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1699">
      <w:bodyDiv w:val="1"/>
      <w:marLeft w:val="0"/>
      <w:marRight w:val="0"/>
      <w:marTop w:val="0"/>
      <w:marBottom w:val="0"/>
      <w:divBdr>
        <w:top w:val="none" w:sz="0" w:space="0" w:color="auto"/>
        <w:left w:val="none" w:sz="0" w:space="0" w:color="auto"/>
        <w:bottom w:val="none" w:sz="0" w:space="0" w:color="auto"/>
        <w:right w:val="none" w:sz="0" w:space="0" w:color="auto"/>
      </w:divBdr>
    </w:div>
    <w:div w:id="516118807">
      <w:bodyDiv w:val="1"/>
      <w:marLeft w:val="0"/>
      <w:marRight w:val="0"/>
      <w:marTop w:val="0"/>
      <w:marBottom w:val="0"/>
      <w:divBdr>
        <w:top w:val="none" w:sz="0" w:space="0" w:color="auto"/>
        <w:left w:val="none" w:sz="0" w:space="0" w:color="auto"/>
        <w:bottom w:val="none" w:sz="0" w:space="0" w:color="auto"/>
        <w:right w:val="none" w:sz="0" w:space="0" w:color="auto"/>
      </w:divBdr>
    </w:div>
    <w:div w:id="688021050">
      <w:bodyDiv w:val="1"/>
      <w:marLeft w:val="0"/>
      <w:marRight w:val="0"/>
      <w:marTop w:val="0"/>
      <w:marBottom w:val="0"/>
      <w:divBdr>
        <w:top w:val="none" w:sz="0" w:space="0" w:color="auto"/>
        <w:left w:val="none" w:sz="0" w:space="0" w:color="auto"/>
        <w:bottom w:val="none" w:sz="0" w:space="0" w:color="auto"/>
        <w:right w:val="none" w:sz="0" w:space="0" w:color="auto"/>
      </w:divBdr>
      <w:divsChild>
        <w:div w:id="1940598334">
          <w:marLeft w:val="0"/>
          <w:marRight w:val="0"/>
          <w:marTop w:val="0"/>
          <w:marBottom w:val="0"/>
          <w:divBdr>
            <w:top w:val="none" w:sz="0" w:space="0" w:color="auto"/>
            <w:left w:val="none" w:sz="0" w:space="0" w:color="auto"/>
            <w:bottom w:val="none" w:sz="0" w:space="0" w:color="auto"/>
            <w:right w:val="none" w:sz="0" w:space="0" w:color="auto"/>
          </w:divBdr>
          <w:divsChild>
            <w:div w:id="576940583">
              <w:marLeft w:val="0"/>
              <w:marRight w:val="0"/>
              <w:marTop w:val="0"/>
              <w:marBottom w:val="0"/>
              <w:divBdr>
                <w:top w:val="none" w:sz="0" w:space="0" w:color="auto"/>
                <w:left w:val="none" w:sz="0" w:space="0" w:color="auto"/>
                <w:bottom w:val="none" w:sz="0" w:space="0" w:color="auto"/>
                <w:right w:val="none" w:sz="0" w:space="0" w:color="auto"/>
              </w:divBdr>
              <w:divsChild>
                <w:div w:id="18120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77787">
      <w:bodyDiv w:val="1"/>
      <w:marLeft w:val="0"/>
      <w:marRight w:val="0"/>
      <w:marTop w:val="0"/>
      <w:marBottom w:val="0"/>
      <w:divBdr>
        <w:top w:val="none" w:sz="0" w:space="0" w:color="auto"/>
        <w:left w:val="none" w:sz="0" w:space="0" w:color="auto"/>
        <w:bottom w:val="none" w:sz="0" w:space="0" w:color="auto"/>
        <w:right w:val="none" w:sz="0" w:space="0" w:color="auto"/>
      </w:divBdr>
    </w:div>
    <w:div w:id="1165632627">
      <w:bodyDiv w:val="1"/>
      <w:marLeft w:val="0"/>
      <w:marRight w:val="0"/>
      <w:marTop w:val="0"/>
      <w:marBottom w:val="0"/>
      <w:divBdr>
        <w:top w:val="none" w:sz="0" w:space="0" w:color="auto"/>
        <w:left w:val="none" w:sz="0" w:space="0" w:color="auto"/>
        <w:bottom w:val="none" w:sz="0" w:space="0" w:color="auto"/>
        <w:right w:val="none" w:sz="0" w:space="0" w:color="auto"/>
      </w:divBdr>
      <w:divsChild>
        <w:div w:id="1226795471">
          <w:marLeft w:val="0"/>
          <w:marRight w:val="0"/>
          <w:marTop w:val="0"/>
          <w:marBottom w:val="0"/>
          <w:divBdr>
            <w:top w:val="none" w:sz="0" w:space="0" w:color="auto"/>
            <w:left w:val="none" w:sz="0" w:space="0" w:color="auto"/>
            <w:bottom w:val="none" w:sz="0" w:space="0" w:color="auto"/>
            <w:right w:val="none" w:sz="0" w:space="0" w:color="auto"/>
          </w:divBdr>
          <w:divsChild>
            <w:div w:id="659580220">
              <w:marLeft w:val="0"/>
              <w:marRight w:val="0"/>
              <w:marTop w:val="0"/>
              <w:marBottom w:val="0"/>
              <w:divBdr>
                <w:top w:val="none" w:sz="0" w:space="0" w:color="auto"/>
                <w:left w:val="none" w:sz="0" w:space="0" w:color="auto"/>
                <w:bottom w:val="none" w:sz="0" w:space="0" w:color="auto"/>
                <w:right w:val="none" w:sz="0" w:space="0" w:color="auto"/>
              </w:divBdr>
              <w:divsChild>
                <w:div w:id="56318690">
                  <w:marLeft w:val="0"/>
                  <w:marRight w:val="0"/>
                  <w:marTop w:val="0"/>
                  <w:marBottom w:val="0"/>
                  <w:divBdr>
                    <w:top w:val="none" w:sz="0" w:space="0" w:color="auto"/>
                    <w:left w:val="none" w:sz="0" w:space="0" w:color="auto"/>
                    <w:bottom w:val="none" w:sz="0" w:space="0" w:color="auto"/>
                    <w:right w:val="none" w:sz="0" w:space="0" w:color="auto"/>
                  </w:divBdr>
                  <w:divsChild>
                    <w:div w:id="1153912674">
                      <w:marLeft w:val="0"/>
                      <w:marRight w:val="0"/>
                      <w:marTop w:val="0"/>
                      <w:marBottom w:val="0"/>
                      <w:divBdr>
                        <w:top w:val="none" w:sz="0" w:space="0" w:color="auto"/>
                        <w:left w:val="none" w:sz="0" w:space="0" w:color="auto"/>
                        <w:bottom w:val="none" w:sz="0" w:space="0" w:color="auto"/>
                        <w:right w:val="none" w:sz="0" w:space="0" w:color="auto"/>
                      </w:divBdr>
                      <w:divsChild>
                        <w:div w:id="131768356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1414759">
                              <w:marLeft w:val="0"/>
                              <w:marRight w:val="0"/>
                              <w:marTop w:val="0"/>
                              <w:marBottom w:val="0"/>
                              <w:divBdr>
                                <w:top w:val="none" w:sz="0" w:space="0" w:color="auto"/>
                                <w:left w:val="none" w:sz="0" w:space="0" w:color="auto"/>
                                <w:bottom w:val="none" w:sz="0" w:space="0" w:color="auto"/>
                                <w:right w:val="none" w:sz="0" w:space="0" w:color="auto"/>
                              </w:divBdr>
                              <w:divsChild>
                                <w:div w:id="1481389677">
                                  <w:marLeft w:val="0"/>
                                  <w:marRight w:val="0"/>
                                  <w:marTop w:val="0"/>
                                  <w:marBottom w:val="0"/>
                                  <w:divBdr>
                                    <w:top w:val="none" w:sz="0" w:space="0" w:color="auto"/>
                                    <w:left w:val="none" w:sz="0" w:space="0" w:color="auto"/>
                                    <w:bottom w:val="none" w:sz="0" w:space="0" w:color="auto"/>
                                    <w:right w:val="none" w:sz="0" w:space="0" w:color="auto"/>
                                  </w:divBdr>
                                  <w:divsChild>
                                    <w:div w:id="128329326">
                                      <w:marLeft w:val="0"/>
                                      <w:marRight w:val="0"/>
                                      <w:marTop w:val="0"/>
                                      <w:marBottom w:val="0"/>
                                      <w:divBdr>
                                        <w:top w:val="none" w:sz="0" w:space="0" w:color="auto"/>
                                        <w:left w:val="none" w:sz="0" w:space="0" w:color="auto"/>
                                        <w:bottom w:val="none" w:sz="0" w:space="0" w:color="auto"/>
                                        <w:right w:val="none" w:sz="0" w:space="0" w:color="auto"/>
                                      </w:divBdr>
                                      <w:divsChild>
                                        <w:div w:id="1934167304">
                                          <w:marLeft w:val="0"/>
                                          <w:marRight w:val="0"/>
                                          <w:marTop w:val="0"/>
                                          <w:marBottom w:val="0"/>
                                          <w:divBdr>
                                            <w:top w:val="none" w:sz="0" w:space="0" w:color="auto"/>
                                            <w:left w:val="none" w:sz="0" w:space="0" w:color="auto"/>
                                            <w:bottom w:val="none" w:sz="0" w:space="0" w:color="auto"/>
                                            <w:right w:val="none" w:sz="0" w:space="0" w:color="auto"/>
                                          </w:divBdr>
                                          <w:divsChild>
                                            <w:div w:id="1245069419">
                                              <w:marLeft w:val="0"/>
                                              <w:marRight w:val="0"/>
                                              <w:marTop w:val="0"/>
                                              <w:marBottom w:val="0"/>
                                              <w:divBdr>
                                                <w:top w:val="none" w:sz="0" w:space="0" w:color="auto"/>
                                                <w:left w:val="none" w:sz="0" w:space="0" w:color="auto"/>
                                                <w:bottom w:val="none" w:sz="0" w:space="0" w:color="auto"/>
                                                <w:right w:val="none" w:sz="0" w:space="0" w:color="auto"/>
                                              </w:divBdr>
                                              <w:divsChild>
                                                <w:div w:id="1689865690">
                                                  <w:marLeft w:val="0"/>
                                                  <w:marRight w:val="0"/>
                                                  <w:marTop w:val="0"/>
                                                  <w:marBottom w:val="0"/>
                                                  <w:divBdr>
                                                    <w:top w:val="none" w:sz="0" w:space="0" w:color="auto"/>
                                                    <w:left w:val="none" w:sz="0" w:space="0" w:color="auto"/>
                                                    <w:bottom w:val="none" w:sz="0" w:space="0" w:color="auto"/>
                                                    <w:right w:val="none" w:sz="0" w:space="0" w:color="auto"/>
                                                  </w:divBdr>
                                                  <w:divsChild>
                                                    <w:div w:id="978804528">
                                                      <w:marLeft w:val="0"/>
                                                      <w:marRight w:val="0"/>
                                                      <w:marTop w:val="0"/>
                                                      <w:marBottom w:val="0"/>
                                                      <w:divBdr>
                                                        <w:top w:val="none" w:sz="0" w:space="0" w:color="auto"/>
                                                        <w:left w:val="none" w:sz="0" w:space="0" w:color="auto"/>
                                                        <w:bottom w:val="none" w:sz="0" w:space="0" w:color="auto"/>
                                                        <w:right w:val="none" w:sz="0" w:space="0" w:color="auto"/>
                                                      </w:divBdr>
                                                      <w:divsChild>
                                                        <w:div w:id="7658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04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12A74-8765-4DDD-87AC-ADA276FA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6737</Words>
  <Characters>37055</Characters>
  <Application>Microsoft Office Word</Application>
  <DocSecurity>4</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 IDH</dc:creator>
  <cp:lastModifiedBy>Melissa Benavides Víquez</cp:lastModifiedBy>
  <cp:revision>2</cp:revision>
  <cp:lastPrinted>2015-09-18T15:21:00Z</cp:lastPrinted>
  <dcterms:created xsi:type="dcterms:W3CDTF">2019-08-27T17:42:00Z</dcterms:created>
  <dcterms:modified xsi:type="dcterms:W3CDTF">2019-08-27T17:42:00Z</dcterms:modified>
</cp:coreProperties>
</file>