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AC" w:rsidRPr="00182F87" w:rsidRDefault="004052AC">
      <w:pPr>
        <w:rPr>
          <w:sz w:val="24"/>
          <w:szCs w:val="24"/>
        </w:rPr>
      </w:pPr>
    </w:p>
    <w:p w:rsidR="001700D8" w:rsidRPr="00182F87" w:rsidRDefault="004052AC" w:rsidP="004052AC">
      <w:pPr>
        <w:jc w:val="center"/>
        <w:rPr>
          <w:b/>
          <w:sz w:val="24"/>
          <w:szCs w:val="24"/>
        </w:rPr>
      </w:pPr>
      <w:r w:rsidRPr="00182F87">
        <w:rPr>
          <w:b/>
          <w:sz w:val="24"/>
          <w:szCs w:val="24"/>
        </w:rPr>
        <w:t>BIBLIOGRAFÍA</w:t>
      </w:r>
    </w:p>
    <w:p w:rsidR="00424290" w:rsidRPr="00182F87" w:rsidRDefault="00424290" w:rsidP="00424290">
      <w:pPr>
        <w:pStyle w:val="Textonotapie"/>
        <w:jc w:val="both"/>
        <w:rPr>
          <w:sz w:val="24"/>
          <w:szCs w:val="24"/>
        </w:rPr>
      </w:pPr>
    </w:p>
    <w:p w:rsidR="004750E5" w:rsidRPr="00182F87" w:rsidRDefault="004750E5" w:rsidP="004750E5">
      <w:pPr>
        <w:pStyle w:val="Textonotapie"/>
        <w:rPr>
          <w:sz w:val="24"/>
          <w:szCs w:val="24"/>
        </w:rPr>
      </w:pPr>
      <w:r w:rsidRPr="00182F87">
        <w:rPr>
          <w:sz w:val="24"/>
          <w:szCs w:val="24"/>
        </w:rPr>
        <w:t xml:space="preserve">Asamblea General ONU. Declaración de las Naciones Unidas sobre los derechos de los Pueblos Indígenas. 13 de setiembre de 2007.  </w:t>
      </w:r>
      <w:proofErr w:type="spellStart"/>
      <w:r w:rsidRPr="00182F87">
        <w:rPr>
          <w:sz w:val="24"/>
          <w:szCs w:val="24"/>
        </w:rPr>
        <w:t>Accesar</w:t>
      </w:r>
      <w:proofErr w:type="spellEnd"/>
      <w:r w:rsidRPr="00182F87">
        <w:rPr>
          <w:sz w:val="24"/>
          <w:szCs w:val="24"/>
        </w:rPr>
        <w:t xml:space="preserve"> en</w:t>
      </w:r>
      <w:proofErr w:type="gramStart"/>
      <w:r w:rsidRPr="00182F87">
        <w:rPr>
          <w:sz w:val="24"/>
          <w:szCs w:val="24"/>
        </w:rPr>
        <w:t>:  http</w:t>
      </w:r>
      <w:proofErr w:type="gramEnd"/>
      <w:r w:rsidRPr="00182F87">
        <w:rPr>
          <w:sz w:val="24"/>
          <w:szCs w:val="24"/>
        </w:rPr>
        <w:t>://www.un.org/esa/socdev/unpfii/documents/DRIPS_es.pdf</w:t>
      </w:r>
    </w:p>
    <w:p w:rsidR="004750E5" w:rsidRPr="00182F87" w:rsidRDefault="004750E5" w:rsidP="004750E5">
      <w:pPr>
        <w:pStyle w:val="Textonotapie"/>
        <w:jc w:val="both"/>
        <w:rPr>
          <w:sz w:val="24"/>
          <w:szCs w:val="24"/>
        </w:rPr>
      </w:pPr>
    </w:p>
    <w:p w:rsidR="007335F6" w:rsidRPr="00182F87" w:rsidRDefault="007335F6" w:rsidP="00424290">
      <w:pPr>
        <w:pStyle w:val="Textonotapie"/>
        <w:jc w:val="both"/>
        <w:rPr>
          <w:sz w:val="24"/>
          <w:szCs w:val="24"/>
        </w:rPr>
      </w:pPr>
      <w:r w:rsidRPr="00182F87">
        <w:rPr>
          <w:sz w:val="24"/>
          <w:szCs w:val="24"/>
        </w:rPr>
        <w:t xml:space="preserve">Asociación Cultural </w:t>
      </w:r>
      <w:proofErr w:type="spellStart"/>
      <w:r w:rsidRPr="00182F87">
        <w:rPr>
          <w:sz w:val="24"/>
          <w:szCs w:val="24"/>
        </w:rPr>
        <w:t>Gnobegue</w:t>
      </w:r>
      <w:proofErr w:type="spellEnd"/>
      <w:r w:rsidRPr="00182F87">
        <w:rPr>
          <w:sz w:val="24"/>
          <w:szCs w:val="24"/>
        </w:rPr>
        <w:t xml:space="preserve"> y Asociación Comunidades Ecologistas La Ceiba-Amigos de la Tierra.  San José, C.R.:2007.  </w:t>
      </w:r>
    </w:p>
    <w:p w:rsidR="007335F6" w:rsidRPr="00182F87" w:rsidRDefault="007335F6" w:rsidP="001835BE">
      <w:pPr>
        <w:pStyle w:val="Textonotapie"/>
        <w:jc w:val="both"/>
        <w:rPr>
          <w:rFonts w:cstheme="minorHAnsi"/>
          <w:sz w:val="24"/>
          <w:szCs w:val="24"/>
        </w:rPr>
      </w:pPr>
    </w:p>
    <w:p w:rsidR="00182F87" w:rsidRPr="00182F87" w:rsidRDefault="00182F87" w:rsidP="00182F87">
      <w:pPr>
        <w:jc w:val="both"/>
        <w:rPr>
          <w:sz w:val="24"/>
          <w:szCs w:val="24"/>
        </w:rPr>
      </w:pPr>
      <w:proofErr w:type="spellStart"/>
      <w:r w:rsidRPr="00182F87">
        <w:rPr>
          <w:sz w:val="24"/>
          <w:szCs w:val="24"/>
        </w:rPr>
        <w:t>Ariza</w:t>
      </w:r>
      <w:proofErr w:type="spellEnd"/>
      <w:r w:rsidRPr="00182F87">
        <w:rPr>
          <w:sz w:val="24"/>
          <w:szCs w:val="24"/>
        </w:rPr>
        <w:t xml:space="preserve"> Santamaría, </w:t>
      </w:r>
      <w:proofErr w:type="spellStart"/>
      <w:r w:rsidRPr="00182F87">
        <w:rPr>
          <w:sz w:val="24"/>
          <w:szCs w:val="24"/>
        </w:rPr>
        <w:t>Rosembert</w:t>
      </w:r>
      <w:proofErr w:type="spellEnd"/>
      <w:r w:rsidRPr="00182F87">
        <w:rPr>
          <w:sz w:val="24"/>
          <w:szCs w:val="24"/>
        </w:rPr>
        <w:t xml:space="preserve">, </w:t>
      </w:r>
      <w:proofErr w:type="spellStart"/>
      <w:r w:rsidRPr="00182F87">
        <w:rPr>
          <w:sz w:val="24"/>
          <w:szCs w:val="24"/>
        </w:rPr>
        <w:t>Peritazgo</w:t>
      </w:r>
      <w:proofErr w:type="spellEnd"/>
      <w:r w:rsidRPr="00182F87">
        <w:rPr>
          <w:sz w:val="24"/>
          <w:szCs w:val="24"/>
        </w:rPr>
        <w:t xml:space="preserve"> socio-</w:t>
      </w:r>
      <w:proofErr w:type="spellStart"/>
      <w:r w:rsidRPr="00182F87">
        <w:rPr>
          <w:sz w:val="24"/>
          <w:szCs w:val="24"/>
        </w:rPr>
        <w:t>antropo</w:t>
      </w:r>
      <w:proofErr w:type="spellEnd"/>
      <w:r w:rsidRPr="00182F87">
        <w:rPr>
          <w:sz w:val="24"/>
          <w:szCs w:val="24"/>
        </w:rPr>
        <w:t xml:space="preserve">-jurídico y  administración de justicia intercultural en Colombia,  Instituto Interamericano de Derechos Humanos,   </w:t>
      </w:r>
      <w:r w:rsidRPr="00182F87">
        <w:rPr>
          <w:b/>
          <w:sz w:val="24"/>
          <w:szCs w:val="24"/>
        </w:rPr>
        <w:t>Acceso a la justicia de los pueblos indígenas: los peritajes  culturales y la visión de pobreza desde su cosmovisión</w:t>
      </w:r>
      <w:r w:rsidRPr="00182F87">
        <w:rPr>
          <w:sz w:val="24"/>
          <w:szCs w:val="24"/>
        </w:rPr>
        <w:t>.  San José, C.R.  IIDH, 2010.</w:t>
      </w:r>
    </w:p>
    <w:p w:rsidR="004750E5" w:rsidRPr="00182F87" w:rsidRDefault="004750E5" w:rsidP="004750E5">
      <w:pPr>
        <w:pStyle w:val="Textonotapie"/>
        <w:jc w:val="both"/>
        <w:rPr>
          <w:sz w:val="24"/>
          <w:szCs w:val="24"/>
        </w:rPr>
      </w:pPr>
      <w:r w:rsidRPr="00182F87">
        <w:rPr>
          <w:sz w:val="24"/>
          <w:szCs w:val="24"/>
        </w:rPr>
        <w:t xml:space="preserve">Boletín Mujeres Indígenas - INAMU – Vol. 6, No. 2  </w:t>
      </w:r>
    </w:p>
    <w:p w:rsidR="00A33DB3" w:rsidRPr="00182F87" w:rsidRDefault="00A33DB3" w:rsidP="004750E5">
      <w:pPr>
        <w:pStyle w:val="Textonotapie"/>
        <w:jc w:val="both"/>
        <w:rPr>
          <w:sz w:val="24"/>
          <w:szCs w:val="24"/>
        </w:rPr>
      </w:pPr>
    </w:p>
    <w:p w:rsidR="00A33DB3" w:rsidRPr="00182F87" w:rsidRDefault="00A33DB3" w:rsidP="00A33DB3">
      <w:pPr>
        <w:autoSpaceDE w:val="0"/>
        <w:autoSpaceDN w:val="0"/>
        <w:adjustRightInd w:val="0"/>
        <w:jc w:val="both"/>
        <w:rPr>
          <w:rFonts w:cs="Verdana"/>
          <w:sz w:val="24"/>
          <w:szCs w:val="24"/>
        </w:rPr>
      </w:pPr>
      <w:r w:rsidRPr="00182F87">
        <w:rPr>
          <w:rFonts w:cs="Verdana"/>
          <w:iCs/>
          <w:sz w:val="24"/>
          <w:szCs w:val="24"/>
        </w:rPr>
        <w:t xml:space="preserve">Caso del Pueblo </w:t>
      </w:r>
      <w:proofErr w:type="spellStart"/>
      <w:r w:rsidRPr="00182F87">
        <w:rPr>
          <w:rFonts w:cs="Verdana"/>
          <w:iCs/>
          <w:sz w:val="24"/>
          <w:szCs w:val="24"/>
        </w:rPr>
        <w:t>Saramaka</w:t>
      </w:r>
      <w:proofErr w:type="spellEnd"/>
      <w:r w:rsidRPr="00182F87">
        <w:rPr>
          <w:rFonts w:cs="Verdana"/>
          <w:iCs/>
          <w:sz w:val="24"/>
          <w:szCs w:val="24"/>
        </w:rPr>
        <w:t xml:space="preserve">. Vs. Surinam. Excepciones Preliminares, Fondo, Reparaciones y Costas. </w:t>
      </w:r>
      <w:r w:rsidRPr="00182F87">
        <w:rPr>
          <w:rFonts w:cs="Verdana"/>
          <w:sz w:val="24"/>
          <w:szCs w:val="24"/>
        </w:rPr>
        <w:t>Sentencia de 28 de noviembre de 2007. Serie C No. 172.</w:t>
      </w:r>
    </w:p>
    <w:p w:rsidR="00A33DB3" w:rsidRPr="00182F87" w:rsidRDefault="00A33DB3" w:rsidP="00A33DB3">
      <w:pPr>
        <w:pStyle w:val="Textonotapie"/>
        <w:jc w:val="both"/>
        <w:rPr>
          <w:rFonts w:cstheme="minorHAnsi"/>
          <w:sz w:val="24"/>
          <w:szCs w:val="24"/>
        </w:rPr>
      </w:pPr>
      <w:r w:rsidRPr="00182F87">
        <w:rPr>
          <w:rFonts w:cstheme="minorHAnsi"/>
          <w:sz w:val="24"/>
          <w:szCs w:val="24"/>
        </w:rPr>
        <w:t xml:space="preserve">Caso Comunidad Indígena </w:t>
      </w:r>
      <w:proofErr w:type="spellStart"/>
      <w:r w:rsidRPr="00182F87">
        <w:rPr>
          <w:rFonts w:cstheme="minorHAnsi"/>
          <w:sz w:val="24"/>
          <w:szCs w:val="24"/>
        </w:rPr>
        <w:t>Xákmok</w:t>
      </w:r>
      <w:proofErr w:type="spellEnd"/>
      <w:r w:rsidRPr="00182F87">
        <w:rPr>
          <w:rFonts w:cstheme="minorHAnsi"/>
          <w:sz w:val="24"/>
          <w:szCs w:val="24"/>
        </w:rPr>
        <w:t xml:space="preserve"> </w:t>
      </w:r>
      <w:proofErr w:type="spellStart"/>
      <w:r w:rsidRPr="00182F87">
        <w:rPr>
          <w:rFonts w:cstheme="minorHAnsi"/>
          <w:sz w:val="24"/>
          <w:szCs w:val="24"/>
        </w:rPr>
        <w:t>Kásek</w:t>
      </w:r>
      <w:proofErr w:type="spellEnd"/>
      <w:r w:rsidRPr="00182F87">
        <w:rPr>
          <w:rFonts w:cstheme="minorHAnsi"/>
          <w:sz w:val="24"/>
          <w:szCs w:val="24"/>
        </w:rPr>
        <w:t xml:space="preserve"> vs. Paraguay, Sentencia de 24 de agosto de 2010, Corte Interamericana de Derechos Humanos.</w:t>
      </w:r>
    </w:p>
    <w:p w:rsidR="00A33DB3" w:rsidRPr="00182F87" w:rsidRDefault="00A33DB3" w:rsidP="00A33DB3">
      <w:pPr>
        <w:autoSpaceDE w:val="0"/>
        <w:autoSpaceDN w:val="0"/>
        <w:adjustRightInd w:val="0"/>
        <w:jc w:val="both"/>
        <w:rPr>
          <w:sz w:val="24"/>
          <w:szCs w:val="24"/>
        </w:rPr>
      </w:pPr>
    </w:p>
    <w:p w:rsidR="00A33DB3" w:rsidRPr="00182F87" w:rsidRDefault="00A33DB3" w:rsidP="00A33DB3">
      <w:pPr>
        <w:autoSpaceDE w:val="0"/>
        <w:autoSpaceDN w:val="0"/>
        <w:adjustRightInd w:val="0"/>
        <w:jc w:val="both"/>
        <w:rPr>
          <w:rFonts w:cstheme="minorHAnsi"/>
          <w:sz w:val="24"/>
          <w:szCs w:val="24"/>
        </w:rPr>
      </w:pPr>
      <w:r w:rsidRPr="00182F87">
        <w:rPr>
          <w:rFonts w:cstheme="minorHAnsi"/>
          <w:iCs/>
          <w:sz w:val="24"/>
          <w:szCs w:val="24"/>
        </w:rPr>
        <w:t xml:space="preserve">Caso Comunidad Indígena </w:t>
      </w:r>
      <w:proofErr w:type="spellStart"/>
      <w:r w:rsidRPr="00182F87">
        <w:rPr>
          <w:rFonts w:cstheme="minorHAnsi"/>
          <w:iCs/>
          <w:sz w:val="24"/>
          <w:szCs w:val="24"/>
        </w:rPr>
        <w:t>Yakye</w:t>
      </w:r>
      <w:proofErr w:type="spellEnd"/>
      <w:r w:rsidRPr="00182F87">
        <w:rPr>
          <w:rFonts w:cstheme="minorHAnsi"/>
          <w:iCs/>
          <w:sz w:val="24"/>
          <w:szCs w:val="24"/>
        </w:rPr>
        <w:t xml:space="preserve"> Axa Vs. Paraguay</w:t>
      </w:r>
      <w:r w:rsidRPr="00182F87">
        <w:rPr>
          <w:rFonts w:cstheme="minorHAnsi"/>
          <w:sz w:val="24"/>
          <w:szCs w:val="24"/>
        </w:rPr>
        <w:t xml:space="preserve">, </w:t>
      </w:r>
      <w:r w:rsidRPr="00182F87">
        <w:rPr>
          <w:rFonts w:cstheme="minorHAnsi"/>
          <w:iCs/>
          <w:sz w:val="24"/>
          <w:szCs w:val="24"/>
        </w:rPr>
        <w:t xml:space="preserve">supra </w:t>
      </w:r>
      <w:r w:rsidRPr="00182F87">
        <w:rPr>
          <w:rFonts w:cstheme="minorHAnsi"/>
          <w:sz w:val="24"/>
          <w:szCs w:val="24"/>
        </w:rPr>
        <w:t xml:space="preserve">nota 5, párr. 137; </w:t>
      </w:r>
      <w:r w:rsidRPr="00182F87">
        <w:rPr>
          <w:rFonts w:cstheme="minorHAnsi"/>
          <w:iCs/>
          <w:sz w:val="24"/>
          <w:szCs w:val="24"/>
        </w:rPr>
        <w:t xml:space="preserve">Caso de la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 supra </w:t>
      </w:r>
      <w:r w:rsidRPr="00182F87">
        <w:rPr>
          <w:rFonts w:cstheme="minorHAnsi"/>
          <w:sz w:val="24"/>
          <w:szCs w:val="24"/>
        </w:rPr>
        <w:t xml:space="preserve">nota 20, párr. 118, y </w:t>
      </w:r>
      <w:r w:rsidRPr="00182F87">
        <w:rPr>
          <w:rFonts w:cstheme="minorHAnsi"/>
          <w:iCs/>
          <w:sz w:val="24"/>
          <w:szCs w:val="24"/>
        </w:rPr>
        <w:t xml:space="preserve">Caso del Pueblo de </w:t>
      </w:r>
      <w:proofErr w:type="spellStart"/>
      <w:r w:rsidRPr="00182F87">
        <w:rPr>
          <w:rFonts w:cstheme="minorHAnsi"/>
          <w:iCs/>
          <w:sz w:val="24"/>
          <w:szCs w:val="24"/>
        </w:rPr>
        <w:t>Saramaka</w:t>
      </w:r>
      <w:proofErr w:type="spellEnd"/>
      <w:r w:rsidRPr="00182F87">
        <w:rPr>
          <w:rFonts w:cstheme="minorHAnsi"/>
          <w:iCs/>
          <w:sz w:val="24"/>
          <w:szCs w:val="24"/>
        </w:rPr>
        <w:t xml:space="preserve"> Vs. Surinam.</w:t>
      </w:r>
    </w:p>
    <w:p w:rsidR="00A33DB3" w:rsidRPr="00182F87" w:rsidRDefault="00A33DB3" w:rsidP="00A33DB3">
      <w:pPr>
        <w:spacing w:after="0" w:line="240" w:lineRule="auto"/>
        <w:jc w:val="both"/>
        <w:rPr>
          <w:rFonts w:cstheme="minorHAnsi"/>
          <w:bCs/>
          <w:color w:val="000000"/>
          <w:sz w:val="24"/>
          <w:szCs w:val="24"/>
        </w:rPr>
      </w:pPr>
    </w:p>
    <w:p w:rsidR="00A33DB3" w:rsidRPr="00182F87" w:rsidRDefault="00A33DB3" w:rsidP="00A33DB3">
      <w:pPr>
        <w:autoSpaceDE w:val="0"/>
        <w:autoSpaceDN w:val="0"/>
        <w:adjustRightInd w:val="0"/>
        <w:jc w:val="both"/>
        <w:rPr>
          <w:rFonts w:cstheme="minorHAnsi"/>
          <w:sz w:val="24"/>
          <w:szCs w:val="24"/>
        </w:rPr>
      </w:pPr>
      <w:r w:rsidRPr="00182F87">
        <w:rPr>
          <w:rFonts w:cstheme="minorHAnsi"/>
          <w:iCs/>
          <w:sz w:val="24"/>
          <w:szCs w:val="24"/>
        </w:rPr>
        <w:t xml:space="preserve">Caso de la Comunidad </w:t>
      </w:r>
      <w:proofErr w:type="spellStart"/>
      <w:r w:rsidRPr="00182F87">
        <w:rPr>
          <w:rFonts w:cstheme="minorHAnsi"/>
          <w:iCs/>
          <w:sz w:val="24"/>
          <w:szCs w:val="24"/>
        </w:rPr>
        <w:t>Mayagna</w:t>
      </w:r>
      <w:proofErr w:type="spellEnd"/>
      <w:r w:rsidRPr="00182F87">
        <w:rPr>
          <w:rFonts w:cstheme="minorHAnsi"/>
          <w:iCs/>
          <w:sz w:val="24"/>
          <w:szCs w:val="24"/>
        </w:rPr>
        <w:t xml:space="preserve"> (Sumo) </w:t>
      </w:r>
      <w:proofErr w:type="spellStart"/>
      <w:r w:rsidRPr="00182F87">
        <w:rPr>
          <w:rFonts w:cstheme="minorHAnsi"/>
          <w:iCs/>
          <w:sz w:val="24"/>
          <w:szCs w:val="24"/>
        </w:rPr>
        <w:t>Awas</w:t>
      </w:r>
      <w:proofErr w:type="spellEnd"/>
      <w:r w:rsidRPr="00182F87">
        <w:rPr>
          <w:rFonts w:cstheme="minorHAnsi"/>
          <w:iCs/>
          <w:sz w:val="24"/>
          <w:szCs w:val="24"/>
        </w:rPr>
        <w:t xml:space="preserve"> </w:t>
      </w:r>
      <w:proofErr w:type="spellStart"/>
      <w:r w:rsidRPr="00182F87">
        <w:rPr>
          <w:rFonts w:cstheme="minorHAnsi"/>
          <w:iCs/>
          <w:sz w:val="24"/>
          <w:szCs w:val="24"/>
        </w:rPr>
        <w:t>Tingni</w:t>
      </w:r>
      <w:proofErr w:type="spellEnd"/>
      <w:r w:rsidRPr="00182F87">
        <w:rPr>
          <w:rFonts w:cstheme="minorHAnsi"/>
          <w:iCs/>
          <w:sz w:val="24"/>
          <w:szCs w:val="24"/>
        </w:rPr>
        <w:t xml:space="preserve"> Vs. Nicaragua</w:t>
      </w:r>
      <w:r w:rsidRPr="00182F87">
        <w:rPr>
          <w:rFonts w:cstheme="minorHAnsi"/>
          <w:sz w:val="24"/>
          <w:szCs w:val="24"/>
        </w:rPr>
        <w:t xml:space="preserve">, </w:t>
      </w:r>
      <w:r w:rsidRPr="00182F87">
        <w:rPr>
          <w:rFonts w:cstheme="minorHAnsi"/>
          <w:iCs/>
          <w:sz w:val="24"/>
          <w:szCs w:val="24"/>
        </w:rPr>
        <w:t xml:space="preserve">supra </w:t>
      </w:r>
      <w:r w:rsidRPr="00182F87">
        <w:rPr>
          <w:rFonts w:cstheme="minorHAnsi"/>
          <w:sz w:val="24"/>
          <w:szCs w:val="24"/>
        </w:rPr>
        <w:t xml:space="preserve">nota 101, párr. 151, y </w:t>
      </w:r>
      <w:r w:rsidRPr="00182F87">
        <w:rPr>
          <w:rFonts w:cstheme="minorHAnsi"/>
          <w:iCs/>
          <w:sz w:val="24"/>
          <w:szCs w:val="24"/>
        </w:rPr>
        <w:t xml:space="preserve">Caso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w:t>
      </w:r>
    </w:p>
    <w:p w:rsidR="00A33DB3" w:rsidRPr="00182F87" w:rsidRDefault="00A33DB3" w:rsidP="00A33DB3">
      <w:pPr>
        <w:spacing w:after="0" w:line="240" w:lineRule="auto"/>
        <w:jc w:val="both"/>
        <w:rPr>
          <w:rFonts w:cstheme="minorHAnsi"/>
          <w:sz w:val="24"/>
          <w:szCs w:val="24"/>
        </w:rPr>
      </w:pPr>
    </w:p>
    <w:p w:rsidR="00A33DB3" w:rsidRPr="00182F87" w:rsidRDefault="00A33DB3" w:rsidP="00A33DB3">
      <w:pPr>
        <w:autoSpaceDE w:val="0"/>
        <w:autoSpaceDN w:val="0"/>
        <w:adjustRightInd w:val="0"/>
        <w:jc w:val="both"/>
        <w:rPr>
          <w:rFonts w:cstheme="minorHAnsi"/>
          <w:sz w:val="24"/>
          <w:szCs w:val="24"/>
        </w:rPr>
      </w:pPr>
      <w:r w:rsidRPr="00182F87">
        <w:rPr>
          <w:rFonts w:cstheme="minorHAnsi"/>
          <w:iCs/>
          <w:sz w:val="24"/>
          <w:szCs w:val="24"/>
        </w:rPr>
        <w:t xml:space="preserve">Caso de la Comunidad </w:t>
      </w:r>
      <w:proofErr w:type="spellStart"/>
      <w:r w:rsidRPr="00182F87">
        <w:rPr>
          <w:rFonts w:cstheme="minorHAnsi"/>
          <w:iCs/>
          <w:sz w:val="24"/>
          <w:szCs w:val="24"/>
        </w:rPr>
        <w:t>Moiwana</w:t>
      </w:r>
      <w:proofErr w:type="spellEnd"/>
      <w:r w:rsidRPr="00182F87">
        <w:rPr>
          <w:rFonts w:cstheme="minorHAnsi"/>
          <w:iCs/>
          <w:sz w:val="24"/>
          <w:szCs w:val="24"/>
        </w:rPr>
        <w:t xml:space="preserve"> Vs. Surinam. Excepciones </w:t>
      </w:r>
      <w:r w:rsidRPr="00182F87">
        <w:rPr>
          <w:rFonts w:cstheme="minorHAnsi"/>
          <w:sz w:val="24"/>
          <w:szCs w:val="24"/>
        </w:rPr>
        <w:t xml:space="preserve">Preliminares, Fondo, Reparaciones y Costas. Sentencia 15 de junio de 2005. Serie C No. 124, párr. 133, y </w:t>
      </w:r>
      <w:r w:rsidRPr="00182F87">
        <w:rPr>
          <w:rFonts w:cstheme="minorHAnsi"/>
          <w:iCs/>
          <w:sz w:val="24"/>
          <w:szCs w:val="24"/>
        </w:rPr>
        <w:t xml:space="preserve">Caso Comunidad Indígena </w:t>
      </w:r>
      <w:proofErr w:type="spellStart"/>
      <w:r w:rsidRPr="00182F87">
        <w:rPr>
          <w:rFonts w:cstheme="minorHAnsi"/>
          <w:iCs/>
          <w:sz w:val="24"/>
          <w:szCs w:val="24"/>
        </w:rPr>
        <w:t>Sawhoyamaxa</w:t>
      </w:r>
      <w:proofErr w:type="spellEnd"/>
      <w:r w:rsidRPr="00182F87">
        <w:rPr>
          <w:rFonts w:cstheme="minorHAnsi"/>
          <w:iCs/>
          <w:sz w:val="24"/>
          <w:szCs w:val="24"/>
        </w:rPr>
        <w:t xml:space="preserve"> Vs. Paraguay.</w:t>
      </w:r>
    </w:p>
    <w:p w:rsidR="00A33DB3" w:rsidRPr="00182F87" w:rsidRDefault="00A33DB3" w:rsidP="004750E5">
      <w:pPr>
        <w:pStyle w:val="Textonotapie"/>
        <w:jc w:val="both"/>
        <w:rPr>
          <w:sz w:val="24"/>
          <w:szCs w:val="24"/>
        </w:rPr>
      </w:pPr>
    </w:p>
    <w:p w:rsidR="007335F6" w:rsidRPr="00182F87" w:rsidRDefault="007335F6" w:rsidP="001835BE">
      <w:pPr>
        <w:pStyle w:val="Textonotapie"/>
        <w:jc w:val="both"/>
        <w:rPr>
          <w:rFonts w:cstheme="minorHAnsi"/>
          <w:sz w:val="24"/>
          <w:szCs w:val="24"/>
        </w:rPr>
      </w:pPr>
      <w:r w:rsidRPr="00182F87">
        <w:rPr>
          <w:rFonts w:cstheme="minorHAnsi"/>
          <w:sz w:val="24"/>
          <w:szCs w:val="24"/>
        </w:rPr>
        <w:t xml:space="preserve">Consejo Nacional de Migración.  Política migratoria integral para Costa Rica.  San José, C.R., 2013. </w:t>
      </w:r>
    </w:p>
    <w:p w:rsidR="004750E5" w:rsidRPr="00182F87" w:rsidRDefault="004750E5" w:rsidP="001835BE">
      <w:pPr>
        <w:pStyle w:val="Textonotapie"/>
        <w:jc w:val="both"/>
        <w:rPr>
          <w:rFonts w:cstheme="minorHAnsi"/>
          <w:sz w:val="24"/>
          <w:szCs w:val="24"/>
        </w:rPr>
      </w:pPr>
    </w:p>
    <w:p w:rsidR="004750E5" w:rsidRPr="00182F87" w:rsidRDefault="004750E5" w:rsidP="004750E5">
      <w:pPr>
        <w:pStyle w:val="Textonotapie"/>
        <w:jc w:val="both"/>
        <w:rPr>
          <w:sz w:val="24"/>
          <w:szCs w:val="24"/>
        </w:rPr>
      </w:pPr>
      <w:r w:rsidRPr="00182F87">
        <w:rPr>
          <w:sz w:val="24"/>
          <w:szCs w:val="24"/>
        </w:rPr>
        <w:lastRenderedPageBreak/>
        <w:t>Corte Interamericana de Derechos Humanos. Caso Fernández Ortega y otros Vs. México. Excepción Preliminar, Fondo, Reparaciones y Costas. Sentencia de 30 de agosto de 2010. Serie C No. 215, Párrafo 20</w:t>
      </w:r>
      <w:r w:rsidRPr="009A1CED">
        <w:rPr>
          <w:sz w:val="24"/>
          <w:szCs w:val="24"/>
        </w:rPr>
        <w:t xml:space="preserve">0 </w:t>
      </w:r>
      <w:proofErr w:type="spellStart"/>
      <w:r w:rsidRPr="00182F87">
        <w:rPr>
          <w:sz w:val="24"/>
          <w:szCs w:val="24"/>
        </w:rPr>
        <w:t>Accesar</w:t>
      </w:r>
      <w:proofErr w:type="spellEnd"/>
      <w:r w:rsidRPr="00182F87">
        <w:rPr>
          <w:sz w:val="24"/>
          <w:szCs w:val="24"/>
        </w:rPr>
        <w:t xml:space="preserve"> en: </w:t>
      </w:r>
      <w:hyperlink r:id="rId5" w:anchor="conceptosTemasArbol" w:history="1">
        <w:r w:rsidRPr="00182F87">
          <w:rPr>
            <w:rStyle w:val="Hipervnculo"/>
            <w:sz w:val="24"/>
            <w:szCs w:val="24"/>
          </w:rPr>
          <w:t>http://www.bjdh.org.mx/interamericano/busqueda#conceptosTemasArbol</w:t>
        </w:r>
      </w:hyperlink>
    </w:p>
    <w:p w:rsidR="004750E5" w:rsidRPr="00182F87" w:rsidRDefault="004750E5" w:rsidP="001835BE">
      <w:pPr>
        <w:pStyle w:val="Textonotapie"/>
        <w:jc w:val="both"/>
        <w:rPr>
          <w:rFonts w:cstheme="minorHAnsi"/>
          <w:sz w:val="24"/>
          <w:szCs w:val="24"/>
        </w:rPr>
      </w:pPr>
    </w:p>
    <w:p w:rsidR="00DD6F34" w:rsidRPr="00182F87" w:rsidRDefault="00DD6F34" w:rsidP="00DD6F34">
      <w:pPr>
        <w:spacing w:after="0" w:line="240" w:lineRule="auto"/>
        <w:jc w:val="both"/>
        <w:rPr>
          <w:rFonts w:cstheme="minorHAnsi"/>
          <w:bCs/>
          <w:color w:val="000000"/>
          <w:sz w:val="24"/>
          <w:szCs w:val="24"/>
        </w:rPr>
      </w:pPr>
      <w:r w:rsidRPr="00182F87">
        <w:rPr>
          <w:rFonts w:cstheme="minorHAnsi"/>
          <w:bCs/>
          <w:color w:val="000000"/>
          <w:sz w:val="24"/>
          <w:szCs w:val="24"/>
        </w:rPr>
        <w:t xml:space="preserve">Cumbre Judicial Iberoamericana.  Comisión de Seguimiento.  Reglas de Brasilia.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hyperlink r:id="rId6" w:history="1">
        <w:r w:rsidRPr="00182F87">
          <w:rPr>
            <w:rStyle w:val="Hipervnculo"/>
            <w:rFonts w:cstheme="minorHAnsi"/>
            <w:bCs/>
            <w:sz w:val="24"/>
            <w:szCs w:val="24"/>
          </w:rPr>
          <w:t>http://www.cumbrejudicial.org/web/guest/97</w:t>
        </w:r>
      </w:hyperlink>
      <w:r w:rsidRPr="00182F87">
        <w:rPr>
          <w:rFonts w:cstheme="minorHAnsi"/>
          <w:bCs/>
          <w:color w:val="000000"/>
          <w:sz w:val="24"/>
          <w:szCs w:val="24"/>
        </w:rPr>
        <w:t>.  Contiene: ¿Qué son las Reglas de Brasilia?; Documentos; Experiencias;  Comisión de Seguimiento; Enlaces.</w:t>
      </w:r>
    </w:p>
    <w:p w:rsidR="00DD6F34" w:rsidRPr="00182F87" w:rsidRDefault="00DD6F34" w:rsidP="001835BE">
      <w:pPr>
        <w:pStyle w:val="Textonotapie"/>
        <w:jc w:val="both"/>
        <w:rPr>
          <w:sz w:val="24"/>
          <w:szCs w:val="24"/>
        </w:rPr>
      </w:pPr>
    </w:p>
    <w:p w:rsidR="00DD6F34" w:rsidRPr="00182F87" w:rsidRDefault="00DD6F34" w:rsidP="001835BE">
      <w:pPr>
        <w:pStyle w:val="Textonotapie"/>
        <w:jc w:val="both"/>
        <w:rPr>
          <w:sz w:val="24"/>
          <w:szCs w:val="24"/>
        </w:rPr>
      </w:pPr>
    </w:p>
    <w:p w:rsidR="00182F87" w:rsidRPr="00182F87" w:rsidRDefault="00182F87" w:rsidP="00182F87">
      <w:pPr>
        <w:pStyle w:val="Textonotapie"/>
        <w:rPr>
          <w:sz w:val="24"/>
          <w:szCs w:val="24"/>
        </w:rPr>
      </w:pPr>
      <w:r w:rsidRPr="00182F87">
        <w:rPr>
          <w:sz w:val="24"/>
          <w:szCs w:val="24"/>
        </w:rPr>
        <w:t>Del Cid, Lucero, Víctor Manuel, Glosario de Ciencias Sociales y Pueblos Indígenas, URACCAN, Managua 2010.</w:t>
      </w:r>
    </w:p>
    <w:p w:rsidR="00DD6F34" w:rsidRPr="00182F87" w:rsidRDefault="00DD6F34" w:rsidP="001835BE">
      <w:pPr>
        <w:pStyle w:val="Textonotapie"/>
        <w:jc w:val="both"/>
        <w:rPr>
          <w:sz w:val="24"/>
          <w:szCs w:val="24"/>
        </w:rPr>
      </w:pPr>
    </w:p>
    <w:p w:rsidR="007335F6" w:rsidRPr="00182F87" w:rsidRDefault="007335F6" w:rsidP="00424290">
      <w:pPr>
        <w:pStyle w:val="Textonotapie"/>
        <w:jc w:val="both"/>
        <w:rPr>
          <w:noProof/>
          <w:sz w:val="24"/>
          <w:szCs w:val="24"/>
          <w:lang w:eastAsia="es-CR"/>
        </w:rPr>
      </w:pPr>
      <w:r w:rsidRPr="00182F87">
        <w:rPr>
          <w:color w:val="000000"/>
          <w:sz w:val="24"/>
          <w:szCs w:val="24"/>
        </w:rPr>
        <w:t>Estudio sobre genética de la Escuela de Biología de la Universidad de Costa Rica (UCR) y del Centro de Biología Celular y Molecular del mismo centro de estudios.  El documento fue publicado en la revista</w:t>
      </w:r>
      <w:r w:rsidRPr="00182F87">
        <w:rPr>
          <w:rStyle w:val="apple-converted-space"/>
          <w:color w:val="000000"/>
          <w:sz w:val="24"/>
          <w:szCs w:val="24"/>
        </w:rPr>
        <w:t> </w:t>
      </w:r>
      <w:proofErr w:type="spellStart"/>
      <w:r w:rsidRPr="00182F87">
        <w:rPr>
          <w:rStyle w:val="nfasis"/>
          <w:i w:val="0"/>
          <w:color w:val="000000"/>
          <w:sz w:val="24"/>
          <w:szCs w:val="24"/>
        </w:rPr>
        <w:t>Human</w:t>
      </w:r>
      <w:proofErr w:type="spellEnd"/>
      <w:r w:rsidRPr="00182F87">
        <w:rPr>
          <w:rStyle w:val="nfasis"/>
          <w:i w:val="0"/>
          <w:color w:val="000000"/>
          <w:sz w:val="24"/>
          <w:szCs w:val="24"/>
        </w:rPr>
        <w:t xml:space="preserve"> </w:t>
      </w:r>
      <w:proofErr w:type="spellStart"/>
      <w:r w:rsidRPr="00182F87">
        <w:rPr>
          <w:rStyle w:val="nfasis"/>
          <w:i w:val="0"/>
          <w:color w:val="000000"/>
          <w:sz w:val="24"/>
          <w:szCs w:val="24"/>
        </w:rPr>
        <w:t>Biology</w:t>
      </w:r>
      <w:proofErr w:type="spellEnd"/>
      <w:r w:rsidRPr="00182F87">
        <w:rPr>
          <w:color w:val="000000"/>
          <w:sz w:val="24"/>
          <w:szCs w:val="24"/>
        </w:rPr>
        <w:t xml:space="preserve">.  En: </w:t>
      </w:r>
      <w:r w:rsidRPr="00182F87">
        <w:rPr>
          <w:noProof/>
          <w:sz w:val="24"/>
          <w:szCs w:val="24"/>
          <w:lang w:eastAsia="es-CR"/>
        </w:rPr>
        <w:t>http://www.nacion.com/vivir/ciencia/Herencia-china-moldea-genes-costarricenses_0_1444655578.html</w:t>
      </w:r>
      <w:r w:rsidRPr="00182F87">
        <w:rPr>
          <w:rStyle w:val="Refdenotaalpie"/>
          <w:noProof/>
          <w:sz w:val="24"/>
          <w:szCs w:val="24"/>
          <w:lang w:eastAsia="es-CR"/>
        </w:rPr>
        <w:footnoteRef/>
      </w:r>
    </w:p>
    <w:p w:rsidR="007335F6" w:rsidRPr="00182F87" w:rsidRDefault="007335F6" w:rsidP="001835BE">
      <w:pPr>
        <w:spacing w:after="0" w:line="240" w:lineRule="auto"/>
        <w:jc w:val="both"/>
        <w:rPr>
          <w:rFonts w:cstheme="minorHAnsi"/>
          <w:sz w:val="24"/>
          <w:szCs w:val="24"/>
          <w:lang w:eastAsia="es-CR"/>
        </w:rPr>
      </w:pPr>
    </w:p>
    <w:p w:rsidR="007335F6" w:rsidRPr="00182F87" w:rsidRDefault="007335F6" w:rsidP="001835BE">
      <w:pPr>
        <w:spacing w:after="0" w:line="240" w:lineRule="auto"/>
        <w:jc w:val="both"/>
        <w:rPr>
          <w:sz w:val="24"/>
          <w:szCs w:val="24"/>
        </w:rPr>
      </w:pPr>
      <w:proofErr w:type="spellStart"/>
      <w:r w:rsidRPr="00182F87">
        <w:rPr>
          <w:rFonts w:cstheme="minorHAnsi"/>
          <w:sz w:val="24"/>
          <w:szCs w:val="24"/>
          <w:lang w:eastAsia="es-CR"/>
        </w:rPr>
        <w:t>Fergus</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MacKay</w:t>
      </w:r>
      <w:proofErr w:type="spellEnd"/>
      <w:r w:rsidRPr="00182F87">
        <w:rPr>
          <w:rFonts w:cstheme="minorHAnsi"/>
          <w:sz w:val="24"/>
          <w:szCs w:val="24"/>
          <w:lang w:eastAsia="es-CR"/>
        </w:rPr>
        <w:t xml:space="preserve"> y </w:t>
      </w:r>
      <w:proofErr w:type="spellStart"/>
      <w:r w:rsidRPr="00182F87">
        <w:rPr>
          <w:rFonts w:cstheme="minorHAnsi"/>
          <w:sz w:val="24"/>
          <w:szCs w:val="24"/>
          <w:lang w:eastAsia="es-CR"/>
        </w:rPr>
        <w:t>Alancay</w:t>
      </w:r>
      <w:proofErr w:type="spellEnd"/>
      <w:r w:rsidRPr="00182F87">
        <w:rPr>
          <w:rFonts w:cstheme="minorHAnsi"/>
          <w:sz w:val="24"/>
          <w:szCs w:val="24"/>
          <w:lang w:eastAsia="es-CR"/>
        </w:rPr>
        <w:t xml:space="preserve"> Morales Garro, </w:t>
      </w:r>
      <w:r w:rsidR="00AA61EA">
        <w:rPr>
          <w:rFonts w:cstheme="minorHAnsi"/>
          <w:sz w:val="24"/>
          <w:szCs w:val="24"/>
          <w:lang w:eastAsia="es-CR"/>
        </w:rPr>
        <w:t>V</w:t>
      </w:r>
      <w:r w:rsidR="00AA61EA" w:rsidRPr="00182F87">
        <w:rPr>
          <w:rFonts w:cstheme="minorHAnsi"/>
          <w:sz w:val="24"/>
          <w:szCs w:val="24"/>
          <w:lang w:eastAsia="es-CR"/>
        </w:rPr>
        <w:t>iolaciones de los derechos territoriales de los pueblos indígenas</w:t>
      </w:r>
      <w:r w:rsidRPr="00182F87">
        <w:rPr>
          <w:rFonts w:cstheme="minorHAnsi"/>
          <w:sz w:val="24"/>
          <w:szCs w:val="24"/>
          <w:lang w:eastAsia="es-CR"/>
        </w:rPr>
        <w:t xml:space="preserve">: El ejemplo de Costa Rica, </w:t>
      </w:r>
      <w:proofErr w:type="spellStart"/>
      <w:r w:rsidRPr="00182F87">
        <w:rPr>
          <w:rFonts w:cstheme="minorHAnsi"/>
          <w:sz w:val="24"/>
          <w:szCs w:val="24"/>
          <w:lang w:eastAsia="es-CR"/>
        </w:rPr>
        <w:t>Forest</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Peoples</w:t>
      </w:r>
      <w:proofErr w:type="spellEnd"/>
      <w:r w:rsidRPr="00182F87">
        <w:rPr>
          <w:rFonts w:cstheme="minorHAnsi"/>
          <w:sz w:val="24"/>
          <w:szCs w:val="24"/>
          <w:lang w:eastAsia="es-CR"/>
        </w:rPr>
        <w:t xml:space="preserve"> </w:t>
      </w:r>
      <w:proofErr w:type="spellStart"/>
      <w:r w:rsidRPr="00182F87">
        <w:rPr>
          <w:rFonts w:cstheme="minorHAnsi"/>
          <w:sz w:val="24"/>
          <w:szCs w:val="24"/>
          <w:lang w:eastAsia="es-CR"/>
        </w:rPr>
        <w:t>Programme</w:t>
      </w:r>
      <w:proofErr w:type="spellEnd"/>
      <w:r w:rsidRPr="00182F87">
        <w:rPr>
          <w:rFonts w:cstheme="minorHAnsi"/>
          <w:sz w:val="24"/>
          <w:szCs w:val="24"/>
          <w:lang w:eastAsia="es-CR"/>
        </w:rPr>
        <w:t xml:space="preserve">, Enero de 2014.  </w:t>
      </w:r>
    </w:p>
    <w:p w:rsidR="007335F6" w:rsidRPr="00182F87" w:rsidRDefault="007335F6" w:rsidP="001835BE">
      <w:pPr>
        <w:pStyle w:val="Textonotapie"/>
        <w:jc w:val="both"/>
        <w:rPr>
          <w:rFonts w:cstheme="minorHAnsi"/>
          <w:sz w:val="24"/>
          <w:szCs w:val="24"/>
        </w:rPr>
      </w:pPr>
    </w:p>
    <w:p w:rsidR="00182F87" w:rsidRPr="00182F87" w:rsidRDefault="00182F87" w:rsidP="00182F87">
      <w:pPr>
        <w:pStyle w:val="Textonotapie"/>
        <w:jc w:val="both"/>
        <w:rPr>
          <w:sz w:val="24"/>
          <w:szCs w:val="24"/>
        </w:rPr>
      </w:pPr>
      <w:r w:rsidRPr="00182F87">
        <w:rPr>
          <w:sz w:val="24"/>
          <w:szCs w:val="24"/>
        </w:rPr>
        <w:t>Guevara Berger, Marcos.  ED-2889 El peritaje cultural en el ámbito judicial: abordaje de casos indígenas, actividades de capacitación y elaboración de un perfil técnico – profesional, período 2010 – agosto 2014.  Presentación de informe de labores a la Magistrada Carmen María Escoto como Coordinadora de la Subcomisión de Pueblos Indígenas del Poder Judicial, Diciembre 2014.</w:t>
      </w:r>
    </w:p>
    <w:p w:rsidR="00182F87" w:rsidRPr="00182F87" w:rsidRDefault="00182F87" w:rsidP="001835BE">
      <w:pPr>
        <w:pStyle w:val="Textonotapie"/>
        <w:jc w:val="both"/>
        <w:rPr>
          <w:rFonts w:cstheme="minorHAnsi"/>
          <w:sz w:val="24"/>
          <w:szCs w:val="24"/>
        </w:rPr>
      </w:pPr>
    </w:p>
    <w:p w:rsidR="007335F6" w:rsidRPr="00182F87" w:rsidRDefault="007335F6" w:rsidP="001835BE">
      <w:pPr>
        <w:pStyle w:val="Textonotapie"/>
        <w:jc w:val="both"/>
        <w:rPr>
          <w:rFonts w:cstheme="minorHAnsi"/>
          <w:sz w:val="24"/>
          <w:szCs w:val="24"/>
        </w:rPr>
      </w:pPr>
      <w:r w:rsidRPr="00182F87">
        <w:rPr>
          <w:rFonts w:cstheme="minorHAnsi"/>
          <w:sz w:val="24"/>
          <w:szCs w:val="24"/>
        </w:rPr>
        <w:t xml:space="preserve">Idiáquez, S.J., José A.  En búsqueda de esperanza. Migración </w:t>
      </w:r>
      <w:proofErr w:type="spellStart"/>
      <w:r w:rsidRPr="00182F87">
        <w:rPr>
          <w:rFonts w:cstheme="minorHAnsi"/>
          <w:sz w:val="24"/>
          <w:szCs w:val="24"/>
        </w:rPr>
        <w:t>ngäbe</w:t>
      </w:r>
      <w:proofErr w:type="spellEnd"/>
      <w:r w:rsidRPr="00182F87">
        <w:rPr>
          <w:rFonts w:cstheme="minorHAnsi"/>
          <w:sz w:val="24"/>
          <w:szCs w:val="24"/>
        </w:rPr>
        <w:t xml:space="preserve"> a Costa Rica y su impacto en la juventud.  Panamá: Servicio Jesuita Refugiados, 2012. </w:t>
      </w:r>
    </w:p>
    <w:p w:rsidR="007335F6" w:rsidRPr="00182F87" w:rsidRDefault="007335F6" w:rsidP="001835BE">
      <w:pPr>
        <w:pStyle w:val="Textonotapie"/>
        <w:jc w:val="both"/>
        <w:rPr>
          <w:sz w:val="24"/>
          <w:szCs w:val="24"/>
        </w:rPr>
      </w:pPr>
    </w:p>
    <w:p w:rsidR="004750E5" w:rsidRPr="00182F87" w:rsidRDefault="004750E5" w:rsidP="004750E5">
      <w:pPr>
        <w:pStyle w:val="Textonotapie"/>
        <w:jc w:val="both"/>
        <w:rPr>
          <w:sz w:val="24"/>
          <w:szCs w:val="24"/>
        </w:rPr>
      </w:pPr>
    </w:p>
    <w:p w:rsidR="00182F87" w:rsidRPr="00182F87" w:rsidRDefault="00182F87" w:rsidP="00182F87">
      <w:pPr>
        <w:pStyle w:val="Textonotapie"/>
        <w:jc w:val="both"/>
        <w:rPr>
          <w:sz w:val="24"/>
          <w:szCs w:val="24"/>
        </w:rPr>
      </w:pPr>
      <w:r w:rsidRPr="00182F87">
        <w:rPr>
          <w:sz w:val="24"/>
          <w:szCs w:val="24"/>
        </w:rPr>
        <w:t>Instituto de la Defensa Pública Pena,  La prueba en materia penal</w:t>
      </w:r>
      <w:proofErr w:type="gramStart"/>
      <w:r w:rsidRPr="00182F87">
        <w:rPr>
          <w:sz w:val="24"/>
          <w:szCs w:val="24"/>
        </w:rPr>
        <w:t>..</w:t>
      </w:r>
      <w:proofErr w:type="gramEnd"/>
      <w:r w:rsidRPr="00182F87">
        <w:rPr>
          <w:sz w:val="24"/>
          <w:szCs w:val="24"/>
        </w:rPr>
        <w:t xml:space="preserve"> Guatemala, junio 2008.  </w:t>
      </w:r>
    </w:p>
    <w:p w:rsidR="00182F87" w:rsidRPr="00182F87" w:rsidRDefault="00182F87" w:rsidP="00182F87">
      <w:pPr>
        <w:pStyle w:val="Textonotapie"/>
        <w:jc w:val="both"/>
        <w:rPr>
          <w:sz w:val="24"/>
          <w:szCs w:val="24"/>
        </w:rPr>
      </w:pPr>
    </w:p>
    <w:p w:rsidR="009A1CED" w:rsidRPr="00182F87" w:rsidRDefault="009A1CED" w:rsidP="009A1CED">
      <w:pPr>
        <w:pStyle w:val="Textonotapie"/>
        <w:jc w:val="both"/>
        <w:rPr>
          <w:sz w:val="24"/>
          <w:szCs w:val="24"/>
        </w:rPr>
      </w:pPr>
      <w:r w:rsidRPr="00182F87">
        <w:rPr>
          <w:sz w:val="24"/>
          <w:szCs w:val="24"/>
        </w:rPr>
        <w:t>I</w:t>
      </w:r>
      <w:r>
        <w:rPr>
          <w:sz w:val="24"/>
          <w:szCs w:val="24"/>
        </w:rPr>
        <w:t xml:space="preserve">nstituto </w:t>
      </w:r>
      <w:r w:rsidRPr="00182F87">
        <w:rPr>
          <w:sz w:val="24"/>
          <w:szCs w:val="24"/>
        </w:rPr>
        <w:t>I</w:t>
      </w:r>
      <w:r>
        <w:rPr>
          <w:sz w:val="24"/>
          <w:szCs w:val="24"/>
        </w:rPr>
        <w:t xml:space="preserve">nteramericano de </w:t>
      </w:r>
      <w:r w:rsidRPr="00182F87">
        <w:rPr>
          <w:sz w:val="24"/>
          <w:szCs w:val="24"/>
        </w:rPr>
        <w:t>D</w:t>
      </w:r>
      <w:r>
        <w:rPr>
          <w:sz w:val="24"/>
          <w:szCs w:val="24"/>
        </w:rPr>
        <w:t xml:space="preserve">erechos </w:t>
      </w:r>
      <w:r w:rsidRPr="00182F87">
        <w:rPr>
          <w:sz w:val="24"/>
          <w:szCs w:val="24"/>
        </w:rPr>
        <w:t>H</w:t>
      </w:r>
      <w:r>
        <w:rPr>
          <w:sz w:val="24"/>
          <w:szCs w:val="24"/>
        </w:rPr>
        <w:t xml:space="preserve">umanos, </w:t>
      </w:r>
      <w:r w:rsidRPr="00182F87">
        <w:rPr>
          <w:sz w:val="24"/>
          <w:szCs w:val="24"/>
        </w:rPr>
        <w:t xml:space="preserve">Estudio regional sobre personas indígenas ante la administración de justicia, el caso de los privados de libertad y las mujeres indígenas, 2000-2010.  </w:t>
      </w:r>
    </w:p>
    <w:p w:rsidR="00182F87" w:rsidRPr="00182F87" w:rsidRDefault="00182F87" w:rsidP="00182F87">
      <w:pPr>
        <w:pStyle w:val="Textonotapie"/>
        <w:jc w:val="both"/>
        <w:rPr>
          <w:rFonts w:cstheme="minorHAnsi"/>
          <w:color w:val="0070C0"/>
          <w:sz w:val="24"/>
          <w:szCs w:val="24"/>
        </w:rPr>
      </w:pPr>
    </w:p>
    <w:p w:rsidR="00182F87" w:rsidRPr="00182F87" w:rsidRDefault="00182F87" w:rsidP="00182F87">
      <w:pPr>
        <w:pStyle w:val="Textonotapie"/>
        <w:jc w:val="both"/>
        <w:rPr>
          <w:sz w:val="24"/>
          <w:szCs w:val="24"/>
        </w:rPr>
      </w:pPr>
      <w:r w:rsidRPr="00182F87">
        <w:rPr>
          <w:sz w:val="24"/>
          <w:szCs w:val="24"/>
        </w:rPr>
        <w:t>Instituto Interamericano de Derechos Humanos, Peritajes Culturales, San José, Costa Rica,  2010.</w:t>
      </w:r>
    </w:p>
    <w:p w:rsidR="00182F87" w:rsidRPr="00182F87" w:rsidRDefault="00182F87" w:rsidP="00182F87">
      <w:pPr>
        <w:pStyle w:val="Textonotapie"/>
        <w:jc w:val="both"/>
        <w:rPr>
          <w:rFonts w:cstheme="minorHAnsi"/>
          <w:color w:val="0070C0"/>
          <w:sz w:val="24"/>
          <w:szCs w:val="24"/>
        </w:rPr>
      </w:pPr>
    </w:p>
    <w:p w:rsidR="00182F87" w:rsidRPr="00182F87" w:rsidRDefault="00182F87" w:rsidP="00182F87">
      <w:pPr>
        <w:pStyle w:val="Textonotapie"/>
        <w:rPr>
          <w:rFonts w:cstheme="minorHAnsi"/>
          <w:sz w:val="24"/>
          <w:szCs w:val="24"/>
          <w:lang w:val="es-ES_tradnl"/>
        </w:rPr>
      </w:pPr>
      <w:r w:rsidRPr="00182F87">
        <w:rPr>
          <w:rFonts w:cstheme="minorHAnsi"/>
          <w:sz w:val="24"/>
          <w:szCs w:val="24"/>
          <w:lang w:val="es-ES_tradnl"/>
        </w:rPr>
        <w:t>Instituto Interamericano de Derechos Humanos, Guía para la atención especializada de los pueblos indígenas por parte de las Oficinas Ombudsman, San José, Costa Rica 2006.</w:t>
      </w:r>
    </w:p>
    <w:p w:rsidR="00182F87" w:rsidRPr="009A1CED" w:rsidRDefault="00182F87" w:rsidP="00182F87">
      <w:pPr>
        <w:pStyle w:val="Textonotapie"/>
        <w:rPr>
          <w:rFonts w:cstheme="minorHAnsi"/>
          <w:color w:val="0070C0"/>
          <w:sz w:val="24"/>
          <w:szCs w:val="24"/>
          <w:lang w:val="es-ES_tradnl"/>
        </w:rPr>
      </w:pPr>
    </w:p>
    <w:p w:rsidR="00182F87" w:rsidRPr="00182F87" w:rsidRDefault="00182F87" w:rsidP="00182F87">
      <w:pPr>
        <w:pStyle w:val="Textonotapie"/>
        <w:jc w:val="both"/>
        <w:rPr>
          <w:rFonts w:cstheme="minorHAnsi"/>
          <w:sz w:val="24"/>
          <w:szCs w:val="24"/>
        </w:rPr>
      </w:pPr>
      <w:r w:rsidRPr="00182F87">
        <w:rPr>
          <w:rFonts w:cstheme="minorHAnsi"/>
          <w:sz w:val="24"/>
          <w:szCs w:val="24"/>
        </w:rPr>
        <w:lastRenderedPageBreak/>
        <w:t>Informe de la Comisión de Expertos en Aplicación del Convenio y Recomendaciones, Informe III (parte 1ª), Conferencia Internacional del Trabajo, 96ª reunión, Ginebra, 2007.</w:t>
      </w:r>
    </w:p>
    <w:p w:rsidR="00182F87" w:rsidRPr="00182F87" w:rsidRDefault="00182F87" w:rsidP="00182F87">
      <w:pPr>
        <w:pStyle w:val="Textonotapie"/>
        <w:jc w:val="both"/>
        <w:rPr>
          <w:rFonts w:cstheme="minorHAnsi"/>
          <w:sz w:val="24"/>
          <w:szCs w:val="24"/>
        </w:rPr>
      </w:pPr>
    </w:p>
    <w:p w:rsidR="00182F87" w:rsidRPr="00182F87" w:rsidRDefault="00182F87" w:rsidP="00182F87">
      <w:pPr>
        <w:jc w:val="both"/>
        <w:rPr>
          <w:rFonts w:cstheme="minorHAnsi"/>
          <w:sz w:val="24"/>
          <w:szCs w:val="24"/>
        </w:rPr>
      </w:pPr>
      <w:r w:rsidRPr="00182F87">
        <w:rPr>
          <w:rFonts w:cstheme="minorHAnsi"/>
          <w:sz w:val="24"/>
          <w:szCs w:val="24"/>
        </w:rPr>
        <w:t xml:space="preserve">Informe del Comité encargado de examinar la reclamación en el que se alega el incumplimiento por Guatemala del Convenio 169, presentada en virtud del artículo 24 de la Constitución de la OIT por la Federación de Trabajadores del Campo y la Ciudad [FTCC - en adelante Reclamación Guatemala] GB.294/17/1; GB.299/6/1, 2005. </w:t>
      </w:r>
    </w:p>
    <w:p w:rsidR="007335F6" w:rsidRPr="00182F87" w:rsidRDefault="007335F6" w:rsidP="001835BE">
      <w:pPr>
        <w:pStyle w:val="Textonotapie"/>
        <w:jc w:val="both"/>
        <w:rPr>
          <w:sz w:val="24"/>
          <w:szCs w:val="24"/>
        </w:rPr>
      </w:pPr>
      <w:r w:rsidRPr="00182F87">
        <w:rPr>
          <w:sz w:val="24"/>
          <w:szCs w:val="24"/>
        </w:rPr>
        <w:t xml:space="preserve">Informe de la Defensoría de los Habitantes de la República de Costa Rica.  Informe final con recomendaciones: Situación de los Derechos Laborales y Acceso a los Servicios de Salud de las Familias Trabajadoras Migrantes Indígenas </w:t>
      </w:r>
      <w:proofErr w:type="spellStart"/>
      <w:r w:rsidRPr="00182F87">
        <w:rPr>
          <w:sz w:val="24"/>
          <w:szCs w:val="24"/>
        </w:rPr>
        <w:t>Gnöbes</w:t>
      </w:r>
      <w:proofErr w:type="spellEnd"/>
      <w:r w:rsidRPr="00182F87">
        <w:rPr>
          <w:sz w:val="24"/>
          <w:szCs w:val="24"/>
        </w:rPr>
        <w:t xml:space="preserve">. </w:t>
      </w:r>
      <w:r w:rsidR="00182F87" w:rsidRPr="00182F87">
        <w:rPr>
          <w:sz w:val="24"/>
          <w:szCs w:val="24"/>
        </w:rPr>
        <w:t>2007</w:t>
      </w:r>
    </w:p>
    <w:p w:rsidR="007335F6" w:rsidRPr="00182F87" w:rsidRDefault="007335F6" w:rsidP="001835BE">
      <w:pPr>
        <w:shd w:val="clear" w:color="auto" w:fill="FFFFFF"/>
        <w:spacing w:after="0" w:line="240" w:lineRule="auto"/>
        <w:jc w:val="both"/>
        <w:rPr>
          <w:sz w:val="24"/>
          <w:szCs w:val="24"/>
        </w:rPr>
      </w:pPr>
    </w:p>
    <w:p w:rsidR="007335F6" w:rsidRPr="00182F87" w:rsidRDefault="007335F6" w:rsidP="001835BE">
      <w:pPr>
        <w:shd w:val="clear" w:color="auto" w:fill="FFFFFF"/>
        <w:spacing w:after="0" w:line="240" w:lineRule="auto"/>
        <w:jc w:val="both"/>
        <w:rPr>
          <w:sz w:val="24"/>
          <w:szCs w:val="24"/>
        </w:rPr>
      </w:pPr>
      <w:r w:rsidRPr="00182F87">
        <w:rPr>
          <w:sz w:val="24"/>
          <w:szCs w:val="24"/>
        </w:rPr>
        <w:t xml:space="preserve">Informe del Relator Especial sobre la situación de los derechos de los pueblos indígenas, James Anaya. Adición. La  situación de los derechos de los pueblos indígenas en Panamá. A/HRC/27/52/Add.1. </w:t>
      </w:r>
    </w:p>
    <w:p w:rsidR="007335F6" w:rsidRPr="00182F87" w:rsidRDefault="007335F6" w:rsidP="001835BE">
      <w:pPr>
        <w:pStyle w:val="Textonotapie"/>
        <w:jc w:val="both"/>
        <w:rPr>
          <w:sz w:val="24"/>
          <w:szCs w:val="24"/>
        </w:rPr>
      </w:pPr>
    </w:p>
    <w:p w:rsidR="007335F6" w:rsidRPr="00182F87" w:rsidRDefault="007335F6" w:rsidP="001835BE">
      <w:pPr>
        <w:pStyle w:val="Textonotapie"/>
        <w:jc w:val="both"/>
        <w:rPr>
          <w:sz w:val="24"/>
          <w:szCs w:val="24"/>
        </w:rPr>
      </w:pPr>
      <w:r w:rsidRPr="00182F87">
        <w:rPr>
          <w:sz w:val="24"/>
          <w:szCs w:val="24"/>
        </w:rPr>
        <w:t xml:space="preserve"> Informe Final. Reconocimiento y exigibilidad de los derechos de los pueblos indígenas: su expresión en la Defensoría de los Habitantes. San José: Programa Estado de la Nación, 2012.</w:t>
      </w:r>
    </w:p>
    <w:p w:rsidR="007335F6" w:rsidRPr="00182F87" w:rsidRDefault="007335F6" w:rsidP="001835BE">
      <w:pPr>
        <w:pStyle w:val="Textonotapie"/>
        <w:jc w:val="both"/>
        <w:rPr>
          <w:sz w:val="24"/>
          <w:szCs w:val="24"/>
        </w:rPr>
      </w:pPr>
    </w:p>
    <w:p w:rsidR="00182F87" w:rsidRPr="00182F87" w:rsidRDefault="00182F87" w:rsidP="00182F87">
      <w:pPr>
        <w:jc w:val="both"/>
        <w:rPr>
          <w:rFonts w:cstheme="minorHAnsi"/>
          <w:sz w:val="24"/>
          <w:szCs w:val="24"/>
          <w:lang w:val="es-ES_tradnl"/>
        </w:rPr>
      </w:pPr>
      <w:r w:rsidRPr="00182F87">
        <w:rPr>
          <w:rFonts w:cstheme="minorHAnsi"/>
          <w:sz w:val="24"/>
          <w:szCs w:val="24"/>
          <w:lang w:val="es-ES_tradnl"/>
        </w:rPr>
        <w:t xml:space="preserve">Informe provisorio del estudio sobre los pueblos indígenas y el derecho a participar en la adopción de decisiones, Informe del Mecanismo de Expertos sobre los Derechos de los Pueblos Indígenas, ONU, 17 de mayo 2010.   </w:t>
      </w:r>
    </w:p>
    <w:p w:rsidR="007335F6" w:rsidRPr="00182F87" w:rsidRDefault="007335F6" w:rsidP="00424290">
      <w:pPr>
        <w:pStyle w:val="Textonotapie"/>
        <w:jc w:val="both"/>
        <w:rPr>
          <w:sz w:val="24"/>
          <w:szCs w:val="24"/>
        </w:rPr>
      </w:pPr>
      <w:r w:rsidRPr="00182F87">
        <w:rPr>
          <w:sz w:val="24"/>
          <w:szCs w:val="24"/>
        </w:rPr>
        <w:t xml:space="preserve">Instituto Nacional de Estadística y Censos. X Censo Nacional de Población y VI de Vivienda: Territorios Indígenas. 1ª. Ed. San José, C.R.: INEC, 2013. </w:t>
      </w:r>
    </w:p>
    <w:p w:rsidR="00182F87" w:rsidRPr="00182F87" w:rsidRDefault="00182F87" w:rsidP="001835BE">
      <w:pPr>
        <w:pStyle w:val="Textonotapie"/>
        <w:jc w:val="both"/>
        <w:rPr>
          <w:sz w:val="24"/>
          <w:szCs w:val="24"/>
        </w:rPr>
      </w:pPr>
    </w:p>
    <w:p w:rsidR="00182F87" w:rsidRPr="00182F87" w:rsidRDefault="00182F87" w:rsidP="00182F87">
      <w:pPr>
        <w:jc w:val="both"/>
        <w:rPr>
          <w:sz w:val="24"/>
          <w:szCs w:val="24"/>
        </w:rPr>
      </w:pPr>
      <w:proofErr w:type="spellStart"/>
      <w:r w:rsidRPr="00182F87">
        <w:rPr>
          <w:sz w:val="24"/>
          <w:szCs w:val="24"/>
        </w:rPr>
        <w:t>Ixíu</w:t>
      </w:r>
      <w:proofErr w:type="spellEnd"/>
      <w:r w:rsidRPr="00182F87">
        <w:rPr>
          <w:sz w:val="24"/>
          <w:szCs w:val="24"/>
        </w:rPr>
        <w:t xml:space="preserve"> García, Pedro.  El Peritaje Cultural, </w:t>
      </w:r>
      <w:r w:rsidRPr="00182F87">
        <w:rPr>
          <w:b/>
          <w:sz w:val="24"/>
          <w:szCs w:val="24"/>
        </w:rPr>
        <w:t>Acceso a la justicia de los pueblos indígenas: los peritajes  culturales y la visión de pobreza desde su cosmovisión</w:t>
      </w:r>
      <w:r w:rsidRPr="00182F87">
        <w:rPr>
          <w:sz w:val="24"/>
          <w:szCs w:val="24"/>
        </w:rPr>
        <w:t xml:space="preserve">.  San José, C.R.  IIDH, 2010.  </w:t>
      </w:r>
      <w:hyperlink r:id="rId7" w:history="1">
        <w:r w:rsidRPr="00182F87">
          <w:rPr>
            <w:rStyle w:val="Hipervnculo"/>
            <w:sz w:val="24"/>
            <w:szCs w:val="24"/>
          </w:rPr>
          <w:t>http://www.slideshare.net/guestc1831e/prueba-pericial-522952</w:t>
        </w:r>
      </w:hyperlink>
      <w:r w:rsidRPr="00182F87">
        <w:rPr>
          <w:sz w:val="24"/>
          <w:szCs w:val="24"/>
        </w:rPr>
        <w:t xml:space="preserve">.  </w:t>
      </w:r>
    </w:p>
    <w:p w:rsidR="00182F87" w:rsidRPr="00182F87" w:rsidRDefault="00182F87" w:rsidP="001835BE">
      <w:pPr>
        <w:pStyle w:val="Textonotapie"/>
        <w:jc w:val="both"/>
        <w:rPr>
          <w:sz w:val="24"/>
          <w:szCs w:val="24"/>
        </w:rPr>
      </w:pPr>
    </w:p>
    <w:p w:rsidR="007335F6" w:rsidRPr="00182F87" w:rsidRDefault="007335F6" w:rsidP="001835BE">
      <w:pPr>
        <w:pStyle w:val="Textonotapie"/>
        <w:jc w:val="both"/>
        <w:rPr>
          <w:sz w:val="24"/>
          <w:szCs w:val="24"/>
        </w:rPr>
      </w:pPr>
      <w:r w:rsidRPr="00182F87">
        <w:rPr>
          <w:sz w:val="24"/>
          <w:szCs w:val="24"/>
        </w:rPr>
        <w:t xml:space="preserve">La Gaceta No. 36, jueves 20 de febrero de 2014. </w:t>
      </w:r>
    </w:p>
    <w:p w:rsidR="007335F6" w:rsidRPr="00182F87" w:rsidRDefault="007335F6" w:rsidP="001835BE">
      <w:pPr>
        <w:pStyle w:val="Textonotapie"/>
        <w:jc w:val="both"/>
        <w:rPr>
          <w:sz w:val="24"/>
          <w:szCs w:val="24"/>
        </w:rPr>
      </w:pPr>
    </w:p>
    <w:p w:rsidR="004750E5" w:rsidRPr="00182F87" w:rsidRDefault="004750E5" w:rsidP="004750E5">
      <w:pPr>
        <w:pStyle w:val="Textonotapie"/>
        <w:jc w:val="both"/>
        <w:rPr>
          <w:sz w:val="24"/>
          <w:szCs w:val="24"/>
        </w:rPr>
      </w:pPr>
      <w:r w:rsidRPr="00182F87">
        <w:rPr>
          <w:sz w:val="24"/>
          <w:szCs w:val="24"/>
        </w:rPr>
        <w:t>Ley 7316 de la Asamblea Legislativa, publicada en La Gaceta 234, el 4 de diciembre de 1992</w:t>
      </w:r>
    </w:p>
    <w:p w:rsidR="004750E5" w:rsidRPr="00182F87" w:rsidRDefault="004750E5" w:rsidP="004750E5">
      <w:pPr>
        <w:pStyle w:val="Textonotapie"/>
        <w:jc w:val="both"/>
        <w:rPr>
          <w:sz w:val="24"/>
          <w:szCs w:val="24"/>
        </w:rPr>
      </w:pPr>
    </w:p>
    <w:p w:rsidR="007335F6" w:rsidRPr="00182F87" w:rsidRDefault="00EE2708" w:rsidP="001835BE">
      <w:pPr>
        <w:pStyle w:val="Textonotapie"/>
        <w:jc w:val="both"/>
        <w:rPr>
          <w:sz w:val="24"/>
          <w:szCs w:val="24"/>
        </w:rPr>
      </w:pPr>
      <w:r w:rsidRPr="00182F87">
        <w:rPr>
          <w:sz w:val="24"/>
          <w:szCs w:val="24"/>
        </w:rPr>
        <w:t>Líder</w:t>
      </w:r>
      <w:r w:rsidR="007335F6" w:rsidRPr="00182F87">
        <w:rPr>
          <w:sz w:val="24"/>
          <w:szCs w:val="24"/>
        </w:rPr>
        <w:t xml:space="preserve"> de la ONU en Costa Rica: “Indígenas tienen serio rezago en derechos y desarrollo social”.  Entrevista en La Nación, 23.09.2013.  R</w:t>
      </w:r>
      <w:r w:rsidR="007335F6" w:rsidRPr="00182F87">
        <w:rPr>
          <w:rFonts w:cstheme="minorHAnsi"/>
          <w:sz w:val="24"/>
          <w:szCs w:val="24"/>
          <w:lang w:eastAsia="es-CR"/>
        </w:rPr>
        <w:t xml:space="preserve">epresentante residente del PNUD en Costa Rica, Sra. </w:t>
      </w:r>
      <w:proofErr w:type="spellStart"/>
      <w:r w:rsidR="007335F6" w:rsidRPr="00182F87">
        <w:rPr>
          <w:rFonts w:cstheme="minorHAnsi"/>
          <w:sz w:val="24"/>
          <w:szCs w:val="24"/>
          <w:lang w:eastAsia="es-CR"/>
        </w:rPr>
        <w:t>Yoriko</w:t>
      </w:r>
      <w:proofErr w:type="spellEnd"/>
      <w:r w:rsidR="007335F6" w:rsidRPr="00182F87">
        <w:rPr>
          <w:rFonts w:cstheme="minorHAnsi"/>
          <w:sz w:val="24"/>
          <w:szCs w:val="24"/>
          <w:lang w:eastAsia="es-CR"/>
        </w:rPr>
        <w:t xml:space="preserve"> </w:t>
      </w:r>
      <w:proofErr w:type="spellStart"/>
      <w:r w:rsidR="007335F6" w:rsidRPr="00182F87">
        <w:rPr>
          <w:rFonts w:cstheme="minorHAnsi"/>
          <w:sz w:val="24"/>
          <w:szCs w:val="24"/>
          <w:lang w:eastAsia="es-CR"/>
        </w:rPr>
        <w:t>Yasukawa</w:t>
      </w:r>
      <w:proofErr w:type="spellEnd"/>
      <w:r w:rsidR="007335F6" w:rsidRPr="00182F87">
        <w:rPr>
          <w:rFonts w:cstheme="minorHAnsi"/>
          <w:sz w:val="24"/>
          <w:szCs w:val="24"/>
          <w:lang w:eastAsia="es-CR"/>
        </w:rPr>
        <w:t>.</w:t>
      </w:r>
    </w:p>
    <w:p w:rsidR="007335F6" w:rsidRPr="00182F87" w:rsidRDefault="007335F6" w:rsidP="001835BE">
      <w:pPr>
        <w:spacing w:after="0" w:line="240" w:lineRule="auto"/>
        <w:jc w:val="both"/>
        <w:rPr>
          <w:rFonts w:cstheme="minorHAnsi"/>
          <w:sz w:val="24"/>
          <w:szCs w:val="24"/>
          <w:lang w:eastAsia="es-CR"/>
        </w:rPr>
      </w:pPr>
    </w:p>
    <w:p w:rsidR="007335F6" w:rsidRPr="00182F87" w:rsidRDefault="007335F6" w:rsidP="001835BE">
      <w:pPr>
        <w:spacing w:after="0" w:line="240" w:lineRule="auto"/>
        <w:jc w:val="both"/>
        <w:rPr>
          <w:rFonts w:cstheme="minorHAnsi"/>
          <w:sz w:val="24"/>
          <w:szCs w:val="24"/>
          <w:lang w:eastAsia="es-CR"/>
        </w:rPr>
      </w:pPr>
      <w:r w:rsidRPr="00182F87">
        <w:rPr>
          <w:rFonts w:cstheme="minorHAnsi"/>
          <w:sz w:val="24"/>
          <w:szCs w:val="24"/>
          <w:lang w:eastAsia="es-CR"/>
        </w:rPr>
        <w:t xml:space="preserve">Mesa Nacional Indígena, Informe alternativo presentado por los pueblos indígenas al Informe presentado por el Estado de Costa Rica al Comité contra la Discriminación Racial </w:t>
      </w:r>
      <w:r w:rsidRPr="00182F87">
        <w:rPr>
          <w:rFonts w:cstheme="minorHAnsi"/>
          <w:sz w:val="24"/>
          <w:szCs w:val="24"/>
          <w:lang w:eastAsia="es-CR"/>
        </w:rPr>
        <w:lastRenderedPageBreak/>
        <w:t xml:space="preserve">de la Convención Internacional sobre la Eliminación de todas las formas de discriminación racial, 71 </w:t>
      </w:r>
      <w:r w:rsidR="009A1CED" w:rsidRPr="00182F87">
        <w:rPr>
          <w:rFonts w:cstheme="minorHAnsi"/>
          <w:sz w:val="24"/>
          <w:szCs w:val="24"/>
          <w:lang w:eastAsia="es-CR"/>
        </w:rPr>
        <w:t>periodos</w:t>
      </w:r>
      <w:r w:rsidRPr="00182F87">
        <w:rPr>
          <w:rFonts w:cstheme="minorHAnsi"/>
          <w:sz w:val="24"/>
          <w:szCs w:val="24"/>
          <w:lang w:eastAsia="es-CR"/>
        </w:rPr>
        <w:t xml:space="preserve"> de sesiones 30 de julio al 18 agosto de 2007.  </w:t>
      </w:r>
    </w:p>
    <w:p w:rsidR="007335F6" w:rsidRPr="00182F87" w:rsidRDefault="007335F6" w:rsidP="001835BE">
      <w:pPr>
        <w:pStyle w:val="Textonotapie"/>
        <w:rPr>
          <w:sz w:val="24"/>
          <w:szCs w:val="24"/>
        </w:rPr>
      </w:pPr>
    </w:p>
    <w:p w:rsidR="007335F6" w:rsidRPr="00182F87" w:rsidRDefault="007335F6" w:rsidP="001835BE">
      <w:pPr>
        <w:pStyle w:val="Textonotapie"/>
        <w:rPr>
          <w:sz w:val="24"/>
          <w:szCs w:val="24"/>
        </w:rPr>
      </w:pPr>
      <w:r w:rsidRPr="00182F87">
        <w:rPr>
          <w:sz w:val="24"/>
          <w:szCs w:val="24"/>
        </w:rPr>
        <w:t xml:space="preserve">MIDEPLAN. Índice de Desarrollo Social Distrital. San José, C.R., 2013. </w:t>
      </w:r>
    </w:p>
    <w:p w:rsidR="007335F6" w:rsidRPr="00182F87" w:rsidRDefault="007335F6" w:rsidP="001835BE">
      <w:pPr>
        <w:pStyle w:val="Textonotapie"/>
        <w:jc w:val="both"/>
        <w:rPr>
          <w:rFonts w:cstheme="minorHAnsi"/>
          <w:sz w:val="24"/>
          <w:szCs w:val="24"/>
        </w:rPr>
      </w:pPr>
    </w:p>
    <w:p w:rsidR="007335F6" w:rsidRPr="00182F87" w:rsidRDefault="007335F6" w:rsidP="001835BE">
      <w:pPr>
        <w:pStyle w:val="Textonotapie"/>
        <w:jc w:val="both"/>
        <w:rPr>
          <w:sz w:val="24"/>
          <w:szCs w:val="24"/>
        </w:rPr>
      </w:pPr>
      <w:proofErr w:type="spellStart"/>
      <w:r w:rsidRPr="00182F87">
        <w:rPr>
          <w:rFonts w:cstheme="minorHAnsi"/>
          <w:sz w:val="24"/>
          <w:szCs w:val="24"/>
        </w:rPr>
        <w:t>Mondol</w:t>
      </w:r>
      <w:proofErr w:type="spellEnd"/>
      <w:r w:rsidRPr="00182F87">
        <w:rPr>
          <w:rFonts w:cstheme="minorHAnsi"/>
          <w:sz w:val="24"/>
          <w:szCs w:val="24"/>
        </w:rPr>
        <w:t xml:space="preserve"> López, Lenin y Amador Hernández, Gustavo. Diagnóstico socioeconómico y de oportunidad de mercado para la población migrante de la subregión de Los Santos.  San José, C.R: Universidad Estatal a Distancia, 2013. </w:t>
      </w:r>
    </w:p>
    <w:p w:rsidR="007335F6" w:rsidRPr="00182F87" w:rsidRDefault="007335F6" w:rsidP="001835BE">
      <w:pPr>
        <w:pStyle w:val="Textonotapie"/>
        <w:jc w:val="both"/>
        <w:rPr>
          <w:sz w:val="24"/>
          <w:szCs w:val="24"/>
        </w:rPr>
      </w:pPr>
    </w:p>
    <w:p w:rsidR="007335F6" w:rsidRPr="00182F87" w:rsidRDefault="007335F6" w:rsidP="001835BE">
      <w:pPr>
        <w:pStyle w:val="Textonotapie"/>
        <w:jc w:val="both"/>
        <w:rPr>
          <w:sz w:val="24"/>
          <w:szCs w:val="24"/>
        </w:rPr>
      </w:pPr>
      <w:r w:rsidRPr="00182F87">
        <w:rPr>
          <w:sz w:val="24"/>
          <w:szCs w:val="24"/>
        </w:rPr>
        <w:t xml:space="preserve">OACNUDH. Diagnóstico sobre la situación de los derechos de los pueblos indígenas de América Central.  Costa Rica. Tomo 1. 1ª. ed. Panamá: OACNUDH, 2011. </w:t>
      </w:r>
    </w:p>
    <w:p w:rsidR="007335F6" w:rsidRPr="00182F87" w:rsidRDefault="007335F6" w:rsidP="001835BE">
      <w:pPr>
        <w:pStyle w:val="Textonotapie"/>
        <w:jc w:val="both"/>
        <w:rPr>
          <w:sz w:val="24"/>
          <w:szCs w:val="24"/>
        </w:rPr>
      </w:pPr>
    </w:p>
    <w:p w:rsidR="004750E5" w:rsidRPr="00182F87" w:rsidRDefault="004750E5" w:rsidP="004750E5">
      <w:pPr>
        <w:pStyle w:val="Textonotapie"/>
        <w:rPr>
          <w:sz w:val="24"/>
          <w:szCs w:val="24"/>
        </w:rPr>
      </w:pPr>
      <w:r w:rsidRPr="00182F87">
        <w:rPr>
          <w:sz w:val="24"/>
          <w:szCs w:val="24"/>
        </w:rPr>
        <w:t xml:space="preserve">ONU y DEFENSORÍA hacen llamado para proteger y cumplir derechos de pueblos indígenas en Costa Rica. 17 de abril de 2013.  </w:t>
      </w:r>
      <w:proofErr w:type="spellStart"/>
      <w:r w:rsidRPr="00182F87">
        <w:rPr>
          <w:sz w:val="24"/>
          <w:szCs w:val="24"/>
        </w:rPr>
        <w:t>Accesar</w:t>
      </w:r>
      <w:proofErr w:type="spellEnd"/>
      <w:r w:rsidRPr="00182F87">
        <w:rPr>
          <w:sz w:val="24"/>
          <w:szCs w:val="24"/>
        </w:rPr>
        <w:t xml:space="preserve"> en: </w:t>
      </w:r>
      <w:hyperlink r:id="rId8" w:history="1">
        <w:r w:rsidRPr="00182F87">
          <w:rPr>
            <w:rStyle w:val="Hipervnculo"/>
            <w:sz w:val="24"/>
            <w:szCs w:val="24"/>
          </w:rPr>
          <w:t>http://www.cr.undp.org/content/costarica/es/home/presscenter/articles/2013/04/17/onu-y-defensor-a-hacen-llamado-para-proteger-y-cumplir-derechos-de-pueblos-ind-genas-en-costa-rica/</w:t>
        </w:r>
      </w:hyperlink>
      <w:r w:rsidRPr="00182F87">
        <w:rPr>
          <w:sz w:val="24"/>
          <w:szCs w:val="24"/>
        </w:rPr>
        <w:t xml:space="preserve">  </w:t>
      </w:r>
      <w:r w:rsidRPr="00182F87">
        <w:rPr>
          <w:rFonts w:cstheme="minorHAnsi"/>
          <w:sz w:val="24"/>
          <w:szCs w:val="24"/>
        </w:rPr>
        <w:t xml:space="preserve">  </w:t>
      </w:r>
    </w:p>
    <w:p w:rsidR="004750E5" w:rsidRPr="00182F87" w:rsidRDefault="004750E5" w:rsidP="001835BE">
      <w:pPr>
        <w:pStyle w:val="Textonotapie"/>
        <w:jc w:val="both"/>
        <w:rPr>
          <w:sz w:val="24"/>
          <w:szCs w:val="24"/>
        </w:rPr>
      </w:pPr>
    </w:p>
    <w:p w:rsidR="009A1CED" w:rsidRDefault="009A1CED" w:rsidP="009A1CED">
      <w:pPr>
        <w:pStyle w:val="Textonotapie"/>
        <w:jc w:val="both"/>
        <w:rPr>
          <w:sz w:val="24"/>
          <w:szCs w:val="24"/>
          <w:lang w:eastAsia="es-PE"/>
        </w:rPr>
      </w:pPr>
      <w:r>
        <w:rPr>
          <w:sz w:val="24"/>
          <w:szCs w:val="24"/>
          <w:lang w:eastAsia="es-PE"/>
        </w:rPr>
        <w:t xml:space="preserve">OHCHR y UNESCO, Las dimensiones del racismo.  Actas de un taller para conmemorar el fin del Tercer Decenio de la lucha contra el racismo y la discriminación, 2005.  </w:t>
      </w:r>
    </w:p>
    <w:p w:rsidR="007F61CA" w:rsidRDefault="007F61CA" w:rsidP="001835BE">
      <w:pPr>
        <w:pStyle w:val="Textonotapie"/>
        <w:jc w:val="both"/>
        <w:rPr>
          <w:sz w:val="24"/>
          <w:szCs w:val="24"/>
        </w:rPr>
      </w:pPr>
    </w:p>
    <w:p w:rsidR="007335F6" w:rsidRPr="00182F87" w:rsidRDefault="007335F6" w:rsidP="001835BE">
      <w:pPr>
        <w:pStyle w:val="Textonotapie"/>
        <w:jc w:val="both"/>
        <w:rPr>
          <w:sz w:val="24"/>
          <w:szCs w:val="24"/>
        </w:rPr>
      </w:pPr>
      <w:r w:rsidRPr="00182F87">
        <w:rPr>
          <w:sz w:val="24"/>
          <w:szCs w:val="24"/>
        </w:rPr>
        <w:t xml:space="preserve">Programa Estado de la Nación.  Decimoctavo Informe del Estado de la Nación en Desarrollo Humano Sostenible.  </w:t>
      </w:r>
    </w:p>
    <w:p w:rsidR="004750E5" w:rsidRPr="00182F87" w:rsidRDefault="004750E5" w:rsidP="001835BE">
      <w:pPr>
        <w:pStyle w:val="Textonotapie"/>
        <w:jc w:val="both"/>
        <w:rPr>
          <w:sz w:val="24"/>
          <w:szCs w:val="24"/>
        </w:rPr>
      </w:pPr>
    </w:p>
    <w:p w:rsidR="00DD6F34" w:rsidRPr="00182F87" w:rsidRDefault="00DD6F34" w:rsidP="00DD6F34">
      <w:pPr>
        <w:spacing w:after="0" w:line="240" w:lineRule="auto"/>
        <w:jc w:val="both"/>
        <w:rPr>
          <w:rFonts w:cstheme="minorHAnsi"/>
          <w:bCs/>
          <w:color w:val="000000"/>
          <w:sz w:val="24"/>
          <w:szCs w:val="24"/>
        </w:rPr>
      </w:pPr>
      <w:r w:rsidRPr="00182F87">
        <w:rPr>
          <w:rFonts w:cstheme="minorHAnsi"/>
          <w:bCs/>
          <w:color w:val="000000"/>
          <w:sz w:val="24"/>
          <w:szCs w:val="24"/>
        </w:rPr>
        <w:t xml:space="preserve">Poder Judicial.  Defensa Pública de Costa Rica. Disposiciones en materia de usuarios y usuarias indígenas. Circular 25-2009.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p>
    <w:p w:rsidR="00DD6F34" w:rsidRPr="00182F87" w:rsidRDefault="002A2119" w:rsidP="00DD6F34">
      <w:pPr>
        <w:spacing w:after="0" w:line="240" w:lineRule="auto"/>
        <w:jc w:val="both"/>
        <w:rPr>
          <w:rFonts w:cstheme="minorHAnsi"/>
          <w:bCs/>
          <w:color w:val="000000"/>
          <w:sz w:val="24"/>
          <w:szCs w:val="24"/>
        </w:rPr>
      </w:pPr>
      <w:hyperlink r:id="rId9" w:history="1">
        <w:r w:rsidR="00DD6F34" w:rsidRPr="00182F87">
          <w:rPr>
            <w:rStyle w:val="Hipervnculo"/>
            <w:rFonts w:cstheme="minorHAnsi"/>
            <w:bCs/>
            <w:sz w:val="24"/>
            <w:szCs w:val="24"/>
          </w:rPr>
          <w:t>http://www.cumbrejudicial.org/c/document_library/get_file?p_l_id=78038&amp;folderId=77960&amp;name=DLFE-3320.pdfa</w:t>
        </w:r>
      </w:hyperlink>
      <w:r w:rsidR="00DD6F34" w:rsidRPr="00182F87">
        <w:rPr>
          <w:rFonts w:cstheme="minorHAnsi"/>
          <w:bCs/>
          <w:color w:val="000000"/>
          <w:sz w:val="24"/>
          <w:szCs w:val="24"/>
        </w:rPr>
        <w:t xml:space="preserve"> </w:t>
      </w:r>
    </w:p>
    <w:p w:rsidR="00DD6F34" w:rsidRPr="00182F87" w:rsidRDefault="00DD6F34" w:rsidP="00DD6F34">
      <w:pPr>
        <w:spacing w:after="0" w:line="240" w:lineRule="auto"/>
        <w:jc w:val="both"/>
        <w:rPr>
          <w:rFonts w:cstheme="minorHAnsi"/>
          <w:bCs/>
          <w:color w:val="000000"/>
          <w:sz w:val="24"/>
          <w:szCs w:val="24"/>
        </w:rPr>
      </w:pPr>
    </w:p>
    <w:p w:rsidR="00DD6F34" w:rsidRPr="00182F87" w:rsidRDefault="00DD6F34" w:rsidP="00DD6F34">
      <w:pPr>
        <w:spacing w:after="0" w:line="240" w:lineRule="auto"/>
        <w:jc w:val="both"/>
        <w:rPr>
          <w:rFonts w:cstheme="minorHAnsi"/>
          <w:bCs/>
          <w:color w:val="000000"/>
          <w:sz w:val="24"/>
          <w:szCs w:val="24"/>
        </w:rPr>
      </w:pPr>
      <w:r w:rsidRPr="00182F87">
        <w:rPr>
          <w:rFonts w:cstheme="minorHAnsi"/>
          <w:bCs/>
          <w:color w:val="000000"/>
          <w:sz w:val="24"/>
          <w:szCs w:val="24"/>
        </w:rPr>
        <w:t xml:space="preserve">Poder Judicial.  Fiscalía de Asuntos Indígenas. Ministerio Público.  </w:t>
      </w:r>
      <w:proofErr w:type="spellStart"/>
      <w:r w:rsidRPr="00182F87">
        <w:rPr>
          <w:rFonts w:cstheme="minorHAnsi"/>
          <w:bCs/>
          <w:color w:val="000000"/>
          <w:sz w:val="24"/>
          <w:szCs w:val="24"/>
        </w:rPr>
        <w:t>Accesar</w:t>
      </w:r>
      <w:proofErr w:type="spellEnd"/>
      <w:r w:rsidRPr="00182F87">
        <w:rPr>
          <w:rFonts w:cstheme="minorHAnsi"/>
          <w:bCs/>
          <w:color w:val="000000"/>
          <w:sz w:val="24"/>
          <w:szCs w:val="24"/>
        </w:rPr>
        <w:t xml:space="preserve"> en: </w:t>
      </w:r>
      <w:hyperlink r:id="rId10" w:history="1">
        <w:r w:rsidRPr="00182F87">
          <w:rPr>
            <w:rStyle w:val="Hipervnculo"/>
            <w:rFonts w:cstheme="minorHAnsi"/>
            <w:bCs/>
            <w:sz w:val="24"/>
            <w:szCs w:val="24"/>
          </w:rPr>
          <w:t>http://ministeriopublico.poder-judicial.go.cr/victimas_testigos/poblacion_vulnerable.html</w:t>
        </w:r>
      </w:hyperlink>
    </w:p>
    <w:p w:rsidR="00DD6F34" w:rsidRPr="00182F87" w:rsidRDefault="00DD6F34" w:rsidP="00DD6F34">
      <w:pPr>
        <w:spacing w:after="0" w:line="240" w:lineRule="auto"/>
        <w:jc w:val="both"/>
        <w:rPr>
          <w:rFonts w:cstheme="minorHAnsi"/>
          <w:bCs/>
          <w:color w:val="000000"/>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Poder Judicial de  Costa Rica.  Página: Acceso a la Justicia de Poblaciones en Condición de Vulnerabilidad.  Poblaciones Indígenas.  </w:t>
      </w:r>
      <w:proofErr w:type="spellStart"/>
      <w:r w:rsidRPr="00182F87">
        <w:rPr>
          <w:rFonts w:cstheme="minorHAnsi"/>
          <w:sz w:val="24"/>
          <w:szCs w:val="24"/>
        </w:rPr>
        <w:t>Accesar</w:t>
      </w:r>
      <w:proofErr w:type="spellEnd"/>
      <w:r w:rsidRPr="00182F87">
        <w:rPr>
          <w:rFonts w:cstheme="minorHAnsi"/>
          <w:sz w:val="24"/>
          <w:szCs w:val="24"/>
        </w:rPr>
        <w:t xml:space="preserve"> en: </w:t>
      </w:r>
    </w:p>
    <w:p w:rsidR="00DD6F34" w:rsidRPr="00182F87" w:rsidRDefault="002A2119" w:rsidP="00DD6F34">
      <w:pPr>
        <w:spacing w:after="0" w:line="240" w:lineRule="auto"/>
        <w:jc w:val="both"/>
        <w:rPr>
          <w:rFonts w:cstheme="minorHAnsi"/>
          <w:sz w:val="24"/>
          <w:szCs w:val="24"/>
        </w:rPr>
      </w:pPr>
      <w:hyperlink r:id="rId11" w:history="1">
        <w:r w:rsidR="00DD6F34" w:rsidRPr="00182F87">
          <w:rPr>
            <w:rStyle w:val="Hipervnculo"/>
            <w:rFonts w:cstheme="minorHAnsi"/>
            <w:sz w:val="24"/>
            <w:szCs w:val="24"/>
          </w:rPr>
          <w:t>http://200.91.68.19:81/cumbre/index.php?option=com_content&amp;view=article&amp;id=45&amp;Itemid=41</w:t>
        </w:r>
      </w:hyperlink>
      <w:r w:rsidR="00DD6F34" w:rsidRPr="00182F87">
        <w:rPr>
          <w:sz w:val="24"/>
          <w:szCs w:val="24"/>
        </w:rPr>
        <w:t xml:space="preserve">  </w:t>
      </w:r>
      <w:r w:rsidR="00DD6F34" w:rsidRPr="00182F87">
        <w:rPr>
          <w:rFonts w:cstheme="minorHAnsi"/>
          <w:sz w:val="24"/>
          <w:szCs w:val="24"/>
        </w:rPr>
        <w:t>Contiene: Jurisprudencia; Directrices; Circulares; Actas</w:t>
      </w:r>
    </w:p>
    <w:p w:rsidR="00DD6F34" w:rsidRPr="00182F87" w:rsidRDefault="00DD6F34" w:rsidP="00DD6F34">
      <w:pPr>
        <w:spacing w:after="0" w:line="240" w:lineRule="auto"/>
        <w:jc w:val="both"/>
        <w:rPr>
          <w:rFonts w:cstheme="minorHAnsi"/>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Poder Judicial de Costa Rica.  Página: Comisión Acceso a la Justicia Población Indígena.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12" w:history="1">
        <w:r w:rsidRPr="00182F87">
          <w:rPr>
            <w:rStyle w:val="Hipervnculo"/>
            <w:rFonts w:cstheme="minorHAnsi"/>
            <w:sz w:val="24"/>
            <w:szCs w:val="24"/>
          </w:rPr>
          <w:t>http://www.poder-judicial.go.cr/indigenas/</w:t>
        </w:r>
      </w:hyperlink>
    </w:p>
    <w:p w:rsidR="00DD6F34" w:rsidRPr="00182F87" w:rsidRDefault="00DD6F34" w:rsidP="00DD6F34">
      <w:pPr>
        <w:spacing w:after="0" w:line="240" w:lineRule="auto"/>
        <w:jc w:val="both"/>
        <w:rPr>
          <w:rFonts w:cstheme="minorHAnsi"/>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Poder Judicial de Costa Rica.  Escuela Judicial.  Reglas de Brasilia sobre Acceso a la Justicia de las personas en condición de vulnerabilidad.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13" w:history="1">
        <w:r w:rsidRPr="00182F87">
          <w:rPr>
            <w:rStyle w:val="Hipervnculo"/>
            <w:rFonts w:cstheme="minorHAnsi"/>
            <w:sz w:val="24"/>
            <w:szCs w:val="24"/>
          </w:rPr>
          <w:t>http://www.escuelajudicial.ac.cr/reglasdebrasilia/presentacion.htm</w:t>
        </w:r>
      </w:hyperlink>
    </w:p>
    <w:p w:rsidR="00DD6F34" w:rsidRPr="00182F87" w:rsidRDefault="00DD6F34" w:rsidP="00DD6F34">
      <w:pPr>
        <w:spacing w:after="0" w:line="240" w:lineRule="auto"/>
        <w:jc w:val="both"/>
        <w:rPr>
          <w:rFonts w:cstheme="minorHAnsi"/>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lastRenderedPageBreak/>
        <w:t xml:space="preserve">Poder Judicial de Costa Rica.  Escuela Judicial.  Disco multimedia sobre Reglas de Brasilia sobre acceso a la justicia de las personas en condición de vulnerabilidad.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14" w:history="1">
        <w:r w:rsidRPr="00182F87">
          <w:rPr>
            <w:rStyle w:val="Hipervnculo"/>
            <w:rFonts w:cstheme="minorHAnsi"/>
            <w:sz w:val="24"/>
            <w:szCs w:val="24"/>
          </w:rPr>
          <w:t>http://www.escuelajudicial.ac.cr/reglasdebrasilia/</w:t>
        </w:r>
      </w:hyperlink>
    </w:p>
    <w:p w:rsidR="00DD6F34" w:rsidRPr="00182F87" w:rsidRDefault="00DD6F34" w:rsidP="00DD6F34">
      <w:pPr>
        <w:spacing w:after="0" w:line="240" w:lineRule="auto"/>
        <w:jc w:val="both"/>
        <w:rPr>
          <w:rFonts w:cstheme="minorHAnsi"/>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 Poder Judicial de Costa Rica.  Escuela Judicial.  Plan de capacitación 2014 (Curso Aplicación práctica de las reglas de Brasilia).</w:t>
      </w: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 </w:t>
      </w:r>
      <w:hyperlink r:id="rId15" w:history="1">
        <w:r w:rsidRPr="00182F87">
          <w:rPr>
            <w:rStyle w:val="Hipervnculo"/>
            <w:rFonts w:cstheme="minorHAnsi"/>
            <w:sz w:val="24"/>
            <w:szCs w:val="24"/>
          </w:rPr>
          <w:t>http://sitios.poder-judicial.go.cr/escuelajudicial/Descargas/Plan_capacitacion_2014.pdf</w:t>
        </w:r>
      </w:hyperlink>
    </w:p>
    <w:p w:rsidR="00DD6F34" w:rsidRPr="00182F87" w:rsidRDefault="00DD6F34" w:rsidP="00DD6F34">
      <w:pPr>
        <w:spacing w:after="0" w:line="240" w:lineRule="auto"/>
        <w:jc w:val="both"/>
        <w:rPr>
          <w:rFonts w:cstheme="minorHAnsi"/>
          <w:sz w:val="24"/>
          <w:szCs w:val="24"/>
        </w:rPr>
      </w:pPr>
    </w:p>
    <w:p w:rsidR="00DD6F34" w:rsidRPr="00182F87" w:rsidRDefault="00DD6F34" w:rsidP="00DD6F34">
      <w:pPr>
        <w:spacing w:after="0" w:line="240" w:lineRule="auto"/>
        <w:jc w:val="both"/>
        <w:rPr>
          <w:rFonts w:cstheme="minorHAnsi"/>
          <w:sz w:val="24"/>
          <w:szCs w:val="24"/>
        </w:rPr>
      </w:pPr>
      <w:r w:rsidRPr="00182F87">
        <w:rPr>
          <w:rFonts w:cstheme="minorHAnsi"/>
          <w:sz w:val="24"/>
          <w:szCs w:val="24"/>
        </w:rPr>
        <w:t xml:space="preserve">Poder Judicial. CONAMAJ.   Reglas de Brasilia sobre acceso a la justicia de las personas en condición de vulnerabilidad.  San José, Costa Rica: CONAMAJ, 2013.  </w:t>
      </w:r>
      <w:proofErr w:type="spellStart"/>
      <w:r w:rsidRPr="00182F87">
        <w:rPr>
          <w:rFonts w:cstheme="minorHAnsi"/>
          <w:sz w:val="24"/>
          <w:szCs w:val="24"/>
        </w:rPr>
        <w:t>Accesar</w:t>
      </w:r>
      <w:proofErr w:type="spellEnd"/>
      <w:r w:rsidRPr="00182F87">
        <w:rPr>
          <w:rFonts w:cstheme="minorHAnsi"/>
          <w:sz w:val="24"/>
          <w:szCs w:val="24"/>
        </w:rPr>
        <w:t xml:space="preserve"> en: </w:t>
      </w:r>
      <w:hyperlink r:id="rId16" w:history="1">
        <w:r w:rsidRPr="00182F87">
          <w:rPr>
            <w:rStyle w:val="Hipervnculo"/>
            <w:rFonts w:cstheme="minorHAnsi"/>
            <w:sz w:val="24"/>
            <w:szCs w:val="24"/>
          </w:rPr>
          <w:t>http://www.conamaj.go.cr/images/libros/pdf/036.pdf</w:t>
        </w:r>
      </w:hyperlink>
    </w:p>
    <w:p w:rsidR="00DD6F34" w:rsidRPr="00182F87" w:rsidRDefault="00DD6F34" w:rsidP="001835BE">
      <w:pPr>
        <w:pStyle w:val="Textonotapie"/>
        <w:jc w:val="both"/>
        <w:rPr>
          <w:sz w:val="24"/>
          <w:szCs w:val="24"/>
        </w:rPr>
      </w:pPr>
    </w:p>
    <w:p w:rsidR="00182F87" w:rsidRPr="00182F87" w:rsidRDefault="00182F87" w:rsidP="00182F87">
      <w:pPr>
        <w:pStyle w:val="Textonotapie"/>
        <w:jc w:val="both"/>
        <w:rPr>
          <w:sz w:val="24"/>
          <w:szCs w:val="24"/>
        </w:rPr>
      </w:pPr>
    </w:p>
    <w:p w:rsidR="00182F87" w:rsidRPr="00182F87" w:rsidRDefault="00182F87" w:rsidP="00182F87">
      <w:pPr>
        <w:pStyle w:val="Textonotapie"/>
        <w:jc w:val="both"/>
        <w:rPr>
          <w:sz w:val="24"/>
          <w:szCs w:val="24"/>
        </w:rPr>
      </w:pPr>
      <w:r w:rsidRPr="00182F87">
        <w:rPr>
          <w:sz w:val="24"/>
          <w:szCs w:val="24"/>
        </w:rPr>
        <w:t>PNUD, Informe nacional sobre desarrollo humano 2013.  Aprendiendo a vivir juntos: Convivencia y desarrollo humano en  Costa Rica.   San José, C.R.</w:t>
      </w:r>
      <w:proofErr w:type="gramStart"/>
      <w:r w:rsidRPr="00182F87">
        <w:rPr>
          <w:sz w:val="24"/>
          <w:szCs w:val="24"/>
        </w:rPr>
        <w:t>:,</w:t>
      </w:r>
      <w:proofErr w:type="gramEnd"/>
      <w:r w:rsidRPr="00182F87">
        <w:rPr>
          <w:sz w:val="24"/>
          <w:szCs w:val="24"/>
        </w:rPr>
        <w:t xml:space="preserve"> 2013. </w:t>
      </w:r>
    </w:p>
    <w:p w:rsidR="00182F87" w:rsidRPr="00182F87" w:rsidRDefault="00182F87" w:rsidP="001835BE">
      <w:pPr>
        <w:pStyle w:val="Textonotapie"/>
        <w:jc w:val="both"/>
        <w:rPr>
          <w:sz w:val="24"/>
          <w:szCs w:val="24"/>
        </w:rPr>
      </w:pPr>
    </w:p>
    <w:p w:rsidR="00182F87" w:rsidRPr="00182F87" w:rsidRDefault="00182F87" w:rsidP="00182F87">
      <w:pPr>
        <w:pStyle w:val="Textonotapie"/>
        <w:jc w:val="both"/>
        <w:rPr>
          <w:rFonts w:cs="ZurichBT-RomanCondensed"/>
          <w:sz w:val="24"/>
          <w:szCs w:val="24"/>
          <w:lang w:eastAsia="es-PA"/>
        </w:rPr>
      </w:pPr>
      <w:r w:rsidRPr="00182F87">
        <w:rPr>
          <w:rFonts w:cs="ZurichBT-RomanCondensed"/>
          <w:sz w:val="24"/>
          <w:szCs w:val="24"/>
          <w:lang w:eastAsia="es-PA"/>
        </w:rPr>
        <w:t>Recomendación General Nº 23 del Comité para la Eliminación de la Discriminación Racial, Alto Comisionado de las Naciones Unidas para los Derechos Humanos en Centro América. S.F.</w:t>
      </w:r>
    </w:p>
    <w:p w:rsidR="00182F87" w:rsidRPr="00182F87" w:rsidRDefault="00182F87" w:rsidP="001835BE">
      <w:pPr>
        <w:pStyle w:val="Textonotapie"/>
        <w:jc w:val="both"/>
        <w:rPr>
          <w:sz w:val="24"/>
          <w:szCs w:val="24"/>
        </w:rPr>
      </w:pPr>
    </w:p>
    <w:p w:rsidR="004750E5" w:rsidRPr="00182F87" w:rsidRDefault="004750E5" w:rsidP="004750E5">
      <w:pPr>
        <w:pStyle w:val="Textonotapie"/>
        <w:jc w:val="both"/>
        <w:rPr>
          <w:sz w:val="24"/>
          <w:szCs w:val="24"/>
        </w:rPr>
      </w:pPr>
      <w:r w:rsidRPr="00182F87">
        <w:rPr>
          <w:rFonts w:eastAsia="Times New Roman" w:cstheme="minorHAnsi"/>
          <w:spacing w:val="-1"/>
          <w:sz w:val="24"/>
          <w:szCs w:val="24"/>
        </w:rPr>
        <w:t>R</w:t>
      </w:r>
      <w:r w:rsidRPr="00182F87">
        <w:rPr>
          <w:rFonts w:eastAsia="Times New Roman" w:cstheme="minorHAnsi"/>
          <w:spacing w:val="1"/>
          <w:sz w:val="24"/>
          <w:szCs w:val="24"/>
        </w:rPr>
        <w:t>eco</w:t>
      </w:r>
      <w:r w:rsidRPr="00182F87">
        <w:rPr>
          <w:rFonts w:eastAsia="Times New Roman" w:cstheme="minorHAnsi"/>
          <w:spacing w:val="-3"/>
          <w:sz w:val="24"/>
          <w:szCs w:val="24"/>
        </w:rPr>
        <w:t>p</w:t>
      </w:r>
      <w:r w:rsidRPr="00182F87">
        <w:rPr>
          <w:rFonts w:eastAsia="Times New Roman" w:cstheme="minorHAnsi"/>
          <w:spacing w:val="1"/>
          <w:sz w:val="24"/>
          <w:szCs w:val="24"/>
        </w:rPr>
        <w:t>i</w:t>
      </w:r>
      <w:r w:rsidRPr="00182F87">
        <w:rPr>
          <w:rFonts w:eastAsia="Times New Roman" w:cstheme="minorHAnsi"/>
          <w:spacing w:val="-1"/>
          <w:sz w:val="24"/>
          <w:szCs w:val="24"/>
        </w:rPr>
        <w:t>l</w:t>
      </w:r>
      <w:r w:rsidRPr="00182F87">
        <w:rPr>
          <w:rFonts w:eastAsia="Times New Roman" w:cstheme="minorHAnsi"/>
          <w:spacing w:val="1"/>
          <w:sz w:val="24"/>
          <w:szCs w:val="24"/>
        </w:rPr>
        <w:t>a</w:t>
      </w:r>
      <w:r w:rsidRPr="00182F87">
        <w:rPr>
          <w:rFonts w:eastAsia="Times New Roman" w:cstheme="minorHAnsi"/>
          <w:spacing w:val="-2"/>
          <w:sz w:val="24"/>
          <w:szCs w:val="24"/>
        </w:rPr>
        <w:t>c</w:t>
      </w:r>
      <w:r w:rsidRPr="00182F87">
        <w:rPr>
          <w:rFonts w:eastAsia="Times New Roman" w:cstheme="minorHAnsi"/>
          <w:spacing w:val="1"/>
          <w:sz w:val="24"/>
          <w:szCs w:val="24"/>
        </w:rPr>
        <w:t>ió</w:t>
      </w:r>
      <w:r w:rsidRPr="00182F87">
        <w:rPr>
          <w:rFonts w:eastAsia="Times New Roman" w:cstheme="minorHAnsi"/>
          <w:sz w:val="24"/>
          <w:szCs w:val="24"/>
        </w:rPr>
        <w:t xml:space="preserve">n </w:t>
      </w:r>
      <w:r w:rsidRPr="00182F87">
        <w:rPr>
          <w:rFonts w:eastAsia="Times New Roman" w:cstheme="minorHAnsi"/>
          <w:spacing w:val="1"/>
          <w:sz w:val="24"/>
          <w:szCs w:val="24"/>
        </w:rPr>
        <w:t>p</w:t>
      </w:r>
      <w:r w:rsidRPr="00182F87">
        <w:rPr>
          <w:rFonts w:eastAsia="Times New Roman" w:cstheme="minorHAnsi"/>
          <w:spacing w:val="-2"/>
          <w:sz w:val="24"/>
          <w:szCs w:val="24"/>
        </w:rPr>
        <w:t>r</w:t>
      </w:r>
      <w:r w:rsidRPr="00182F87">
        <w:rPr>
          <w:rFonts w:eastAsia="Times New Roman" w:cstheme="minorHAnsi"/>
          <w:spacing w:val="1"/>
          <w:sz w:val="24"/>
          <w:szCs w:val="24"/>
        </w:rPr>
        <w:t>ep</w:t>
      </w:r>
      <w:r w:rsidRPr="00182F87">
        <w:rPr>
          <w:rFonts w:eastAsia="Times New Roman" w:cstheme="minorHAnsi"/>
          <w:spacing w:val="-1"/>
          <w:sz w:val="24"/>
          <w:szCs w:val="24"/>
        </w:rPr>
        <w:t>a</w:t>
      </w:r>
      <w:r w:rsidRPr="00182F87">
        <w:rPr>
          <w:rFonts w:eastAsia="Times New Roman" w:cstheme="minorHAnsi"/>
          <w:spacing w:val="-2"/>
          <w:sz w:val="24"/>
          <w:szCs w:val="24"/>
        </w:rPr>
        <w:t>r</w:t>
      </w:r>
      <w:r w:rsidRPr="00182F87">
        <w:rPr>
          <w:rFonts w:eastAsia="Times New Roman" w:cstheme="minorHAnsi"/>
          <w:spacing w:val="1"/>
          <w:sz w:val="24"/>
          <w:szCs w:val="24"/>
        </w:rPr>
        <w:t>ad</w:t>
      </w:r>
      <w:r w:rsidRPr="00182F87">
        <w:rPr>
          <w:rFonts w:eastAsia="Times New Roman" w:cstheme="minorHAnsi"/>
          <w:sz w:val="24"/>
          <w:szCs w:val="24"/>
        </w:rPr>
        <w:t xml:space="preserve">a </w:t>
      </w:r>
      <w:r w:rsidRPr="00182F87">
        <w:rPr>
          <w:rFonts w:eastAsia="Times New Roman" w:cstheme="minorHAnsi"/>
          <w:spacing w:val="-3"/>
          <w:sz w:val="24"/>
          <w:szCs w:val="24"/>
        </w:rPr>
        <w:t>p</w:t>
      </w:r>
      <w:r w:rsidRPr="00182F87">
        <w:rPr>
          <w:rFonts w:eastAsia="Times New Roman" w:cstheme="minorHAnsi"/>
          <w:spacing w:val="1"/>
          <w:sz w:val="24"/>
          <w:szCs w:val="24"/>
        </w:rPr>
        <w:t>o</w:t>
      </w:r>
      <w:r w:rsidRPr="00182F87">
        <w:rPr>
          <w:rFonts w:eastAsia="Times New Roman" w:cstheme="minorHAnsi"/>
          <w:sz w:val="24"/>
          <w:szCs w:val="24"/>
        </w:rPr>
        <w:t>r</w:t>
      </w:r>
      <w:r w:rsidRPr="00182F87">
        <w:rPr>
          <w:rFonts w:eastAsia="Times New Roman" w:cstheme="minorHAnsi"/>
          <w:spacing w:val="-2"/>
          <w:sz w:val="24"/>
          <w:szCs w:val="24"/>
        </w:rPr>
        <w:t xml:space="preserve"> </w:t>
      </w:r>
      <w:r w:rsidRPr="00182F87">
        <w:rPr>
          <w:rFonts w:eastAsia="Times New Roman" w:cstheme="minorHAnsi"/>
          <w:spacing w:val="1"/>
          <w:sz w:val="24"/>
          <w:szCs w:val="24"/>
        </w:rPr>
        <w:t>l</w:t>
      </w:r>
      <w:r w:rsidRPr="00182F87">
        <w:rPr>
          <w:rFonts w:eastAsia="Times New Roman" w:cstheme="minorHAnsi"/>
          <w:sz w:val="24"/>
          <w:szCs w:val="24"/>
        </w:rPr>
        <w:t xml:space="preserve">a </w:t>
      </w:r>
      <w:r w:rsidRPr="00182F87">
        <w:rPr>
          <w:rFonts w:eastAsia="Times New Roman" w:cstheme="minorHAnsi"/>
          <w:spacing w:val="-2"/>
          <w:sz w:val="24"/>
          <w:szCs w:val="24"/>
        </w:rPr>
        <w:t>O</w:t>
      </w:r>
      <w:r w:rsidRPr="00182F87">
        <w:rPr>
          <w:rFonts w:eastAsia="Times New Roman" w:cstheme="minorHAnsi"/>
          <w:sz w:val="24"/>
          <w:szCs w:val="24"/>
        </w:rPr>
        <w:t>f</w:t>
      </w:r>
      <w:r w:rsidRPr="00182F87">
        <w:rPr>
          <w:rFonts w:eastAsia="Times New Roman" w:cstheme="minorHAnsi"/>
          <w:spacing w:val="1"/>
          <w:sz w:val="24"/>
          <w:szCs w:val="24"/>
        </w:rPr>
        <w:t>i</w:t>
      </w:r>
      <w:r w:rsidRPr="00182F87">
        <w:rPr>
          <w:rFonts w:eastAsia="Times New Roman" w:cstheme="minorHAnsi"/>
          <w:spacing w:val="-2"/>
          <w:sz w:val="24"/>
          <w:szCs w:val="24"/>
        </w:rPr>
        <w:t>c</w:t>
      </w:r>
      <w:r w:rsidRPr="00182F87">
        <w:rPr>
          <w:rFonts w:eastAsia="Times New Roman" w:cstheme="minorHAnsi"/>
          <w:spacing w:val="1"/>
          <w:sz w:val="24"/>
          <w:szCs w:val="24"/>
        </w:rPr>
        <w:t>i</w:t>
      </w:r>
      <w:r w:rsidRPr="00182F87">
        <w:rPr>
          <w:rFonts w:eastAsia="Times New Roman" w:cstheme="minorHAnsi"/>
          <w:spacing w:val="-3"/>
          <w:sz w:val="24"/>
          <w:szCs w:val="24"/>
        </w:rPr>
        <w:t>n</w:t>
      </w:r>
      <w:r w:rsidRPr="00182F87">
        <w:rPr>
          <w:rFonts w:eastAsia="Times New Roman" w:cstheme="minorHAnsi"/>
          <w:sz w:val="24"/>
          <w:szCs w:val="24"/>
        </w:rPr>
        <w:t xml:space="preserve">a </w:t>
      </w:r>
      <w:r w:rsidRPr="00182F87">
        <w:rPr>
          <w:rFonts w:eastAsia="Times New Roman" w:cstheme="minorHAnsi"/>
          <w:spacing w:val="-3"/>
          <w:sz w:val="24"/>
          <w:szCs w:val="24"/>
        </w:rPr>
        <w:t>d</w:t>
      </w:r>
      <w:r w:rsidRPr="00182F87">
        <w:rPr>
          <w:rFonts w:eastAsia="Times New Roman" w:cstheme="minorHAnsi"/>
          <w:sz w:val="24"/>
          <w:szCs w:val="24"/>
        </w:rPr>
        <w:t xml:space="preserve">el </w:t>
      </w:r>
      <w:r w:rsidRPr="00182F87">
        <w:rPr>
          <w:rFonts w:eastAsia="Times New Roman" w:cstheme="minorHAnsi"/>
          <w:spacing w:val="-1"/>
          <w:sz w:val="24"/>
          <w:szCs w:val="24"/>
        </w:rPr>
        <w:t>A</w:t>
      </w:r>
      <w:r w:rsidRPr="00182F87">
        <w:rPr>
          <w:rFonts w:eastAsia="Times New Roman" w:cstheme="minorHAnsi"/>
          <w:spacing w:val="1"/>
          <w:sz w:val="24"/>
          <w:szCs w:val="24"/>
        </w:rPr>
        <w:t>l</w:t>
      </w:r>
      <w:r w:rsidRPr="00182F87">
        <w:rPr>
          <w:rFonts w:eastAsia="Times New Roman" w:cstheme="minorHAnsi"/>
          <w:spacing w:val="-2"/>
          <w:sz w:val="24"/>
          <w:szCs w:val="24"/>
        </w:rPr>
        <w:t>t</w:t>
      </w:r>
      <w:r w:rsidRPr="00182F87">
        <w:rPr>
          <w:rFonts w:eastAsia="Times New Roman" w:cstheme="minorHAnsi"/>
          <w:sz w:val="24"/>
          <w:szCs w:val="24"/>
        </w:rPr>
        <w:t>o</w:t>
      </w:r>
      <w:r w:rsidRPr="00182F87">
        <w:rPr>
          <w:rFonts w:eastAsia="Times New Roman" w:cstheme="minorHAnsi"/>
          <w:spacing w:val="1"/>
          <w:sz w:val="24"/>
          <w:szCs w:val="24"/>
        </w:rPr>
        <w:t xml:space="preserve"> </w:t>
      </w:r>
      <w:r w:rsidRPr="00182F87">
        <w:rPr>
          <w:rFonts w:eastAsia="Times New Roman" w:cstheme="minorHAnsi"/>
          <w:spacing w:val="-1"/>
          <w:sz w:val="24"/>
          <w:szCs w:val="24"/>
        </w:rPr>
        <w:t>C</w:t>
      </w:r>
      <w:r w:rsidRPr="00182F87">
        <w:rPr>
          <w:rFonts w:eastAsia="Times New Roman" w:cstheme="minorHAnsi"/>
          <w:spacing w:val="1"/>
          <w:sz w:val="24"/>
          <w:szCs w:val="24"/>
        </w:rPr>
        <w:t>o</w:t>
      </w:r>
      <w:r w:rsidRPr="00182F87">
        <w:rPr>
          <w:rFonts w:eastAsia="Times New Roman" w:cstheme="minorHAnsi"/>
          <w:spacing w:val="-4"/>
          <w:sz w:val="24"/>
          <w:szCs w:val="24"/>
        </w:rPr>
        <w:t>m</w:t>
      </w:r>
      <w:r w:rsidRPr="00182F87">
        <w:rPr>
          <w:rFonts w:eastAsia="Times New Roman" w:cstheme="minorHAnsi"/>
          <w:spacing w:val="1"/>
          <w:sz w:val="24"/>
          <w:szCs w:val="24"/>
        </w:rPr>
        <w:t>i</w:t>
      </w:r>
      <w:r w:rsidRPr="00182F87">
        <w:rPr>
          <w:rFonts w:eastAsia="Times New Roman" w:cstheme="minorHAnsi"/>
          <w:spacing w:val="-1"/>
          <w:sz w:val="24"/>
          <w:szCs w:val="24"/>
        </w:rPr>
        <w:t>s</w:t>
      </w:r>
      <w:r w:rsidRPr="00182F87">
        <w:rPr>
          <w:rFonts w:eastAsia="Times New Roman" w:cstheme="minorHAnsi"/>
          <w:spacing w:val="1"/>
          <w:sz w:val="24"/>
          <w:szCs w:val="24"/>
        </w:rPr>
        <w:t>io</w:t>
      </w:r>
      <w:r w:rsidRPr="00182F87">
        <w:rPr>
          <w:rFonts w:eastAsia="Times New Roman" w:cstheme="minorHAnsi"/>
          <w:spacing w:val="-3"/>
          <w:sz w:val="24"/>
          <w:szCs w:val="24"/>
        </w:rPr>
        <w:t>n</w:t>
      </w:r>
      <w:r w:rsidRPr="00182F87">
        <w:rPr>
          <w:rFonts w:eastAsia="Times New Roman" w:cstheme="minorHAnsi"/>
          <w:spacing w:val="1"/>
          <w:sz w:val="24"/>
          <w:szCs w:val="24"/>
        </w:rPr>
        <w:t>a</w:t>
      </w:r>
      <w:r w:rsidRPr="00182F87">
        <w:rPr>
          <w:rFonts w:eastAsia="Times New Roman" w:cstheme="minorHAnsi"/>
          <w:spacing w:val="-3"/>
          <w:sz w:val="24"/>
          <w:szCs w:val="24"/>
        </w:rPr>
        <w:t>d</w:t>
      </w:r>
      <w:r w:rsidRPr="00182F87">
        <w:rPr>
          <w:rFonts w:eastAsia="Times New Roman" w:cstheme="minorHAnsi"/>
          <w:sz w:val="24"/>
          <w:szCs w:val="24"/>
        </w:rPr>
        <w:t>o de las ac</w:t>
      </w:r>
      <w:r w:rsidRPr="00182F87">
        <w:rPr>
          <w:rFonts w:eastAsia="Times New Roman" w:cstheme="minorHAnsi"/>
          <w:spacing w:val="-2"/>
          <w:sz w:val="24"/>
          <w:szCs w:val="24"/>
        </w:rPr>
        <w:t>c</w:t>
      </w:r>
      <w:r w:rsidRPr="00182F87">
        <w:rPr>
          <w:rFonts w:eastAsia="Times New Roman" w:cstheme="minorHAnsi"/>
          <w:spacing w:val="-1"/>
          <w:sz w:val="24"/>
          <w:szCs w:val="24"/>
        </w:rPr>
        <w:t>i</w:t>
      </w:r>
      <w:r w:rsidRPr="00182F87">
        <w:rPr>
          <w:rFonts w:eastAsia="Times New Roman" w:cstheme="minorHAnsi"/>
          <w:sz w:val="24"/>
          <w:szCs w:val="24"/>
        </w:rPr>
        <w:t>on</w:t>
      </w:r>
      <w:r w:rsidRPr="00182F87">
        <w:rPr>
          <w:rFonts w:eastAsia="Times New Roman" w:cstheme="minorHAnsi"/>
          <w:spacing w:val="-2"/>
          <w:sz w:val="24"/>
          <w:szCs w:val="24"/>
        </w:rPr>
        <w:t>e</w:t>
      </w:r>
      <w:r w:rsidRPr="00182F87">
        <w:rPr>
          <w:rFonts w:eastAsia="Times New Roman" w:cstheme="minorHAnsi"/>
          <w:sz w:val="24"/>
          <w:szCs w:val="24"/>
        </w:rPr>
        <w:t xml:space="preserve">s Unidas </w:t>
      </w:r>
      <w:r w:rsidRPr="00182F87">
        <w:rPr>
          <w:rFonts w:eastAsia="Times New Roman" w:cstheme="minorHAnsi"/>
          <w:spacing w:val="-3"/>
          <w:sz w:val="24"/>
          <w:szCs w:val="24"/>
        </w:rPr>
        <w:t>p</w:t>
      </w:r>
      <w:r w:rsidRPr="00182F87">
        <w:rPr>
          <w:rFonts w:eastAsia="Times New Roman" w:cstheme="minorHAnsi"/>
          <w:spacing w:val="1"/>
          <w:sz w:val="24"/>
          <w:szCs w:val="24"/>
        </w:rPr>
        <w:t>a</w:t>
      </w:r>
      <w:r w:rsidRPr="00182F87">
        <w:rPr>
          <w:rFonts w:eastAsia="Times New Roman" w:cstheme="minorHAnsi"/>
          <w:spacing w:val="-2"/>
          <w:sz w:val="24"/>
          <w:szCs w:val="24"/>
        </w:rPr>
        <w:t>r</w:t>
      </w:r>
      <w:r w:rsidRPr="00182F87">
        <w:rPr>
          <w:rFonts w:eastAsia="Times New Roman" w:cstheme="minorHAnsi"/>
          <w:sz w:val="24"/>
          <w:szCs w:val="24"/>
        </w:rPr>
        <w:t>a</w:t>
      </w:r>
      <w:r w:rsidRPr="00182F87">
        <w:rPr>
          <w:rFonts w:eastAsia="Times New Roman" w:cstheme="minorHAnsi"/>
          <w:spacing w:val="1"/>
          <w:sz w:val="24"/>
          <w:szCs w:val="24"/>
        </w:rPr>
        <w:t xml:space="preserve"> </w:t>
      </w:r>
      <w:r w:rsidRPr="00182F87">
        <w:rPr>
          <w:rFonts w:eastAsia="Times New Roman" w:cstheme="minorHAnsi"/>
          <w:sz w:val="24"/>
          <w:szCs w:val="24"/>
        </w:rPr>
        <w:t>los Derec</w:t>
      </w:r>
      <w:r w:rsidRPr="00182F87">
        <w:rPr>
          <w:rFonts w:eastAsia="Times New Roman" w:cstheme="minorHAnsi"/>
          <w:spacing w:val="-2"/>
          <w:sz w:val="24"/>
          <w:szCs w:val="24"/>
        </w:rPr>
        <w:t>h</w:t>
      </w:r>
      <w:r w:rsidRPr="00182F87">
        <w:rPr>
          <w:rFonts w:eastAsia="Times New Roman" w:cstheme="minorHAnsi"/>
          <w:sz w:val="24"/>
          <w:szCs w:val="24"/>
        </w:rPr>
        <w:t>os Hu</w:t>
      </w:r>
      <w:r w:rsidRPr="00182F87">
        <w:rPr>
          <w:rFonts w:eastAsia="Times New Roman" w:cstheme="minorHAnsi"/>
          <w:spacing w:val="-4"/>
          <w:sz w:val="24"/>
          <w:szCs w:val="24"/>
        </w:rPr>
        <w:t>m</w:t>
      </w:r>
      <w:r w:rsidRPr="00182F87">
        <w:rPr>
          <w:rFonts w:eastAsia="Times New Roman" w:cstheme="minorHAnsi"/>
          <w:spacing w:val="1"/>
          <w:sz w:val="24"/>
          <w:szCs w:val="24"/>
        </w:rPr>
        <w:t>a</w:t>
      </w:r>
      <w:r w:rsidRPr="00182F87">
        <w:rPr>
          <w:rFonts w:eastAsia="Times New Roman" w:cstheme="minorHAnsi"/>
          <w:spacing w:val="-3"/>
          <w:sz w:val="24"/>
          <w:szCs w:val="24"/>
        </w:rPr>
        <w:t>n</w:t>
      </w:r>
      <w:r w:rsidRPr="00182F87">
        <w:rPr>
          <w:rFonts w:eastAsia="Times New Roman" w:cstheme="minorHAnsi"/>
          <w:spacing w:val="1"/>
          <w:sz w:val="24"/>
          <w:szCs w:val="24"/>
        </w:rPr>
        <w:t>o</w:t>
      </w:r>
      <w:r w:rsidRPr="00182F87">
        <w:rPr>
          <w:rFonts w:eastAsia="Times New Roman" w:cstheme="minorHAnsi"/>
          <w:sz w:val="24"/>
          <w:szCs w:val="24"/>
        </w:rPr>
        <w:t xml:space="preserve">s </w:t>
      </w:r>
      <w:r w:rsidRPr="00182F87">
        <w:rPr>
          <w:rFonts w:eastAsia="Times New Roman" w:cstheme="minorHAnsi"/>
          <w:spacing w:val="-2"/>
          <w:sz w:val="24"/>
          <w:szCs w:val="24"/>
        </w:rPr>
        <w:t>c</w:t>
      </w:r>
      <w:r w:rsidRPr="00182F87">
        <w:rPr>
          <w:rFonts w:eastAsia="Times New Roman" w:cstheme="minorHAnsi"/>
          <w:spacing w:val="1"/>
          <w:sz w:val="24"/>
          <w:szCs w:val="24"/>
        </w:rPr>
        <w:t>o</w:t>
      </w:r>
      <w:r w:rsidRPr="00182F87">
        <w:rPr>
          <w:rFonts w:eastAsia="Times New Roman" w:cstheme="minorHAnsi"/>
          <w:sz w:val="24"/>
          <w:szCs w:val="24"/>
        </w:rPr>
        <w:t xml:space="preserve">n </w:t>
      </w:r>
      <w:r w:rsidRPr="00182F87">
        <w:rPr>
          <w:rFonts w:eastAsia="Times New Roman" w:cstheme="minorHAnsi"/>
          <w:spacing w:val="1"/>
          <w:sz w:val="24"/>
          <w:szCs w:val="24"/>
        </w:rPr>
        <w:t>arr</w:t>
      </w:r>
      <w:r w:rsidRPr="00182F87">
        <w:rPr>
          <w:rFonts w:eastAsia="Times New Roman" w:cstheme="minorHAnsi"/>
          <w:spacing w:val="-2"/>
          <w:sz w:val="24"/>
          <w:szCs w:val="24"/>
        </w:rPr>
        <w:t>e</w:t>
      </w:r>
      <w:r w:rsidRPr="00182F87">
        <w:rPr>
          <w:rFonts w:eastAsia="Times New Roman" w:cstheme="minorHAnsi"/>
          <w:spacing w:val="-1"/>
          <w:sz w:val="24"/>
          <w:szCs w:val="24"/>
        </w:rPr>
        <w:t>g</w:t>
      </w:r>
      <w:r w:rsidRPr="00182F87">
        <w:rPr>
          <w:rFonts w:eastAsia="Times New Roman" w:cstheme="minorHAnsi"/>
          <w:spacing w:val="1"/>
          <w:sz w:val="24"/>
          <w:szCs w:val="24"/>
        </w:rPr>
        <w:t>l</w:t>
      </w:r>
      <w:r w:rsidRPr="00182F87">
        <w:rPr>
          <w:rFonts w:eastAsia="Times New Roman" w:cstheme="minorHAnsi"/>
          <w:sz w:val="24"/>
          <w:szCs w:val="24"/>
        </w:rPr>
        <w:t>o</w:t>
      </w:r>
      <w:r w:rsidRPr="00182F87">
        <w:rPr>
          <w:rFonts w:eastAsia="Times New Roman" w:cstheme="minorHAnsi"/>
          <w:spacing w:val="-2"/>
          <w:sz w:val="24"/>
          <w:szCs w:val="24"/>
        </w:rPr>
        <w:t xml:space="preserve"> </w:t>
      </w:r>
      <w:r w:rsidRPr="00182F87">
        <w:rPr>
          <w:rFonts w:eastAsia="Times New Roman" w:cstheme="minorHAnsi"/>
          <w:spacing w:val="1"/>
          <w:sz w:val="24"/>
          <w:szCs w:val="24"/>
        </w:rPr>
        <w:t>a</w:t>
      </w:r>
      <w:r w:rsidRPr="00182F87">
        <w:rPr>
          <w:rFonts w:eastAsia="Times New Roman" w:cstheme="minorHAnsi"/>
          <w:sz w:val="24"/>
          <w:szCs w:val="24"/>
        </w:rPr>
        <w:t xml:space="preserve">l </w:t>
      </w:r>
      <w:r w:rsidRPr="00182F87">
        <w:rPr>
          <w:rFonts w:eastAsia="Times New Roman" w:cstheme="minorHAnsi"/>
          <w:spacing w:val="-3"/>
          <w:sz w:val="24"/>
          <w:szCs w:val="24"/>
        </w:rPr>
        <w:t>p</w:t>
      </w:r>
      <w:r w:rsidRPr="00182F87">
        <w:rPr>
          <w:rFonts w:eastAsia="Times New Roman" w:cstheme="minorHAnsi"/>
          <w:spacing w:val="1"/>
          <w:sz w:val="24"/>
          <w:szCs w:val="24"/>
        </w:rPr>
        <w:t>ár</w:t>
      </w:r>
      <w:r w:rsidRPr="00182F87">
        <w:rPr>
          <w:rFonts w:eastAsia="Times New Roman" w:cstheme="minorHAnsi"/>
          <w:spacing w:val="-2"/>
          <w:sz w:val="24"/>
          <w:szCs w:val="24"/>
        </w:rPr>
        <w:t>r</w:t>
      </w:r>
      <w:r w:rsidRPr="00182F87">
        <w:rPr>
          <w:rFonts w:eastAsia="Times New Roman" w:cstheme="minorHAnsi"/>
          <w:spacing w:val="1"/>
          <w:sz w:val="24"/>
          <w:szCs w:val="24"/>
        </w:rPr>
        <w:t>a</w:t>
      </w:r>
      <w:r w:rsidRPr="00182F87">
        <w:rPr>
          <w:rFonts w:eastAsia="Times New Roman" w:cstheme="minorHAnsi"/>
          <w:spacing w:val="-2"/>
          <w:sz w:val="24"/>
          <w:szCs w:val="24"/>
        </w:rPr>
        <w:t>f</w:t>
      </w:r>
      <w:r w:rsidRPr="00182F87">
        <w:rPr>
          <w:rFonts w:eastAsia="Times New Roman" w:cstheme="minorHAnsi"/>
          <w:sz w:val="24"/>
          <w:szCs w:val="24"/>
        </w:rPr>
        <w:t xml:space="preserve">o </w:t>
      </w:r>
      <w:r w:rsidRPr="00182F87">
        <w:rPr>
          <w:rFonts w:eastAsia="Times New Roman" w:cstheme="minorHAnsi"/>
          <w:spacing w:val="-1"/>
          <w:sz w:val="24"/>
          <w:szCs w:val="24"/>
        </w:rPr>
        <w:t>1</w:t>
      </w:r>
      <w:r w:rsidRPr="00182F87">
        <w:rPr>
          <w:rFonts w:eastAsia="Times New Roman" w:cstheme="minorHAnsi"/>
          <w:sz w:val="24"/>
          <w:szCs w:val="24"/>
        </w:rPr>
        <w:t>5</w:t>
      </w:r>
      <w:r w:rsidRPr="00182F87">
        <w:rPr>
          <w:rFonts w:eastAsia="Times New Roman" w:cstheme="minorHAnsi"/>
          <w:spacing w:val="1"/>
          <w:sz w:val="24"/>
          <w:szCs w:val="24"/>
        </w:rPr>
        <w:t xml:space="preserve"> b</w:t>
      </w:r>
      <w:r w:rsidRPr="00182F87">
        <w:rPr>
          <w:rFonts w:eastAsia="Times New Roman" w:cstheme="minorHAnsi"/>
          <w:sz w:val="24"/>
          <w:szCs w:val="24"/>
        </w:rPr>
        <w:t xml:space="preserve">) </w:t>
      </w:r>
      <w:r w:rsidRPr="00182F87">
        <w:rPr>
          <w:rFonts w:eastAsia="Times New Roman" w:cstheme="minorHAnsi"/>
          <w:spacing w:val="1"/>
          <w:sz w:val="24"/>
          <w:szCs w:val="24"/>
        </w:rPr>
        <w:t>de</w:t>
      </w:r>
      <w:r w:rsidRPr="00182F87">
        <w:rPr>
          <w:rFonts w:eastAsia="Times New Roman" w:cstheme="minorHAnsi"/>
          <w:sz w:val="24"/>
          <w:szCs w:val="24"/>
        </w:rPr>
        <w:t>l</w:t>
      </w:r>
      <w:r w:rsidRPr="00182F87">
        <w:rPr>
          <w:rFonts w:eastAsia="Times New Roman" w:cstheme="minorHAnsi"/>
          <w:spacing w:val="-2"/>
          <w:sz w:val="24"/>
          <w:szCs w:val="24"/>
        </w:rPr>
        <w:t xml:space="preserve"> </w:t>
      </w:r>
      <w:r w:rsidRPr="00182F87">
        <w:rPr>
          <w:rFonts w:eastAsia="Times New Roman" w:cstheme="minorHAnsi"/>
          <w:spacing w:val="1"/>
          <w:sz w:val="24"/>
          <w:szCs w:val="24"/>
        </w:rPr>
        <w:t>an</w:t>
      </w:r>
      <w:r w:rsidRPr="00182F87">
        <w:rPr>
          <w:rFonts w:eastAsia="Times New Roman" w:cstheme="minorHAnsi"/>
          <w:spacing w:val="-2"/>
          <w:sz w:val="24"/>
          <w:szCs w:val="24"/>
        </w:rPr>
        <w:t>e</w:t>
      </w:r>
      <w:r w:rsidRPr="00182F87">
        <w:rPr>
          <w:rFonts w:eastAsia="Times New Roman" w:cstheme="minorHAnsi"/>
          <w:spacing w:val="-1"/>
          <w:sz w:val="24"/>
          <w:szCs w:val="24"/>
        </w:rPr>
        <w:t>x</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 xml:space="preserve">e </w:t>
      </w:r>
      <w:r w:rsidRPr="00182F87">
        <w:rPr>
          <w:rFonts w:eastAsia="Times New Roman" w:cstheme="minorHAnsi"/>
          <w:spacing w:val="-1"/>
          <w:sz w:val="24"/>
          <w:szCs w:val="24"/>
        </w:rPr>
        <w:t>l</w:t>
      </w:r>
      <w:r w:rsidRPr="00182F87">
        <w:rPr>
          <w:rFonts w:eastAsia="Times New Roman" w:cstheme="minorHAnsi"/>
          <w:sz w:val="24"/>
          <w:szCs w:val="24"/>
        </w:rPr>
        <w:t>a</w:t>
      </w:r>
      <w:r w:rsidRPr="00182F87">
        <w:rPr>
          <w:rFonts w:eastAsia="Times New Roman" w:cstheme="minorHAnsi"/>
          <w:spacing w:val="-2"/>
          <w:sz w:val="24"/>
          <w:szCs w:val="24"/>
        </w:rPr>
        <w:t xml:space="preserve"> </w:t>
      </w:r>
      <w:r w:rsidRPr="00182F87">
        <w:rPr>
          <w:rFonts w:eastAsia="Times New Roman" w:cstheme="minorHAnsi"/>
          <w:spacing w:val="1"/>
          <w:sz w:val="24"/>
          <w:szCs w:val="24"/>
        </w:rPr>
        <w:t>re</w:t>
      </w:r>
      <w:r w:rsidRPr="00182F87">
        <w:rPr>
          <w:rFonts w:eastAsia="Times New Roman" w:cstheme="minorHAnsi"/>
          <w:spacing w:val="-1"/>
          <w:sz w:val="24"/>
          <w:szCs w:val="24"/>
        </w:rPr>
        <w:t>s</w:t>
      </w:r>
      <w:r w:rsidRPr="00182F87">
        <w:rPr>
          <w:rFonts w:eastAsia="Times New Roman" w:cstheme="minorHAnsi"/>
          <w:spacing w:val="1"/>
          <w:sz w:val="24"/>
          <w:szCs w:val="24"/>
        </w:rPr>
        <w:t>ol</w:t>
      </w:r>
      <w:r w:rsidRPr="00182F87">
        <w:rPr>
          <w:rFonts w:eastAsia="Times New Roman" w:cstheme="minorHAnsi"/>
          <w:spacing w:val="-3"/>
          <w:sz w:val="24"/>
          <w:szCs w:val="24"/>
        </w:rPr>
        <w:t>u</w:t>
      </w:r>
      <w:r w:rsidRPr="00182F87">
        <w:rPr>
          <w:rFonts w:eastAsia="Times New Roman" w:cstheme="minorHAnsi"/>
          <w:sz w:val="24"/>
          <w:szCs w:val="24"/>
        </w:rPr>
        <w:t>c</w:t>
      </w:r>
      <w:r w:rsidRPr="00182F87">
        <w:rPr>
          <w:rFonts w:eastAsia="Times New Roman" w:cstheme="minorHAnsi"/>
          <w:spacing w:val="-1"/>
          <w:sz w:val="24"/>
          <w:szCs w:val="24"/>
        </w:rPr>
        <w:t>i</w:t>
      </w:r>
      <w:r w:rsidRPr="00182F87">
        <w:rPr>
          <w:rFonts w:eastAsia="Times New Roman" w:cstheme="minorHAnsi"/>
          <w:spacing w:val="1"/>
          <w:sz w:val="24"/>
          <w:szCs w:val="24"/>
        </w:rPr>
        <w:t>ó</w:t>
      </w:r>
      <w:r w:rsidRPr="00182F87">
        <w:rPr>
          <w:rFonts w:eastAsia="Times New Roman" w:cstheme="minorHAnsi"/>
          <w:sz w:val="24"/>
          <w:szCs w:val="24"/>
        </w:rPr>
        <w:t xml:space="preserve">n </w:t>
      </w:r>
      <w:r w:rsidRPr="00182F87">
        <w:rPr>
          <w:rFonts w:eastAsia="Times New Roman" w:cstheme="minorHAnsi"/>
          <w:spacing w:val="-1"/>
          <w:sz w:val="24"/>
          <w:szCs w:val="24"/>
        </w:rPr>
        <w:t>5/</w:t>
      </w:r>
      <w:r w:rsidRPr="00182F87">
        <w:rPr>
          <w:rFonts w:eastAsia="Times New Roman" w:cstheme="minorHAnsi"/>
          <w:sz w:val="24"/>
          <w:szCs w:val="24"/>
        </w:rPr>
        <w:t>1</w:t>
      </w:r>
      <w:r w:rsidRPr="00182F87">
        <w:rPr>
          <w:rFonts w:eastAsia="Times New Roman" w:cstheme="minorHAnsi"/>
          <w:spacing w:val="1"/>
          <w:sz w:val="24"/>
          <w:szCs w:val="24"/>
        </w:rPr>
        <w:t xml:space="preserve"> del </w:t>
      </w:r>
      <w:r w:rsidRPr="00182F87">
        <w:rPr>
          <w:rFonts w:eastAsia="Times New Roman" w:cstheme="minorHAnsi"/>
          <w:spacing w:val="-1"/>
          <w:sz w:val="24"/>
          <w:szCs w:val="24"/>
        </w:rPr>
        <w:t>C</w:t>
      </w:r>
      <w:r w:rsidRPr="00182F87">
        <w:rPr>
          <w:rFonts w:eastAsia="Times New Roman" w:cstheme="minorHAnsi"/>
          <w:spacing w:val="1"/>
          <w:sz w:val="24"/>
          <w:szCs w:val="24"/>
        </w:rPr>
        <w:t>onse</w:t>
      </w:r>
      <w:r w:rsidRPr="00182F87">
        <w:rPr>
          <w:rFonts w:eastAsia="Times New Roman" w:cstheme="minorHAnsi"/>
          <w:spacing w:val="-2"/>
          <w:sz w:val="24"/>
          <w:szCs w:val="24"/>
        </w:rPr>
        <w:t>j</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 xml:space="preserve">e </w:t>
      </w:r>
      <w:r w:rsidRPr="00182F87">
        <w:rPr>
          <w:rFonts w:eastAsia="Times New Roman" w:cstheme="minorHAnsi"/>
          <w:spacing w:val="-1"/>
          <w:sz w:val="24"/>
          <w:szCs w:val="24"/>
        </w:rPr>
        <w:t>D</w:t>
      </w:r>
      <w:r w:rsidRPr="00182F87">
        <w:rPr>
          <w:rFonts w:eastAsia="Times New Roman" w:cstheme="minorHAnsi"/>
          <w:spacing w:val="1"/>
          <w:sz w:val="24"/>
          <w:szCs w:val="24"/>
        </w:rPr>
        <w:t>er</w:t>
      </w:r>
      <w:r w:rsidRPr="00182F87">
        <w:rPr>
          <w:rFonts w:eastAsia="Times New Roman" w:cstheme="minorHAnsi"/>
          <w:spacing w:val="-2"/>
          <w:sz w:val="24"/>
          <w:szCs w:val="24"/>
        </w:rPr>
        <w:t>e</w:t>
      </w:r>
      <w:r w:rsidRPr="00182F87">
        <w:rPr>
          <w:rFonts w:eastAsia="Times New Roman" w:cstheme="minorHAnsi"/>
          <w:spacing w:val="1"/>
          <w:sz w:val="24"/>
          <w:szCs w:val="24"/>
        </w:rPr>
        <w:t>ch</w:t>
      </w:r>
      <w:r w:rsidRPr="00182F87">
        <w:rPr>
          <w:rFonts w:eastAsia="Times New Roman" w:cstheme="minorHAnsi"/>
          <w:spacing w:val="-1"/>
          <w:sz w:val="24"/>
          <w:szCs w:val="24"/>
        </w:rPr>
        <w:t>o</w:t>
      </w:r>
      <w:r w:rsidRPr="00182F87">
        <w:rPr>
          <w:rFonts w:eastAsia="Times New Roman" w:cstheme="minorHAnsi"/>
          <w:sz w:val="24"/>
          <w:szCs w:val="24"/>
        </w:rPr>
        <w:t xml:space="preserve">s </w:t>
      </w:r>
      <w:r w:rsidRPr="00182F87">
        <w:rPr>
          <w:rFonts w:eastAsia="Times New Roman" w:cstheme="minorHAnsi"/>
          <w:spacing w:val="1"/>
          <w:sz w:val="24"/>
          <w:szCs w:val="24"/>
        </w:rPr>
        <w:t>Hu</w:t>
      </w:r>
      <w:r w:rsidRPr="00182F87">
        <w:rPr>
          <w:rFonts w:eastAsia="Times New Roman" w:cstheme="minorHAnsi"/>
          <w:spacing w:val="-4"/>
          <w:sz w:val="24"/>
          <w:szCs w:val="24"/>
        </w:rPr>
        <w:t>m</w:t>
      </w:r>
      <w:r w:rsidRPr="00182F87">
        <w:rPr>
          <w:rFonts w:eastAsia="Times New Roman" w:cstheme="minorHAnsi"/>
          <w:spacing w:val="1"/>
          <w:sz w:val="24"/>
          <w:szCs w:val="24"/>
        </w:rPr>
        <w:t>an</w:t>
      </w:r>
      <w:r w:rsidRPr="00182F87">
        <w:rPr>
          <w:rFonts w:eastAsia="Times New Roman" w:cstheme="minorHAnsi"/>
          <w:spacing w:val="-1"/>
          <w:sz w:val="24"/>
          <w:szCs w:val="24"/>
        </w:rPr>
        <w:t>o</w:t>
      </w:r>
      <w:r w:rsidRPr="00182F87">
        <w:rPr>
          <w:rFonts w:eastAsia="Times New Roman" w:cstheme="minorHAnsi"/>
          <w:sz w:val="24"/>
          <w:szCs w:val="24"/>
        </w:rPr>
        <w:t>s y</w:t>
      </w:r>
      <w:r w:rsidRPr="00182F87">
        <w:rPr>
          <w:rFonts w:eastAsia="Times New Roman" w:cstheme="minorHAnsi"/>
          <w:spacing w:val="-2"/>
          <w:sz w:val="24"/>
          <w:szCs w:val="24"/>
        </w:rPr>
        <w:t xml:space="preserve"> </w:t>
      </w:r>
      <w:r w:rsidRPr="00182F87">
        <w:rPr>
          <w:rFonts w:eastAsia="Times New Roman" w:cstheme="minorHAnsi"/>
          <w:spacing w:val="1"/>
          <w:sz w:val="24"/>
          <w:szCs w:val="24"/>
        </w:rPr>
        <w:t>a</w:t>
      </w:r>
      <w:r w:rsidRPr="00182F87">
        <w:rPr>
          <w:rFonts w:eastAsia="Times New Roman" w:cstheme="minorHAnsi"/>
          <w:sz w:val="24"/>
          <w:szCs w:val="24"/>
        </w:rPr>
        <w:t xml:space="preserve">l </w:t>
      </w:r>
      <w:r w:rsidRPr="00182F87">
        <w:rPr>
          <w:rFonts w:eastAsia="Times New Roman" w:cstheme="minorHAnsi"/>
          <w:spacing w:val="-3"/>
          <w:sz w:val="24"/>
          <w:szCs w:val="24"/>
        </w:rPr>
        <w:t>p</w:t>
      </w:r>
      <w:r w:rsidRPr="00182F87">
        <w:rPr>
          <w:rFonts w:eastAsia="Times New Roman" w:cstheme="minorHAnsi"/>
          <w:spacing w:val="1"/>
          <w:sz w:val="24"/>
          <w:szCs w:val="24"/>
        </w:rPr>
        <w:t>ár</w:t>
      </w:r>
      <w:r w:rsidRPr="00182F87">
        <w:rPr>
          <w:rFonts w:eastAsia="Times New Roman" w:cstheme="minorHAnsi"/>
          <w:spacing w:val="-2"/>
          <w:sz w:val="24"/>
          <w:szCs w:val="24"/>
        </w:rPr>
        <w:t>r</w:t>
      </w:r>
      <w:r w:rsidRPr="00182F87">
        <w:rPr>
          <w:rFonts w:eastAsia="Times New Roman" w:cstheme="minorHAnsi"/>
          <w:spacing w:val="1"/>
          <w:sz w:val="24"/>
          <w:szCs w:val="24"/>
        </w:rPr>
        <w:t>af</w:t>
      </w:r>
      <w:r w:rsidRPr="00182F87">
        <w:rPr>
          <w:rFonts w:eastAsia="Times New Roman" w:cstheme="minorHAnsi"/>
          <w:sz w:val="24"/>
          <w:szCs w:val="24"/>
        </w:rPr>
        <w:t>o</w:t>
      </w:r>
      <w:r w:rsidRPr="00182F87">
        <w:rPr>
          <w:rFonts w:eastAsia="Times New Roman" w:cstheme="minorHAnsi"/>
          <w:spacing w:val="-2"/>
          <w:sz w:val="24"/>
          <w:szCs w:val="24"/>
        </w:rPr>
        <w:t xml:space="preserve"> </w:t>
      </w:r>
      <w:r w:rsidRPr="00182F87">
        <w:rPr>
          <w:rFonts w:eastAsia="Times New Roman" w:cstheme="minorHAnsi"/>
          <w:sz w:val="24"/>
          <w:szCs w:val="24"/>
        </w:rPr>
        <w:t xml:space="preserve">5 </w:t>
      </w:r>
      <w:r w:rsidRPr="00182F87">
        <w:rPr>
          <w:rFonts w:eastAsia="Times New Roman" w:cstheme="minorHAnsi"/>
          <w:spacing w:val="1"/>
          <w:sz w:val="24"/>
          <w:szCs w:val="24"/>
        </w:rPr>
        <w:t>d</w:t>
      </w:r>
      <w:r w:rsidRPr="00182F87">
        <w:rPr>
          <w:rFonts w:eastAsia="Times New Roman" w:cstheme="minorHAnsi"/>
          <w:spacing w:val="-2"/>
          <w:sz w:val="24"/>
          <w:szCs w:val="24"/>
        </w:rPr>
        <w:t>e</w:t>
      </w:r>
      <w:r w:rsidRPr="00182F87">
        <w:rPr>
          <w:rFonts w:eastAsia="Times New Roman" w:cstheme="minorHAnsi"/>
          <w:sz w:val="24"/>
          <w:szCs w:val="24"/>
        </w:rPr>
        <w:t xml:space="preserve">l </w:t>
      </w:r>
      <w:r w:rsidRPr="00182F87">
        <w:rPr>
          <w:rFonts w:eastAsia="Times New Roman" w:cstheme="minorHAnsi"/>
          <w:spacing w:val="1"/>
          <w:sz w:val="24"/>
          <w:szCs w:val="24"/>
        </w:rPr>
        <w:t>a</w:t>
      </w:r>
      <w:r w:rsidRPr="00182F87">
        <w:rPr>
          <w:rFonts w:eastAsia="Times New Roman" w:cstheme="minorHAnsi"/>
          <w:spacing w:val="-3"/>
          <w:sz w:val="24"/>
          <w:szCs w:val="24"/>
        </w:rPr>
        <w:t>n</w:t>
      </w:r>
      <w:r w:rsidRPr="00182F87">
        <w:rPr>
          <w:rFonts w:eastAsia="Times New Roman" w:cstheme="minorHAnsi"/>
          <w:spacing w:val="1"/>
          <w:sz w:val="24"/>
          <w:szCs w:val="24"/>
        </w:rPr>
        <w:t>e</w:t>
      </w:r>
      <w:r w:rsidRPr="00182F87">
        <w:rPr>
          <w:rFonts w:eastAsia="Times New Roman" w:cstheme="minorHAnsi"/>
          <w:spacing w:val="-1"/>
          <w:sz w:val="24"/>
          <w:szCs w:val="24"/>
        </w:rPr>
        <w:t>x</w:t>
      </w:r>
      <w:r w:rsidRPr="00182F87">
        <w:rPr>
          <w:rFonts w:eastAsia="Times New Roman" w:cstheme="minorHAnsi"/>
          <w:sz w:val="24"/>
          <w:szCs w:val="24"/>
        </w:rPr>
        <w:t xml:space="preserve">o </w:t>
      </w:r>
      <w:r w:rsidRPr="00182F87">
        <w:rPr>
          <w:rFonts w:eastAsia="Times New Roman" w:cstheme="minorHAnsi"/>
          <w:spacing w:val="-1"/>
          <w:sz w:val="24"/>
          <w:szCs w:val="24"/>
        </w:rPr>
        <w:t>d</w:t>
      </w:r>
      <w:r w:rsidRPr="00182F87">
        <w:rPr>
          <w:rFonts w:eastAsia="Times New Roman" w:cstheme="minorHAnsi"/>
          <w:sz w:val="24"/>
          <w:szCs w:val="24"/>
        </w:rPr>
        <w:t>e</w:t>
      </w:r>
      <w:r w:rsidRPr="00182F87">
        <w:rPr>
          <w:rFonts w:eastAsia="Times New Roman" w:cstheme="minorHAnsi"/>
          <w:spacing w:val="-1"/>
          <w:sz w:val="24"/>
          <w:szCs w:val="24"/>
        </w:rPr>
        <w:t xml:space="preserve"> </w:t>
      </w:r>
      <w:r w:rsidRPr="00182F87">
        <w:rPr>
          <w:rFonts w:eastAsia="Times New Roman" w:cstheme="minorHAnsi"/>
          <w:spacing w:val="1"/>
          <w:sz w:val="24"/>
          <w:szCs w:val="24"/>
        </w:rPr>
        <w:t>l</w:t>
      </w:r>
      <w:r w:rsidRPr="00182F87">
        <w:rPr>
          <w:rFonts w:eastAsia="Times New Roman" w:cstheme="minorHAnsi"/>
          <w:sz w:val="24"/>
          <w:szCs w:val="24"/>
        </w:rPr>
        <w:t>a</w:t>
      </w:r>
      <w:r w:rsidRPr="00182F87">
        <w:rPr>
          <w:rFonts w:eastAsia="Times New Roman" w:cstheme="minorHAnsi"/>
          <w:spacing w:val="1"/>
          <w:sz w:val="24"/>
          <w:szCs w:val="24"/>
        </w:rPr>
        <w:t xml:space="preserve"> </w:t>
      </w:r>
      <w:r w:rsidRPr="00182F87">
        <w:rPr>
          <w:rFonts w:eastAsia="Times New Roman" w:cstheme="minorHAnsi"/>
          <w:spacing w:val="-1"/>
          <w:sz w:val="24"/>
          <w:szCs w:val="24"/>
        </w:rPr>
        <w:t>res</w:t>
      </w:r>
      <w:r w:rsidRPr="00182F87">
        <w:rPr>
          <w:rFonts w:eastAsia="Times New Roman" w:cstheme="minorHAnsi"/>
          <w:spacing w:val="1"/>
          <w:sz w:val="24"/>
          <w:szCs w:val="24"/>
        </w:rPr>
        <w:t>o</w:t>
      </w:r>
      <w:r w:rsidRPr="00182F87">
        <w:rPr>
          <w:rFonts w:eastAsia="Times New Roman" w:cstheme="minorHAnsi"/>
          <w:spacing w:val="-1"/>
          <w:sz w:val="24"/>
          <w:szCs w:val="24"/>
        </w:rPr>
        <w:t>luci</w:t>
      </w:r>
      <w:r w:rsidRPr="00182F87">
        <w:rPr>
          <w:rFonts w:eastAsia="Times New Roman" w:cstheme="minorHAnsi"/>
          <w:spacing w:val="1"/>
          <w:sz w:val="24"/>
          <w:szCs w:val="24"/>
        </w:rPr>
        <w:t>ó</w:t>
      </w:r>
      <w:r w:rsidRPr="00182F87">
        <w:rPr>
          <w:rFonts w:eastAsia="Times New Roman" w:cstheme="minorHAnsi"/>
          <w:sz w:val="24"/>
          <w:szCs w:val="24"/>
        </w:rPr>
        <w:t>n</w:t>
      </w:r>
      <w:r w:rsidRPr="00182F87">
        <w:rPr>
          <w:rFonts w:eastAsia="Times New Roman" w:cstheme="minorHAnsi"/>
          <w:spacing w:val="-3"/>
          <w:sz w:val="24"/>
          <w:szCs w:val="24"/>
        </w:rPr>
        <w:t xml:space="preserve"> </w:t>
      </w:r>
      <w:r w:rsidRPr="00182F87">
        <w:rPr>
          <w:rFonts w:eastAsia="Times New Roman" w:cstheme="minorHAnsi"/>
          <w:spacing w:val="1"/>
          <w:sz w:val="24"/>
          <w:szCs w:val="24"/>
        </w:rPr>
        <w:t>1</w:t>
      </w:r>
      <w:r w:rsidRPr="00182F87">
        <w:rPr>
          <w:rFonts w:eastAsia="Times New Roman" w:cstheme="minorHAnsi"/>
          <w:spacing w:val="-1"/>
          <w:sz w:val="24"/>
          <w:szCs w:val="24"/>
        </w:rPr>
        <w:t>6/2</w:t>
      </w:r>
      <w:r w:rsidRPr="00182F87">
        <w:rPr>
          <w:rFonts w:eastAsia="Times New Roman" w:cstheme="minorHAnsi"/>
          <w:sz w:val="24"/>
          <w:szCs w:val="24"/>
        </w:rPr>
        <w:t>1</w:t>
      </w:r>
      <w:r w:rsidRPr="00182F87">
        <w:rPr>
          <w:rFonts w:eastAsia="Times New Roman" w:cstheme="minorHAnsi"/>
          <w:spacing w:val="1"/>
          <w:sz w:val="24"/>
          <w:szCs w:val="24"/>
        </w:rPr>
        <w:t xml:space="preserve"> </w:t>
      </w:r>
      <w:r w:rsidRPr="00182F87">
        <w:rPr>
          <w:rFonts w:eastAsia="Times New Roman" w:cstheme="minorHAnsi"/>
          <w:spacing w:val="-1"/>
          <w:sz w:val="24"/>
          <w:szCs w:val="24"/>
        </w:rPr>
        <w:t>de</w:t>
      </w:r>
      <w:r w:rsidRPr="00182F87">
        <w:rPr>
          <w:rFonts w:eastAsia="Times New Roman" w:cstheme="minorHAnsi"/>
          <w:sz w:val="24"/>
          <w:szCs w:val="24"/>
        </w:rPr>
        <w:t>l</w:t>
      </w:r>
      <w:r w:rsidRPr="00182F87">
        <w:rPr>
          <w:rFonts w:eastAsia="Times New Roman" w:cstheme="minorHAnsi"/>
          <w:spacing w:val="1"/>
          <w:sz w:val="24"/>
          <w:szCs w:val="24"/>
        </w:rPr>
        <w:t xml:space="preserve"> </w:t>
      </w:r>
      <w:r w:rsidRPr="00182F87">
        <w:rPr>
          <w:rFonts w:eastAsia="Times New Roman" w:cstheme="minorHAnsi"/>
          <w:spacing w:val="-4"/>
          <w:sz w:val="24"/>
          <w:szCs w:val="24"/>
        </w:rPr>
        <w:t>C</w:t>
      </w:r>
      <w:r w:rsidRPr="00182F87">
        <w:rPr>
          <w:rFonts w:eastAsia="Times New Roman" w:cstheme="minorHAnsi"/>
          <w:spacing w:val="1"/>
          <w:sz w:val="24"/>
          <w:szCs w:val="24"/>
        </w:rPr>
        <w:t>o</w:t>
      </w:r>
      <w:r w:rsidRPr="00182F87">
        <w:rPr>
          <w:rFonts w:eastAsia="Times New Roman" w:cstheme="minorHAnsi"/>
          <w:spacing w:val="-1"/>
          <w:sz w:val="24"/>
          <w:szCs w:val="24"/>
        </w:rPr>
        <w:t xml:space="preserve">nsejo. </w:t>
      </w:r>
      <w:r w:rsidRPr="00182F87">
        <w:rPr>
          <w:rFonts w:eastAsia="Times New Roman" w:cstheme="minorHAnsi"/>
          <w:spacing w:val="1"/>
          <w:sz w:val="24"/>
          <w:szCs w:val="24"/>
          <w:u w:val="single" w:color="000000"/>
        </w:rPr>
        <w:t>A</w:t>
      </w:r>
      <w:r w:rsidRPr="00182F87">
        <w:rPr>
          <w:rFonts w:eastAsia="Times New Roman" w:cstheme="minorHAnsi"/>
          <w:sz w:val="24"/>
          <w:szCs w:val="24"/>
          <w:u w:val="single" w:color="000000"/>
        </w:rPr>
        <w:t>/HRC/</w:t>
      </w:r>
      <w:r w:rsidRPr="00182F87">
        <w:rPr>
          <w:rFonts w:eastAsia="Times New Roman" w:cstheme="minorHAnsi"/>
          <w:spacing w:val="2"/>
          <w:sz w:val="24"/>
          <w:szCs w:val="24"/>
          <w:u w:val="single" w:color="000000"/>
        </w:rPr>
        <w:t>W</w:t>
      </w:r>
      <w:r w:rsidRPr="00182F87">
        <w:rPr>
          <w:rFonts w:eastAsia="Times New Roman" w:cstheme="minorHAnsi"/>
          <w:sz w:val="24"/>
          <w:szCs w:val="24"/>
          <w:u w:val="single" w:color="000000"/>
        </w:rPr>
        <w:t>G</w:t>
      </w:r>
      <w:r w:rsidRPr="00182F87">
        <w:rPr>
          <w:rFonts w:eastAsia="Times New Roman" w:cstheme="minorHAnsi"/>
          <w:spacing w:val="1"/>
          <w:sz w:val="24"/>
          <w:szCs w:val="24"/>
          <w:u w:val="single" w:color="000000"/>
        </w:rPr>
        <w:t>.6</w:t>
      </w:r>
      <w:r w:rsidRPr="00182F87">
        <w:rPr>
          <w:rFonts w:eastAsia="Times New Roman" w:cstheme="minorHAnsi"/>
          <w:sz w:val="24"/>
          <w:szCs w:val="24"/>
          <w:u w:val="single" w:color="000000"/>
        </w:rPr>
        <w:t>/</w:t>
      </w:r>
      <w:r w:rsidRPr="00182F87">
        <w:rPr>
          <w:rFonts w:eastAsia="Times New Roman" w:cstheme="minorHAnsi"/>
          <w:spacing w:val="1"/>
          <w:sz w:val="24"/>
          <w:szCs w:val="24"/>
          <w:u w:val="single" w:color="000000"/>
        </w:rPr>
        <w:t>19</w:t>
      </w:r>
      <w:r w:rsidRPr="00182F87">
        <w:rPr>
          <w:rFonts w:eastAsia="Times New Roman" w:cstheme="minorHAnsi"/>
          <w:sz w:val="24"/>
          <w:szCs w:val="24"/>
          <w:u w:val="single" w:color="000000"/>
        </w:rPr>
        <w:t>/CR</w:t>
      </w:r>
      <w:r w:rsidRPr="00182F87">
        <w:rPr>
          <w:rFonts w:eastAsia="Times New Roman" w:cstheme="minorHAnsi"/>
          <w:spacing w:val="1"/>
          <w:sz w:val="24"/>
          <w:szCs w:val="24"/>
          <w:u w:val="single" w:color="000000"/>
        </w:rPr>
        <w:t>I</w:t>
      </w:r>
      <w:r w:rsidRPr="00182F87">
        <w:rPr>
          <w:rFonts w:eastAsia="Times New Roman" w:cstheme="minorHAnsi"/>
          <w:sz w:val="24"/>
          <w:szCs w:val="24"/>
          <w:u w:val="single" w:color="000000"/>
        </w:rPr>
        <w:t xml:space="preserve">/2    </w:t>
      </w:r>
    </w:p>
    <w:p w:rsidR="004750E5" w:rsidRPr="00182F87" w:rsidRDefault="004750E5" w:rsidP="001835BE">
      <w:pPr>
        <w:pStyle w:val="Textonotapie"/>
        <w:jc w:val="both"/>
        <w:rPr>
          <w:sz w:val="24"/>
          <w:szCs w:val="24"/>
        </w:rPr>
      </w:pPr>
    </w:p>
    <w:p w:rsidR="004750E5" w:rsidRPr="00182F87" w:rsidRDefault="004750E5" w:rsidP="004750E5">
      <w:pPr>
        <w:pStyle w:val="Textonotapie"/>
        <w:jc w:val="both"/>
        <w:rPr>
          <w:sz w:val="24"/>
          <w:szCs w:val="24"/>
        </w:rPr>
      </w:pPr>
      <w:r w:rsidRPr="00182F87">
        <w:rPr>
          <w:sz w:val="24"/>
          <w:szCs w:val="24"/>
        </w:rPr>
        <w:t xml:space="preserve">Reglas de Brasilia </w:t>
      </w:r>
      <w:r w:rsidR="009919B5" w:rsidRPr="00182F87">
        <w:rPr>
          <w:sz w:val="24"/>
          <w:szCs w:val="24"/>
        </w:rPr>
        <w:t xml:space="preserve">Sobre Acceso a la Justicia de las Personas en condiciones de vulnerabilidad, XIV Cumbre Judicial Iberoamericana, </w:t>
      </w:r>
      <w:proofErr w:type="spellStart"/>
      <w:r w:rsidR="009919B5" w:rsidRPr="00182F87">
        <w:rPr>
          <w:sz w:val="24"/>
          <w:szCs w:val="24"/>
        </w:rPr>
        <w:t>s.f.</w:t>
      </w:r>
      <w:proofErr w:type="spellEnd"/>
      <w:r w:rsidR="009919B5" w:rsidRPr="00182F87">
        <w:rPr>
          <w:sz w:val="24"/>
          <w:szCs w:val="24"/>
        </w:rPr>
        <w:t xml:space="preserve"> </w:t>
      </w:r>
      <w:proofErr w:type="spellStart"/>
      <w:r w:rsidR="009919B5" w:rsidRPr="00182F87">
        <w:rPr>
          <w:sz w:val="24"/>
          <w:szCs w:val="24"/>
        </w:rPr>
        <w:t>s.e.</w:t>
      </w:r>
      <w:proofErr w:type="spellEnd"/>
      <w:r w:rsidR="009919B5" w:rsidRPr="00182F87">
        <w:rPr>
          <w:sz w:val="24"/>
          <w:szCs w:val="24"/>
        </w:rPr>
        <w:t xml:space="preserve"> 2008</w:t>
      </w:r>
    </w:p>
    <w:p w:rsidR="004750E5" w:rsidRDefault="004750E5" w:rsidP="001835BE">
      <w:pPr>
        <w:pStyle w:val="Textonotapie"/>
        <w:jc w:val="both"/>
        <w:rPr>
          <w:sz w:val="24"/>
          <w:szCs w:val="24"/>
        </w:rPr>
      </w:pPr>
    </w:p>
    <w:p w:rsidR="000473F7" w:rsidRDefault="000473F7" w:rsidP="001835BE">
      <w:pPr>
        <w:pStyle w:val="Textonotapie"/>
        <w:jc w:val="both"/>
        <w:rPr>
          <w:rFonts w:eastAsia="Times New Roman" w:cs="Times New Roman"/>
          <w:color w:val="000000"/>
          <w:sz w:val="24"/>
          <w:szCs w:val="24"/>
          <w:lang w:eastAsia="es-CR"/>
        </w:rPr>
      </w:pPr>
      <w:r>
        <w:rPr>
          <w:rFonts w:eastAsia="Times New Roman" w:cs="Times New Roman"/>
          <w:b/>
          <w:bCs/>
          <w:color w:val="000000"/>
          <w:sz w:val="24"/>
          <w:szCs w:val="24"/>
          <w:lang w:eastAsia="es-CR"/>
        </w:rPr>
        <w:t>Resolución </w:t>
      </w:r>
      <w:r>
        <w:rPr>
          <w:rFonts w:eastAsia="Times New Roman" w:cs="Times New Roman"/>
          <w:color w:val="000000"/>
          <w:sz w:val="24"/>
          <w:szCs w:val="24"/>
          <w:lang w:eastAsia="es-CR"/>
        </w:rPr>
        <w:t xml:space="preserve">2010-01102.  </w:t>
      </w:r>
      <w:r>
        <w:rPr>
          <w:rFonts w:eastAsia="Times New Roman" w:cs="Times New Roman"/>
          <w:b/>
          <w:bCs/>
          <w:color w:val="000000"/>
          <w:sz w:val="24"/>
          <w:szCs w:val="24"/>
          <w:lang w:eastAsia="es-CR"/>
        </w:rPr>
        <w:t>SALA TERCERA DE LA CORTE SUPREMA DE JUSTICIA.</w:t>
      </w:r>
      <w:r>
        <w:rPr>
          <w:rFonts w:eastAsia="Times New Roman" w:cs="Times New Roman"/>
          <w:color w:val="000000"/>
          <w:sz w:val="24"/>
          <w:szCs w:val="24"/>
          <w:lang w:eastAsia="es-CR"/>
        </w:rPr>
        <w:t xml:space="preserve"> San José, a las catorce horas y cero minutos del quince de octubre del dos mil diez.  </w:t>
      </w:r>
    </w:p>
    <w:p w:rsidR="000473F7" w:rsidRDefault="000473F7" w:rsidP="001835BE">
      <w:pPr>
        <w:pStyle w:val="Textonotapie"/>
        <w:jc w:val="both"/>
        <w:rPr>
          <w:rFonts w:eastAsia="Times New Roman" w:cs="Times New Roman"/>
          <w:color w:val="000000"/>
          <w:sz w:val="24"/>
          <w:szCs w:val="24"/>
          <w:lang w:eastAsia="es-CR"/>
        </w:rPr>
      </w:pPr>
    </w:p>
    <w:p w:rsidR="000473F7" w:rsidRDefault="000473F7" w:rsidP="001835BE">
      <w:pPr>
        <w:pStyle w:val="Textonotapie"/>
        <w:jc w:val="both"/>
        <w:rPr>
          <w:sz w:val="24"/>
          <w:szCs w:val="24"/>
        </w:rPr>
      </w:pPr>
      <w:r>
        <w:rPr>
          <w:rFonts w:eastAsia="Times New Roman" w:cs="Arial"/>
          <w:b/>
          <w:bCs/>
          <w:color w:val="222222"/>
          <w:sz w:val="24"/>
          <w:szCs w:val="24"/>
          <w:lang w:eastAsia="es-CR"/>
        </w:rPr>
        <w:t>Resolución 000297-F-S1-2014.  SALA PRIMERA DE LA CORTE SUPREMA DE JUSTICIA. </w:t>
      </w:r>
      <w:r>
        <w:rPr>
          <w:rFonts w:eastAsia="Times New Roman" w:cs="Arial"/>
          <w:color w:val="222222"/>
          <w:sz w:val="24"/>
          <w:szCs w:val="24"/>
          <w:lang w:eastAsia="es-CR"/>
        </w:rPr>
        <w:t>San José, a las once horas cuarenta minutos del seis de marzo de dos mil catorce.</w:t>
      </w:r>
    </w:p>
    <w:p w:rsidR="000473F7" w:rsidRPr="00182F87" w:rsidRDefault="000473F7" w:rsidP="001835BE">
      <w:pPr>
        <w:pStyle w:val="Textonotapie"/>
        <w:jc w:val="both"/>
        <w:rPr>
          <w:sz w:val="24"/>
          <w:szCs w:val="24"/>
        </w:rPr>
      </w:pPr>
    </w:p>
    <w:p w:rsidR="00DD6F34" w:rsidRPr="00182F87" w:rsidRDefault="00DD6F34" w:rsidP="00DD6F34">
      <w:pPr>
        <w:pStyle w:val="Textonotapie"/>
        <w:jc w:val="both"/>
        <w:rPr>
          <w:sz w:val="24"/>
          <w:szCs w:val="24"/>
        </w:rPr>
      </w:pPr>
      <w:r w:rsidRPr="00182F87">
        <w:rPr>
          <w:sz w:val="24"/>
          <w:szCs w:val="24"/>
        </w:rPr>
        <w:t xml:space="preserve">Rojas Rodríguez, Cristina et al, </w:t>
      </w:r>
      <w:proofErr w:type="spellStart"/>
      <w:r w:rsidRPr="00182F87">
        <w:rPr>
          <w:sz w:val="24"/>
          <w:szCs w:val="24"/>
        </w:rPr>
        <w:t>comp</w:t>
      </w:r>
      <w:proofErr w:type="spellEnd"/>
      <w:r w:rsidRPr="00182F87">
        <w:rPr>
          <w:sz w:val="24"/>
          <w:szCs w:val="24"/>
        </w:rPr>
        <w:t>. Políticas institucionales de acceso a la justicia. Heredia Costa Rica: Comisión de Acceso a la Justicia; Oficina de Cooperación y Relaciones Internacionales; Escuela Judicial, 2012</w:t>
      </w:r>
    </w:p>
    <w:p w:rsidR="00DD6F34" w:rsidRPr="00182F87" w:rsidRDefault="00DD6F34" w:rsidP="00424290">
      <w:pPr>
        <w:pStyle w:val="Textonotapie"/>
        <w:jc w:val="both"/>
        <w:rPr>
          <w:sz w:val="24"/>
          <w:szCs w:val="24"/>
        </w:rPr>
      </w:pPr>
    </w:p>
    <w:p w:rsidR="00C53C94" w:rsidRPr="00182F87" w:rsidRDefault="00C53C94" w:rsidP="00424290">
      <w:pPr>
        <w:pStyle w:val="Textonotapie"/>
        <w:jc w:val="both"/>
        <w:rPr>
          <w:sz w:val="24"/>
          <w:szCs w:val="24"/>
        </w:rPr>
      </w:pPr>
      <w:r w:rsidRPr="00182F87">
        <w:rPr>
          <w:rFonts w:cstheme="minorHAnsi"/>
          <w:iCs/>
          <w:sz w:val="24"/>
          <w:szCs w:val="24"/>
        </w:rPr>
        <w:t xml:space="preserve">Rodríguez </w:t>
      </w:r>
      <w:proofErr w:type="spellStart"/>
      <w:r w:rsidRPr="00182F87">
        <w:rPr>
          <w:rFonts w:cstheme="minorHAnsi"/>
          <w:iCs/>
          <w:sz w:val="24"/>
          <w:szCs w:val="24"/>
        </w:rPr>
        <w:t>Rescia</w:t>
      </w:r>
      <w:proofErr w:type="spellEnd"/>
      <w:r w:rsidRPr="00182F87">
        <w:rPr>
          <w:rFonts w:cstheme="minorHAnsi"/>
          <w:iCs/>
          <w:sz w:val="24"/>
          <w:szCs w:val="24"/>
        </w:rPr>
        <w:t xml:space="preserve">, </w:t>
      </w:r>
      <w:proofErr w:type="spellStart"/>
      <w:r w:rsidRPr="00182F87">
        <w:rPr>
          <w:rFonts w:cstheme="minorHAnsi"/>
          <w:iCs/>
          <w:sz w:val="24"/>
          <w:szCs w:val="24"/>
        </w:rPr>
        <w:t>Victor</w:t>
      </w:r>
      <w:proofErr w:type="spellEnd"/>
      <w:r w:rsidRPr="00182F87">
        <w:rPr>
          <w:rFonts w:cstheme="minorHAnsi"/>
          <w:iCs/>
          <w:sz w:val="24"/>
          <w:szCs w:val="24"/>
        </w:rPr>
        <w:t xml:space="preserve">: Cursos </w:t>
      </w:r>
      <w:proofErr w:type="spellStart"/>
      <w:r w:rsidRPr="00182F87">
        <w:rPr>
          <w:rFonts w:cstheme="minorHAnsi"/>
          <w:iCs/>
          <w:sz w:val="24"/>
          <w:szCs w:val="24"/>
        </w:rPr>
        <w:t>Autoformativos</w:t>
      </w:r>
      <w:proofErr w:type="spellEnd"/>
      <w:r w:rsidRPr="00182F87">
        <w:rPr>
          <w:rFonts w:cstheme="minorHAnsi"/>
          <w:iCs/>
          <w:sz w:val="24"/>
          <w:szCs w:val="24"/>
        </w:rPr>
        <w:t xml:space="preserve"> sobre el Sistema Interamericano de Protección de los derechos humanos, IIDH, 2006 </w:t>
      </w:r>
    </w:p>
    <w:p w:rsidR="00C53C94" w:rsidRPr="00182F87" w:rsidRDefault="00C53C94" w:rsidP="00424290">
      <w:pPr>
        <w:pStyle w:val="Textonotapie"/>
        <w:jc w:val="both"/>
        <w:rPr>
          <w:sz w:val="24"/>
          <w:szCs w:val="24"/>
        </w:rPr>
      </w:pPr>
    </w:p>
    <w:p w:rsidR="00182F87" w:rsidRPr="00182F87" w:rsidRDefault="00182F87" w:rsidP="00182F87">
      <w:pPr>
        <w:pStyle w:val="Textonotapie"/>
        <w:jc w:val="both"/>
        <w:rPr>
          <w:sz w:val="24"/>
          <w:szCs w:val="24"/>
        </w:rPr>
      </w:pPr>
      <w:r w:rsidRPr="00182F87">
        <w:rPr>
          <w:sz w:val="24"/>
          <w:szCs w:val="24"/>
        </w:rPr>
        <w:t xml:space="preserve">Solórzano León, Justo Vinicio. “El peritaje cultural como medio de prueba en los procesos judiciales de Guatemala”. Revista Guatemalteca de Ciencias Penales, Justicia Penal y </w:t>
      </w:r>
      <w:r w:rsidRPr="00182F87">
        <w:rPr>
          <w:sz w:val="24"/>
          <w:szCs w:val="24"/>
        </w:rPr>
        <w:lastRenderedPageBreak/>
        <w:t>Sociedad. Instituto de Estudios Comparados en Ciencias Penales de Guatemala. Año 8-No. 13 Enero 2000.</w:t>
      </w:r>
    </w:p>
    <w:p w:rsidR="00182F87" w:rsidRPr="00182F87" w:rsidRDefault="00182F87" w:rsidP="00182F87">
      <w:pPr>
        <w:pStyle w:val="Textonotapie"/>
        <w:jc w:val="both"/>
        <w:rPr>
          <w:sz w:val="24"/>
          <w:szCs w:val="24"/>
        </w:rPr>
      </w:pPr>
    </w:p>
    <w:p w:rsidR="00A33DB3" w:rsidRPr="00182F87" w:rsidRDefault="00182F87" w:rsidP="00424290">
      <w:pPr>
        <w:pStyle w:val="Textonotapie"/>
        <w:jc w:val="both"/>
        <w:rPr>
          <w:sz w:val="24"/>
          <w:szCs w:val="24"/>
        </w:rPr>
      </w:pPr>
      <w:proofErr w:type="spellStart"/>
      <w:r w:rsidRPr="00182F87">
        <w:rPr>
          <w:iCs/>
          <w:sz w:val="24"/>
          <w:szCs w:val="24"/>
        </w:rPr>
        <w:t>Stavenhagen</w:t>
      </w:r>
      <w:proofErr w:type="spellEnd"/>
      <w:r w:rsidRPr="00182F87">
        <w:rPr>
          <w:iCs/>
          <w:sz w:val="24"/>
          <w:szCs w:val="24"/>
        </w:rPr>
        <w:t xml:space="preserve"> Rodolfo</w:t>
      </w:r>
      <w:r w:rsidRPr="00182F87">
        <w:rPr>
          <w:sz w:val="24"/>
          <w:szCs w:val="24"/>
        </w:rPr>
        <w:t xml:space="preserve">, </w:t>
      </w:r>
      <w:r w:rsidRPr="00182F87">
        <w:rPr>
          <w:iCs/>
          <w:sz w:val="24"/>
          <w:szCs w:val="24"/>
        </w:rPr>
        <w:t>IIDH, Conferencia Mundial contra el racismo, la discriminación racial, la xenofobia y las formas conexas de intolerancia, San José, Costa Rica, 2001</w:t>
      </w:r>
    </w:p>
    <w:p w:rsidR="00182F87" w:rsidRPr="00182F87" w:rsidRDefault="00182F87" w:rsidP="00424290">
      <w:pPr>
        <w:pStyle w:val="Textonotapie"/>
        <w:jc w:val="both"/>
        <w:rPr>
          <w:sz w:val="24"/>
          <w:szCs w:val="24"/>
        </w:rPr>
      </w:pPr>
    </w:p>
    <w:p w:rsidR="00182F87" w:rsidRPr="00182F87" w:rsidRDefault="00182F87" w:rsidP="00182F87">
      <w:pPr>
        <w:pStyle w:val="Textonotapie"/>
        <w:jc w:val="both"/>
        <w:rPr>
          <w:sz w:val="24"/>
          <w:szCs w:val="24"/>
        </w:rPr>
      </w:pPr>
      <w:proofErr w:type="spellStart"/>
      <w:r w:rsidRPr="00182F87">
        <w:rPr>
          <w:sz w:val="24"/>
          <w:szCs w:val="24"/>
        </w:rPr>
        <w:t>Stavenhagen</w:t>
      </w:r>
      <w:proofErr w:type="spellEnd"/>
      <w:r w:rsidRPr="00182F87">
        <w:rPr>
          <w:sz w:val="24"/>
          <w:szCs w:val="24"/>
        </w:rPr>
        <w:t xml:space="preserve">, Rodolfo, Doc. E/CN.4/2003/90/Add.2,10 de febrero 2003.  Citado en el Manual para defender los derechos de los pueblos indígenas, </w:t>
      </w:r>
      <w:proofErr w:type="spellStart"/>
      <w:r w:rsidRPr="00182F87">
        <w:rPr>
          <w:sz w:val="24"/>
          <w:szCs w:val="24"/>
        </w:rPr>
        <w:t>Due</w:t>
      </w:r>
      <w:proofErr w:type="spellEnd"/>
      <w:r w:rsidRPr="00182F87">
        <w:rPr>
          <w:sz w:val="24"/>
          <w:szCs w:val="24"/>
        </w:rPr>
        <w:t xml:space="preserve"> </w:t>
      </w:r>
      <w:proofErr w:type="spellStart"/>
      <w:r w:rsidRPr="00182F87">
        <w:rPr>
          <w:sz w:val="24"/>
          <w:szCs w:val="24"/>
        </w:rPr>
        <w:t>Process</w:t>
      </w:r>
      <w:proofErr w:type="spellEnd"/>
      <w:r w:rsidRPr="00182F87">
        <w:rPr>
          <w:sz w:val="24"/>
          <w:szCs w:val="24"/>
        </w:rPr>
        <w:t xml:space="preserve"> of </w:t>
      </w:r>
      <w:proofErr w:type="spellStart"/>
      <w:r w:rsidRPr="00182F87">
        <w:rPr>
          <w:sz w:val="24"/>
          <w:szCs w:val="24"/>
        </w:rPr>
        <w:t>Law</w:t>
      </w:r>
      <w:proofErr w:type="spellEnd"/>
      <w:r w:rsidRPr="00182F87">
        <w:rPr>
          <w:sz w:val="24"/>
          <w:szCs w:val="24"/>
        </w:rPr>
        <w:t xml:space="preserve"> </w:t>
      </w:r>
      <w:proofErr w:type="spellStart"/>
      <w:r w:rsidRPr="00182F87">
        <w:rPr>
          <w:sz w:val="24"/>
          <w:szCs w:val="24"/>
        </w:rPr>
        <w:t>Fundation</w:t>
      </w:r>
      <w:proofErr w:type="spellEnd"/>
      <w:r w:rsidRPr="00182F87">
        <w:rPr>
          <w:sz w:val="24"/>
          <w:szCs w:val="24"/>
        </w:rPr>
        <w:t xml:space="preserve">, Washington D.C. 2011 </w:t>
      </w:r>
    </w:p>
    <w:p w:rsidR="00182F87" w:rsidRPr="00182F87" w:rsidRDefault="00182F87" w:rsidP="00182F87">
      <w:pPr>
        <w:pStyle w:val="Textonotapie"/>
        <w:jc w:val="both"/>
        <w:rPr>
          <w:sz w:val="24"/>
          <w:szCs w:val="24"/>
        </w:rPr>
      </w:pPr>
    </w:p>
    <w:p w:rsidR="00182F87" w:rsidRPr="00182F87" w:rsidRDefault="00182F87" w:rsidP="00182F87">
      <w:pPr>
        <w:pStyle w:val="Textonotapie"/>
        <w:jc w:val="both"/>
        <w:rPr>
          <w:rFonts w:eastAsia="Calibri" w:cs="Times New Roman"/>
          <w:iCs/>
          <w:sz w:val="24"/>
          <w:szCs w:val="24"/>
        </w:rPr>
      </w:pPr>
      <w:proofErr w:type="spellStart"/>
      <w:r w:rsidRPr="00182F87">
        <w:rPr>
          <w:rFonts w:eastAsia="Calibri" w:cs="Times New Roman"/>
          <w:iCs/>
          <w:sz w:val="24"/>
          <w:szCs w:val="24"/>
        </w:rPr>
        <w:t>Stavenhagen</w:t>
      </w:r>
      <w:proofErr w:type="spellEnd"/>
      <w:r w:rsidRPr="00182F87">
        <w:rPr>
          <w:rFonts w:eastAsia="Calibri" w:cs="Times New Roman"/>
          <w:iCs/>
          <w:sz w:val="24"/>
          <w:szCs w:val="24"/>
        </w:rPr>
        <w:t>, Rodolfo, “Derecho consuetudinario indígena en América Latina”, en Entre la Ley y la Costumbre, Instituto Indigenista Interamericano e Instituto Interamericano de Derechos Humanos, México, 1990</w:t>
      </w:r>
    </w:p>
    <w:p w:rsidR="00182F87" w:rsidRPr="00182F87" w:rsidRDefault="00182F87" w:rsidP="00182F87">
      <w:pPr>
        <w:pStyle w:val="Textonotapie"/>
        <w:jc w:val="both"/>
        <w:rPr>
          <w:rFonts w:eastAsia="Calibri" w:cs="Times New Roman"/>
          <w:iCs/>
          <w:sz w:val="24"/>
          <w:szCs w:val="24"/>
        </w:rPr>
      </w:pPr>
    </w:p>
    <w:p w:rsidR="007335F6" w:rsidRPr="00182F87" w:rsidRDefault="007335F6" w:rsidP="00424290">
      <w:pPr>
        <w:pStyle w:val="Textonotapie"/>
        <w:jc w:val="both"/>
        <w:rPr>
          <w:sz w:val="24"/>
          <w:szCs w:val="24"/>
        </w:rPr>
      </w:pPr>
      <w:r w:rsidRPr="00182F87">
        <w:rPr>
          <w:sz w:val="24"/>
          <w:szCs w:val="24"/>
        </w:rPr>
        <w:t xml:space="preserve">UNICEF. Sistematización de Buenas Prácticas desarrolladas para la promoción de estilos de vida saludables y la atención de la salud materno-infantil en la población indígena </w:t>
      </w:r>
      <w:proofErr w:type="spellStart"/>
      <w:r w:rsidRPr="00182F87">
        <w:rPr>
          <w:sz w:val="24"/>
          <w:szCs w:val="24"/>
        </w:rPr>
        <w:t>Gnöbe</w:t>
      </w:r>
      <w:proofErr w:type="spellEnd"/>
      <w:r w:rsidRPr="00182F87">
        <w:rPr>
          <w:sz w:val="24"/>
          <w:szCs w:val="24"/>
        </w:rPr>
        <w:t xml:space="preserve">. Área de Salud de Coto </w:t>
      </w:r>
      <w:proofErr w:type="spellStart"/>
      <w:r w:rsidRPr="00182F87">
        <w:rPr>
          <w:sz w:val="24"/>
          <w:szCs w:val="24"/>
        </w:rPr>
        <w:t>Brus</w:t>
      </w:r>
      <w:proofErr w:type="spellEnd"/>
      <w:r w:rsidRPr="00182F87">
        <w:rPr>
          <w:sz w:val="24"/>
          <w:szCs w:val="24"/>
        </w:rPr>
        <w:t xml:space="preserve">.  San José, C.R.: UNICEF, 2012. </w:t>
      </w:r>
    </w:p>
    <w:p w:rsidR="007335F6" w:rsidRPr="00182F87" w:rsidRDefault="007335F6" w:rsidP="00424290">
      <w:pPr>
        <w:pStyle w:val="Textonotapie"/>
        <w:jc w:val="both"/>
        <w:rPr>
          <w:sz w:val="24"/>
          <w:szCs w:val="24"/>
        </w:rPr>
      </w:pPr>
    </w:p>
    <w:p w:rsidR="00EE2708" w:rsidRPr="00182F87" w:rsidRDefault="007335F6" w:rsidP="00424290">
      <w:pPr>
        <w:pStyle w:val="Textonotapie"/>
        <w:jc w:val="both"/>
        <w:rPr>
          <w:sz w:val="24"/>
          <w:szCs w:val="24"/>
        </w:rPr>
      </w:pPr>
      <w:r w:rsidRPr="00182F87">
        <w:rPr>
          <w:sz w:val="24"/>
          <w:szCs w:val="24"/>
        </w:rPr>
        <w:t xml:space="preserve">UNICEF-IDESPO. Percepciones de los costarricenses sobre la población </w:t>
      </w:r>
      <w:proofErr w:type="spellStart"/>
      <w:r w:rsidRPr="00182F87">
        <w:rPr>
          <w:sz w:val="24"/>
          <w:szCs w:val="24"/>
        </w:rPr>
        <w:t>afrodescendiente</w:t>
      </w:r>
      <w:proofErr w:type="spellEnd"/>
      <w:r w:rsidRPr="00182F87">
        <w:rPr>
          <w:sz w:val="24"/>
          <w:szCs w:val="24"/>
        </w:rPr>
        <w:t>.  San José, C.R.</w:t>
      </w:r>
      <w:r w:rsidR="00EE2708" w:rsidRPr="00182F87">
        <w:rPr>
          <w:sz w:val="24"/>
          <w:szCs w:val="24"/>
        </w:rPr>
        <w:t xml:space="preserve"> UNICEF-IDESPO, 2010 </w:t>
      </w:r>
    </w:p>
    <w:p w:rsidR="00EE2708" w:rsidRPr="00182F87" w:rsidRDefault="00EE2708" w:rsidP="00424290">
      <w:pPr>
        <w:pStyle w:val="Textonotapie"/>
        <w:jc w:val="both"/>
        <w:rPr>
          <w:sz w:val="24"/>
          <w:szCs w:val="24"/>
        </w:rPr>
      </w:pPr>
    </w:p>
    <w:p w:rsidR="007335F6" w:rsidRPr="00182F87" w:rsidRDefault="007335F6" w:rsidP="00424290">
      <w:pPr>
        <w:pStyle w:val="Textonotapie"/>
        <w:jc w:val="both"/>
        <w:rPr>
          <w:sz w:val="24"/>
          <w:szCs w:val="24"/>
        </w:rPr>
      </w:pPr>
      <w:r w:rsidRPr="00182F87">
        <w:rPr>
          <w:sz w:val="24"/>
          <w:szCs w:val="24"/>
        </w:rPr>
        <w:t xml:space="preserve"> UNICEF-UNAH. Conocimientos y percepciones de la población costarricense sobre los pueblos indígenas. San José, C.R.: UNICEF, 2007. </w:t>
      </w:r>
    </w:p>
    <w:p w:rsidR="001835BE" w:rsidRPr="000473F7" w:rsidRDefault="001835BE" w:rsidP="001835BE">
      <w:pPr>
        <w:pStyle w:val="Textonotapie"/>
        <w:jc w:val="both"/>
        <w:rPr>
          <w:sz w:val="24"/>
          <w:szCs w:val="24"/>
        </w:rPr>
      </w:pPr>
    </w:p>
    <w:p w:rsidR="001835BE" w:rsidRPr="00182F87" w:rsidRDefault="007F61CA" w:rsidP="001835BE">
      <w:pPr>
        <w:pStyle w:val="Textonotapie"/>
        <w:jc w:val="both"/>
        <w:rPr>
          <w:sz w:val="24"/>
          <w:szCs w:val="24"/>
        </w:rPr>
      </w:pPr>
      <w:r>
        <w:rPr>
          <w:sz w:val="24"/>
          <w:szCs w:val="24"/>
        </w:rPr>
        <w:t>UNICEF y PANI, Plan Estratégico Institucional Indígena (PEII) del Patronato Nacional de la Infancia, Informe Final, 2012.</w:t>
      </w: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4750E5" w:rsidRPr="00182F87" w:rsidRDefault="004750E5" w:rsidP="001835BE">
      <w:pPr>
        <w:pStyle w:val="Textonotapie"/>
        <w:jc w:val="both"/>
        <w:rPr>
          <w:sz w:val="24"/>
          <w:szCs w:val="24"/>
        </w:rPr>
      </w:pPr>
    </w:p>
    <w:p w:rsidR="00DD6F34" w:rsidRPr="00182F87" w:rsidRDefault="00DD6F34" w:rsidP="00DD6F34">
      <w:pPr>
        <w:spacing w:after="0" w:line="240" w:lineRule="auto"/>
        <w:jc w:val="both"/>
        <w:rPr>
          <w:sz w:val="24"/>
          <w:szCs w:val="24"/>
        </w:rPr>
      </w:pPr>
    </w:p>
    <w:p w:rsidR="004750E5" w:rsidRPr="00182F87" w:rsidRDefault="004750E5" w:rsidP="001835BE">
      <w:pPr>
        <w:pStyle w:val="Textonotapie"/>
        <w:jc w:val="both"/>
        <w:rPr>
          <w:rFonts w:cstheme="minorHAnsi"/>
          <w:color w:val="0070C0"/>
          <w:sz w:val="24"/>
          <w:szCs w:val="24"/>
        </w:rPr>
      </w:pPr>
    </w:p>
    <w:p w:rsidR="00062C57" w:rsidRPr="00182F87" w:rsidRDefault="00062C57" w:rsidP="00062C57">
      <w:pPr>
        <w:pStyle w:val="Textonotapie"/>
        <w:rPr>
          <w:iCs/>
          <w:sz w:val="24"/>
          <w:szCs w:val="24"/>
        </w:rPr>
      </w:pPr>
    </w:p>
    <w:p w:rsidR="00DD6F34" w:rsidRPr="00182F87" w:rsidRDefault="00DD6F34" w:rsidP="00DD6F34">
      <w:pPr>
        <w:spacing w:after="0" w:line="240" w:lineRule="auto"/>
        <w:jc w:val="both"/>
        <w:rPr>
          <w:rFonts w:cstheme="minorHAnsi"/>
          <w:bCs/>
          <w:color w:val="000000"/>
          <w:sz w:val="24"/>
          <w:szCs w:val="24"/>
        </w:rPr>
      </w:pPr>
    </w:p>
    <w:p w:rsidR="00062C57" w:rsidRPr="00182F87" w:rsidRDefault="00062C57" w:rsidP="00DD6F34">
      <w:pPr>
        <w:spacing w:after="0" w:line="240" w:lineRule="auto"/>
        <w:jc w:val="both"/>
        <w:rPr>
          <w:rFonts w:cstheme="minorHAnsi"/>
          <w:bCs/>
          <w:color w:val="000000"/>
          <w:sz w:val="24"/>
          <w:szCs w:val="24"/>
        </w:rPr>
      </w:pPr>
    </w:p>
    <w:p w:rsidR="00DD6F34" w:rsidRPr="00182F87" w:rsidRDefault="00DD6F34" w:rsidP="00DD6F34">
      <w:pPr>
        <w:spacing w:after="0" w:line="240" w:lineRule="auto"/>
        <w:jc w:val="both"/>
        <w:rPr>
          <w:rFonts w:cstheme="minorHAnsi"/>
          <w:sz w:val="24"/>
          <w:szCs w:val="24"/>
        </w:rPr>
      </w:pPr>
    </w:p>
    <w:p w:rsidR="00062C57" w:rsidRPr="00182F87" w:rsidRDefault="00062C57" w:rsidP="001835BE">
      <w:pPr>
        <w:pStyle w:val="Textonotapie"/>
        <w:jc w:val="both"/>
        <w:rPr>
          <w:rFonts w:cstheme="minorHAnsi"/>
          <w:color w:val="0070C0"/>
          <w:sz w:val="24"/>
          <w:szCs w:val="24"/>
        </w:rPr>
      </w:pPr>
    </w:p>
    <w:p w:rsidR="00062C57" w:rsidRPr="00182F87" w:rsidRDefault="00062C57" w:rsidP="001835BE">
      <w:pPr>
        <w:pStyle w:val="Textonotapie"/>
        <w:jc w:val="both"/>
        <w:rPr>
          <w:rFonts w:cstheme="minorHAnsi"/>
          <w:color w:val="0070C0"/>
          <w:sz w:val="24"/>
          <w:szCs w:val="24"/>
        </w:rPr>
      </w:pPr>
    </w:p>
    <w:p w:rsidR="00062C57" w:rsidRPr="00182F87" w:rsidRDefault="00062C57" w:rsidP="001835BE">
      <w:pPr>
        <w:pStyle w:val="Textonotapie"/>
        <w:jc w:val="both"/>
        <w:rPr>
          <w:rFonts w:cs="ZurichBT-RomanCondensed"/>
          <w:sz w:val="24"/>
          <w:szCs w:val="24"/>
          <w:lang w:eastAsia="es-PA"/>
        </w:rPr>
      </w:pPr>
    </w:p>
    <w:p w:rsidR="00062C57" w:rsidRPr="00182F87" w:rsidRDefault="00062C57" w:rsidP="001835BE">
      <w:pPr>
        <w:pStyle w:val="Textonotapie"/>
        <w:jc w:val="both"/>
        <w:rPr>
          <w:rFonts w:cstheme="minorHAnsi"/>
          <w:color w:val="0070C0"/>
          <w:sz w:val="24"/>
          <w:szCs w:val="24"/>
        </w:rPr>
      </w:pPr>
    </w:p>
    <w:p w:rsidR="00DD6F34" w:rsidRPr="00182F87" w:rsidRDefault="00DD6F34" w:rsidP="001835BE">
      <w:pPr>
        <w:pStyle w:val="Textonotapie"/>
        <w:jc w:val="both"/>
        <w:rPr>
          <w:rFonts w:cstheme="minorHAnsi"/>
          <w:color w:val="0070C0"/>
          <w:sz w:val="24"/>
          <w:szCs w:val="24"/>
        </w:rPr>
      </w:pPr>
    </w:p>
    <w:p w:rsidR="00DD6F34" w:rsidRPr="00182F87" w:rsidRDefault="00DD6F34" w:rsidP="001835BE">
      <w:pPr>
        <w:pStyle w:val="Textonotapie"/>
        <w:jc w:val="both"/>
        <w:rPr>
          <w:rFonts w:cstheme="minorHAnsi"/>
          <w:color w:val="0070C0"/>
          <w:sz w:val="24"/>
          <w:szCs w:val="24"/>
        </w:rPr>
      </w:pPr>
    </w:p>
    <w:p w:rsidR="001835BE" w:rsidRPr="00182F87" w:rsidRDefault="001835BE" w:rsidP="001835BE">
      <w:pPr>
        <w:pStyle w:val="Textonotapie"/>
        <w:jc w:val="both"/>
        <w:rPr>
          <w:sz w:val="24"/>
          <w:szCs w:val="24"/>
        </w:rPr>
      </w:pPr>
    </w:p>
    <w:p w:rsidR="001835BE" w:rsidRPr="00182F87" w:rsidRDefault="001835BE" w:rsidP="001835BE">
      <w:pPr>
        <w:pStyle w:val="Textonotapie"/>
        <w:jc w:val="both"/>
        <w:rPr>
          <w:sz w:val="24"/>
          <w:szCs w:val="24"/>
        </w:rPr>
      </w:pPr>
    </w:p>
    <w:p w:rsidR="001835BE" w:rsidRPr="00182F87" w:rsidRDefault="001835BE" w:rsidP="00424290">
      <w:pPr>
        <w:pStyle w:val="Textonotapie"/>
        <w:jc w:val="both"/>
        <w:rPr>
          <w:sz w:val="24"/>
          <w:szCs w:val="24"/>
        </w:rPr>
      </w:pPr>
    </w:p>
    <w:sectPr w:rsidR="001835BE" w:rsidRPr="00182F87" w:rsidSect="001700D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ZurichBT-Roman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4052AC"/>
    <w:rsid w:val="000473F7"/>
    <w:rsid w:val="00062C57"/>
    <w:rsid w:val="001700D8"/>
    <w:rsid w:val="00182F87"/>
    <w:rsid w:val="001835BE"/>
    <w:rsid w:val="002A2119"/>
    <w:rsid w:val="00390660"/>
    <w:rsid w:val="003D2828"/>
    <w:rsid w:val="004052AC"/>
    <w:rsid w:val="00424290"/>
    <w:rsid w:val="004750E5"/>
    <w:rsid w:val="004C670F"/>
    <w:rsid w:val="007335F6"/>
    <w:rsid w:val="007F61CA"/>
    <w:rsid w:val="009919B5"/>
    <w:rsid w:val="009A1CED"/>
    <w:rsid w:val="00A33DB3"/>
    <w:rsid w:val="00AA61EA"/>
    <w:rsid w:val="00C53C94"/>
    <w:rsid w:val="00C609C1"/>
    <w:rsid w:val="00DD6F34"/>
    <w:rsid w:val="00E02FAB"/>
    <w:rsid w:val="00EE2708"/>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semiHidden/>
    <w:locked/>
    <w:rsid w:val="00424290"/>
    <w:rPr>
      <w:sz w:val="20"/>
      <w:szCs w:val="20"/>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semiHidden/>
    <w:unhideWhenUsed/>
    <w:rsid w:val="00424290"/>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424290"/>
    <w:rPr>
      <w:sz w:val="20"/>
      <w:szCs w:val="20"/>
    </w:rPr>
  </w:style>
  <w:style w:type="character" w:styleId="Refdenotaalpie">
    <w:name w:val="footnote reference"/>
    <w:basedOn w:val="Fuentedeprrafopredeter"/>
    <w:uiPriority w:val="99"/>
    <w:semiHidden/>
    <w:unhideWhenUsed/>
    <w:rsid w:val="00424290"/>
    <w:rPr>
      <w:vertAlign w:val="superscript"/>
    </w:rPr>
  </w:style>
  <w:style w:type="character" w:customStyle="1" w:styleId="apple-converted-space">
    <w:name w:val="apple-converted-space"/>
    <w:basedOn w:val="Fuentedeprrafopredeter"/>
    <w:rsid w:val="001835BE"/>
  </w:style>
  <w:style w:type="character" w:styleId="nfasis">
    <w:name w:val="Emphasis"/>
    <w:basedOn w:val="Fuentedeprrafopredeter"/>
    <w:uiPriority w:val="20"/>
    <w:qFormat/>
    <w:rsid w:val="001835BE"/>
    <w:rPr>
      <w:i/>
      <w:iCs/>
    </w:rPr>
  </w:style>
  <w:style w:type="character" w:styleId="Hipervnculo">
    <w:name w:val="Hyperlink"/>
    <w:basedOn w:val="Fuentedeprrafopredeter"/>
    <w:uiPriority w:val="99"/>
    <w:unhideWhenUsed/>
    <w:rsid w:val="004750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2198">
      <w:bodyDiv w:val="1"/>
      <w:marLeft w:val="0"/>
      <w:marRight w:val="0"/>
      <w:marTop w:val="0"/>
      <w:marBottom w:val="0"/>
      <w:divBdr>
        <w:top w:val="none" w:sz="0" w:space="0" w:color="auto"/>
        <w:left w:val="none" w:sz="0" w:space="0" w:color="auto"/>
        <w:bottom w:val="none" w:sz="0" w:space="0" w:color="auto"/>
        <w:right w:val="none" w:sz="0" w:space="0" w:color="auto"/>
      </w:divBdr>
    </w:div>
    <w:div w:id="30690982">
      <w:bodyDiv w:val="1"/>
      <w:marLeft w:val="0"/>
      <w:marRight w:val="0"/>
      <w:marTop w:val="0"/>
      <w:marBottom w:val="0"/>
      <w:divBdr>
        <w:top w:val="none" w:sz="0" w:space="0" w:color="auto"/>
        <w:left w:val="none" w:sz="0" w:space="0" w:color="auto"/>
        <w:bottom w:val="none" w:sz="0" w:space="0" w:color="auto"/>
        <w:right w:val="none" w:sz="0" w:space="0" w:color="auto"/>
      </w:divBdr>
    </w:div>
    <w:div w:id="108204312">
      <w:bodyDiv w:val="1"/>
      <w:marLeft w:val="0"/>
      <w:marRight w:val="0"/>
      <w:marTop w:val="0"/>
      <w:marBottom w:val="0"/>
      <w:divBdr>
        <w:top w:val="none" w:sz="0" w:space="0" w:color="auto"/>
        <w:left w:val="none" w:sz="0" w:space="0" w:color="auto"/>
        <w:bottom w:val="none" w:sz="0" w:space="0" w:color="auto"/>
        <w:right w:val="none" w:sz="0" w:space="0" w:color="auto"/>
      </w:divBdr>
    </w:div>
    <w:div w:id="108428711">
      <w:bodyDiv w:val="1"/>
      <w:marLeft w:val="0"/>
      <w:marRight w:val="0"/>
      <w:marTop w:val="0"/>
      <w:marBottom w:val="0"/>
      <w:divBdr>
        <w:top w:val="none" w:sz="0" w:space="0" w:color="auto"/>
        <w:left w:val="none" w:sz="0" w:space="0" w:color="auto"/>
        <w:bottom w:val="none" w:sz="0" w:space="0" w:color="auto"/>
        <w:right w:val="none" w:sz="0" w:space="0" w:color="auto"/>
      </w:divBdr>
    </w:div>
    <w:div w:id="115025926">
      <w:bodyDiv w:val="1"/>
      <w:marLeft w:val="0"/>
      <w:marRight w:val="0"/>
      <w:marTop w:val="0"/>
      <w:marBottom w:val="0"/>
      <w:divBdr>
        <w:top w:val="none" w:sz="0" w:space="0" w:color="auto"/>
        <w:left w:val="none" w:sz="0" w:space="0" w:color="auto"/>
        <w:bottom w:val="none" w:sz="0" w:space="0" w:color="auto"/>
        <w:right w:val="none" w:sz="0" w:space="0" w:color="auto"/>
      </w:divBdr>
    </w:div>
    <w:div w:id="234979118">
      <w:bodyDiv w:val="1"/>
      <w:marLeft w:val="0"/>
      <w:marRight w:val="0"/>
      <w:marTop w:val="0"/>
      <w:marBottom w:val="0"/>
      <w:divBdr>
        <w:top w:val="none" w:sz="0" w:space="0" w:color="auto"/>
        <w:left w:val="none" w:sz="0" w:space="0" w:color="auto"/>
        <w:bottom w:val="none" w:sz="0" w:space="0" w:color="auto"/>
        <w:right w:val="none" w:sz="0" w:space="0" w:color="auto"/>
      </w:divBdr>
    </w:div>
    <w:div w:id="268200674">
      <w:bodyDiv w:val="1"/>
      <w:marLeft w:val="0"/>
      <w:marRight w:val="0"/>
      <w:marTop w:val="0"/>
      <w:marBottom w:val="0"/>
      <w:divBdr>
        <w:top w:val="none" w:sz="0" w:space="0" w:color="auto"/>
        <w:left w:val="none" w:sz="0" w:space="0" w:color="auto"/>
        <w:bottom w:val="none" w:sz="0" w:space="0" w:color="auto"/>
        <w:right w:val="none" w:sz="0" w:space="0" w:color="auto"/>
      </w:divBdr>
    </w:div>
    <w:div w:id="326906017">
      <w:bodyDiv w:val="1"/>
      <w:marLeft w:val="0"/>
      <w:marRight w:val="0"/>
      <w:marTop w:val="0"/>
      <w:marBottom w:val="0"/>
      <w:divBdr>
        <w:top w:val="none" w:sz="0" w:space="0" w:color="auto"/>
        <w:left w:val="none" w:sz="0" w:space="0" w:color="auto"/>
        <w:bottom w:val="none" w:sz="0" w:space="0" w:color="auto"/>
        <w:right w:val="none" w:sz="0" w:space="0" w:color="auto"/>
      </w:divBdr>
    </w:div>
    <w:div w:id="333076101">
      <w:bodyDiv w:val="1"/>
      <w:marLeft w:val="0"/>
      <w:marRight w:val="0"/>
      <w:marTop w:val="0"/>
      <w:marBottom w:val="0"/>
      <w:divBdr>
        <w:top w:val="none" w:sz="0" w:space="0" w:color="auto"/>
        <w:left w:val="none" w:sz="0" w:space="0" w:color="auto"/>
        <w:bottom w:val="none" w:sz="0" w:space="0" w:color="auto"/>
        <w:right w:val="none" w:sz="0" w:space="0" w:color="auto"/>
      </w:divBdr>
    </w:div>
    <w:div w:id="338385157">
      <w:bodyDiv w:val="1"/>
      <w:marLeft w:val="0"/>
      <w:marRight w:val="0"/>
      <w:marTop w:val="0"/>
      <w:marBottom w:val="0"/>
      <w:divBdr>
        <w:top w:val="none" w:sz="0" w:space="0" w:color="auto"/>
        <w:left w:val="none" w:sz="0" w:space="0" w:color="auto"/>
        <w:bottom w:val="none" w:sz="0" w:space="0" w:color="auto"/>
        <w:right w:val="none" w:sz="0" w:space="0" w:color="auto"/>
      </w:divBdr>
    </w:div>
    <w:div w:id="373163209">
      <w:bodyDiv w:val="1"/>
      <w:marLeft w:val="0"/>
      <w:marRight w:val="0"/>
      <w:marTop w:val="0"/>
      <w:marBottom w:val="0"/>
      <w:divBdr>
        <w:top w:val="none" w:sz="0" w:space="0" w:color="auto"/>
        <w:left w:val="none" w:sz="0" w:space="0" w:color="auto"/>
        <w:bottom w:val="none" w:sz="0" w:space="0" w:color="auto"/>
        <w:right w:val="none" w:sz="0" w:space="0" w:color="auto"/>
      </w:divBdr>
    </w:div>
    <w:div w:id="385878893">
      <w:bodyDiv w:val="1"/>
      <w:marLeft w:val="0"/>
      <w:marRight w:val="0"/>
      <w:marTop w:val="0"/>
      <w:marBottom w:val="0"/>
      <w:divBdr>
        <w:top w:val="none" w:sz="0" w:space="0" w:color="auto"/>
        <w:left w:val="none" w:sz="0" w:space="0" w:color="auto"/>
        <w:bottom w:val="none" w:sz="0" w:space="0" w:color="auto"/>
        <w:right w:val="none" w:sz="0" w:space="0" w:color="auto"/>
      </w:divBdr>
    </w:div>
    <w:div w:id="440029924">
      <w:bodyDiv w:val="1"/>
      <w:marLeft w:val="0"/>
      <w:marRight w:val="0"/>
      <w:marTop w:val="0"/>
      <w:marBottom w:val="0"/>
      <w:divBdr>
        <w:top w:val="none" w:sz="0" w:space="0" w:color="auto"/>
        <w:left w:val="none" w:sz="0" w:space="0" w:color="auto"/>
        <w:bottom w:val="none" w:sz="0" w:space="0" w:color="auto"/>
        <w:right w:val="none" w:sz="0" w:space="0" w:color="auto"/>
      </w:divBdr>
    </w:div>
    <w:div w:id="451096456">
      <w:bodyDiv w:val="1"/>
      <w:marLeft w:val="0"/>
      <w:marRight w:val="0"/>
      <w:marTop w:val="0"/>
      <w:marBottom w:val="0"/>
      <w:divBdr>
        <w:top w:val="none" w:sz="0" w:space="0" w:color="auto"/>
        <w:left w:val="none" w:sz="0" w:space="0" w:color="auto"/>
        <w:bottom w:val="none" w:sz="0" w:space="0" w:color="auto"/>
        <w:right w:val="none" w:sz="0" w:space="0" w:color="auto"/>
      </w:divBdr>
    </w:div>
    <w:div w:id="462507226">
      <w:bodyDiv w:val="1"/>
      <w:marLeft w:val="0"/>
      <w:marRight w:val="0"/>
      <w:marTop w:val="0"/>
      <w:marBottom w:val="0"/>
      <w:divBdr>
        <w:top w:val="none" w:sz="0" w:space="0" w:color="auto"/>
        <w:left w:val="none" w:sz="0" w:space="0" w:color="auto"/>
        <w:bottom w:val="none" w:sz="0" w:space="0" w:color="auto"/>
        <w:right w:val="none" w:sz="0" w:space="0" w:color="auto"/>
      </w:divBdr>
    </w:div>
    <w:div w:id="488059922">
      <w:bodyDiv w:val="1"/>
      <w:marLeft w:val="0"/>
      <w:marRight w:val="0"/>
      <w:marTop w:val="0"/>
      <w:marBottom w:val="0"/>
      <w:divBdr>
        <w:top w:val="none" w:sz="0" w:space="0" w:color="auto"/>
        <w:left w:val="none" w:sz="0" w:space="0" w:color="auto"/>
        <w:bottom w:val="none" w:sz="0" w:space="0" w:color="auto"/>
        <w:right w:val="none" w:sz="0" w:space="0" w:color="auto"/>
      </w:divBdr>
    </w:div>
    <w:div w:id="519053225">
      <w:bodyDiv w:val="1"/>
      <w:marLeft w:val="0"/>
      <w:marRight w:val="0"/>
      <w:marTop w:val="0"/>
      <w:marBottom w:val="0"/>
      <w:divBdr>
        <w:top w:val="none" w:sz="0" w:space="0" w:color="auto"/>
        <w:left w:val="none" w:sz="0" w:space="0" w:color="auto"/>
        <w:bottom w:val="none" w:sz="0" w:space="0" w:color="auto"/>
        <w:right w:val="none" w:sz="0" w:space="0" w:color="auto"/>
      </w:divBdr>
    </w:div>
    <w:div w:id="521091850">
      <w:bodyDiv w:val="1"/>
      <w:marLeft w:val="0"/>
      <w:marRight w:val="0"/>
      <w:marTop w:val="0"/>
      <w:marBottom w:val="0"/>
      <w:divBdr>
        <w:top w:val="none" w:sz="0" w:space="0" w:color="auto"/>
        <w:left w:val="none" w:sz="0" w:space="0" w:color="auto"/>
        <w:bottom w:val="none" w:sz="0" w:space="0" w:color="auto"/>
        <w:right w:val="none" w:sz="0" w:space="0" w:color="auto"/>
      </w:divBdr>
    </w:div>
    <w:div w:id="589432691">
      <w:bodyDiv w:val="1"/>
      <w:marLeft w:val="0"/>
      <w:marRight w:val="0"/>
      <w:marTop w:val="0"/>
      <w:marBottom w:val="0"/>
      <w:divBdr>
        <w:top w:val="none" w:sz="0" w:space="0" w:color="auto"/>
        <w:left w:val="none" w:sz="0" w:space="0" w:color="auto"/>
        <w:bottom w:val="none" w:sz="0" w:space="0" w:color="auto"/>
        <w:right w:val="none" w:sz="0" w:space="0" w:color="auto"/>
      </w:divBdr>
    </w:div>
    <w:div w:id="603461062">
      <w:bodyDiv w:val="1"/>
      <w:marLeft w:val="0"/>
      <w:marRight w:val="0"/>
      <w:marTop w:val="0"/>
      <w:marBottom w:val="0"/>
      <w:divBdr>
        <w:top w:val="none" w:sz="0" w:space="0" w:color="auto"/>
        <w:left w:val="none" w:sz="0" w:space="0" w:color="auto"/>
        <w:bottom w:val="none" w:sz="0" w:space="0" w:color="auto"/>
        <w:right w:val="none" w:sz="0" w:space="0" w:color="auto"/>
      </w:divBdr>
    </w:div>
    <w:div w:id="624428956">
      <w:bodyDiv w:val="1"/>
      <w:marLeft w:val="0"/>
      <w:marRight w:val="0"/>
      <w:marTop w:val="0"/>
      <w:marBottom w:val="0"/>
      <w:divBdr>
        <w:top w:val="none" w:sz="0" w:space="0" w:color="auto"/>
        <w:left w:val="none" w:sz="0" w:space="0" w:color="auto"/>
        <w:bottom w:val="none" w:sz="0" w:space="0" w:color="auto"/>
        <w:right w:val="none" w:sz="0" w:space="0" w:color="auto"/>
      </w:divBdr>
    </w:div>
    <w:div w:id="647168849">
      <w:bodyDiv w:val="1"/>
      <w:marLeft w:val="0"/>
      <w:marRight w:val="0"/>
      <w:marTop w:val="0"/>
      <w:marBottom w:val="0"/>
      <w:divBdr>
        <w:top w:val="none" w:sz="0" w:space="0" w:color="auto"/>
        <w:left w:val="none" w:sz="0" w:space="0" w:color="auto"/>
        <w:bottom w:val="none" w:sz="0" w:space="0" w:color="auto"/>
        <w:right w:val="none" w:sz="0" w:space="0" w:color="auto"/>
      </w:divBdr>
    </w:div>
    <w:div w:id="680159234">
      <w:bodyDiv w:val="1"/>
      <w:marLeft w:val="0"/>
      <w:marRight w:val="0"/>
      <w:marTop w:val="0"/>
      <w:marBottom w:val="0"/>
      <w:divBdr>
        <w:top w:val="none" w:sz="0" w:space="0" w:color="auto"/>
        <w:left w:val="none" w:sz="0" w:space="0" w:color="auto"/>
        <w:bottom w:val="none" w:sz="0" w:space="0" w:color="auto"/>
        <w:right w:val="none" w:sz="0" w:space="0" w:color="auto"/>
      </w:divBdr>
    </w:div>
    <w:div w:id="721369222">
      <w:bodyDiv w:val="1"/>
      <w:marLeft w:val="0"/>
      <w:marRight w:val="0"/>
      <w:marTop w:val="0"/>
      <w:marBottom w:val="0"/>
      <w:divBdr>
        <w:top w:val="none" w:sz="0" w:space="0" w:color="auto"/>
        <w:left w:val="none" w:sz="0" w:space="0" w:color="auto"/>
        <w:bottom w:val="none" w:sz="0" w:space="0" w:color="auto"/>
        <w:right w:val="none" w:sz="0" w:space="0" w:color="auto"/>
      </w:divBdr>
    </w:div>
    <w:div w:id="760613460">
      <w:bodyDiv w:val="1"/>
      <w:marLeft w:val="0"/>
      <w:marRight w:val="0"/>
      <w:marTop w:val="0"/>
      <w:marBottom w:val="0"/>
      <w:divBdr>
        <w:top w:val="none" w:sz="0" w:space="0" w:color="auto"/>
        <w:left w:val="none" w:sz="0" w:space="0" w:color="auto"/>
        <w:bottom w:val="none" w:sz="0" w:space="0" w:color="auto"/>
        <w:right w:val="none" w:sz="0" w:space="0" w:color="auto"/>
      </w:divBdr>
    </w:div>
    <w:div w:id="761798859">
      <w:bodyDiv w:val="1"/>
      <w:marLeft w:val="0"/>
      <w:marRight w:val="0"/>
      <w:marTop w:val="0"/>
      <w:marBottom w:val="0"/>
      <w:divBdr>
        <w:top w:val="none" w:sz="0" w:space="0" w:color="auto"/>
        <w:left w:val="none" w:sz="0" w:space="0" w:color="auto"/>
        <w:bottom w:val="none" w:sz="0" w:space="0" w:color="auto"/>
        <w:right w:val="none" w:sz="0" w:space="0" w:color="auto"/>
      </w:divBdr>
    </w:div>
    <w:div w:id="767503089">
      <w:bodyDiv w:val="1"/>
      <w:marLeft w:val="0"/>
      <w:marRight w:val="0"/>
      <w:marTop w:val="0"/>
      <w:marBottom w:val="0"/>
      <w:divBdr>
        <w:top w:val="none" w:sz="0" w:space="0" w:color="auto"/>
        <w:left w:val="none" w:sz="0" w:space="0" w:color="auto"/>
        <w:bottom w:val="none" w:sz="0" w:space="0" w:color="auto"/>
        <w:right w:val="none" w:sz="0" w:space="0" w:color="auto"/>
      </w:divBdr>
    </w:div>
    <w:div w:id="814755572">
      <w:bodyDiv w:val="1"/>
      <w:marLeft w:val="0"/>
      <w:marRight w:val="0"/>
      <w:marTop w:val="0"/>
      <w:marBottom w:val="0"/>
      <w:divBdr>
        <w:top w:val="none" w:sz="0" w:space="0" w:color="auto"/>
        <w:left w:val="none" w:sz="0" w:space="0" w:color="auto"/>
        <w:bottom w:val="none" w:sz="0" w:space="0" w:color="auto"/>
        <w:right w:val="none" w:sz="0" w:space="0" w:color="auto"/>
      </w:divBdr>
    </w:div>
    <w:div w:id="863400391">
      <w:bodyDiv w:val="1"/>
      <w:marLeft w:val="0"/>
      <w:marRight w:val="0"/>
      <w:marTop w:val="0"/>
      <w:marBottom w:val="0"/>
      <w:divBdr>
        <w:top w:val="none" w:sz="0" w:space="0" w:color="auto"/>
        <w:left w:val="none" w:sz="0" w:space="0" w:color="auto"/>
        <w:bottom w:val="none" w:sz="0" w:space="0" w:color="auto"/>
        <w:right w:val="none" w:sz="0" w:space="0" w:color="auto"/>
      </w:divBdr>
    </w:div>
    <w:div w:id="874266922">
      <w:bodyDiv w:val="1"/>
      <w:marLeft w:val="0"/>
      <w:marRight w:val="0"/>
      <w:marTop w:val="0"/>
      <w:marBottom w:val="0"/>
      <w:divBdr>
        <w:top w:val="none" w:sz="0" w:space="0" w:color="auto"/>
        <w:left w:val="none" w:sz="0" w:space="0" w:color="auto"/>
        <w:bottom w:val="none" w:sz="0" w:space="0" w:color="auto"/>
        <w:right w:val="none" w:sz="0" w:space="0" w:color="auto"/>
      </w:divBdr>
    </w:div>
    <w:div w:id="934752567">
      <w:bodyDiv w:val="1"/>
      <w:marLeft w:val="0"/>
      <w:marRight w:val="0"/>
      <w:marTop w:val="0"/>
      <w:marBottom w:val="0"/>
      <w:divBdr>
        <w:top w:val="none" w:sz="0" w:space="0" w:color="auto"/>
        <w:left w:val="none" w:sz="0" w:space="0" w:color="auto"/>
        <w:bottom w:val="none" w:sz="0" w:space="0" w:color="auto"/>
        <w:right w:val="none" w:sz="0" w:space="0" w:color="auto"/>
      </w:divBdr>
    </w:div>
    <w:div w:id="1114710389">
      <w:bodyDiv w:val="1"/>
      <w:marLeft w:val="0"/>
      <w:marRight w:val="0"/>
      <w:marTop w:val="0"/>
      <w:marBottom w:val="0"/>
      <w:divBdr>
        <w:top w:val="none" w:sz="0" w:space="0" w:color="auto"/>
        <w:left w:val="none" w:sz="0" w:space="0" w:color="auto"/>
        <w:bottom w:val="none" w:sz="0" w:space="0" w:color="auto"/>
        <w:right w:val="none" w:sz="0" w:space="0" w:color="auto"/>
      </w:divBdr>
    </w:div>
    <w:div w:id="1117258318">
      <w:bodyDiv w:val="1"/>
      <w:marLeft w:val="0"/>
      <w:marRight w:val="0"/>
      <w:marTop w:val="0"/>
      <w:marBottom w:val="0"/>
      <w:divBdr>
        <w:top w:val="none" w:sz="0" w:space="0" w:color="auto"/>
        <w:left w:val="none" w:sz="0" w:space="0" w:color="auto"/>
        <w:bottom w:val="none" w:sz="0" w:space="0" w:color="auto"/>
        <w:right w:val="none" w:sz="0" w:space="0" w:color="auto"/>
      </w:divBdr>
    </w:div>
    <w:div w:id="1127047272">
      <w:bodyDiv w:val="1"/>
      <w:marLeft w:val="0"/>
      <w:marRight w:val="0"/>
      <w:marTop w:val="0"/>
      <w:marBottom w:val="0"/>
      <w:divBdr>
        <w:top w:val="none" w:sz="0" w:space="0" w:color="auto"/>
        <w:left w:val="none" w:sz="0" w:space="0" w:color="auto"/>
        <w:bottom w:val="none" w:sz="0" w:space="0" w:color="auto"/>
        <w:right w:val="none" w:sz="0" w:space="0" w:color="auto"/>
      </w:divBdr>
    </w:div>
    <w:div w:id="1139034522">
      <w:bodyDiv w:val="1"/>
      <w:marLeft w:val="0"/>
      <w:marRight w:val="0"/>
      <w:marTop w:val="0"/>
      <w:marBottom w:val="0"/>
      <w:divBdr>
        <w:top w:val="none" w:sz="0" w:space="0" w:color="auto"/>
        <w:left w:val="none" w:sz="0" w:space="0" w:color="auto"/>
        <w:bottom w:val="none" w:sz="0" w:space="0" w:color="auto"/>
        <w:right w:val="none" w:sz="0" w:space="0" w:color="auto"/>
      </w:divBdr>
    </w:div>
    <w:div w:id="1191339861">
      <w:bodyDiv w:val="1"/>
      <w:marLeft w:val="0"/>
      <w:marRight w:val="0"/>
      <w:marTop w:val="0"/>
      <w:marBottom w:val="0"/>
      <w:divBdr>
        <w:top w:val="none" w:sz="0" w:space="0" w:color="auto"/>
        <w:left w:val="none" w:sz="0" w:space="0" w:color="auto"/>
        <w:bottom w:val="none" w:sz="0" w:space="0" w:color="auto"/>
        <w:right w:val="none" w:sz="0" w:space="0" w:color="auto"/>
      </w:divBdr>
    </w:div>
    <w:div w:id="1212886754">
      <w:bodyDiv w:val="1"/>
      <w:marLeft w:val="0"/>
      <w:marRight w:val="0"/>
      <w:marTop w:val="0"/>
      <w:marBottom w:val="0"/>
      <w:divBdr>
        <w:top w:val="none" w:sz="0" w:space="0" w:color="auto"/>
        <w:left w:val="none" w:sz="0" w:space="0" w:color="auto"/>
        <w:bottom w:val="none" w:sz="0" w:space="0" w:color="auto"/>
        <w:right w:val="none" w:sz="0" w:space="0" w:color="auto"/>
      </w:divBdr>
    </w:div>
    <w:div w:id="1266380817">
      <w:bodyDiv w:val="1"/>
      <w:marLeft w:val="0"/>
      <w:marRight w:val="0"/>
      <w:marTop w:val="0"/>
      <w:marBottom w:val="0"/>
      <w:divBdr>
        <w:top w:val="none" w:sz="0" w:space="0" w:color="auto"/>
        <w:left w:val="none" w:sz="0" w:space="0" w:color="auto"/>
        <w:bottom w:val="none" w:sz="0" w:space="0" w:color="auto"/>
        <w:right w:val="none" w:sz="0" w:space="0" w:color="auto"/>
      </w:divBdr>
    </w:div>
    <w:div w:id="1272398474">
      <w:bodyDiv w:val="1"/>
      <w:marLeft w:val="0"/>
      <w:marRight w:val="0"/>
      <w:marTop w:val="0"/>
      <w:marBottom w:val="0"/>
      <w:divBdr>
        <w:top w:val="none" w:sz="0" w:space="0" w:color="auto"/>
        <w:left w:val="none" w:sz="0" w:space="0" w:color="auto"/>
        <w:bottom w:val="none" w:sz="0" w:space="0" w:color="auto"/>
        <w:right w:val="none" w:sz="0" w:space="0" w:color="auto"/>
      </w:divBdr>
    </w:div>
    <w:div w:id="1272859072">
      <w:bodyDiv w:val="1"/>
      <w:marLeft w:val="0"/>
      <w:marRight w:val="0"/>
      <w:marTop w:val="0"/>
      <w:marBottom w:val="0"/>
      <w:divBdr>
        <w:top w:val="none" w:sz="0" w:space="0" w:color="auto"/>
        <w:left w:val="none" w:sz="0" w:space="0" w:color="auto"/>
        <w:bottom w:val="none" w:sz="0" w:space="0" w:color="auto"/>
        <w:right w:val="none" w:sz="0" w:space="0" w:color="auto"/>
      </w:divBdr>
    </w:div>
    <w:div w:id="1274821419">
      <w:bodyDiv w:val="1"/>
      <w:marLeft w:val="0"/>
      <w:marRight w:val="0"/>
      <w:marTop w:val="0"/>
      <w:marBottom w:val="0"/>
      <w:divBdr>
        <w:top w:val="none" w:sz="0" w:space="0" w:color="auto"/>
        <w:left w:val="none" w:sz="0" w:space="0" w:color="auto"/>
        <w:bottom w:val="none" w:sz="0" w:space="0" w:color="auto"/>
        <w:right w:val="none" w:sz="0" w:space="0" w:color="auto"/>
      </w:divBdr>
    </w:div>
    <w:div w:id="1350906926">
      <w:bodyDiv w:val="1"/>
      <w:marLeft w:val="0"/>
      <w:marRight w:val="0"/>
      <w:marTop w:val="0"/>
      <w:marBottom w:val="0"/>
      <w:divBdr>
        <w:top w:val="none" w:sz="0" w:space="0" w:color="auto"/>
        <w:left w:val="none" w:sz="0" w:space="0" w:color="auto"/>
        <w:bottom w:val="none" w:sz="0" w:space="0" w:color="auto"/>
        <w:right w:val="none" w:sz="0" w:space="0" w:color="auto"/>
      </w:divBdr>
    </w:div>
    <w:div w:id="1395277848">
      <w:bodyDiv w:val="1"/>
      <w:marLeft w:val="0"/>
      <w:marRight w:val="0"/>
      <w:marTop w:val="0"/>
      <w:marBottom w:val="0"/>
      <w:divBdr>
        <w:top w:val="none" w:sz="0" w:space="0" w:color="auto"/>
        <w:left w:val="none" w:sz="0" w:space="0" w:color="auto"/>
        <w:bottom w:val="none" w:sz="0" w:space="0" w:color="auto"/>
        <w:right w:val="none" w:sz="0" w:space="0" w:color="auto"/>
      </w:divBdr>
    </w:div>
    <w:div w:id="1405563127">
      <w:bodyDiv w:val="1"/>
      <w:marLeft w:val="0"/>
      <w:marRight w:val="0"/>
      <w:marTop w:val="0"/>
      <w:marBottom w:val="0"/>
      <w:divBdr>
        <w:top w:val="none" w:sz="0" w:space="0" w:color="auto"/>
        <w:left w:val="none" w:sz="0" w:space="0" w:color="auto"/>
        <w:bottom w:val="none" w:sz="0" w:space="0" w:color="auto"/>
        <w:right w:val="none" w:sz="0" w:space="0" w:color="auto"/>
      </w:divBdr>
    </w:div>
    <w:div w:id="1476726877">
      <w:bodyDiv w:val="1"/>
      <w:marLeft w:val="0"/>
      <w:marRight w:val="0"/>
      <w:marTop w:val="0"/>
      <w:marBottom w:val="0"/>
      <w:divBdr>
        <w:top w:val="none" w:sz="0" w:space="0" w:color="auto"/>
        <w:left w:val="none" w:sz="0" w:space="0" w:color="auto"/>
        <w:bottom w:val="none" w:sz="0" w:space="0" w:color="auto"/>
        <w:right w:val="none" w:sz="0" w:space="0" w:color="auto"/>
      </w:divBdr>
    </w:div>
    <w:div w:id="1535924432">
      <w:bodyDiv w:val="1"/>
      <w:marLeft w:val="0"/>
      <w:marRight w:val="0"/>
      <w:marTop w:val="0"/>
      <w:marBottom w:val="0"/>
      <w:divBdr>
        <w:top w:val="none" w:sz="0" w:space="0" w:color="auto"/>
        <w:left w:val="none" w:sz="0" w:space="0" w:color="auto"/>
        <w:bottom w:val="none" w:sz="0" w:space="0" w:color="auto"/>
        <w:right w:val="none" w:sz="0" w:space="0" w:color="auto"/>
      </w:divBdr>
    </w:div>
    <w:div w:id="1555114438">
      <w:bodyDiv w:val="1"/>
      <w:marLeft w:val="0"/>
      <w:marRight w:val="0"/>
      <w:marTop w:val="0"/>
      <w:marBottom w:val="0"/>
      <w:divBdr>
        <w:top w:val="none" w:sz="0" w:space="0" w:color="auto"/>
        <w:left w:val="none" w:sz="0" w:space="0" w:color="auto"/>
        <w:bottom w:val="none" w:sz="0" w:space="0" w:color="auto"/>
        <w:right w:val="none" w:sz="0" w:space="0" w:color="auto"/>
      </w:divBdr>
    </w:div>
    <w:div w:id="1560745988">
      <w:bodyDiv w:val="1"/>
      <w:marLeft w:val="0"/>
      <w:marRight w:val="0"/>
      <w:marTop w:val="0"/>
      <w:marBottom w:val="0"/>
      <w:divBdr>
        <w:top w:val="none" w:sz="0" w:space="0" w:color="auto"/>
        <w:left w:val="none" w:sz="0" w:space="0" w:color="auto"/>
        <w:bottom w:val="none" w:sz="0" w:space="0" w:color="auto"/>
        <w:right w:val="none" w:sz="0" w:space="0" w:color="auto"/>
      </w:divBdr>
    </w:div>
    <w:div w:id="1591616231">
      <w:bodyDiv w:val="1"/>
      <w:marLeft w:val="0"/>
      <w:marRight w:val="0"/>
      <w:marTop w:val="0"/>
      <w:marBottom w:val="0"/>
      <w:divBdr>
        <w:top w:val="none" w:sz="0" w:space="0" w:color="auto"/>
        <w:left w:val="none" w:sz="0" w:space="0" w:color="auto"/>
        <w:bottom w:val="none" w:sz="0" w:space="0" w:color="auto"/>
        <w:right w:val="none" w:sz="0" w:space="0" w:color="auto"/>
      </w:divBdr>
    </w:div>
    <w:div w:id="1635017028">
      <w:bodyDiv w:val="1"/>
      <w:marLeft w:val="0"/>
      <w:marRight w:val="0"/>
      <w:marTop w:val="0"/>
      <w:marBottom w:val="0"/>
      <w:divBdr>
        <w:top w:val="none" w:sz="0" w:space="0" w:color="auto"/>
        <w:left w:val="none" w:sz="0" w:space="0" w:color="auto"/>
        <w:bottom w:val="none" w:sz="0" w:space="0" w:color="auto"/>
        <w:right w:val="none" w:sz="0" w:space="0" w:color="auto"/>
      </w:divBdr>
    </w:div>
    <w:div w:id="1797749931">
      <w:bodyDiv w:val="1"/>
      <w:marLeft w:val="0"/>
      <w:marRight w:val="0"/>
      <w:marTop w:val="0"/>
      <w:marBottom w:val="0"/>
      <w:divBdr>
        <w:top w:val="none" w:sz="0" w:space="0" w:color="auto"/>
        <w:left w:val="none" w:sz="0" w:space="0" w:color="auto"/>
        <w:bottom w:val="none" w:sz="0" w:space="0" w:color="auto"/>
        <w:right w:val="none" w:sz="0" w:space="0" w:color="auto"/>
      </w:divBdr>
    </w:div>
    <w:div w:id="1856114366">
      <w:bodyDiv w:val="1"/>
      <w:marLeft w:val="0"/>
      <w:marRight w:val="0"/>
      <w:marTop w:val="0"/>
      <w:marBottom w:val="0"/>
      <w:divBdr>
        <w:top w:val="none" w:sz="0" w:space="0" w:color="auto"/>
        <w:left w:val="none" w:sz="0" w:space="0" w:color="auto"/>
        <w:bottom w:val="none" w:sz="0" w:space="0" w:color="auto"/>
        <w:right w:val="none" w:sz="0" w:space="0" w:color="auto"/>
      </w:divBdr>
    </w:div>
    <w:div w:id="1866288823">
      <w:bodyDiv w:val="1"/>
      <w:marLeft w:val="0"/>
      <w:marRight w:val="0"/>
      <w:marTop w:val="0"/>
      <w:marBottom w:val="0"/>
      <w:divBdr>
        <w:top w:val="none" w:sz="0" w:space="0" w:color="auto"/>
        <w:left w:val="none" w:sz="0" w:space="0" w:color="auto"/>
        <w:bottom w:val="none" w:sz="0" w:space="0" w:color="auto"/>
        <w:right w:val="none" w:sz="0" w:space="0" w:color="auto"/>
      </w:divBdr>
    </w:div>
    <w:div w:id="1982227612">
      <w:bodyDiv w:val="1"/>
      <w:marLeft w:val="0"/>
      <w:marRight w:val="0"/>
      <w:marTop w:val="0"/>
      <w:marBottom w:val="0"/>
      <w:divBdr>
        <w:top w:val="none" w:sz="0" w:space="0" w:color="auto"/>
        <w:left w:val="none" w:sz="0" w:space="0" w:color="auto"/>
        <w:bottom w:val="none" w:sz="0" w:space="0" w:color="auto"/>
        <w:right w:val="none" w:sz="0" w:space="0" w:color="auto"/>
      </w:divBdr>
    </w:div>
    <w:div w:id="1990009929">
      <w:bodyDiv w:val="1"/>
      <w:marLeft w:val="0"/>
      <w:marRight w:val="0"/>
      <w:marTop w:val="0"/>
      <w:marBottom w:val="0"/>
      <w:divBdr>
        <w:top w:val="none" w:sz="0" w:space="0" w:color="auto"/>
        <w:left w:val="none" w:sz="0" w:space="0" w:color="auto"/>
        <w:bottom w:val="none" w:sz="0" w:space="0" w:color="auto"/>
        <w:right w:val="none" w:sz="0" w:space="0" w:color="auto"/>
      </w:divBdr>
    </w:div>
    <w:div w:id="1991249170">
      <w:bodyDiv w:val="1"/>
      <w:marLeft w:val="0"/>
      <w:marRight w:val="0"/>
      <w:marTop w:val="0"/>
      <w:marBottom w:val="0"/>
      <w:divBdr>
        <w:top w:val="none" w:sz="0" w:space="0" w:color="auto"/>
        <w:left w:val="none" w:sz="0" w:space="0" w:color="auto"/>
        <w:bottom w:val="none" w:sz="0" w:space="0" w:color="auto"/>
        <w:right w:val="none" w:sz="0" w:space="0" w:color="auto"/>
      </w:divBdr>
    </w:div>
    <w:div w:id="2055424407">
      <w:bodyDiv w:val="1"/>
      <w:marLeft w:val="0"/>
      <w:marRight w:val="0"/>
      <w:marTop w:val="0"/>
      <w:marBottom w:val="0"/>
      <w:divBdr>
        <w:top w:val="none" w:sz="0" w:space="0" w:color="auto"/>
        <w:left w:val="none" w:sz="0" w:space="0" w:color="auto"/>
        <w:bottom w:val="none" w:sz="0" w:space="0" w:color="auto"/>
        <w:right w:val="none" w:sz="0" w:space="0" w:color="auto"/>
      </w:divBdr>
    </w:div>
    <w:div w:id="2075469682">
      <w:bodyDiv w:val="1"/>
      <w:marLeft w:val="0"/>
      <w:marRight w:val="0"/>
      <w:marTop w:val="0"/>
      <w:marBottom w:val="0"/>
      <w:divBdr>
        <w:top w:val="none" w:sz="0" w:space="0" w:color="auto"/>
        <w:left w:val="none" w:sz="0" w:space="0" w:color="auto"/>
        <w:bottom w:val="none" w:sz="0" w:space="0" w:color="auto"/>
        <w:right w:val="none" w:sz="0" w:space="0" w:color="auto"/>
      </w:divBdr>
    </w:div>
    <w:div w:id="21262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r.undp.org/content/costarica/es/home/presscenter/articles/2013/04/17/onu-y-defensor-a-hacen-llamado-para-proteger-y-cumplir-derechos-de-pueblos-ind-genas-en-costa-rica/" TargetMode="External"/><Relationship Id="rId13" Type="http://schemas.openxmlformats.org/officeDocument/2006/relationships/hyperlink" Target="http://www.escuelajudicial.ac.cr/reglasdebrasilia/presentacion.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ideshare.net/guestc1831e/prueba-pericial-522952" TargetMode="External"/><Relationship Id="rId12" Type="http://schemas.openxmlformats.org/officeDocument/2006/relationships/hyperlink" Target="http://www.poder-judicial.go.cr/indigen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amaj.go.cr/images/libros/pdf/036.pdf" TargetMode="External"/><Relationship Id="rId1" Type="http://schemas.openxmlformats.org/officeDocument/2006/relationships/customXml" Target="../customXml/item1.xml"/><Relationship Id="rId6" Type="http://schemas.openxmlformats.org/officeDocument/2006/relationships/hyperlink" Target="http://www.cumbrejudicial.org/web/guest/97" TargetMode="External"/><Relationship Id="rId11" Type="http://schemas.openxmlformats.org/officeDocument/2006/relationships/hyperlink" Target="http://200.91.68.19:81/cumbre/index.php?option=com_content&amp;view=article&amp;id=45&amp;Itemid=41" TargetMode="External"/><Relationship Id="rId5" Type="http://schemas.openxmlformats.org/officeDocument/2006/relationships/hyperlink" Target="http://www.bjdh.org.mx/interamericano/busqueda" TargetMode="External"/><Relationship Id="rId15" Type="http://schemas.openxmlformats.org/officeDocument/2006/relationships/hyperlink" Target="http://sitios.poder-judicial.go.cr/escuelajudicial/Descargas/Plan_capacitacion_2014.pdf" TargetMode="External"/><Relationship Id="rId10" Type="http://schemas.openxmlformats.org/officeDocument/2006/relationships/hyperlink" Target="http://ministeriopublico.poder-judicial.go.cr/victimas_testigos/poblacion_vulnerable.html" TargetMode="External"/><Relationship Id="rId4" Type="http://schemas.openxmlformats.org/officeDocument/2006/relationships/webSettings" Target="webSettings.xml"/><Relationship Id="rId9" Type="http://schemas.openxmlformats.org/officeDocument/2006/relationships/hyperlink" Target="http://www.cumbrejudicial.org/c/document_library/get_file?p_l_id=78038&amp;folderId=77960&amp;name=DLFE-3320.pdfa" TargetMode="External"/><Relationship Id="rId14" Type="http://schemas.openxmlformats.org/officeDocument/2006/relationships/hyperlink" Target="http://www.escuelajudicial.ac.cr/reglasdebrasil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1DB7E-B518-4017-8A56-80412A53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20</cp:revision>
  <dcterms:created xsi:type="dcterms:W3CDTF">2015-01-27T17:31:00Z</dcterms:created>
  <dcterms:modified xsi:type="dcterms:W3CDTF">2015-01-28T18:07:00Z</dcterms:modified>
</cp:coreProperties>
</file>