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6C" w:rsidRDefault="0026666C">
      <w:pPr>
        <w:rPr>
          <w:noProof/>
          <w:lang w:eastAsia="es-CR"/>
        </w:rPr>
      </w:pPr>
    </w:p>
    <w:p w:rsidR="00751CA8" w:rsidRDefault="00751CA8" w:rsidP="00751CA8">
      <w:pPr>
        <w:spacing w:after="0" w:line="240" w:lineRule="auto"/>
        <w:jc w:val="both"/>
        <w:rPr>
          <w:rFonts w:cstheme="minorHAnsi"/>
          <w:b/>
          <w:sz w:val="24"/>
          <w:szCs w:val="24"/>
        </w:rPr>
      </w:pPr>
      <w:r>
        <w:rPr>
          <w:rFonts w:cstheme="minorHAnsi"/>
          <w:b/>
          <w:sz w:val="24"/>
          <w:szCs w:val="24"/>
        </w:rPr>
        <w:t xml:space="preserve">Capítulo 1. </w:t>
      </w:r>
    </w:p>
    <w:p w:rsidR="00751CA8" w:rsidRDefault="00751CA8" w:rsidP="00751CA8">
      <w:pPr>
        <w:spacing w:after="0" w:line="240" w:lineRule="auto"/>
        <w:jc w:val="both"/>
        <w:rPr>
          <w:rFonts w:cstheme="minorHAnsi"/>
          <w:b/>
          <w:sz w:val="24"/>
          <w:szCs w:val="24"/>
        </w:rPr>
      </w:pPr>
    </w:p>
    <w:p w:rsidR="00751CA8" w:rsidRDefault="00751CA8" w:rsidP="00751CA8">
      <w:pPr>
        <w:spacing w:after="0" w:line="240" w:lineRule="auto"/>
        <w:jc w:val="both"/>
        <w:rPr>
          <w:rFonts w:cstheme="minorHAnsi"/>
          <w:sz w:val="24"/>
          <w:szCs w:val="24"/>
        </w:rPr>
      </w:pPr>
      <w:r>
        <w:rPr>
          <w:rFonts w:cstheme="minorHAnsi"/>
          <w:b/>
          <w:sz w:val="24"/>
          <w:szCs w:val="24"/>
        </w:rPr>
        <w:t>Antecedentes y contexto.</w:t>
      </w:r>
      <w:r>
        <w:rPr>
          <w:rFonts w:cstheme="minorHAnsi"/>
          <w:sz w:val="24"/>
          <w:szCs w:val="24"/>
        </w:rPr>
        <w:t xml:space="preserve">  </w:t>
      </w:r>
    </w:p>
    <w:p w:rsidR="00751CA8" w:rsidRDefault="00751CA8" w:rsidP="00751CA8">
      <w:pPr>
        <w:spacing w:after="0" w:line="240" w:lineRule="auto"/>
        <w:jc w:val="both"/>
        <w:rPr>
          <w:rFonts w:cstheme="minorHAnsi"/>
          <w:sz w:val="24"/>
          <w:szCs w:val="24"/>
        </w:rPr>
      </w:pPr>
    </w:p>
    <w:p w:rsidR="00751CA8" w:rsidRPr="002F2ACF" w:rsidRDefault="00751CA8" w:rsidP="002F2ACF">
      <w:pPr>
        <w:pStyle w:val="Prrafodelista"/>
        <w:numPr>
          <w:ilvl w:val="0"/>
          <w:numId w:val="3"/>
        </w:numPr>
        <w:spacing w:after="0" w:line="240" w:lineRule="auto"/>
        <w:jc w:val="both"/>
        <w:rPr>
          <w:rFonts w:cstheme="minorHAnsi"/>
          <w:b/>
          <w:sz w:val="32"/>
          <w:szCs w:val="24"/>
          <w:lang w:eastAsia="es-CR"/>
        </w:rPr>
      </w:pPr>
      <w:r w:rsidRPr="002F2ACF">
        <w:rPr>
          <w:rFonts w:cstheme="minorHAnsi"/>
          <w:b/>
          <w:sz w:val="32"/>
          <w:szCs w:val="24"/>
          <w:lang w:eastAsia="es-CR"/>
        </w:rPr>
        <w:t xml:space="preserve">Los pueblos indígenas en Costa Rica </w:t>
      </w:r>
    </w:p>
    <w:p w:rsidR="00751CA8" w:rsidRDefault="00751CA8" w:rsidP="00751CA8">
      <w:pPr>
        <w:spacing w:after="0" w:line="240" w:lineRule="auto"/>
        <w:jc w:val="both"/>
        <w:rPr>
          <w:rFonts w:cstheme="minorHAnsi"/>
          <w:b/>
          <w:sz w:val="24"/>
          <w:szCs w:val="24"/>
          <w:lang w:eastAsia="es-CR"/>
        </w:rPr>
      </w:pPr>
    </w:p>
    <w:p w:rsidR="00850925" w:rsidRDefault="00EC0FAB" w:rsidP="00751CA8">
      <w:pPr>
        <w:spacing w:after="0" w:line="240" w:lineRule="auto"/>
        <w:jc w:val="both"/>
        <w:rPr>
          <w:rFonts w:cstheme="minorHAnsi"/>
          <w:sz w:val="24"/>
          <w:szCs w:val="24"/>
          <w:lang w:eastAsia="es-CR"/>
        </w:rPr>
      </w:pPr>
      <w:r>
        <w:rPr>
          <w:rFonts w:cstheme="minorHAnsi"/>
          <w:sz w:val="24"/>
          <w:szCs w:val="24"/>
          <w:lang w:eastAsia="es-CR"/>
        </w:rPr>
        <w:t xml:space="preserve">Costa Rica es un país multiétnico, plurilingüe y </w:t>
      </w:r>
      <w:proofErr w:type="spellStart"/>
      <w:r>
        <w:rPr>
          <w:rFonts w:cstheme="minorHAnsi"/>
          <w:sz w:val="24"/>
          <w:szCs w:val="24"/>
          <w:lang w:eastAsia="es-CR"/>
        </w:rPr>
        <w:t>pluricultural</w:t>
      </w:r>
      <w:proofErr w:type="spellEnd"/>
      <w:r w:rsidR="00B4170D">
        <w:rPr>
          <w:rStyle w:val="Refdenotaalpie"/>
          <w:rFonts w:cstheme="minorHAnsi"/>
          <w:sz w:val="24"/>
          <w:szCs w:val="24"/>
          <w:lang w:eastAsia="es-CR"/>
        </w:rPr>
        <w:footnoteReference w:id="1"/>
      </w:r>
      <w:r>
        <w:rPr>
          <w:rFonts w:cstheme="minorHAnsi"/>
          <w:sz w:val="24"/>
          <w:szCs w:val="24"/>
          <w:lang w:eastAsia="es-CR"/>
        </w:rPr>
        <w:t xml:space="preserve">, cuya diversidad étnica ha sido </w:t>
      </w:r>
      <w:proofErr w:type="spellStart"/>
      <w:r>
        <w:rPr>
          <w:rFonts w:cstheme="minorHAnsi"/>
          <w:sz w:val="24"/>
          <w:szCs w:val="24"/>
          <w:lang w:eastAsia="es-CR"/>
        </w:rPr>
        <w:t>invisibilizada</w:t>
      </w:r>
      <w:proofErr w:type="spellEnd"/>
      <w:r>
        <w:rPr>
          <w:rFonts w:cstheme="minorHAnsi"/>
          <w:sz w:val="24"/>
          <w:szCs w:val="24"/>
          <w:lang w:eastAsia="es-CR"/>
        </w:rPr>
        <w:t xml:space="preserve"> y menospreciada por la sociedad, pese a sus múltiples y ricos aportes a la vida del país.</w:t>
      </w:r>
      <w:r>
        <w:rPr>
          <w:rStyle w:val="Refdenotaalpie"/>
          <w:rFonts w:cstheme="minorHAnsi"/>
          <w:sz w:val="24"/>
          <w:szCs w:val="24"/>
          <w:lang w:eastAsia="es-CR"/>
        </w:rPr>
        <w:footnoteReference w:id="2"/>
      </w:r>
      <w:r>
        <w:rPr>
          <w:rFonts w:cstheme="minorHAnsi"/>
          <w:sz w:val="24"/>
          <w:szCs w:val="24"/>
          <w:lang w:eastAsia="es-CR"/>
        </w:rPr>
        <w:t xml:space="preserve">  De acuerdo a los datos obtenidos en el X Censo Nacional de Población y VI de Vivienda de 2011</w:t>
      </w:r>
      <w:r>
        <w:rPr>
          <w:rStyle w:val="Refdenotaalpie"/>
          <w:rFonts w:cstheme="minorHAnsi"/>
          <w:sz w:val="24"/>
          <w:szCs w:val="24"/>
          <w:lang w:eastAsia="es-CR"/>
        </w:rPr>
        <w:footnoteReference w:id="3"/>
      </w:r>
      <w:r>
        <w:rPr>
          <w:rFonts w:cstheme="minorHAnsi"/>
          <w:sz w:val="24"/>
          <w:szCs w:val="24"/>
          <w:lang w:eastAsia="es-CR"/>
        </w:rPr>
        <w:t>,  la población total del país es de 4 301 712 personas, establecida en un territorio de 51 100 k2.  De ésta,  104 143 (</w:t>
      </w:r>
      <w:r w:rsidRPr="00EC0FAB">
        <w:rPr>
          <w:rFonts w:cstheme="minorHAnsi"/>
          <w:b/>
          <w:sz w:val="24"/>
          <w:szCs w:val="24"/>
          <w:lang w:eastAsia="es-CR"/>
        </w:rPr>
        <w:t xml:space="preserve">2.42% del total nacional) se </w:t>
      </w:r>
      <w:proofErr w:type="spellStart"/>
      <w:r w:rsidRPr="00EC0FAB">
        <w:rPr>
          <w:rFonts w:cstheme="minorHAnsi"/>
          <w:b/>
          <w:sz w:val="24"/>
          <w:szCs w:val="24"/>
          <w:lang w:eastAsia="es-CR"/>
        </w:rPr>
        <w:t>autoidentifica</w:t>
      </w:r>
      <w:proofErr w:type="spellEnd"/>
      <w:r w:rsidRPr="00EC0FAB">
        <w:rPr>
          <w:rStyle w:val="Refdenotaalpie"/>
          <w:rFonts w:cstheme="minorHAnsi"/>
          <w:b/>
          <w:sz w:val="24"/>
          <w:szCs w:val="24"/>
          <w:lang w:eastAsia="es-CR"/>
        </w:rPr>
        <w:footnoteReference w:id="4"/>
      </w:r>
      <w:r w:rsidRPr="00EC0FAB">
        <w:rPr>
          <w:rFonts w:cstheme="minorHAnsi"/>
          <w:b/>
          <w:sz w:val="24"/>
          <w:szCs w:val="24"/>
          <w:lang w:eastAsia="es-CR"/>
        </w:rPr>
        <w:t xml:space="preserve"> como indígena y proviene de ocho pueblos: </w:t>
      </w:r>
      <w:proofErr w:type="spellStart"/>
      <w:r w:rsidRPr="00EC0FAB">
        <w:rPr>
          <w:rFonts w:cstheme="minorHAnsi"/>
          <w:b/>
          <w:sz w:val="24"/>
          <w:szCs w:val="24"/>
          <w:lang w:eastAsia="es-CR"/>
        </w:rPr>
        <w:t>bribris</w:t>
      </w:r>
      <w:proofErr w:type="spellEnd"/>
      <w:r w:rsidRPr="00EC0FAB">
        <w:rPr>
          <w:rFonts w:cstheme="minorHAnsi"/>
          <w:b/>
          <w:sz w:val="24"/>
          <w:szCs w:val="24"/>
          <w:lang w:eastAsia="es-CR"/>
        </w:rPr>
        <w:t xml:space="preserve">, </w:t>
      </w:r>
      <w:proofErr w:type="spellStart"/>
      <w:r w:rsidRPr="00EC0FAB">
        <w:rPr>
          <w:rFonts w:cstheme="minorHAnsi"/>
          <w:b/>
          <w:sz w:val="24"/>
          <w:szCs w:val="24"/>
          <w:lang w:eastAsia="es-CR"/>
        </w:rPr>
        <w:t>bruncas</w:t>
      </w:r>
      <w:proofErr w:type="spellEnd"/>
      <w:r w:rsidRPr="00EC0FAB">
        <w:rPr>
          <w:rFonts w:cstheme="minorHAnsi"/>
          <w:b/>
          <w:sz w:val="24"/>
          <w:szCs w:val="24"/>
          <w:lang w:eastAsia="es-CR"/>
        </w:rPr>
        <w:t xml:space="preserve"> o borucas, </w:t>
      </w:r>
      <w:proofErr w:type="spellStart"/>
      <w:r w:rsidRPr="00EC0FAB">
        <w:rPr>
          <w:rFonts w:cstheme="minorHAnsi"/>
          <w:b/>
          <w:sz w:val="24"/>
          <w:szCs w:val="24"/>
          <w:lang w:eastAsia="es-CR"/>
        </w:rPr>
        <w:t>cabécares</w:t>
      </w:r>
      <w:proofErr w:type="spellEnd"/>
      <w:r w:rsidRPr="00EC0FAB">
        <w:rPr>
          <w:rFonts w:cstheme="minorHAnsi"/>
          <w:b/>
          <w:sz w:val="24"/>
          <w:szCs w:val="24"/>
          <w:lang w:eastAsia="es-CR"/>
        </w:rPr>
        <w:t xml:space="preserve">, chorotegas, </w:t>
      </w:r>
      <w:proofErr w:type="spellStart"/>
      <w:r w:rsidRPr="00EC0FAB">
        <w:rPr>
          <w:rFonts w:cstheme="minorHAnsi"/>
          <w:b/>
          <w:sz w:val="24"/>
          <w:szCs w:val="24"/>
          <w:lang w:eastAsia="es-CR"/>
        </w:rPr>
        <w:t>huetares</w:t>
      </w:r>
      <w:proofErr w:type="spellEnd"/>
      <w:r w:rsidRPr="00EC0FAB">
        <w:rPr>
          <w:rFonts w:cstheme="minorHAnsi"/>
          <w:b/>
          <w:sz w:val="24"/>
          <w:szCs w:val="24"/>
          <w:lang w:eastAsia="es-CR"/>
        </w:rPr>
        <w:t xml:space="preserve">, </w:t>
      </w:r>
      <w:proofErr w:type="spellStart"/>
      <w:r w:rsidRPr="00EC0FAB">
        <w:rPr>
          <w:rFonts w:cstheme="minorHAnsi"/>
          <w:b/>
          <w:sz w:val="24"/>
          <w:szCs w:val="24"/>
          <w:lang w:eastAsia="es-CR"/>
        </w:rPr>
        <w:t>malekus</w:t>
      </w:r>
      <w:proofErr w:type="spellEnd"/>
      <w:r w:rsidRPr="00EC0FAB">
        <w:rPr>
          <w:rFonts w:cstheme="minorHAnsi"/>
          <w:b/>
          <w:sz w:val="24"/>
          <w:szCs w:val="24"/>
          <w:lang w:eastAsia="es-CR"/>
        </w:rPr>
        <w:t xml:space="preserve"> o guatusos, </w:t>
      </w:r>
      <w:proofErr w:type="spellStart"/>
      <w:r w:rsidRPr="00EC0FAB">
        <w:rPr>
          <w:rFonts w:cstheme="minorHAnsi"/>
          <w:b/>
          <w:sz w:val="24"/>
          <w:szCs w:val="24"/>
          <w:lang w:eastAsia="es-CR"/>
        </w:rPr>
        <w:t>ngöbes</w:t>
      </w:r>
      <w:proofErr w:type="spellEnd"/>
      <w:r w:rsidRPr="00EC0FAB">
        <w:rPr>
          <w:rFonts w:cstheme="minorHAnsi"/>
          <w:b/>
          <w:sz w:val="24"/>
          <w:szCs w:val="24"/>
          <w:lang w:eastAsia="es-CR"/>
        </w:rPr>
        <w:t xml:space="preserve">  o guaimíes y </w:t>
      </w:r>
      <w:proofErr w:type="spellStart"/>
      <w:r w:rsidRPr="00EC0FAB">
        <w:rPr>
          <w:rFonts w:cstheme="minorHAnsi"/>
          <w:b/>
          <w:sz w:val="24"/>
          <w:szCs w:val="24"/>
          <w:lang w:eastAsia="es-CR"/>
        </w:rPr>
        <w:t>teribes</w:t>
      </w:r>
      <w:proofErr w:type="spellEnd"/>
      <w:r w:rsidRPr="00EC0FAB">
        <w:rPr>
          <w:rFonts w:cstheme="minorHAnsi"/>
          <w:b/>
          <w:sz w:val="24"/>
          <w:szCs w:val="24"/>
          <w:lang w:eastAsia="es-CR"/>
        </w:rPr>
        <w:t xml:space="preserve"> o </w:t>
      </w:r>
      <w:proofErr w:type="spellStart"/>
      <w:r w:rsidRPr="00EC0FAB">
        <w:rPr>
          <w:rFonts w:cstheme="minorHAnsi"/>
          <w:b/>
          <w:sz w:val="24"/>
          <w:szCs w:val="24"/>
          <w:lang w:eastAsia="es-CR"/>
        </w:rPr>
        <w:t>térrabas</w:t>
      </w:r>
      <w:proofErr w:type="spellEnd"/>
      <w:r w:rsidRPr="00EC0FAB">
        <w:rPr>
          <w:rStyle w:val="Refdenotaalpie"/>
          <w:rFonts w:cstheme="minorHAnsi"/>
          <w:b/>
          <w:sz w:val="24"/>
          <w:szCs w:val="24"/>
          <w:lang w:eastAsia="es-CR"/>
        </w:rPr>
        <w:footnoteReference w:id="5"/>
      </w:r>
      <w:r w:rsidRPr="00EC0FAB">
        <w:rPr>
          <w:rFonts w:cstheme="minorHAnsi"/>
          <w:b/>
          <w:sz w:val="24"/>
          <w:szCs w:val="24"/>
          <w:lang w:eastAsia="es-CR"/>
        </w:rPr>
        <w:t>.</w:t>
      </w:r>
      <w:r>
        <w:rPr>
          <w:rFonts w:cstheme="minorHAnsi"/>
          <w:sz w:val="24"/>
          <w:szCs w:val="24"/>
          <w:lang w:eastAsia="es-CR"/>
        </w:rPr>
        <w:t xml:space="preserve">  Un alto porcentaje (55 643 personas, aproximadamente el 55%) vive fuera de sus lugares de origen pues ha perdido sus tierras en manos de no indígenas.  En la zona sur se asientan doce de los veinticuatro territorios indígenas y cinco de las ocho culturas</w:t>
      </w:r>
      <w:r>
        <w:rPr>
          <w:rStyle w:val="Refdenotaalpie"/>
          <w:rFonts w:cstheme="minorHAnsi"/>
          <w:sz w:val="24"/>
          <w:szCs w:val="24"/>
          <w:lang w:eastAsia="es-CR"/>
        </w:rPr>
        <w:footnoteReference w:id="6"/>
      </w:r>
      <w:r>
        <w:rPr>
          <w:rFonts w:cstheme="minorHAnsi"/>
          <w:sz w:val="24"/>
          <w:szCs w:val="24"/>
          <w:lang w:eastAsia="es-CR"/>
        </w:rPr>
        <w:t>.</w:t>
      </w:r>
      <w:r w:rsidR="005B33D4">
        <w:rPr>
          <w:rFonts w:cstheme="minorHAnsi"/>
          <w:sz w:val="24"/>
          <w:szCs w:val="24"/>
          <w:lang w:eastAsia="es-CR"/>
        </w:rPr>
        <w:t xml:space="preserve">  </w:t>
      </w:r>
    </w:p>
    <w:p w:rsidR="00850925" w:rsidRDefault="00850925" w:rsidP="00751CA8">
      <w:pPr>
        <w:spacing w:after="0" w:line="240" w:lineRule="auto"/>
        <w:jc w:val="both"/>
        <w:rPr>
          <w:rFonts w:cstheme="minorHAnsi"/>
          <w:sz w:val="24"/>
          <w:szCs w:val="24"/>
          <w:lang w:eastAsia="es-CR"/>
        </w:rPr>
      </w:pPr>
    </w:p>
    <w:p w:rsidR="00F41446" w:rsidRDefault="005B33D4" w:rsidP="00751CA8">
      <w:pPr>
        <w:spacing w:after="0" w:line="240" w:lineRule="auto"/>
        <w:jc w:val="both"/>
        <w:rPr>
          <w:rFonts w:cstheme="minorHAnsi"/>
          <w:sz w:val="24"/>
          <w:szCs w:val="24"/>
          <w:lang w:eastAsia="es-CR"/>
        </w:rPr>
      </w:pPr>
      <w:r>
        <w:rPr>
          <w:rFonts w:cstheme="minorHAnsi"/>
          <w:sz w:val="24"/>
          <w:szCs w:val="24"/>
          <w:lang w:eastAsia="es-CR"/>
        </w:rPr>
        <w:t xml:space="preserve">Los </w:t>
      </w:r>
      <w:r w:rsidR="00F41446">
        <w:rPr>
          <w:rFonts w:cstheme="minorHAnsi"/>
          <w:sz w:val="24"/>
          <w:szCs w:val="24"/>
          <w:lang w:eastAsia="es-CR"/>
        </w:rPr>
        <w:t>24 territorios indígenas</w:t>
      </w:r>
      <w:r>
        <w:rPr>
          <w:rFonts w:cstheme="minorHAnsi"/>
          <w:sz w:val="24"/>
          <w:szCs w:val="24"/>
          <w:lang w:eastAsia="es-CR"/>
        </w:rPr>
        <w:t xml:space="preserve"> son</w:t>
      </w:r>
      <w:r w:rsidR="00DD2BEF">
        <w:rPr>
          <w:rFonts w:cstheme="minorHAnsi"/>
          <w:sz w:val="24"/>
          <w:szCs w:val="24"/>
          <w:lang w:eastAsia="es-CR"/>
        </w:rPr>
        <w:t>:</w:t>
      </w:r>
      <w:r w:rsidR="00577EF2">
        <w:rPr>
          <w:rFonts w:cstheme="minorHAnsi"/>
          <w:sz w:val="24"/>
          <w:szCs w:val="24"/>
          <w:lang w:eastAsia="es-CR"/>
        </w:rPr>
        <w:t xml:space="preserve"> 1. </w:t>
      </w:r>
      <w:r w:rsidR="00577EF2" w:rsidRPr="00167E30">
        <w:rPr>
          <w:rFonts w:cstheme="minorHAnsi"/>
          <w:b/>
          <w:sz w:val="24"/>
          <w:szCs w:val="24"/>
          <w:lang w:eastAsia="es-CR"/>
        </w:rPr>
        <w:t>Guatuso</w:t>
      </w:r>
      <w:r w:rsidR="00577EF2">
        <w:rPr>
          <w:rFonts w:cstheme="minorHAnsi"/>
          <w:sz w:val="24"/>
          <w:szCs w:val="24"/>
          <w:lang w:eastAsia="es-CR"/>
        </w:rPr>
        <w:t xml:space="preserve"> (</w:t>
      </w:r>
      <w:proofErr w:type="spellStart"/>
      <w:r w:rsidR="00577EF2">
        <w:rPr>
          <w:rFonts w:cstheme="minorHAnsi"/>
          <w:sz w:val="24"/>
          <w:szCs w:val="24"/>
          <w:lang w:eastAsia="es-CR"/>
        </w:rPr>
        <w:t>Maleku</w:t>
      </w:r>
      <w:proofErr w:type="spellEnd"/>
      <w:r w:rsidR="00577EF2">
        <w:rPr>
          <w:rFonts w:cstheme="minorHAnsi"/>
          <w:sz w:val="24"/>
          <w:szCs w:val="24"/>
          <w:lang w:eastAsia="es-CR"/>
        </w:rPr>
        <w:t xml:space="preserve">), 2. </w:t>
      </w:r>
      <w:proofErr w:type="spellStart"/>
      <w:r w:rsidR="00577EF2" w:rsidRPr="00167E30">
        <w:rPr>
          <w:rFonts w:cstheme="minorHAnsi"/>
          <w:b/>
          <w:sz w:val="24"/>
          <w:szCs w:val="24"/>
          <w:lang w:eastAsia="es-CR"/>
        </w:rPr>
        <w:t>Matambú</w:t>
      </w:r>
      <w:proofErr w:type="spellEnd"/>
      <w:r w:rsidR="00577EF2">
        <w:rPr>
          <w:rFonts w:cstheme="minorHAnsi"/>
          <w:sz w:val="24"/>
          <w:szCs w:val="24"/>
          <w:lang w:eastAsia="es-CR"/>
        </w:rPr>
        <w:t xml:space="preserve"> (Chorotega), 3. </w:t>
      </w:r>
      <w:proofErr w:type="spellStart"/>
      <w:r w:rsidR="00577EF2" w:rsidRPr="00167E30">
        <w:rPr>
          <w:rFonts w:cstheme="minorHAnsi"/>
          <w:b/>
          <w:sz w:val="24"/>
          <w:szCs w:val="24"/>
          <w:lang w:eastAsia="es-CR"/>
        </w:rPr>
        <w:t>Cabagra</w:t>
      </w:r>
      <w:proofErr w:type="spellEnd"/>
      <w:r w:rsidR="00577EF2">
        <w:rPr>
          <w:rFonts w:cstheme="minorHAnsi"/>
          <w:sz w:val="24"/>
          <w:szCs w:val="24"/>
          <w:lang w:eastAsia="es-CR"/>
        </w:rPr>
        <w:t xml:space="preserve"> (</w:t>
      </w:r>
      <w:proofErr w:type="spellStart"/>
      <w:r w:rsidR="00577EF2">
        <w:rPr>
          <w:rFonts w:cstheme="minorHAnsi"/>
          <w:sz w:val="24"/>
          <w:szCs w:val="24"/>
          <w:lang w:eastAsia="es-CR"/>
        </w:rPr>
        <w:t>Bribri</w:t>
      </w:r>
      <w:proofErr w:type="spellEnd"/>
      <w:r w:rsidR="00577EF2">
        <w:rPr>
          <w:rFonts w:cstheme="minorHAnsi"/>
          <w:sz w:val="24"/>
          <w:szCs w:val="24"/>
          <w:lang w:eastAsia="es-CR"/>
        </w:rPr>
        <w:t xml:space="preserve">), 4. </w:t>
      </w:r>
      <w:proofErr w:type="spellStart"/>
      <w:r w:rsidR="00577EF2" w:rsidRPr="00167E30">
        <w:rPr>
          <w:rFonts w:cstheme="minorHAnsi"/>
          <w:b/>
          <w:sz w:val="24"/>
          <w:szCs w:val="24"/>
          <w:lang w:eastAsia="es-CR"/>
        </w:rPr>
        <w:t>Ujarrás</w:t>
      </w:r>
      <w:proofErr w:type="spellEnd"/>
      <w:r w:rsidR="00577EF2">
        <w:rPr>
          <w:rFonts w:cstheme="minorHAnsi"/>
          <w:sz w:val="24"/>
          <w:szCs w:val="24"/>
          <w:lang w:eastAsia="es-CR"/>
        </w:rPr>
        <w:t xml:space="preserve"> (</w:t>
      </w:r>
      <w:proofErr w:type="spellStart"/>
      <w:r w:rsidR="00577EF2">
        <w:rPr>
          <w:rFonts w:cstheme="minorHAnsi"/>
          <w:sz w:val="24"/>
          <w:szCs w:val="24"/>
          <w:lang w:eastAsia="es-CR"/>
        </w:rPr>
        <w:t>Cabecar</w:t>
      </w:r>
      <w:proofErr w:type="spellEnd"/>
      <w:r w:rsidR="00577EF2">
        <w:rPr>
          <w:rFonts w:cstheme="minorHAnsi"/>
          <w:sz w:val="24"/>
          <w:szCs w:val="24"/>
          <w:lang w:eastAsia="es-CR"/>
        </w:rPr>
        <w:t xml:space="preserve">), 5. </w:t>
      </w:r>
      <w:r w:rsidR="00577EF2" w:rsidRPr="00167E30">
        <w:rPr>
          <w:rFonts w:cstheme="minorHAnsi"/>
          <w:b/>
          <w:sz w:val="24"/>
          <w:szCs w:val="24"/>
          <w:lang w:eastAsia="es-CR"/>
        </w:rPr>
        <w:t xml:space="preserve">Salitre </w:t>
      </w:r>
      <w:r w:rsidR="00577EF2">
        <w:rPr>
          <w:rFonts w:cstheme="minorHAnsi"/>
          <w:sz w:val="24"/>
          <w:szCs w:val="24"/>
          <w:lang w:eastAsia="es-CR"/>
        </w:rPr>
        <w:t>(</w:t>
      </w:r>
      <w:proofErr w:type="spellStart"/>
      <w:r w:rsidR="00577EF2">
        <w:rPr>
          <w:rFonts w:cstheme="minorHAnsi"/>
          <w:sz w:val="24"/>
          <w:szCs w:val="24"/>
          <w:lang w:eastAsia="es-CR"/>
        </w:rPr>
        <w:t>Brbr</w:t>
      </w:r>
      <w:r w:rsidR="007970F8">
        <w:rPr>
          <w:rFonts w:cstheme="minorHAnsi"/>
          <w:sz w:val="24"/>
          <w:szCs w:val="24"/>
          <w:lang w:eastAsia="es-CR"/>
        </w:rPr>
        <w:t>í</w:t>
      </w:r>
      <w:proofErr w:type="spellEnd"/>
      <w:r w:rsidR="007970F8">
        <w:rPr>
          <w:rFonts w:cstheme="minorHAnsi"/>
          <w:sz w:val="24"/>
          <w:szCs w:val="24"/>
          <w:lang w:eastAsia="es-CR"/>
        </w:rPr>
        <w:t>)</w:t>
      </w:r>
      <w:r w:rsidR="00577EF2">
        <w:rPr>
          <w:rFonts w:cstheme="minorHAnsi"/>
          <w:sz w:val="24"/>
          <w:szCs w:val="24"/>
          <w:lang w:eastAsia="es-CR"/>
        </w:rPr>
        <w:t xml:space="preserve">, 6. </w:t>
      </w:r>
      <w:proofErr w:type="spellStart"/>
      <w:r w:rsidR="00577EF2" w:rsidRPr="00167E30">
        <w:rPr>
          <w:rFonts w:cstheme="minorHAnsi"/>
          <w:b/>
          <w:sz w:val="24"/>
          <w:szCs w:val="24"/>
          <w:lang w:eastAsia="es-CR"/>
        </w:rPr>
        <w:t>Tayni</w:t>
      </w:r>
      <w:proofErr w:type="spellEnd"/>
      <w:r w:rsidR="007970F8" w:rsidRPr="00167E30">
        <w:rPr>
          <w:rFonts w:cstheme="minorHAnsi"/>
          <w:b/>
          <w:sz w:val="24"/>
          <w:szCs w:val="24"/>
          <w:lang w:eastAsia="es-CR"/>
        </w:rPr>
        <w:t xml:space="preserve"> </w:t>
      </w:r>
      <w:r w:rsidR="007970F8">
        <w:rPr>
          <w:rFonts w:cstheme="minorHAnsi"/>
          <w:sz w:val="24"/>
          <w:szCs w:val="24"/>
          <w:lang w:eastAsia="es-CR"/>
        </w:rPr>
        <w:t>(</w:t>
      </w:r>
      <w:proofErr w:type="spellStart"/>
      <w:r w:rsidR="007970F8">
        <w:rPr>
          <w:rFonts w:cstheme="minorHAnsi"/>
          <w:sz w:val="24"/>
          <w:szCs w:val="24"/>
          <w:lang w:eastAsia="es-CR"/>
        </w:rPr>
        <w:t>Cabecar</w:t>
      </w:r>
      <w:proofErr w:type="spellEnd"/>
      <w:r w:rsidR="007970F8">
        <w:rPr>
          <w:rFonts w:cstheme="minorHAnsi"/>
          <w:sz w:val="24"/>
          <w:szCs w:val="24"/>
          <w:lang w:eastAsia="es-CR"/>
        </w:rPr>
        <w:t>)</w:t>
      </w:r>
      <w:r w:rsidR="00577EF2">
        <w:rPr>
          <w:rFonts w:cstheme="minorHAnsi"/>
          <w:sz w:val="24"/>
          <w:szCs w:val="24"/>
          <w:lang w:eastAsia="es-CR"/>
        </w:rPr>
        <w:t xml:space="preserve">, 7. </w:t>
      </w:r>
      <w:proofErr w:type="spellStart"/>
      <w:r w:rsidR="00577EF2" w:rsidRPr="00167E30">
        <w:rPr>
          <w:rFonts w:cstheme="minorHAnsi"/>
          <w:b/>
          <w:sz w:val="24"/>
          <w:szCs w:val="24"/>
          <w:lang w:eastAsia="es-CR"/>
        </w:rPr>
        <w:t>Telire</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Cabecar</w:t>
      </w:r>
      <w:proofErr w:type="spellEnd"/>
      <w:r w:rsidR="007970F8">
        <w:rPr>
          <w:rFonts w:cstheme="minorHAnsi"/>
          <w:sz w:val="24"/>
          <w:szCs w:val="24"/>
          <w:lang w:eastAsia="es-CR"/>
        </w:rPr>
        <w:t>)</w:t>
      </w:r>
      <w:r w:rsidR="00577EF2">
        <w:rPr>
          <w:rFonts w:cstheme="minorHAnsi"/>
          <w:sz w:val="24"/>
          <w:szCs w:val="24"/>
          <w:lang w:eastAsia="es-CR"/>
        </w:rPr>
        <w:t xml:space="preserve">, 8. </w:t>
      </w:r>
      <w:proofErr w:type="spellStart"/>
      <w:r w:rsidR="00577EF2" w:rsidRPr="00167E30">
        <w:rPr>
          <w:rFonts w:cstheme="minorHAnsi"/>
          <w:b/>
          <w:sz w:val="24"/>
          <w:szCs w:val="24"/>
          <w:lang w:eastAsia="es-CR"/>
        </w:rPr>
        <w:t>Talamanca</w:t>
      </w:r>
      <w:proofErr w:type="spellEnd"/>
      <w:r w:rsidR="00577EF2">
        <w:rPr>
          <w:rFonts w:cstheme="minorHAnsi"/>
          <w:sz w:val="24"/>
          <w:szCs w:val="24"/>
          <w:lang w:eastAsia="es-CR"/>
        </w:rPr>
        <w:t xml:space="preserve"> (</w:t>
      </w:r>
      <w:proofErr w:type="spellStart"/>
      <w:r w:rsidR="00577EF2">
        <w:rPr>
          <w:rFonts w:cstheme="minorHAnsi"/>
          <w:sz w:val="24"/>
          <w:szCs w:val="24"/>
          <w:lang w:eastAsia="es-CR"/>
        </w:rPr>
        <w:t>Bribri</w:t>
      </w:r>
      <w:proofErr w:type="spellEnd"/>
      <w:r w:rsidR="00577EF2">
        <w:rPr>
          <w:rFonts w:cstheme="minorHAnsi"/>
          <w:sz w:val="24"/>
          <w:szCs w:val="24"/>
          <w:lang w:eastAsia="es-CR"/>
        </w:rPr>
        <w:t xml:space="preserve">), 9. </w:t>
      </w:r>
      <w:proofErr w:type="spellStart"/>
      <w:r w:rsidR="00577EF2" w:rsidRPr="00167E30">
        <w:rPr>
          <w:rFonts w:cstheme="minorHAnsi"/>
          <w:b/>
          <w:sz w:val="24"/>
          <w:szCs w:val="24"/>
          <w:lang w:eastAsia="es-CR"/>
        </w:rPr>
        <w:t>Nairi</w:t>
      </w:r>
      <w:proofErr w:type="spellEnd"/>
      <w:r w:rsidR="00577EF2" w:rsidRPr="00167E30">
        <w:rPr>
          <w:rFonts w:cstheme="minorHAnsi"/>
          <w:b/>
          <w:sz w:val="24"/>
          <w:szCs w:val="24"/>
          <w:lang w:eastAsia="es-CR"/>
        </w:rPr>
        <w:t xml:space="preserve"> </w:t>
      </w:r>
      <w:proofErr w:type="spellStart"/>
      <w:r w:rsidR="00577EF2" w:rsidRPr="00167E30">
        <w:rPr>
          <w:rFonts w:cstheme="minorHAnsi"/>
          <w:b/>
          <w:sz w:val="24"/>
          <w:szCs w:val="24"/>
          <w:lang w:eastAsia="es-CR"/>
        </w:rPr>
        <w:t>Awari</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Cabecar</w:t>
      </w:r>
      <w:proofErr w:type="spellEnd"/>
      <w:r w:rsidR="007970F8">
        <w:rPr>
          <w:rFonts w:cstheme="minorHAnsi"/>
          <w:sz w:val="24"/>
          <w:szCs w:val="24"/>
          <w:lang w:eastAsia="es-CR"/>
        </w:rPr>
        <w:t>)</w:t>
      </w:r>
      <w:r w:rsidR="00577EF2">
        <w:rPr>
          <w:rFonts w:cstheme="minorHAnsi"/>
          <w:sz w:val="24"/>
          <w:szCs w:val="24"/>
          <w:lang w:eastAsia="es-CR"/>
        </w:rPr>
        <w:t xml:space="preserve">, 10. </w:t>
      </w:r>
      <w:r w:rsidR="00577EF2" w:rsidRPr="00167E30">
        <w:rPr>
          <w:rFonts w:cstheme="minorHAnsi"/>
          <w:b/>
          <w:sz w:val="24"/>
          <w:szCs w:val="24"/>
          <w:lang w:eastAsia="es-CR"/>
        </w:rPr>
        <w:t xml:space="preserve">Bajo </w:t>
      </w:r>
      <w:proofErr w:type="spellStart"/>
      <w:r w:rsidR="00577EF2" w:rsidRPr="00167E30">
        <w:rPr>
          <w:rFonts w:cstheme="minorHAnsi"/>
          <w:b/>
          <w:sz w:val="24"/>
          <w:szCs w:val="24"/>
          <w:lang w:eastAsia="es-CR"/>
        </w:rPr>
        <w:t>Chirripó</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Cabecar</w:t>
      </w:r>
      <w:proofErr w:type="spellEnd"/>
      <w:r w:rsidR="007970F8">
        <w:rPr>
          <w:rFonts w:cstheme="minorHAnsi"/>
          <w:sz w:val="24"/>
          <w:szCs w:val="24"/>
          <w:lang w:eastAsia="es-CR"/>
        </w:rPr>
        <w:t>)</w:t>
      </w:r>
      <w:r w:rsidR="00577EF2">
        <w:rPr>
          <w:rFonts w:cstheme="minorHAnsi"/>
          <w:sz w:val="24"/>
          <w:szCs w:val="24"/>
          <w:lang w:eastAsia="es-CR"/>
        </w:rPr>
        <w:t xml:space="preserve">, 11. </w:t>
      </w:r>
      <w:r w:rsidR="00577EF2" w:rsidRPr="00167E30">
        <w:rPr>
          <w:rFonts w:cstheme="minorHAnsi"/>
          <w:b/>
          <w:sz w:val="24"/>
          <w:szCs w:val="24"/>
          <w:lang w:eastAsia="es-CR"/>
        </w:rPr>
        <w:t xml:space="preserve">Alto </w:t>
      </w:r>
      <w:proofErr w:type="spellStart"/>
      <w:r w:rsidR="00577EF2" w:rsidRPr="00167E30">
        <w:rPr>
          <w:rFonts w:cstheme="minorHAnsi"/>
          <w:b/>
          <w:sz w:val="24"/>
          <w:szCs w:val="24"/>
          <w:lang w:eastAsia="es-CR"/>
        </w:rPr>
        <w:t>Chirripó</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Cabecar</w:t>
      </w:r>
      <w:proofErr w:type="spellEnd"/>
      <w:r w:rsidR="007970F8">
        <w:rPr>
          <w:rFonts w:cstheme="minorHAnsi"/>
          <w:sz w:val="24"/>
          <w:szCs w:val="24"/>
          <w:lang w:eastAsia="es-CR"/>
        </w:rPr>
        <w:t>)</w:t>
      </w:r>
      <w:r w:rsidR="00577EF2">
        <w:rPr>
          <w:rFonts w:cstheme="minorHAnsi"/>
          <w:sz w:val="24"/>
          <w:szCs w:val="24"/>
          <w:lang w:eastAsia="es-CR"/>
        </w:rPr>
        <w:t xml:space="preserve">, 12. </w:t>
      </w:r>
      <w:r w:rsidR="00577EF2" w:rsidRPr="00167E30">
        <w:rPr>
          <w:rFonts w:cstheme="minorHAnsi"/>
          <w:b/>
          <w:sz w:val="24"/>
          <w:szCs w:val="24"/>
          <w:lang w:eastAsia="es-CR"/>
        </w:rPr>
        <w:t>Boruca</w:t>
      </w:r>
      <w:r w:rsidR="007970F8">
        <w:rPr>
          <w:rFonts w:cstheme="minorHAnsi"/>
          <w:sz w:val="24"/>
          <w:szCs w:val="24"/>
          <w:lang w:eastAsia="es-CR"/>
        </w:rPr>
        <w:t xml:space="preserve"> (</w:t>
      </w:r>
      <w:proofErr w:type="spellStart"/>
      <w:r w:rsidR="007970F8">
        <w:rPr>
          <w:rFonts w:cstheme="minorHAnsi"/>
          <w:sz w:val="24"/>
          <w:szCs w:val="24"/>
          <w:lang w:eastAsia="es-CR"/>
        </w:rPr>
        <w:t>Brunka</w:t>
      </w:r>
      <w:proofErr w:type="spellEnd"/>
      <w:r w:rsidR="007970F8">
        <w:rPr>
          <w:rFonts w:cstheme="minorHAnsi"/>
          <w:sz w:val="24"/>
          <w:szCs w:val="24"/>
          <w:lang w:eastAsia="es-CR"/>
        </w:rPr>
        <w:t>)</w:t>
      </w:r>
      <w:r w:rsidR="00577EF2">
        <w:rPr>
          <w:rFonts w:cstheme="minorHAnsi"/>
          <w:sz w:val="24"/>
          <w:szCs w:val="24"/>
          <w:lang w:eastAsia="es-CR"/>
        </w:rPr>
        <w:t>, 13</w:t>
      </w:r>
      <w:r w:rsidR="00577EF2" w:rsidRPr="00167E30">
        <w:rPr>
          <w:rFonts w:cstheme="minorHAnsi"/>
          <w:b/>
          <w:sz w:val="24"/>
          <w:szCs w:val="24"/>
          <w:lang w:eastAsia="es-CR"/>
        </w:rPr>
        <w:t>. Rey Curré</w:t>
      </w:r>
      <w:r w:rsidR="007970F8">
        <w:rPr>
          <w:rFonts w:cstheme="minorHAnsi"/>
          <w:sz w:val="24"/>
          <w:szCs w:val="24"/>
          <w:lang w:eastAsia="es-CR"/>
        </w:rPr>
        <w:t xml:space="preserve"> (</w:t>
      </w:r>
      <w:proofErr w:type="spellStart"/>
      <w:r w:rsidR="007970F8">
        <w:rPr>
          <w:rFonts w:cstheme="minorHAnsi"/>
          <w:sz w:val="24"/>
          <w:szCs w:val="24"/>
          <w:lang w:eastAsia="es-CR"/>
        </w:rPr>
        <w:t>Brunka</w:t>
      </w:r>
      <w:proofErr w:type="spellEnd"/>
      <w:r w:rsidR="007970F8">
        <w:rPr>
          <w:rFonts w:cstheme="minorHAnsi"/>
          <w:sz w:val="24"/>
          <w:szCs w:val="24"/>
          <w:lang w:eastAsia="es-CR"/>
        </w:rPr>
        <w:t>)</w:t>
      </w:r>
      <w:r w:rsidR="00577EF2">
        <w:rPr>
          <w:rFonts w:cstheme="minorHAnsi"/>
          <w:sz w:val="24"/>
          <w:szCs w:val="24"/>
          <w:lang w:eastAsia="es-CR"/>
        </w:rPr>
        <w:t xml:space="preserve">, 14. </w:t>
      </w:r>
      <w:proofErr w:type="spellStart"/>
      <w:r w:rsidR="00577EF2" w:rsidRPr="00167E30">
        <w:rPr>
          <w:rFonts w:cstheme="minorHAnsi"/>
          <w:b/>
          <w:sz w:val="24"/>
          <w:szCs w:val="24"/>
          <w:lang w:eastAsia="es-CR"/>
        </w:rPr>
        <w:t>Térraba</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Teribe</w:t>
      </w:r>
      <w:proofErr w:type="spellEnd"/>
      <w:r w:rsidR="007970F8">
        <w:rPr>
          <w:rFonts w:cstheme="minorHAnsi"/>
          <w:sz w:val="24"/>
          <w:szCs w:val="24"/>
          <w:lang w:eastAsia="es-CR"/>
        </w:rPr>
        <w:t>)</w:t>
      </w:r>
      <w:r w:rsidR="00577EF2">
        <w:rPr>
          <w:rFonts w:cstheme="minorHAnsi"/>
          <w:sz w:val="24"/>
          <w:szCs w:val="24"/>
          <w:lang w:eastAsia="es-CR"/>
        </w:rPr>
        <w:t xml:space="preserve">, 15. </w:t>
      </w:r>
      <w:proofErr w:type="spellStart"/>
      <w:r w:rsidR="00577EF2" w:rsidRPr="00167E30">
        <w:rPr>
          <w:rFonts w:cstheme="minorHAnsi"/>
          <w:b/>
          <w:sz w:val="24"/>
          <w:szCs w:val="24"/>
          <w:lang w:eastAsia="es-CR"/>
        </w:rPr>
        <w:t>Talamanca</w:t>
      </w:r>
      <w:proofErr w:type="spellEnd"/>
      <w:r w:rsidR="00577EF2">
        <w:rPr>
          <w:rFonts w:cstheme="minorHAnsi"/>
          <w:sz w:val="24"/>
          <w:szCs w:val="24"/>
          <w:lang w:eastAsia="es-CR"/>
        </w:rPr>
        <w:t xml:space="preserve"> (</w:t>
      </w:r>
      <w:proofErr w:type="spellStart"/>
      <w:r w:rsidR="00577EF2">
        <w:rPr>
          <w:rFonts w:cstheme="minorHAnsi"/>
          <w:sz w:val="24"/>
          <w:szCs w:val="24"/>
          <w:lang w:eastAsia="es-CR"/>
        </w:rPr>
        <w:t>Cabécar</w:t>
      </w:r>
      <w:proofErr w:type="spellEnd"/>
      <w:r w:rsidR="00577EF2">
        <w:rPr>
          <w:rFonts w:cstheme="minorHAnsi"/>
          <w:sz w:val="24"/>
          <w:szCs w:val="24"/>
          <w:lang w:eastAsia="es-CR"/>
        </w:rPr>
        <w:t xml:space="preserve">), 16. </w:t>
      </w:r>
      <w:proofErr w:type="spellStart"/>
      <w:r w:rsidR="00577EF2" w:rsidRPr="00167E30">
        <w:rPr>
          <w:rFonts w:cstheme="minorHAnsi"/>
          <w:b/>
          <w:sz w:val="24"/>
          <w:szCs w:val="24"/>
          <w:lang w:eastAsia="es-CR"/>
        </w:rPr>
        <w:t>Conte</w:t>
      </w:r>
      <w:proofErr w:type="spellEnd"/>
      <w:r w:rsidR="00577EF2" w:rsidRPr="00167E30">
        <w:rPr>
          <w:rFonts w:cstheme="minorHAnsi"/>
          <w:b/>
          <w:sz w:val="24"/>
          <w:szCs w:val="24"/>
          <w:lang w:eastAsia="es-CR"/>
        </w:rPr>
        <w:t xml:space="preserve"> </w:t>
      </w:r>
      <w:proofErr w:type="spellStart"/>
      <w:r w:rsidR="00577EF2" w:rsidRPr="00167E30">
        <w:rPr>
          <w:rFonts w:cstheme="minorHAnsi"/>
          <w:b/>
          <w:sz w:val="24"/>
          <w:szCs w:val="24"/>
          <w:lang w:eastAsia="es-CR"/>
        </w:rPr>
        <w:t>Burica</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Ngöbe</w:t>
      </w:r>
      <w:proofErr w:type="spellEnd"/>
      <w:r w:rsidR="007970F8">
        <w:rPr>
          <w:rFonts w:cstheme="minorHAnsi"/>
          <w:sz w:val="24"/>
          <w:szCs w:val="24"/>
          <w:lang w:eastAsia="es-CR"/>
        </w:rPr>
        <w:t>)</w:t>
      </w:r>
      <w:r w:rsidR="00577EF2">
        <w:rPr>
          <w:rFonts w:cstheme="minorHAnsi"/>
          <w:sz w:val="24"/>
          <w:szCs w:val="24"/>
          <w:lang w:eastAsia="es-CR"/>
        </w:rPr>
        <w:t>, 17</w:t>
      </w:r>
      <w:r w:rsidR="00577EF2" w:rsidRPr="00167E30">
        <w:rPr>
          <w:rFonts w:cstheme="minorHAnsi"/>
          <w:b/>
          <w:sz w:val="24"/>
          <w:szCs w:val="24"/>
          <w:lang w:eastAsia="es-CR"/>
        </w:rPr>
        <w:t>. Zapatón</w:t>
      </w:r>
      <w:r w:rsidR="007970F8">
        <w:rPr>
          <w:rFonts w:cstheme="minorHAnsi"/>
          <w:sz w:val="24"/>
          <w:szCs w:val="24"/>
          <w:lang w:eastAsia="es-CR"/>
        </w:rPr>
        <w:t xml:space="preserve"> (</w:t>
      </w:r>
      <w:proofErr w:type="spellStart"/>
      <w:r w:rsidR="007970F8">
        <w:rPr>
          <w:rFonts w:cstheme="minorHAnsi"/>
          <w:sz w:val="24"/>
          <w:szCs w:val="24"/>
          <w:lang w:eastAsia="es-CR"/>
        </w:rPr>
        <w:t>Huetar</w:t>
      </w:r>
      <w:proofErr w:type="spellEnd"/>
      <w:r w:rsidR="007970F8">
        <w:rPr>
          <w:rFonts w:cstheme="minorHAnsi"/>
          <w:sz w:val="24"/>
          <w:szCs w:val="24"/>
          <w:lang w:eastAsia="es-CR"/>
        </w:rPr>
        <w:t>)</w:t>
      </w:r>
      <w:r w:rsidR="00577EF2">
        <w:rPr>
          <w:rFonts w:cstheme="minorHAnsi"/>
          <w:sz w:val="24"/>
          <w:szCs w:val="24"/>
          <w:lang w:eastAsia="es-CR"/>
        </w:rPr>
        <w:t xml:space="preserve">, 18. </w:t>
      </w:r>
      <w:proofErr w:type="spellStart"/>
      <w:r w:rsidR="00577EF2" w:rsidRPr="00167E30">
        <w:rPr>
          <w:rFonts w:cstheme="minorHAnsi"/>
          <w:b/>
          <w:sz w:val="24"/>
          <w:szCs w:val="24"/>
          <w:lang w:eastAsia="es-CR"/>
        </w:rPr>
        <w:t>Quitirrisí</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Huetar</w:t>
      </w:r>
      <w:proofErr w:type="spellEnd"/>
      <w:r w:rsidR="007970F8">
        <w:rPr>
          <w:rFonts w:cstheme="minorHAnsi"/>
          <w:sz w:val="24"/>
          <w:szCs w:val="24"/>
          <w:lang w:eastAsia="es-CR"/>
        </w:rPr>
        <w:t>)</w:t>
      </w:r>
      <w:r w:rsidR="00577EF2">
        <w:rPr>
          <w:rFonts w:cstheme="minorHAnsi"/>
          <w:sz w:val="24"/>
          <w:szCs w:val="24"/>
          <w:lang w:eastAsia="es-CR"/>
        </w:rPr>
        <w:t xml:space="preserve">, 19. </w:t>
      </w:r>
      <w:r w:rsidR="00577EF2" w:rsidRPr="00167E30">
        <w:rPr>
          <w:rFonts w:cstheme="minorHAnsi"/>
          <w:b/>
          <w:sz w:val="24"/>
          <w:szCs w:val="24"/>
          <w:lang w:eastAsia="es-CR"/>
        </w:rPr>
        <w:t xml:space="preserve">Coto </w:t>
      </w:r>
      <w:proofErr w:type="spellStart"/>
      <w:r w:rsidR="00577EF2" w:rsidRPr="00167E30">
        <w:rPr>
          <w:rFonts w:cstheme="minorHAnsi"/>
          <w:b/>
          <w:sz w:val="24"/>
          <w:szCs w:val="24"/>
          <w:lang w:eastAsia="es-CR"/>
        </w:rPr>
        <w:t>Brus</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Gnöbe</w:t>
      </w:r>
      <w:proofErr w:type="spellEnd"/>
      <w:r w:rsidR="007970F8">
        <w:rPr>
          <w:rFonts w:cstheme="minorHAnsi"/>
          <w:sz w:val="24"/>
          <w:szCs w:val="24"/>
          <w:lang w:eastAsia="es-CR"/>
        </w:rPr>
        <w:t>)</w:t>
      </w:r>
      <w:r w:rsidR="00577EF2">
        <w:rPr>
          <w:rFonts w:cstheme="minorHAnsi"/>
          <w:sz w:val="24"/>
          <w:szCs w:val="24"/>
          <w:lang w:eastAsia="es-CR"/>
        </w:rPr>
        <w:t xml:space="preserve">, 20. </w:t>
      </w:r>
      <w:proofErr w:type="spellStart"/>
      <w:r w:rsidR="00577EF2" w:rsidRPr="00167E30">
        <w:rPr>
          <w:rFonts w:cstheme="minorHAnsi"/>
          <w:b/>
          <w:sz w:val="24"/>
          <w:szCs w:val="24"/>
          <w:lang w:eastAsia="es-CR"/>
        </w:rPr>
        <w:t>Guaymí</w:t>
      </w:r>
      <w:proofErr w:type="spellEnd"/>
      <w:r w:rsidR="00577EF2" w:rsidRPr="00167E30">
        <w:rPr>
          <w:rFonts w:cstheme="minorHAnsi"/>
          <w:b/>
          <w:sz w:val="24"/>
          <w:szCs w:val="24"/>
          <w:lang w:eastAsia="es-CR"/>
        </w:rPr>
        <w:t xml:space="preserve"> Altos de San Antonio</w:t>
      </w:r>
      <w:r w:rsidR="007970F8">
        <w:rPr>
          <w:rFonts w:cstheme="minorHAnsi"/>
          <w:sz w:val="24"/>
          <w:szCs w:val="24"/>
          <w:lang w:eastAsia="es-CR"/>
        </w:rPr>
        <w:t xml:space="preserve"> (</w:t>
      </w:r>
      <w:proofErr w:type="spellStart"/>
      <w:r w:rsidR="007970F8">
        <w:rPr>
          <w:rFonts w:cstheme="minorHAnsi"/>
          <w:sz w:val="24"/>
          <w:szCs w:val="24"/>
          <w:lang w:eastAsia="es-CR"/>
        </w:rPr>
        <w:t>Gnöbe</w:t>
      </w:r>
      <w:proofErr w:type="spellEnd"/>
      <w:r w:rsidR="007970F8">
        <w:rPr>
          <w:rFonts w:cstheme="minorHAnsi"/>
          <w:sz w:val="24"/>
          <w:szCs w:val="24"/>
          <w:lang w:eastAsia="es-CR"/>
        </w:rPr>
        <w:t>)</w:t>
      </w:r>
      <w:r w:rsidR="00577EF2">
        <w:rPr>
          <w:rFonts w:cstheme="minorHAnsi"/>
          <w:sz w:val="24"/>
          <w:szCs w:val="24"/>
          <w:lang w:eastAsia="es-CR"/>
        </w:rPr>
        <w:t xml:space="preserve">, 21. </w:t>
      </w:r>
      <w:r w:rsidR="00577EF2" w:rsidRPr="00167E30">
        <w:rPr>
          <w:rFonts w:cstheme="minorHAnsi"/>
          <w:b/>
          <w:sz w:val="24"/>
          <w:szCs w:val="24"/>
          <w:lang w:eastAsia="es-CR"/>
        </w:rPr>
        <w:t xml:space="preserve">China </w:t>
      </w:r>
      <w:proofErr w:type="spellStart"/>
      <w:r w:rsidR="00577EF2" w:rsidRPr="00167E30">
        <w:rPr>
          <w:rFonts w:cstheme="minorHAnsi"/>
          <w:b/>
          <w:sz w:val="24"/>
          <w:szCs w:val="24"/>
          <w:lang w:eastAsia="es-CR"/>
        </w:rPr>
        <w:t>Quichá</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Cabecar</w:t>
      </w:r>
      <w:proofErr w:type="spellEnd"/>
      <w:r w:rsidR="007970F8">
        <w:rPr>
          <w:rFonts w:cstheme="minorHAnsi"/>
          <w:sz w:val="24"/>
          <w:szCs w:val="24"/>
          <w:lang w:eastAsia="es-CR"/>
        </w:rPr>
        <w:t>)</w:t>
      </w:r>
      <w:r w:rsidR="00577EF2">
        <w:rPr>
          <w:rFonts w:cstheme="minorHAnsi"/>
          <w:sz w:val="24"/>
          <w:szCs w:val="24"/>
          <w:lang w:eastAsia="es-CR"/>
        </w:rPr>
        <w:t xml:space="preserve">, 22. </w:t>
      </w:r>
      <w:r w:rsidR="00577EF2" w:rsidRPr="00167E30">
        <w:rPr>
          <w:rFonts w:cstheme="minorHAnsi"/>
          <w:b/>
          <w:sz w:val="24"/>
          <w:szCs w:val="24"/>
          <w:lang w:eastAsia="es-CR"/>
        </w:rPr>
        <w:t xml:space="preserve">Abrojo </w:t>
      </w:r>
      <w:proofErr w:type="spellStart"/>
      <w:r w:rsidR="00577EF2" w:rsidRPr="00167E30">
        <w:rPr>
          <w:rFonts w:cstheme="minorHAnsi"/>
          <w:b/>
          <w:sz w:val="24"/>
          <w:szCs w:val="24"/>
          <w:lang w:eastAsia="es-CR"/>
        </w:rPr>
        <w:t>Montezuma</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Gnöbe</w:t>
      </w:r>
      <w:proofErr w:type="spellEnd"/>
      <w:r w:rsidR="007970F8">
        <w:rPr>
          <w:rFonts w:cstheme="minorHAnsi"/>
          <w:sz w:val="24"/>
          <w:szCs w:val="24"/>
          <w:lang w:eastAsia="es-CR"/>
        </w:rPr>
        <w:t>)</w:t>
      </w:r>
      <w:r w:rsidR="00577EF2">
        <w:rPr>
          <w:rFonts w:cstheme="minorHAnsi"/>
          <w:sz w:val="24"/>
          <w:szCs w:val="24"/>
          <w:lang w:eastAsia="es-CR"/>
        </w:rPr>
        <w:t xml:space="preserve">, 23. </w:t>
      </w:r>
      <w:proofErr w:type="spellStart"/>
      <w:r w:rsidR="00577EF2" w:rsidRPr="00167E30">
        <w:rPr>
          <w:rFonts w:cstheme="minorHAnsi"/>
          <w:b/>
          <w:sz w:val="24"/>
          <w:szCs w:val="24"/>
          <w:lang w:eastAsia="es-CR"/>
        </w:rPr>
        <w:t>Guaymí</w:t>
      </w:r>
      <w:proofErr w:type="spellEnd"/>
      <w:r w:rsidR="00577EF2" w:rsidRPr="00167E30">
        <w:rPr>
          <w:rFonts w:cstheme="minorHAnsi"/>
          <w:b/>
          <w:sz w:val="24"/>
          <w:szCs w:val="24"/>
          <w:lang w:eastAsia="es-CR"/>
        </w:rPr>
        <w:t xml:space="preserve"> de Osa</w:t>
      </w:r>
      <w:r w:rsidR="007970F8">
        <w:rPr>
          <w:rFonts w:cstheme="minorHAnsi"/>
          <w:sz w:val="24"/>
          <w:szCs w:val="24"/>
          <w:lang w:eastAsia="es-CR"/>
        </w:rPr>
        <w:t xml:space="preserve"> (</w:t>
      </w:r>
      <w:proofErr w:type="spellStart"/>
      <w:r w:rsidR="007970F8">
        <w:rPr>
          <w:rFonts w:cstheme="minorHAnsi"/>
          <w:sz w:val="24"/>
          <w:szCs w:val="24"/>
          <w:lang w:eastAsia="es-CR"/>
        </w:rPr>
        <w:t>Gnöbe</w:t>
      </w:r>
      <w:proofErr w:type="spellEnd"/>
      <w:r w:rsidR="007970F8">
        <w:rPr>
          <w:rFonts w:cstheme="minorHAnsi"/>
          <w:sz w:val="24"/>
          <w:szCs w:val="24"/>
          <w:lang w:eastAsia="es-CR"/>
        </w:rPr>
        <w:t>)</w:t>
      </w:r>
      <w:r w:rsidR="00577EF2">
        <w:rPr>
          <w:rFonts w:cstheme="minorHAnsi"/>
          <w:sz w:val="24"/>
          <w:szCs w:val="24"/>
          <w:lang w:eastAsia="es-CR"/>
        </w:rPr>
        <w:t xml:space="preserve">, </w:t>
      </w:r>
      <w:r w:rsidR="007970F8">
        <w:rPr>
          <w:rFonts w:cstheme="minorHAnsi"/>
          <w:sz w:val="24"/>
          <w:szCs w:val="24"/>
          <w:lang w:eastAsia="es-CR"/>
        </w:rPr>
        <w:t xml:space="preserve">y </w:t>
      </w:r>
      <w:r w:rsidR="00577EF2">
        <w:rPr>
          <w:rFonts w:cstheme="minorHAnsi"/>
          <w:sz w:val="24"/>
          <w:szCs w:val="24"/>
          <w:lang w:eastAsia="es-CR"/>
        </w:rPr>
        <w:t xml:space="preserve">24. </w:t>
      </w:r>
      <w:proofErr w:type="spellStart"/>
      <w:r w:rsidR="00577EF2" w:rsidRPr="00167E30">
        <w:rPr>
          <w:rFonts w:cstheme="minorHAnsi"/>
          <w:b/>
          <w:sz w:val="24"/>
          <w:szCs w:val="24"/>
          <w:lang w:eastAsia="es-CR"/>
        </w:rPr>
        <w:t>Kékoldi</w:t>
      </w:r>
      <w:proofErr w:type="spellEnd"/>
      <w:r w:rsidR="007970F8">
        <w:rPr>
          <w:rFonts w:cstheme="minorHAnsi"/>
          <w:sz w:val="24"/>
          <w:szCs w:val="24"/>
          <w:lang w:eastAsia="es-CR"/>
        </w:rPr>
        <w:t xml:space="preserve"> (</w:t>
      </w:r>
      <w:proofErr w:type="spellStart"/>
      <w:r w:rsidR="007970F8">
        <w:rPr>
          <w:rFonts w:cstheme="minorHAnsi"/>
          <w:sz w:val="24"/>
          <w:szCs w:val="24"/>
          <w:lang w:eastAsia="es-CR"/>
        </w:rPr>
        <w:t>Bribri</w:t>
      </w:r>
      <w:proofErr w:type="spellEnd"/>
      <w:r w:rsidR="007970F8">
        <w:rPr>
          <w:rFonts w:cstheme="minorHAnsi"/>
          <w:sz w:val="24"/>
          <w:szCs w:val="24"/>
          <w:lang w:eastAsia="es-CR"/>
        </w:rPr>
        <w:t>).</w:t>
      </w:r>
      <w:r w:rsidR="00167E30">
        <w:rPr>
          <w:rFonts w:cstheme="minorHAnsi"/>
          <w:sz w:val="24"/>
          <w:szCs w:val="24"/>
          <w:lang w:eastAsia="es-CR"/>
        </w:rPr>
        <w:t xml:space="preserve">  </w:t>
      </w:r>
      <w:r w:rsidR="00DD2BEF">
        <w:rPr>
          <w:rFonts w:cstheme="minorHAnsi"/>
          <w:sz w:val="24"/>
          <w:szCs w:val="24"/>
          <w:lang w:eastAsia="es-CR"/>
        </w:rPr>
        <w:t xml:space="preserve"> </w:t>
      </w:r>
      <w:r w:rsidR="00167E30">
        <w:rPr>
          <w:rFonts w:cstheme="minorHAnsi"/>
          <w:sz w:val="24"/>
          <w:szCs w:val="24"/>
          <w:lang w:eastAsia="es-CR"/>
        </w:rPr>
        <w:t>E</w:t>
      </w:r>
      <w:r w:rsidR="00DD2BEF">
        <w:rPr>
          <w:rFonts w:cstheme="minorHAnsi"/>
          <w:sz w:val="24"/>
          <w:szCs w:val="24"/>
          <w:lang w:eastAsia="es-CR"/>
        </w:rPr>
        <w:t>l siguiente mapa</w:t>
      </w:r>
      <w:r w:rsidR="00167E30">
        <w:rPr>
          <w:rFonts w:cstheme="minorHAnsi"/>
          <w:sz w:val="24"/>
          <w:szCs w:val="24"/>
          <w:lang w:eastAsia="es-CR"/>
        </w:rPr>
        <w:t xml:space="preserve"> indica su ubicación</w:t>
      </w:r>
      <w:r w:rsidR="007D691B">
        <w:rPr>
          <w:rFonts w:cstheme="minorHAnsi"/>
          <w:sz w:val="24"/>
          <w:szCs w:val="24"/>
          <w:lang w:eastAsia="es-CR"/>
        </w:rPr>
        <w:t xml:space="preserve"> (ver Anexo No.1 sobre decretos de creación de cada territorio, cantón y desagregación)</w:t>
      </w:r>
      <w:r>
        <w:rPr>
          <w:rFonts w:cstheme="minorHAnsi"/>
          <w:sz w:val="24"/>
          <w:szCs w:val="24"/>
          <w:lang w:eastAsia="es-CR"/>
        </w:rPr>
        <w:t>:</w:t>
      </w:r>
    </w:p>
    <w:p w:rsidR="00DD2BEF" w:rsidRDefault="00DD2BEF" w:rsidP="00751CA8">
      <w:pPr>
        <w:spacing w:after="0" w:line="240" w:lineRule="auto"/>
        <w:jc w:val="both"/>
        <w:rPr>
          <w:rFonts w:cstheme="minorHAnsi"/>
          <w:sz w:val="24"/>
          <w:szCs w:val="24"/>
          <w:lang w:eastAsia="es-CR"/>
        </w:rPr>
      </w:pPr>
      <w:r>
        <w:rPr>
          <w:rFonts w:cstheme="minorHAnsi"/>
          <w:noProof/>
          <w:sz w:val="24"/>
          <w:szCs w:val="24"/>
          <w:lang w:eastAsia="es-CR"/>
        </w:rPr>
        <w:lastRenderedPageBreak/>
        <w:drawing>
          <wp:inline distT="0" distB="0" distL="0" distR="0">
            <wp:extent cx="5612130" cy="4230403"/>
            <wp:effectExtent l="19050" t="0" r="762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srcRect/>
                    <a:stretch>
                      <a:fillRect/>
                    </a:stretch>
                  </pic:blipFill>
                  <pic:spPr bwMode="auto">
                    <a:xfrm>
                      <a:off x="0" y="0"/>
                      <a:ext cx="5612130" cy="4230403"/>
                    </a:xfrm>
                    <a:prstGeom prst="rect">
                      <a:avLst/>
                    </a:prstGeom>
                    <a:noFill/>
                    <a:ln w="9525">
                      <a:noFill/>
                      <a:miter lim="800000"/>
                      <a:headEnd/>
                      <a:tailEnd/>
                    </a:ln>
                  </pic:spPr>
                </pic:pic>
              </a:graphicData>
            </a:graphic>
          </wp:inline>
        </w:drawing>
      </w:r>
    </w:p>
    <w:p w:rsidR="00DD2BEF" w:rsidRPr="005B33D4" w:rsidRDefault="00DD2BEF" w:rsidP="005B33D4">
      <w:pPr>
        <w:jc w:val="right"/>
        <w:rPr>
          <w:rFonts w:cstheme="minorHAnsi"/>
          <w:b/>
          <w:i/>
          <w:sz w:val="20"/>
          <w:szCs w:val="20"/>
          <w:lang w:eastAsia="es-CR"/>
        </w:rPr>
      </w:pPr>
      <w:r w:rsidRPr="005B33D4">
        <w:rPr>
          <w:rFonts w:cstheme="minorHAnsi"/>
          <w:b/>
          <w:i/>
          <w:sz w:val="20"/>
          <w:szCs w:val="20"/>
          <w:lang w:eastAsia="es-CR"/>
        </w:rPr>
        <w:t xml:space="preserve">Mapa elaborado por el  INEC </w:t>
      </w:r>
      <w:r w:rsidRPr="005B33D4">
        <w:rPr>
          <w:rFonts w:cstheme="minorHAnsi"/>
          <w:b/>
          <w:i/>
          <w:sz w:val="20"/>
          <w:szCs w:val="20"/>
          <w:lang w:eastAsia="es-CR"/>
        </w:rPr>
        <w:br w:type="page"/>
      </w:r>
    </w:p>
    <w:p w:rsidR="00F17DAE" w:rsidRDefault="00F17DAE" w:rsidP="00751CA8">
      <w:pPr>
        <w:spacing w:after="0" w:line="240" w:lineRule="auto"/>
        <w:jc w:val="both"/>
        <w:rPr>
          <w:rFonts w:cstheme="minorHAnsi"/>
          <w:sz w:val="24"/>
          <w:szCs w:val="24"/>
          <w:lang w:eastAsia="es-CR"/>
        </w:rPr>
      </w:pPr>
    </w:p>
    <w:p w:rsidR="00F17DAE" w:rsidRPr="0026666C" w:rsidRDefault="00AA5CED" w:rsidP="00AA5CED">
      <w:pPr>
        <w:spacing w:after="0" w:line="240" w:lineRule="auto"/>
        <w:jc w:val="both"/>
        <w:rPr>
          <w:i/>
          <w:color w:val="000000"/>
        </w:rPr>
      </w:pPr>
      <w:r>
        <w:rPr>
          <w:rFonts w:cstheme="minorHAnsi"/>
          <w:sz w:val="24"/>
          <w:szCs w:val="24"/>
          <w:lang w:eastAsia="es-CR"/>
        </w:rPr>
        <w:t>Recientes estudios han demostrado</w:t>
      </w:r>
      <w:r w:rsidR="006F2A39">
        <w:rPr>
          <w:rFonts w:cstheme="minorHAnsi"/>
          <w:sz w:val="24"/>
          <w:szCs w:val="24"/>
          <w:lang w:eastAsia="es-CR"/>
        </w:rPr>
        <w:t xml:space="preserve"> la diversidad </w:t>
      </w:r>
      <w:r w:rsidR="00074C4D">
        <w:rPr>
          <w:rFonts w:cstheme="minorHAnsi"/>
          <w:sz w:val="24"/>
          <w:szCs w:val="24"/>
          <w:lang w:eastAsia="es-CR"/>
        </w:rPr>
        <w:t>cultural de la sociedad costarricense</w:t>
      </w:r>
      <w:r w:rsidR="0003315B">
        <w:rPr>
          <w:rFonts w:cstheme="minorHAnsi"/>
          <w:sz w:val="24"/>
          <w:szCs w:val="24"/>
          <w:lang w:eastAsia="es-CR"/>
        </w:rPr>
        <w:t>: […] [el</w:t>
      </w:r>
      <w:proofErr w:type="gramStart"/>
      <w:r w:rsidR="0003315B">
        <w:rPr>
          <w:rFonts w:cstheme="minorHAnsi"/>
          <w:sz w:val="24"/>
          <w:szCs w:val="24"/>
          <w:lang w:eastAsia="es-CR"/>
        </w:rPr>
        <w:t>]</w:t>
      </w:r>
      <w:r w:rsidR="00F17DAE" w:rsidRPr="00AA5CED">
        <w:rPr>
          <w:rFonts w:eastAsia="Times New Roman" w:cs="Arial"/>
          <w:i/>
          <w:color w:val="333333"/>
          <w:lang w:eastAsia="es-CR"/>
        </w:rPr>
        <w:t>4,6</w:t>
      </w:r>
      <w:proofErr w:type="gramEnd"/>
      <w:r w:rsidR="00F17DAE" w:rsidRPr="00AA5CED">
        <w:rPr>
          <w:rFonts w:eastAsia="Times New Roman" w:cs="Arial"/>
          <w:i/>
          <w:color w:val="333333"/>
          <w:lang w:eastAsia="es-CR"/>
        </w:rPr>
        <w:t>% de nuestra genética proviene de negros y el 5,8% tiene origen chino</w:t>
      </w:r>
      <w:r w:rsidRPr="00AA5CED">
        <w:rPr>
          <w:rFonts w:eastAsia="Times New Roman" w:cs="Arial"/>
          <w:i/>
          <w:color w:val="333333"/>
          <w:lang w:eastAsia="es-CR"/>
        </w:rPr>
        <w:t xml:space="preserve">.  </w:t>
      </w:r>
      <w:r w:rsidR="00F17DAE" w:rsidRPr="00AA5CED">
        <w:rPr>
          <w:rFonts w:eastAsia="Times New Roman" w:cs="Arial"/>
          <w:i/>
          <w:color w:val="333333"/>
          <w:lang w:eastAsia="es-CR"/>
        </w:rPr>
        <w:t>Se confirma que 45% de nuestros genes son europeos, y 33%, indígenas</w:t>
      </w:r>
      <w:r>
        <w:rPr>
          <w:rFonts w:eastAsia="Times New Roman" w:cs="Arial"/>
          <w:i/>
          <w:color w:val="333333"/>
          <w:lang w:eastAsia="es-CR"/>
        </w:rPr>
        <w:t xml:space="preserve">.  </w:t>
      </w:r>
      <w:r w:rsidRPr="00AA5CED">
        <w:rPr>
          <w:rFonts w:ascii="Arial" w:eastAsia="Times New Roman" w:hAnsi="Arial" w:cs="Arial"/>
          <w:i/>
          <w:color w:val="333333"/>
          <w:lang w:eastAsia="es-CR"/>
        </w:rPr>
        <w:t xml:space="preserve"> </w:t>
      </w:r>
      <w:r w:rsidR="00F17DAE" w:rsidRPr="0026666C">
        <w:rPr>
          <w:i/>
          <w:color w:val="000000"/>
        </w:rPr>
        <w:t xml:space="preserve">Dentro de cada uno de los costarricenses, la sangre lleva una mezcla genética muy diversa, mucho más de lo que muchos ticos piensan.  En nuestras venas se combinan principalmente cuatro “familias” genéticas que hacen que nuestros genes, educación, formas de ser y hasta nuestra cultura, sean muy variadas.   Estas cuatro vertientes son la europea, la amerindia –o indígena–, la negra y la china.  Aunque los genes europeos (principalmente de origen español) e indígenas se llevan gran parte, dentro de esta mezcla genética, la quinta parte es herencia negra y china. El 14,6% de nuestros genes es </w:t>
      </w:r>
      <w:proofErr w:type="spellStart"/>
      <w:r w:rsidR="00F17DAE" w:rsidRPr="0026666C">
        <w:rPr>
          <w:i/>
          <w:color w:val="000000"/>
        </w:rPr>
        <w:t>afrodescendiente</w:t>
      </w:r>
      <w:proofErr w:type="spellEnd"/>
      <w:r w:rsidR="00F17DAE" w:rsidRPr="0026666C">
        <w:rPr>
          <w:i/>
          <w:color w:val="000000"/>
        </w:rPr>
        <w:t xml:space="preserve"> </w:t>
      </w:r>
      <w:r>
        <w:rPr>
          <w:i/>
          <w:color w:val="000000"/>
        </w:rPr>
        <w:t>y el 5,8% es de origen oriental</w:t>
      </w:r>
      <w:r>
        <w:rPr>
          <w:rStyle w:val="Refdenotaalpie"/>
          <w:i/>
          <w:color w:val="000000"/>
        </w:rPr>
        <w:footnoteReference w:id="7"/>
      </w:r>
      <w:r w:rsidR="00F17DAE" w:rsidRPr="0026666C">
        <w:rPr>
          <w:i/>
          <w:color w:val="000000"/>
        </w:rPr>
        <w:t xml:space="preserve">. </w:t>
      </w:r>
    </w:p>
    <w:p w:rsidR="00F17DAE" w:rsidRDefault="00F17DAE" w:rsidP="00751CA8">
      <w:pPr>
        <w:spacing w:after="0" w:line="240" w:lineRule="auto"/>
        <w:jc w:val="both"/>
        <w:rPr>
          <w:rFonts w:cstheme="minorHAnsi"/>
          <w:sz w:val="24"/>
          <w:szCs w:val="24"/>
          <w:lang w:eastAsia="es-CR"/>
        </w:rPr>
      </w:pPr>
    </w:p>
    <w:p w:rsidR="00DE56B2" w:rsidRDefault="0003315B" w:rsidP="00751CA8">
      <w:pPr>
        <w:spacing w:after="0" w:line="240" w:lineRule="auto"/>
        <w:jc w:val="both"/>
        <w:rPr>
          <w:rFonts w:cstheme="minorHAnsi"/>
          <w:sz w:val="24"/>
          <w:szCs w:val="24"/>
          <w:lang w:eastAsia="es-CR"/>
        </w:rPr>
      </w:pPr>
      <w:r>
        <w:rPr>
          <w:rFonts w:cstheme="minorHAnsi"/>
          <w:sz w:val="24"/>
          <w:szCs w:val="24"/>
          <w:lang w:eastAsia="es-CR"/>
        </w:rPr>
        <w:t xml:space="preserve">Estos estudios permiten analizar, entre muchas cosas, por qué una sociedad tan diversa, presenta grandes diferencias entre sus ciudadanos, quienes acceden o no (en mayor o menor medida) a servicios públicos básicos como educación, trabajo digno, vivienda, salud y justicia, entre otros.  Precisamente, los pueblos indígenas, han reclamado sistemáticamente, la pérdida histórica de sus espacios territoriales, y consecuentemente de sus recursos naturales, </w:t>
      </w:r>
      <w:r w:rsidR="00464AF3">
        <w:rPr>
          <w:rFonts w:cstheme="minorHAnsi"/>
          <w:sz w:val="24"/>
          <w:szCs w:val="24"/>
          <w:lang w:eastAsia="es-CR"/>
        </w:rPr>
        <w:t>disminuyendo el disfrute al goce efectivo de su propio tejido social, que por milenios han desarrollado acorde con sus cosmo</w:t>
      </w:r>
      <w:r w:rsidR="00DE56B2">
        <w:rPr>
          <w:rFonts w:cstheme="minorHAnsi"/>
          <w:sz w:val="24"/>
          <w:szCs w:val="24"/>
          <w:lang w:eastAsia="es-CR"/>
        </w:rPr>
        <w:t>visiones, idiomas, autoridades, economía</w:t>
      </w:r>
      <w:r w:rsidR="003D3A2B">
        <w:rPr>
          <w:rFonts w:cstheme="minorHAnsi"/>
          <w:sz w:val="24"/>
          <w:szCs w:val="24"/>
          <w:lang w:eastAsia="es-CR"/>
        </w:rPr>
        <w:t>, espiritualidad</w:t>
      </w:r>
      <w:r w:rsidR="00DE56B2">
        <w:rPr>
          <w:rFonts w:cstheme="minorHAnsi"/>
          <w:sz w:val="24"/>
          <w:szCs w:val="24"/>
          <w:lang w:eastAsia="es-CR"/>
        </w:rPr>
        <w:t xml:space="preserve"> y derecho propio (derecho indígena o derecho consuetudinario) entre otr</w:t>
      </w:r>
      <w:r w:rsidR="003D3A2B">
        <w:rPr>
          <w:rFonts w:cstheme="minorHAnsi"/>
          <w:sz w:val="24"/>
          <w:szCs w:val="24"/>
          <w:lang w:eastAsia="es-CR"/>
        </w:rPr>
        <w:t>o</w:t>
      </w:r>
      <w:r w:rsidR="00DE56B2">
        <w:rPr>
          <w:rFonts w:cstheme="minorHAnsi"/>
          <w:sz w:val="24"/>
          <w:szCs w:val="24"/>
          <w:lang w:eastAsia="es-CR"/>
        </w:rPr>
        <w:t>s.   Estas prácticas sociales han tenido la virtud de adapt</w:t>
      </w:r>
      <w:r w:rsidR="003D3A2B">
        <w:rPr>
          <w:rFonts w:cstheme="minorHAnsi"/>
          <w:sz w:val="24"/>
          <w:szCs w:val="24"/>
          <w:lang w:eastAsia="es-CR"/>
        </w:rPr>
        <w:t xml:space="preserve">arse con el tiempo, manteniendo ciertos principios básicos como el respeto a la naturaleza y al ser humano, que trascienden hacia la fuerza creadora del universo y rigen las formas de interrelacionarse con todos los seres.  </w:t>
      </w:r>
    </w:p>
    <w:p w:rsidR="00F867DF" w:rsidRDefault="00F867DF" w:rsidP="00751CA8">
      <w:pPr>
        <w:spacing w:after="0" w:line="240" w:lineRule="auto"/>
        <w:jc w:val="both"/>
        <w:rPr>
          <w:rFonts w:cstheme="minorHAnsi"/>
          <w:sz w:val="24"/>
          <w:szCs w:val="24"/>
          <w:lang w:eastAsia="es-CR"/>
        </w:rPr>
      </w:pPr>
    </w:p>
    <w:p w:rsidR="00F867DF" w:rsidRDefault="00F867DF" w:rsidP="00751CA8">
      <w:pPr>
        <w:spacing w:after="0" w:line="240" w:lineRule="auto"/>
        <w:jc w:val="both"/>
        <w:rPr>
          <w:rFonts w:cstheme="minorHAnsi"/>
          <w:sz w:val="24"/>
          <w:szCs w:val="24"/>
          <w:lang w:eastAsia="es-CR"/>
        </w:rPr>
      </w:pPr>
      <w:r>
        <w:rPr>
          <w:rFonts w:cstheme="minorHAnsi"/>
          <w:sz w:val="24"/>
          <w:szCs w:val="24"/>
          <w:lang w:eastAsia="es-CR"/>
        </w:rPr>
        <w:t>Sin embargo, como pudo observarse, en el último censo, la mayor parte de los habitantes indígenas se encuentran fuera de sus territorios, precisamente por la pérdida de sus espacios y la búsqueda de mejores posibilidades de vida.  H</w:t>
      </w:r>
      <w:r w:rsidR="00751CA8">
        <w:rPr>
          <w:rFonts w:cstheme="minorHAnsi"/>
          <w:sz w:val="24"/>
          <w:szCs w:val="24"/>
          <w:lang w:eastAsia="es-CR"/>
        </w:rPr>
        <w:t xml:space="preserve">asta el día de hoy no ha habido representantes indígenas en niveles altos o medios de los poderes del Estado, impidiéndoles tomar parte en la toma de decisiones, definición de políticas públicas y  planes de desarrollo, asignaciones presupuestarias, rendición de cuentas y todas aquellas acciones involucradas en una incorporación </w:t>
      </w:r>
      <w:r w:rsidR="00751CA8">
        <w:rPr>
          <w:rFonts w:cstheme="minorHAnsi"/>
          <w:i/>
          <w:sz w:val="24"/>
          <w:szCs w:val="24"/>
          <w:lang w:eastAsia="es-CR"/>
        </w:rPr>
        <w:t>de jure</w:t>
      </w:r>
      <w:r w:rsidR="00751CA8">
        <w:rPr>
          <w:rFonts w:cstheme="minorHAnsi"/>
          <w:sz w:val="24"/>
          <w:szCs w:val="24"/>
          <w:lang w:eastAsia="es-CR"/>
        </w:rPr>
        <w:t xml:space="preserve"> y </w:t>
      </w:r>
      <w:r w:rsidR="00751CA8">
        <w:rPr>
          <w:rFonts w:cstheme="minorHAnsi"/>
          <w:i/>
          <w:sz w:val="24"/>
          <w:szCs w:val="24"/>
          <w:lang w:eastAsia="es-CR"/>
        </w:rPr>
        <w:t>de facto</w:t>
      </w:r>
      <w:r w:rsidR="00751CA8">
        <w:rPr>
          <w:rFonts w:cstheme="minorHAnsi"/>
          <w:sz w:val="24"/>
          <w:szCs w:val="24"/>
          <w:lang w:eastAsia="es-CR"/>
        </w:rPr>
        <w:t xml:space="preserve"> como ciudadanos y ciudadanas en el pleno ejercicio de sus derechos civiles, políticos, económicos, sociales y culturales.   </w:t>
      </w:r>
    </w:p>
    <w:p w:rsidR="00F867DF" w:rsidRDefault="00F867DF" w:rsidP="00751CA8">
      <w:pPr>
        <w:spacing w:after="0" w:line="240" w:lineRule="auto"/>
        <w:jc w:val="both"/>
        <w:rPr>
          <w:rFonts w:cstheme="minorHAnsi"/>
          <w:sz w:val="24"/>
          <w:szCs w:val="24"/>
          <w:lang w:eastAsia="es-CR"/>
        </w:rPr>
      </w:pPr>
    </w:p>
    <w:p w:rsidR="00751CA8" w:rsidRDefault="00751CA8" w:rsidP="00751CA8">
      <w:pPr>
        <w:spacing w:after="0" w:line="240" w:lineRule="auto"/>
        <w:jc w:val="both"/>
        <w:rPr>
          <w:rFonts w:cstheme="minorHAnsi"/>
          <w:sz w:val="24"/>
          <w:szCs w:val="24"/>
          <w:lang w:eastAsia="es-CR"/>
        </w:rPr>
      </w:pPr>
      <w:r>
        <w:rPr>
          <w:rFonts w:cstheme="minorHAnsi"/>
          <w:sz w:val="24"/>
          <w:szCs w:val="24"/>
          <w:lang w:eastAsia="es-CR"/>
        </w:rPr>
        <w:t xml:space="preserve">La  historia muestra una sociedad excluyente, discriminadora, racista y desigual, que ha </w:t>
      </w:r>
      <w:proofErr w:type="spellStart"/>
      <w:r>
        <w:rPr>
          <w:rFonts w:cstheme="minorHAnsi"/>
          <w:sz w:val="24"/>
          <w:szCs w:val="24"/>
          <w:lang w:eastAsia="es-CR"/>
        </w:rPr>
        <w:t>invisibilizado</w:t>
      </w:r>
      <w:proofErr w:type="spellEnd"/>
      <w:r>
        <w:rPr>
          <w:rFonts w:cstheme="minorHAnsi"/>
          <w:sz w:val="24"/>
          <w:szCs w:val="24"/>
          <w:lang w:eastAsia="es-CR"/>
        </w:rPr>
        <w:t xml:space="preserve"> a los pueblos indígenas como sujetos históricos, afectando gravemente los derechos que les son inherentes por su condición étnica que están protegidos por la legislación internacional e interna, que constituye marco de obligatorio cumplimiento </w:t>
      </w:r>
      <w:r>
        <w:rPr>
          <w:rFonts w:cstheme="minorHAnsi"/>
          <w:sz w:val="24"/>
          <w:szCs w:val="24"/>
          <w:lang w:eastAsia="es-CR"/>
        </w:rPr>
        <w:lastRenderedPageBreak/>
        <w:t xml:space="preserve">para un país que ha firmado y ratificado la mayor parte de tratados internacionales en materia de derechos humanos y derechos indígenas.  </w:t>
      </w:r>
      <w:r w:rsidR="00F867DF">
        <w:rPr>
          <w:rFonts w:cstheme="minorHAnsi"/>
          <w:sz w:val="24"/>
          <w:szCs w:val="24"/>
          <w:lang w:eastAsia="es-CR"/>
        </w:rPr>
        <w:t>U</w:t>
      </w:r>
      <w:r>
        <w:rPr>
          <w:rFonts w:cstheme="minorHAnsi"/>
          <w:sz w:val="24"/>
          <w:szCs w:val="24"/>
          <w:lang w:eastAsia="es-CR"/>
        </w:rPr>
        <w:t>n avance significativo lo constituye el decreto de Política nacional para una sociedad libre de racismo, discriminación racial y xenofobia 2014-2025 y su Plan de Acción</w:t>
      </w:r>
      <w:r w:rsidR="00F867DF">
        <w:rPr>
          <w:rStyle w:val="Refdenotaalpie"/>
          <w:rFonts w:cstheme="minorHAnsi"/>
          <w:sz w:val="24"/>
          <w:szCs w:val="24"/>
          <w:lang w:eastAsia="es-CR"/>
        </w:rPr>
        <w:footnoteReference w:id="8"/>
      </w:r>
      <w:r>
        <w:rPr>
          <w:rFonts w:cstheme="minorHAnsi"/>
          <w:sz w:val="24"/>
          <w:szCs w:val="24"/>
          <w:lang w:eastAsia="es-CR"/>
        </w:rPr>
        <w:t xml:space="preserve">, </w:t>
      </w:r>
      <w:r w:rsidR="00F867DF">
        <w:rPr>
          <w:rFonts w:cstheme="minorHAnsi"/>
          <w:sz w:val="24"/>
          <w:szCs w:val="24"/>
          <w:lang w:eastAsia="es-CR"/>
        </w:rPr>
        <w:t xml:space="preserve">que tiene como fin </w:t>
      </w:r>
      <w:r w:rsidR="00F867DF" w:rsidRPr="00F867DF">
        <w:rPr>
          <w:rFonts w:cstheme="minorHAnsi"/>
          <w:i/>
          <w:sz w:val="24"/>
          <w:szCs w:val="24"/>
          <w:lang w:eastAsia="es-CR"/>
        </w:rPr>
        <w:t>[</w:t>
      </w:r>
      <w:r w:rsidRPr="00F867DF">
        <w:rPr>
          <w:rFonts w:cstheme="minorHAnsi"/>
          <w:i/>
          <w:sz w:val="24"/>
          <w:szCs w:val="24"/>
          <w:lang w:eastAsia="es-CR"/>
        </w:rPr>
        <w:t>…</w:t>
      </w:r>
      <w:r w:rsidR="00F867DF" w:rsidRPr="00F867DF">
        <w:rPr>
          <w:rFonts w:cstheme="minorHAnsi"/>
          <w:i/>
          <w:sz w:val="24"/>
          <w:szCs w:val="24"/>
          <w:lang w:eastAsia="es-CR"/>
        </w:rPr>
        <w:t xml:space="preserve">] </w:t>
      </w:r>
      <w:r w:rsidRPr="00F867DF">
        <w:rPr>
          <w:rFonts w:cstheme="minorHAnsi"/>
          <w:i/>
          <w:sz w:val="24"/>
          <w:szCs w:val="24"/>
          <w:lang w:eastAsia="es-CR"/>
        </w:rPr>
        <w:t>asegurar la promoción y protección de los derechos humanos de todos los habitantes de la nación sin discriminación alguna y</w:t>
      </w:r>
      <w:r w:rsidR="00F867DF" w:rsidRPr="00F867DF">
        <w:rPr>
          <w:rFonts w:cstheme="minorHAnsi"/>
          <w:i/>
          <w:sz w:val="24"/>
          <w:szCs w:val="24"/>
          <w:lang w:eastAsia="es-CR"/>
        </w:rPr>
        <w:t xml:space="preserve"> [</w:t>
      </w:r>
      <w:r w:rsidRPr="00F867DF">
        <w:rPr>
          <w:rFonts w:cstheme="minorHAnsi"/>
          <w:i/>
          <w:sz w:val="24"/>
          <w:szCs w:val="24"/>
          <w:lang w:eastAsia="es-CR"/>
        </w:rPr>
        <w:t>……</w:t>
      </w:r>
      <w:r w:rsidR="00F867DF" w:rsidRPr="00F867DF">
        <w:rPr>
          <w:rFonts w:cstheme="minorHAnsi"/>
          <w:i/>
          <w:sz w:val="24"/>
          <w:szCs w:val="24"/>
          <w:lang w:eastAsia="es-CR"/>
        </w:rPr>
        <w:t xml:space="preserve">] </w:t>
      </w:r>
      <w:r w:rsidRPr="00F867DF">
        <w:rPr>
          <w:rFonts w:cstheme="minorHAnsi"/>
          <w:i/>
          <w:sz w:val="24"/>
          <w:szCs w:val="24"/>
          <w:lang w:eastAsia="es-CR"/>
        </w:rPr>
        <w:t>asegurar la conformación de una sociedad justa y libre de racismo, discriminación racial y xenofobia</w:t>
      </w:r>
      <w:r>
        <w:rPr>
          <w:rFonts w:cstheme="minorHAnsi"/>
          <w:sz w:val="24"/>
          <w:szCs w:val="24"/>
          <w:lang w:eastAsia="es-CR"/>
        </w:rPr>
        <w:t>.</w:t>
      </w:r>
      <w:r>
        <w:rPr>
          <w:rStyle w:val="Refdenotaalpie"/>
          <w:rFonts w:cstheme="minorHAnsi"/>
          <w:sz w:val="24"/>
          <w:szCs w:val="24"/>
          <w:lang w:eastAsia="es-CR"/>
        </w:rPr>
        <w:footnoteReference w:id="9"/>
      </w:r>
      <w:r>
        <w:rPr>
          <w:rFonts w:cstheme="minorHAnsi"/>
          <w:sz w:val="24"/>
          <w:szCs w:val="24"/>
          <w:lang w:eastAsia="es-CR"/>
        </w:rPr>
        <w:t xml:space="preserve">   </w:t>
      </w:r>
    </w:p>
    <w:p w:rsidR="00F867DF" w:rsidRDefault="00F867DF" w:rsidP="00751CA8">
      <w:pPr>
        <w:spacing w:after="0" w:line="240" w:lineRule="auto"/>
        <w:jc w:val="both"/>
        <w:rPr>
          <w:rFonts w:cstheme="minorHAnsi"/>
          <w:sz w:val="24"/>
          <w:szCs w:val="24"/>
          <w:lang w:eastAsia="es-CR"/>
        </w:rPr>
      </w:pPr>
    </w:p>
    <w:p w:rsidR="00F867DF" w:rsidRDefault="00F867DF" w:rsidP="00751CA8">
      <w:pPr>
        <w:spacing w:after="0" w:line="240" w:lineRule="auto"/>
        <w:jc w:val="both"/>
        <w:rPr>
          <w:rFonts w:cstheme="minorHAnsi"/>
          <w:sz w:val="24"/>
          <w:szCs w:val="24"/>
          <w:lang w:eastAsia="es-CR"/>
        </w:rPr>
      </w:pPr>
      <w:r>
        <w:rPr>
          <w:rFonts w:cstheme="minorHAnsi"/>
          <w:sz w:val="24"/>
          <w:szCs w:val="24"/>
          <w:lang w:eastAsia="es-CR"/>
        </w:rPr>
        <w:t xml:space="preserve">Precisamente, la utilización del agua, </w:t>
      </w:r>
      <w:r w:rsidR="009E09B9">
        <w:rPr>
          <w:rFonts w:cstheme="minorHAnsi"/>
          <w:sz w:val="24"/>
          <w:szCs w:val="24"/>
          <w:lang w:eastAsia="es-CR"/>
        </w:rPr>
        <w:t xml:space="preserve">los </w:t>
      </w:r>
      <w:r>
        <w:rPr>
          <w:rFonts w:cstheme="minorHAnsi"/>
          <w:sz w:val="24"/>
          <w:szCs w:val="24"/>
          <w:lang w:eastAsia="es-CR"/>
        </w:rPr>
        <w:t xml:space="preserve">bosques, </w:t>
      </w:r>
      <w:r w:rsidR="009E09B9">
        <w:rPr>
          <w:rFonts w:cstheme="minorHAnsi"/>
          <w:sz w:val="24"/>
          <w:szCs w:val="24"/>
          <w:lang w:eastAsia="es-CR"/>
        </w:rPr>
        <w:t xml:space="preserve">los </w:t>
      </w:r>
      <w:r>
        <w:rPr>
          <w:rFonts w:cstheme="minorHAnsi"/>
          <w:sz w:val="24"/>
          <w:szCs w:val="24"/>
          <w:lang w:eastAsia="es-CR"/>
        </w:rPr>
        <w:t xml:space="preserve">minerales y </w:t>
      </w:r>
      <w:r w:rsidR="009E09B9">
        <w:rPr>
          <w:rFonts w:cstheme="minorHAnsi"/>
          <w:sz w:val="24"/>
          <w:szCs w:val="24"/>
          <w:lang w:eastAsia="es-CR"/>
        </w:rPr>
        <w:t xml:space="preserve">las </w:t>
      </w:r>
      <w:r>
        <w:rPr>
          <w:rFonts w:cstheme="minorHAnsi"/>
          <w:sz w:val="24"/>
          <w:szCs w:val="24"/>
          <w:lang w:eastAsia="es-CR"/>
        </w:rPr>
        <w:t xml:space="preserve">tierras, aunado a la inexistencia de un proceso estatal </w:t>
      </w:r>
      <w:r w:rsidR="009E09B9">
        <w:rPr>
          <w:rFonts w:cstheme="minorHAnsi"/>
          <w:sz w:val="24"/>
          <w:szCs w:val="24"/>
          <w:lang w:eastAsia="es-CR"/>
        </w:rPr>
        <w:t xml:space="preserve">(política pública con su presupuesto) </w:t>
      </w:r>
      <w:r>
        <w:rPr>
          <w:rFonts w:cstheme="minorHAnsi"/>
          <w:sz w:val="24"/>
          <w:szCs w:val="24"/>
          <w:lang w:eastAsia="es-CR"/>
        </w:rPr>
        <w:t>de recuperación de t</w:t>
      </w:r>
      <w:r w:rsidR="009E09B9">
        <w:rPr>
          <w:rFonts w:cstheme="minorHAnsi"/>
          <w:sz w:val="24"/>
          <w:szCs w:val="24"/>
          <w:lang w:eastAsia="es-CR"/>
        </w:rPr>
        <w:t>erritorios indígenas, ha ido creando una fuerte presión interna en las comunidades, provocando que de los 24 territorios, muchos se encuentren hoy en forma ilegal ocupados mayoritariamente por no indígenas.</w:t>
      </w:r>
    </w:p>
    <w:p w:rsidR="009E09B9" w:rsidRDefault="009E09B9" w:rsidP="00751CA8">
      <w:pPr>
        <w:spacing w:after="0" w:line="240" w:lineRule="auto"/>
        <w:jc w:val="both"/>
        <w:rPr>
          <w:rFonts w:cstheme="minorHAnsi"/>
          <w:sz w:val="24"/>
          <w:szCs w:val="24"/>
          <w:lang w:eastAsia="es-CR"/>
        </w:rPr>
      </w:pPr>
    </w:p>
    <w:p w:rsidR="000A6730" w:rsidRDefault="000A6730" w:rsidP="00751CA8">
      <w:pPr>
        <w:spacing w:after="0" w:line="240" w:lineRule="auto"/>
        <w:jc w:val="both"/>
        <w:rPr>
          <w:rFonts w:cstheme="minorHAnsi"/>
          <w:sz w:val="24"/>
          <w:szCs w:val="24"/>
          <w:lang w:eastAsia="es-CR"/>
        </w:rPr>
      </w:pPr>
      <w:r>
        <w:rPr>
          <w:rFonts w:cstheme="minorHAnsi"/>
          <w:sz w:val="24"/>
          <w:szCs w:val="24"/>
          <w:lang w:eastAsia="es-CR"/>
        </w:rPr>
        <w:t xml:space="preserve">Según datos del censo anterior (2000) </w:t>
      </w:r>
      <w:r w:rsidR="00F008D1">
        <w:rPr>
          <w:rFonts w:cstheme="minorHAnsi"/>
          <w:sz w:val="24"/>
          <w:szCs w:val="24"/>
          <w:lang w:eastAsia="es-CR"/>
        </w:rPr>
        <w:t>la realidad mostraba que</w:t>
      </w:r>
      <w:r w:rsidR="00F008D1">
        <w:rPr>
          <w:rStyle w:val="Refdenotaalpie"/>
          <w:rFonts w:cstheme="minorHAnsi"/>
          <w:sz w:val="24"/>
          <w:szCs w:val="24"/>
          <w:lang w:eastAsia="es-CR"/>
        </w:rPr>
        <w:footnoteReference w:id="10"/>
      </w:r>
      <w:r>
        <w:rPr>
          <w:rFonts w:cstheme="minorHAnsi"/>
          <w:sz w:val="24"/>
          <w:szCs w:val="24"/>
          <w:lang w:eastAsia="es-CR"/>
        </w:rPr>
        <w:t xml:space="preserve">: </w:t>
      </w:r>
    </w:p>
    <w:p w:rsidR="000A6730" w:rsidRDefault="000A6730" w:rsidP="000A6730">
      <w:pPr>
        <w:spacing w:after="0" w:line="240" w:lineRule="auto"/>
        <w:jc w:val="both"/>
        <w:rPr>
          <w:rFonts w:cstheme="minorHAnsi"/>
          <w:sz w:val="24"/>
          <w:szCs w:val="24"/>
          <w:lang w:eastAsia="es-CR"/>
        </w:rPr>
      </w:pPr>
    </w:p>
    <w:tbl>
      <w:tblPr>
        <w:tblStyle w:val="Tablaconcuadrcula"/>
        <w:tblW w:w="0" w:type="auto"/>
        <w:tblLook w:val="04A0"/>
      </w:tblPr>
      <w:tblGrid>
        <w:gridCol w:w="2992"/>
        <w:gridCol w:w="2993"/>
        <w:gridCol w:w="2993"/>
      </w:tblGrid>
      <w:tr w:rsidR="000A6730" w:rsidTr="000A6730">
        <w:tc>
          <w:tcPr>
            <w:tcW w:w="2992" w:type="dxa"/>
          </w:tcPr>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 xml:space="preserve">Superficie total territorios </w:t>
            </w:r>
          </w:p>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w:t>
            </w:r>
            <w:proofErr w:type="gramStart"/>
            <w:r w:rsidRPr="005D70EF">
              <w:rPr>
                <w:rFonts w:cstheme="minorHAnsi"/>
                <w:i/>
                <w:sz w:val="20"/>
                <w:szCs w:val="20"/>
                <w:lang w:eastAsia="es-CR"/>
              </w:rPr>
              <w:t>has</w:t>
            </w:r>
            <w:proofErr w:type="gramEnd"/>
            <w:r w:rsidRPr="005D70EF">
              <w:rPr>
                <w:rFonts w:cstheme="minorHAnsi"/>
                <w:i/>
                <w:sz w:val="20"/>
                <w:szCs w:val="20"/>
                <w:lang w:eastAsia="es-CR"/>
              </w:rPr>
              <w:t xml:space="preserve">) 334 447 (100%) </w:t>
            </w:r>
          </w:p>
          <w:p w:rsidR="000A6730" w:rsidRPr="005D70EF" w:rsidRDefault="000A6730" w:rsidP="000A6730">
            <w:pPr>
              <w:jc w:val="both"/>
              <w:rPr>
                <w:rFonts w:cstheme="minorHAnsi"/>
                <w:i/>
                <w:sz w:val="20"/>
                <w:szCs w:val="20"/>
                <w:lang w:eastAsia="es-CR"/>
              </w:rPr>
            </w:pPr>
          </w:p>
        </w:tc>
        <w:tc>
          <w:tcPr>
            <w:tcW w:w="2993" w:type="dxa"/>
          </w:tcPr>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 xml:space="preserve">Superficie en manos indígenas (has) 203 010 (60.7%) </w:t>
            </w:r>
          </w:p>
          <w:p w:rsidR="000A6730" w:rsidRPr="005D70EF" w:rsidRDefault="000A6730" w:rsidP="000A6730">
            <w:pPr>
              <w:jc w:val="both"/>
              <w:rPr>
                <w:rFonts w:cstheme="minorHAnsi"/>
                <w:i/>
                <w:sz w:val="20"/>
                <w:szCs w:val="20"/>
                <w:lang w:eastAsia="es-CR"/>
              </w:rPr>
            </w:pPr>
          </w:p>
        </w:tc>
        <w:tc>
          <w:tcPr>
            <w:tcW w:w="2993" w:type="dxa"/>
          </w:tcPr>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 xml:space="preserve">Superficie en manos de no indígenas (has) 131 437 </w:t>
            </w:r>
          </w:p>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 xml:space="preserve">(39.3%) </w:t>
            </w:r>
          </w:p>
          <w:p w:rsidR="000A6730" w:rsidRPr="005D70EF" w:rsidRDefault="000A6730" w:rsidP="000A6730">
            <w:pPr>
              <w:jc w:val="both"/>
              <w:rPr>
                <w:rFonts w:cstheme="minorHAnsi"/>
                <w:i/>
                <w:sz w:val="20"/>
                <w:szCs w:val="20"/>
                <w:lang w:eastAsia="es-CR"/>
              </w:rPr>
            </w:pPr>
          </w:p>
        </w:tc>
      </w:tr>
      <w:tr w:rsidR="000A6730" w:rsidTr="000A6730">
        <w:tc>
          <w:tcPr>
            <w:tcW w:w="2992" w:type="dxa"/>
          </w:tcPr>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 xml:space="preserve">Población total (personas) </w:t>
            </w:r>
          </w:p>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33 128 (100%)</w:t>
            </w:r>
          </w:p>
          <w:p w:rsidR="000A6730" w:rsidRPr="005D70EF" w:rsidRDefault="000A6730" w:rsidP="000A6730">
            <w:pPr>
              <w:jc w:val="both"/>
              <w:rPr>
                <w:rFonts w:cstheme="minorHAnsi"/>
                <w:i/>
                <w:sz w:val="20"/>
                <w:szCs w:val="20"/>
                <w:lang w:eastAsia="es-CR"/>
              </w:rPr>
            </w:pPr>
          </w:p>
        </w:tc>
        <w:tc>
          <w:tcPr>
            <w:tcW w:w="2993" w:type="dxa"/>
          </w:tcPr>
          <w:p w:rsidR="005D70EF" w:rsidRDefault="000A6730" w:rsidP="000A6730">
            <w:pPr>
              <w:jc w:val="both"/>
              <w:rPr>
                <w:rFonts w:cstheme="minorHAnsi"/>
                <w:i/>
                <w:sz w:val="20"/>
                <w:szCs w:val="20"/>
                <w:lang w:eastAsia="es-CR"/>
              </w:rPr>
            </w:pPr>
            <w:r w:rsidRPr="005D70EF">
              <w:rPr>
                <w:rFonts w:cstheme="minorHAnsi"/>
                <w:i/>
                <w:sz w:val="20"/>
                <w:szCs w:val="20"/>
                <w:lang w:eastAsia="es-CR"/>
              </w:rPr>
              <w:t xml:space="preserve">Población Indígena (personas) </w:t>
            </w:r>
          </w:p>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27 041 (81.6%)</w:t>
            </w:r>
          </w:p>
          <w:p w:rsidR="000A6730" w:rsidRPr="005D70EF" w:rsidRDefault="000A6730" w:rsidP="000A6730">
            <w:pPr>
              <w:jc w:val="both"/>
              <w:rPr>
                <w:rFonts w:cstheme="minorHAnsi"/>
                <w:i/>
                <w:sz w:val="20"/>
                <w:szCs w:val="20"/>
                <w:lang w:eastAsia="es-CR"/>
              </w:rPr>
            </w:pPr>
          </w:p>
        </w:tc>
        <w:tc>
          <w:tcPr>
            <w:tcW w:w="2993" w:type="dxa"/>
          </w:tcPr>
          <w:p w:rsidR="000A6730" w:rsidRPr="005D70EF" w:rsidRDefault="000A6730" w:rsidP="000A6730">
            <w:pPr>
              <w:jc w:val="both"/>
              <w:rPr>
                <w:rFonts w:cstheme="minorHAnsi"/>
                <w:i/>
                <w:sz w:val="20"/>
                <w:szCs w:val="20"/>
                <w:lang w:eastAsia="es-CR"/>
              </w:rPr>
            </w:pPr>
            <w:r w:rsidRPr="005D70EF">
              <w:rPr>
                <w:rFonts w:cstheme="minorHAnsi"/>
                <w:i/>
                <w:sz w:val="20"/>
                <w:szCs w:val="20"/>
                <w:lang w:eastAsia="es-CR"/>
              </w:rPr>
              <w:t>Población no Indígena (personas) 6 087 (18.4%)</w:t>
            </w:r>
          </w:p>
          <w:p w:rsidR="000A6730" w:rsidRPr="005D70EF" w:rsidRDefault="000A6730" w:rsidP="000A6730">
            <w:pPr>
              <w:jc w:val="both"/>
              <w:rPr>
                <w:rFonts w:cstheme="minorHAnsi"/>
                <w:i/>
                <w:sz w:val="20"/>
                <w:szCs w:val="20"/>
                <w:lang w:eastAsia="es-CR"/>
              </w:rPr>
            </w:pPr>
          </w:p>
        </w:tc>
      </w:tr>
    </w:tbl>
    <w:p w:rsidR="000A6730" w:rsidRDefault="000A6730" w:rsidP="000A6730">
      <w:pPr>
        <w:spacing w:after="0" w:line="240" w:lineRule="auto"/>
        <w:jc w:val="both"/>
        <w:rPr>
          <w:rFonts w:cstheme="minorHAnsi"/>
          <w:sz w:val="24"/>
          <w:szCs w:val="24"/>
          <w:lang w:eastAsia="es-CR"/>
        </w:rPr>
      </w:pPr>
    </w:p>
    <w:p w:rsidR="00457F7B" w:rsidRDefault="00457F7B" w:rsidP="00457F7B">
      <w:pPr>
        <w:spacing w:after="0" w:line="240" w:lineRule="auto"/>
        <w:jc w:val="both"/>
        <w:rPr>
          <w:rFonts w:cstheme="minorHAnsi"/>
          <w:sz w:val="24"/>
          <w:szCs w:val="24"/>
          <w:lang w:eastAsia="es-CR"/>
        </w:rPr>
      </w:pPr>
      <w:r>
        <w:rPr>
          <w:rFonts w:cstheme="minorHAnsi"/>
          <w:sz w:val="24"/>
          <w:szCs w:val="24"/>
          <w:lang w:eastAsia="es-CR"/>
        </w:rPr>
        <w:t xml:space="preserve">En el mismo sentido, estudios de ese mismo año, </w:t>
      </w:r>
      <w:r w:rsidR="00F008D1">
        <w:rPr>
          <w:rFonts w:cstheme="minorHAnsi"/>
          <w:sz w:val="24"/>
          <w:szCs w:val="24"/>
          <w:lang w:eastAsia="es-CR"/>
        </w:rPr>
        <w:t>indicaban</w:t>
      </w:r>
      <w:r>
        <w:rPr>
          <w:rFonts w:cstheme="minorHAnsi"/>
          <w:sz w:val="24"/>
          <w:szCs w:val="24"/>
          <w:lang w:eastAsia="es-CR"/>
        </w:rPr>
        <w:t xml:space="preserve"> la siguiente ocupación de territorios en manos de no indígenas: </w:t>
      </w:r>
      <w:r w:rsidRPr="00457F7B">
        <w:rPr>
          <w:rFonts w:cstheme="minorHAnsi"/>
          <w:b/>
          <w:sz w:val="24"/>
          <w:szCs w:val="24"/>
          <w:lang w:eastAsia="es-CR"/>
        </w:rPr>
        <w:t>75% o más</w:t>
      </w:r>
      <w:r>
        <w:rPr>
          <w:rFonts w:cstheme="minorHAnsi"/>
          <w:sz w:val="24"/>
          <w:szCs w:val="24"/>
          <w:lang w:eastAsia="es-CR"/>
        </w:rPr>
        <w:t xml:space="preserve">: </w:t>
      </w:r>
      <w:proofErr w:type="spellStart"/>
      <w:r w:rsidRPr="00457F7B">
        <w:rPr>
          <w:rFonts w:cstheme="minorHAnsi"/>
          <w:sz w:val="24"/>
          <w:szCs w:val="24"/>
          <w:lang w:eastAsia="es-CR"/>
        </w:rPr>
        <w:t>Maleku</w:t>
      </w:r>
      <w:proofErr w:type="spellEnd"/>
      <w:r w:rsidRPr="00457F7B">
        <w:rPr>
          <w:rFonts w:cstheme="minorHAnsi"/>
          <w:sz w:val="24"/>
          <w:szCs w:val="24"/>
          <w:lang w:eastAsia="es-CR"/>
        </w:rPr>
        <w:t xml:space="preserve"> 78%</w:t>
      </w:r>
      <w:r>
        <w:rPr>
          <w:rFonts w:cstheme="minorHAnsi"/>
          <w:sz w:val="24"/>
          <w:szCs w:val="24"/>
          <w:lang w:eastAsia="es-CR"/>
        </w:rPr>
        <w:t xml:space="preserve">, </w:t>
      </w:r>
      <w:r w:rsidRPr="00457F7B">
        <w:rPr>
          <w:rFonts w:cstheme="minorHAnsi"/>
          <w:sz w:val="24"/>
          <w:szCs w:val="24"/>
          <w:lang w:eastAsia="es-CR"/>
        </w:rPr>
        <w:t>Zapatón 80%</w:t>
      </w:r>
      <w:r>
        <w:rPr>
          <w:rFonts w:cstheme="minorHAnsi"/>
          <w:sz w:val="24"/>
          <w:szCs w:val="24"/>
          <w:lang w:eastAsia="es-CR"/>
        </w:rPr>
        <w:t xml:space="preserve">, </w:t>
      </w:r>
      <w:proofErr w:type="spellStart"/>
      <w:r w:rsidRPr="00457F7B">
        <w:rPr>
          <w:rFonts w:cstheme="minorHAnsi"/>
          <w:sz w:val="24"/>
          <w:szCs w:val="24"/>
          <w:lang w:eastAsia="es-CR"/>
        </w:rPr>
        <w:t>Quitirrisí</w:t>
      </w:r>
      <w:proofErr w:type="spellEnd"/>
      <w:r w:rsidRPr="00457F7B">
        <w:rPr>
          <w:rFonts w:cstheme="minorHAnsi"/>
          <w:sz w:val="24"/>
          <w:szCs w:val="24"/>
          <w:lang w:eastAsia="es-CR"/>
        </w:rPr>
        <w:t xml:space="preserve"> 91%</w:t>
      </w:r>
      <w:r>
        <w:rPr>
          <w:rFonts w:cstheme="minorHAnsi"/>
          <w:sz w:val="24"/>
          <w:szCs w:val="24"/>
          <w:lang w:eastAsia="es-CR"/>
        </w:rPr>
        <w:t xml:space="preserve">, </w:t>
      </w:r>
      <w:r w:rsidRPr="00457F7B">
        <w:rPr>
          <w:rFonts w:cstheme="minorHAnsi"/>
          <w:sz w:val="24"/>
          <w:szCs w:val="24"/>
          <w:lang w:eastAsia="es-CR"/>
        </w:rPr>
        <w:t xml:space="preserve"> </w:t>
      </w:r>
      <w:proofErr w:type="spellStart"/>
      <w:r w:rsidRPr="00457F7B">
        <w:rPr>
          <w:rFonts w:cstheme="minorHAnsi"/>
          <w:sz w:val="24"/>
          <w:szCs w:val="24"/>
          <w:lang w:eastAsia="es-CR"/>
        </w:rPr>
        <w:t>Térraba</w:t>
      </w:r>
      <w:proofErr w:type="spellEnd"/>
      <w:r w:rsidRPr="00457F7B">
        <w:rPr>
          <w:rFonts w:cstheme="minorHAnsi"/>
          <w:sz w:val="24"/>
          <w:szCs w:val="24"/>
          <w:lang w:eastAsia="es-CR"/>
        </w:rPr>
        <w:t xml:space="preserve"> 88%</w:t>
      </w:r>
      <w:r>
        <w:rPr>
          <w:rFonts w:cstheme="minorHAnsi"/>
          <w:sz w:val="24"/>
          <w:szCs w:val="24"/>
          <w:lang w:eastAsia="es-CR"/>
        </w:rPr>
        <w:t xml:space="preserve">, </w:t>
      </w:r>
      <w:r w:rsidRPr="00457F7B">
        <w:rPr>
          <w:rFonts w:cstheme="minorHAnsi"/>
          <w:sz w:val="24"/>
          <w:szCs w:val="24"/>
          <w:lang w:eastAsia="es-CR"/>
        </w:rPr>
        <w:t xml:space="preserve">China </w:t>
      </w:r>
      <w:proofErr w:type="spellStart"/>
      <w:r w:rsidRPr="00457F7B">
        <w:rPr>
          <w:rFonts w:cstheme="minorHAnsi"/>
          <w:sz w:val="24"/>
          <w:szCs w:val="24"/>
          <w:lang w:eastAsia="es-CR"/>
        </w:rPr>
        <w:t>Kichá</w:t>
      </w:r>
      <w:proofErr w:type="spellEnd"/>
      <w:r w:rsidRPr="00457F7B">
        <w:rPr>
          <w:rFonts w:cstheme="minorHAnsi"/>
          <w:sz w:val="24"/>
          <w:szCs w:val="24"/>
          <w:lang w:eastAsia="es-CR"/>
        </w:rPr>
        <w:t xml:space="preserve"> 97%</w:t>
      </w:r>
      <w:r>
        <w:rPr>
          <w:rFonts w:cstheme="minorHAnsi"/>
          <w:sz w:val="24"/>
          <w:szCs w:val="24"/>
          <w:lang w:eastAsia="es-CR"/>
        </w:rPr>
        <w:t xml:space="preserve">, </w:t>
      </w:r>
      <w:r w:rsidRPr="00457F7B">
        <w:rPr>
          <w:rFonts w:cstheme="minorHAnsi"/>
          <w:sz w:val="24"/>
          <w:szCs w:val="24"/>
          <w:lang w:eastAsia="es-CR"/>
        </w:rPr>
        <w:t xml:space="preserve"> Rey Curré 84%</w:t>
      </w:r>
      <w:r>
        <w:rPr>
          <w:rFonts w:cstheme="minorHAnsi"/>
          <w:sz w:val="24"/>
          <w:szCs w:val="24"/>
          <w:lang w:eastAsia="es-CR"/>
        </w:rPr>
        <w:t xml:space="preserve">, </w:t>
      </w:r>
      <w:r w:rsidRPr="00457F7B">
        <w:rPr>
          <w:rFonts w:cstheme="minorHAnsi"/>
          <w:sz w:val="24"/>
          <w:szCs w:val="24"/>
          <w:lang w:eastAsia="es-CR"/>
        </w:rPr>
        <w:t>Altos de San Antonio 98%</w:t>
      </w:r>
      <w:r>
        <w:rPr>
          <w:rFonts w:cstheme="minorHAnsi"/>
          <w:sz w:val="24"/>
          <w:szCs w:val="24"/>
          <w:lang w:eastAsia="es-CR"/>
        </w:rPr>
        <w:t xml:space="preserve">.   De 50% a 75%: </w:t>
      </w:r>
      <w:proofErr w:type="spellStart"/>
      <w:r w:rsidRPr="00457F7B">
        <w:rPr>
          <w:rFonts w:cstheme="minorHAnsi"/>
          <w:sz w:val="24"/>
          <w:szCs w:val="24"/>
          <w:lang w:eastAsia="es-CR"/>
        </w:rPr>
        <w:t>Talamanca</w:t>
      </w:r>
      <w:proofErr w:type="spellEnd"/>
      <w:r w:rsidRPr="00457F7B">
        <w:rPr>
          <w:rFonts w:cstheme="minorHAnsi"/>
          <w:sz w:val="24"/>
          <w:szCs w:val="24"/>
          <w:lang w:eastAsia="es-CR"/>
        </w:rPr>
        <w:t xml:space="preserve"> </w:t>
      </w:r>
      <w:proofErr w:type="spellStart"/>
      <w:r w:rsidRPr="00457F7B">
        <w:rPr>
          <w:rFonts w:cstheme="minorHAnsi"/>
          <w:sz w:val="24"/>
          <w:szCs w:val="24"/>
          <w:lang w:eastAsia="es-CR"/>
        </w:rPr>
        <w:t>Bribri</w:t>
      </w:r>
      <w:proofErr w:type="spellEnd"/>
      <w:r w:rsidRPr="00457F7B">
        <w:rPr>
          <w:rFonts w:cstheme="minorHAnsi"/>
          <w:sz w:val="24"/>
          <w:szCs w:val="24"/>
          <w:lang w:eastAsia="es-CR"/>
        </w:rPr>
        <w:t xml:space="preserve"> 65%</w:t>
      </w:r>
      <w:r>
        <w:rPr>
          <w:rFonts w:cstheme="minorHAnsi"/>
          <w:sz w:val="24"/>
          <w:szCs w:val="24"/>
          <w:lang w:eastAsia="es-CR"/>
        </w:rPr>
        <w:t xml:space="preserve">, </w:t>
      </w:r>
      <w:proofErr w:type="spellStart"/>
      <w:r w:rsidRPr="00457F7B">
        <w:rPr>
          <w:rFonts w:cstheme="minorHAnsi"/>
          <w:sz w:val="24"/>
          <w:szCs w:val="24"/>
          <w:lang w:eastAsia="es-CR"/>
        </w:rPr>
        <w:t>Keköldi</w:t>
      </w:r>
      <w:proofErr w:type="spellEnd"/>
      <w:r w:rsidRPr="00457F7B">
        <w:rPr>
          <w:rFonts w:cstheme="minorHAnsi"/>
          <w:sz w:val="24"/>
          <w:szCs w:val="24"/>
          <w:lang w:eastAsia="es-CR"/>
        </w:rPr>
        <w:t xml:space="preserve"> 62%</w:t>
      </w:r>
      <w:r>
        <w:rPr>
          <w:rFonts w:cstheme="minorHAnsi"/>
          <w:sz w:val="24"/>
          <w:szCs w:val="24"/>
          <w:lang w:eastAsia="es-CR"/>
        </w:rPr>
        <w:t xml:space="preserve">, </w:t>
      </w:r>
      <w:r w:rsidRPr="00457F7B">
        <w:rPr>
          <w:rFonts w:cstheme="minorHAnsi"/>
          <w:sz w:val="24"/>
          <w:szCs w:val="24"/>
          <w:lang w:eastAsia="es-CR"/>
        </w:rPr>
        <w:t>Salitre 60%</w:t>
      </w:r>
      <w:r>
        <w:rPr>
          <w:rFonts w:cstheme="minorHAnsi"/>
          <w:sz w:val="24"/>
          <w:szCs w:val="24"/>
          <w:lang w:eastAsia="es-CR"/>
        </w:rPr>
        <w:t xml:space="preserve">, </w:t>
      </w:r>
      <w:proofErr w:type="spellStart"/>
      <w:r w:rsidRPr="00457F7B">
        <w:rPr>
          <w:rFonts w:cstheme="minorHAnsi"/>
          <w:sz w:val="24"/>
          <w:szCs w:val="24"/>
          <w:lang w:eastAsia="es-CR"/>
        </w:rPr>
        <w:t>Ujarrás</w:t>
      </w:r>
      <w:proofErr w:type="spellEnd"/>
      <w:r w:rsidRPr="00457F7B">
        <w:rPr>
          <w:rFonts w:cstheme="minorHAnsi"/>
          <w:sz w:val="24"/>
          <w:szCs w:val="24"/>
          <w:lang w:eastAsia="es-CR"/>
        </w:rPr>
        <w:t xml:space="preserve"> 68%</w:t>
      </w:r>
      <w:r>
        <w:rPr>
          <w:rFonts w:cstheme="minorHAnsi"/>
          <w:sz w:val="24"/>
          <w:szCs w:val="24"/>
          <w:lang w:eastAsia="es-CR"/>
        </w:rPr>
        <w:t xml:space="preserve">, </w:t>
      </w:r>
      <w:r w:rsidRPr="00457F7B">
        <w:rPr>
          <w:rFonts w:cstheme="minorHAnsi"/>
          <w:sz w:val="24"/>
          <w:szCs w:val="24"/>
          <w:lang w:eastAsia="es-CR"/>
        </w:rPr>
        <w:t>Boruca 61</w:t>
      </w:r>
      <w:r>
        <w:rPr>
          <w:rFonts w:cstheme="minorHAnsi"/>
          <w:sz w:val="24"/>
          <w:szCs w:val="24"/>
          <w:lang w:eastAsia="es-CR"/>
        </w:rPr>
        <w:t xml:space="preserve">%.  De 10% a 50%: </w:t>
      </w:r>
      <w:proofErr w:type="spellStart"/>
      <w:r w:rsidRPr="00457F7B">
        <w:rPr>
          <w:rFonts w:cstheme="minorHAnsi"/>
          <w:sz w:val="24"/>
          <w:szCs w:val="24"/>
          <w:lang w:eastAsia="es-CR"/>
        </w:rPr>
        <w:t>Matambú</w:t>
      </w:r>
      <w:proofErr w:type="spellEnd"/>
      <w:r w:rsidRPr="00457F7B">
        <w:rPr>
          <w:rFonts w:cstheme="minorHAnsi"/>
          <w:sz w:val="24"/>
          <w:szCs w:val="24"/>
          <w:lang w:eastAsia="es-CR"/>
        </w:rPr>
        <w:t xml:space="preserve"> 42%</w:t>
      </w:r>
      <w:r>
        <w:rPr>
          <w:rFonts w:cstheme="minorHAnsi"/>
          <w:sz w:val="24"/>
          <w:szCs w:val="24"/>
          <w:lang w:eastAsia="es-CR"/>
        </w:rPr>
        <w:t xml:space="preserve">, </w:t>
      </w:r>
      <w:proofErr w:type="spellStart"/>
      <w:r w:rsidRPr="00457F7B">
        <w:rPr>
          <w:rFonts w:cstheme="minorHAnsi"/>
          <w:sz w:val="24"/>
          <w:szCs w:val="24"/>
          <w:lang w:eastAsia="es-CR"/>
        </w:rPr>
        <w:t>Nairi-Awari</w:t>
      </w:r>
      <w:proofErr w:type="spellEnd"/>
      <w:r w:rsidRPr="00457F7B">
        <w:rPr>
          <w:rFonts w:cstheme="minorHAnsi"/>
          <w:sz w:val="24"/>
          <w:szCs w:val="24"/>
          <w:lang w:eastAsia="es-CR"/>
        </w:rPr>
        <w:t xml:space="preserve"> 11%</w:t>
      </w:r>
      <w:r>
        <w:rPr>
          <w:rFonts w:cstheme="minorHAnsi"/>
          <w:sz w:val="24"/>
          <w:szCs w:val="24"/>
          <w:lang w:eastAsia="es-CR"/>
        </w:rPr>
        <w:t xml:space="preserve">, </w:t>
      </w:r>
      <w:r w:rsidRPr="00457F7B">
        <w:rPr>
          <w:rFonts w:cstheme="minorHAnsi"/>
          <w:sz w:val="24"/>
          <w:szCs w:val="24"/>
          <w:lang w:eastAsia="es-CR"/>
        </w:rPr>
        <w:t xml:space="preserve">Bajo </w:t>
      </w:r>
      <w:proofErr w:type="spellStart"/>
      <w:r w:rsidRPr="00457F7B">
        <w:rPr>
          <w:rFonts w:cstheme="minorHAnsi"/>
          <w:sz w:val="24"/>
          <w:szCs w:val="24"/>
          <w:lang w:eastAsia="es-CR"/>
        </w:rPr>
        <w:t>Chirripó</w:t>
      </w:r>
      <w:proofErr w:type="spellEnd"/>
      <w:r w:rsidRPr="00457F7B">
        <w:rPr>
          <w:rFonts w:cstheme="minorHAnsi"/>
          <w:sz w:val="24"/>
          <w:szCs w:val="24"/>
          <w:lang w:eastAsia="es-CR"/>
        </w:rPr>
        <w:t xml:space="preserve"> 25%</w:t>
      </w:r>
      <w:r>
        <w:rPr>
          <w:rFonts w:cstheme="minorHAnsi"/>
          <w:sz w:val="24"/>
          <w:szCs w:val="24"/>
          <w:lang w:eastAsia="es-CR"/>
        </w:rPr>
        <w:t xml:space="preserve">, </w:t>
      </w:r>
      <w:r w:rsidRPr="00457F7B">
        <w:rPr>
          <w:rFonts w:cstheme="minorHAnsi"/>
          <w:sz w:val="24"/>
          <w:szCs w:val="24"/>
          <w:lang w:eastAsia="es-CR"/>
        </w:rPr>
        <w:t xml:space="preserve">Alto </w:t>
      </w:r>
      <w:proofErr w:type="spellStart"/>
      <w:r w:rsidRPr="00457F7B">
        <w:rPr>
          <w:rFonts w:cstheme="minorHAnsi"/>
          <w:sz w:val="24"/>
          <w:szCs w:val="24"/>
          <w:lang w:eastAsia="es-CR"/>
        </w:rPr>
        <w:t>Chirripó</w:t>
      </w:r>
      <w:proofErr w:type="spellEnd"/>
      <w:r w:rsidRPr="00457F7B">
        <w:rPr>
          <w:rFonts w:cstheme="minorHAnsi"/>
          <w:sz w:val="24"/>
          <w:szCs w:val="24"/>
          <w:lang w:eastAsia="es-CR"/>
        </w:rPr>
        <w:t xml:space="preserve"> 40%</w:t>
      </w:r>
      <w:r>
        <w:rPr>
          <w:rFonts w:cstheme="minorHAnsi"/>
          <w:sz w:val="24"/>
          <w:szCs w:val="24"/>
          <w:lang w:eastAsia="es-CR"/>
        </w:rPr>
        <w:t xml:space="preserve">, </w:t>
      </w:r>
      <w:proofErr w:type="spellStart"/>
      <w:r w:rsidRPr="00457F7B">
        <w:rPr>
          <w:rFonts w:cstheme="minorHAnsi"/>
          <w:sz w:val="24"/>
          <w:szCs w:val="24"/>
          <w:lang w:eastAsia="es-CR"/>
        </w:rPr>
        <w:t>Talamanca</w:t>
      </w:r>
      <w:proofErr w:type="spellEnd"/>
      <w:r w:rsidRPr="00457F7B">
        <w:rPr>
          <w:rFonts w:cstheme="minorHAnsi"/>
          <w:sz w:val="24"/>
          <w:szCs w:val="24"/>
          <w:lang w:eastAsia="es-CR"/>
        </w:rPr>
        <w:t xml:space="preserve"> </w:t>
      </w:r>
      <w:proofErr w:type="spellStart"/>
      <w:r w:rsidRPr="00457F7B">
        <w:rPr>
          <w:rFonts w:cstheme="minorHAnsi"/>
          <w:sz w:val="24"/>
          <w:szCs w:val="24"/>
          <w:lang w:eastAsia="es-CR"/>
        </w:rPr>
        <w:t>Cabécar</w:t>
      </w:r>
      <w:proofErr w:type="spellEnd"/>
      <w:r>
        <w:rPr>
          <w:rFonts w:cstheme="minorHAnsi"/>
          <w:sz w:val="24"/>
          <w:szCs w:val="24"/>
          <w:lang w:eastAsia="es-CR"/>
        </w:rPr>
        <w:t xml:space="preserve"> </w:t>
      </w:r>
      <w:r w:rsidRPr="00457F7B">
        <w:rPr>
          <w:rFonts w:cstheme="minorHAnsi"/>
          <w:sz w:val="24"/>
          <w:szCs w:val="24"/>
          <w:lang w:eastAsia="es-CR"/>
        </w:rPr>
        <w:t>15%</w:t>
      </w:r>
      <w:r>
        <w:rPr>
          <w:rFonts w:cstheme="minorHAnsi"/>
          <w:sz w:val="24"/>
          <w:szCs w:val="24"/>
          <w:lang w:eastAsia="es-CR"/>
        </w:rPr>
        <w:t xml:space="preserve">, </w:t>
      </w:r>
      <w:proofErr w:type="spellStart"/>
      <w:r w:rsidRPr="00457F7B">
        <w:rPr>
          <w:rFonts w:cstheme="minorHAnsi"/>
          <w:sz w:val="24"/>
          <w:szCs w:val="24"/>
          <w:lang w:eastAsia="es-CR"/>
        </w:rPr>
        <w:t>Cabagra</w:t>
      </w:r>
      <w:proofErr w:type="spellEnd"/>
      <w:r w:rsidRPr="00457F7B">
        <w:rPr>
          <w:rFonts w:cstheme="minorHAnsi"/>
          <w:sz w:val="24"/>
          <w:szCs w:val="24"/>
          <w:lang w:eastAsia="es-CR"/>
        </w:rPr>
        <w:t xml:space="preserve"> 41%</w:t>
      </w:r>
      <w:r>
        <w:rPr>
          <w:rFonts w:cstheme="minorHAnsi"/>
          <w:sz w:val="24"/>
          <w:szCs w:val="24"/>
          <w:lang w:eastAsia="es-CR"/>
        </w:rPr>
        <w:t xml:space="preserve">, </w:t>
      </w:r>
      <w:r w:rsidRPr="00457F7B">
        <w:rPr>
          <w:rFonts w:cstheme="minorHAnsi"/>
          <w:sz w:val="24"/>
          <w:szCs w:val="24"/>
          <w:lang w:eastAsia="es-CR"/>
        </w:rPr>
        <w:t xml:space="preserve">Coto </w:t>
      </w:r>
      <w:proofErr w:type="spellStart"/>
      <w:r w:rsidRPr="00457F7B">
        <w:rPr>
          <w:rFonts w:cstheme="minorHAnsi"/>
          <w:sz w:val="24"/>
          <w:szCs w:val="24"/>
          <w:lang w:eastAsia="es-CR"/>
        </w:rPr>
        <w:t>Brus</w:t>
      </w:r>
      <w:proofErr w:type="spellEnd"/>
      <w:r w:rsidRPr="00457F7B">
        <w:rPr>
          <w:rFonts w:cstheme="minorHAnsi"/>
          <w:sz w:val="24"/>
          <w:szCs w:val="24"/>
          <w:lang w:eastAsia="es-CR"/>
        </w:rPr>
        <w:t xml:space="preserve"> 20%</w:t>
      </w:r>
      <w:r>
        <w:rPr>
          <w:rFonts w:cstheme="minorHAnsi"/>
          <w:sz w:val="24"/>
          <w:szCs w:val="24"/>
          <w:lang w:eastAsia="es-CR"/>
        </w:rPr>
        <w:t xml:space="preserve">, </w:t>
      </w:r>
      <w:r w:rsidRPr="00457F7B">
        <w:rPr>
          <w:rFonts w:cstheme="minorHAnsi"/>
          <w:sz w:val="24"/>
          <w:szCs w:val="24"/>
          <w:lang w:eastAsia="es-CR"/>
        </w:rPr>
        <w:t xml:space="preserve">Abrojos </w:t>
      </w:r>
      <w:proofErr w:type="spellStart"/>
      <w:r w:rsidRPr="00457F7B">
        <w:rPr>
          <w:rFonts w:cstheme="minorHAnsi"/>
          <w:sz w:val="24"/>
          <w:szCs w:val="24"/>
          <w:lang w:eastAsia="es-CR"/>
        </w:rPr>
        <w:t>Montezuma</w:t>
      </w:r>
      <w:proofErr w:type="spellEnd"/>
      <w:r w:rsidRPr="00457F7B">
        <w:rPr>
          <w:rFonts w:cstheme="minorHAnsi"/>
          <w:sz w:val="24"/>
          <w:szCs w:val="24"/>
          <w:lang w:eastAsia="es-CR"/>
        </w:rPr>
        <w:t xml:space="preserve"> 50%</w:t>
      </w:r>
      <w:r>
        <w:rPr>
          <w:rFonts w:cstheme="minorHAnsi"/>
          <w:sz w:val="24"/>
          <w:szCs w:val="24"/>
          <w:lang w:eastAsia="es-CR"/>
        </w:rPr>
        <w:t xml:space="preserve">, </w:t>
      </w:r>
      <w:proofErr w:type="spellStart"/>
      <w:r w:rsidRPr="00457F7B">
        <w:rPr>
          <w:rFonts w:cstheme="minorHAnsi"/>
          <w:sz w:val="24"/>
          <w:szCs w:val="24"/>
          <w:lang w:eastAsia="es-CR"/>
        </w:rPr>
        <w:t>Conte</w:t>
      </w:r>
      <w:proofErr w:type="spellEnd"/>
      <w:r w:rsidRPr="00457F7B">
        <w:rPr>
          <w:rFonts w:cstheme="minorHAnsi"/>
          <w:sz w:val="24"/>
          <w:szCs w:val="24"/>
          <w:lang w:eastAsia="es-CR"/>
        </w:rPr>
        <w:t xml:space="preserve"> </w:t>
      </w:r>
      <w:proofErr w:type="spellStart"/>
      <w:r w:rsidRPr="00457F7B">
        <w:rPr>
          <w:rFonts w:cstheme="minorHAnsi"/>
          <w:sz w:val="24"/>
          <w:szCs w:val="24"/>
          <w:lang w:eastAsia="es-CR"/>
        </w:rPr>
        <w:t>Burica</w:t>
      </w:r>
      <w:proofErr w:type="spellEnd"/>
      <w:r w:rsidRPr="00457F7B">
        <w:rPr>
          <w:rFonts w:cstheme="minorHAnsi"/>
          <w:sz w:val="24"/>
          <w:szCs w:val="24"/>
          <w:lang w:eastAsia="es-CR"/>
        </w:rPr>
        <w:t xml:space="preserve"> 40%</w:t>
      </w:r>
      <w:r>
        <w:rPr>
          <w:rFonts w:cstheme="minorHAnsi"/>
          <w:sz w:val="24"/>
          <w:szCs w:val="24"/>
          <w:lang w:eastAsia="es-CR"/>
        </w:rPr>
        <w:t xml:space="preserve">, </w:t>
      </w:r>
      <w:r w:rsidRPr="00457F7B">
        <w:rPr>
          <w:rFonts w:cstheme="minorHAnsi"/>
          <w:sz w:val="24"/>
          <w:szCs w:val="24"/>
          <w:lang w:eastAsia="es-CR"/>
        </w:rPr>
        <w:t xml:space="preserve"> Osa 10%</w:t>
      </w:r>
      <w:r>
        <w:rPr>
          <w:rFonts w:cstheme="minorHAnsi"/>
          <w:sz w:val="24"/>
          <w:szCs w:val="24"/>
          <w:lang w:eastAsia="es-CR"/>
        </w:rPr>
        <w:t xml:space="preserve">.  Y con 0% </w:t>
      </w:r>
      <w:proofErr w:type="spellStart"/>
      <w:r w:rsidRPr="00457F7B">
        <w:rPr>
          <w:rFonts w:cstheme="minorHAnsi"/>
          <w:sz w:val="24"/>
          <w:szCs w:val="24"/>
          <w:lang w:eastAsia="es-CR"/>
        </w:rPr>
        <w:t>Telire</w:t>
      </w:r>
      <w:proofErr w:type="spellEnd"/>
      <w:r w:rsidRPr="00457F7B">
        <w:rPr>
          <w:rFonts w:cstheme="minorHAnsi"/>
          <w:sz w:val="24"/>
          <w:szCs w:val="24"/>
          <w:lang w:eastAsia="es-CR"/>
        </w:rPr>
        <w:t xml:space="preserve"> 0%</w:t>
      </w:r>
      <w:r>
        <w:rPr>
          <w:rFonts w:cstheme="minorHAnsi"/>
          <w:sz w:val="24"/>
          <w:szCs w:val="24"/>
          <w:lang w:eastAsia="es-CR"/>
        </w:rPr>
        <w:t xml:space="preserve"> y </w:t>
      </w:r>
      <w:proofErr w:type="spellStart"/>
      <w:r w:rsidRPr="00457F7B">
        <w:rPr>
          <w:rFonts w:cstheme="minorHAnsi"/>
          <w:sz w:val="24"/>
          <w:szCs w:val="24"/>
          <w:lang w:eastAsia="es-CR"/>
        </w:rPr>
        <w:t>Tayní</w:t>
      </w:r>
      <w:proofErr w:type="spellEnd"/>
      <w:r w:rsidRPr="00457F7B">
        <w:rPr>
          <w:rFonts w:cstheme="minorHAnsi"/>
          <w:sz w:val="24"/>
          <w:szCs w:val="24"/>
          <w:lang w:eastAsia="es-CR"/>
        </w:rPr>
        <w:t xml:space="preserve"> 0%</w:t>
      </w:r>
      <w:r>
        <w:rPr>
          <w:rFonts w:cstheme="minorHAnsi"/>
          <w:sz w:val="24"/>
          <w:szCs w:val="24"/>
          <w:lang w:eastAsia="es-CR"/>
        </w:rPr>
        <w:t>.</w:t>
      </w:r>
      <w:r>
        <w:rPr>
          <w:rStyle w:val="Refdenotaalpie"/>
          <w:rFonts w:cstheme="minorHAnsi"/>
          <w:sz w:val="24"/>
          <w:szCs w:val="24"/>
          <w:lang w:eastAsia="es-CR"/>
        </w:rPr>
        <w:footnoteReference w:id="11"/>
      </w:r>
      <w:r>
        <w:rPr>
          <w:rFonts w:cstheme="minorHAnsi"/>
          <w:sz w:val="24"/>
          <w:szCs w:val="24"/>
          <w:lang w:eastAsia="es-CR"/>
        </w:rPr>
        <w:t xml:space="preserve">  </w:t>
      </w:r>
    </w:p>
    <w:p w:rsidR="00457F7B" w:rsidRDefault="00457F7B" w:rsidP="000A6730">
      <w:pPr>
        <w:spacing w:after="0" w:line="240" w:lineRule="auto"/>
        <w:jc w:val="both"/>
        <w:rPr>
          <w:rFonts w:cstheme="minorHAnsi"/>
          <w:sz w:val="24"/>
          <w:szCs w:val="24"/>
          <w:lang w:eastAsia="es-CR"/>
        </w:rPr>
      </w:pPr>
    </w:p>
    <w:p w:rsidR="009E09B9" w:rsidRDefault="009E09B9" w:rsidP="00751CA8">
      <w:pPr>
        <w:pStyle w:val="NormalWeb"/>
        <w:shd w:val="clear" w:color="auto" w:fill="FFFFFF"/>
        <w:jc w:val="both"/>
        <w:rPr>
          <w:rFonts w:asciiTheme="minorHAnsi" w:hAnsiTheme="minorHAnsi" w:cstheme="minorHAnsi"/>
        </w:rPr>
      </w:pPr>
      <w:r>
        <w:rPr>
          <w:rFonts w:asciiTheme="minorHAnsi" w:hAnsiTheme="minorHAnsi" w:cstheme="minorHAnsi"/>
          <w:color w:val="252525"/>
        </w:rPr>
        <w:lastRenderedPageBreak/>
        <w:t xml:space="preserve">En este sentido, </w:t>
      </w:r>
      <w:r w:rsidR="00751CA8">
        <w:rPr>
          <w:rFonts w:asciiTheme="minorHAnsi" w:hAnsiTheme="minorHAnsi" w:cstheme="minorHAnsi"/>
          <w:color w:val="252525"/>
        </w:rPr>
        <w:t>según datos de un estudio realizado por OACNUDH sobre el tema</w:t>
      </w:r>
      <w:r>
        <w:rPr>
          <w:rStyle w:val="Refdenotaalpie"/>
          <w:rFonts w:asciiTheme="minorHAnsi" w:hAnsiTheme="minorHAnsi" w:cstheme="minorHAnsi"/>
          <w:color w:val="252525"/>
        </w:rPr>
        <w:footnoteReference w:id="12"/>
      </w:r>
      <w:r w:rsidR="00751CA8">
        <w:rPr>
          <w:rFonts w:asciiTheme="minorHAnsi" w:hAnsiTheme="minorHAnsi" w:cstheme="minorHAnsi"/>
          <w:color w:val="252525"/>
        </w:rPr>
        <w:t>, en el país se presenta una alta vulnerabilidad de los pueblos indígenas debido a las  condiciones poco favorables de vida del área rural y su poco acceso a servicios públicos básicos.  Indica, asimismo, con base en el censo, que las comunidades indígenas asentadas en los territorios presentan condiciones socioeconómicas más desfavorables que las que están fuera de estos.</w:t>
      </w:r>
      <w:r w:rsidR="00751CA8">
        <w:rPr>
          <w:rStyle w:val="Refdenotaalpie"/>
          <w:rFonts w:asciiTheme="minorHAnsi" w:hAnsiTheme="minorHAnsi" w:cstheme="minorHAnsi"/>
          <w:color w:val="252525"/>
        </w:rPr>
        <w:footnoteReference w:id="13"/>
      </w:r>
      <w:r w:rsidR="00751CA8">
        <w:rPr>
          <w:rFonts w:asciiTheme="minorHAnsi" w:hAnsiTheme="minorHAnsi" w:cstheme="minorHAnsi"/>
          <w:color w:val="252525"/>
        </w:rPr>
        <w:t xml:space="preserve">  El estudio analiza los derechos colectivos reconocidos internacionalmente a los pueblos indígenas, abordando aquellos que representan mayor dificultad en su cumplimiento y que han generado o pueden dar lugar a situaciones conflictivas socioeconómicas y políticas, algunas relacionadas en los últimos años con el establecimiento de represas hidroel</w:t>
      </w:r>
      <w:r>
        <w:rPr>
          <w:rFonts w:asciiTheme="minorHAnsi" w:hAnsiTheme="minorHAnsi" w:cstheme="minorHAnsi"/>
          <w:color w:val="252525"/>
        </w:rPr>
        <w:t xml:space="preserve">éctricas  como el Proyecto </w:t>
      </w:r>
      <w:proofErr w:type="spellStart"/>
      <w:r>
        <w:rPr>
          <w:rFonts w:asciiTheme="minorHAnsi" w:hAnsiTheme="minorHAnsi" w:cstheme="minorHAnsi"/>
          <w:color w:val="252525"/>
        </w:rPr>
        <w:t>Diquí</w:t>
      </w:r>
      <w:r w:rsidR="00751CA8">
        <w:rPr>
          <w:rFonts w:asciiTheme="minorHAnsi" w:hAnsiTheme="minorHAnsi" w:cstheme="minorHAnsi"/>
          <w:color w:val="252525"/>
        </w:rPr>
        <w:t>s</w:t>
      </w:r>
      <w:proofErr w:type="spellEnd"/>
      <w:r w:rsidR="00751CA8">
        <w:rPr>
          <w:rFonts w:asciiTheme="minorHAnsi" w:hAnsiTheme="minorHAnsi" w:cstheme="minorHAnsi"/>
          <w:color w:val="252525"/>
        </w:rPr>
        <w:t xml:space="preserve"> del Instituto Costarricense de Electricidad, que creó violencia e </w:t>
      </w:r>
      <w:r w:rsidR="00751CA8">
        <w:rPr>
          <w:rFonts w:asciiTheme="minorHAnsi" w:hAnsiTheme="minorHAnsi" w:cstheme="minorHAnsi"/>
        </w:rPr>
        <w:t xml:space="preserve">incluso generó la presencia del Relator Especial sobre los Derechos de los Pueblos Indígenas de Naciones Unidas en abril de 2011 y la instalación de una mesa de diálogo liderada por la Oficina de Coordinación del Sistema de Naciones Unidas (SNU) en el país, problemática vinculada a la ausencia de un proceso de consulta con las comunidades indígenas cuyas tierras y recursos hídricos se verían severamente afectados. </w:t>
      </w:r>
    </w:p>
    <w:p w:rsidR="00751CA8" w:rsidRDefault="001A4BF3" w:rsidP="00751CA8">
      <w:pPr>
        <w:pStyle w:val="NormalWeb"/>
        <w:shd w:val="clear" w:color="auto" w:fill="FFFFFF"/>
        <w:jc w:val="both"/>
        <w:rPr>
          <w:rFonts w:asciiTheme="minorHAnsi" w:hAnsiTheme="minorHAnsi" w:cstheme="minorHAnsi"/>
          <w:color w:val="252525"/>
        </w:rPr>
      </w:pPr>
      <w:r>
        <w:rPr>
          <w:rFonts w:asciiTheme="minorHAnsi" w:hAnsiTheme="minorHAnsi" w:cstheme="minorHAnsi"/>
        </w:rPr>
        <w:t xml:space="preserve">Como ha expresado el SNU, </w:t>
      </w:r>
      <w:r w:rsidR="00751CA8" w:rsidRPr="001A4BF3">
        <w:rPr>
          <w:rFonts w:asciiTheme="minorHAnsi" w:hAnsiTheme="minorHAnsi" w:cstheme="minorHAnsi"/>
          <w:i/>
        </w:rPr>
        <w:t xml:space="preserve">Esta coyuntura ha servido para hacer visible la postergación de decisiones políticas, jurídicas y judiciales que impide o limita el goce efectivo de los derechos y libertades de los pueblos indígenas, más allá del proyecto </w:t>
      </w:r>
      <w:proofErr w:type="spellStart"/>
      <w:r w:rsidR="00751CA8" w:rsidRPr="001A4BF3">
        <w:rPr>
          <w:rFonts w:asciiTheme="minorHAnsi" w:hAnsiTheme="minorHAnsi" w:cstheme="minorHAnsi"/>
          <w:i/>
        </w:rPr>
        <w:t>Diquís</w:t>
      </w:r>
      <w:proofErr w:type="spellEnd"/>
      <w:r w:rsidR="00751CA8" w:rsidRPr="001A4BF3">
        <w:rPr>
          <w:rFonts w:asciiTheme="minorHAnsi" w:hAnsiTheme="minorHAnsi" w:cstheme="minorHAnsi"/>
          <w:i/>
        </w:rPr>
        <w:t>, especialmente en materia de tierras, autonomía y gobierno</w:t>
      </w:r>
      <w:r w:rsidR="00751CA8">
        <w:rPr>
          <w:rFonts w:asciiTheme="minorHAnsi" w:hAnsiTheme="minorHAnsi" w:cstheme="minorHAnsi"/>
        </w:rPr>
        <w:t>.</w:t>
      </w:r>
      <w:r w:rsidR="00751CA8">
        <w:rPr>
          <w:rStyle w:val="Refdenotaalpie"/>
          <w:rFonts w:asciiTheme="minorHAnsi" w:hAnsiTheme="minorHAnsi" w:cstheme="minorHAnsi"/>
          <w:color w:val="252525"/>
        </w:rPr>
        <w:footnoteReference w:id="14"/>
      </w:r>
      <w:r w:rsidR="00751CA8">
        <w:rPr>
          <w:rFonts w:asciiTheme="minorHAnsi" w:hAnsiTheme="minorHAnsi" w:cstheme="minorHAnsi"/>
          <w:color w:val="252525"/>
        </w:rPr>
        <w:t xml:space="preserve"> </w:t>
      </w:r>
    </w:p>
    <w:p w:rsidR="004D404B" w:rsidRDefault="004D404B" w:rsidP="004D404B">
      <w:pPr>
        <w:spacing w:after="0" w:line="240" w:lineRule="auto"/>
        <w:jc w:val="both"/>
        <w:rPr>
          <w:rFonts w:cstheme="minorHAnsi"/>
          <w:color w:val="000000"/>
          <w:sz w:val="24"/>
          <w:szCs w:val="24"/>
          <w:shd w:val="clear" w:color="auto" w:fill="FFFFFF"/>
        </w:rPr>
      </w:pPr>
      <w:r w:rsidRPr="004D404B">
        <w:rPr>
          <w:rFonts w:cstheme="minorHAnsi"/>
          <w:sz w:val="24"/>
          <w:szCs w:val="24"/>
          <w:lang w:eastAsia="es-CR"/>
        </w:rPr>
        <w:t>En</w:t>
      </w:r>
      <w:r>
        <w:rPr>
          <w:rFonts w:cstheme="minorHAnsi"/>
          <w:sz w:val="24"/>
          <w:szCs w:val="24"/>
          <w:lang w:eastAsia="es-CR"/>
        </w:rPr>
        <w:t xml:space="preserve"> similar sentido  la representante del SN </w:t>
      </w:r>
      <w:r w:rsidRPr="004D404B">
        <w:rPr>
          <w:rFonts w:cstheme="minorHAnsi"/>
          <w:sz w:val="24"/>
          <w:szCs w:val="24"/>
          <w:lang w:eastAsia="es-CR"/>
        </w:rPr>
        <w:t>se refirió a la situación de los pueblos indígenas costarricenses, señalando, como un serio problema, la discriminación hacia los indígenas por parte de una sociedad que no tiene ple</w:t>
      </w:r>
      <w:r>
        <w:rPr>
          <w:rFonts w:cstheme="minorHAnsi"/>
          <w:sz w:val="24"/>
          <w:szCs w:val="24"/>
          <w:lang w:eastAsia="es-CR"/>
        </w:rPr>
        <w:t>na conciencia de su diversidad</w:t>
      </w:r>
      <w:r w:rsidRPr="004D404B">
        <w:rPr>
          <w:rFonts w:cstheme="minorHAnsi"/>
          <w:sz w:val="24"/>
          <w:szCs w:val="24"/>
          <w:lang w:eastAsia="es-CR"/>
        </w:rPr>
        <w:t xml:space="preserve">: </w:t>
      </w:r>
      <w:r w:rsidRPr="004D404B">
        <w:rPr>
          <w:rFonts w:cstheme="minorHAnsi"/>
          <w:i/>
          <w:color w:val="000000"/>
          <w:sz w:val="24"/>
          <w:szCs w:val="24"/>
          <w:shd w:val="clear" w:color="auto" w:fill="FFFFFF"/>
        </w:rPr>
        <w:t>hace falta una conciencia plena de que somos una sociedad diversa. Los indígenas tienen  derecho a su propia cultura, y esto debe incorporarse en la educación y en el liderazgo político. Reconocer sus derechos no es un favor, sino un proceso que valore sus aportes culturales, económicos e intelectuales. Debe hacerse un proyecto de país que celebre la diversidad como riqueza</w:t>
      </w:r>
      <w:r w:rsidRPr="004D404B">
        <w:rPr>
          <w:rFonts w:cstheme="minorHAnsi"/>
          <w:color w:val="000000"/>
          <w:sz w:val="24"/>
          <w:szCs w:val="24"/>
          <w:shd w:val="clear" w:color="auto" w:fill="FFFFFF"/>
        </w:rPr>
        <w:t>.</w:t>
      </w:r>
      <w:r w:rsidRPr="004D404B">
        <w:rPr>
          <w:rStyle w:val="Refdenotaalpie"/>
          <w:rFonts w:cstheme="minorHAnsi"/>
          <w:color w:val="000000"/>
          <w:sz w:val="24"/>
          <w:szCs w:val="24"/>
          <w:shd w:val="clear" w:color="auto" w:fill="FFFFFF"/>
        </w:rPr>
        <w:footnoteReference w:id="15"/>
      </w:r>
      <w:r w:rsidRPr="004D404B">
        <w:rPr>
          <w:rFonts w:cstheme="minorHAnsi"/>
          <w:color w:val="000000"/>
          <w:sz w:val="24"/>
          <w:szCs w:val="24"/>
          <w:shd w:val="clear" w:color="auto" w:fill="FFFFFF"/>
        </w:rPr>
        <w:t xml:space="preserve">  En cuanto al desarrollo económico y social de estos pueblos, considera que: </w:t>
      </w:r>
      <w:r w:rsidRPr="004D404B">
        <w:rPr>
          <w:rFonts w:cstheme="minorHAnsi"/>
          <w:i/>
          <w:color w:val="000000"/>
          <w:sz w:val="24"/>
          <w:szCs w:val="24"/>
          <w:shd w:val="clear" w:color="auto" w:fill="FFFFFF"/>
        </w:rPr>
        <w:t>Sí hay mejorías, pero, efectivamente, los indígenas sufren un serio rezago y una desigualdad importantes en derechos y desarrollo. Están rezagados en derechos básicos, como el acceso a la educación, la tecnología y al trabajo</w:t>
      </w:r>
      <w:r w:rsidRPr="004D404B">
        <w:rPr>
          <w:rFonts w:cstheme="minorHAnsi"/>
          <w:color w:val="000000"/>
          <w:sz w:val="24"/>
          <w:szCs w:val="24"/>
          <w:shd w:val="clear" w:color="auto" w:fill="FFFFFF"/>
        </w:rPr>
        <w:t>.</w:t>
      </w:r>
      <w:r w:rsidRPr="004D404B">
        <w:rPr>
          <w:rStyle w:val="Refdenotaalpie"/>
          <w:rFonts w:cstheme="minorHAnsi"/>
          <w:color w:val="000000"/>
          <w:sz w:val="24"/>
          <w:szCs w:val="24"/>
          <w:shd w:val="clear" w:color="auto" w:fill="FFFFFF"/>
        </w:rPr>
        <w:footnoteReference w:id="16"/>
      </w:r>
      <w:r w:rsidRPr="004D404B">
        <w:rPr>
          <w:rFonts w:cstheme="minorHAnsi"/>
          <w:color w:val="000000"/>
          <w:sz w:val="24"/>
          <w:szCs w:val="24"/>
          <w:shd w:val="clear" w:color="auto" w:fill="FFFFFF"/>
        </w:rPr>
        <w:t xml:space="preserve">  Lo anterior, porque considera que el enfoque de desarrollo del país ha dejado al margen a los indígenas, algo compartido por el resto de la región, si bien considera que se están haciendo esfuerzos por superarlo.</w:t>
      </w:r>
    </w:p>
    <w:p w:rsidR="004D404B" w:rsidRDefault="004D404B" w:rsidP="004D404B">
      <w:pPr>
        <w:spacing w:after="0" w:line="240" w:lineRule="auto"/>
        <w:jc w:val="both"/>
        <w:rPr>
          <w:rFonts w:cstheme="minorHAnsi"/>
          <w:color w:val="000000"/>
          <w:sz w:val="24"/>
          <w:szCs w:val="24"/>
          <w:shd w:val="clear" w:color="auto" w:fill="FFFFFF"/>
        </w:rPr>
      </w:pPr>
    </w:p>
    <w:p w:rsidR="00751CA8" w:rsidRDefault="00F008D1" w:rsidP="00751CA8">
      <w:pPr>
        <w:spacing w:after="0" w:line="240" w:lineRule="auto"/>
        <w:jc w:val="both"/>
        <w:rPr>
          <w:rFonts w:cstheme="minorHAnsi"/>
          <w:sz w:val="24"/>
          <w:szCs w:val="24"/>
          <w:lang w:eastAsia="es-CR"/>
        </w:rPr>
      </w:pPr>
      <w:r>
        <w:rPr>
          <w:rFonts w:cstheme="minorHAnsi"/>
          <w:color w:val="000000"/>
          <w:sz w:val="24"/>
          <w:szCs w:val="24"/>
          <w:shd w:val="clear" w:color="auto" w:fill="FFFFFF"/>
        </w:rPr>
        <w:t xml:space="preserve">Además se ha señalado que </w:t>
      </w:r>
      <w:r w:rsidR="001662BD">
        <w:rPr>
          <w:rStyle w:val="Refdenotaalpie"/>
          <w:rFonts w:cstheme="minorHAnsi"/>
          <w:color w:val="000000"/>
          <w:sz w:val="24"/>
          <w:szCs w:val="24"/>
          <w:shd w:val="clear" w:color="auto" w:fill="FFFFFF"/>
        </w:rPr>
        <w:footnoteReference w:id="17"/>
      </w:r>
      <w:r w:rsidR="001662BD">
        <w:rPr>
          <w:rFonts w:cstheme="minorHAnsi"/>
          <w:color w:val="000000"/>
          <w:sz w:val="24"/>
          <w:szCs w:val="24"/>
          <w:shd w:val="clear" w:color="auto" w:fill="FFFFFF"/>
        </w:rPr>
        <w:t xml:space="preserve"> </w:t>
      </w:r>
      <w:r w:rsidR="001662BD" w:rsidRPr="001662BD">
        <w:rPr>
          <w:rFonts w:cstheme="minorHAnsi"/>
          <w:i/>
          <w:color w:val="000000"/>
          <w:sz w:val="24"/>
          <w:szCs w:val="24"/>
          <w:shd w:val="clear" w:color="auto" w:fill="FFFFFF"/>
        </w:rPr>
        <w:t>[</w:t>
      </w:r>
      <w:r w:rsidR="00751CA8" w:rsidRPr="001662BD">
        <w:rPr>
          <w:rFonts w:cstheme="minorHAnsi"/>
          <w:i/>
          <w:color w:val="000000"/>
          <w:sz w:val="24"/>
          <w:szCs w:val="24"/>
          <w:shd w:val="clear" w:color="auto" w:fill="FFFFFF"/>
        </w:rPr>
        <w:t>….</w:t>
      </w:r>
      <w:r w:rsidR="001662BD" w:rsidRPr="001662BD">
        <w:rPr>
          <w:rFonts w:cstheme="minorHAnsi"/>
          <w:i/>
          <w:color w:val="000000"/>
          <w:sz w:val="24"/>
          <w:szCs w:val="24"/>
          <w:shd w:val="clear" w:color="auto" w:fill="FFFFFF"/>
        </w:rPr>
        <w:t>]</w:t>
      </w:r>
      <w:r w:rsidR="00751CA8" w:rsidRPr="001662BD">
        <w:rPr>
          <w:rFonts w:cstheme="minorHAnsi"/>
          <w:i/>
          <w:sz w:val="24"/>
          <w:szCs w:val="24"/>
          <w:lang w:eastAsia="es-CR"/>
        </w:rPr>
        <w:t xml:space="preserve"> el marco jurídico del país ha sido poco permeable a las reivindicaciones relativas a la diversidad étnica. Algunos ejemplos atestiguan el escaso desarrollo legislativo y de mecanismos de inclusión. El primero es el largo proceso de discusión, todavía inconcluso, del proyecto de Ley de Desarrollo Autónomo de los Pueblos Indígenas. Otro ejemplo es la falta de definición y desatención al procedimiento de consulta de los pueblos indígenas, compromiso adquirido por el país al ratificar el Convenio 169 de la OIT. La necesidad de definir mecanismos de diálogo y de consulta se intensificado debido a la proyecto hidroeléctrico El </w:t>
      </w:r>
      <w:proofErr w:type="spellStart"/>
      <w:r w:rsidR="00751CA8" w:rsidRPr="001662BD">
        <w:rPr>
          <w:rFonts w:cstheme="minorHAnsi"/>
          <w:i/>
          <w:sz w:val="24"/>
          <w:szCs w:val="24"/>
          <w:lang w:eastAsia="es-CR"/>
        </w:rPr>
        <w:t>Diquís</w:t>
      </w:r>
      <w:proofErr w:type="spellEnd"/>
      <w:r w:rsidR="00751CA8" w:rsidRPr="001662BD">
        <w:rPr>
          <w:rFonts w:cstheme="minorHAnsi"/>
          <w:i/>
          <w:sz w:val="24"/>
          <w:szCs w:val="24"/>
          <w:lang w:eastAsia="es-CR"/>
        </w:rPr>
        <w:t>, estratégico en los planes del Instituto Costarricense de Electricidad (ICE) para garantizar la oferta de energía eléctrica en las próximas décadas, y que afectaría de manera directa o indirectamente a varios territorios indígenas</w:t>
      </w:r>
      <w:r w:rsidR="001662BD" w:rsidRPr="001662BD">
        <w:rPr>
          <w:rFonts w:cstheme="minorHAnsi"/>
          <w:i/>
          <w:sz w:val="24"/>
          <w:szCs w:val="24"/>
          <w:lang w:eastAsia="es-CR"/>
        </w:rPr>
        <w:t xml:space="preserve"> […]</w:t>
      </w:r>
      <w:r w:rsidR="00751CA8">
        <w:rPr>
          <w:rFonts w:cstheme="minorHAnsi"/>
          <w:sz w:val="24"/>
          <w:szCs w:val="24"/>
          <w:lang w:eastAsia="es-CR"/>
        </w:rPr>
        <w:t>.</w:t>
      </w:r>
      <w:r w:rsidR="00751CA8">
        <w:rPr>
          <w:rStyle w:val="Refdenotaalpie"/>
          <w:rFonts w:cstheme="minorHAnsi"/>
          <w:sz w:val="24"/>
          <w:szCs w:val="24"/>
          <w:lang w:eastAsia="es-CR"/>
        </w:rPr>
        <w:footnoteReference w:id="18"/>
      </w:r>
      <w:r w:rsidR="00751CA8">
        <w:rPr>
          <w:rFonts w:cstheme="minorHAnsi"/>
          <w:sz w:val="24"/>
          <w:szCs w:val="24"/>
          <w:lang w:eastAsia="es-CR"/>
        </w:rPr>
        <w:t xml:space="preserve"> </w:t>
      </w:r>
    </w:p>
    <w:p w:rsidR="00751CA8" w:rsidRDefault="00751CA8" w:rsidP="00751CA8">
      <w:pPr>
        <w:spacing w:after="0" w:line="240" w:lineRule="auto"/>
        <w:jc w:val="both"/>
        <w:rPr>
          <w:rFonts w:cstheme="minorHAnsi"/>
          <w:sz w:val="24"/>
          <w:szCs w:val="24"/>
          <w:lang w:eastAsia="es-CR"/>
        </w:rPr>
      </w:pPr>
    </w:p>
    <w:p w:rsidR="00751CA8" w:rsidRDefault="00F513A0" w:rsidP="00751CA8">
      <w:pPr>
        <w:spacing w:after="0" w:line="240" w:lineRule="auto"/>
        <w:jc w:val="both"/>
        <w:rPr>
          <w:rFonts w:cstheme="minorHAnsi"/>
          <w:sz w:val="24"/>
          <w:szCs w:val="24"/>
          <w:lang w:eastAsia="es-CR"/>
        </w:rPr>
      </w:pPr>
      <w:r>
        <w:rPr>
          <w:rFonts w:cstheme="minorHAnsi"/>
          <w:sz w:val="24"/>
          <w:szCs w:val="24"/>
          <w:lang w:eastAsia="es-CR"/>
        </w:rPr>
        <w:t>Precisamente, una de las instituciones medulares en la lucha contra las violaciones a los derechos de los pueblos indígenas es la Defensoría de los Habitantes, manifestando</w:t>
      </w:r>
      <w:r w:rsidR="003C2B1A">
        <w:rPr>
          <w:rFonts w:cstheme="minorHAnsi"/>
          <w:sz w:val="24"/>
          <w:szCs w:val="24"/>
          <w:lang w:eastAsia="es-CR"/>
        </w:rPr>
        <w:t xml:space="preserve"> en este mismo sentido anotado</w:t>
      </w:r>
      <w:r>
        <w:rPr>
          <w:rFonts w:cstheme="minorHAnsi"/>
          <w:sz w:val="24"/>
          <w:szCs w:val="24"/>
          <w:lang w:eastAsia="es-CR"/>
        </w:rPr>
        <w:t xml:space="preserve"> que: </w:t>
      </w:r>
      <w:r w:rsidR="00751CA8" w:rsidRPr="00F513A0">
        <w:rPr>
          <w:rFonts w:cstheme="minorHAnsi"/>
          <w:i/>
          <w:sz w:val="24"/>
          <w:szCs w:val="24"/>
          <w:lang w:eastAsia="es-CR"/>
        </w:rPr>
        <w:t>El Estado costarricense mantiene una deuda histórica con los pueblos indígenas, la recurrencia de sus quejas así lo demuestra. Reiteradamente los habitantes indígenas denuncian que sus territorios ancestrales, que les fueron reconocidos como de su propiedad por el Estado, continúan invadidos por personas no indígenas, y el Estado no ha realizado las gestiones de expropiación correspondientes. El acceso a los servicios públicos, así como a la educación y la salud, son limitados, o no existen o se caracterizan por las carencias. En las instituciones públicas no se respeta la especificidad indígena y se les brinda un trato discriminatorio. Las fuentes de trabajo son escasas y no se fomentan las actividades agrícolas tradicionales. Se emprenden megaproyectos en sus territorios y es en la fase de ejecución en la que se decide consultarles, por encima de su derecho a la autonomía. Se les han impuesto formas de organización que han devenido en conflictos internos, y no se reconocen las formas de organización tradicional, todo ello en detrimento de la cultura indígena. Las recomendaciones de la Defensoría de los Habitantes se han dirigido a las instituciones obligadas a atender estos problemas y necesidades; sin embargo, la persistencia de los mismos ha orientado el trabajo hacia la búsqueda de alternativas de mediación social más efectivas como las instancias interinstitucionales e intersectoriales</w:t>
      </w:r>
      <w:r w:rsidR="00751CA8">
        <w:rPr>
          <w:rFonts w:cstheme="minorHAnsi"/>
          <w:sz w:val="24"/>
          <w:szCs w:val="24"/>
          <w:lang w:eastAsia="es-CR"/>
        </w:rPr>
        <w:t>.</w:t>
      </w:r>
      <w:r w:rsidR="00751CA8">
        <w:rPr>
          <w:rStyle w:val="Refdenotaalpie"/>
          <w:rFonts w:cstheme="minorHAnsi"/>
          <w:sz w:val="24"/>
          <w:szCs w:val="24"/>
          <w:lang w:eastAsia="es-CR"/>
        </w:rPr>
        <w:footnoteReference w:id="19"/>
      </w:r>
      <w:r w:rsidR="00751CA8">
        <w:rPr>
          <w:rFonts w:cstheme="minorHAnsi"/>
          <w:sz w:val="24"/>
          <w:szCs w:val="24"/>
          <w:lang w:eastAsia="es-CR"/>
        </w:rPr>
        <w:t xml:space="preserve"> </w:t>
      </w:r>
    </w:p>
    <w:p w:rsidR="00751CA8" w:rsidRDefault="00751CA8" w:rsidP="00751CA8">
      <w:pPr>
        <w:spacing w:after="0" w:line="240" w:lineRule="auto"/>
        <w:jc w:val="both"/>
        <w:rPr>
          <w:rFonts w:cstheme="minorHAnsi"/>
          <w:sz w:val="24"/>
          <w:szCs w:val="24"/>
        </w:rPr>
      </w:pPr>
    </w:p>
    <w:p w:rsidR="009F5AE1" w:rsidRDefault="009F5AE1" w:rsidP="00751CA8">
      <w:pPr>
        <w:spacing w:after="0" w:line="240" w:lineRule="auto"/>
        <w:jc w:val="both"/>
        <w:rPr>
          <w:rFonts w:cstheme="minorHAnsi"/>
          <w:sz w:val="24"/>
          <w:szCs w:val="24"/>
        </w:rPr>
      </w:pPr>
    </w:p>
    <w:p w:rsidR="009F5AE1" w:rsidRDefault="009F5AE1">
      <w:pPr>
        <w:rPr>
          <w:rFonts w:cstheme="minorHAnsi"/>
          <w:sz w:val="24"/>
          <w:szCs w:val="24"/>
        </w:rPr>
      </w:pPr>
      <w:r>
        <w:rPr>
          <w:rFonts w:cstheme="minorHAnsi"/>
          <w:sz w:val="24"/>
          <w:szCs w:val="24"/>
        </w:rPr>
        <w:br w:type="page"/>
      </w:r>
    </w:p>
    <w:p w:rsidR="009F5AE1" w:rsidRDefault="009F5AE1" w:rsidP="00751CA8">
      <w:pPr>
        <w:spacing w:after="0" w:line="240" w:lineRule="auto"/>
        <w:jc w:val="both"/>
        <w:rPr>
          <w:rFonts w:cstheme="minorHAnsi"/>
          <w:sz w:val="24"/>
          <w:szCs w:val="24"/>
        </w:rPr>
      </w:pPr>
    </w:p>
    <w:p w:rsidR="00751CA8" w:rsidRPr="002F2ACF" w:rsidRDefault="009F5AE1" w:rsidP="002F2ACF">
      <w:pPr>
        <w:pStyle w:val="NormalWeb"/>
        <w:numPr>
          <w:ilvl w:val="0"/>
          <w:numId w:val="3"/>
        </w:numPr>
        <w:shd w:val="clear" w:color="auto" w:fill="FFFFFF"/>
        <w:spacing w:before="0" w:beforeAutospacing="0" w:after="0" w:afterAutospacing="0"/>
        <w:jc w:val="both"/>
        <w:rPr>
          <w:rFonts w:asciiTheme="minorHAnsi" w:hAnsiTheme="minorHAnsi" w:cstheme="minorHAnsi"/>
          <w:b/>
          <w:sz w:val="36"/>
        </w:rPr>
      </w:pPr>
      <w:r w:rsidRPr="002F2ACF">
        <w:rPr>
          <w:rFonts w:asciiTheme="minorHAnsi" w:hAnsiTheme="minorHAnsi" w:cstheme="minorHAnsi"/>
          <w:b/>
          <w:sz w:val="36"/>
        </w:rPr>
        <w:t xml:space="preserve">El pueblo </w:t>
      </w:r>
      <w:proofErr w:type="spellStart"/>
      <w:r w:rsidRPr="002F2ACF">
        <w:rPr>
          <w:rFonts w:asciiTheme="minorHAnsi" w:hAnsiTheme="minorHAnsi" w:cstheme="minorHAnsi"/>
          <w:b/>
          <w:sz w:val="36"/>
        </w:rPr>
        <w:t>Ngäbe</w:t>
      </w:r>
      <w:proofErr w:type="spellEnd"/>
      <w:r w:rsidRPr="002F2ACF">
        <w:rPr>
          <w:rFonts w:asciiTheme="minorHAnsi" w:hAnsiTheme="minorHAnsi" w:cstheme="minorHAnsi"/>
          <w:b/>
          <w:sz w:val="36"/>
        </w:rPr>
        <w:t xml:space="preserve"> en</w:t>
      </w:r>
      <w:r w:rsidR="00751CA8" w:rsidRPr="002F2ACF">
        <w:rPr>
          <w:rFonts w:asciiTheme="minorHAnsi" w:hAnsiTheme="minorHAnsi" w:cstheme="minorHAnsi"/>
          <w:b/>
          <w:sz w:val="36"/>
        </w:rPr>
        <w:t xml:space="preserve"> Costa Rica </w:t>
      </w:r>
    </w:p>
    <w:p w:rsidR="00611239" w:rsidRDefault="00751CA8" w:rsidP="00751CA8">
      <w:pPr>
        <w:spacing w:after="0" w:line="240" w:lineRule="auto"/>
        <w:jc w:val="both"/>
        <w:rPr>
          <w:rFonts w:cstheme="minorHAnsi"/>
          <w:sz w:val="24"/>
          <w:szCs w:val="24"/>
          <w:lang w:eastAsia="es-CR"/>
        </w:rPr>
      </w:pPr>
      <w:r>
        <w:rPr>
          <w:rFonts w:cstheme="minorHAnsi"/>
          <w:sz w:val="24"/>
          <w:szCs w:val="24"/>
        </w:rPr>
        <w:br/>
      </w:r>
      <w:r w:rsidR="009B6BD4">
        <w:rPr>
          <w:rFonts w:cstheme="minorHAnsi"/>
          <w:sz w:val="24"/>
          <w:szCs w:val="24"/>
          <w:lang w:eastAsia="es-CR"/>
        </w:rPr>
        <w:t xml:space="preserve">Los </w:t>
      </w:r>
      <w:proofErr w:type="spellStart"/>
      <w:r w:rsidR="009B6BD4">
        <w:rPr>
          <w:rFonts w:cstheme="minorHAnsi"/>
          <w:sz w:val="24"/>
          <w:szCs w:val="24"/>
          <w:lang w:eastAsia="es-CR"/>
        </w:rPr>
        <w:t>ngäbere</w:t>
      </w:r>
      <w:proofErr w:type="spellEnd"/>
      <w:r w:rsidR="009B6BD4">
        <w:rPr>
          <w:rFonts w:cstheme="minorHAnsi"/>
          <w:sz w:val="24"/>
          <w:szCs w:val="24"/>
          <w:lang w:eastAsia="es-CR"/>
        </w:rPr>
        <w:t xml:space="preserve"> representan el pueblo más numeroso de la Baja Centroamérica (siendo más numeroso en Panamá).  Se sitúan en el Pacífico Sur, próximos a la frontera con Panamá en cinco territorios indígenas: </w:t>
      </w:r>
      <w:r w:rsidR="009B6BD4">
        <w:rPr>
          <w:rFonts w:cstheme="minorHAnsi"/>
          <w:sz w:val="24"/>
          <w:szCs w:val="24"/>
        </w:rPr>
        <w:t xml:space="preserve">Abrojo </w:t>
      </w:r>
      <w:proofErr w:type="spellStart"/>
      <w:r w:rsidR="009B6BD4">
        <w:rPr>
          <w:rFonts w:cstheme="minorHAnsi"/>
          <w:sz w:val="24"/>
          <w:szCs w:val="24"/>
        </w:rPr>
        <w:t>Montezuma</w:t>
      </w:r>
      <w:proofErr w:type="spellEnd"/>
      <w:r w:rsidR="009B6BD4">
        <w:rPr>
          <w:rFonts w:cstheme="minorHAnsi"/>
          <w:sz w:val="24"/>
          <w:szCs w:val="24"/>
        </w:rPr>
        <w:t xml:space="preserve"> (cantón de Corredores), Coto </w:t>
      </w:r>
      <w:proofErr w:type="spellStart"/>
      <w:r w:rsidR="009B6BD4">
        <w:rPr>
          <w:rFonts w:cstheme="minorHAnsi"/>
          <w:sz w:val="24"/>
          <w:szCs w:val="24"/>
        </w:rPr>
        <w:t>Brus</w:t>
      </w:r>
      <w:proofErr w:type="spellEnd"/>
      <w:r w:rsidR="009B6BD4">
        <w:rPr>
          <w:rFonts w:cstheme="minorHAnsi"/>
          <w:sz w:val="24"/>
          <w:szCs w:val="24"/>
        </w:rPr>
        <w:t xml:space="preserve"> (cantón de Buenos Aires y Coto </w:t>
      </w:r>
      <w:proofErr w:type="spellStart"/>
      <w:r w:rsidR="009B6BD4">
        <w:rPr>
          <w:rFonts w:cstheme="minorHAnsi"/>
          <w:sz w:val="24"/>
          <w:szCs w:val="24"/>
        </w:rPr>
        <w:t>Brus</w:t>
      </w:r>
      <w:proofErr w:type="spellEnd"/>
      <w:r w:rsidR="009B6BD4">
        <w:rPr>
          <w:rFonts w:cstheme="minorHAnsi"/>
          <w:sz w:val="24"/>
          <w:szCs w:val="24"/>
        </w:rPr>
        <w:t xml:space="preserve">), Osa (cantón de Golfito), </w:t>
      </w:r>
      <w:proofErr w:type="spellStart"/>
      <w:r w:rsidR="009B6BD4">
        <w:rPr>
          <w:rFonts w:cstheme="minorHAnsi"/>
          <w:sz w:val="24"/>
          <w:szCs w:val="24"/>
        </w:rPr>
        <w:t>Conteburica</w:t>
      </w:r>
      <w:proofErr w:type="spellEnd"/>
      <w:r w:rsidR="009B6BD4">
        <w:rPr>
          <w:rFonts w:cstheme="minorHAnsi"/>
          <w:sz w:val="24"/>
          <w:szCs w:val="24"/>
        </w:rPr>
        <w:t xml:space="preserve"> (cantón de Golfito y Corredores), y Altos de San Antonio (cantón de Corredores).  Conservan un arraigo muy fuerte a su cultura tradicional</w:t>
      </w:r>
      <w:r w:rsidR="009E37C5">
        <w:rPr>
          <w:rFonts w:cstheme="minorHAnsi"/>
          <w:sz w:val="24"/>
          <w:szCs w:val="24"/>
        </w:rPr>
        <w:t xml:space="preserve">.  La práctica de su idioma se mantiene en un 100% en todos los territorios y comunidades, diferenciándose dos variaciones: el </w:t>
      </w:r>
      <w:proofErr w:type="spellStart"/>
      <w:r w:rsidR="009E37C5">
        <w:rPr>
          <w:rFonts w:cstheme="minorHAnsi"/>
          <w:sz w:val="24"/>
          <w:szCs w:val="24"/>
        </w:rPr>
        <w:t>ngawbere</w:t>
      </w:r>
      <w:proofErr w:type="spellEnd"/>
      <w:r w:rsidR="009E37C5">
        <w:rPr>
          <w:rFonts w:cstheme="minorHAnsi"/>
          <w:sz w:val="24"/>
          <w:szCs w:val="24"/>
        </w:rPr>
        <w:t xml:space="preserve"> y el </w:t>
      </w:r>
      <w:proofErr w:type="spellStart"/>
      <w:r w:rsidR="009E37C5">
        <w:rPr>
          <w:rFonts w:cstheme="minorHAnsi"/>
          <w:sz w:val="24"/>
          <w:szCs w:val="24"/>
        </w:rPr>
        <w:t>bokotá</w:t>
      </w:r>
      <w:proofErr w:type="spellEnd"/>
      <w:r w:rsidR="009E37C5">
        <w:rPr>
          <w:rFonts w:cstheme="minorHAnsi"/>
          <w:sz w:val="24"/>
          <w:szCs w:val="24"/>
        </w:rPr>
        <w:t xml:space="preserve"> (denominado </w:t>
      </w:r>
      <w:proofErr w:type="spellStart"/>
      <w:r w:rsidR="009E37C5">
        <w:rPr>
          <w:rFonts w:cstheme="minorHAnsi"/>
          <w:sz w:val="24"/>
          <w:szCs w:val="24"/>
        </w:rPr>
        <w:t>buglé</w:t>
      </w:r>
      <w:proofErr w:type="spellEnd"/>
      <w:r w:rsidR="009E37C5">
        <w:rPr>
          <w:rFonts w:cstheme="minorHAnsi"/>
          <w:sz w:val="24"/>
          <w:szCs w:val="24"/>
        </w:rPr>
        <w:t xml:space="preserve"> en Panamá).  Existen especialistas en el manejo de plantas medicinales, llamados </w:t>
      </w:r>
      <w:proofErr w:type="spellStart"/>
      <w:r w:rsidR="009E37C5">
        <w:rPr>
          <w:rFonts w:cstheme="minorHAnsi"/>
          <w:sz w:val="24"/>
          <w:szCs w:val="24"/>
        </w:rPr>
        <w:t>sukias</w:t>
      </w:r>
      <w:proofErr w:type="spellEnd"/>
      <w:r w:rsidR="009E37C5">
        <w:rPr>
          <w:rFonts w:cstheme="minorHAnsi"/>
          <w:sz w:val="24"/>
          <w:szCs w:val="24"/>
        </w:rPr>
        <w:t>, quienes son también líderes espirituales.  El sistema tradicional de parentesco es muy complejo, siendo de filiación en referencia a los abuelos maternos y paternos.  Su gran riqueza cultural se manifiesta en sus viviendas tradicionales con materiales del bosque, en artesanías como bolsos, chaquiras, cortezas pintadas de mastate y los vestidos tradicionales de las mujeres, entre otros.</w:t>
      </w:r>
      <w:r w:rsidR="009E37C5">
        <w:rPr>
          <w:rStyle w:val="Refdenotaalpie"/>
          <w:rFonts w:cstheme="minorHAnsi"/>
          <w:sz w:val="24"/>
          <w:szCs w:val="24"/>
        </w:rPr>
        <w:footnoteReference w:id="20"/>
      </w:r>
    </w:p>
    <w:p w:rsidR="00611239" w:rsidRDefault="00611239" w:rsidP="00751CA8">
      <w:pPr>
        <w:spacing w:after="0" w:line="240" w:lineRule="auto"/>
        <w:jc w:val="both"/>
        <w:rPr>
          <w:rFonts w:cstheme="minorHAnsi"/>
          <w:sz w:val="24"/>
          <w:szCs w:val="24"/>
          <w:lang w:eastAsia="es-CR"/>
        </w:rPr>
      </w:pPr>
    </w:p>
    <w:p w:rsidR="00751CA8" w:rsidRDefault="00751CA8" w:rsidP="00751CA8">
      <w:pPr>
        <w:spacing w:after="0" w:line="240" w:lineRule="auto"/>
        <w:jc w:val="both"/>
        <w:rPr>
          <w:rFonts w:cstheme="minorHAnsi"/>
          <w:sz w:val="24"/>
          <w:szCs w:val="24"/>
          <w:lang w:eastAsia="es-CR"/>
        </w:rPr>
      </w:pPr>
      <w:r>
        <w:rPr>
          <w:rFonts w:cstheme="minorHAnsi"/>
          <w:sz w:val="24"/>
          <w:szCs w:val="24"/>
          <w:lang w:eastAsia="es-CR"/>
        </w:rPr>
        <w:t xml:space="preserve">El censo del INEC pone en evidencia tanto las desfavorables condiciones de los territorios indígenas en comparación con el resto del país, como la inferior situación en que se encuentran los territorios de los pueblos </w:t>
      </w:r>
      <w:proofErr w:type="spellStart"/>
      <w:r>
        <w:rPr>
          <w:rFonts w:cstheme="minorHAnsi"/>
          <w:sz w:val="24"/>
          <w:szCs w:val="24"/>
          <w:lang w:eastAsia="es-CR"/>
        </w:rPr>
        <w:t>bribris</w:t>
      </w:r>
      <w:proofErr w:type="spellEnd"/>
      <w:r>
        <w:rPr>
          <w:rFonts w:cstheme="minorHAnsi"/>
          <w:sz w:val="24"/>
          <w:szCs w:val="24"/>
          <w:lang w:eastAsia="es-CR"/>
        </w:rPr>
        <w:t xml:space="preserve">, </w:t>
      </w:r>
      <w:proofErr w:type="spellStart"/>
      <w:r>
        <w:rPr>
          <w:rFonts w:cstheme="minorHAnsi"/>
          <w:sz w:val="24"/>
          <w:szCs w:val="24"/>
          <w:lang w:eastAsia="es-CR"/>
        </w:rPr>
        <w:t>cabécares</w:t>
      </w:r>
      <w:proofErr w:type="spellEnd"/>
      <w:r>
        <w:rPr>
          <w:rFonts w:cstheme="minorHAnsi"/>
          <w:sz w:val="24"/>
          <w:szCs w:val="24"/>
          <w:lang w:eastAsia="es-CR"/>
        </w:rPr>
        <w:t xml:space="preserve"> o </w:t>
      </w:r>
      <w:proofErr w:type="spellStart"/>
      <w:r>
        <w:rPr>
          <w:rFonts w:cstheme="minorHAnsi"/>
          <w:sz w:val="24"/>
          <w:szCs w:val="24"/>
          <w:lang w:eastAsia="es-CR"/>
        </w:rPr>
        <w:t>gnäbe</w:t>
      </w:r>
      <w:r w:rsidR="0087099F">
        <w:rPr>
          <w:rFonts w:cstheme="minorHAnsi"/>
          <w:sz w:val="24"/>
          <w:szCs w:val="24"/>
          <w:lang w:eastAsia="es-CR"/>
        </w:rPr>
        <w:t>re</w:t>
      </w:r>
      <w:proofErr w:type="spellEnd"/>
      <w:r>
        <w:rPr>
          <w:rFonts w:cstheme="minorHAnsi"/>
          <w:sz w:val="24"/>
          <w:szCs w:val="24"/>
          <w:lang w:eastAsia="es-CR"/>
        </w:rPr>
        <w:t xml:space="preserve"> con relación a los otros pueblos</w:t>
      </w:r>
      <w:r>
        <w:rPr>
          <w:rStyle w:val="Refdenotaalpie"/>
          <w:rFonts w:cstheme="minorHAnsi"/>
          <w:sz w:val="24"/>
          <w:szCs w:val="24"/>
          <w:lang w:eastAsia="es-CR"/>
        </w:rPr>
        <w:footnoteReference w:id="21"/>
      </w:r>
      <w:r>
        <w:rPr>
          <w:rFonts w:cstheme="minorHAnsi"/>
          <w:sz w:val="24"/>
          <w:szCs w:val="24"/>
          <w:lang w:eastAsia="es-CR"/>
        </w:rPr>
        <w:t>, debido a su histórica y estructural exclusión social.  Por ejemplo y como puede verse en el cuadro sobre necesidades básicas insatisfechas de los hogares por cantidad según territorio indígena</w:t>
      </w:r>
      <w:r>
        <w:rPr>
          <w:rStyle w:val="Refdenotaalpie"/>
          <w:rFonts w:cstheme="minorHAnsi"/>
          <w:sz w:val="24"/>
          <w:szCs w:val="24"/>
          <w:lang w:eastAsia="es-CR"/>
        </w:rPr>
        <w:footnoteReference w:id="22"/>
      </w:r>
      <w:r w:rsidR="0087099F">
        <w:rPr>
          <w:rFonts w:cstheme="minorHAnsi"/>
          <w:sz w:val="24"/>
          <w:szCs w:val="24"/>
          <w:lang w:eastAsia="es-CR"/>
        </w:rPr>
        <w:t xml:space="preserve">, el 29,2% de los hogares </w:t>
      </w:r>
      <w:proofErr w:type="spellStart"/>
      <w:r w:rsidR="0087099F">
        <w:rPr>
          <w:rFonts w:cstheme="minorHAnsi"/>
          <w:sz w:val="24"/>
          <w:szCs w:val="24"/>
          <w:lang w:eastAsia="es-CR"/>
        </w:rPr>
        <w:t>gnäbere</w:t>
      </w:r>
      <w:proofErr w:type="spellEnd"/>
      <w:r>
        <w:rPr>
          <w:rFonts w:cstheme="minorHAnsi"/>
          <w:sz w:val="24"/>
          <w:szCs w:val="24"/>
          <w:lang w:eastAsia="es-CR"/>
        </w:rPr>
        <w:t xml:space="preserve"> ve insatisfecho el acceso a un albergue digno; el 33,5% a vida saludable y el 14,8% al acceso al conocimiento; un 33.1% tiene una tasa neta de participación y un 55.9% se encuentra fuera de la fuerza de trabajo</w:t>
      </w:r>
      <w:r w:rsidR="0074100B">
        <w:rPr>
          <w:rStyle w:val="Refdenotaalpie"/>
          <w:rFonts w:cstheme="minorHAnsi"/>
          <w:sz w:val="24"/>
          <w:szCs w:val="24"/>
          <w:lang w:eastAsia="es-CR"/>
        </w:rPr>
        <w:footnoteReference w:id="23"/>
      </w:r>
      <w:r>
        <w:rPr>
          <w:rFonts w:cstheme="minorHAnsi"/>
          <w:sz w:val="24"/>
          <w:szCs w:val="24"/>
          <w:lang w:eastAsia="es-CR"/>
        </w:rPr>
        <w:t>; del total de hogares (1 282), solo el 60.9% es productivo</w:t>
      </w:r>
      <w:r>
        <w:rPr>
          <w:rStyle w:val="Refdenotaalpie"/>
          <w:rFonts w:cstheme="minorHAnsi"/>
          <w:sz w:val="24"/>
          <w:szCs w:val="24"/>
          <w:lang w:eastAsia="es-CR"/>
        </w:rPr>
        <w:footnoteReference w:id="24"/>
      </w:r>
      <w:r>
        <w:rPr>
          <w:rFonts w:cstheme="minorHAnsi"/>
          <w:sz w:val="24"/>
          <w:szCs w:val="24"/>
          <w:lang w:eastAsia="es-CR"/>
        </w:rPr>
        <w:t xml:space="preserve">.  De acuerdo al diagnóstico de OACNUDH y con base en el Plan Nacional de Desarrollo 2010-2014, el 15.3% de los hogares de la Región Central se encontraba bajo la línea de la pobreza en 2009, en tanto que en la Región </w:t>
      </w:r>
      <w:proofErr w:type="spellStart"/>
      <w:r>
        <w:rPr>
          <w:rFonts w:cstheme="minorHAnsi"/>
          <w:sz w:val="24"/>
          <w:szCs w:val="24"/>
          <w:lang w:eastAsia="es-CR"/>
        </w:rPr>
        <w:t>Brunca</w:t>
      </w:r>
      <w:proofErr w:type="spellEnd"/>
      <w:r>
        <w:rPr>
          <w:rFonts w:cstheme="minorHAnsi"/>
          <w:sz w:val="24"/>
          <w:szCs w:val="24"/>
          <w:lang w:eastAsia="es-CR"/>
        </w:rPr>
        <w:t xml:space="preserve"> era el doble, 30.9%.</w:t>
      </w:r>
      <w:r>
        <w:rPr>
          <w:rStyle w:val="Refdenotaalpie"/>
          <w:rFonts w:cstheme="minorHAnsi"/>
          <w:sz w:val="24"/>
          <w:szCs w:val="24"/>
          <w:lang w:eastAsia="es-CR"/>
        </w:rPr>
        <w:footnoteReference w:id="25"/>
      </w:r>
      <w:r>
        <w:rPr>
          <w:rFonts w:cstheme="minorHAnsi"/>
          <w:sz w:val="24"/>
          <w:szCs w:val="24"/>
          <w:lang w:eastAsia="es-CR"/>
        </w:rPr>
        <w:t xml:space="preserve">  La tasa de participación entre la población económica activa oscila entre un 58.1% en la Región Central y un 49.7% en la </w:t>
      </w:r>
      <w:proofErr w:type="spellStart"/>
      <w:r>
        <w:rPr>
          <w:rFonts w:cstheme="minorHAnsi"/>
          <w:sz w:val="24"/>
          <w:szCs w:val="24"/>
          <w:lang w:eastAsia="es-CR"/>
        </w:rPr>
        <w:t>Brunca</w:t>
      </w:r>
      <w:proofErr w:type="spellEnd"/>
      <w:r>
        <w:rPr>
          <w:rFonts w:cstheme="minorHAnsi"/>
          <w:sz w:val="24"/>
          <w:szCs w:val="24"/>
          <w:lang w:eastAsia="es-CR"/>
        </w:rPr>
        <w:t xml:space="preserve"> y con respecto a la salud, la tasa de mortalidad infantil en la Región Central es de 8.6 por mil mientras que en la </w:t>
      </w:r>
      <w:proofErr w:type="spellStart"/>
      <w:r>
        <w:rPr>
          <w:rFonts w:cstheme="minorHAnsi"/>
          <w:sz w:val="24"/>
          <w:szCs w:val="24"/>
          <w:lang w:eastAsia="es-CR"/>
        </w:rPr>
        <w:t>Brunca</w:t>
      </w:r>
      <w:proofErr w:type="spellEnd"/>
      <w:r>
        <w:rPr>
          <w:rFonts w:cstheme="minorHAnsi"/>
          <w:sz w:val="24"/>
          <w:szCs w:val="24"/>
          <w:lang w:eastAsia="es-CR"/>
        </w:rPr>
        <w:t xml:space="preserve"> asciende al 10.6 por mil,</w:t>
      </w:r>
      <w:r>
        <w:rPr>
          <w:rStyle w:val="Refdenotaalpie"/>
          <w:rFonts w:cstheme="minorHAnsi"/>
          <w:sz w:val="24"/>
          <w:szCs w:val="24"/>
          <w:lang w:eastAsia="es-CR"/>
        </w:rPr>
        <w:footnoteReference w:id="26"/>
      </w:r>
      <w:r>
        <w:rPr>
          <w:rFonts w:cstheme="minorHAnsi"/>
          <w:sz w:val="24"/>
          <w:szCs w:val="24"/>
          <w:lang w:eastAsia="es-CR"/>
        </w:rPr>
        <w:t xml:space="preserve"> todo lo cual demuestra la desigualdad y discriminación imperantes en el país con relación a los pueblos indígenas y, en particular los </w:t>
      </w:r>
      <w:proofErr w:type="spellStart"/>
      <w:r>
        <w:rPr>
          <w:rFonts w:cstheme="minorHAnsi"/>
          <w:sz w:val="24"/>
          <w:szCs w:val="24"/>
          <w:lang w:eastAsia="es-CR"/>
        </w:rPr>
        <w:t>gnäbe</w:t>
      </w:r>
      <w:r w:rsidR="0087099F">
        <w:rPr>
          <w:rFonts w:cstheme="minorHAnsi"/>
          <w:sz w:val="24"/>
          <w:szCs w:val="24"/>
          <w:lang w:eastAsia="es-CR"/>
        </w:rPr>
        <w:t>re</w:t>
      </w:r>
      <w:proofErr w:type="spellEnd"/>
      <w:r>
        <w:rPr>
          <w:rFonts w:cstheme="minorHAnsi"/>
          <w:sz w:val="24"/>
          <w:szCs w:val="24"/>
          <w:lang w:eastAsia="es-CR"/>
        </w:rPr>
        <w:t xml:space="preserve">.  </w:t>
      </w:r>
    </w:p>
    <w:p w:rsidR="00751CA8" w:rsidRDefault="00751CA8" w:rsidP="00751CA8">
      <w:pPr>
        <w:pStyle w:val="NormalWeb"/>
        <w:shd w:val="clear" w:color="auto" w:fill="FFFFFF"/>
        <w:spacing w:before="0" w:beforeAutospacing="0" w:after="0" w:afterAutospacing="0"/>
        <w:jc w:val="both"/>
        <w:rPr>
          <w:rFonts w:asciiTheme="minorHAnsi" w:hAnsiTheme="minorHAnsi" w:cstheme="minorHAnsi"/>
        </w:rPr>
      </w:pPr>
    </w:p>
    <w:p w:rsidR="00751CA8" w:rsidRDefault="000C5DE9" w:rsidP="00751CA8">
      <w:pPr>
        <w:pStyle w:val="NormalWeb"/>
        <w:shd w:val="clear" w:color="auto" w:fill="FFFFFF"/>
        <w:spacing w:before="0" w:beforeAutospacing="0" w:after="0" w:afterAutospacing="0"/>
        <w:jc w:val="both"/>
        <w:rPr>
          <w:rFonts w:asciiTheme="minorHAnsi" w:hAnsiTheme="minorHAnsi" w:cstheme="minorHAnsi"/>
        </w:rPr>
      </w:pPr>
      <w:r>
        <w:rPr>
          <w:rFonts w:asciiTheme="minorHAnsi" w:hAnsiTheme="minorHAnsi" w:cstheme="minorHAnsi"/>
        </w:rPr>
        <w:lastRenderedPageBreak/>
        <w:t xml:space="preserve">Especial atención requiere el hecho de que </w:t>
      </w:r>
      <w:r w:rsidR="00751CA8">
        <w:rPr>
          <w:rFonts w:asciiTheme="minorHAnsi" w:hAnsiTheme="minorHAnsi" w:cstheme="minorHAnsi"/>
        </w:rPr>
        <w:t>el gobierno costarricense les negara por  muchísimos años el reconocimiento a su ciudadanía así como a sus descendientes, lo cual provocó protestas en los años 80 y 90 y finalmente la misma les fue concedida debido a un fallo de la Sala Constitucional y a la promoción de la Ley de Cedulación Indígena.</w:t>
      </w:r>
      <w:r w:rsidR="00751CA8">
        <w:rPr>
          <w:rStyle w:val="Refdenotaalpie"/>
          <w:rFonts w:asciiTheme="minorHAnsi" w:hAnsiTheme="minorHAnsi" w:cstheme="minorHAnsi"/>
        </w:rPr>
        <w:footnoteReference w:id="27"/>
      </w:r>
      <w:r w:rsidR="00751CA8">
        <w:rPr>
          <w:rFonts w:asciiTheme="minorHAnsi" w:hAnsiTheme="minorHAnsi" w:cstheme="minorHAnsi"/>
        </w:rPr>
        <w:t xml:space="preserve">  </w:t>
      </w:r>
    </w:p>
    <w:p w:rsidR="00751CA8" w:rsidRDefault="00751CA8" w:rsidP="00751CA8">
      <w:pPr>
        <w:pStyle w:val="NormalWeb"/>
        <w:shd w:val="clear" w:color="auto" w:fill="FFFFFF"/>
        <w:spacing w:before="0" w:beforeAutospacing="0" w:after="0" w:afterAutospacing="0"/>
        <w:jc w:val="both"/>
        <w:rPr>
          <w:rFonts w:asciiTheme="minorHAnsi" w:hAnsiTheme="minorHAnsi" w:cstheme="minorHAnsi"/>
          <w:color w:val="252525"/>
        </w:rPr>
      </w:pPr>
      <w:r>
        <w:rPr>
          <w:rFonts w:asciiTheme="minorHAnsi" w:hAnsiTheme="minorHAnsi" w:cstheme="minorHAnsi"/>
        </w:rPr>
        <w:br/>
      </w:r>
      <w:r>
        <w:rPr>
          <w:rFonts w:asciiTheme="minorHAnsi" w:hAnsiTheme="minorHAnsi" w:cstheme="minorHAnsi"/>
          <w:color w:val="252525"/>
        </w:rPr>
        <w:t xml:space="preserve">De acuerdo al censo anteriormente citado, en la Región </w:t>
      </w:r>
      <w:proofErr w:type="spellStart"/>
      <w:r>
        <w:rPr>
          <w:rFonts w:asciiTheme="minorHAnsi" w:hAnsiTheme="minorHAnsi" w:cstheme="minorHAnsi"/>
          <w:color w:val="252525"/>
        </w:rPr>
        <w:t>Brunca</w:t>
      </w:r>
      <w:proofErr w:type="spellEnd"/>
      <w:r>
        <w:rPr>
          <w:rFonts w:asciiTheme="minorHAnsi" w:hAnsiTheme="minorHAnsi" w:cstheme="minorHAnsi"/>
          <w:color w:val="252525"/>
        </w:rPr>
        <w:t xml:space="preserve"> </w:t>
      </w:r>
      <w:r>
        <w:rPr>
          <w:rFonts w:asciiTheme="minorHAnsi" w:hAnsiTheme="minorHAnsi" w:cstheme="minorHAnsi"/>
        </w:rPr>
        <w:t>o Pacífico Sur, con una población de 320 863 personas y un área de 9 528 km2</w:t>
      </w:r>
      <w:r>
        <w:rPr>
          <w:rStyle w:val="Refdenotaalpie"/>
          <w:rFonts w:asciiTheme="minorHAnsi" w:hAnsiTheme="minorHAnsi" w:cstheme="minorHAnsi"/>
        </w:rPr>
        <w:footnoteReference w:id="28"/>
      </w:r>
      <w:r>
        <w:rPr>
          <w:rFonts w:asciiTheme="minorHAnsi" w:hAnsiTheme="minorHAnsi" w:cstheme="minorHAnsi"/>
        </w:rPr>
        <w:t xml:space="preserve">,  </w:t>
      </w:r>
      <w:r>
        <w:rPr>
          <w:rFonts w:asciiTheme="minorHAnsi" w:hAnsiTheme="minorHAnsi" w:cstheme="minorHAnsi"/>
          <w:color w:val="252525"/>
        </w:rPr>
        <w:t xml:space="preserve">en la que se asientan los pueblos </w:t>
      </w:r>
      <w:proofErr w:type="spellStart"/>
      <w:r>
        <w:rPr>
          <w:rFonts w:asciiTheme="minorHAnsi" w:hAnsiTheme="minorHAnsi" w:cstheme="minorHAnsi"/>
          <w:color w:val="252525"/>
        </w:rPr>
        <w:t>gnäb</w:t>
      </w:r>
      <w:r w:rsidR="0087099F">
        <w:rPr>
          <w:rFonts w:asciiTheme="minorHAnsi" w:hAnsiTheme="minorHAnsi" w:cstheme="minorHAnsi"/>
          <w:color w:val="252525"/>
        </w:rPr>
        <w:t>ere</w:t>
      </w:r>
      <w:proofErr w:type="spellEnd"/>
      <w:r>
        <w:rPr>
          <w:rFonts w:asciiTheme="minorHAnsi" w:hAnsiTheme="minorHAnsi" w:cstheme="minorHAnsi"/>
          <w:color w:val="252525"/>
        </w:rPr>
        <w:t>,  se encuentra el  mayor porcentaje de población rural del país, a su vez la más abandonada por el sector servicios. El hecho de no disponer de un sistema vial eficiente obstaculiza poder dar un mayor impulso a los sectores agrícola, ganadero y turístico.  Por otra parte y dada su particular posición geográfica, con costas despobladas y alejadas, el narcotráfico desarrolla actividades en la región.</w:t>
      </w:r>
      <w:r>
        <w:rPr>
          <w:rStyle w:val="Refdenotaalpie"/>
          <w:rFonts w:asciiTheme="minorHAnsi" w:hAnsiTheme="minorHAnsi" w:cstheme="minorHAnsi"/>
          <w:color w:val="252525"/>
        </w:rPr>
        <w:footnoteReference w:id="29"/>
      </w:r>
    </w:p>
    <w:p w:rsidR="00751CA8" w:rsidRDefault="00751CA8" w:rsidP="00751CA8">
      <w:pPr>
        <w:pStyle w:val="NormalWeb"/>
        <w:shd w:val="clear" w:color="auto" w:fill="FFFFFF"/>
        <w:spacing w:before="0" w:beforeAutospacing="0" w:after="0" w:afterAutospacing="0"/>
        <w:jc w:val="both"/>
        <w:rPr>
          <w:rFonts w:asciiTheme="minorHAnsi" w:hAnsiTheme="minorHAnsi" w:cstheme="minorHAnsi"/>
          <w:color w:val="252525"/>
        </w:rPr>
      </w:pPr>
    </w:p>
    <w:p w:rsidR="00751CA8" w:rsidRDefault="00751CA8" w:rsidP="00751CA8">
      <w:pPr>
        <w:pStyle w:val="NormalWeb"/>
        <w:shd w:val="clear" w:color="auto" w:fill="FFFFFF"/>
        <w:spacing w:before="0" w:beforeAutospacing="0" w:after="0" w:afterAutospacing="0"/>
        <w:jc w:val="both"/>
        <w:rPr>
          <w:rFonts w:asciiTheme="minorHAnsi" w:hAnsiTheme="minorHAnsi" w:cstheme="minorHAnsi"/>
          <w:color w:val="252525"/>
        </w:rPr>
      </w:pPr>
      <w:r>
        <w:rPr>
          <w:rFonts w:asciiTheme="minorHAnsi" w:hAnsiTheme="minorHAnsi" w:cstheme="minorHAnsi"/>
          <w:color w:val="252525"/>
        </w:rPr>
        <w:t>Datos del Índice de Desarrollo Social Distrital de 2013, elaborado por el Ministerio de Planificación Nacional (MIDEPLAN)</w:t>
      </w:r>
      <w:r>
        <w:rPr>
          <w:rStyle w:val="Refdenotaalpie"/>
          <w:rFonts w:asciiTheme="minorHAnsi" w:hAnsiTheme="minorHAnsi" w:cstheme="minorHAnsi"/>
          <w:color w:val="252525"/>
        </w:rPr>
        <w:footnoteReference w:id="30"/>
      </w:r>
      <w:r>
        <w:rPr>
          <w:rFonts w:asciiTheme="minorHAnsi" w:hAnsiTheme="minorHAnsi" w:cstheme="minorHAnsi"/>
          <w:color w:val="252525"/>
        </w:rPr>
        <w:t xml:space="preserve">, muestran que los distritos con los valores más bajos se localizan en las áreas fronterizas del norte y sur, principalmente las regiones </w:t>
      </w:r>
      <w:proofErr w:type="spellStart"/>
      <w:r>
        <w:rPr>
          <w:rFonts w:asciiTheme="minorHAnsi" w:hAnsiTheme="minorHAnsi" w:cstheme="minorHAnsi"/>
          <w:color w:val="252525"/>
        </w:rPr>
        <w:t>Brunca</w:t>
      </w:r>
      <w:proofErr w:type="spellEnd"/>
      <w:r>
        <w:rPr>
          <w:rFonts w:asciiTheme="minorHAnsi" w:hAnsiTheme="minorHAnsi" w:cstheme="minorHAnsi"/>
          <w:color w:val="252525"/>
        </w:rPr>
        <w:t xml:space="preserve">, </w:t>
      </w:r>
      <w:proofErr w:type="spellStart"/>
      <w:r>
        <w:rPr>
          <w:rFonts w:asciiTheme="minorHAnsi" w:hAnsiTheme="minorHAnsi" w:cstheme="minorHAnsi"/>
          <w:color w:val="252525"/>
        </w:rPr>
        <w:t>Huétar</w:t>
      </w:r>
      <w:proofErr w:type="spellEnd"/>
      <w:r>
        <w:rPr>
          <w:rFonts w:asciiTheme="minorHAnsi" w:hAnsiTheme="minorHAnsi" w:cstheme="minorHAnsi"/>
          <w:color w:val="252525"/>
        </w:rPr>
        <w:t xml:space="preserve"> Caribe y </w:t>
      </w:r>
      <w:proofErr w:type="spellStart"/>
      <w:r>
        <w:rPr>
          <w:rFonts w:asciiTheme="minorHAnsi" w:hAnsiTheme="minorHAnsi" w:cstheme="minorHAnsi"/>
          <w:color w:val="252525"/>
        </w:rPr>
        <w:t>Huétar</w:t>
      </w:r>
      <w:proofErr w:type="spellEnd"/>
      <w:r>
        <w:rPr>
          <w:rFonts w:asciiTheme="minorHAnsi" w:hAnsiTheme="minorHAnsi" w:cstheme="minorHAnsi"/>
          <w:color w:val="252525"/>
        </w:rPr>
        <w:t xml:space="preserve"> Norte.  Asimismo, de los 20 distritos con menor nivel de IDS, 10 (el 50%) corresponden a la región </w:t>
      </w:r>
      <w:proofErr w:type="spellStart"/>
      <w:r>
        <w:rPr>
          <w:rFonts w:asciiTheme="minorHAnsi" w:hAnsiTheme="minorHAnsi" w:cstheme="minorHAnsi"/>
          <w:color w:val="252525"/>
        </w:rPr>
        <w:t>Brunca</w:t>
      </w:r>
      <w:proofErr w:type="spellEnd"/>
      <w:r>
        <w:rPr>
          <w:rFonts w:asciiTheme="minorHAnsi" w:hAnsiTheme="minorHAnsi" w:cstheme="minorHAnsi"/>
          <w:color w:val="252525"/>
        </w:rPr>
        <w:t xml:space="preserve"> (Coto </w:t>
      </w:r>
      <w:proofErr w:type="spellStart"/>
      <w:r>
        <w:rPr>
          <w:rFonts w:asciiTheme="minorHAnsi" w:hAnsiTheme="minorHAnsi" w:cstheme="minorHAnsi"/>
          <w:color w:val="252525"/>
        </w:rPr>
        <w:t>Brus</w:t>
      </w:r>
      <w:proofErr w:type="spellEnd"/>
      <w:r>
        <w:rPr>
          <w:rFonts w:asciiTheme="minorHAnsi" w:hAnsiTheme="minorHAnsi" w:cstheme="minorHAnsi"/>
          <w:color w:val="252525"/>
        </w:rPr>
        <w:t>: 2, Buenos Aires: 5, Osa: 2 y Golfito: 1).</w:t>
      </w:r>
      <w:r>
        <w:rPr>
          <w:rStyle w:val="Refdenotaalpie"/>
          <w:rFonts w:asciiTheme="minorHAnsi" w:hAnsiTheme="minorHAnsi" w:cstheme="minorHAnsi"/>
          <w:color w:val="252525"/>
        </w:rPr>
        <w:footnoteReference w:id="31"/>
      </w:r>
      <w:r>
        <w:rPr>
          <w:rFonts w:asciiTheme="minorHAnsi" w:hAnsiTheme="minorHAnsi" w:cstheme="minorHAnsi"/>
          <w:color w:val="252525"/>
        </w:rPr>
        <w:t xml:space="preserve"> También establece  que hay una coincidencia geográfica entre los territorios que gozan de algún régimen de protección ambiental y los distritos con menor nivel de desarrollo, como </w:t>
      </w:r>
      <w:proofErr w:type="spellStart"/>
      <w:r>
        <w:rPr>
          <w:rFonts w:asciiTheme="minorHAnsi" w:hAnsiTheme="minorHAnsi" w:cstheme="minorHAnsi"/>
          <w:color w:val="252525"/>
        </w:rPr>
        <w:t>p.e.</w:t>
      </w:r>
      <w:proofErr w:type="spellEnd"/>
      <w:r>
        <w:rPr>
          <w:rFonts w:asciiTheme="minorHAnsi" w:hAnsiTheme="minorHAnsi" w:cstheme="minorHAnsi"/>
          <w:color w:val="252525"/>
        </w:rPr>
        <w:t xml:space="preserve"> las regiones </w:t>
      </w:r>
      <w:proofErr w:type="spellStart"/>
      <w:r>
        <w:rPr>
          <w:rFonts w:asciiTheme="minorHAnsi" w:hAnsiTheme="minorHAnsi" w:cstheme="minorHAnsi"/>
          <w:color w:val="252525"/>
        </w:rPr>
        <w:t>Brunca</w:t>
      </w:r>
      <w:proofErr w:type="spellEnd"/>
      <w:r>
        <w:rPr>
          <w:rFonts w:asciiTheme="minorHAnsi" w:hAnsiTheme="minorHAnsi" w:cstheme="minorHAnsi"/>
          <w:color w:val="252525"/>
        </w:rPr>
        <w:t xml:space="preserve"> y </w:t>
      </w:r>
      <w:proofErr w:type="spellStart"/>
      <w:r>
        <w:rPr>
          <w:rFonts w:asciiTheme="minorHAnsi" w:hAnsiTheme="minorHAnsi" w:cstheme="minorHAnsi"/>
          <w:color w:val="252525"/>
        </w:rPr>
        <w:t>Huétar</w:t>
      </w:r>
      <w:proofErr w:type="spellEnd"/>
      <w:r>
        <w:rPr>
          <w:rFonts w:asciiTheme="minorHAnsi" w:hAnsiTheme="minorHAnsi" w:cstheme="minorHAnsi"/>
          <w:color w:val="252525"/>
        </w:rPr>
        <w:t xml:space="preserve"> Atlántica, en donde se encuentra la mayor parte de los territorios indígenas  que se concentran en distritos con bajos índices de desarrollo social </w:t>
      </w:r>
      <w:r>
        <w:rPr>
          <w:rStyle w:val="Refdenotaalpie"/>
          <w:rFonts w:asciiTheme="minorHAnsi" w:hAnsiTheme="minorHAnsi" w:cstheme="minorHAnsi"/>
          <w:color w:val="252525"/>
        </w:rPr>
        <w:footnoteReference w:id="32"/>
      </w:r>
      <w:r>
        <w:rPr>
          <w:rFonts w:asciiTheme="minorHAnsi" w:hAnsiTheme="minorHAnsi" w:cstheme="minorHAnsi"/>
          <w:color w:val="252525"/>
        </w:rPr>
        <w:t xml:space="preserve">.  </w:t>
      </w:r>
    </w:p>
    <w:p w:rsidR="00751CA8" w:rsidRDefault="00751CA8" w:rsidP="00751CA8">
      <w:pPr>
        <w:pStyle w:val="NormalWeb"/>
        <w:shd w:val="clear" w:color="auto" w:fill="FFFFFF"/>
        <w:spacing w:before="0" w:beforeAutospacing="0" w:after="0" w:afterAutospacing="0"/>
        <w:jc w:val="both"/>
        <w:rPr>
          <w:rFonts w:asciiTheme="minorHAnsi" w:hAnsiTheme="minorHAnsi" w:cstheme="minorHAnsi"/>
          <w:b/>
          <w:color w:val="252525"/>
        </w:rPr>
      </w:pPr>
    </w:p>
    <w:p w:rsidR="00751CA8" w:rsidRPr="002F2ACF" w:rsidRDefault="005109C0" w:rsidP="002F2ACF">
      <w:pPr>
        <w:pStyle w:val="Prrafodelista"/>
        <w:numPr>
          <w:ilvl w:val="0"/>
          <w:numId w:val="3"/>
        </w:numPr>
        <w:spacing w:after="0" w:line="240" w:lineRule="auto"/>
        <w:jc w:val="both"/>
        <w:rPr>
          <w:rFonts w:cstheme="minorHAnsi"/>
          <w:b/>
          <w:sz w:val="32"/>
          <w:szCs w:val="24"/>
          <w:lang w:eastAsia="es-CR"/>
        </w:rPr>
      </w:pPr>
      <w:r w:rsidRPr="002F2ACF">
        <w:rPr>
          <w:rFonts w:cstheme="minorHAnsi"/>
          <w:b/>
          <w:sz w:val="32"/>
          <w:szCs w:val="24"/>
          <w:lang w:eastAsia="es-CR"/>
        </w:rPr>
        <w:t xml:space="preserve">El pueblo </w:t>
      </w:r>
      <w:proofErr w:type="spellStart"/>
      <w:r w:rsidRPr="002F2ACF">
        <w:rPr>
          <w:rFonts w:cstheme="minorHAnsi"/>
          <w:b/>
          <w:sz w:val="32"/>
          <w:szCs w:val="24"/>
          <w:lang w:eastAsia="es-CR"/>
        </w:rPr>
        <w:t>Gnäbe</w:t>
      </w:r>
      <w:proofErr w:type="spellEnd"/>
      <w:r w:rsidRPr="002F2ACF">
        <w:rPr>
          <w:rFonts w:cstheme="minorHAnsi"/>
          <w:b/>
          <w:sz w:val="32"/>
          <w:szCs w:val="24"/>
          <w:lang w:eastAsia="es-CR"/>
        </w:rPr>
        <w:t xml:space="preserve"> y </w:t>
      </w:r>
      <w:proofErr w:type="spellStart"/>
      <w:r w:rsidRPr="002F2ACF">
        <w:rPr>
          <w:rFonts w:cstheme="minorHAnsi"/>
          <w:b/>
          <w:sz w:val="32"/>
          <w:szCs w:val="24"/>
          <w:lang w:eastAsia="es-CR"/>
        </w:rPr>
        <w:t>Buglé</w:t>
      </w:r>
      <w:proofErr w:type="spellEnd"/>
      <w:r w:rsidRPr="002F2ACF">
        <w:rPr>
          <w:rFonts w:cstheme="minorHAnsi"/>
          <w:b/>
          <w:sz w:val="32"/>
          <w:szCs w:val="24"/>
          <w:lang w:eastAsia="es-CR"/>
        </w:rPr>
        <w:t xml:space="preserve"> </w:t>
      </w:r>
      <w:r w:rsidR="00751CA8" w:rsidRPr="002F2ACF">
        <w:rPr>
          <w:rFonts w:cstheme="minorHAnsi"/>
          <w:b/>
          <w:sz w:val="32"/>
          <w:szCs w:val="24"/>
          <w:lang w:eastAsia="es-CR"/>
        </w:rPr>
        <w:t>e</w:t>
      </w:r>
      <w:r w:rsidRPr="002F2ACF">
        <w:rPr>
          <w:rFonts w:cstheme="minorHAnsi"/>
          <w:b/>
          <w:sz w:val="32"/>
          <w:szCs w:val="24"/>
          <w:lang w:eastAsia="es-CR"/>
        </w:rPr>
        <w:t>n</w:t>
      </w:r>
      <w:r w:rsidR="00751CA8" w:rsidRPr="002F2ACF">
        <w:rPr>
          <w:rFonts w:cstheme="minorHAnsi"/>
          <w:b/>
          <w:sz w:val="32"/>
          <w:szCs w:val="24"/>
          <w:lang w:eastAsia="es-CR"/>
        </w:rPr>
        <w:t xml:space="preserve"> Panamá</w:t>
      </w:r>
    </w:p>
    <w:p w:rsidR="00751CA8" w:rsidRDefault="00751CA8" w:rsidP="00751CA8">
      <w:pPr>
        <w:shd w:val="clear" w:color="auto" w:fill="FFFFFF"/>
        <w:spacing w:after="0" w:line="240" w:lineRule="auto"/>
        <w:jc w:val="both"/>
        <w:rPr>
          <w:rFonts w:eastAsia="Times New Roman" w:cstheme="minorHAnsi"/>
          <w:b/>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El pueblo </w:t>
      </w:r>
      <w:proofErr w:type="spellStart"/>
      <w:r>
        <w:rPr>
          <w:rFonts w:eastAsia="Times New Roman" w:cstheme="minorHAnsi"/>
          <w:bCs/>
          <w:color w:val="303030"/>
          <w:sz w:val="24"/>
          <w:szCs w:val="24"/>
          <w:lang w:eastAsia="es-CR"/>
        </w:rPr>
        <w:t>ngäbe</w:t>
      </w:r>
      <w:proofErr w:type="spellEnd"/>
      <w:r>
        <w:rPr>
          <w:rFonts w:eastAsia="Times New Roman" w:cstheme="minorHAnsi"/>
          <w:bCs/>
          <w:color w:val="303030"/>
          <w:sz w:val="24"/>
          <w:szCs w:val="24"/>
          <w:lang w:eastAsia="es-CR"/>
        </w:rPr>
        <w:t xml:space="preserve"> cuenta con la mayor población del país y habla el idioma </w:t>
      </w:r>
      <w:proofErr w:type="spellStart"/>
      <w:r>
        <w:rPr>
          <w:rFonts w:eastAsia="Times New Roman" w:cstheme="minorHAnsi"/>
          <w:bCs/>
          <w:color w:val="303030"/>
          <w:sz w:val="24"/>
          <w:szCs w:val="24"/>
          <w:lang w:eastAsia="es-CR"/>
        </w:rPr>
        <w:t>gnäbere</w:t>
      </w:r>
      <w:proofErr w:type="spellEnd"/>
      <w:r w:rsidR="000C5DE9">
        <w:rPr>
          <w:rFonts w:eastAsia="Times New Roman" w:cstheme="minorHAnsi"/>
          <w:bCs/>
          <w:color w:val="303030"/>
          <w:sz w:val="24"/>
          <w:szCs w:val="24"/>
          <w:lang w:eastAsia="es-CR"/>
        </w:rPr>
        <w:t xml:space="preserve">, habitando la comarca que lleva su nombre, establecida en 1997 en las provincias de Bocas del Toro, Chiriquí y Veraguas, con una extensión de 6 968 km2. </w:t>
      </w:r>
      <w:r>
        <w:rPr>
          <w:rFonts w:eastAsia="Times New Roman" w:cstheme="minorHAnsi"/>
          <w:bCs/>
          <w:color w:val="303030"/>
          <w:sz w:val="24"/>
          <w:szCs w:val="24"/>
          <w:lang w:eastAsia="es-CR"/>
        </w:rPr>
        <w:t>Con</w:t>
      </w:r>
      <w:r w:rsidR="000C5DE9">
        <w:rPr>
          <w:rFonts w:eastAsia="Times New Roman" w:cstheme="minorHAnsi"/>
          <w:bCs/>
          <w:color w:val="303030"/>
          <w:sz w:val="24"/>
          <w:szCs w:val="24"/>
          <w:lang w:eastAsia="es-CR"/>
        </w:rPr>
        <w:t xml:space="preserve">viven con los </w:t>
      </w:r>
      <w:proofErr w:type="spellStart"/>
      <w:r w:rsidR="000C5DE9">
        <w:rPr>
          <w:rFonts w:eastAsia="Times New Roman" w:cstheme="minorHAnsi"/>
          <w:bCs/>
          <w:color w:val="303030"/>
          <w:sz w:val="24"/>
          <w:szCs w:val="24"/>
          <w:lang w:eastAsia="es-CR"/>
        </w:rPr>
        <w:t>ngabere</w:t>
      </w:r>
      <w:proofErr w:type="spellEnd"/>
      <w:r w:rsidR="000C5DE9">
        <w:rPr>
          <w:rFonts w:eastAsia="Times New Roman" w:cstheme="minorHAnsi"/>
          <w:bCs/>
          <w:color w:val="303030"/>
          <w:sz w:val="24"/>
          <w:szCs w:val="24"/>
          <w:lang w:eastAsia="es-CR"/>
        </w:rPr>
        <w:t xml:space="preserve">,  el pueblo </w:t>
      </w:r>
      <w:proofErr w:type="spellStart"/>
      <w:r w:rsidR="000C5DE9">
        <w:rPr>
          <w:rFonts w:eastAsia="Times New Roman" w:cstheme="minorHAnsi"/>
          <w:bCs/>
          <w:color w:val="303030"/>
          <w:sz w:val="24"/>
          <w:szCs w:val="24"/>
          <w:lang w:eastAsia="es-CR"/>
        </w:rPr>
        <w:t>buglé</w:t>
      </w:r>
      <w:proofErr w:type="spellEnd"/>
      <w:r w:rsidR="000C5DE9">
        <w:rPr>
          <w:rFonts w:eastAsia="Times New Roman" w:cstheme="minorHAnsi"/>
          <w:bCs/>
          <w:color w:val="303030"/>
          <w:sz w:val="24"/>
          <w:szCs w:val="24"/>
          <w:lang w:eastAsia="es-CR"/>
        </w:rPr>
        <w:t xml:space="preserve">.  </w:t>
      </w:r>
      <w:r>
        <w:rPr>
          <w:rFonts w:eastAsia="Times New Roman" w:cstheme="minorHAnsi"/>
          <w:bCs/>
          <w:color w:val="303030"/>
          <w:sz w:val="24"/>
          <w:szCs w:val="24"/>
          <w:lang w:eastAsia="es-CR"/>
        </w:rPr>
        <w:t xml:space="preserve">En </w:t>
      </w:r>
      <w:r w:rsidR="000C5DE9">
        <w:rPr>
          <w:rFonts w:eastAsia="Times New Roman" w:cstheme="minorHAnsi"/>
          <w:bCs/>
          <w:color w:val="303030"/>
          <w:sz w:val="24"/>
          <w:szCs w:val="24"/>
          <w:lang w:eastAsia="es-CR"/>
        </w:rPr>
        <w:t xml:space="preserve">el año </w:t>
      </w:r>
      <w:r>
        <w:rPr>
          <w:rFonts w:eastAsia="Times New Roman" w:cstheme="minorHAnsi"/>
          <w:bCs/>
          <w:color w:val="303030"/>
          <w:sz w:val="24"/>
          <w:szCs w:val="24"/>
          <w:lang w:eastAsia="es-CR"/>
        </w:rPr>
        <w:t>2010, se calculaba que la p</w:t>
      </w:r>
      <w:r w:rsidR="000C5DE9">
        <w:rPr>
          <w:rFonts w:eastAsia="Times New Roman" w:cstheme="minorHAnsi"/>
          <w:bCs/>
          <w:color w:val="303030"/>
          <w:sz w:val="24"/>
          <w:szCs w:val="24"/>
          <w:lang w:eastAsia="es-CR"/>
        </w:rPr>
        <w:t xml:space="preserve">oblación </w:t>
      </w:r>
      <w:proofErr w:type="spellStart"/>
      <w:r w:rsidR="000C5DE9">
        <w:rPr>
          <w:rFonts w:eastAsia="Times New Roman" w:cstheme="minorHAnsi"/>
          <w:bCs/>
          <w:color w:val="303030"/>
          <w:sz w:val="24"/>
          <w:szCs w:val="24"/>
          <w:lang w:eastAsia="es-CR"/>
        </w:rPr>
        <w:t>gnäbe</w:t>
      </w:r>
      <w:proofErr w:type="spellEnd"/>
      <w:r w:rsidR="000C5DE9">
        <w:rPr>
          <w:rFonts w:eastAsia="Times New Roman" w:cstheme="minorHAnsi"/>
          <w:bCs/>
          <w:color w:val="303030"/>
          <w:sz w:val="24"/>
          <w:szCs w:val="24"/>
          <w:lang w:eastAsia="es-CR"/>
        </w:rPr>
        <w:t xml:space="preserve"> de la comarca era de</w:t>
      </w:r>
      <w:r>
        <w:rPr>
          <w:rFonts w:eastAsia="Times New Roman" w:cstheme="minorHAnsi"/>
          <w:bCs/>
          <w:color w:val="303030"/>
          <w:sz w:val="24"/>
          <w:szCs w:val="24"/>
          <w:lang w:eastAsia="es-CR"/>
        </w:rPr>
        <w:t xml:space="preserve"> 263 505 personas y los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eran 27,271 personas. Cerca del 50% de los-as </w:t>
      </w:r>
      <w:proofErr w:type="spellStart"/>
      <w:r>
        <w:rPr>
          <w:rFonts w:eastAsia="Times New Roman" w:cstheme="minorHAnsi"/>
          <w:bCs/>
          <w:color w:val="303030"/>
          <w:sz w:val="24"/>
          <w:szCs w:val="24"/>
          <w:lang w:eastAsia="es-CR"/>
        </w:rPr>
        <w:t>gnäbe</w:t>
      </w:r>
      <w:proofErr w:type="spellEnd"/>
      <w:r>
        <w:rPr>
          <w:rFonts w:eastAsia="Times New Roman" w:cstheme="minorHAnsi"/>
          <w:bCs/>
          <w:color w:val="303030"/>
          <w:sz w:val="24"/>
          <w:szCs w:val="24"/>
          <w:lang w:eastAsia="es-CR"/>
        </w:rPr>
        <w:t xml:space="preserve"> viven en la misma y el resto realiza trabajos temporales fuera de la comarca.</w:t>
      </w:r>
      <w:r>
        <w:rPr>
          <w:rStyle w:val="Refdenotaalpie"/>
          <w:rFonts w:eastAsia="Times New Roman" w:cstheme="minorHAnsi"/>
          <w:bCs/>
          <w:color w:val="303030"/>
          <w:sz w:val="24"/>
          <w:szCs w:val="24"/>
          <w:lang w:eastAsia="es-CR"/>
        </w:rPr>
        <w:footnoteReference w:id="33"/>
      </w:r>
      <w:r>
        <w:rPr>
          <w:rFonts w:eastAsia="Times New Roman" w:cstheme="minorHAnsi"/>
          <w:bCs/>
          <w:color w:val="303030"/>
          <w:sz w:val="24"/>
          <w:szCs w:val="24"/>
          <w:lang w:eastAsia="es-CR"/>
        </w:rPr>
        <w:t xml:space="preserve">  Los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mantienen su lengua, cultura y formas de organizac</w:t>
      </w:r>
      <w:r w:rsidR="000C5DE9">
        <w:rPr>
          <w:rFonts w:eastAsia="Times New Roman" w:cstheme="minorHAnsi"/>
          <w:bCs/>
          <w:color w:val="303030"/>
          <w:sz w:val="24"/>
          <w:szCs w:val="24"/>
          <w:lang w:eastAsia="es-CR"/>
        </w:rPr>
        <w:t xml:space="preserve">ión propias, denominados también por </w:t>
      </w:r>
      <w:r w:rsidR="000C5DE9">
        <w:rPr>
          <w:rFonts w:eastAsia="Times New Roman" w:cstheme="minorHAnsi"/>
          <w:bCs/>
          <w:color w:val="303030"/>
          <w:sz w:val="24"/>
          <w:szCs w:val="24"/>
          <w:lang w:eastAsia="es-CR"/>
        </w:rPr>
        <w:lastRenderedPageBreak/>
        <w:t xml:space="preserve">algunos estudiosos como el </w:t>
      </w:r>
      <w:r>
        <w:rPr>
          <w:rFonts w:eastAsia="Times New Roman" w:cstheme="minorHAnsi"/>
          <w:bCs/>
          <w:color w:val="303030"/>
          <w:sz w:val="24"/>
          <w:szCs w:val="24"/>
          <w:lang w:eastAsia="es-CR"/>
        </w:rPr>
        <w:t xml:space="preserve">pueblo </w:t>
      </w:r>
      <w:proofErr w:type="spellStart"/>
      <w:r>
        <w:rPr>
          <w:rFonts w:eastAsia="Times New Roman" w:cstheme="minorHAnsi"/>
          <w:bCs/>
          <w:color w:val="303030"/>
          <w:sz w:val="24"/>
          <w:szCs w:val="24"/>
          <w:lang w:eastAsia="es-CR"/>
        </w:rPr>
        <w:t>bokota</w:t>
      </w:r>
      <w:proofErr w:type="spellEnd"/>
      <w:r>
        <w:rPr>
          <w:rFonts w:eastAsia="Times New Roman" w:cstheme="minorHAnsi"/>
          <w:bCs/>
          <w:color w:val="303030"/>
          <w:sz w:val="24"/>
          <w:szCs w:val="24"/>
          <w:lang w:eastAsia="es-CR"/>
        </w:rPr>
        <w:t xml:space="preserve">, </w:t>
      </w:r>
      <w:r w:rsidR="0007206E">
        <w:rPr>
          <w:rFonts w:eastAsia="Times New Roman" w:cstheme="minorHAnsi"/>
          <w:bCs/>
          <w:color w:val="303030"/>
          <w:sz w:val="24"/>
          <w:szCs w:val="24"/>
          <w:lang w:eastAsia="es-CR"/>
        </w:rPr>
        <w:t>al ser c</w:t>
      </w:r>
      <w:r>
        <w:rPr>
          <w:rFonts w:eastAsia="Times New Roman" w:cstheme="minorHAnsi"/>
          <w:bCs/>
          <w:color w:val="303030"/>
          <w:sz w:val="24"/>
          <w:szCs w:val="24"/>
          <w:lang w:eastAsia="es-CR"/>
        </w:rPr>
        <w:t>onsiderados como un mismo grupo étnico por algunos expertos.</w:t>
      </w:r>
      <w:r>
        <w:rPr>
          <w:rStyle w:val="Refdenotaalpie"/>
          <w:rFonts w:eastAsia="Times New Roman" w:cstheme="minorHAnsi"/>
          <w:bCs/>
          <w:color w:val="303030"/>
          <w:sz w:val="24"/>
          <w:szCs w:val="24"/>
          <w:lang w:eastAsia="es-CR"/>
        </w:rPr>
        <w:footnoteReference w:id="34"/>
      </w:r>
      <w:r>
        <w:rPr>
          <w:rFonts w:eastAsia="Times New Roman" w:cstheme="minorHAnsi"/>
          <w:bCs/>
          <w:color w:val="303030"/>
          <w:sz w:val="24"/>
          <w:szCs w:val="24"/>
          <w:lang w:eastAsia="es-CR"/>
        </w:rPr>
        <w:t xml:space="preserve">   </w:t>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Según estudios etnohistóricos, el pueblo </w:t>
      </w:r>
      <w:proofErr w:type="spellStart"/>
      <w:r>
        <w:rPr>
          <w:rFonts w:eastAsia="Times New Roman" w:cstheme="minorHAnsi"/>
          <w:bCs/>
          <w:color w:val="303030"/>
          <w:sz w:val="24"/>
          <w:szCs w:val="24"/>
          <w:lang w:eastAsia="es-CR"/>
        </w:rPr>
        <w:t>Ngäbe</w:t>
      </w:r>
      <w:proofErr w:type="spellEnd"/>
      <w:r>
        <w:rPr>
          <w:rFonts w:eastAsia="Times New Roman" w:cstheme="minorHAnsi"/>
          <w:bCs/>
          <w:color w:val="303030"/>
          <w:sz w:val="24"/>
          <w:szCs w:val="24"/>
          <w:lang w:eastAsia="es-CR"/>
        </w:rPr>
        <w:t>, también</w:t>
      </w:r>
      <w:r w:rsidR="0007206E">
        <w:rPr>
          <w:rFonts w:eastAsia="Times New Roman" w:cstheme="minorHAnsi"/>
          <w:bCs/>
          <w:color w:val="303030"/>
          <w:sz w:val="24"/>
          <w:szCs w:val="24"/>
          <w:lang w:eastAsia="es-CR"/>
        </w:rPr>
        <w:t xml:space="preserve"> se le ha</w:t>
      </w:r>
      <w:r>
        <w:rPr>
          <w:rFonts w:eastAsia="Times New Roman" w:cstheme="minorHAnsi"/>
          <w:bCs/>
          <w:color w:val="303030"/>
          <w:sz w:val="24"/>
          <w:szCs w:val="24"/>
          <w:lang w:eastAsia="es-CR"/>
        </w:rPr>
        <w:t xml:space="preserve"> conocido como </w:t>
      </w:r>
      <w:proofErr w:type="spellStart"/>
      <w:r>
        <w:rPr>
          <w:rFonts w:eastAsia="Times New Roman" w:cstheme="minorHAnsi"/>
          <w:bCs/>
          <w:color w:val="303030"/>
          <w:sz w:val="24"/>
          <w:szCs w:val="24"/>
          <w:lang w:eastAsia="es-CR"/>
        </w:rPr>
        <w:t>Guaymí</w:t>
      </w:r>
      <w:proofErr w:type="spellEnd"/>
      <w:r>
        <w:rPr>
          <w:rFonts w:eastAsia="Times New Roman" w:cstheme="minorHAnsi"/>
          <w:bCs/>
          <w:color w:val="303030"/>
          <w:sz w:val="24"/>
          <w:szCs w:val="24"/>
          <w:lang w:eastAsia="es-CR"/>
        </w:rPr>
        <w:t xml:space="preserve">, </w:t>
      </w:r>
      <w:r w:rsidR="0007206E">
        <w:rPr>
          <w:rFonts w:eastAsia="Times New Roman" w:cstheme="minorHAnsi"/>
          <w:bCs/>
          <w:color w:val="303030"/>
          <w:sz w:val="24"/>
          <w:szCs w:val="24"/>
          <w:lang w:eastAsia="es-CR"/>
        </w:rPr>
        <w:t>p</w:t>
      </w:r>
      <w:r>
        <w:rPr>
          <w:rFonts w:eastAsia="Times New Roman" w:cstheme="minorHAnsi"/>
          <w:bCs/>
          <w:color w:val="303030"/>
          <w:sz w:val="24"/>
          <w:szCs w:val="24"/>
          <w:lang w:eastAsia="es-CR"/>
        </w:rPr>
        <w:t>oblación de habla chibcha, que centró su núcleo de desarrollo agrícola en la llanura sureste de Costa Rica y se extendía hasta las actuales provincias centrales de Panamá.</w:t>
      </w:r>
      <w:r>
        <w:rPr>
          <w:rStyle w:val="Refdenotaalpie"/>
          <w:rFonts w:eastAsia="Times New Roman" w:cstheme="minorHAnsi"/>
          <w:bCs/>
          <w:color w:val="303030"/>
          <w:sz w:val="24"/>
          <w:szCs w:val="24"/>
          <w:lang w:eastAsia="es-CR"/>
        </w:rPr>
        <w:footnoteReference w:id="35"/>
      </w:r>
      <w:r>
        <w:rPr>
          <w:rFonts w:eastAsia="Times New Roman" w:cstheme="minorHAnsi"/>
          <w:bCs/>
          <w:color w:val="303030"/>
          <w:sz w:val="24"/>
          <w:szCs w:val="24"/>
          <w:lang w:eastAsia="es-CR"/>
        </w:rPr>
        <w:t xml:space="preserve">  Con base en investigaciones y datos arqueológicos, etnohistóricos, etnográficos y lingüísticos diversos especialistas consideran que los grupos indígenas que vivieron en la región central y occidental de Panamá antes y después de la invasión española, muestran una continuidad sociocultural con los actuales </w:t>
      </w:r>
      <w:proofErr w:type="spellStart"/>
      <w:r>
        <w:rPr>
          <w:rFonts w:eastAsia="Times New Roman" w:cstheme="minorHAnsi"/>
          <w:bCs/>
          <w:color w:val="303030"/>
          <w:sz w:val="24"/>
          <w:szCs w:val="24"/>
          <w:lang w:eastAsia="es-CR"/>
        </w:rPr>
        <w:t>ngäbe</w:t>
      </w:r>
      <w:proofErr w:type="spellEnd"/>
      <w:r>
        <w:rPr>
          <w:rFonts w:eastAsia="Times New Roman" w:cstheme="minorHAnsi"/>
          <w:bCs/>
          <w:color w:val="303030"/>
          <w:sz w:val="24"/>
          <w:szCs w:val="24"/>
          <w:lang w:eastAsia="es-CR"/>
        </w:rPr>
        <w:t xml:space="preserve"> y, por tanto, se encuentran en el lugar que habitaron sus antepasados y tienen derechos históricos plenos sobre los territorios en que se asientan actualmente.</w:t>
      </w:r>
      <w:r>
        <w:rPr>
          <w:rStyle w:val="Refdenotaalpie"/>
          <w:rFonts w:eastAsia="Times New Roman" w:cstheme="minorHAnsi"/>
          <w:bCs/>
          <w:color w:val="303030"/>
          <w:sz w:val="24"/>
          <w:szCs w:val="24"/>
          <w:lang w:eastAsia="es-CR"/>
        </w:rPr>
        <w:footnoteReference w:id="36"/>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6B7B34" w:rsidRDefault="006B7B34"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El siguiente mapa indica su ubicación:</w:t>
      </w:r>
    </w:p>
    <w:p w:rsidR="006B7B34" w:rsidRDefault="006B7B34" w:rsidP="00751CA8">
      <w:pPr>
        <w:shd w:val="clear" w:color="auto" w:fill="FFFFFF"/>
        <w:spacing w:after="0" w:line="240" w:lineRule="auto"/>
        <w:jc w:val="both"/>
        <w:rPr>
          <w:rFonts w:eastAsia="Times New Roman" w:cstheme="minorHAnsi"/>
          <w:bCs/>
          <w:color w:val="303030"/>
          <w:sz w:val="24"/>
          <w:szCs w:val="24"/>
          <w:lang w:eastAsia="es-CR"/>
        </w:rPr>
      </w:pPr>
    </w:p>
    <w:p w:rsidR="006B7B34" w:rsidRDefault="006B7B34" w:rsidP="00751CA8">
      <w:pPr>
        <w:shd w:val="clear" w:color="auto" w:fill="FFFFFF"/>
        <w:spacing w:after="0" w:line="240" w:lineRule="auto"/>
        <w:jc w:val="both"/>
        <w:rPr>
          <w:rFonts w:eastAsia="Times New Roman" w:cstheme="minorHAnsi"/>
          <w:bCs/>
          <w:color w:val="303030"/>
          <w:sz w:val="24"/>
          <w:szCs w:val="24"/>
          <w:lang w:eastAsia="es-CR"/>
        </w:rPr>
      </w:pPr>
    </w:p>
    <w:p w:rsidR="006B7B34" w:rsidRDefault="006B7B34" w:rsidP="00751CA8">
      <w:pPr>
        <w:shd w:val="clear" w:color="auto" w:fill="FFFFFF"/>
        <w:spacing w:after="0" w:line="240" w:lineRule="auto"/>
        <w:jc w:val="both"/>
        <w:rPr>
          <w:rFonts w:eastAsia="Times New Roman" w:cstheme="minorHAnsi"/>
          <w:bCs/>
          <w:color w:val="303030"/>
          <w:sz w:val="24"/>
          <w:szCs w:val="24"/>
          <w:lang w:eastAsia="es-CR"/>
        </w:rPr>
      </w:pPr>
      <w:r>
        <w:rPr>
          <w:noProof/>
          <w:lang w:eastAsia="es-CR"/>
        </w:rPr>
        <w:drawing>
          <wp:inline distT="0" distB="0" distL="0" distR="0">
            <wp:extent cx="5370195" cy="2695575"/>
            <wp:effectExtent l="19050" t="0" r="1905" b="0"/>
            <wp:docPr id="2" name="Imagen 1" descr="http://cmaps.cmappers.net/rid=1GL75NXKM-16YM24J-10W7/mapa%20de%20las%20comarcas%20indigenas%20de%20pa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aps.cmappers.net/rid=1GL75NXKM-16YM24J-10W7/mapa%20de%20las%20comarcas%20indigenas%20de%20panama.jpg"/>
                    <pic:cNvPicPr>
                      <a:picLocks noChangeAspect="1" noChangeArrowheads="1"/>
                    </pic:cNvPicPr>
                  </pic:nvPicPr>
                  <pic:blipFill>
                    <a:blip r:embed="rId9" cstate="print"/>
                    <a:srcRect/>
                    <a:stretch>
                      <a:fillRect/>
                    </a:stretch>
                  </pic:blipFill>
                  <pic:spPr bwMode="auto">
                    <a:xfrm>
                      <a:off x="0" y="0"/>
                      <a:ext cx="5370195" cy="2695575"/>
                    </a:xfrm>
                    <a:prstGeom prst="rect">
                      <a:avLst/>
                    </a:prstGeom>
                    <a:noFill/>
                    <a:ln w="9525">
                      <a:noFill/>
                      <a:miter lim="800000"/>
                      <a:headEnd/>
                      <a:tailEnd/>
                    </a:ln>
                  </pic:spPr>
                </pic:pic>
              </a:graphicData>
            </a:graphic>
          </wp:inline>
        </w:drawing>
      </w:r>
    </w:p>
    <w:p w:rsidR="006B7B34" w:rsidRDefault="006B7B34" w:rsidP="00751CA8">
      <w:pPr>
        <w:shd w:val="clear" w:color="auto" w:fill="FFFFFF"/>
        <w:spacing w:after="0" w:line="240" w:lineRule="auto"/>
        <w:jc w:val="both"/>
        <w:rPr>
          <w:rFonts w:eastAsia="Times New Roman" w:cstheme="minorHAnsi"/>
          <w:bCs/>
          <w:color w:val="303030"/>
          <w:sz w:val="24"/>
          <w:szCs w:val="24"/>
          <w:lang w:eastAsia="es-CR"/>
        </w:rPr>
      </w:pPr>
    </w:p>
    <w:p w:rsidR="006B7B34" w:rsidRPr="00F43C1E" w:rsidRDefault="006B7B34" w:rsidP="00F43C1E">
      <w:pPr>
        <w:shd w:val="clear" w:color="auto" w:fill="FFFFFF"/>
        <w:spacing w:after="0" w:line="240" w:lineRule="auto"/>
        <w:jc w:val="right"/>
        <w:rPr>
          <w:rFonts w:eastAsia="Times New Roman" w:cstheme="minorHAnsi"/>
          <w:bCs/>
          <w:color w:val="303030"/>
          <w:sz w:val="18"/>
          <w:szCs w:val="18"/>
          <w:lang w:eastAsia="es-CR"/>
        </w:rPr>
      </w:pPr>
      <w:r w:rsidRPr="00F43C1E">
        <w:rPr>
          <w:rFonts w:eastAsia="Times New Roman" w:cstheme="minorHAnsi"/>
          <w:bCs/>
          <w:color w:val="303030"/>
          <w:sz w:val="18"/>
          <w:szCs w:val="18"/>
          <w:lang w:eastAsia="es-CR"/>
        </w:rPr>
        <w:t>https://www.google.com/</w:t>
      </w:r>
      <w:r w:rsidR="00F43C1E" w:rsidRPr="00F43C1E">
        <w:rPr>
          <w:rFonts w:eastAsia="Times New Roman" w:cstheme="minorHAnsi"/>
          <w:bCs/>
          <w:color w:val="303030"/>
          <w:sz w:val="18"/>
          <w:szCs w:val="18"/>
          <w:lang w:eastAsia="es-CR"/>
        </w:rPr>
        <w:t xml:space="preserve"> </w:t>
      </w:r>
    </w:p>
    <w:p w:rsidR="006B7B34" w:rsidRDefault="006B7B34" w:rsidP="00751CA8">
      <w:pPr>
        <w:shd w:val="clear" w:color="auto" w:fill="FFFFFF"/>
        <w:spacing w:after="0" w:line="240" w:lineRule="auto"/>
        <w:jc w:val="both"/>
        <w:rPr>
          <w:rFonts w:eastAsia="Times New Roman" w:cstheme="minorHAnsi"/>
          <w:bCs/>
          <w:color w:val="303030"/>
          <w:sz w:val="24"/>
          <w:szCs w:val="24"/>
          <w:lang w:eastAsia="es-CR"/>
        </w:rPr>
      </w:pPr>
    </w:p>
    <w:p w:rsidR="006B7B34" w:rsidRDefault="006B7B34" w:rsidP="00751CA8">
      <w:pPr>
        <w:shd w:val="clear" w:color="auto" w:fill="FFFFFF"/>
        <w:spacing w:after="0" w:line="240" w:lineRule="auto"/>
        <w:jc w:val="both"/>
        <w:rPr>
          <w:rFonts w:eastAsia="Times New Roman" w:cstheme="minorHAnsi"/>
          <w:bCs/>
          <w:color w:val="303030"/>
          <w:sz w:val="24"/>
          <w:szCs w:val="24"/>
          <w:lang w:eastAsia="es-CR"/>
        </w:rPr>
      </w:pPr>
    </w:p>
    <w:p w:rsidR="006B7B34" w:rsidRDefault="006B7B34"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sidRPr="0007206E">
        <w:rPr>
          <w:rFonts w:eastAsia="Times New Roman" w:cstheme="minorHAnsi"/>
          <w:bCs/>
          <w:color w:val="303030"/>
          <w:sz w:val="24"/>
          <w:szCs w:val="24"/>
          <w:lang w:eastAsia="es-CR"/>
        </w:rPr>
        <w:t xml:space="preserve">El pueblo </w:t>
      </w:r>
      <w:proofErr w:type="spellStart"/>
      <w:r w:rsidRPr="0007206E">
        <w:rPr>
          <w:rFonts w:eastAsia="Times New Roman" w:cstheme="minorHAnsi"/>
          <w:bCs/>
          <w:color w:val="303030"/>
          <w:sz w:val="24"/>
          <w:szCs w:val="24"/>
          <w:lang w:eastAsia="es-CR"/>
        </w:rPr>
        <w:t>gnäbe</w:t>
      </w:r>
      <w:proofErr w:type="spellEnd"/>
      <w:r w:rsidRPr="0007206E">
        <w:rPr>
          <w:rFonts w:eastAsia="Times New Roman" w:cstheme="minorHAnsi"/>
          <w:bCs/>
          <w:color w:val="303030"/>
          <w:sz w:val="24"/>
          <w:szCs w:val="24"/>
          <w:lang w:eastAsia="es-CR"/>
        </w:rPr>
        <w:t xml:space="preserve"> luchó fuertemente contra la invasión española y enfrentó desde la toma de zonas inicialmente </w:t>
      </w:r>
      <w:proofErr w:type="spellStart"/>
      <w:r w:rsidRPr="0007206E">
        <w:rPr>
          <w:rFonts w:eastAsia="Times New Roman" w:cstheme="minorHAnsi"/>
          <w:bCs/>
          <w:color w:val="303030"/>
          <w:sz w:val="24"/>
          <w:szCs w:val="24"/>
          <w:lang w:eastAsia="es-CR"/>
        </w:rPr>
        <w:t>gnäbes</w:t>
      </w:r>
      <w:proofErr w:type="spellEnd"/>
      <w:r w:rsidRPr="0007206E">
        <w:rPr>
          <w:rFonts w:eastAsia="Times New Roman" w:cstheme="minorHAnsi"/>
          <w:bCs/>
          <w:color w:val="303030"/>
          <w:sz w:val="24"/>
          <w:szCs w:val="24"/>
          <w:lang w:eastAsia="es-CR"/>
        </w:rPr>
        <w:t>, como las montañas de Coclé, pasando por la fundación de “pueblos de indios” (</w:t>
      </w:r>
      <w:proofErr w:type="spellStart"/>
      <w:r w:rsidRPr="0007206E">
        <w:rPr>
          <w:rFonts w:eastAsia="Times New Roman" w:cstheme="minorHAnsi"/>
          <w:bCs/>
          <w:color w:val="303030"/>
          <w:sz w:val="24"/>
          <w:szCs w:val="24"/>
          <w:lang w:eastAsia="es-CR"/>
        </w:rPr>
        <w:t>Tolé</w:t>
      </w:r>
      <w:proofErr w:type="spellEnd"/>
      <w:r w:rsidRPr="0007206E">
        <w:rPr>
          <w:rFonts w:eastAsia="Times New Roman" w:cstheme="minorHAnsi"/>
          <w:bCs/>
          <w:color w:val="303030"/>
          <w:sz w:val="24"/>
          <w:szCs w:val="24"/>
          <w:lang w:eastAsia="es-CR"/>
        </w:rPr>
        <w:t xml:space="preserve">, </w:t>
      </w:r>
      <w:proofErr w:type="spellStart"/>
      <w:r w:rsidRPr="0007206E">
        <w:rPr>
          <w:rFonts w:eastAsia="Times New Roman" w:cstheme="minorHAnsi"/>
          <w:bCs/>
          <w:color w:val="303030"/>
          <w:sz w:val="24"/>
          <w:szCs w:val="24"/>
          <w:lang w:eastAsia="es-CR"/>
        </w:rPr>
        <w:t>Cañazas</w:t>
      </w:r>
      <w:proofErr w:type="spellEnd"/>
      <w:r w:rsidRPr="0007206E">
        <w:rPr>
          <w:rFonts w:eastAsia="Times New Roman" w:cstheme="minorHAnsi"/>
          <w:bCs/>
          <w:color w:val="303030"/>
          <w:sz w:val="24"/>
          <w:szCs w:val="24"/>
          <w:lang w:eastAsia="es-CR"/>
        </w:rPr>
        <w:t xml:space="preserve">, San Félix, San Lorenzo, </w:t>
      </w:r>
      <w:proofErr w:type="spellStart"/>
      <w:r w:rsidRPr="0007206E">
        <w:rPr>
          <w:rFonts w:eastAsia="Times New Roman" w:cstheme="minorHAnsi"/>
          <w:bCs/>
          <w:color w:val="303030"/>
          <w:sz w:val="24"/>
          <w:szCs w:val="24"/>
          <w:lang w:eastAsia="es-CR"/>
        </w:rPr>
        <w:t>Guabalá</w:t>
      </w:r>
      <w:proofErr w:type="spellEnd"/>
      <w:r w:rsidRPr="0007206E">
        <w:rPr>
          <w:rFonts w:eastAsia="Times New Roman" w:cstheme="minorHAnsi"/>
          <w:bCs/>
          <w:color w:val="303030"/>
          <w:sz w:val="24"/>
          <w:szCs w:val="24"/>
          <w:lang w:eastAsia="es-CR"/>
        </w:rPr>
        <w:t xml:space="preserve"> y otros); incursiones misioneras en el hoy territorio de Veraguas, Chiriquí, Bocas del Toro, así como invasiones e incursiones de los </w:t>
      </w:r>
      <w:proofErr w:type="spellStart"/>
      <w:r w:rsidRPr="0007206E">
        <w:rPr>
          <w:rFonts w:eastAsia="Times New Roman" w:cstheme="minorHAnsi"/>
          <w:bCs/>
          <w:color w:val="303030"/>
          <w:sz w:val="24"/>
          <w:szCs w:val="24"/>
          <w:lang w:eastAsia="es-CR"/>
        </w:rPr>
        <w:t>miskitos</w:t>
      </w:r>
      <w:proofErr w:type="spellEnd"/>
      <w:r w:rsidRPr="0007206E">
        <w:rPr>
          <w:rFonts w:eastAsia="Times New Roman" w:cstheme="minorHAnsi"/>
          <w:bCs/>
          <w:color w:val="303030"/>
          <w:sz w:val="24"/>
          <w:szCs w:val="24"/>
          <w:lang w:eastAsia="es-CR"/>
        </w:rPr>
        <w:t xml:space="preserve"> impulsadas por piratas ingleses.  Los españoles no lograron </w:t>
      </w:r>
      <w:r w:rsidRPr="0007206E">
        <w:rPr>
          <w:rFonts w:eastAsia="Times New Roman" w:cstheme="minorHAnsi"/>
          <w:bCs/>
          <w:color w:val="303030"/>
          <w:sz w:val="24"/>
          <w:szCs w:val="24"/>
          <w:lang w:eastAsia="es-CR"/>
        </w:rPr>
        <w:lastRenderedPageBreak/>
        <w:t>cristianizarles ni obligarlos a vivir en poblados y son vistos como un pueblo en resistencia.</w:t>
      </w:r>
      <w:r w:rsidRPr="0007206E">
        <w:rPr>
          <w:rStyle w:val="Refdenotaalpie"/>
          <w:rFonts w:eastAsia="Times New Roman" w:cstheme="minorHAnsi"/>
          <w:bCs/>
          <w:color w:val="303030"/>
          <w:sz w:val="24"/>
          <w:szCs w:val="24"/>
          <w:lang w:eastAsia="es-CR"/>
        </w:rPr>
        <w:footnoteReference w:id="37"/>
      </w:r>
      <w:r>
        <w:rPr>
          <w:rFonts w:eastAsia="Times New Roman" w:cstheme="minorHAnsi"/>
          <w:bCs/>
          <w:color w:val="303030"/>
          <w:sz w:val="24"/>
          <w:szCs w:val="24"/>
          <w:lang w:eastAsia="es-CR"/>
        </w:rPr>
        <w:t xml:space="preserve"> </w:t>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Pr="00F43C1E" w:rsidRDefault="00751CA8" w:rsidP="00751CA8">
      <w:pPr>
        <w:shd w:val="clear" w:color="auto" w:fill="FFFFFF"/>
        <w:spacing w:after="0" w:line="240" w:lineRule="auto"/>
        <w:jc w:val="both"/>
        <w:rPr>
          <w:rFonts w:eastAsia="Times New Roman" w:cstheme="minorHAnsi"/>
          <w:bCs/>
          <w:color w:val="303030"/>
          <w:sz w:val="24"/>
          <w:szCs w:val="24"/>
          <w:lang w:eastAsia="es-CR"/>
        </w:rPr>
      </w:pPr>
      <w:r w:rsidRPr="00F43C1E">
        <w:rPr>
          <w:rFonts w:eastAsia="Times New Roman" w:cstheme="minorHAnsi"/>
          <w:bCs/>
          <w:color w:val="303030"/>
          <w:sz w:val="24"/>
          <w:szCs w:val="24"/>
          <w:lang w:eastAsia="es-CR"/>
        </w:rPr>
        <w:t xml:space="preserve">La organización territorial de los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es de tipo familiar, pero tienden a  encontrarse disgregados y alejados debido a la ubicación geográfica de las sierras y las exiguas tierras con que cuentan, razón por la cual les es más difícil acceder a servicios básicos como electricidad, agua potable, educación formal, vías de comunicación y otras prestaciones públicas.</w:t>
      </w:r>
      <w:r w:rsidRPr="00F43C1E">
        <w:rPr>
          <w:rStyle w:val="Refdenotaalpie"/>
          <w:rFonts w:eastAsia="Times New Roman" w:cstheme="minorHAnsi"/>
          <w:bCs/>
          <w:color w:val="303030"/>
          <w:sz w:val="24"/>
          <w:szCs w:val="24"/>
          <w:lang w:eastAsia="es-CR"/>
        </w:rPr>
        <w:footnoteReference w:id="38"/>
      </w:r>
      <w:r w:rsidRPr="00F43C1E">
        <w:rPr>
          <w:rFonts w:eastAsia="Times New Roman" w:cstheme="minorHAnsi"/>
          <w:bCs/>
          <w:color w:val="303030"/>
          <w:sz w:val="24"/>
          <w:szCs w:val="24"/>
          <w:lang w:eastAsia="es-CR"/>
        </w:rPr>
        <w:t xml:space="preserve">  Su economía se basa en un sistema de subsistencia, teniendo como principal dieta los granos como el arroz, frijoles, maíz; yuca, banano y el </w:t>
      </w:r>
      <w:proofErr w:type="spellStart"/>
      <w:r w:rsidRPr="00F43C1E">
        <w:rPr>
          <w:rFonts w:eastAsia="Times New Roman" w:cstheme="minorHAnsi"/>
          <w:bCs/>
          <w:color w:val="303030"/>
          <w:sz w:val="24"/>
          <w:szCs w:val="24"/>
          <w:lang w:eastAsia="es-CR"/>
        </w:rPr>
        <w:t>ñampí</w:t>
      </w:r>
      <w:proofErr w:type="spellEnd"/>
      <w:r w:rsidRPr="00F43C1E">
        <w:rPr>
          <w:rFonts w:eastAsia="Times New Roman" w:cstheme="minorHAnsi"/>
          <w:bCs/>
          <w:color w:val="303030"/>
          <w:sz w:val="24"/>
          <w:szCs w:val="24"/>
          <w:lang w:eastAsia="es-CR"/>
        </w:rPr>
        <w:t>. Además del cultivo de la tierra se dedican a la cría de animales y extracción de madera para consumo familiar.</w:t>
      </w:r>
      <w:r w:rsidRPr="00F43C1E">
        <w:rPr>
          <w:rStyle w:val="Refdenotaalpie"/>
          <w:rFonts w:eastAsia="Times New Roman" w:cstheme="minorHAnsi"/>
          <w:bCs/>
          <w:color w:val="303030"/>
          <w:sz w:val="24"/>
          <w:szCs w:val="24"/>
          <w:lang w:eastAsia="es-CR"/>
        </w:rPr>
        <w:footnoteReference w:id="39"/>
      </w:r>
      <w:r w:rsidRPr="00F43C1E">
        <w:rPr>
          <w:rFonts w:eastAsia="Times New Roman" w:cstheme="minorHAnsi"/>
          <w:bCs/>
          <w:color w:val="303030"/>
          <w:sz w:val="24"/>
          <w:szCs w:val="24"/>
          <w:lang w:eastAsia="es-CR"/>
        </w:rPr>
        <w:t xml:space="preserve">  En el pueblo </w:t>
      </w:r>
      <w:proofErr w:type="spellStart"/>
      <w:r w:rsidRPr="00F43C1E">
        <w:rPr>
          <w:rFonts w:eastAsia="Times New Roman" w:cstheme="minorHAnsi"/>
          <w:bCs/>
          <w:color w:val="303030"/>
          <w:sz w:val="24"/>
          <w:szCs w:val="24"/>
          <w:lang w:eastAsia="es-CR"/>
        </w:rPr>
        <w:t>Ngäbe</w:t>
      </w:r>
      <w:proofErr w:type="spellEnd"/>
      <w:r w:rsidRPr="00F43C1E">
        <w:rPr>
          <w:rFonts w:eastAsia="Times New Roman" w:cstheme="minorHAnsi"/>
          <w:bCs/>
          <w:color w:val="303030"/>
          <w:sz w:val="24"/>
          <w:szCs w:val="24"/>
          <w:lang w:eastAsia="es-CR"/>
        </w:rPr>
        <w:t xml:space="preserve">, los núcleos familiares y de parentesco se convierten en unidades productivas, participantes en labores agrícolas, comerciales o artesanales e incluso con parientes lejanos o ficticios quienes habitan en los caseríos, forman la familia extensiva que se apoya para proteger la producción para el autoconsumo, que al ser insuficiente para su subsistencia les aboca a completar el ingreso por otros medios. </w:t>
      </w:r>
      <w:r w:rsidRPr="00F43C1E">
        <w:rPr>
          <w:rStyle w:val="Refdenotaalpie"/>
          <w:rFonts w:eastAsia="Times New Roman" w:cstheme="minorHAnsi"/>
          <w:bCs/>
          <w:color w:val="303030"/>
          <w:sz w:val="24"/>
          <w:szCs w:val="24"/>
          <w:lang w:eastAsia="es-CR"/>
        </w:rPr>
        <w:footnoteReference w:id="40"/>
      </w:r>
      <w:r w:rsidRPr="00F43C1E">
        <w:rPr>
          <w:rFonts w:eastAsia="Times New Roman" w:cstheme="minorHAnsi"/>
          <w:bCs/>
          <w:color w:val="303030"/>
          <w:sz w:val="24"/>
          <w:szCs w:val="24"/>
          <w:lang w:eastAsia="es-CR"/>
        </w:rPr>
        <w:t xml:space="preserve"> </w:t>
      </w:r>
    </w:p>
    <w:p w:rsidR="00751CA8" w:rsidRPr="00F43C1E"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Pr="00F43C1E" w:rsidRDefault="00751CA8" w:rsidP="00751CA8">
      <w:pPr>
        <w:shd w:val="clear" w:color="auto" w:fill="FFFFFF"/>
        <w:spacing w:after="0" w:line="240" w:lineRule="auto"/>
        <w:jc w:val="both"/>
        <w:rPr>
          <w:rFonts w:eastAsia="Times New Roman" w:cstheme="minorHAnsi"/>
          <w:bCs/>
          <w:color w:val="303030"/>
          <w:sz w:val="24"/>
          <w:szCs w:val="24"/>
          <w:lang w:eastAsia="es-CR"/>
        </w:rPr>
      </w:pPr>
      <w:r w:rsidRPr="00707E5F">
        <w:rPr>
          <w:rFonts w:eastAsia="Times New Roman" w:cstheme="minorHAnsi"/>
          <w:bCs/>
          <w:color w:val="303030"/>
          <w:sz w:val="24"/>
          <w:szCs w:val="24"/>
          <w:lang w:eastAsia="es-CR"/>
        </w:rPr>
        <w:t xml:space="preserve">En cuanto al desarrollo económico y social, si bien </w:t>
      </w:r>
      <w:r w:rsidR="00F81AC8" w:rsidRPr="00707E5F">
        <w:rPr>
          <w:rFonts w:eastAsia="Times New Roman" w:cstheme="minorHAnsi"/>
          <w:bCs/>
          <w:color w:val="303030"/>
          <w:sz w:val="24"/>
          <w:szCs w:val="24"/>
          <w:lang w:eastAsia="es-CR"/>
        </w:rPr>
        <w:t xml:space="preserve">el antiguo Relator Especial </w:t>
      </w:r>
      <w:r w:rsidRPr="00707E5F">
        <w:rPr>
          <w:rFonts w:eastAsia="Times New Roman" w:cstheme="minorHAnsi"/>
          <w:bCs/>
          <w:color w:val="303030"/>
          <w:sz w:val="24"/>
          <w:szCs w:val="24"/>
          <w:lang w:eastAsia="es-CR"/>
        </w:rPr>
        <w:t xml:space="preserve">reconoce </w:t>
      </w:r>
      <w:r w:rsidR="00F81AC8" w:rsidRPr="00707E5F">
        <w:rPr>
          <w:rFonts w:eastAsia="Times New Roman" w:cstheme="minorHAnsi"/>
          <w:bCs/>
          <w:color w:val="303030"/>
          <w:sz w:val="24"/>
          <w:szCs w:val="24"/>
          <w:lang w:eastAsia="es-CR"/>
        </w:rPr>
        <w:t xml:space="preserve">en su informe </w:t>
      </w:r>
      <w:r w:rsidRPr="00707E5F">
        <w:rPr>
          <w:rFonts w:eastAsia="Times New Roman" w:cstheme="minorHAnsi"/>
          <w:bCs/>
          <w:color w:val="303030"/>
          <w:sz w:val="24"/>
          <w:szCs w:val="24"/>
          <w:lang w:eastAsia="es-CR"/>
        </w:rPr>
        <w:t xml:space="preserve">una mejora en las condiciones de vida medida a través de varios indicadores, </w:t>
      </w:r>
      <w:r w:rsidR="00F81AC8" w:rsidRPr="00707E5F">
        <w:rPr>
          <w:rFonts w:eastAsia="Times New Roman" w:cstheme="minorHAnsi"/>
          <w:bCs/>
          <w:color w:val="303030"/>
          <w:sz w:val="24"/>
          <w:szCs w:val="24"/>
          <w:lang w:eastAsia="es-CR"/>
        </w:rPr>
        <w:t>también señala</w:t>
      </w:r>
      <w:r w:rsidR="00F81AC8">
        <w:rPr>
          <w:rFonts w:eastAsia="Times New Roman" w:cstheme="minorHAnsi"/>
          <w:bCs/>
          <w:color w:val="303030"/>
          <w:sz w:val="24"/>
          <w:szCs w:val="24"/>
          <w:lang w:eastAsia="es-CR"/>
        </w:rPr>
        <w:t xml:space="preserve"> </w:t>
      </w:r>
      <w:r w:rsidRPr="00F43C1E">
        <w:rPr>
          <w:rFonts w:eastAsia="Times New Roman" w:cstheme="minorHAnsi"/>
          <w:bCs/>
          <w:color w:val="303030"/>
          <w:sz w:val="24"/>
          <w:szCs w:val="24"/>
          <w:lang w:eastAsia="es-CR"/>
        </w:rPr>
        <w:t xml:space="preserve">que los pueblos indígenas continúan viviendo en peores condiciones con respecto a niveles de pobreza, acceso a servicios básicos, educación y salud.  Por ejemplo, a nivel nacional un 93.3% de las viviendas tiene agua apta para el consumo humano, mientras que en nivel en la comarca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w:t>
      </w:r>
      <w:proofErr w:type="spellStart"/>
      <w:r w:rsidRPr="00F43C1E">
        <w:rPr>
          <w:rFonts w:eastAsia="Times New Roman" w:cstheme="minorHAnsi"/>
          <w:bCs/>
          <w:color w:val="303030"/>
          <w:sz w:val="24"/>
          <w:szCs w:val="24"/>
          <w:lang w:eastAsia="es-CR"/>
        </w:rPr>
        <w:t>Buglé</w:t>
      </w:r>
      <w:proofErr w:type="spellEnd"/>
      <w:r w:rsidRPr="00F43C1E">
        <w:rPr>
          <w:rFonts w:eastAsia="Times New Roman" w:cstheme="minorHAnsi"/>
          <w:bCs/>
          <w:color w:val="303030"/>
          <w:sz w:val="24"/>
          <w:szCs w:val="24"/>
          <w:lang w:eastAsia="es-CR"/>
        </w:rPr>
        <w:t xml:space="preserve"> es de 28% y si a nivel nacional solo el 5.5% de viviendas no cuenta con acceso a servicios sanitarios, en el caso de los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w:t>
      </w:r>
      <w:proofErr w:type="spellStart"/>
      <w:r w:rsidRPr="00F43C1E">
        <w:rPr>
          <w:rFonts w:eastAsia="Times New Roman" w:cstheme="minorHAnsi"/>
          <w:bCs/>
          <w:color w:val="303030"/>
          <w:sz w:val="24"/>
          <w:szCs w:val="24"/>
          <w:lang w:eastAsia="es-CR"/>
        </w:rPr>
        <w:t>Buglé</w:t>
      </w:r>
      <w:proofErr w:type="spellEnd"/>
      <w:r w:rsidRPr="00F43C1E">
        <w:rPr>
          <w:rFonts w:eastAsia="Times New Roman" w:cstheme="minorHAnsi"/>
          <w:bCs/>
          <w:color w:val="303030"/>
          <w:sz w:val="24"/>
          <w:szCs w:val="24"/>
          <w:lang w:eastAsia="es-CR"/>
        </w:rPr>
        <w:t xml:space="preserve"> se trata del 59%.</w:t>
      </w:r>
      <w:r w:rsidRPr="00F43C1E">
        <w:rPr>
          <w:rStyle w:val="Refdenotaalpie"/>
          <w:rFonts w:eastAsia="Times New Roman" w:cstheme="minorHAnsi"/>
          <w:bCs/>
          <w:color w:val="303030"/>
          <w:sz w:val="24"/>
          <w:szCs w:val="24"/>
          <w:lang w:eastAsia="es-CR"/>
        </w:rPr>
        <w:footnoteReference w:id="41"/>
      </w:r>
      <w:r w:rsidR="00F81AC8">
        <w:rPr>
          <w:rFonts w:eastAsia="Times New Roman" w:cstheme="minorHAnsi"/>
          <w:bCs/>
          <w:color w:val="303030"/>
          <w:sz w:val="24"/>
          <w:szCs w:val="24"/>
          <w:lang w:eastAsia="es-CR"/>
        </w:rPr>
        <w:t xml:space="preserve">  Respecto</w:t>
      </w:r>
      <w:r w:rsidRPr="00F43C1E">
        <w:rPr>
          <w:rFonts w:eastAsia="Times New Roman" w:cstheme="minorHAnsi"/>
          <w:bCs/>
          <w:color w:val="303030"/>
          <w:sz w:val="24"/>
          <w:szCs w:val="24"/>
          <w:lang w:eastAsia="es-CR"/>
        </w:rPr>
        <w:t xml:space="preserve"> a ingresos en toda la comarca, en un censo realizado por la Coordinadora de Pastoral Indígena (CONAPI), de cada cien indígenas 95 eran pobres y 86 extremadamente pobres.</w:t>
      </w:r>
      <w:r w:rsidRPr="00F43C1E">
        <w:rPr>
          <w:rStyle w:val="Refdenotaalpie"/>
          <w:rFonts w:eastAsia="Times New Roman" w:cstheme="minorHAnsi"/>
          <w:bCs/>
          <w:color w:val="303030"/>
          <w:sz w:val="24"/>
          <w:szCs w:val="24"/>
          <w:lang w:eastAsia="es-CR"/>
        </w:rPr>
        <w:footnoteReference w:id="42"/>
      </w:r>
    </w:p>
    <w:p w:rsidR="00751CA8" w:rsidRPr="00F43C1E"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Pr="00F43C1E" w:rsidRDefault="00751CA8" w:rsidP="00751CA8">
      <w:pPr>
        <w:shd w:val="clear" w:color="auto" w:fill="FFFFFF"/>
        <w:spacing w:after="0" w:line="240" w:lineRule="auto"/>
        <w:jc w:val="both"/>
        <w:rPr>
          <w:rFonts w:eastAsia="Times New Roman" w:cstheme="minorHAnsi"/>
          <w:bCs/>
          <w:color w:val="303030"/>
          <w:sz w:val="24"/>
          <w:szCs w:val="24"/>
          <w:lang w:eastAsia="es-CR"/>
        </w:rPr>
      </w:pPr>
      <w:r w:rsidRPr="00F43C1E">
        <w:rPr>
          <w:rFonts w:eastAsia="Times New Roman" w:cstheme="minorHAnsi"/>
          <w:bCs/>
          <w:color w:val="303030"/>
          <w:sz w:val="24"/>
          <w:szCs w:val="24"/>
          <w:lang w:eastAsia="es-CR"/>
        </w:rPr>
        <w:t xml:space="preserve">En materia de educación, el promedio nacional de escolaridad es de 8.39 años cumplidos, mientras que para los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w:t>
      </w:r>
      <w:proofErr w:type="spellStart"/>
      <w:r w:rsidRPr="00F43C1E">
        <w:rPr>
          <w:rFonts w:eastAsia="Times New Roman" w:cstheme="minorHAnsi"/>
          <w:bCs/>
          <w:color w:val="303030"/>
          <w:sz w:val="24"/>
          <w:szCs w:val="24"/>
          <w:lang w:eastAsia="es-CR"/>
        </w:rPr>
        <w:t>Buglé</w:t>
      </w:r>
      <w:proofErr w:type="spellEnd"/>
      <w:r w:rsidRPr="00F43C1E">
        <w:rPr>
          <w:rFonts w:eastAsia="Times New Roman" w:cstheme="minorHAnsi"/>
          <w:bCs/>
          <w:color w:val="303030"/>
          <w:sz w:val="24"/>
          <w:szCs w:val="24"/>
          <w:lang w:eastAsia="es-CR"/>
        </w:rPr>
        <w:t xml:space="preserve"> es de 3.54 años, además de existe carencia de escuelas, especialmente secundarias en las comarcas y otras comunidades rurales donde habitan pueblos indígenas y los programas de educación intercultural bilingüe son limitados por falta de fondos gubernamentales.</w:t>
      </w:r>
      <w:r w:rsidRPr="00F43C1E">
        <w:rPr>
          <w:rStyle w:val="Refdenotaalpie"/>
          <w:rFonts w:eastAsia="Times New Roman" w:cstheme="minorHAnsi"/>
          <w:bCs/>
          <w:color w:val="303030"/>
          <w:sz w:val="24"/>
          <w:szCs w:val="24"/>
          <w:lang w:eastAsia="es-CR"/>
        </w:rPr>
        <w:footnoteReference w:id="43"/>
      </w:r>
      <w:r w:rsidRPr="00F43C1E">
        <w:rPr>
          <w:rFonts w:eastAsia="Times New Roman" w:cstheme="minorHAnsi"/>
          <w:bCs/>
          <w:color w:val="303030"/>
          <w:sz w:val="24"/>
          <w:szCs w:val="24"/>
          <w:lang w:eastAsia="es-CR"/>
        </w:rPr>
        <w:t xml:space="preserve">  Asimismo, el promedio de años de estudio de la población rural </w:t>
      </w:r>
      <w:proofErr w:type="spellStart"/>
      <w:r w:rsidRPr="00F43C1E">
        <w:rPr>
          <w:rFonts w:eastAsia="Times New Roman" w:cstheme="minorHAnsi"/>
          <w:bCs/>
          <w:color w:val="303030"/>
          <w:sz w:val="24"/>
          <w:szCs w:val="24"/>
          <w:lang w:eastAsia="es-CR"/>
        </w:rPr>
        <w:t>gnäbe</w:t>
      </w:r>
      <w:proofErr w:type="spellEnd"/>
      <w:r w:rsidRPr="00F43C1E">
        <w:rPr>
          <w:rFonts w:eastAsia="Times New Roman" w:cstheme="minorHAnsi"/>
          <w:bCs/>
          <w:color w:val="303030"/>
          <w:sz w:val="24"/>
          <w:szCs w:val="24"/>
          <w:lang w:eastAsia="es-CR"/>
        </w:rPr>
        <w:t xml:space="preserve"> mayor de veinte años es de 2.7 grados, presentándose una fuerte relación entre analfabetismo e insatisfacción de necesidades básicas.  Bocas del Toro, Chiriquí Grande, es el distrito con la tasa más alta de analfabetismo del país, con un 50% y es la región con el nivel más bajo de servicios básicos.</w:t>
      </w:r>
      <w:r w:rsidRPr="00F43C1E">
        <w:rPr>
          <w:rStyle w:val="Refdenotaalpie"/>
          <w:rFonts w:eastAsia="Times New Roman" w:cstheme="minorHAnsi"/>
          <w:bCs/>
          <w:color w:val="303030"/>
          <w:sz w:val="24"/>
          <w:szCs w:val="24"/>
          <w:lang w:eastAsia="es-CR"/>
        </w:rPr>
        <w:footnoteReference w:id="44"/>
      </w:r>
    </w:p>
    <w:p w:rsidR="00751CA8" w:rsidRPr="00F43C1E"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Pr="00F43C1E" w:rsidRDefault="00751CA8" w:rsidP="00751CA8">
      <w:pPr>
        <w:shd w:val="clear" w:color="auto" w:fill="FFFFFF"/>
        <w:spacing w:after="0" w:line="240" w:lineRule="auto"/>
        <w:jc w:val="both"/>
        <w:rPr>
          <w:rFonts w:eastAsia="Times New Roman" w:cstheme="minorHAnsi"/>
          <w:bCs/>
          <w:color w:val="303030"/>
          <w:sz w:val="24"/>
          <w:szCs w:val="24"/>
          <w:lang w:eastAsia="es-CR"/>
        </w:rPr>
      </w:pPr>
      <w:r w:rsidRPr="00F43C1E">
        <w:rPr>
          <w:rFonts w:eastAsia="Times New Roman" w:cstheme="minorHAnsi"/>
          <w:bCs/>
          <w:color w:val="303030"/>
          <w:sz w:val="24"/>
          <w:szCs w:val="24"/>
          <w:lang w:eastAsia="es-CR"/>
        </w:rPr>
        <w:t xml:space="preserve">En lo que se refiere a la salud, el promedio de la tasa de mortalidad infantil a nivel nacional es del 13, 2 mientras para la comarca </w:t>
      </w:r>
      <w:proofErr w:type="spellStart"/>
      <w:r w:rsidRPr="00F43C1E">
        <w:rPr>
          <w:rFonts w:eastAsia="Times New Roman" w:cstheme="minorHAnsi"/>
          <w:bCs/>
          <w:color w:val="303030"/>
          <w:sz w:val="24"/>
          <w:szCs w:val="24"/>
          <w:lang w:eastAsia="es-CR"/>
        </w:rPr>
        <w:t>Ngäbe</w:t>
      </w:r>
      <w:proofErr w:type="spellEnd"/>
      <w:r w:rsidRPr="00F43C1E">
        <w:rPr>
          <w:rFonts w:eastAsia="Times New Roman" w:cstheme="minorHAnsi"/>
          <w:bCs/>
          <w:color w:val="303030"/>
          <w:sz w:val="24"/>
          <w:szCs w:val="24"/>
          <w:lang w:eastAsia="es-CR"/>
        </w:rPr>
        <w:t xml:space="preserve"> </w:t>
      </w:r>
      <w:proofErr w:type="spellStart"/>
      <w:r w:rsidRPr="00F43C1E">
        <w:rPr>
          <w:rFonts w:eastAsia="Times New Roman" w:cstheme="minorHAnsi"/>
          <w:bCs/>
          <w:color w:val="303030"/>
          <w:sz w:val="24"/>
          <w:szCs w:val="24"/>
          <w:lang w:eastAsia="es-CR"/>
        </w:rPr>
        <w:t>Buglé</w:t>
      </w:r>
      <w:proofErr w:type="spellEnd"/>
      <w:r w:rsidRPr="00F43C1E">
        <w:rPr>
          <w:rFonts w:eastAsia="Times New Roman" w:cstheme="minorHAnsi"/>
          <w:bCs/>
          <w:color w:val="303030"/>
          <w:sz w:val="24"/>
          <w:szCs w:val="24"/>
          <w:lang w:eastAsia="es-CR"/>
        </w:rPr>
        <w:t xml:space="preserve"> es de 20.8 muertes por mil nacidos vivos, a lo que se agrega una tasa de mortalidad materna de 300.5 por cada 100 000 nacidos vivos y una tasa de incidencia de tuberculosis de 85.3 por cada 100 000 habitantes en comparación al promedio nacional de 41.2%.  El 21,5% de la población infantil menor de cinco años padece desnutrición, cifra que triplica el porcentaje nacional.  La desnutrición y mortalidad infantil están vinculadas con los embarazos de madres adolescentes desnutridas, que cuentan con escaso control prenatal y posnatal y viven en condiciones ambientales adversas, a lo que se añade que menos del 50% de los partos se realiza con atención médica.</w:t>
      </w:r>
      <w:r w:rsidRPr="00F43C1E">
        <w:rPr>
          <w:rStyle w:val="Refdenotaalpie"/>
          <w:rFonts w:eastAsia="Times New Roman" w:cstheme="minorHAnsi"/>
          <w:bCs/>
          <w:color w:val="303030"/>
          <w:sz w:val="24"/>
          <w:szCs w:val="24"/>
          <w:lang w:eastAsia="es-CR"/>
        </w:rPr>
        <w:footnoteReference w:id="45"/>
      </w:r>
      <w:r w:rsidRPr="00F43C1E">
        <w:rPr>
          <w:rFonts w:eastAsia="Times New Roman" w:cstheme="minorHAnsi"/>
          <w:bCs/>
          <w:color w:val="303030"/>
          <w:sz w:val="24"/>
          <w:szCs w:val="24"/>
          <w:lang w:eastAsia="es-CR"/>
        </w:rPr>
        <w:t xml:space="preserve">  </w:t>
      </w:r>
    </w:p>
    <w:p w:rsidR="00751CA8" w:rsidRPr="00F43C1E"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sidRPr="00F43C1E">
        <w:rPr>
          <w:rFonts w:eastAsia="Times New Roman" w:cstheme="minorHAnsi"/>
          <w:bCs/>
          <w:color w:val="303030"/>
          <w:sz w:val="24"/>
          <w:szCs w:val="24"/>
          <w:lang w:eastAsia="es-CR"/>
        </w:rPr>
        <w:t>Es de destacar el hecho de que el 100% de la niñez indígena de entre cinco y nueve años participa en las labores agrícolas; de estos-as, un 94.3% tienen edades entr</w:t>
      </w:r>
      <w:r w:rsidR="00F43C1E">
        <w:rPr>
          <w:rFonts w:eastAsia="Times New Roman" w:cstheme="minorHAnsi"/>
          <w:bCs/>
          <w:color w:val="303030"/>
          <w:sz w:val="24"/>
          <w:szCs w:val="24"/>
          <w:lang w:eastAsia="es-CR"/>
        </w:rPr>
        <w:t>e diez a catorce años y el 68.8%</w:t>
      </w:r>
      <w:r w:rsidRPr="00F43C1E">
        <w:rPr>
          <w:rFonts w:eastAsia="Times New Roman" w:cstheme="minorHAnsi"/>
          <w:bCs/>
          <w:color w:val="303030"/>
          <w:sz w:val="24"/>
          <w:szCs w:val="24"/>
          <w:lang w:eastAsia="es-CR"/>
        </w:rPr>
        <w:t xml:space="preserve"> es el grupo de catorce a diecisiete años.  En 2012, una encuesta sobre trabajo infantil mostraba que 22 226 niños-as de la Comarca eran trabajadores agrícolas.</w:t>
      </w:r>
      <w:r w:rsidRPr="00F43C1E">
        <w:rPr>
          <w:rStyle w:val="Refdenotaalpie"/>
          <w:rFonts w:eastAsia="Times New Roman" w:cstheme="minorHAnsi"/>
          <w:bCs/>
          <w:color w:val="303030"/>
          <w:sz w:val="24"/>
          <w:szCs w:val="24"/>
          <w:lang w:eastAsia="es-CR"/>
        </w:rPr>
        <w:footnoteReference w:id="46"/>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125999" w:rsidRDefault="00125999" w:rsidP="00751CA8">
      <w:pPr>
        <w:shd w:val="clear" w:color="auto" w:fill="FFFFFF"/>
        <w:spacing w:after="0" w:line="240" w:lineRule="auto"/>
        <w:jc w:val="both"/>
        <w:rPr>
          <w:rFonts w:eastAsia="Times New Roman" w:cstheme="minorHAnsi"/>
          <w:b/>
          <w:bCs/>
          <w:color w:val="303030"/>
          <w:sz w:val="24"/>
          <w:szCs w:val="24"/>
          <w:lang w:eastAsia="es-CR"/>
        </w:rPr>
      </w:pPr>
    </w:p>
    <w:p w:rsidR="00125999" w:rsidRDefault="00125999" w:rsidP="00751CA8">
      <w:pPr>
        <w:shd w:val="clear" w:color="auto" w:fill="FFFFFF"/>
        <w:spacing w:after="0" w:line="240" w:lineRule="auto"/>
        <w:jc w:val="both"/>
        <w:rPr>
          <w:rFonts w:eastAsia="Times New Roman" w:cstheme="minorHAnsi"/>
          <w:b/>
          <w:bCs/>
          <w:color w:val="303030"/>
          <w:sz w:val="24"/>
          <w:szCs w:val="24"/>
          <w:lang w:eastAsia="es-CR"/>
        </w:rPr>
      </w:pPr>
    </w:p>
    <w:p w:rsidR="00751CA8" w:rsidRPr="002F2ACF" w:rsidRDefault="00751CA8" w:rsidP="002F2ACF">
      <w:pPr>
        <w:pStyle w:val="Prrafodelista"/>
        <w:numPr>
          <w:ilvl w:val="0"/>
          <w:numId w:val="3"/>
        </w:numPr>
        <w:shd w:val="clear" w:color="auto" w:fill="FFFFFF"/>
        <w:spacing w:after="0" w:line="240" w:lineRule="auto"/>
        <w:jc w:val="both"/>
        <w:rPr>
          <w:rFonts w:eastAsia="Times New Roman" w:cstheme="minorHAnsi"/>
          <w:b/>
          <w:bCs/>
          <w:color w:val="303030"/>
          <w:sz w:val="32"/>
          <w:szCs w:val="24"/>
          <w:lang w:eastAsia="es-CR"/>
        </w:rPr>
      </w:pPr>
      <w:r w:rsidRPr="002F2ACF">
        <w:rPr>
          <w:rFonts w:eastAsia="Times New Roman" w:cstheme="minorHAnsi"/>
          <w:b/>
          <w:bCs/>
          <w:color w:val="303030"/>
          <w:sz w:val="32"/>
          <w:szCs w:val="24"/>
          <w:lang w:eastAsia="es-CR"/>
        </w:rPr>
        <w:t xml:space="preserve">La migración </w:t>
      </w:r>
      <w:proofErr w:type="spellStart"/>
      <w:r w:rsidRPr="002F2ACF">
        <w:rPr>
          <w:rFonts w:eastAsia="Times New Roman" w:cstheme="minorHAnsi"/>
          <w:b/>
          <w:bCs/>
          <w:color w:val="303030"/>
          <w:sz w:val="32"/>
          <w:szCs w:val="24"/>
          <w:lang w:eastAsia="es-CR"/>
        </w:rPr>
        <w:t>Gnäbe</w:t>
      </w:r>
      <w:proofErr w:type="spellEnd"/>
      <w:r w:rsidRPr="002F2ACF">
        <w:rPr>
          <w:rFonts w:eastAsia="Times New Roman" w:cstheme="minorHAnsi"/>
          <w:b/>
          <w:bCs/>
          <w:color w:val="303030"/>
          <w:sz w:val="32"/>
          <w:szCs w:val="24"/>
          <w:lang w:eastAsia="es-CR"/>
        </w:rPr>
        <w:t xml:space="preserve"> </w:t>
      </w:r>
      <w:proofErr w:type="spellStart"/>
      <w:r w:rsidRPr="002F2ACF">
        <w:rPr>
          <w:rFonts w:eastAsia="Times New Roman" w:cstheme="minorHAnsi"/>
          <w:b/>
          <w:bCs/>
          <w:color w:val="303030"/>
          <w:sz w:val="32"/>
          <w:szCs w:val="24"/>
          <w:lang w:eastAsia="es-CR"/>
        </w:rPr>
        <w:t>Buglé</w:t>
      </w:r>
      <w:proofErr w:type="spellEnd"/>
    </w:p>
    <w:p w:rsidR="00751CA8" w:rsidRDefault="00751CA8" w:rsidP="00751CA8">
      <w:pPr>
        <w:shd w:val="clear" w:color="auto" w:fill="FFFFFF"/>
        <w:spacing w:after="0" w:line="240" w:lineRule="auto"/>
        <w:jc w:val="both"/>
        <w:rPr>
          <w:rFonts w:eastAsia="Times New Roman" w:cstheme="minorHAnsi"/>
          <w:b/>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Los indicadores socioeconómicos y la pobrezas son algunas de las causas por las que las personas </w:t>
      </w:r>
      <w:proofErr w:type="spellStart"/>
      <w:r>
        <w:rPr>
          <w:rFonts w:eastAsia="Times New Roman" w:cstheme="minorHAnsi"/>
          <w:bCs/>
          <w:color w:val="303030"/>
          <w:sz w:val="24"/>
          <w:szCs w:val="24"/>
          <w:lang w:eastAsia="es-CR"/>
        </w:rPr>
        <w:t>gnäbes</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buglés</w:t>
      </w:r>
      <w:proofErr w:type="spellEnd"/>
      <w:r>
        <w:rPr>
          <w:rFonts w:eastAsia="Times New Roman" w:cstheme="minorHAnsi"/>
          <w:bCs/>
          <w:color w:val="303030"/>
          <w:sz w:val="24"/>
          <w:szCs w:val="24"/>
          <w:lang w:eastAsia="es-CR"/>
        </w:rPr>
        <w:t xml:space="preserve">  se ve</w:t>
      </w:r>
      <w:r w:rsidR="008E3B33">
        <w:rPr>
          <w:rFonts w:eastAsia="Times New Roman" w:cstheme="minorHAnsi"/>
          <w:bCs/>
          <w:color w:val="303030"/>
          <w:sz w:val="24"/>
          <w:szCs w:val="24"/>
          <w:lang w:eastAsia="es-CR"/>
        </w:rPr>
        <w:t>n</w:t>
      </w:r>
      <w:r>
        <w:rPr>
          <w:rFonts w:eastAsia="Times New Roman" w:cstheme="minorHAnsi"/>
          <w:bCs/>
          <w:color w:val="303030"/>
          <w:sz w:val="24"/>
          <w:szCs w:val="24"/>
          <w:lang w:eastAsia="es-CR"/>
        </w:rPr>
        <w:t xml:space="preserve"> obligadas a migrar.  La migración forzada, como estrategia de sobrevivencia, es parte de su cultura y modo de vida.  Si existe migración y esta va en aumento es debido a la marginación de que han sido y son objeto estas comunidades en su lugar de origen, conjuntamente con la problemática de la baja productividad de la tierra, su despojo, el desempleo en la comarca, el hambre y los bajos salarios.</w:t>
      </w:r>
      <w:r>
        <w:rPr>
          <w:rStyle w:val="Refdenotaalpie"/>
          <w:rFonts w:eastAsia="Times New Roman" w:cstheme="minorHAnsi"/>
          <w:bCs/>
          <w:color w:val="303030"/>
          <w:sz w:val="24"/>
          <w:szCs w:val="24"/>
          <w:lang w:eastAsia="es-CR"/>
        </w:rPr>
        <w:footnoteReference w:id="47"/>
      </w:r>
      <w:r>
        <w:rPr>
          <w:rFonts w:eastAsia="Times New Roman" w:cstheme="minorHAnsi"/>
          <w:bCs/>
          <w:color w:val="303030"/>
          <w:sz w:val="24"/>
          <w:szCs w:val="24"/>
          <w:lang w:eastAsia="es-CR"/>
        </w:rPr>
        <w:t xml:space="preserve"> A lo anterior se añade conflictos familiares entre vecinos y grupos, que han fragmentado el poder político y administrativo de la comarca y debilitado la cohesión del grupo étnico, conflictos generados desde fuera (intereses empresariales y políticos) que han terminado dividiéndolos.</w:t>
      </w:r>
      <w:r>
        <w:rPr>
          <w:rStyle w:val="Refdenotaalpie"/>
          <w:rFonts w:eastAsia="Times New Roman" w:cstheme="minorHAnsi"/>
          <w:bCs/>
          <w:color w:val="303030"/>
          <w:sz w:val="24"/>
          <w:szCs w:val="24"/>
          <w:lang w:eastAsia="es-CR"/>
        </w:rPr>
        <w:footnoteReference w:id="48"/>
      </w:r>
      <w:r>
        <w:rPr>
          <w:rFonts w:eastAsia="Times New Roman" w:cstheme="minorHAnsi"/>
          <w:bCs/>
          <w:color w:val="303030"/>
          <w:sz w:val="24"/>
          <w:szCs w:val="24"/>
          <w:lang w:eastAsia="es-CR"/>
        </w:rPr>
        <w:t xml:space="preserve"> </w:t>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La migración </w:t>
      </w:r>
      <w:proofErr w:type="spellStart"/>
      <w:r>
        <w:rPr>
          <w:rFonts w:eastAsia="Times New Roman" w:cstheme="minorHAnsi"/>
          <w:bCs/>
          <w:color w:val="303030"/>
          <w:sz w:val="24"/>
          <w:szCs w:val="24"/>
          <w:lang w:eastAsia="es-CR"/>
        </w:rPr>
        <w:t>gnäge</w:t>
      </w:r>
      <w:proofErr w:type="spellEnd"/>
      <w:r>
        <w:rPr>
          <w:rFonts w:eastAsia="Times New Roman" w:cstheme="minorHAnsi"/>
          <w:bCs/>
          <w:color w:val="303030"/>
          <w:sz w:val="24"/>
          <w:szCs w:val="24"/>
          <w:lang w:eastAsia="es-CR"/>
        </w:rPr>
        <w:t xml:space="preserve"> a Costa Rica, iniciada en los años 40-50</w:t>
      </w:r>
      <w:r>
        <w:rPr>
          <w:rStyle w:val="Refdenotaalpie"/>
          <w:rFonts w:eastAsia="Times New Roman" w:cstheme="minorHAnsi"/>
          <w:bCs/>
          <w:color w:val="303030"/>
          <w:sz w:val="24"/>
          <w:szCs w:val="24"/>
          <w:lang w:eastAsia="es-CR"/>
        </w:rPr>
        <w:footnoteReference w:id="49"/>
      </w:r>
      <w:r>
        <w:rPr>
          <w:rFonts w:eastAsia="Times New Roman" w:cstheme="minorHAnsi"/>
          <w:bCs/>
          <w:color w:val="303030"/>
          <w:sz w:val="24"/>
          <w:szCs w:val="24"/>
          <w:lang w:eastAsia="es-CR"/>
        </w:rPr>
        <w:t xml:space="preserve"> para trabajar en las fincas bananeras del Atlántico costarricense, es una típica migración sur-sur, de las que tenemos numerosos casos en Latinoamérica, muchos de ellas indígenas (</w:t>
      </w:r>
      <w:proofErr w:type="spellStart"/>
      <w:r>
        <w:rPr>
          <w:rFonts w:eastAsia="Times New Roman" w:cstheme="minorHAnsi"/>
          <w:bCs/>
          <w:color w:val="303030"/>
          <w:sz w:val="24"/>
          <w:szCs w:val="24"/>
          <w:lang w:eastAsia="es-CR"/>
        </w:rPr>
        <w:t>p.e.</w:t>
      </w:r>
      <w:proofErr w:type="spellEnd"/>
      <w:r>
        <w:rPr>
          <w:rFonts w:eastAsia="Times New Roman" w:cstheme="minorHAnsi"/>
          <w:bCs/>
          <w:color w:val="303030"/>
          <w:sz w:val="24"/>
          <w:szCs w:val="24"/>
          <w:lang w:eastAsia="es-CR"/>
        </w:rPr>
        <w:t xml:space="preserve"> la migración de indígenas peruanos-as y bolivianos-as a Chile).  La migración obedece principalmente a dos factores, denominados de atracción y expulsión (“</w:t>
      </w:r>
      <w:proofErr w:type="spellStart"/>
      <w:r>
        <w:rPr>
          <w:rFonts w:eastAsia="Times New Roman" w:cstheme="minorHAnsi"/>
          <w:bCs/>
          <w:color w:val="303030"/>
          <w:sz w:val="24"/>
          <w:szCs w:val="24"/>
          <w:lang w:eastAsia="es-CR"/>
        </w:rPr>
        <w:t>pull</w:t>
      </w:r>
      <w:proofErr w:type="spellEnd"/>
      <w:r>
        <w:rPr>
          <w:rFonts w:eastAsia="Times New Roman" w:cstheme="minorHAnsi"/>
          <w:bCs/>
          <w:color w:val="303030"/>
          <w:sz w:val="24"/>
          <w:szCs w:val="24"/>
          <w:lang w:eastAsia="es-CR"/>
        </w:rPr>
        <w:t xml:space="preserve"> and </w:t>
      </w:r>
      <w:proofErr w:type="spellStart"/>
      <w:r>
        <w:rPr>
          <w:rFonts w:eastAsia="Times New Roman" w:cstheme="minorHAnsi"/>
          <w:bCs/>
          <w:color w:val="303030"/>
          <w:sz w:val="24"/>
          <w:szCs w:val="24"/>
          <w:lang w:eastAsia="es-CR"/>
        </w:rPr>
        <w:t>push</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factors</w:t>
      </w:r>
      <w:proofErr w:type="spellEnd"/>
      <w:r>
        <w:rPr>
          <w:rFonts w:eastAsia="Times New Roman" w:cstheme="minorHAnsi"/>
          <w:bCs/>
          <w:color w:val="303030"/>
          <w:sz w:val="24"/>
          <w:szCs w:val="24"/>
          <w:lang w:eastAsia="es-CR"/>
        </w:rPr>
        <w:t xml:space="preserve">”).  En el caso de esta población migrante, las condiciones de atracción están dadas por una parte por factores económicos, ya que encuentran ingresos que les ayudan a su regreso a Panamá a </w:t>
      </w:r>
      <w:r>
        <w:rPr>
          <w:rFonts w:eastAsia="Times New Roman" w:cstheme="minorHAnsi"/>
          <w:bCs/>
          <w:color w:val="303030"/>
          <w:sz w:val="24"/>
          <w:szCs w:val="24"/>
          <w:lang w:eastAsia="es-CR"/>
        </w:rPr>
        <w:lastRenderedPageBreak/>
        <w:t>poder cubrir una serie de necesidades básicas, por contar con redes de parentesco o amistad en el país, pero también – según señala Idiáquez en una interesante tesis al respecto – por su insistencia en el “</w:t>
      </w:r>
      <w:r w:rsidRPr="00995752">
        <w:rPr>
          <w:rFonts w:eastAsia="Times New Roman" w:cstheme="minorHAnsi"/>
          <w:bCs/>
          <w:i/>
          <w:color w:val="303030"/>
          <w:sz w:val="24"/>
          <w:szCs w:val="24"/>
          <w:lang w:eastAsia="es-CR"/>
        </w:rPr>
        <w:t>reconocimiento de su dignidad como mujeres y hombres que buscan ganarse la vida honradamente.  En Costa Rica nos tratan mejor que en Panamá.  Nos sentimos respetados como personas</w:t>
      </w:r>
      <w:r>
        <w:rPr>
          <w:rFonts w:eastAsia="Times New Roman" w:cstheme="minorHAnsi"/>
          <w:bCs/>
          <w:color w:val="303030"/>
          <w:sz w:val="24"/>
          <w:szCs w:val="24"/>
          <w:lang w:eastAsia="es-CR"/>
        </w:rPr>
        <w:t>”.</w:t>
      </w:r>
      <w:r>
        <w:rPr>
          <w:rStyle w:val="Refdenotaalpie"/>
          <w:rFonts w:eastAsia="Times New Roman" w:cstheme="minorHAnsi"/>
          <w:bCs/>
          <w:color w:val="303030"/>
          <w:sz w:val="24"/>
          <w:szCs w:val="24"/>
          <w:lang w:eastAsia="es-CR"/>
        </w:rPr>
        <w:footnoteReference w:id="50"/>
      </w:r>
      <w:r>
        <w:rPr>
          <w:rFonts w:eastAsia="Times New Roman" w:cstheme="minorHAnsi"/>
          <w:bCs/>
          <w:color w:val="303030"/>
          <w:sz w:val="24"/>
          <w:szCs w:val="24"/>
          <w:lang w:eastAsia="es-CR"/>
        </w:rPr>
        <w:t xml:space="preserve"> </w:t>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cstheme="minorHAnsi"/>
          <w:sz w:val="24"/>
          <w:szCs w:val="24"/>
        </w:rPr>
      </w:pPr>
      <w:r>
        <w:rPr>
          <w:rFonts w:eastAsia="Times New Roman" w:cstheme="minorHAnsi"/>
          <w:bCs/>
          <w:color w:val="303030"/>
          <w:sz w:val="24"/>
          <w:szCs w:val="24"/>
          <w:lang w:eastAsia="es-CR"/>
        </w:rPr>
        <w:t xml:space="preserve">Este último resulta un aspecto llamativo tomando en cuentas las numerosas denuncias de violación a derechos humanos de esta población,  como señalara la Defensoría de los Habitantes de la República en un informe de octubre de 2009 :  </w:t>
      </w:r>
      <w:r w:rsidRPr="00995752">
        <w:rPr>
          <w:rFonts w:cstheme="minorHAnsi"/>
          <w:i/>
          <w:sz w:val="24"/>
          <w:szCs w:val="24"/>
        </w:rPr>
        <w:t>Además de la situación de pobreza extrema que afecta a las familias de este pueblo indígena transfronterizo, cuando se movilizan se ven expuestas a una aguda exclusión social pues su condición de vulnerabilidad es doble: por un lado, enfrentan los problemas propios de los trabajadores migrantes; por el otro, los derivados de su pertenencia a un pueblo indígena, con patrones culturales e idioma diferentes a los de los lugares en donde venden su fuerza de trabajo.  La exclusión se manifiesta en diferentes situaciones de discriminación: negación de su condición laboral, violación de sus derechos laborales; exclusión del sistema de seguridad social; condiciones laborales inadecuadas de sanidad, salubridad y hacinamiento en los locales proporcionados por los patronos para su estancia; criminalización de su condición indígena; y limitaciones al derecho a la identidad de las personas nacidas en Costa Rica durante la época de permanencia, entre otras. Asimismo, resulta primordial reconocer que son las mujeres y los/as niños/as quienes en este proceso sufren los mayores embates</w:t>
      </w:r>
      <w:r>
        <w:rPr>
          <w:rFonts w:cstheme="minorHAnsi"/>
          <w:sz w:val="24"/>
          <w:szCs w:val="24"/>
        </w:rPr>
        <w:t>.</w:t>
      </w:r>
      <w:r>
        <w:rPr>
          <w:rStyle w:val="Refdenotaalpie"/>
          <w:rFonts w:cstheme="minorHAnsi"/>
          <w:sz w:val="24"/>
          <w:szCs w:val="24"/>
        </w:rPr>
        <w:footnoteReference w:id="51"/>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En su mayor parte, las personas inmigrantes en el país trabajan en labores agrícolas. El Banco Central ofrece datos para los años 2011 y 2012 de 34 040 trabajadores migrantes y transfronterizos, empleados temporalmente en cosechas de café, melón y caña de azúcar. 30 000 de ellos recolectaron café entre agosto de 2011 y marzo de 2012, 21 000 proceden de Panamá, de los cuales la mayoría son indígenas </w:t>
      </w:r>
      <w:proofErr w:type="spellStart"/>
      <w:r>
        <w:rPr>
          <w:rFonts w:eastAsia="Times New Roman" w:cstheme="minorHAnsi"/>
          <w:bCs/>
          <w:color w:val="303030"/>
          <w:sz w:val="24"/>
          <w:szCs w:val="24"/>
          <w:lang w:eastAsia="es-CR"/>
        </w:rPr>
        <w:t>ngäbes</w:t>
      </w:r>
      <w:proofErr w:type="spellEnd"/>
      <w:r>
        <w:rPr>
          <w:rFonts w:eastAsia="Times New Roman" w:cstheme="minorHAnsi"/>
          <w:bCs/>
          <w:color w:val="303030"/>
          <w:sz w:val="24"/>
          <w:szCs w:val="24"/>
          <w:lang w:eastAsia="es-CR"/>
        </w:rPr>
        <w:t>.</w:t>
      </w:r>
      <w:r>
        <w:rPr>
          <w:rStyle w:val="Refdenotaalpie"/>
          <w:rFonts w:eastAsia="Times New Roman" w:cstheme="minorHAnsi"/>
          <w:bCs/>
          <w:color w:val="303030"/>
          <w:sz w:val="24"/>
          <w:szCs w:val="24"/>
          <w:lang w:eastAsia="es-CR"/>
        </w:rPr>
        <w:footnoteReference w:id="52"/>
      </w:r>
      <w:r>
        <w:rPr>
          <w:rFonts w:eastAsia="Times New Roman" w:cstheme="minorHAnsi"/>
          <w:bCs/>
          <w:color w:val="303030"/>
          <w:sz w:val="24"/>
          <w:szCs w:val="24"/>
          <w:lang w:eastAsia="es-CR"/>
        </w:rPr>
        <w:t xml:space="preserve">  Se han detectado hasta 28 rutas migratorias desde Panamá a Costa Rica y diversas modalidades de transporte (a pie, vehículos, bestias de carga) y los tiempos de traslado son asimismo muy variables (5 a 24 horas, dependiendo del lugar en donde se inicia la travesía).</w:t>
      </w:r>
      <w:r>
        <w:rPr>
          <w:rStyle w:val="Refdenotaalpie"/>
          <w:rFonts w:eastAsia="Times New Roman" w:cstheme="minorHAnsi"/>
          <w:bCs/>
          <w:color w:val="303030"/>
          <w:sz w:val="24"/>
          <w:szCs w:val="24"/>
          <w:lang w:eastAsia="es-CR"/>
        </w:rPr>
        <w:footnoteReference w:id="53"/>
      </w:r>
      <w:r>
        <w:rPr>
          <w:rFonts w:eastAsia="Times New Roman" w:cstheme="minorHAnsi"/>
          <w:bCs/>
          <w:color w:val="303030"/>
          <w:sz w:val="24"/>
          <w:szCs w:val="24"/>
          <w:lang w:eastAsia="es-CR"/>
        </w:rPr>
        <w:t xml:space="preserve"> Los tiempos de permanencia también varías, entre tres meses a un año y muchos trabajadores inician la travesía a mediados de setiembre, sin embargo las mujeres muchas veces dejan a sus maridos para regresar con sus hijos-as a finales de febrero a que inicien lecciones en Panamá.</w:t>
      </w:r>
      <w:r>
        <w:rPr>
          <w:rStyle w:val="Refdenotaalpie"/>
          <w:rFonts w:eastAsia="Times New Roman" w:cstheme="minorHAnsi"/>
          <w:bCs/>
          <w:color w:val="303030"/>
          <w:sz w:val="24"/>
          <w:szCs w:val="24"/>
          <w:lang w:eastAsia="es-CR"/>
        </w:rPr>
        <w:footnoteReference w:id="54"/>
      </w:r>
      <w:r>
        <w:rPr>
          <w:rFonts w:eastAsia="Times New Roman" w:cstheme="minorHAnsi"/>
          <w:bCs/>
          <w:color w:val="303030"/>
          <w:sz w:val="24"/>
          <w:szCs w:val="24"/>
          <w:lang w:eastAsia="es-CR"/>
        </w:rPr>
        <w:t xml:space="preserve">  Los indígenas que migran temporalmente a la Zona, realizan una ruta migratoria asociada con el periodo de maduración del café según regiones y subregiones.  Para el caso de la producción del café se observa que hay una migración que va de Coto </w:t>
      </w:r>
      <w:proofErr w:type="spellStart"/>
      <w:r>
        <w:rPr>
          <w:rFonts w:eastAsia="Times New Roman" w:cstheme="minorHAnsi"/>
          <w:bCs/>
          <w:color w:val="303030"/>
          <w:sz w:val="24"/>
          <w:szCs w:val="24"/>
          <w:lang w:eastAsia="es-CR"/>
        </w:rPr>
        <w:t>Brus</w:t>
      </w:r>
      <w:proofErr w:type="spellEnd"/>
      <w:r>
        <w:rPr>
          <w:rFonts w:eastAsia="Times New Roman" w:cstheme="minorHAnsi"/>
          <w:bCs/>
          <w:color w:val="303030"/>
          <w:sz w:val="24"/>
          <w:szCs w:val="24"/>
          <w:lang w:eastAsia="es-CR"/>
        </w:rPr>
        <w:t xml:space="preserve">, en donde se da una maduración temprana del café, siguiendo luego al Valle del </w:t>
      </w:r>
      <w:r>
        <w:rPr>
          <w:rFonts w:eastAsia="Times New Roman" w:cstheme="minorHAnsi"/>
          <w:bCs/>
          <w:color w:val="303030"/>
          <w:sz w:val="24"/>
          <w:szCs w:val="24"/>
          <w:lang w:eastAsia="es-CR"/>
        </w:rPr>
        <w:lastRenderedPageBreak/>
        <w:t>General en Pérez Zeledón, para entrar hasta la zona de Los Santos, en donde la mejor época para la recolección se da entre los meses de diciembre y febrero.</w:t>
      </w:r>
      <w:r>
        <w:rPr>
          <w:rStyle w:val="Refdenotaalpie"/>
          <w:rFonts w:eastAsia="Times New Roman" w:cstheme="minorHAnsi"/>
          <w:bCs/>
          <w:color w:val="303030"/>
          <w:sz w:val="24"/>
          <w:szCs w:val="24"/>
          <w:lang w:eastAsia="es-CR"/>
        </w:rPr>
        <w:footnoteReference w:id="55"/>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Coincidiendo con lo anterior, en la Política Migratoria Integral para Costa Rica, establecida por el Consejo Nacional de Migración en 2013 y para la que fue consultado un grupo de indígenas </w:t>
      </w:r>
      <w:proofErr w:type="spellStart"/>
      <w:r>
        <w:rPr>
          <w:rFonts w:eastAsia="Times New Roman" w:cstheme="minorHAnsi"/>
          <w:bCs/>
          <w:color w:val="303030"/>
          <w:sz w:val="24"/>
          <w:szCs w:val="24"/>
          <w:lang w:eastAsia="es-CR"/>
        </w:rPr>
        <w:t>gnöbe</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migrantes, con base en lo establecido en el Convenio 169 de la OIT y la Declaración de las Naciones Unidas sobre los derechos de los pueblos indígenas</w:t>
      </w:r>
      <w:r>
        <w:rPr>
          <w:rStyle w:val="Refdenotaalpie"/>
          <w:rFonts w:eastAsia="Times New Roman" w:cstheme="minorHAnsi"/>
          <w:bCs/>
          <w:color w:val="303030"/>
          <w:sz w:val="24"/>
          <w:szCs w:val="24"/>
          <w:lang w:eastAsia="es-CR"/>
        </w:rPr>
        <w:footnoteReference w:id="56"/>
      </w:r>
      <w:r>
        <w:rPr>
          <w:rFonts w:eastAsia="Times New Roman" w:cstheme="minorHAnsi"/>
          <w:bCs/>
          <w:color w:val="303030"/>
          <w:sz w:val="24"/>
          <w:szCs w:val="24"/>
          <w:lang w:eastAsia="es-CR"/>
        </w:rPr>
        <w:t>, se señala como aspectos que potencian la vulnerabilidad y la exposición al incumplimiento de los derechos laborales, por un lado la condición de indocumentación migratoria en que se desplazan las personas indígenas migrantes y, por el otro, la negativa de los empleadores (finqueros, beneficiadores y procesadores de café) de reconocer la existencia de relaciones laborales entre ellos y las personas trabajadoras temporales, principalmente indígenas, esto a pesar de que en 2007 hubo un pronunciamiento del Ministerio de Trabajo y Bienestar social que estableció que el trabajo por temporada no supone una oposición a las normas laborales, confirmando la obligatoriedad de su cumplimiento.</w:t>
      </w:r>
      <w:r>
        <w:rPr>
          <w:rStyle w:val="Refdenotaalpie"/>
          <w:rFonts w:eastAsia="Times New Roman" w:cstheme="minorHAnsi"/>
          <w:bCs/>
          <w:color w:val="303030"/>
          <w:sz w:val="24"/>
          <w:szCs w:val="24"/>
          <w:lang w:eastAsia="es-CR"/>
        </w:rPr>
        <w:footnoteReference w:id="57"/>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Como ya ha sido señalado anteriormente, la migración </w:t>
      </w:r>
      <w:proofErr w:type="spellStart"/>
      <w:r>
        <w:rPr>
          <w:rFonts w:eastAsia="Times New Roman" w:cstheme="minorHAnsi"/>
          <w:bCs/>
          <w:color w:val="303030"/>
          <w:sz w:val="24"/>
          <w:szCs w:val="24"/>
          <w:lang w:eastAsia="es-CR"/>
        </w:rPr>
        <w:t>gnöbe</w:t>
      </w:r>
      <w:proofErr w:type="spellEnd"/>
      <w:r>
        <w:rPr>
          <w:rFonts w:eastAsia="Times New Roman" w:cstheme="minorHAnsi"/>
          <w:bCs/>
          <w:color w:val="303030"/>
          <w:sz w:val="24"/>
          <w:szCs w:val="24"/>
          <w:lang w:eastAsia="es-CR"/>
        </w:rPr>
        <w:t xml:space="preserve"> se realiza en grupos familiares, lo que expone particularmente a violaciones de sus derechos a las mujeres y a los-as niños-as.  En el caso de las mujeres, porque son varias veces discriminadas: por ser mujeres, por ser indígenas y pobres.  Además, existe una discriminación cultural, ya que el trabajo que se reconoce es el del adulto hombre y a veces el del adolescente varón si trabajo por aparte.  A lo anterior se añade su condición migratoria y la de sus hijos-as.  En el documento de Política Migratoria a que se ha hecho referencia  anteriormente, se establece con especial preocupación el hecho de que los niños-as y adolescentes indígenas asumen responsabilidades de trabajo o cuido con sus padres, la cual se complejiza por la movilidad que tienen durante su permanencia en el país, lo que conlleva muchas veces permanecer medio año en uno y otro país en condiciones de vida limitadas, con responsabilidades domésticas y asumiendo trabajos inseguros y peligrosos, constituyendo lo anterior una demora en los entornos de vida de las familias inmigrantes indígenas. El trabajo que desempeñan consiste en labores agrícolas (café, corta de cítricos y caña de azúcar), servicios domésticos y comercio (ventas ambulantes y callejeras).</w:t>
      </w:r>
      <w:r>
        <w:rPr>
          <w:rStyle w:val="Refdenotaalpie"/>
          <w:rFonts w:eastAsia="Times New Roman" w:cstheme="minorHAnsi"/>
          <w:bCs/>
          <w:color w:val="303030"/>
          <w:sz w:val="24"/>
          <w:szCs w:val="24"/>
          <w:lang w:eastAsia="es-CR"/>
        </w:rPr>
        <w:footnoteReference w:id="58"/>
      </w:r>
      <w:r>
        <w:rPr>
          <w:rFonts w:eastAsia="Times New Roman" w:cstheme="minorHAnsi"/>
          <w:bCs/>
          <w:color w:val="303030"/>
          <w:sz w:val="24"/>
          <w:szCs w:val="24"/>
          <w:lang w:eastAsia="es-CR"/>
        </w:rPr>
        <w:t xml:space="preserve">  </w:t>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Por otra parte, los niños-as y adolescentes indígenas también sufren de riesgos de salud por las condiciones ambientales, laborales y otras condiciones sociales de las fincas cafetaleras, siendo los niños-as entre 0-4 años los-as más expuestos-as a padecer enfermedades, especialmente respiratorias. </w:t>
      </w:r>
      <w:r>
        <w:rPr>
          <w:rStyle w:val="Refdenotaalpie"/>
          <w:rFonts w:eastAsia="Times New Roman" w:cstheme="minorHAnsi"/>
          <w:bCs/>
          <w:color w:val="303030"/>
          <w:sz w:val="24"/>
          <w:szCs w:val="24"/>
          <w:lang w:eastAsia="es-CR"/>
        </w:rPr>
        <w:footnoteReference w:id="59"/>
      </w:r>
      <w:r>
        <w:rPr>
          <w:rFonts w:eastAsia="Times New Roman" w:cstheme="minorHAnsi"/>
          <w:bCs/>
          <w:color w:val="303030"/>
          <w:sz w:val="24"/>
          <w:szCs w:val="24"/>
          <w:lang w:eastAsia="es-CR"/>
        </w:rPr>
        <w:t xml:space="preserve"> El hecho de que algunos niños-as deban ser hospitalizados-as a veces por un largo tiempo e incluso en algunos casos colocados-as por el PANI en hogares temporales, ha dado lugar a la denuncia de que posteriormente sus </w:t>
      </w:r>
      <w:r>
        <w:rPr>
          <w:rFonts w:eastAsia="Times New Roman" w:cstheme="minorHAnsi"/>
          <w:bCs/>
          <w:color w:val="303030"/>
          <w:sz w:val="24"/>
          <w:szCs w:val="24"/>
          <w:lang w:eastAsia="es-CR"/>
        </w:rPr>
        <w:lastRenderedPageBreak/>
        <w:t xml:space="preserve">padres no pueden encontrarles por falta de información y, más grave aún, que algunos-as se encuentran en procesos de adopción.  Asimismo, el hecho de que no se reconozcan los vínculos laborales entre empleadores y trabajadores-as temporales, impide el aseguramiento de esta población ante la Caja Costarricense del Seguro Social (CCSS), como por ejemplo los EBAIS de  las zonas o los hospitales del país y también ante el Instituto Nacional de Seguros (INS), poniendo en peligro la salud de las familias, especialmente si se toma en cuenta que sus labores les exponen a mucho tipo de situaciones inseguras o insalubres.  </w:t>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En lo que respecta a los aspectos migratorios, existe un Reglamento de Extranjería (publicado el 12.05.2012) de la Ley General de Migración y Extranjería (Ley 8764, art. 11, inciso 1) y en el Título V,  que desarrolla lo relativo a las poblaciones indígenas extranjeras, por el que se regularizan estas personas a partir de la residencia permanente y temporal así como tres categorías especiales: trabajador temporal y sus hijos-as dependientes, trabajador transfronterizo, estudiante transfronterizo.  Uno de los problemas para acceder a lo anterior estriba en un tema de costos y los requisitos, que no son de fácil acceso para la población </w:t>
      </w:r>
      <w:proofErr w:type="spellStart"/>
      <w:r>
        <w:rPr>
          <w:rFonts w:eastAsia="Times New Roman" w:cstheme="minorHAnsi"/>
          <w:bCs/>
          <w:color w:val="303030"/>
          <w:sz w:val="24"/>
          <w:szCs w:val="24"/>
          <w:lang w:eastAsia="es-CR"/>
        </w:rPr>
        <w:t>gnäbe</w:t>
      </w:r>
      <w:proofErr w:type="spellEnd"/>
      <w:r>
        <w:rPr>
          <w:rFonts w:eastAsia="Times New Roman" w:cstheme="minorHAnsi"/>
          <w:bCs/>
          <w:color w:val="303030"/>
          <w:sz w:val="24"/>
          <w:szCs w:val="24"/>
          <w:lang w:eastAsia="es-CR"/>
        </w:rPr>
        <w:t>.</w:t>
      </w:r>
      <w:r>
        <w:rPr>
          <w:rStyle w:val="Refdenotaalpie"/>
          <w:rFonts w:eastAsia="Times New Roman" w:cstheme="minorHAnsi"/>
          <w:bCs/>
          <w:color w:val="303030"/>
          <w:sz w:val="24"/>
          <w:szCs w:val="24"/>
          <w:lang w:eastAsia="es-CR"/>
        </w:rPr>
        <w:footnoteReference w:id="60"/>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En los últimos años la migración </w:t>
      </w:r>
      <w:proofErr w:type="spellStart"/>
      <w:r>
        <w:rPr>
          <w:rFonts w:eastAsia="Times New Roman" w:cstheme="minorHAnsi"/>
          <w:bCs/>
          <w:color w:val="303030"/>
          <w:sz w:val="24"/>
          <w:szCs w:val="24"/>
          <w:lang w:eastAsia="es-CR"/>
        </w:rPr>
        <w:t>gnäbe</w:t>
      </w:r>
      <w:proofErr w:type="spellEnd"/>
      <w:r>
        <w:rPr>
          <w:rFonts w:eastAsia="Times New Roman" w:cstheme="minorHAnsi"/>
          <w:bCs/>
          <w:color w:val="303030"/>
          <w:sz w:val="24"/>
          <w:szCs w:val="24"/>
          <w:lang w:eastAsia="es-CR"/>
        </w:rPr>
        <w:t xml:space="preserve"> se ha visto articulada a las nuevas tecnologías de información y comunicación y al transporte, incluyendo vínculos entre los empresarios cafetaleros y las comunidades, con presencia también de intermediarios para las contrataciones.  En tal virtud, los teléfonos celulares, el internet, las redes familiares y de amigos que se han ido creando y la efectividad de dichos intermediarios, son esenciales para el ordenamiento, captación de los indígenas que emigran, el envío del transporte y los lugares que se han convertido en referentes de encuentro.</w:t>
      </w:r>
      <w:r w:rsidR="005428CA">
        <w:rPr>
          <w:rStyle w:val="Refdenotaalpie"/>
          <w:rFonts w:eastAsia="Times New Roman" w:cstheme="minorHAnsi"/>
          <w:bCs/>
          <w:color w:val="303030"/>
          <w:sz w:val="24"/>
          <w:szCs w:val="24"/>
          <w:lang w:eastAsia="es-CR"/>
        </w:rPr>
        <w:footnoteReference w:id="61"/>
      </w: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p>
    <w:p w:rsidR="00751CA8" w:rsidRDefault="00751CA8" w:rsidP="00751CA8">
      <w:pPr>
        <w:shd w:val="clear" w:color="auto" w:fill="FFFFFF"/>
        <w:spacing w:after="0" w:line="240" w:lineRule="auto"/>
        <w:jc w:val="both"/>
        <w:rPr>
          <w:rFonts w:eastAsia="Times New Roman" w:cstheme="minorHAnsi"/>
          <w:bCs/>
          <w:color w:val="303030"/>
          <w:sz w:val="24"/>
          <w:szCs w:val="24"/>
          <w:lang w:eastAsia="es-CR"/>
        </w:rPr>
      </w:pPr>
      <w:r>
        <w:rPr>
          <w:rFonts w:eastAsia="Times New Roman" w:cstheme="minorHAnsi"/>
          <w:bCs/>
          <w:color w:val="303030"/>
          <w:sz w:val="24"/>
          <w:szCs w:val="24"/>
          <w:lang w:eastAsia="es-CR"/>
        </w:rPr>
        <w:t xml:space="preserve">Las personas indígenas migrantes </w:t>
      </w:r>
      <w:proofErr w:type="spellStart"/>
      <w:r>
        <w:rPr>
          <w:rFonts w:eastAsia="Times New Roman" w:cstheme="minorHAnsi"/>
          <w:bCs/>
          <w:color w:val="303030"/>
          <w:sz w:val="24"/>
          <w:szCs w:val="24"/>
          <w:lang w:eastAsia="es-CR"/>
        </w:rPr>
        <w:t>gnöbe</w:t>
      </w:r>
      <w:proofErr w:type="spellEnd"/>
      <w:r>
        <w:rPr>
          <w:rFonts w:eastAsia="Times New Roman" w:cstheme="minorHAnsi"/>
          <w:bCs/>
          <w:color w:val="303030"/>
          <w:sz w:val="24"/>
          <w:szCs w:val="24"/>
          <w:lang w:eastAsia="es-CR"/>
        </w:rPr>
        <w:t xml:space="preserve"> </w:t>
      </w:r>
      <w:proofErr w:type="spellStart"/>
      <w:r>
        <w:rPr>
          <w:rFonts w:eastAsia="Times New Roman" w:cstheme="minorHAnsi"/>
          <w:bCs/>
          <w:color w:val="303030"/>
          <w:sz w:val="24"/>
          <w:szCs w:val="24"/>
          <w:lang w:eastAsia="es-CR"/>
        </w:rPr>
        <w:t>buglé</w:t>
      </w:r>
      <w:proofErr w:type="spellEnd"/>
      <w:r>
        <w:rPr>
          <w:rFonts w:eastAsia="Times New Roman" w:cstheme="minorHAnsi"/>
          <w:bCs/>
          <w:color w:val="303030"/>
          <w:sz w:val="24"/>
          <w:szCs w:val="24"/>
          <w:lang w:eastAsia="es-CR"/>
        </w:rPr>
        <w:t xml:space="preserve"> no pueden seguirse viendo como los proveedores de mano de obra barata y disciplinada, que sostiene y hace rentable la producción cafetalera y de otros productos de manera rentable a costa de sus derechos humanos.  Desde hace algún tiempo el sector justicia</w:t>
      </w:r>
      <w:r w:rsidR="0041631C">
        <w:rPr>
          <w:rFonts w:eastAsia="Times New Roman" w:cstheme="minorHAnsi"/>
          <w:bCs/>
          <w:color w:val="303030"/>
          <w:sz w:val="24"/>
          <w:szCs w:val="24"/>
          <w:lang w:eastAsia="es-CR"/>
        </w:rPr>
        <w:t>, el Tribunal Supremo de Elecciones (Registro Civil), la Caja Costarricense del Seguro Social, la Defensoría de los Habitantes</w:t>
      </w:r>
      <w:r>
        <w:rPr>
          <w:rFonts w:eastAsia="Times New Roman" w:cstheme="minorHAnsi"/>
          <w:bCs/>
          <w:color w:val="303030"/>
          <w:sz w:val="24"/>
          <w:szCs w:val="24"/>
          <w:lang w:eastAsia="es-CR"/>
        </w:rPr>
        <w:t xml:space="preserve"> </w:t>
      </w:r>
      <w:r w:rsidR="0041631C">
        <w:rPr>
          <w:rFonts w:eastAsia="Times New Roman" w:cstheme="minorHAnsi"/>
          <w:bCs/>
          <w:color w:val="303030"/>
          <w:sz w:val="24"/>
          <w:szCs w:val="24"/>
          <w:lang w:eastAsia="es-CR"/>
        </w:rPr>
        <w:t xml:space="preserve">y la cooperación internacional, </w:t>
      </w:r>
      <w:r>
        <w:rPr>
          <w:rFonts w:eastAsia="Times New Roman" w:cstheme="minorHAnsi"/>
          <w:bCs/>
          <w:color w:val="303030"/>
          <w:sz w:val="24"/>
          <w:szCs w:val="24"/>
          <w:lang w:eastAsia="es-CR"/>
        </w:rPr>
        <w:t>viene</w:t>
      </w:r>
      <w:r w:rsidR="0041631C">
        <w:rPr>
          <w:rFonts w:eastAsia="Times New Roman" w:cstheme="minorHAnsi"/>
          <w:bCs/>
          <w:color w:val="303030"/>
          <w:sz w:val="24"/>
          <w:szCs w:val="24"/>
          <w:lang w:eastAsia="es-CR"/>
        </w:rPr>
        <w:t>n</w:t>
      </w:r>
      <w:r>
        <w:rPr>
          <w:rFonts w:eastAsia="Times New Roman" w:cstheme="minorHAnsi"/>
          <w:bCs/>
          <w:color w:val="303030"/>
          <w:sz w:val="24"/>
          <w:szCs w:val="24"/>
          <w:lang w:eastAsia="es-CR"/>
        </w:rPr>
        <w:t xml:space="preserve"> haciendo esfuerzos por cambiar las condiciones de esta población en condición de vulnerabilidad, lo cual se analizará en el siguiente capítulo.</w:t>
      </w:r>
    </w:p>
    <w:p w:rsidR="00751CA8" w:rsidRDefault="00751CA8" w:rsidP="00751CA8">
      <w:pPr>
        <w:jc w:val="both"/>
        <w:rPr>
          <w:sz w:val="24"/>
          <w:szCs w:val="24"/>
        </w:rPr>
      </w:pPr>
      <w:r>
        <w:rPr>
          <w:sz w:val="24"/>
          <w:szCs w:val="24"/>
        </w:rPr>
        <w:br w:type="page"/>
      </w:r>
    </w:p>
    <w:p w:rsidR="007D691B" w:rsidRPr="00F10F88" w:rsidRDefault="007D691B" w:rsidP="00F10F88">
      <w:pPr>
        <w:jc w:val="center"/>
        <w:rPr>
          <w:b/>
          <w:noProof/>
          <w:lang w:eastAsia="es-CR"/>
        </w:rPr>
      </w:pPr>
      <w:r w:rsidRPr="00F10F88">
        <w:rPr>
          <w:b/>
          <w:noProof/>
          <w:lang w:eastAsia="es-CR"/>
        </w:rPr>
        <w:lastRenderedPageBreak/>
        <w:t>ANEXOS</w:t>
      </w:r>
    </w:p>
    <w:p w:rsidR="007D691B" w:rsidRPr="00F10F88" w:rsidRDefault="007D691B" w:rsidP="00F10F88">
      <w:pPr>
        <w:jc w:val="center"/>
        <w:rPr>
          <w:b/>
          <w:noProof/>
          <w:lang w:eastAsia="es-CR"/>
        </w:rPr>
      </w:pPr>
      <w:r w:rsidRPr="00F10F88">
        <w:rPr>
          <w:b/>
          <w:noProof/>
          <w:lang w:eastAsia="es-CR"/>
        </w:rPr>
        <w:t>ANEXO 1</w:t>
      </w:r>
    </w:p>
    <w:p w:rsidR="00C34554" w:rsidRPr="00F10F88" w:rsidRDefault="00F10F88" w:rsidP="00F10F88">
      <w:pPr>
        <w:jc w:val="center"/>
        <w:rPr>
          <w:b/>
          <w:noProof/>
          <w:lang w:eastAsia="es-CR"/>
        </w:rPr>
      </w:pPr>
      <w:r w:rsidRPr="00F10F88">
        <w:rPr>
          <w:b/>
          <w:noProof/>
          <w:lang w:eastAsia="es-CR"/>
        </w:rPr>
        <w:t>TERRITORIOS INDÍGENAS DE COSTA RICA</w:t>
      </w:r>
    </w:p>
    <w:tbl>
      <w:tblPr>
        <w:tblStyle w:val="Tablaconcuadrcula"/>
        <w:tblW w:w="0" w:type="auto"/>
        <w:tblLook w:val="04A0"/>
      </w:tblPr>
      <w:tblGrid>
        <w:gridCol w:w="2172"/>
        <w:gridCol w:w="942"/>
        <w:gridCol w:w="866"/>
        <w:gridCol w:w="1132"/>
        <w:gridCol w:w="1170"/>
        <w:gridCol w:w="1272"/>
        <w:gridCol w:w="1500"/>
      </w:tblGrid>
      <w:tr w:rsidR="00C34554" w:rsidRPr="003807C8" w:rsidTr="00DE4C28">
        <w:tc>
          <w:tcPr>
            <w:tcW w:w="2172" w:type="dxa"/>
          </w:tcPr>
          <w:p w:rsidR="00C34554" w:rsidRPr="003807C8" w:rsidRDefault="00C34554" w:rsidP="003807C8">
            <w:pPr>
              <w:jc w:val="center"/>
              <w:rPr>
                <w:b/>
                <w:noProof/>
                <w:sz w:val="20"/>
                <w:szCs w:val="20"/>
                <w:lang w:eastAsia="es-CR"/>
              </w:rPr>
            </w:pPr>
            <w:r w:rsidRPr="003807C8">
              <w:rPr>
                <w:b/>
                <w:noProof/>
                <w:sz w:val="20"/>
                <w:szCs w:val="20"/>
                <w:lang w:eastAsia="es-CR"/>
              </w:rPr>
              <w:t xml:space="preserve">Territorio Indígena y </w:t>
            </w:r>
            <w:r w:rsidR="003807C8">
              <w:rPr>
                <w:b/>
                <w:noProof/>
                <w:sz w:val="20"/>
                <w:szCs w:val="20"/>
                <w:lang w:eastAsia="es-CR"/>
              </w:rPr>
              <w:t>(</w:t>
            </w:r>
            <w:r w:rsidRPr="003807C8">
              <w:rPr>
                <w:b/>
                <w:noProof/>
                <w:sz w:val="20"/>
                <w:szCs w:val="20"/>
                <w:lang w:eastAsia="es-CR"/>
              </w:rPr>
              <w:t>Cultura</w:t>
            </w:r>
            <w:r w:rsidR="003807C8">
              <w:rPr>
                <w:b/>
                <w:noProof/>
                <w:sz w:val="20"/>
                <w:szCs w:val="20"/>
                <w:lang w:eastAsia="es-CR"/>
              </w:rPr>
              <w:t>)</w:t>
            </w:r>
          </w:p>
        </w:tc>
        <w:tc>
          <w:tcPr>
            <w:tcW w:w="942" w:type="dxa"/>
          </w:tcPr>
          <w:p w:rsidR="00C34554" w:rsidRPr="003807C8" w:rsidRDefault="00C34554" w:rsidP="003807C8">
            <w:pPr>
              <w:pStyle w:val="Default"/>
              <w:jc w:val="center"/>
              <w:rPr>
                <w:b/>
                <w:sz w:val="20"/>
                <w:szCs w:val="20"/>
              </w:rPr>
            </w:pPr>
            <w:r w:rsidRPr="003807C8">
              <w:rPr>
                <w:b/>
                <w:sz w:val="20"/>
                <w:szCs w:val="20"/>
              </w:rPr>
              <w:t>N° Decreto</w:t>
            </w:r>
          </w:p>
        </w:tc>
        <w:tc>
          <w:tcPr>
            <w:tcW w:w="866" w:type="dxa"/>
          </w:tcPr>
          <w:p w:rsidR="00C34554" w:rsidRPr="003807C8" w:rsidRDefault="00C34554" w:rsidP="003807C8">
            <w:pPr>
              <w:pStyle w:val="Default"/>
              <w:jc w:val="center"/>
              <w:rPr>
                <w:b/>
                <w:sz w:val="20"/>
                <w:szCs w:val="20"/>
              </w:rPr>
            </w:pPr>
            <w:r w:rsidRPr="003807C8">
              <w:rPr>
                <w:b/>
                <w:sz w:val="20"/>
                <w:szCs w:val="20"/>
              </w:rPr>
              <w:t>Fecha</w:t>
            </w:r>
          </w:p>
        </w:tc>
        <w:tc>
          <w:tcPr>
            <w:tcW w:w="1132" w:type="dxa"/>
          </w:tcPr>
          <w:p w:rsidR="00C34554" w:rsidRPr="003807C8" w:rsidRDefault="00C34554" w:rsidP="003807C8">
            <w:pPr>
              <w:pStyle w:val="Default"/>
              <w:jc w:val="center"/>
              <w:rPr>
                <w:b/>
                <w:sz w:val="20"/>
                <w:szCs w:val="20"/>
              </w:rPr>
            </w:pPr>
            <w:r w:rsidRPr="003807C8">
              <w:rPr>
                <w:b/>
                <w:sz w:val="20"/>
                <w:szCs w:val="20"/>
              </w:rPr>
              <w:t>Área (2)</w:t>
            </w:r>
          </w:p>
        </w:tc>
        <w:tc>
          <w:tcPr>
            <w:tcW w:w="1170" w:type="dxa"/>
          </w:tcPr>
          <w:p w:rsidR="00C34554" w:rsidRPr="003807C8" w:rsidRDefault="00C34554" w:rsidP="003807C8">
            <w:pPr>
              <w:pStyle w:val="Default"/>
              <w:jc w:val="center"/>
              <w:rPr>
                <w:b/>
                <w:sz w:val="20"/>
                <w:szCs w:val="20"/>
              </w:rPr>
            </w:pPr>
            <w:r w:rsidRPr="003807C8">
              <w:rPr>
                <w:b/>
                <w:sz w:val="20"/>
                <w:szCs w:val="20"/>
              </w:rPr>
              <w:t>Provincia</w:t>
            </w:r>
          </w:p>
        </w:tc>
        <w:tc>
          <w:tcPr>
            <w:tcW w:w="1272" w:type="dxa"/>
          </w:tcPr>
          <w:p w:rsidR="00C34554" w:rsidRPr="003807C8" w:rsidRDefault="00C34554" w:rsidP="003807C8">
            <w:pPr>
              <w:pStyle w:val="Default"/>
              <w:jc w:val="center"/>
              <w:rPr>
                <w:b/>
                <w:sz w:val="20"/>
                <w:szCs w:val="20"/>
              </w:rPr>
            </w:pPr>
            <w:r w:rsidRPr="003807C8">
              <w:rPr>
                <w:b/>
                <w:sz w:val="20"/>
                <w:szCs w:val="20"/>
              </w:rPr>
              <w:t>Cantón</w:t>
            </w:r>
          </w:p>
        </w:tc>
        <w:tc>
          <w:tcPr>
            <w:tcW w:w="1500" w:type="dxa"/>
          </w:tcPr>
          <w:p w:rsidR="00C34554" w:rsidRPr="003807C8" w:rsidRDefault="00C34554" w:rsidP="003807C8">
            <w:pPr>
              <w:pStyle w:val="Default"/>
              <w:jc w:val="center"/>
              <w:rPr>
                <w:b/>
                <w:sz w:val="20"/>
                <w:szCs w:val="20"/>
              </w:rPr>
            </w:pPr>
            <w:r w:rsidRPr="003807C8">
              <w:rPr>
                <w:b/>
                <w:sz w:val="20"/>
                <w:szCs w:val="20"/>
              </w:rPr>
              <w:t>Distrito</w:t>
            </w:r>
          </w:p>
        </w:tc>
      </w:tr>
      <w:tr w:rsidR="00C34554" w:rsidTr="00DE4C28">
        <w:tc>
          <w:tcPr>
            <w:tcW w:w="2172" w:type="dxa"/>
          </w:tcPr>
          <w:p w:rsidR="00C34554" w:rsidRDefault="00C34554" w:rsidP="00153966">
            <w:pPr>
              <w:pStyle w:val="Default"/>
              <w:numPr>
                <w:ilvl w:val="0"/>
                <w:numId w:val="1"/>
              </w:numPr>
              <w:ind w:hanging="436"/>
              <w:rPr>
                <w:sz w:val="20"/>
                <w:szCs w:val="20"/>
              </w:rPr>
            </w:pPr>
            <w:r>
              <w:rPr>
                <w:sz w:val="20"/>
                <w:szCs w:val="20"/>
              </w:rPr>
              <w:t xml:space="preserve">Guatuso ( </w:t>
            </w:r>
            <w:r>
              <w:rPr>
                <w:sz w:val="13"/>
                <w:szCs w:val="13"/>
              </w:rPr>
              <w:t>3</w:t>
            </w:r>
            <w:r>
              <w:rPr>
                <w:sz w:val="20"/>
                <w:szCs w:val="20"/>
              </w:rPr>
              <w:t>) (</w:t>
            </w:r>
            <w:proofErr w:type="spellStart"/>
            <w:r>
              <w:rPr>
                <w:sz w:val="20"/>
                <w:szCs w:val="20"/>
              </w:rPr>
              <w:t>Maleku</w:t>
            </w:r>
            <w:proofErr w:type="spellEnd"/>
            <w:r>
              <w:rPr>
                <w:sz w:val="20"/>
                <w:szCs w:val="20"/>
              </w:rPr>
              <w:t xml:space="preserve">) </w:t>
            </w:r>
          </w:p>
        </w:tc>
        <w:tc>
          <w:tcPr>
            <w:tcW w:w="942" w:type="dxa"/>
          </w:tcPr>
          <w:p w:rsidR="00C34554" w:rsidRDefault="00C34554" w:rsidP="003807C8">
            <w:pPr>
              <w:pStyle w:val="Default"/>
              <w:rPr>
                <w:sz w:val="20"/>
                <w:szCs w:val="20"/>
              </w:rPr>
            </w:pPr>
            <w:r>
              <w:rPr>
                <w:sz w:val="20"/>
                <w:szCs w:val="20"/>
              </w:rPr>
              <w:t xml:space="preserve">7962-G </w:t>
            </w:r>
          </w:p>
        </w:tc>
        <w:tc>
          <w:tcPr>
            <w:tcW w:w="866" w:type="dxa"/>
          </w:tcPr>
          <w:p w:rsidR="00C34554" w:rsidRDefault="00C34554" w:rsidP="003807C8">
            <w:pPr>
              <w:pStyle w:val="Default"/>
              <w:rPr>
                <w:sz w:val="20"/>
                <w:szCs w:val="20"/>
              </w:rPr>
            </w:pPr>
            <w:r>
              <w:rPr>
                <w:sz w:val="20"/>
                <w:szCs w:val="20"/>
              </w:rPr>
              <w:t xml:space="preserve">15-12-77 </w:t>
            </w:r>
          </w:p>
        </w:tc>
        <w:tc>
          <w:tcPr>
            <w:tcW w:w="1132" w:type="dxa"/>
          </w:tcPr>
          <w:p w:rsidR="00C34554" w:rsidRDefault="00C34554" w:rsidP="003807C8">
            <w:pPr>
              <w:pStyle w:val="Default"/>
              <w:rPr>
                <w:sz w:val="20"/>
                <w:szCs w:val="20"/>
              </w:rPr>
            </w:pPr>
            <w:r>
              <w:rPr>
                <w:sz w:val="20"/>
                <w:szCs w:val="20"/>
              </w:rPr>
              <w:t>2</w:t>
            </w:r>
            <w:r w:rsidR="003807C8">
              <w:rPr>
                <w:sz w:val="20"/>
                <w:szCs w:val="20"/>
              </w:rPr>
              <w:t xml:space="preserve"> </w:t>
            </w:r>
            <w:r>
              <w:rPr>
                <w:sz w:val="20"/>
                <w:szCs w:val="20"/>
              </w:rPr>
              <w:t xml:space="preserve">743 </w:t>
            </w:r>
            <w:proofErr w:type="spellStart"/>
            <w:r>
              <w:rPr>
                <w:sz w:val="20"/>
                <w:szCs w:val="20"/>
              </w:rPr>
              <w:t>Ha</w:t>
            </w:r>
            <w:proofErr w:type="spellEnd"/>
            <w:r>
              <w:rPr>
                <w:sz w:val="20"/>
                <w:szCs w:val="20"/>
              </w:rPr>
              <w:t xml:space="preserve"> 2994 Ha (*)</w:t>
            </w:r>
          </w:p>
        </w:tc>
        <w:tc>
          <w:tcPr>
            <w:tcW w:w="1170" w:type="dxa"/>
          </w:tcPr>
          <w:p w:rsidR="00C34554" w:rsidRDefault="00C34554" w:rsidP="003807C8">
            <w:pPr>
              <w:pStyle w:val="Default"/>
              <w:rPr>
                <w:sz w:val="20"/>
                <w:szCs w:val="20"/>
              </w:rPr>
            </w:pPr>
            <w:r>
              <w:rPr>
                <w:sz w:val="20"/>
                <w:szCs w:val="20"/>
              </w:rPr>
              <w:t xml:space="preserve">Alajuela </w:t>
            </w:r>
          </w:p>
        </w:tc>
        <w:tc>
          <w:tcPr>
            <w:tcW w:w="1272" w:type="dxa"/>
          </w:tcPr>
          <w:p w:rsidR="00C34554" w:rsidRDefault="00C34554" w:rsidP="003807C8">
            <w:pPr>
              <w:pStyle w:val="Default"/>
              <w:rPr>
                <w:sz w:val="20"/>
                <w:szCs w:val="20"/>
              </w:rPr>
            </w:pPr>
            <w:r>
              <w:rPr>
                <w:sz w:val="20"/>
                <w:szCs w:val="20"/>
              </w:rPr>
              <w:t xml:space="preserve">Guatuso </w:t>
            </w:r>
          </w:p>
          <w:p w:rsidR="003807C8" w:rsidRDefault="003807C8" w:rsidP="003807C8">
            <w:pPr>
              <w:pStyle w:val="Default"/>
              <w:rPr>
                <w:sz w:val="20"/>
                <w:szCs w:val="20"/>
              </w:rPr>
            </w:pPr>
            <w:r>
              <w:rPr>
                <w:sz w:val="20"/>
                <w:szCs w:val="20"/>
              </w:rPr>
              <w:t>San Carlos</w:t>
            </w:r>
          </w:p>
        </w:tc>
        <w:tc>
          <w:tcPr>
            <w:tcW w:w="1500" w:type="dxa"/>
          </w:tcPr>
          <w:p w:rsidR="00C34554" w:rsidRDefault="00C34554" w:rsidP="003807C8">
            <w:pPr>
              <w:pStyle w:val="Default"/>
              <w:rPr>
                <w:sz w:val="20"/>
                <w:szCs w:val="20"/>
              </w:rPr>
            </w:pPr>
            <w:r>
              <w:rPr>
                <w:sz w:val="20"/>
                <w:szCs w:val="20"/>
              </w:rPr>
              <w:t xml:space="preserve">San Rafael </w:t>
            </w:r>
          </w:p>
          <w:p w:rsidR="003807C8" w:rsidRDefault="003807C8" w:rsidP="003807C8">
            <w:pPr>
              <w:pStyle w:val="Default"/>
              <w:rPr>
                <w:sz w:val="20"/>
                <w:szCs w:val="20"/>
              </w:rPr>
            </w:pPr>
            <w:r>
              <w:rPr>
                <w:sz w:val="20"/>
                <w:szCs w:val="20"/>
              </w:rPr>
              <w:t>Venados</w:t>
            </w:r>
          </w:p>
        </w:tc>
      </w:tr>
      <w:tr w:rsidR="003807C8" w:rsidTr="00DE4C28">
        <w:tc>
          <w:tcPr>
            <w:tcW w:w="2172" w:type="dxa"/>
          </w:tcPr>
          <w:p w:rsidR="003807C8" w:rsidRDefault="003807C8" w:rsidP="00153966">
            <w:pPr>
              <w:pStyle w:val="Default"/>
              <w:numPr>
                <w:ilvl w:val="0"/>
                <w:numId w:val="1"/>
              </w:numPr>
              <w:rPr>
                <w:sz w:val="20"/>
                <w:szCs w:val="20"/>
              </w:rPr>
            </w:pPr>
            <w:proofErr w:type="spellStart"/>
            <w:r>
              <w:rPr>
                <w:sz w:val="20"/>
                <w:szCs w:val="20"/>
              </w:rPr>
              <w:t>Matambú</w:t>
            </w:r>
            <w:proofErr w:type="spellEnd"/>
            <w:r>
              <w:rPr>
                <w:sz w:val="20"/>
                <w:szCs w:val="20"/>
              </w:rPr>
              <w:t xml:space="preserve"> (Chorotega) </w:t>
            </w:r>
          </w:p>
        </w:tc>
        <w:tc>
          <w:tcPr>
            <w:tcW w:w="942" w:type="dxa"/>
          </w:tcPr>
          <w:p w:rsidR="003807C8" w:rsidRDefault="003807C8" w:rsidP="003807C8">
            <w:pPr>
              <w:pStyle w:val="Default"/>
              <w:rPr>
                <w:sz w:val="20"/>
                <w:szCs w:val="20"/>
              </w:rPr>
            </w:pPr>
            <w:r>
              <w:rPr>
                <w:sz w:val="20"/>
                <w:szCs w:val="20"/>
              </w:rPr>
              <w:t xml:space="preserve">11564-G </w:t>
            </w:r>
          </w:p>
        </w:tc>
        <w:tc>
          <w:tcPr>
            <w:tcW w:w="866" w:type="dxa"/>
          </w:tcPr>
          <w:p w:rsidR="003807C8" w:rsidRDefault="003807C8" w:rsidP="003807C8">
            <w:pPr>
              <w:pStyle w:val="Default"/>
              <w:rPr>
                <w:sz w:val="20"/>
                <w:szCs w:val="20"/>
              </w:rPr>
            </w:pPr>
            <w:r>
              <w:rPr>
                <w:sz w:val="20"/>
                <w:szCs w:val="20"/>
              </w:rPr>
              <w:t xml:space="preserve">2-6-80 </w:t>
            </w:r>
          </w:p>
        </w:tc>
        <w:tc>
          <w:tcPr>
            <w:tcW w:w="1132" w:type="dxa"/>
          </w:tcPr>
          <w:p w:rsidR="003807C8" w:rsidRDefault="003807C8" w:rsidP="003807C8">
            <w:pPr>
              <w:pStyle w:val="Default"/>
              <w:rPr>
                <w:sz w:val="20"/>
                <w:szCs w:val="20"/>
              </w:rPr>
            </w:pPr>
            <w:r>
              <w:rPr>
                <w:sz w:val="20"/>
                <w:szCs w:val="20"/>
              </w:rPr>
              <w:t xml:space="preserve">1710 Ha </w:t>
            </w:r>
          </w:p>
        </w:tc>
        <w:tc>
          <w:tcPr>
            <w:tcW w:w="1170" w:type="dxa"/>
          </w:tcPr>
          <w:p w:rsidR="003807C8" w:rsidRDefault="003807C8" w:rsidP="003807C8">
            <w:pPr>
              <w:pStyle w:val="Default"/>
              <w:rPr>
                <w:sz w:val="20"/>
                <w:szCs w:val="20"/>
              </w:rPr>
            </w:pPr>
            <w:r>
              <w:rPr>
                <w:sz w:val="20"/>
                <w:szCs w:val="20"/>
              </w:rPr>
              <w:t xml:space="preserve">Guanacaste </w:t>
            </w:r>
          </w:p>
        </w:tc>
        <w:tc>
          <w:tcPr>
            <w:tcW w:w="1272" w:type="dxa"/>
          </w:tcPr>
          <w:p w:rsidR="003807C8" w:rsidRDefault="003807C8" w:rsidP="003807C8">
            <w:pPr>
              <w:pStyle w:val="Default"/>
              <w:rPr>
                <w:sz w:val="20"/>
                <w:szCs w:val="20"/>
              </w:rPr>
            </w:pPr>
            <w:proofErr w:type="spellStart"/>
            <w:r>
              <w:rPr>
                <w:sz w:val="20"/>
                <w:szCs w:val="20"/>
              </w:rPr>
              <w:t>Nicoya</w:t>
            </w:r>
            <w:proofErr w:type="spellEnd"/>
            <w:r>
              <w:rPr>
                <w:sz w:val="20"/>
                <w:szCs w:val="20"/>
              </w:rPr>
              <w:t xml:space="preserve"> </w:t>
            </w:r>
          </w:p>
        </w:tc>
        <w:tc>
          <w:tcPr>
            <w:tcW w:w="1500" w:type="dxa"/>
          </w:tcPr>
          <w:p w:rsidR="003807C8" w:rsidRDefault="003807C8" w:rsidP="003807C8">
            <w:pPr>
              <w:pStyle w:val="Default"/>
              <w:rPr>
                <w:sz w:val="20"/>
                <w:szCs w:val="20"/>
              </w:rPr>
            </w:pPr>
            <w:proofErr w:type="spellStart"/>
            <w:r>
              <w:rPr>
                <w:sz w:val="20"/>
                <w:szCs w:val="20"/>
              </w:rPr>
              <w:t>Hojancha</w:t>
            </w:r>
            <w:proofErr w:type="spellEnd"/>
          </w:p>
          <w:p w:rsidR="003807C8" w:rsidRDefault="003807C8" w:rsidP="003807C8">
            <w:pPr>
              <w:pStyle w:val="Default"/>
              <w:rPr>
                <w:sz w:val="20"/>
                <w:szCs w:val="20"/>
              </w:rPr>
            </w:pPr>
            <w:proofErr w:type="spellStart"/>
            <w:r>
              <w:rPr>
                <w:sz w:val="20"/>
                <w:szCs w:val="20"/>
              </w:rPr>
              <w:t>Nicoya</w:t>
            </w:r>
            <w:proofErr w:type="spellEnd"/>
          </w:p>
          <w:p w:rsidR="003807C8" w:rsidRDefault="003807C8" w:rsidP="003807C8">
            <w:pPr>
              <w:pStyle w:val="Default"/>
              <w:rPr>
                <w:sz w:val="20"/>
                <w:szCs w:val="20"/>
              </w:rPr>
            </w:pPr>
            <w:r>
              <w:rPr>
                <w:sz w:val="20"/>
                <w:szCs w:val="20"/>
              </w:rPr>
              <w:t xml:space="preserve">Mansión </w:t>
            </w:r>
          </w:p>
        </w:tc>
      </w:tr>
      <w:tr w:rsidR="003807C8" w:rsidTr="00DE4C28">
        <w:tc>
          <w:tcPr>
            <w:tcW w:w="2172" w:type="dxa"/>
          </w:tcPr>
          <w:p w:rsidR="003807C8" w:rsidRDefault="003807C8" w:rsidP="00153966">
            <w:pPr>
              <w:pStyle w:val="Default"/>
              <w:numPr>
                <w:ilvl w:val="0"/>
                <w:numId w:val="1"/>
              </w:numPr>
              <w:rPr>
                <w:sz w:val="20"/>
                <w:szCs w:val="20"/>
              </w:rPr>
            </w:pPr>
            <w:proofErr w:type="spellStart"/>
            <w:r>
              <w:rPr>
                <w:sz w:val="20"/>
                <w:szCs w:val="20"/>
              </w:rPr>
              <w:t>Cabagra</w:t>
            </w:r>
            <w:proofErr w:type="spellEnd"/>
            <w:r>
              <w:rPr>
                <w:sz w:val="20"/>
                <w:szCs w:val="20"/>
              </w:rPr>
              <w:t xml:space="preserve"> (</w:t>
            </w:r>
            <w:proofErr w:type="spellStart"/>
            <w:r>
              <w:rPr>
                <w:sz w:val="20"/>
                <w:szCs w:val="20"/>
              </w:rPr>
              <w:t>Bribri</w:t>
            </w:r>
            <w:proofErr w:type="spellEnd"/>
            <w:r>
              <w:rPr>
                <w:sz w:val="20"/>
                <w:szCs w:val="20"/>
              </w:rPr>
              <w:t xml:space="preserve">) </w:t>
            </w:r>
          </w:p>
        </w:tc>
        <w:tc>
          <w:tcPr>
            <w:tcW w:w="942" w:type="dxa"/>
          </w:tcPr>
          <w:p w:rsidR="003807C8" w:rsidRDefault="003807C8" w:rsidP="003807C8">
            <w:pPr>
              <w:pStyle w:val="Default"/>
              <w:rPr>
                <w:sz w:val="20"/>
                <w:szCs w:val="20"/>
              </w:rPr>
            </w:pPr>
            <w:r>
              <w:rPr>
                <w:sz w:val="20"/>
                <w:szCs w:val="20"/>
              </w:rPr>
              <w:t xml:space="preserve">13571-G </w:t>
            </w:r>
          </w:p>
        </w:tc>
        <w:tc>
          <w:tcPr>
            <w:tcW w:w="866" w:type="dxa"/>
          </w:tcPr>
          <w:p w:rsidR="003807C8" w:rsidRDefault="003807C8" w:rsidP="003807C8">
            <w:pPr>
              <w:pStyle w:val="Default"/>
              <w:rPr>
                <w:sz w:val="20"/>
                <w:szCs w:val="20"/>
              </w:rPr>
            </w:pPr>
            <w:r>
              <w:rPr>
                <w:sz w:val="20"/>
                <w:szCs w:val="20"/>
              </w:rPr>
              <w:t xml:space="preserve">30-4-82 </w:t>
            </w:r>
          </w:p>
        </w:tc>
        <w:tc>
          <w:tcPr>
            <w:tcW w:w="1132" w:type="dxa"/>
          </w:tcPr>
          <w:p w:rsidR="003807C8" w:rsidRDefault="003807C8" w:rsidP="003807C8">
            <w:pPr>
              <w:pStyle w:val="Default"/>
              <w:rPr>
                <w:sz w:val="20"/>
                <w:szCs w:val="20"/>
              </w:rPr>
            </w:pPr>
            <w:r>
              <w:rPr>
                <w:sz w:val="20"/>
                <w:szCs w:val="20"/>
              </w:rPr>
              <w:t xml:space="preserve">27860 Ha </w:t>
            </w:r>
          </w:p>
        </w:tc>
        <w:tc>
          <w:tcPr>
            <w:tcW w:w="1170" w:type="dxa"/>
          </w:tcPr>
          <w:p w:rsidR="003807C8" w:rsidRDefault="003807C8" w:rsidP="003807C8">
            <w:pPr>
              <w:pStyle w:val="Default"/>
              <w:rPr>
                <w:sz w:val="20"/>
                <w:szCs w:val="20"/>
              </w:rPr>
            </w:pPr>
            <w:r>
              <w:rPr>
                <w:sz w:val="20"/>
                <w:szCs w:val="20"/>
              </w:rPr>
              <w:t xml:space="preserve">Puntarenas </w:t>
            </w:r>
          </w:p>
        </w:tc>
        <w:tc>
          <w:tcPr>
            <w:tcW w:w="1272" w:type="dxa"/>
          </w:tcPr>
          <w:p w:rsidR="003807C8" w:rsidRDefault="003807C8" w:rsidP="003807C8">
            <w:pPr>
              <w:pStyle w:val="Default"/>
              <w:rPr>
                <w:sz w:val="20"/>
                <w:szCs w:val="20"/>
              </w:rPr>
            </w:pPr>
            <w:r>
              <w:rPr>
                <w:sz w:val="20"/>
                <w:szCs w:val="20"/>
              </w:rPr>
              <w:t xml:space="preserve">Buenos Aires </w:t>
            </w:r>
          </w:p>
        </w:tc>
        <w:tc>
          <w:tcPr>
            <w:tcW w:w="1500" w:type="dxa"/>
          </w:tcPr>
          <w:p w:rsidR="003807C8" w:rsidRDefault="003807C8" w:rsidP="003807C8">
            <w:pPr>
              <w:pStyle w:val="Default"/>
              <w:rPr>
                <w:sz w:val="20"/>
                <w:szCs w:val="20"/>
              </w:rPr>
            </w:pPr>
            <w:r>
              <w:rPr>
                <w:sz w:val="20"/>
                <w:szCs w:val="20"/>
              </w:rPr>
              <w:t xml:space="preserve">Potrero Grande </w:t>
            </w:r>
          </w:p>
        </w:tc>
      </w:tr>
      <w:tr w:rsidR="003807C8" w:rsidTr="00DE4C28">
        <w:tc>
          <w:tcPr>
            <w:tcW w:w="2172" w:type="dxa"/>
          </w:tcPr>
          <w:p w:rsidR="003807C8" w:rsidRDefault="003807C8" w:rsidP="00153966">
            <w:pPr>
              <w:pStyle w:val="Default"/>
              <w:numPr>
                <w:ilvl w:val="0"/>
                <w:numId w:val="1"/>
              </w:numPr>
              <w:rPr>
                <w:sz w:val="20"/>
                <w:szCs w:val="20"/>
              </w:rPr>
            </w:pPr>
            <w:r>
              <w:rPr>
                <w:sz w:val="20"/>
                <w:szCs w:val="20"/>
              </w:rPr>
              <w:t>U jarras (</w:t>
            </w:r>
            <w:proofErr w:type="spellStart"/>
            <w:r>
              <w:rPr>
                <w:sz w:val="20"/>
                <w:szCs w:val="20"/>
              </w:rPr>
              <w:t>Cabecar</w:t>
            </w:r>
            <w:proofErr w:type="spellEnd"/>
            <w:r>
              <w:rPr>
                <w:sz w:val="20"/>
                <w:szCs w:val="20"/>
              </w:rPr>
              <w:t xml:space="preserve">) </w:t>
            </w:r>
          </w:p>
        </w:tc>
        <w:tc>
          <w:tcPr>
            <w:tcW w:w="942" w:type="dxa"/>
          </w:tcPr>
          <w:p w:rsidR="003807C8" w:rsidRDefault="003807C8" w:rsidP="003807C8">
            <w:pPr>
              <w:pStyle w:val="Default"/>
              <w:rPr>
                <w:sz w:val="20"/>
                <w:szCs w:val="20"/>
              </w:rPr>
            </w:pPr>
            <w:r>
              <w:rPr>
                <w:sz w:val="20"/>
                <w:szCs w:val="20"/>
              </w:rPr>
              <w:t xml:space="preserve">13571 </w:t>
            </w:r>
          </w:p>
        </w:tc>
        <w:tc>
          <w:tcPr>
            <w:tcW w:w="866" w:type="dxa"/>
          </w:tcPr>
          <w:p w:rsidR="003807C8" w:rsidRDefault="003807C8" w:rsidP="003807C8">
            <w:pPr>
              <w:pStyle w:val="Default"/>
              <w:rPr>
                <w:sz w:val="20"/>
                <w:szCs w:val="20"/>
              </w:rPr>
            </w:pPr>
            <w:r>
              <w:rPr>
                <w:sz w:val="20"/>
                <w:szCs w:val="20"/>
              </w:rPr>
              <w:t xml:space="preserve">30-4-82 </w:t>
            </w:r>
          </w:p>
        </w:tc>
        <w:tc>
          <w:tcPr>
            <w:tcW w:w="1132" w:type="dxa"/>
          </w:tcPr>
          <w:p w:rsidR="003807C8" w:rsidRDefault="003807C8" w:rsidP="003807C8">
            <w:pPr>
              <w:pStyle w:val="Default"/>
              <w:rPr>
                <w:sz w:val="20"/>
                <w:szCs w:val="20"/>
              </w:rPr>
            </w:pPr>
            <w:r>
              <w:rPr>
                <w:sz w:val="20"/>
                <w:szCs w:val="20"/>
              </w:rPr>
              <w:t xml:space="preserve">19040 Ha </w:t>
            </w:r>
          </w:p>
        </w:tc>
        <w:tc>
          <w:tcPr>
            <w:tcW w:w="1170" w:type="dxa"/>
          </w:tcPr>
          <w:p w:rsidR="003807C8" w:rsidRDefault="003807C8" w:rsidP="003807C8">
            <w:pPr>
              <w:pStyle w:val="Default"/>
              <w:rPr>
                <w:sz w:val="20"/>
                <w:szCs w:val="20"/>
              </w:rPr>
            </w:pPr>
            <w:r>
              <w:rPr>
                <w:sz w:val="20"/>
                <w:szCs w:val="20"/>
              </w:rPr>
              <w:t xml:space="preserve">Puntarenas </w:t>
            </w:r>
          </w:p>
        </w:tc>
        <w:tc>
          <w:tcPr>
            <w:tcW w:w="1272" w:type="dxa"/>
          </w:tcPr>
          <w:p w:rsidR="003807C8" w:rsidRDefault="003807C8" w:rsidP="003807C8">
            <w:pPr>
              <w:pStyle w:val="Default"/>
              <w:rPr>
                <w:sz w:val="20"/>
                <w:szCs w:val="20"/>
              </w:rPr>
            </w:pPr>
            <w:r>
              <w:rPr>
                <w:sz w:val="20"/>
                <w:szCs w:val="20"/>
              </w:rPr>
              <w:t xml:space="preserve">Buenos Aires </w:t>
            </w:r>
          </w:p>
        </w:tc>
        <w:tc>
          <w:tcPr>
            <w:tcW w:w="1500" w:type="dxa"/>
          </w:tcPr>
          <w:p w:rsidR="003807C8" w:rsidRDefault="003807C8" w:rsidP="00DE4C28">
            <w:pPr>
              <w:pStyle w:val="Default"/>
              <w:rPr>
                <w:sz w:val="20"/>
                <w:szCs w:val="20"/>
              </w:rPr>
            </w:pPr>
            <w:r>
              <w:rPr>
                <w:sz w:val="20"/>
                <w:szCs w:val="20"/>
              </w:rPr>
              <w:t>B</w:t>
            </w:r>
            <w:r w:rsidR="00DE4C28">
              <w:rPr>
                <w:sz w:val="20"/>
                <w:szCs w:val="20"/>
              </w:rPr>
              <w:t xml:space="preserve">uenos </w:t>
            </w:r>
            <w:r>
              <w:rPr>
                <w:sz w:val="20"/>
                <w:szCs w:val="20"/>
              </w:rPr>
              <w:t xml:space="preserve">Aires </w:t>
            </w:r>
          </w:p>
        </w:tc>
      </w:tr>
      <w:tr w:rsidR="003807C8" w:rsidTr="00DE4C28">
        <w:tc>
          <w:tcPr>
            <w:tcW w:w="2172" w:type="dxa"/>
          </w:tcPr>
          <w:p w:rsidR="003807C8" w:rsidRDefault="003807C8" w:rsidP="00153966">
            <w:pPr>
              <w:pStyle w:val="Default"/>
              <w:numPr>
                <w:ilvl w:val="0"/>
                <w:numId w:val="1"/>
              </w:numPr>
              <w:rPr>
                <w:sz w:val="20"/>
                <w:szCs w:val="20"/>
              </w:rPr>
            </w:pPr>
            <w:r>
              <w:rPr>
                <w:sz w:val="20"/>
                <w:szCs w:val="20"/>
              </w:rPr>
              <w:t xml:space="preserve">Salitre </w:t>
            </w:r>
          </w:p>
          <w:p w:rsidR="003807C8" w:rsidRDefault="003807C8" w:rsidP="00153966">
            <w:pPr>
              <w:pStyle w:val="Default"/>
              <w:ind w:left="720"/>
              <w:rPr>
                <w:sz w:val="20"/>
                <w:szCs w:val="20"/>
              </w:rPr>
            </w:pPr>
            <w:r>
              <w:rPr>
                <w:sz w:val="20"/>
                <w:szCs w:val="20"/>
              </w:rPr>
              <w:t>(</w:t>
            </w:r>
            <w:proofErr w:type="spellStart"/>
            <w:r>
              <w:rPr>
                <w:sz w:val="20"/>
                <w:szCs w:val="20"/>
              </w:rPr>
              <w:t>Bribri</w:t>
            </w:r>
            <w:proofErr w:type="spellEnd"/>
            <w:r>
              <w:rPr>
                <w:sz w:val="20"/>
                <w:szCs w:val="20"/>
              </w:rPr>
              <w:t xml:space="preserve">) </w:t>
            </w:r>
          </w:p>
        </w:tc>
        <w:tc>
          <w:tcPr>
            <w:tcW w:w="942" w:type="dxa"/>
          </w:tcPr>
          <w:p w:rsidR="003807C8" w:rsidRDefault="003807C8" w:rsidP="003807C8">
            <w:pPr>
              <w:pStyle w:val="Default"/>
              <w:rPr>
                <w:sz w:val="20"/>
                <w:szCs w:val="20"/>
              </w:rPr>
            </w:pPr>
            <w:r>
              <w:rPr>
                <w:sz w:val="20"/>
                <w:szCs w:val="20"/>
              </w:rPr>
              <w:t xml:space="preserve">13571 </w:t>
            </w:r>
          </w:p>
        </w:tc>
        <w:tc>
          <w:tcPr>
            <w:tcW w:w="866" w:type="dxa"/>
          </w:tcPr>
          <w:p w:rsidR="003807C8" w:rsidRDefault="003807C8" w:rsidP="003807C8">
            <w:pPr>
              <w:pStyle w:val="Default"/>
              <w:rPr>
                <w:sz w:val="20"/>
                <w:szCs w:val="20"/>
              </w:rPr>
            </w:pPr>
            <w:r>
              <w:rPr>
                <w:sz w:val="20"/>
                <w:szCs w:val="20"/>
              </w:rPr>
              <w:t xml:space="preserve">30-4-82 </w:t>
            </w:r>
          </w:p>
        </w:tc>
        <w:tc>
          <w:tcPr>
            <w:tcW w:w="1132" w:type="dxa"/>
          </w:tcPr>
          <w:p w:rsidR="003807C8" w:rsidRDefault="003807C8" w:rsidP="003807C8">
            <w:pPr>
              <w:pStyle w:val="Default"/>
              <w:rPr>
                <w:sz w:val="20"/>
                <w:szCs w:val="20"/>
              </w:rPr>
            </w:pPr>
            <w:r>
              <w:rPr>
                <w:sz w:val="20"/>
                <w:szCs w:val="20"/>
              </w:rPr>
              <w:t xml:space="preserve">11700 Ha </w:t>
            </w:r>
          </w:p>
        </w:tc>
        <w:tc>
          <w:tcPr>
            <w:tcW w:w="1170" w:type="dxa"/>
          </w:tcPr>
          <w:p w:rsidR="003807C8" w:rsidRDefault="003807C8" w:rsidP="003807C8">
            <w:pPr>
              <w:pStyle w:val="Default"/>
              <w:rPr>
                <w:sz w:val="20"/>
                <w:szCs w:val="20"/>
              </w:rPr>
            </w:pPr>
            <w:r>
              <w:rPr>
                <w:sz w:val="20"/>
                <w:szCs w:val="20"/>
              </w:rPr>
              <w:t xml:space="preserve">Puntarenas </w:t>
            </w:r>
          </w:p>
        </w:tc>
        <w:tc>
          <w:tcPr>
            <w:tcW w:w="1272" w:type="dxa"/>
          </w:tcPr>
          <w:p w:rsidR="003807C8" w:rsidRDefault="003807C8" w:rsidP="003807C8">
            <w:pPr>
              <w:pStyle w:val="Default"/>
              <w:rPr>
                <w:sz w:val="20"/>
                <w:szCs w:val="20"/>
              </w:rPr>
            </w:pPr>
            <w:r>
              <w:rPr>
                <w:sz w:val="20"/>
                <w:szCs w:val="20"/>
              </w:rPr>
              <w:t xml:space="preserve">Buenos Aires </w:t>
            </w:r>
          </w:p>
        </w:tc>
        <w:tc>
          <w:tcPr>
            <w:tcW w:w="1500" w:type="dxa"/>
          </w:tcPr>
          <w:p w:rsidR="003807C8" w:rsidRDefault="00DE4C28" w:rsidP="003807C8">
            <w:pPr>
              <w:pStyle w:val="Default"/>
              <w:rPr>
                <w:sz w:val="20"/>
                <w:szCs w:val="20"/>
              </w:rPr>
            </w:pPr>
            <w:r>
              <w:rPr>
                <w:sz w:val="20"/>
                <w:szCs w:val="20"/>
              </w:rPr>
              <w:t xml:space="preserve">Buenos </w:t>
            </w:r>
            <w:r w:rsidR="003807C8">
              <w:rPr>
                <w:sz w:val="20"/>
                <w:szCs w:val="20"/>
              </w:rPr>
              <w:t xml:space="preserve">Aires </w:t>
            </w:r>
          </w:p>
        </w:tc>
      </w:tr>
      <w:tr w:rsidR="003807C8" w:rsidTr="00DE4C28">
        <w:tc>
          <w:tcPr>
            <w:tcW w:w="2172" w:type="dxa"/>
          </w:tcPr>
          <w:p w:rsidR="003807C8" w:rsidRDefault="003807C8" w:rsidP="00153966">
            <w:pPr>
              <w:pStyle w:val="Default"/>
              <w:numPr>
                <w:ilvl w:val="0"/>
                <w:numId w:val="1"/>
              </w:numPr>
              <w:rPr>
                <w:sz w:val="20"/>
                <w:szCs w:val="20"/>
              </w:rPr>
            </w:pPr>
            <w:r>
              <w:rPr>
                <w:sz w:val="20"/>
                <w:szCs w:val="20"/>
              </w:rPr>
              <w:t>Boruca (</w:t>
            </w:r>
            <w:proofErr w:type="spellStart"/>
            <w:r>
              <w:rPr>
                <w:sz w:val="20"/>
                <w:szCs w:val="20"/>
              </w:rPr>
              <w:t>Brunka</w:t>
            </w:r>
            <w:proofErr w:type="spellEnd"/>
            <w:r>
              <w:rPr>
                <w:sz w:val="20"/>
                <w:szCs w:val="20"/>
              </w:rPr>
              <w:t xml:space="preserve">) </w:t>
            </w:r>
          </w:p>
        </w:tc>
        <w:tc>
          <w:tcPr>
            <w:tcW w:w="942" w:type="dxa"/>
          </w:tcPr>
          <w:p w:rsidR="003807C8" w:rsidRDefault="003807C8" w:rsidP="003807C8">
            <w:pPr>
              <w:pStyle w:val="Default"/>
              <w:rPr>
                <w:sz w:val="20"/>
                <w:szCs w:val="20"/>
              </w:rPr>
            </w:pPr>
            <w:r>
              <w:rPr>
                <w:sz w:val="20"/>
                <w:szCs w:val="20"/>
              </w:rPr>
              <w:t xml:space="preserve">22203 </w:t>
            </w:r>
          </w:p>
        </w:tc>
        <w:tc>
          <w:tcPr>
            <w:tcW w:w="866" w:type="dxa"/>
          </w:tcPr>
          <w:p w:rsidR="003807C8" w:rsidRDefault="003807C8" w:rsidP="003807C8">
            <w:pPr>
              <w:pStyle w:val="Default"/>
              <w:rPr>
                <w:sz w:val="20"/>
                <w:szCs w:val="20"/>
              </w:rPr>
            </w:pPr>
            <w:r>
              <w:rPr>
                <w:sz w:val="20"/>
                <w:szCs w:val="20"/>
              </w:rPr>
              <w:t xml:space="preserve">16-4-93 </w:t>
            </w:r>
          </w:p>
        </w:tc>
        <w:tc>
          <w:tcPr>
            <w:tcW w:w="1132" w:type="dxa"/>
          </w:tcPr>
          <w:p w:rsidR="003807C8" w:rsidRDefault="003807C8" w:rsidP="003807C8">
            <w:pPr>
              <w:pStyle w:val="Default"/>
              <w:rPr>
                <w:sz w:val="20"/>
                <w:szCs w:val="20"/>
              </w:rPr>
            </w:pPr>
            <w:r>
              <w:rPr>
                <w:sz w:val="20"/>
                <w:szCs w:val="20"/>
              </w:rPr>
              <w:t xml:space="preserve">12740 Ha </w:t>
            </w:r>
          </w:p>
        </w:tc>
        <w:tc>
          <w:tcPr>
            <w:tcW w:w="1170" w:type="dxa"/>
          </w:tcPr>
          <w:p w:rsidR="003807C8" w:rsidRDefault="003807C8" w:rsidP="003807C8">
            <w:pPr>
              <w:pStyle w:val="Default"/>
              <w:rPr>
                <w:sz w:val="20"/>
                <w:szCs w:val="20"/>
              </w:rPr>
            </w:pPr>
            <w:r>
              <w:rPr>
                <w:sz w:val="20"/>
                <w:szCs w:val="20"/>
              </w:rPr>
              <w:t xml:space="preserve">Puntarenas </w:t>
            </w:r>
          </w:p>
        </w:tc>
        <w:tc>
          <w:tcPr>
            <w:tcW w:w="1272" w:type="dxa"/>
          </w:tcPr>
          <w:p w:rsidR="003807C8" w:rsidRDefault="003807C8" w:rsidP="003807C8">
            <w:pPr>
              <w:pStyle w:val="Default"/>
              <w:rPr>
                <w:sz w:val="20"/>
                <w:szCs w:val="20"/>
              </w:rPr>
            </w:pPr>
            <w:r>
              <w:rPr>
                <w:sz w:val="20"/>
                <w:szCs w:val="20"/>
              </w:rPr>
              <w:t xml:space="preserve">Buenos Aires </w:t>
            </w:r>
          </w:p>
        </w:tc>
        <w:tc>
          <w:tcPr>
            <w:tcW w:w="1500" w:type="dxa"/>
          </w:tcPr>
          <w:p w:rsidR="003807C8" w:rsidRDefault="003807C8" w:rsidP="003807C8">
            <w:pPr>
              <w:pStyle w:val="Default"/>
              <w:rPr>
                <w:sz w:val="20"/>
                <w:szCs w:val="20"/>
              </w:rPr>
            </w:pPr>
            <w:r>
              <w:rPr>
                <w:sz w:val="20"/>
                <w:szCs w:val="20"/>
              </w:rPr>
              <w:t>Potrero  Grande Colinas</w:t>
            </w:r>
          </w:p>
          <w:p w:rsidR="003807C8" w:rsidRDefault="003807C8" w:rsidP="003807C8">
            <w:pPr>
              <w:pStyle w:val="Default"/>
              <w:rPr>
                <w:sz w:val="20"/>
                <w:szCs w:val="20"/>
              </w:rPr>
            </w:pPr>
            <w:r>
              <w:rPr>
                <w:sz w:val="20"/>
                <w:szCs w:val="20"/>
              </w:rPr>
              <w:t>Palmar</w:t>
            </w:r>
          </w:p>
        </w:tc>
      </w:tr>
      <w:tr w:rsidR="003807C8" w:rsidTr="00DE4C28">
        <w:tc>
          <w:tcPr>
            <w:tcW w:w="2172" w:type="dxa"/>
          </w:tcPr>
          <w:p w:rsidR="003807C8" w:rsidRDefault="003807C8" w:rsidP="00153966">
            <w:pPr>
              <w:pStyle w:val="Default"/>
              <w:numPr>
                <w:ilvl w:val="0"/>
                <w:numId w:val="1"/>
              </w:numPr>
              <w:rPr>
                <w:sz w:val="20"/>
                <w:szCs w:val="20"/>
              </w:rPr>
            </w:pPr>
            <w:r>
              <w:rPr>
                <w:sz w:val="20"/>
                <w:szCs w:val="20"/>
              </w:rPr>
              <w:t>Rey Curre (</w:t>
            </w:r>
            <w:proofErr w:type="spellStart"/>
            <w:r>
              <w:rPr>
                <w:sz w:val="20"/>
                <w:szCs w:val="20"/>
              </w:rPr>
              <w:t>Brunka</w:t>
            </w:r>
            <w:proofErr w:type="spellEnd"/>
            <w:r>
              <w:rPr>
                <w:sz w:val="20"/>
                <w:szCs w:val="20"/>
              </w:rPr>
              <w:t xml:space="preserve">) </w:t>
            </w:r>
          </w:p>
        </w:tc>
        <w:tc>
          <w:tcPr>
            <w:tcW w:w="942" w:type="dxa"/>
          </w:tcPr>
          <w:p w:rsidR="003807C8" w:rsidRDefault="003807C8" w:rsidP="003807C8">
            <w:pPr>
              <w:pStyle w:val="Default"/>
              <w:rPr>
                <w:sz w:val="20"/>
                <w:szCs w:val="20"/>
              </w:rPr>
            </w:pPr>
            <w:r>
              <w:rPr>
                <w:sz w:val="20"/>
                <w:szCs w:val="20"/>
              </w:rPr>
              <w:t xml:space="preserve">22203 </w:t>
            </w:r>
          </w:p>
        </w:tc>
        <w:tc>
          <w:tcPr>
            <w:tcW w:w="866" w:type="dxa"/>
          </w:tcPr>
          <w:p w:rsidR="003807C8" w:rsidRDefault="003807C8" w:rsidP="003807C8">
            <w:pPr>
              <w:pStyle w:val="Default"/>
              <w:rPr>
                <w:sz w:val="20"/>
                <w:szCs w:val="20"/>
              </w:rPr>
            </w:pPr>
            <w:r>
              <w:rPr>
                <w:sz w:val="20"/>
                <w:szCs w:val="20"/>
              </w:rPr>
              <w:t xml:space="preserve">16-4-93 </w:t>
            </w:r>
          </w:p>
        </w:tc>
        <w:tc>
          <w:tcPr>
            <w:tcW w:w="1132" w:type="dxa"/>
          </w:tcPr>
          <w:p w:rsidR="003807C8" w:rsidRDefault="003807C8" w:rsidP="003807C8">
            <w:pPr>
              <w:pStyle w:val="Default"/>
              <w:rPr>
                <w:sz w:val="20"/>
                <w:szCs w:val="20"/>
              </w:rPr>
            </w:pPr>
            <w:r>
              <w:rPr>
                <w:sz w:val="20"/>
                <w:szCs w:val="20"/>
              </w:rPr>
              <w:t xml:space="preserve">10620 Ha </w:t>
            </w:r>
          </w:p>
        </w:tc>
        <w:tc>
          <w:tcPr>
            <w:tcW w:w="1170" w:type="dxa"/>
          </w:tcPr>
          <w:p w:rsidR="003807C8" w:rsidRDefault="003807C8" w:rsidP="003807C8">
            <w:pPr>
              <w:pStyle w:val="Default"/>
              <w:rPr>
                <w:sz w:val="20"/>
                <w:szCs w:val="20"/>
              </w:rPr>
            </w:pPr>
            <w:r>
              <w:rPr>
                <w:sz w:val="20"/>
                <w:szCs w:val="20"/>
              </w:rPr>
              <w:t xml:space="preserve">Puntarenas </w:t>
            </w:r>
          </w:p>
        </w:tc>
        <w:tc>
          <w:tcPr>
            <w:tcW w:w="1272" w:type="dxa"/>
          </w:tcPr>
          <w:p w:rsidR="003807C8" w:rsidRDefault="003807C8" w:rsidP="003807C8">
            <w:pPr>
              <w:pStyle w:val="Default"/>
              <w:rPr>
                <w:sz w:val="20"/>
                <w:szCs w:val="20"/>
              </w:rPr>
            </w:pPr>
            <w:r>
              <w:rPr>
                <w:sz w:val="20"/>
                <w:szCs w:val="20"/>
              </w:rPr>
              <w:t xml:space="preserve">Buenos Aires </w:t>
            </w:r>
          </w:p>
        </w:tc>
        <w:tc>
          <w:tcPr>
            <w:tcW w:w="1500" w:type="dxa"/>
          </w:tcPr>
          <w:p w:rsidR="003807C8" w:rsidRDefault="003807C8" w:rsidP="003807C8">
            <w:pPr>
              <w:pStyle w:val="Default"/>
              <w:rPr>
                <w:sz w:val="20"/>
                <w:szCs w:val="20"/>
              </w:rPr>
            </w:pPr>
            <w:r>
              <w:rPr>
                <w:sz w:val="20"/>
                <w:szCs w:val="20"/>
              </w:rPr>
              <w:t xml:space="preserve">Boruca </w:t>
            </w:r>
          </w:p>
          <w:p w:rsidR="003807C8" w:rsidRDefault="003807C8" w:rsidP="003807C8">
            <w:pPr>
              <w:pStyle w:val="Default"/>
              <w:rPr>
                <w:sz w:val="20"/>
                <w:szCs w:val="20"/>
              </w:rPr>
            </w:pPr>
            <w:r>
              <w:rPr>
                <w:sz w:val="20"/>
                <w:szCs w:val="20"/>
              </w:rPr>
              <w:t>Potrero Grande</w:t>
            </w:r>
          </w:p>
          <w:p w:rsidR="003807C8" w:rsidRDefault="00DE4C28" w:rsidP="003807C8">
            <w:pPr>
              <w:pStyle w:val="Default"/>
              <w:rPr>
                <w:sz w:val="20"/>
                <w:szCs w:val="20"/>
              </w:rPr>
            </w:pPr>
            <w:proofErr w:type="spellStart"/>
            <w:r>
              <w:rPr>
                <w:sz w:val="20"/>
                <w:szCs w:val="20"/>
              </w:rPr>
              <w:t>Cha</w:t>
            </w:r>
            <w:r w:rsidR="003807C8">
              <w:rPr>
                <w:sz w:val="20"/>
                <w:szCs w:val="20"/>
              </w:rPr>
              <w:t>nguena</w:t>
            </w:r>
            <w:proofErr w:type="spellEnd"/>
          </w:p>
          <w:p w:rsidR="003807C8" w:rsidRDefault="003807C8" w:rsidP="003807C8">
            <w:pPr>
              <w:pStyle w:val="Default"/>
              <w:rPr>
                <w:sz w:val="20"/>
                <w:szCs w:val="20"/>
              </w:rPr>
            </w:pPr>
            <w:r>
              <w:rPr>
                <w:sz w:val="20"/>
                <w:szCs w:val="20"/>
              </w:rPr>
              <w:t>Palmar</w:t>
            </w:r>
          </w:p>
        </w:tc>
      </w:tr>
      <w:tr w:rsidR="003807C8" w:rsidTr="00DE4C28">
        <w:tc>
          <w:tcPr>
            <w:tcW w:w="2172" w:type="dxa"/>
          </w:tcPr>
          <w:p w:rsidR="003807C8" w:rsidRDefault="003807C8" w:rsidP="00153966">
            <w:pPr>
              <w:pStyle w:val="Default"/>
              <w:numPr>
                <w:ilvl w:val="0"/>
                <w:numId w:val="1"/>
              </w:numPr>
              <w:rPr>
                <w:sz w:val="20"/>
                <w:szCs w:val="20"/>
              </w:rPr>
            </w:pPr>
            <w:proofErr w:type="spellStart"/>
            <w:r>
              <w:rPr>
                <w:sz w:val="20"/>
                <w:szCs w:val="20"/>
              </w:rPr>
              <w:t>Térraba</w:t>
            </w:r>
            <w:proofErr w:type="spellEnd"/>
            <w:r>
              <w:rPr>
                <w:sz w:val="20"/>
                <w:szCs w:val="20"/>
              </w:rPr>
              <w:t xml:space="preserve"> (</w:t>
            </w:r>
            <w:proofErr w:type="spellStart"/>
            <w:r>
              <w:rPr>
                <w:sz w:val="20"/>
                <w:szCs w:val="20"/>
              </w:rPr>
              <w:t>Teribe</w:t>
            </w:r>
            <w:proofErr w:type="spellEnd"/>
            <w:r>
              <w:rPr>
                <w:sz w:val="20"/>
                <w:szCs w:val="20"/>
              </w:rPr>
              <w:t xml:space="preserve">) </w:t>
            </w:r>
          </w:p>
        </w:tc>
        <w:tc>
          <w:tcPr>
            <w:tcW w:w="942" w:type="dxa"/>
          </w:tcPr>
          <w:p w:rsidR="003807C8" w:rsidRDefault="003807C8" w:rsidP="003807C8">
            <w:pPr>
              <w:pStyle w:val="Default"/>
              <w:rPr>
                <w:sz w:val="20"/>
                <w:szCs w:val="20"/>
              </w:rPr>
            </w:pPr>
            <w:r>
              <w:rPr>
                <w:sz w:val="20"/>
                <w:szCs w:val="20"/>
              </w:rPr>
              <w:t xml:space="preserve">22203 </w:t>
            </w:r>
          </w:p>
        </w:tc>
        <w:tc>
          <w:tcPr>
            <w:tcW w:w="866" w:type="dxa"/>
          </w:tcPr>
          <w:p w:rsidR="003807C8" w:rsidRDefault="003807C8" w:rsidP="003807C8">
            <w:pPr>
              <w:pStyle w:val="Default"/>
              <w:rPr>
                <w:sz w:val="20"/>
                <w:szCs w:val="20"/>
              </w:rPr>
            </w:pPr>
            <w:r>
              <w:rPr>
                <w:sz w:val="20"/>
                <w:szCs w:val="20"/>
              </w:rPr>
              <w:t xml:space="preserve">16-4-93 </w:t>
            </w:r>
          </w:p>
        </w:tc>
        <w:tc>
          <w:tcPr>
            <w:tcW w:w="1132" w:type="dxa"/>
          </w:tcPr>
          <w:p w:rsidR="003807C8" w:rsidRDefault="003807C8" w:rsidP="003807C8">
            <w:pPr>
              <w:pStyle w:val="Default"/>
              <w:rPr>
                <w:sz w:val="20"/>
                <w:szCs w:val="20"/>
              </w:rPr>
            </w:pPr>
            <w:r>
              <w:rPr>
                <w:sz w:val="20"/>
                <w:szCs w:val="20"/>
              </w:rPr>
              <w:t xml:space="preserve">9650 Ha o </w:t>
            </w:r>
          </w:p>
          <w:p w:rsidR="003807C8" w:rsidRDefault="003807C8" w:rsidP="003807C8">
            <w:pPr>
              <w:pStyle w:val="Default"/>
              <w:rPr>
                <w:sz w:val="20"/>
                <w:szCs w:val="20"/>
              </w:rPr>
            </w:pPr>
            <w:r>
              <w:rPr>
                <w:sz w:val="20"/>
                <w:szCs w:val="20"/>
              </w:rPr>
              <w:t xml:space="preserve">9350 Ha </w:t>
            </w:r>
          </w:p>
        </w:tc>
        <w:tc>
          <w:tcPr>
            <w:tcW w:w="1170" w:type="dxa"/>
          </w:tcPr>
          <w:p w:rsidR="003807C8" w:rsidRDefault="003807C8" w:rsidP="003807C8">
            <w:pPr>
              <w:pStyle w:val="Default"/>
              <w:rPr>
                <w:sz w:val="20"/>
                <w:szCs w:val="20"/>
              </w:rPr>
            </w:pPr>
            <w:r>
              <w:rPr>
                <w:sz w:val="20"/>
                <w:szCs w:val="20"/>
              </w:rPr>
              <w:t xml:space="preserve">Puntarenas </w:t>
            </w:r>
          </w:p>
        </w:tc>
        <w:tc>
          <w:tcPr>
            <w:tcW w:w="1272" w:type="dxa"/>
          </w:tcPr>
          <w:p w:rsidR="003807C8" w:rsidRDefault="003807C8" w:rsidP="003807C8">
            <w:pPr>
              <w:pStyle w:val="Default"/>
              <w:rPr>
                <w:sz w:val="20"/>
                <w:szCs w:val="20"/>
              </w:rPr>
            </w:pPr>
            <w:r>
              <w:rPr>
                <w:sz w:val="20"/>
                <w:szCs w:val="20"/>
              </w:rPr>
              <w:t xml:space="preserve">Buenos Aires </w:t>
            </w:r>
          </w:p>
        </w:tc>
        <w:tc>
          <w:tcPr>
            <w:tcW w:w="1500" w:type="dxa"/>
          </w:tcPr>
          <w:p w:rsidR="003807C8" w:rsidRDefault="003807C8" w:rsidP="003807C8">
            <w:pPr>
              <w:pStyle w:val="Default"/>
              <w:rPr>
                <w:sz w:val="20"/>
                <w:szCs w:val="20"/>
              </w:rPr>
            </w:pPr>
            <w:r>
              <w:rPr>
                <w:sz w:val="20"/>
                <w:szCs w:val="20"/>
              </w:rPr>
              <w:t>Potrero Grande</w:t>
            </w:r>
          </w:p>
          <w:p w:rsidR="003807C8" w:rsidRDefault="003807C8" w:rsidP="003807C8">
            <w:pPr>
              <w:pStyle w:val="Default"/>
              <w:rPr>
                <w:sz w:val="20"/>
                <w:szCs w:val="20"/>
              </w:rPr>
            </w:pPr>
            <w:r>
              <w:rPr>
                <w:sz w:val="20"/>
                <w:szCs w:val="20"/>
              </w:rPr>
              <w:t xml:space="preserve"> Boruca</w:t>
            </w:r>
          </w:p>
          <w:p w:rsidR="003807C8" w:rsidRDefault="003807C8" w:rsidP="003807C8">
            <w:pPr>
              <w:pStyle w:val="Default"/>
              <w:rPr>
                <w:sz w:val="20"/>
                <w:szCs w:val="20"/>
              </w:rPr>
            </w:pPr>
            <w:r>
              <w:rPr>
                <w:sz w:val="20"/>
                <w:szCs w:val="20"/>
              </w:rPr>
              <w:t xml:space="preserve"> Pilas</w:t>
            </w:r>
          </w:p>
        </w:tc>
      </w:tr>
      <w:tr w:rsidR="003807C8" w:rsidTr="00DE4C28">
        <w:tc>
          <w:tcPr>
            <w:tcW w:w="2172" w:type="dxa"/>
          </w:tcPr>
          <w:p w:rsidR="003807C8" w:rsidRDefault="003807C8" w:rsidP="00153966">
            <w:pPr>
              <w:pStyle w:val="Default"/>
              <w:numPr>
                <w:ilvl w:val="0"/>
                <w:numId w:val="1"/>
              </w:numPr>
              <w:rPr>
                <w:sz w:val="20"/>
                <w:szCs w:val="20"/>
              </w:rPr>
            </w:pPr>
            <w:r>
              <w:rPr>
                <w:sz w:val="20"/>
                <w:szCs w:val="20"/>
              </w:rPr>
              <w:t xml:space="preserve">China </w:t>
            </w:r>
            <w:proofErr w:type="spellStart"/>
            <w:r>
              <w:rPr>
                <w:sz w:val="20"/>
                <w:szCs w:val="20"/>
              </w:rPr>
              <w:t>Qichá</w:t>
            </w:r>
            <w:proofErr w:type="spellEnd"/>
            <w:r>
              <w:rPr>
                <w:sz w:val="20"/>
                <w:szCs w:val="20"/>
              </w:rPr>
              <w:t xml:space="preserve"> (</w:t>
            </w:r>
            <w:proofErr w:type="spellStart"/>
            <w:r>
              <w:rPr>
                <w:sz w:val="20"/>
                <w:szCs w:val="20"/>
              </w:rPr>
              <w:t>Cabecar</w:t>
            </w:r>
            <w:proofErr w:type="spellEnd"/>
            <w:r>
              <w:rPr>
                <w:sz w:val="20"/>
                <w:szCs w:val="20"/>
              </w:rPr>
              <w:t>)</w:t>
            </w:r>
          </w:p>
        </w:tc>
        <w:tc>
          <w:tcPr>
            <w:tcW w:w="942" w:type="dxa"/>
          </w:tcPr>
          <w:p w:rsidR="003807C8" w:rsidRDefault="003807C8" w:rsidP="003807C8">
            <w:pPr>
              <w:pStyle w:val="Default"/>
              <w:rPr>
                <w:sz w:val="20"/>
                <w:szCs w:val="20"/>
              </w:rPr>
            </w:pPr>
            <w:r>
              <w:rPr>
                <w:sz w:val="20"/>
                <w:szCs w:val="20"/>
              </w:rPr>
              <w:t xml:space="preserve">29447-G </w:t>
            </w:r>
          </w:p>
        </w:tc>
        <w:tc>
          <w:tcPr>
            <w:tcW w:w="866" w:type="dxa"/>
          </w:tcPr>
          <w:p w:rsidR="003807C8" w:rsidRDefault="003807C8" w:rsidP="003807C8">
            <w:pPr>
              <w:pStyle w:val="Default"/>
              <w:rPr>
                <w:sz w:val="20"/>
                <w:szCs w:val="20"/>
              </w:rPr>
            </w:pPr>
            <w:r>
              <w:rPr>
                <w:sz w:val="20"/>
                <w:szCs w:val="20"/>
              </w:rPr>
              <w:t xml:space="preserve">16-5-01 </w:t>
            </w:r>
          </w:p>
        </w:tc>
        <w:tc>
          <w:tcPr>
            <w:tcW w:w="1132" w:type="dxa"/>
          </w:tcPr>
          <w:p w:rsidR="003807C8" w:rsidRDefault="003807C8" w:rsidP="003807C8">
            <w:pPr>
              <w:pStyle w:val="Default"/>
              <w:rPr>
                <w:sz w:val="20"/>
                <w:szCs w:val="20"/>
              </w:rPr>
            </w:pPr>
            <w:r>
              <w:rPr>
                <w:sz w:val="20"/>
                <w:szCs w:val="20"/>
              </w:rPr>
              <w:t xml:space="preserve">1100 Ha </w:t>
            </w:r>
          </w:p>
        </w:tc>
        <w:tc>
          <w:tcPr>
            <w:tcW w:w="1170" w:type="dxa"/>
          </w:tcPr>
          <w:p w:rsidR="003807C8" w:rsidRDefault="003807C8" w:rsidP="003807C8">
            <w:pPr>
              <w:pStyle w:val="Default"/>
              <w:rPr>
                <w:sz w:val="20"/>
                <w:szCs w:val="20"/>
              </w:rPr>
            </w:pPr>
            <w:r>
              <w:rPr>
                <w:sz w:val="20"/>
                <w:szCs w:val="20"/>
              </w:rPr>
              <w:t xml:space="preserve">San José </w:t>
            </w:r>
          </w:p>
        </w:tc>
        <w:tc>
          <w:tcPr>
            <w:tcW w:w="1272" w:type="dxa"/>
          </w:tcPr>
          <w:p w:rsidR="003807C8" w:rsidRDefault="003807C8" w:rsidP="003807C8">
            <w:pPr>
              <w:pStyle w:val="Default"/>
              <w:rPr>
                <w:sz w:val="20"/>
                <w:szCs w:val="20"/>
              </w:rPr>
            </w:pPr>
            <w:r>
              <w:rPr>
                <w:sz w:val="20"/>
                <w:szCs w:val="20"/>
              </w:rPr>
              <w:t xml:space="preserve">Pérez Zeledón </w:t>
            </w:r>
          </w:p>
        </w:tc>
        <w:tc>
          <w:tcPr>
            <w:tcW w:w="1500" w:type="dxa"/>
          </w:tcPr>
          <w:p w:rsidR="003807C8" w:rsidRDefault="003807C8" w:rsidP="003807C8">
            <w:pPr>
              <w:rPr>
                <w:noProof/>
                <w:lang w:eastAsia="es-CR"/>
              </w:rPr>
            </w:pPr>
          </w:p>
        </w:tc>
      </w:tr>
      <w:tr w:rsidR="00F21015" w:rsidTr="00DE4C28">
        <w:tc>
          <w:tcPr>
            <w:tcW w:w="2172" w:type="dxa"/>
          </w:tcPr>
          <w:p w:rsidR="00F21015" w:rsidRDefault="00F21015" w:rsidP="00153966">
            <w:pPr>
              <w:pStyle w:val="Default"/>
              <w:numPr>
                <w:ilvl w:val="0"/>
                <w:numId w:val="1"/>
              </w:numPr>
              <w:rPr>
                <w:sz w:val="20"/>
                <w:szCs w:val="20"/>
              </w:rPr>
            </w:pPr>
            <w:proofErr w:type="spellStart"/>
            <w:r>
              <w:rPr>
                <w:sz w:val="20"/>
                <w:szCs w:val="20"/>
              </w:rPr>
              <w:t>Tayni</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F21015" w:rsidRDefault="00F21015" w:rsidP="00630E27">
            <w:pPr>
              <w:pStyle w:val="Default"/>
              <w:rPr>
                <w:sz w:val="20"/>
                <w:szCs w:val="20"/>
              </w:rPr>
            </w:pPr>
            <w:r>
              <w:rPr>
                <w:sz w:val="20"/>
                <w:szCs w:val="20"/>
              </w:rPr>
              <w:t xml:space="preserve">16058-G </w:t>
            </w:r>
          </w:p>
        </w:tc>
        <w:tc>
          <w:tcPr>
            <w:tcW w:w="866" w:type="dxa"/>
          </w:tcPr>
          <w:p w:rsidR="00F21015" w:rsidRDefault="00F21015" w:rsidP="00630E27">
            <w:pPr>
              <w:pStyle w:val="Default"/>
              <w:rPr>
                <w:sz w:val="20"/>
                <w:szCs w:val="20"/>
              </w:rPr>
            </w:pPr>
            <w:r>
              <w:rPr>
                <w:sz w:val="20"/>
                <w:szCs w:val="20"/>
              </w:rPr>
              <w:t xml:space="preserve">3-12-84 </w:t>
            </w:r>
          </w:p>
        </w:tc>
        <w:tc>
          <w:tcPr>
            <w:tcW w:w="1132" w:type="dxa"/>
          </w:tcPr>
          <w:p w:rsidR="00F21015" w:rsidRDefault="00F21015" w:rsidP="00630E27">
            <w:pPr>
              <w:pStyle w:val="Default"/>
              <w:rPr>
                <w:sz w:val="20"/>
                <w:szCs w:val="20"/>
              </w:rPr>
            </w:pPr>
            <w:r>
              <w:rPr>
                <w:sz w:val="20"/>
                <w:szCs w:val="20"/>
              </w:rPr>
              <w:t xml:space="preserve">16216 Ha </w:t>
            </w:r>
          </w:p>
        </w:tc>
        <w:tc>
          <w:tcPr>
            <w:tcW w:w="1170" w:type="dxa"/>
          </w:tcPr>
          <w:p w:rsidR="00F21015" w:rsidRDefault="00F21015" w:rsidP="00630E27">
            <w:pPr>
              <w:pStyle w:val="Default"/>
              <w:rPr>
                <w:sz w:val="20"/>
                <w:szCs w:val="20"/>
              </w:rPr>
            </w:pPr>
            <w:r>
              <w:rPr>
                <w:sz w:val="20"/>
                <w:szCs w:val="20"/>
              </w:rPr>
              <w:t xml:space="preserve">Limón </w:t>
            </w:r>
          </w:p>
        </w:tc>
        <w:tc>
          <w:tcPr>
            <w:tcW w:w="1272" w:type="dxa"/>
          </w:tcPr>
          <w:p w:rsidR="00F21015" w:rsidRDefault="00F21015" w:rsidP="00630E27">
            <w:pPr>
              <w:pStyle w:val="Default"/>
              <w:rPr>
                <w:sz w:val="20"/>
                <w:szCs w:val="20"/>
              </w:rPr>
            </w:pPr>
            <w:r>
              <w:rPr>
                <w:sz w:val="20"/>
                <w:szCs w:val="20"/>
              </w:rPr>
              <w:t xml:space="preserve">Limón </w:t>
            </w:r>
          </w:p>
        </w:tc>
        <w:tc>
          <w:tcPr>
            <w:tcW w:w="1500" w:type="dxa"/>
          </w:tcPr>
          <w:p w:rsidR="00F21015" w:rsidRDefault="00F21015" w:rsidP="00630E27">
            <w:pPr>
              <w:pStyle w:val="Default"/>
              <w:rPr>
                <w:sz w:val="20"/>
                <w:szCs w:val="20"/>
              </w:rPr>
            </w:pPr>
            <w:r>
              <w:rPr>
                <w:sz w:val="20"/>
                <w:szCs w:val="20"/>
              </w:rPr>
              <w:t xml:space="preserve">Valle de la Estrella </w:t>
            </w:r>
          </w:p>
        </w:tc>
      </w:tr>
      <w:tr w:rsidR="00F21015" w:rsidTr="00DE4C28">
        <w:tc>
          <w:tcPr>
            <w:tcW w:w="2172" w:type="dxa"/>
          </w:tcPr>
          <w:p w:rsidR="00F21015" w:rsidRDefault="00F21015" w:rsidP="00153966">
            <w:pPr>
              <w:pStyle w:val="Default"/>
              <w:numPr>
                <w:ilvl w:val="0"/>
                <w:numId w:val="1"/>
              </w:numPr>
              <w:rPr>
                <w:sz w:val="20"/>
                <w:szCs w:val="20"/>
              </w:rPr>
            </w:pPr>
            <w:proofErr w:type="spellStart"/>
            <w:r>
              <w:rPr>
                <w:sz w:val="20"/>
                <w:szCs w:val="20"/>
              </w:rPr>
              <w:t>Telire</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F21015" w:rsidRDefault="00F21015" w:rsidP="00630E27">
            <w:pPr>
              <w:pStyle w:val="Default"/>
              <w:rPr>
                <w:sz w:val="20"/>
                <w:szCs w:val="20"/>
              </w:rPr>
            </w:pPr>
            <w:r>
              <w:rPr>
                <w:sz w:val="20"/>
                <w:szCs w:val="20"/>
              </w:rPr>
              <w:t xml:space="preserve">16308-G </w:t>
            </w:r>
          </w:p>
        </w:tc>
        <w:tc>
          <w:tcPr>
            <w:tcW w:w="866" w:type="dxa"/>
          </w:tcPr>
          <w:p w:rsidR="00F21015" w:rsidRDefault="00F21015" w:rsidP="00630E27">
            <w:pPr>
              <w:pStyle w:val="Default"/>
              <w:rPr>
                <w:sz w:val="20"/>
                <w:szCs w:val="20"/>
              </w:rPr>
            </w:pPr>
            <w:r>
              <w:rPr>
                <w:sz w:val="20"/>
                <w:szCs w:val="20"/>
              </w:rPr>
              <w:t xml:space="preserve">16-5-85 </w:t>
            </w:r>
          </w:p>
        </w:tc>
        <w:tc>
          <w:tcPr>
            <w:tcW w:w="1132" w:type="dxa"/>
          </w:tcPr>
          <w:p w:rsidR="00F21015" w:rsidRDefault="00F21015" w:rsidP="00630E27">
            <w:pPr>
              <w:pStyle w:val="Default"/>
              <w:rPr>
                <w:sz w:val="20"/>
                <w:szCs w:val="20"/>
              </w:rPr>
            </w:pPr>
            <w:r>
              <w:rPr>
                <w:sz w:val="20"/>
                <w:szCs w:val="20"/>
              </w:rPr>
              <w:t xml:space="preserve">16260 Ha </w:t>
            </w:r>
          </w:p>
        </w:tc>
        <w:tc>
          <w:tcPr>
            <w:tcW w:w="1170" w:type="dxa"/>
          </w:tcPr>
          <w:p w:rsidR="00F21015" w:rsidRDefault="00F21015" w:rsidP="00630E27">
            <w:pPr>
              <w:pStyle w:val="Default"/>
              <w:rPr>
                <w:sz w:val="20"/>
                <w:szCs w:val="20"/>
              </w:rPr>
            </w:pPr>
            <w:r>
              <w:rPr>
                <w:sz w:val="20"/>
                <w:szCs w:val="20"/>
              </w:rPr>
              <w:t xml:space="preserve">Limón </w:t>
            </w:r>
          </w:p>
        </w:tc>
        <w:tc>
          <w:tcPr>
            <w:tcW w:w="1272" w:type="dxa"/>
          </w:tcPr>
          <w:p w:rsidR="00F21015" w:rsidRDefault="00F21015" w:rsidP="00630E27">
            <w:pPr>
              <w:pStyle w:val="Default"/>
              <w:rPr>
                <w:sz w:val="20"/>
                <w:szCs w:val="20"/>
              </w:rPr>
            </w:pPr>
            <w:proofErr w:type="spellStart"/>
            <w:r>
              <w:rPr>
                <w:sz w:val="20"/>
                <w:szCs w:val="20"/>
              </w:rPr>
              <w:t>Talamanca</w:t>
            </w:r>
            <w:proofErr w:type="spellEnd"/>
            <w:r>
              <w:rPr>
                <w:sz w:val="20"/>
                <w:szCs w:val="20"/>
              </w:rPr>
              <w:t xml:space="preserve"> </w:t>
            </w:r>
          </w:p>
        </w:tc>
        <w:tc>
          <w:tcPr>
            <w:tcW w:w="1500" w:type="dxa"/>
          </w:tcPr>
          <w:p w:rsidR="00F21015" w:rsidRDefault="00F21015" w:rsidP="00630E27">
            <w:pPr>
              <w:pStyle w:val="Default"/>
              <w:rPr>
                <w:sz w:val="20"/>
                <w:szCs w:val="20"/>
              </w:rPr>
            </w:pPr>
            <w:proofErr w:type="spellStart"/>
            <w:r>
              <w:rPr>
                <w:sz w:val="20"/>
                <w:szCs w:val="20"/>
              </w:rPr>
              <w:t>Bratsi</w:t>
            </w:r>
            <w:proofErr w:type="spellEnd"/>
            <w:r>
              <w:rPr>
                <w:sz w:val="20"/>
                <w:szCs w:val="20"/>
              </w:rPr>
              <w:t xml:space="preserve"> </w:t>
            </w:r>
          </w:p>
        </w:tc>
      </w:tr>
      <w:tr w:rsidR="00F21015" w:rsidTr="00DE4C28">
        <w:tc>
          <w:tcPr>
            <w:tcW w:w="2172" w:type="dxa"/>
          </w:tcPr>
          <w:p w:rsidR="00F21015" w:rsidRDefault="00F21015" w:rsidP="00153966">
            <w:pPr>
              <w:pStyle w:val="Default"/>
              <w:numPr>
                <w:ilvl w:val="0"/>
                <w:numId w:val="1"/>
              </w:numPr>
              <w:rPr>
                <w:sz w:val="20"/>
                <w:szCs w:val="20"/>
              </w:rPr>
            </w:pPr>
            <w:proofErr w:type="spellStart"/>
            <w:r>
              <w:rPr>
                <w:sz w:val="20"/>
                <w:szCs w:val="20"/>
              </w:rPr>
              <w:t>Talamanca</w:t>
            </w:r>
            <w:proofErr w:type="spellEnd"/>
            <w:r>
              <w:rPr>
                <w:sz w:val="20"/>
                <w:szCs w:val="20"/>
              </w:rPr>
              <w:t xml:space="preserve"> </w:t>
            </w:r>
            <w:proofErr w:type="spellStart"/>
            <w:r>
              <w:rPr>
                <w:sz w:val="20"/>
                <w:szCs w:val="20"/>
              </w:rPr>
              <w:t>Bribri</w:t>
            </w:r>
            <w:proofErr w:type="spellEnd"/>
            <w:r>
              <w:rPr>
                <w:sz w:val="20"/>
                <w:szCs w:val="20"/>
              </w:rPr>
              <w:t xml:space="preserve"> (</w:t>
            </w:r>
            <w:proofErr w:type="spellStart"/>
            <w:r>
              <w:rPr>
                <w:sz w:val="20"/>
                <w:szCs w:val="20"/>
              </w:rPr>
              <w:t>Bribri</w:t>
            </w:r>
            <w:proofErr w:type="spellEnd"/>
            <w:r>
              <w:rPr>
                <w:sz w:val="20"/>
                <w:szCs w:val="20"/>
              </w:rPr>
              <w:t xml:space="preserve">) </w:t>
            </w:r>
          </w:p>
        </w:tc>
        <w:tc>
          <w:tcPr>
            <w:tcW w:w="942" w:type="dxa"/>
          </w:tcPr>
          <w:p w:rsidR="00F21015" w:rsidRDefault="00F21015" w:rsidP="00630E27">
            <w:pPr>
              <w:pStyle w:val="Default"/>
              <w:rPr>
                <w:sz w:val="20"/>
                <w:szCs w:val="20"/>
              </w:rPr>
            </w:pPr>
            <w:r>
              <w:rPr>
                <w:sz w:val="20"/>
                <w:szCs w:val="20"/>
              </w:rPr>
              <w:t xml:space="preserve">16307-G </w:t>
            </w:r>
          </w:p>
        </w:tc>
        <w:tc>
          <w:tcPr>
            <w:tcW w:w="866" w:type="dxa"/>
          </w:tcPr>
          <w:p w:rsidR="00F21015" w:rsidRDefault="00F21015" w:rsidP="00630E27">
            <w:pPr>
              <w:pStyle w:val="Default"/>
              <w:rPr>
                <w:sz w:val="20"/>
                <w:szCs w:val="20"/>
              </w:rPr>
            </w:pPr>
            <w:r>
              <w:rPr>
                <w:sz w:val="20"/>
                <w:szCs w:val="20"/>
              </w:rPr>
              <w:t xml:space="preserve">16-5-85 </w:t>
            </w:r>
          </w:p>
        </w:tc>
        <w:tc>
          <w:tcPr>
            <w:tcW w:w="1132" w:type="dxa"/>
          </w:tcPr>
          <w:p w:rsidR="00F21015" w:rsidRDefault="00F21015" w:rsidP="00630E27">
            <w:pPr>
              <w:pStyle w:val="Default"/>
              <w:rPr>
                <w:sz w:val="20"/>
                <w:szCs w:val="20"/>
              </w:rPr>
            </w:pPr>
            <w:r>
              <w:rPr>
                <w:sz w:val="20"/>
                <w:szCs w:val="20"/>
              </w:rPr>
              <w:t xml:space="preserve">43690 Ha </w:t>
            </w:r>
          </w:p>
        </w:tc>
        <w:tc>
          <w:tcPr>
            <w:tcW w:w="1170" w:type="dxa"/>
          </w:tcPr>
          <w:p w:rsidR="00F21015" w:rsidRDefault="00F21015" w:rsidP="00630E27">
            <w:pPr>
              <w:pStyle w:val="Default"/>
              <w:rPr>
                <w:sz w:val="20"/>
                <w:szCs w:val="20"/>
              </w:rPr>
            </w:pPr>
            <w:r>
              <w:rPr>
                <w:sz w:val="20"/>
                <w:szCs w:val="20"/>
              </w:rPr>
              <w:t xml:space="preserve">Limón </w:t>
            </w:r>
          </w:p>
        </w:tc>
        <w:tc>
          <w:tcPr>
            <w:tcW w:w="1272" w:type="dxa"/>
          </w:tcPr>
          <w:p w:rsidR="00F21015" w:rsidRDefault="00F21015" w:rsidP="00630E27">
            <w:pPr>
              <w:pStyle w:val="Default"/>
              <w:rPr>
                <w:sz w:val="20"/>
                <w:szCs w:val="20"/>
              </w:rPr>
            </w:pPr>
            <w:proofErr w:type="spellStart"/>
            <w:r>
              <w:rPr>
                <w:sz w:val="20"/>
                <w:szCs w:val="20"/>
              </w:rPr>
              <w:t>Talamanca</w:t>
            </w:r>
            <w:proofErr w:type="spellEnd"/>
            <w:r>
              <w:rPr>
                <w:sz w:val="20"/>
                <w:szCs w:val="20"/>
              </w:rPr>
              <w:t xml:space="preserve"> </w:t>
            </w:r>
          </w:p>
        </w:tc>
        <w:tc>
          <w:tcPr>
            <w:tcW w:w="1500" w:type="dxa"/>
          </w:tcPr>
          <w:p w:rsidR="00F21015" w:rsidRDefault="00F21015" w:rsidP="00630E27">
            <w:pPr>
              <w:pStyle w:val="Default"/>
              <w:rPr>
                <w:sz w:val="20"/>
                <w:szCs w:val="20"/>
              </w:rPr>
            </w:pPr>
            <w:proofErr w:type="spellStart"/>
            <w:r>
              <w:rPr>
                <w:sz w:val="20"/>
                <w:szCs w:val="20"/>
              </w:rPr>
              <w:t>Bratsi</w:t>
            </w:r>
            <w:proofErr w:type="spellEnd"/>
            <w:r>
              <w:rPr>
                <w:sz w:val="20"/>
                <w:szCs w:val="20"/>
              </w:rPr>
              <w:t xml:space="preserve"> </w:t>
            </w:r>
          </w:p>
        </w:tc>
      </w:tr>
      <w:tr w:rsidR="00F21015" w:rsidTr="00DE4C28">
        <w:tc>
          <w:tcPr>
            <w:tcW w:w="2172" w:type="dxa"/>
          </w:tcPr>
          <w:p w:rsidR="00F21015" w:rsidRDefault="00F21015" w:rsidP="00153966">
            <w:pPr>
              <w:pStyle w:val="Default"/>
              <w:numPr>
                <w:ilvl w:val="0"/>
                <w:numId w:val="1"/>
              </w:numPr>
              <w:rPr>
                <w:sz w:val="20"/>
                <w:szCs w:val="20"/>
              </w:rPr>
            </w:pPr>
            <w:proofErr w:type="spellStart"/>
            <w:r>
              <w:rPr>
                <w:sz w:val="20"/>
                <w:szCs w:val="20"/>
              </w:rPr>
              <w:t>Talamanca</w:t>
            </w:r>
            <w:proofErr w:type="spellEnd"/>
            <w:r>
              <w:rPr>
                <w:sz w:val="20"/>
                <w:szCs w:val="20"/>
              </w:rPr>
              <w:t xml:space="preserve"> </w:t>
            </w:r>
            <w:proofErr w:type="spellStart"/>
            <w:r>
              <w:rPr>
                <w:sz w:val="20"/>
                <w:szCs w:val="20"/>
              </w:rPr>
              <w:t>Cabecar</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F21015" w:rsidRDefault="00F21015" w:rsidP="00630E27">
            <w:pPr>
              <w:pStyle w:val="Default"/>
              <w:rPr>
                <w:sz w:val="20"/>
                <w:szCs w:val="20"/>
              </w:rPr>
            </w:pPr>
            <w:r>
              <w:rPr>
                <w:sz w:val="20"/>
                <w:szCs w:val="20"/>
              </w:rPr>
              <w:t xml:space="preserve">29448 </w:t>
            </w:r>
          </w:p>
        </w:tc>
        <w:tc>
          <w:tcPr>
            <w:tcW w:w="866" w:type="dxa"/>
          </w:tcPr>
          <w:p w:rsidR="00F21015" w:rsidRDefault="00F21015" w:rsidP="00630E27">
            <w:pPr>
              <w:pStyle w:val="Default"/>
              <w:rPr>
                <w:sz w:val="20"/>
                <w:szCs w:val="20"/>
              </w:rPr>
            </w:pPr>
            <w:r>
              <w:rPr>
                <w:sz w:val="20"/>
                <w:szCs w:val="20"/>
              </w:rPr>
              <w:t xml:space="preserve">21-03-01 </w:t>
            </w:r>
          </w:p>
        </w:tc>
        <w:tc>
          <w:tcPr>
            <w:tcW w:w="1132" w:type="dxa"/>
          </w:tcPr>
          <w:p w:rsidR="00F21015" w:rsidRDefault="00F21015" w:rsidP="00630E27">
            <w:pPr>
              <w:pStyle w:val="Default"/>
              <w:rPr>
                <w:sz w:val="20"/>
                <w:szCs w:val="20"/>
              </w:rPr>
            </w:pPr>
            <w:r>
              <w:rPr>
                <w:sz w:val="20"/>
                <w:szCs w:val="20"/>
              </w:rPr>
              <w:t xml:space="preserve">23329 Ha </w:t>
            </w:r>
          </w:p>
        </w:tc>
        <w:tc>
          <w:tcPr>
            <w:tcW w:w="1170" w:type="dxa"/>
          </w:tcPr>
          <w:p w:rsidR="00F21015" w:rsidRDefault="00F21015" w:rsidP="00630E27">
            <w:pPr>
              <w:pStyle w:val="Default"/>
              <w:rPr>
                <w:sz w:val="20"/>
                <w:szCs w:val="20"/>
              </w:rPr>
            </w:pPr>
            <w:r>
              <w:rPr>
                <w:sz w:val="20"/>
                <w:szCs w:val="20"/>
              </w:rPr>
              <w:t xml:space="preserve">Limón </w:t>
            </w:r>
          </w:p>
        </w:tc>
        <w:tc>
          <w:tcPr>
            <w:tcW w:w="1272" w:type="dxa"/>
          </w:tcPr>
          <w:p w:rsidR="00F21015" w:rsidRDefault="00F21015" w:rsidP="00630E27">
            <w:pPr>
              <w:pStyle w:val="Default"/>
              <w:rPr>
                <w:sz w:val="20"/>
                <w:szCs w:val="20"/>
              </w:rPr>
            </w:pPr>
            <w:proofErr w:type="spellStart"/>
            <w:r>
              <w:rPr>
                <w:sz w:val="20"/>
                <w:szCs w:val="20"/>
              </w:rPr>
              <w:t>Talamanca</w:t>
            </w:r>
            <w:proofErr w:type="spellEnd"/>
            <w:r>
              <w:rPr>
                <w:sz w:val="20"/>
                <w:szCs w:val="20"/>
              </w:rPr>
              <w:t xml:space="preserve"> </w:t>
            </w:r>
          </w:p>
        </w:tc>
        <w:tc>
          <w:tcPr>
            <w:tcW w:w="1500" w:type="dxa"/>
          </w:tcPr>
          <w:p w:rsidR="00F21015" w:rsidRDefault="00F21015" w:rsidP="00630E27">
            <w:pPr>
              <w:pStyle w:val="Default"/>
              <w:rPr>
                <w:sz w:val="20"/>
                <w:szCs w:val="20"/>
              </w:rPr>
            </w:pPr>
            <w:proofErr w:type="spellStart"/>
            <w:r>
              <w:rPr>
                <w:sz w:val="20"/>
                <w:szCs w:val="20"/>
              </w:rPr>
              <w:t>Bratsi</w:t>
            </w:r>
            <w:proofErr w:type="spellEnd"/>
            <w:r>
              <w:rPr>
                <w:sz w:val="20"/>
                <w:szCs w:val="20"/>
              </w:rPr>
              <w:t xml:space="preserve"> </w:t>
            </w:r>
          </w:p>
        </w:tc>
      </w:tr>
      <w:tr w:rsidR="00F21015" w:rsidTr="00DE4C28">
        <w:tc>
          <w:tcPr>
            <w:tcW w:w="2172" w:type="dxa"/>
          </w:tcPr>
          <w:p w:rsidR="00F21015" w:rsidRDefault="00F21015" w:rsidP="00153966">
            <w:pPr>
              <w:pStyle w:val="Default"/>
              <w:numPr>
                <w:ilvl w:val="0"/>
                <w:numId w:val="1"/>
              </w:numPr>
              <w:rPr>
                <w:sz w:val="20"/>
                <w:szCs w:val="20"/>
              </w:rPr>
            </w:pPr>
            <w:proofErr w:type="spellStart"/>
            <w:r>
              <w:rPr>
                <w:sz w:val="20"/>
                <w:szCs w:val="20"/>
              </w:rPr>
              <w:t>Kékoldi</w:t>
            </w:r>
            <w:proofErr w:type="spellEnd"/>
            <w:r>
              <w:rPr>
                <w:sz w:val="20"/>
                <w:szCs w:val="20"/>
              </w:rPr>
              <w:t xml:space="preserve"> (</w:t>
            </w:r>
            <w:proofErr w:type="spellStart"/>
            <w:r>
              <w:rPr>
                <w:sz w:val="20"/>
                <w:szCs w:val="20"/>
              </w:rPr>
              <w:t>Bríbri</w:t>
            </w:r>
            <w:proofErr w:type="spellEnd"/>
            <w:r>
              <w:rPr>
                <w:sz w:val="20"/>
                <w:szCs w:val="20"/>
              </w:rPr>
              <w:t xml:space="preserve">) </w:t>
            </w:r>
          </w:p>
        </w:tc>
        <w:tc>
          <w:tcPr>
            <w:tcW w:w="942" w:type="dxa"/>
          </w:tcPr>
          <w:p w:rsidR="00F21015" w:rsidRDefault="00F21015" w:rsidP="00630E27">
            <w:pPr>
              <w:pStyle w:val="Default"/>
              <w:rPr>
                <w:sz w:val="20"/>
                <w:szCs w:val="20"/>
              </w:rPr>
            </w:pPr>
            <w:r>
              <w:rPr>
                <w:sz w:val="20"/>
                <w:szCs w:val="20"/>
              </w:rPr>
              <w:t xml:space="preserve">29956 </w:t>
            </w:r>
          </w:p>
        </w:tc>
        <w:tc>
          <w:tcPr>
            <w:tcW w:w="866" w:type="dxa"/>
          </w:tcPr>
          <w:p w:rsidR="00F21015" w:rsidRDefault="00F21015" w:rsidP="00630E27">
            <w:pPr>
              <w:pStyle w:val="Default"/>
              <w:rPr>
                <w:sz w:val="20"/>
                <w:szCs w:val="20"/>
              </w:rPr>
            </w:pPr>
            <w:r>
              <w:rPr>
                <w:sz w:val="20"/>
                <w:szCs w:val="20"/>
              </w:rPr>
              <w:t xml:space="preserve">26-10-01 </w:t>
            </w:r>
          </w:p>
        </w:tc>
        <w:tc>
          <w:tcPr>
            <w:tcW w:w="1132" w:type="dxa"/>
          </w:tcPr>
          <w:p w:rsidR="00F21015" w:rsidRDefault="00F21015" w:rsidP="00630E27">
            <w:pPr>
              <w:pStyle w:val="Default"/>
              <w:rPr>
                <w:sz w:val="20"/>
                <w:szCs w:val="20"/>
              </w:rPr>
            </w:pPr>
            <w:r>
              <w:rPr>
                <w:sz w:val="20"/>
                <w:szCs w:val="20"/>
              </w:rPr>
              <w:t xml:space="preserve">3538 Ha o </w:t>
            </w:r>
          </w:p>
          <w:p w:rsidR="00F21015" w:rsidRDefault="00F21015" w:rsidP="00630E27">
            <w:pPr>
              <w:pStyle w:val="Default"/>
              <w:rPr>
                <w:sz w:val="20"/>
                <w:szCs w:val="20"/>
              </w:rPr>
            </w:pPr>
            <w:r>
              <w:rPr>
                <w:sz w:val="20"/>
                <w:szCs w:val="20"/>
              </w:rPr>
              <w:t xml:space="preserve">3900 Ha </w:t>
            </w:r>
          </w:p>
        </w:tc>
        <w:tc>
          <w:tcPr>
            <w:tcW w:w="1170" w:type="dxa"/>
          </w:tcPr>
          <w:p w:rsidR="00F21015" w:rsidRDefault="00F21015" w:rsidP="00630E27">
            <w:pPr>
              <w:pStyle w:val="Default"/>
              <w:rPr>
                <w:sz w:val="20"/>
                <w:szCs w:val="20"/>
              </w:rPr>
            </w:pPr>
            <w:r>
              <w:rPr>
                <w:sz w:val="20"/>
                <w:szCs w:val="20"/>
              </w:rPr>
              <w:t xml:space="preserve">Limón </w:t>
            </w:r>
          </w:p>
        </w:tc>
        <w:tc>
          <w:tcPr>
            <w:tcW w:w="1272" w:type="dxa"/>
          </w:tcPr>
          <w:p w:rsidR="00F21015" w:rsidRDefault="00F21015" w:rsidP="00630E27">
            <w:pPr>
              <w:pStyle w:val="Default"/>
              <w:rPr>
                <w:sz w:val="20"/>
                <w:szCs w:val="20"/>
              </w:rPr>
            </w:pPr>
            <w:proofErr w:type="spellStart"/>
            <w:r>
              <w:rPr>
                <w:sz w:val="20"/>
                <w:szCs w:val="20"/>
              </w:rPr>
              <w:t>Talamanca</w:t>
            </w:r>
            <w:proofErr w:type="spellEnd"/>
            <w:r>
              <w:rPr>
                <w:sz w:val="20"/>
                <w:szCs w:val="20"/>
              </w:rPr>
              <w:t xml:space="preserve"> </w:t>
            </w:r>
          </w:p>
        </w:tc>
        <w:tc>
          <w:tcPr>
            <w:tcW w:w="1500" w:type="dxa"/>
          </w:tcPr>
          <w:p w:rsidR="00F21015" w:rsidRDefault="00F21015" w:rsidP="00630E27">
            <w:pPr>
              <w:pStyle w:val="Default"/>
              <w:rPr>
                <w:sz w:val="20"/>
                <w:szCs w:val="20"/>
              </w:rPr>
            </w:pPr>
            <w:proofErr w:type="spellStart"/>
            <w:r>
              <w:rPr>
                <w:sz w:val="20"/>
                <w:szCs w:val="20"/>
              </w:rPr>
              <w:t>Cahuita</w:t>
            </w:r>
            <w:proofErr w:type="spellEnd"/>
            <w:r>
              <w:rPr>
                <w:sz w:val="20"/>
                <w:szCs w:val="20"/>
              </w:rPr>
              <w:t xml:space="preserve"> </w:t>
            </w:r>
          </w:p>
          <w:p w:rsidR="00F21015" w:rsidRDefault="00F21015" w:rsidP="00630E27">
            <w:pPr>
              <w:pStyle w:val="Default"/>
              <w:rPr>
                <w:sz w:val="20"/>
                <w:szCs w:val="20"/>
              </w:rPr>
            </w:pPr>
            <w:r>
              <w:rPr>
                <w:sz w:val="20"/>
                <w:szCs w:val="20"/>
              </w:rPr>
              <w:t>Sixaola</w:t>
            </w:r>
          </w:p>
        </w:tc>
      </w:tr>
      <w:tr w:rsidR="00F21015" w:rsidTr="00DE4C28">
        <w:tc>
          <w:tcPr>
            <w:tcW w:w="2172" w:type="dxa"/>
          </w:tcPr>
          <w:p w:rsidR="00F21015" w:rsidRDefault="00F21015" w:rsidP="00153966">
            <w:pPr>
              <w:pStyle w:val="Default"/>
              <w:numPr>
                <w:ilvl w:val="0"/>
                <w:numId w:val="1"/>
              </w:numPr>
              <w:rPr>
                <w:sz w:val="20"/>
                <w:szCs w:val="20"/>
              </w:rPr>
            </w:pPr>
            <w:r>
              <w:rPr>
                <w:sz w:val="20"/>
                <w:szCs w:val="20"/>
              </w:rPr>
              <w:t xml:space="preserve">Alto </w:t>
            </w:r>
            <w:proofErr w:type="spellStart"/>
            <w:r>
              <w:rPr>
                <w:sz w:val="20"/>
                <w:szCs w:val="20"/>
              </w:rPr>
              <w:t>Chirripo</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F21015" w:rsidRDefault="00F21015" w:rsidP="00630E27">
            <w:pPr>
              <w:pStyle w:val="Default"/>
              <w:rPr>
                <w:sz w:val="20"/>
                <w:szCs w:val="20"/>
              </w:rPr>
            </w:pPr>
            <w:r>
              <w:rPr>
                <w:sz w:val="20"/>
                <w:szCs w:val="20"/>
              </w:rPr>
              <w:t xml:space="preserve">21905-G </w:t>
            </w:r>
          </w:p>
        </w:tc>
        <w:tc>
          <w:tcPr>
            <w:tcW w:w="866" w:type="dxa"/>
          </w:tcPr>
          <w:p w:rsidR="00F21015" w:rsidRDefault="00F21015" w:rsidP="00630E27">
            <w:pPr>
              <w:pStyle w:val="Default"/>
              <w:rPr>
                <w:sz w:val="20"/>
                <w:szCs w:val="20"/>
              </w:rPr>
            </w:pPr>
            <w:r>
              <w:rPr>
                <w:sz w:val="20"/>
                <w:szCs w:val="20"/>
              </w:rPr>
              <w:t xml:space="preserve">7-1-93 </w:t>
            </w:r>
          </w:p>
        </w:tc>
        <w:tc>
          <w:tcPr>
            <w:tcW w:w="1132" w:type="dxa"/>
          </w:tcPr>
          <w:p w:rsidR="00F21015" w:rsidRDefault="00F21015" w:rsidP="00630E27">
            <w:pPr>
              <w:pStyle w:val="Default"/>
              <w:rPr>
                <w:sz w:val="20"/>
                <w:szCs w:val="20"/>
              </w:rPr>
            </w:pPr>
            <w:r>
              <w:rPr>
                <w:sz w:val="20"/>
                <w:szCs w:val="20"/>
              </w:rPr>
              <w:t xml:space="preserve">46784 Ha o </w:t>
            </w:r>
          </w:p>
          <w:p w:rsidR="00F21015" w:rsidRDefault="00F21015" w:rsidP="00630E27">
            <w:pPr>
              <w:pStyle w:val="Default"/>
              <w:rPr>
                <w:sz w:val="20"/>
                <w:szCs w:val="20"/>
              </w:rPr>
            </w:pPr>
            <w:r>
              <w:rPr>
                <w:sz w:val="20"/>
                <w:szCs w:val="20"/>
              </w:rPr>
              <w:t xml:space="preserve">77973Ha </w:t>
            </w:r>
          </w:p>
        </w:tc>
        <w:tc>
          <w:tcPr>
            <w:tcW w:w="1170" w:type="dxa"/>
          </w:tcPr>
          <w:p w:rsidR="00F21015" w:rsidRDefault="00F21015" w:rsidP="00630E27">
            <w:pPr>
              <w:pStyle w:val="Default"/>
              <w:rPr>
                <w:sz w:val="20"/>
                <w:szCs w:val="20"/>
              </w:rPr>
            </w:pPr>
            <w:r>
              <w:rPr>
                <w:sz w:val="20"/>
                <w:szCs w:val="20"/>
              </w:rPr>
              <w:t xml:space="preserve">Limón </w:t>
            </w:r>
          </w:p>
        </w:tc>
        <w:tc>
          <w:tcPr>
            <w:tcW w:w="1272" w:type="dxa"/>
          </w:tcPr>
          <w:p w:rsidR="00F21015" w:rsidRDefault="00F21015" w:rsidP="00630E27">
            <w:pPr>
              <w:pStyle w:val="Default"/>
              <w:rPr>
                <w:sz w:val="20"/>
                <w:szCs w:val="20"/>
              </w:rPr>
            </w:pPr>
            <w:r>
              <w:rPr>
                <w:sz w:val="20"/>
                <w:szCs w:val="20"/>
              </w:rPr>
              <w:t xml:space="preserve">Turrialba </w:t>
            </w:r>
          </w:p>
        </w:tc>
        <w:tc>
          <w:tcPr>
            <w:tcW w:w="1500" w:type="dxa"/>
          </w:tcPr>
          <w:p w:rsidR="00F21015" w:rsidRDefault="00F21015" w:rsidP="00630E27">
            <w:pPr>
              <w:pStyle w:val="Default"/>
              <w:rPr>
                <w:sz w:val="20"/>
                <w:szCs w:val="20"/>
              </w:rPr>
            </w:pPr>
            <w:r>
              <w:rPr>
                <w:sz w:val="20"/>
                <w:szCs w:val="20"/>
              </w:rPr>
              <w:t xml:space="preserve">Valle de la Estrella </w:t>
            </w:r>
          </w:p>
          <w:p w:rsidR="00F21015" w:rsidRDefault="00F21015" w:rsidP="00630E27">
            <w:pPr>
              <w:pStyle w:val="Default"/>
              <w:rPr>
                <w:sz w:val="20"/>
                <w:szCs w:val="20"/>
              </w:rPr>
            </w:pPr>
            <w:proofErr w:type="spellStart"/>
            <w:r>
              <w:rPr>
                <w:sz w:val="20"/>
                <w:szCs w:val="20"/>
              </w:rPr>
              <w:t>Matina</w:t>
            </w:r>
            <w:proofErr w:type="spellEnd"/>
          </w:p>
          <w:p w:rsidR="00F21015" w:rsidRDefault="00F21015" w:rsidP="00630E27">
            <w:pPr>
              <w:pStyle w:val="Default"/>
              <w:rPr>
                <w:sz w:val="20"/>
                <w:szCs w:val="20"/>
              </w:rPr>
            </w:pPr>
            <w:proofErr w:type="spellStart"/>
            <w:r>
              <w:rPr>
                <w:sz w:val="20"/>
                <w:szCs w:val="20"/>
              </w:rPr>
              <w:t>Talamanca</w:t>
            </w:r>
            <w:proofErr w:type="spellEnd"/>
          </w:p>
          <w:p w:rsidR="00F21015" w:rsidRDefault="00F21015" w:rsidP="00630E27">
            <w:pPr>
              <w:pStyle w:val="Default"/>
              <w:rPr>
                <w:sz w:val="20"/>
                <w:szCs w:val="20"/>
              </w:rPr>
            </w:pPr>
            <w:r>
              <w:rPr>
                <w:sz w:val="20"/>
                <w:szCs w:val="20"/>
              </w:rPr>
              <w:t>La Suiza</w:t>
            </w:r>
          </w:p>
          <w:p w:rsidR="00F21015" w:rsidRDefault="00F21015" w:rsidP="00630E27">
            <w:pPr>
              <w:pStyle w:val="Default"/>
              <w:rPr>
                <w:sz w:val="20"/>
                <w:szCs w:val="20"/>
              </w:rPr>
            </w:pPr>
            <w:proofErr w:type="spellStart"/>
            <w:r>
              <w:rPr>
                <w:sz w:val="20"/>
                <w:szCs w:val="20"/>
              </w:rPr>
              <w:t>Tayutic</w:t>
            </w:r>
            <w:proofErr w:type="spellEnd"/>
          </w:p>
          <w:p w:rsidR="00F21015" w:rsidRDefault="00F21015" w:rsidP="00630E27">
            <w:pPr>
              <w:pStyle w:val="Default"/>
              <w:rPr>
                <w:sz w:val="20"/>
                <w:szCs w:val="20"/>
              </w:rPr>
            </w:pPr>
            <w:r>
              <w:rPr>
                <w:sz w:val="20"/>
                <w:szCs w:val="20"/>
              </w:rPr>
              <w:t>Tres Equis</w:t>
            </w:r>
          </w:p>
        </w:tc>
      </w:tr>
      <w:tr w:rsidR="00F21015" w:rsidTr="00DE4C28">
        <w:tc>
          <w:tcPr>
            <w:tcW w:w="2172" w:type="dxa"/>
          </w:tcPr>
          <w:p w:rsidR="00F21015" w:rsidRDefault="00F21015" w:rsidP="00153966">
            <w:pPr>
              <w:pStyle w:val="Default"/>
              <w:numPr>
                <w:ilvl w:val="0"/>
                <w:numId w:val="1"/>
              </w:numPr>
              <w:rPr>
                <w:sz w:val="20"/>
                <w:szCs w:val="20"/>
              </w:rPr>
            </w:pPr>
            <w:proofErr w:type="spellStart"/>
            <w:r>
              <w:rPr>
                <w:sz w:val="20"/>
                <w:szCs w:val="20"/>
              </w:rPr>
              <w:t>Nairi</w:t>
            </w:r>
            <w:proofErr w:type="spellEnd"/>
            <w:r>
              <w:rPr>
                <w:sz w:val="20"/>
                <w:szCs w:val="20"/>
              </w:rPr>
              <w:t xml:space="preserve"> </w:t>
            </w:r>
            <w:proofErr w:type="spellStart"/>
            <w:r>
              <w:rPr>
                <w:sz w:val="20"/>
                <w:szCs w:val="20"/>
              </w:rPr>
              <w:t>Awari</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F21015" w:rsidRDefault="00F21015" w:rsidP="00630E27">
            <w:pPr>
              <w:pStyle w:val="Default"/>
              <w:rPr>
                <w:sz w:val="20"/>
                <w:szCs w:val="20"/>
              </w:rPr>
            </w:pPr>
            <w:r>
              <w:rPr>
                <w:sz w:val="20"/>
                <w:szCs w:val="20"/>
              </w:rPr>
              <w:t xml:space="preserve">16059-G </w:t>
            </w:r>
          </w:p>
        </w:tc>
        <w:tc>
          <w:tcPr>
            <w:tcW w:w="866" w:type="dxa"/>
          </w:tcPr>
          <w:p w:rsidR="00F21015" w:rsidRDefault="00F21015" w:rsidP="00630E27">
            <w:pPr>
              <w:pStyle w:val="Default"/>
              <w:rPr>
                <w:sz w:val="20"/>
                <w:szCs w:val="20"/>
              </w:rPr>
            </w:pPr>
            <w:r>
              <w:rPr>
                <w:sz w:val="20"/>
                <w:szCs w:val="20"/>
              </w:rPr>
              <w:t xml:space="preserve">20-5-91 </w:t>
            </w:r>
          </w:p>
        </w:tc>
        <w:tc>
          <w:tcPr>
            <w:tcW w:w="1132" w:type="dxa"/>
          </w:tcPr>
          <w:p w:rsidR="00F21015" w:rsidRDefault="00F21015" w:rsidP="00630E27">
            <w:pPr>
              <w:pStyle w:val="Default"/>
              <w:rPr>
                <w:sz w:val="20"/>
                <w:szCs w:val="20"/>
              </w:rPr>
            </w:pPr>
            <w:r>
              <w:rPr>
                <w:sz w:val="20"/>
                <w:szCs w:val="20"/>
              </w:rPr>
              <w:t xml:space="preserve">5038 Ha </w:t>
            </w:r>
          </w:p>
        </w:tc>
        <w:tc>
          <w:tcPr>
            <w:tcW w:w="1170" w:type="dxa"/>
          </w:tcPr>
          <w:p w:rsidR="00F21015" w:rsidRDefault="00F21015" w:rsidP="00630E27">
            <w:pPr>
              <w:pStyle w:val="Default"/>
              <w:rPr>
                <w:sz w:val="20"/>
                <w:szCs w:val="20"/>
              </w:rPr>
            </w:pPr>
            <w:r>
              <w:rPr>
                <w:sz w:val="20"/>
                <w:szCs w:val="20"/>
              </w:rPr>
              <w:t xml:space="preserve">Cartago </w:t>
            </w:r>
          </w:p>
        </w:tc>
        <w:tc>
          <w:tcPr>
            <w:tcW w:w="1272" w:type="dxa"/>
          </w:tcPr>
          <w:p w:rsidR="00F21015" w:rsidRDefault="00F21015" w:rsidP="00630E27">
            <w:pPr>
              <w:pStyle w:val="Default"/>
              <w:rPr>
                <w:sz w:val="20"/>
                <w:szCs w:val="20"/>
              </w:rPr>
            </w:pPr>
            <w:r>
              <w:rPr>
                <w:sz w:val="20"/>
                <w:szCs w:val="20"/>
              </w:rPr>
              <w:t xml:space="preserve">Turrialba </w:t>
            </w:r>
          </w:p>
        </w:tc>
        <w:tc>
          <w:tcPr>
            <w:tcW w:w="1500" w:type="dxa"/>
          </w:tcPr>
          <w:p w:rsidR="00F21015" w:rsidRDefault="00F21015" w:rsidP="00630E27">
            <w:pPr>
              <w:pStyle w:val="Default"/>
              <w:rPr>
                <w:sz w:val="20"/>
                <w:szCs w:val="20"/>
              </w:rPr>
            </w:pPr>
            <w:r>
              <w:rPr>
                <w:sz w:val="20"/>
                <w:szCs w:val="20"/>
              </w:rPr>
              <w:t xml:space="preserve">Tres Equis </w:t>
            </w:r>
          </w:p>
          <w:p w:rsidR="00F21015" w:rsidRDefault="00F21015" w:rsidP="00630E27">
            <w:pPr>
              <w:pStyle w:val="Default"/>
              <w:rPr>
                <w:sz w:val="20"/>
                <w:szCs w:val="20"/>
              </w:rPr>
            </w:pPr>
            <w:proofErr w:type="spellStart"/>
            <w:r>
              <w:rPr>
                <w:sz w:val="20"/>
                <w:szCs w:val="20"/>
              </w:rPr>
              <w:t>Pacuarito</w:t>
            </w:r>
            <w:proofErr w:type="spellEnd"/>
          </w:p>
          <w:p w:rsidR="00F21015" w:rsidRDefault="00F21015" w:rsidP="00630E27">
            <w:pPr>
              <w:pStyle w:val="Default"/>
              <w:rPr>
                <w:sz w:val="20"/>
                <w:szCs w:val="20"/>
              </w:rPr>
            </w:pPr>
            <w:proofErr w:type="spellStart"/>
            <w:r>
              <w:rPr>
                <w:sz w:val="20"/>
                <w:szCs w:val="20"/>
              </w:rPr>
              <w:lastRenderedPageBreak/>
              <w:t>Tayutic</w:t>
            </w:r>
            <w:proofErr w:type="spellEnd"/>
          </w:p>
          <w:p w:rsidR="00F21015" w:rsidRDefault="00F21015" w:rsidP="00630E27">
            <w:pPr>
              <w:pStyle w:val="Default"/>
              <w:rPr>
                <w:sz w:val="20"/>
                <w:szCs w:val="20"/>
              </w:rPr>
            </w:pPr>
            <w:r>
              <w:rPr>
                <w:sz w:val="20"/>
                <w:szCs w:val="20"/>
              </w:rPr>
              <w:t>Batán</w:t>
            </w:r>
          </w:p>
          <w:p w:rsidR="00F21015" w:rsidRDefault="00F21015" w:rsidP="00630E27">
            <w:pPr>
              <w:pStyle w:val="Default"/>
              <w:rPr>
                <w:sz w:val="20"/>
                <w:szCs w:val="20"/>
              </w:rPr>
            </w:pPr>
            <w:proofErr w:type="spellStart"/>
            <w:r>
              <w:rPr>
                <w:sz w:val="20"/>
                <w:szCs w:val="20"/>
              </w:rPr>
              <w:t>Matina</w:t>
            </w:r>
            <w:proofErr w:type="spellEnd"/>
          </w:p>
        </w:tc>
      </w:tr>
      <w:tr w:rsidR="00F21015" w:rsidTr="00DE4C28">
        <w:tc>
          <w:tcPr>
            <w:tcW w:w="2172" w:type="dxa"/>
          </w:tcPr>
          <w:p w:rsidR="00F21015" w:rsidRDefault="00F21015" w:rsidP="00153966">
            <w:pPr>
              <w:pStyle w:val="Default"/>
              <w:numPr>
                <w:ilvl w:val="0"/>
                <w:numId w:val="1"/>
              </w:numPr>
              <w:rPr>
                <w:sz w:val="20"/>
                <w:szCs w:val="20"/>
              </w:rPr>
            </w:pPr>
            <w:r>
              <w:rPr>
                <w:sz w:val="20"/>
                <w:szCs w:val="20"/>
              </w:rPr>
              <w:lastRenderedPageBreak/>
              <w:t xml:space="preserve">Bajo </w:t>
            </w:r>
            <w:proofErr w:type="spellStart"/>
            <w:r>
              <w:rPr>
                <w:sz w:val="20"/>
                <w:szCs w:val="20"/>
              </w:rPr>
              <w:t>Chirripo</w:t>
            </w:r>
            <w:proofErr w:type="spellEnd"/>
            <w:r>
              <w:rPr>
                <w:sz w:val="20"/>
                <w:szCs w:val="20"/>
              </w:rPr>
              <w:t xml:space="preserve"> (</w:t>
            </w:r>
            <w:proofErr w:type="spellStart"/>
            <w:r>
              <w:rPr>
                <w:sz w:val="20"/>
                <w:szCs w:val="20"/>
              </w:rPr>
              <w:t>Cabecar</w:t>
            </w:r>
            <w:proofErr w:type="spellEnd"/>
            <w:r>
              <w:rPr>
                <w:sz w:val="20"/>
                <w:szCs w:val="20"/>
              </w:rPr>
              <w:t xml:space="preserve">) </w:t>
            </w:r>
          </w:p>
        </w:tc>
        <w:tc>
          <w:tcPr>
            <w:tcW w:w="942" w:type="dxa"/>
          </w:tcPr>
          <w:p w:rsidR="00F21015" w:rsidRDefault="00F21015" w:rsidP="00630E27">
            <w:pPr>
              <w:pStyle w:val="Default"/>
              <w:rPr>
                <w:sz w:val="20"/>
                <w:szCs w:val="20"/>
              </w:rPr>
            </w:pPr>
            <w:r>
              <w:rPr>
                <w:sz w:val="20"/>
                <w:szCs w:val="20"/>
              </w:rPr>
              <w:t xml:space="preserve">21904 </w:t>
            </w:r>
          </w:p>
        </w:tc>
        <w:tc>
          <w:tcPr>
            <w:tcW w:w="866" w:type="dxa"/>
          </w:tcPr>
          <w:p w:rsidR="00F21015" w:rsidRDefault="00F21015" w:rsidP="00630E27">
            <w:pPr>
              <w:pStyle w:val="Default"/>
              <w:rPr>
                <w:sz w:val="20"/>
                <w:szCs w:val="20"/>
              </w:rPr>
            </w:pPr>
            <w:r>
              <w:rPr>
                <w:sz w:val="20"/>
                <w:szCs w:val="20"/>
              </w:rPr>
              <w:t xml:space="preserve">26-12-92 </w:t>
            </w:r>
          </w:p>
        </w:tc>
        <w:tc>
          <w:tcPr>
            <w:tcW w:w="1132" w:type="dxa"/>
          </w:tcPr>
          <w:p w:rsidR="00F21015" w:rsidRDefault="00F21015" w:rsidP="00630E27">
            <w:pPr>
              <w:pStyle w:val="Default"/>
              <w:rPr>
                <w:sz w:val="20"/>
                <w:szCs w:val="20"/>
              </w:rPr>
            </w:pPr>
            <w:r>
              <w:rPr>
                <w:sz w:val="20"/>
                <w:szCs w:val="20"/>
              </w:rPr>
              <w:t xml:space="preserve">18783 Ha </w:t>
            </w:r>
          </w:p>
        </w:tc>
        <w:tc>
          <w:tcPr>
            <w:tcW w:w="1170" w:type="dxa"/>
          </w:tcPr>
          <w:p w:rsidR="00F21015" w:rsidRDefault="00F21015" w:rsidP="00630E27">
            <w:pPr>
              <w:pStyle w:val="Default"/>
              <w:rPr>
                <w:sz w:val="20"/>
                <w:szCs w:val="20"/>
              </w:rPr>
            </w:pPr>
            <w:r>
              <w:rPr>
                <w:sz w:val="20"/>
                <w:szCs w:val="20"/>
              </w:rPr>
              <w:t>Cartago Limón</w:t>
            </w:r>
          </w:p>
        </w:tc>
        <w:tc>
          <w:tcPr>
            <w:tcW w:w="1272" w:type="dxa"/>
          </w:tcPr>
          <w:p w:rsidR="00F21015" w:rsidRDefault="00F21015" w:rsidP="00630E27">
            <w:pPr>
              <w:pStyle w:val="Default"/>
              <w:rPr>
                <w:sz w:val="20"/>
                <w:szCs w:val="20"/>
              </w:rPr>
            </w:pPr>
            <w:r>
              <w:rPr>
                <w:sz w:val="20"/>
                <w:szCs w:val="20"/>
              </w:rPr>
              <w:t xml:space="preserve">Turrialba </w:t>
            </w:r>
            <w:proofErr w:type="spellStart"/>
            <w:r>
              <w:rPr>
                <w:sz w:val="20"/>
                <w:szCs w:val="20"/>
              </w:rPr>
              <w:t>Matina</w:t>
            </w:r>
            <w:proofErr w:type="spellEnd"/>
          </w:p>
        </w:tc>
        <w:tc>
          <w:tcPr>
            <w:tcW w:w="1500" w:type="dxa"/>
          </w:tcPr>
          <w:p w:rsidR="00F21015" w:rsidRDefault="00F21015" w:rsidP="00630E27">
            <w:pPr>
              <w:pStyle w:val="Default"/>
              <w:rPr>
                <w:sz w:val="20"/>
                <w:szCs w:val="20"/>
              </w:rPr>
            </w:pPr>
            <w:proofErr w:type="spellStart"/>
            <w:r>
              <w:rPr>
                <w:sz w:val="20"/>
                <w:szCs w:val="20"/>
              </w:rPr>
              <w:t>Matina</w:t>
            </w:r>
            <w:proofErr w:type="spellEnd"/>
            <w:r>
              <w:rPr>
                <w:sz w:val="20"/>
                <w:szCs w:val="20"/>
              </w:rPr>
              <w:t xml:space="preserve"> </w:t>
            </w:r>
            <w:proofErr w:type="spellStart"/>
            <w:r>
              <w:rPr>
                <w:sz w:val="20"/>
                <w:szCs w:val="20"/>
              </w:rPr>
              <w:t>Carrandi</w:t>
            </w:r>
            <w:proofErr w:type="spellEnd"/>
          </w:p>
          <w:p w:rsidR="00F21015" w:rsidRDefault="00F21015" w:rsidP="00630E27">
            <w:pPr>
              <w:pStyle w:val="Default"/>
              <w:rPr>
                <w:sz w:val="20"/>
                <w:szCs w:val="20"/>
              </w:rPr>
            </w:pPr>
            <w:proofErr w:type="spellStart"/>
            <w:r>
              <w:rPr>
                <w:sz w:val="20"/>
                <w:szCs w:val="20"/>
              </w:rPr>
              <w:t>Tayutic</w:t>
            </w:r>
            <w:proofErr w:type="spellEnd"/>
          </w:p>
        </w:tc>
      </w:tr>
      <w:tr w:rsidR="00FA7237" w:rsidTr="00DE4C28">
        <w:tc>
          <w:tcPr>
            <w:tcW w:w="2172" w:type="dxa"/>
          </w:tcPr>
          <w:p w:rsidR="00FA7237" w:rsidRDefault="00FA7237" w:rsidP="00153966">
            <w:pPr>
              <w:pStyle w:val="Default"/>
              <w:numPr>
                <w:ilvl w:val="0"/>
                <w:numId w:val="1"/>
              </w:numPr>
              <w:rPr>
                <w:sz w:val="20"/>
                <w:szCs w:val="20"/>
              </w:rPr>
            </w:pPr>
            <w:proofErr w:type="spellStart"/>
            <w:r>
              <w:rPr>
                <w:sz w:val="20"/>
                <w:szCs w:val="20"/>
              </w:rPr>
              <w:t>Conte</w:t>
            </w:r>
            <w:proofErr w:type="spellEnd"/>
            <w:r>
              <w:rPr>
                <w:sz w:val="20"/>
                <w:szCs w:val="20"/>
              </w:rPr>
              <w:t xml:space="preserve"> </w:t>
            </w:r>
            <w:proofErr w:type="spellStart"/>
            <w:r>
              <w:rPr>
                <w:sz w:val="20"/>
                <w:szCs w:val="20"/>
              </w:rPr>
              <w:t>Burica</w:t>
            </w:r>
            <w:proofErr w:type="spellEnd"/>
            <w:r>
              <w:rPr>
                <w:sz w:val="20"/>
                <w:szCs w:val="20"/>
              </w:rPr>
              <w:t xml:space="preserve"> (</w:t>
            </w:r>
            <w:proofErr w:type="spellStart"/>
            <w:r>
              <w:rPr>
                <w:sz w:val="20"/>
                <w:szCs w:val="20"/>
              </w:rPr>
              <w:t>Ngobe</w:t>
            </w:r>
            <w:proofErr w:type="spellEnd"/>
            <w:r>
              <w:rPr>
                <w:sz w:val="20"/>
                <w:szCs w:val="20"/>
              </w:rPr>
              <w:t xml:space="preserve">) </w:t>
            </w:r>
          </w:p>
        </w:tc>
        <w:tc>
          <w:tcPr>
            <w:tcW w:w="942" w:type="dxa"/>
          </w:tcPr>
          <w:p w:rsidR="00FA7237" w:rsidRDefault="00FA7237" w:rsidP="00630E27">
            <w:pPr>
              <w:pStyle w:val="Default"/>
              <w:rPr>
                <w:sz w:val="20"/>
                <w:szCs w:val="20"/>
              </w:rPr>
            </w:pPr>
            <w:r>
              <w:rPr>
                <w:sz w:val="20"/>
                <w:szCs w:val="20"/>
              </w:rPr>
              <w:t xml:space="preserve">29450 </w:t>
            </w:r>
          </w:p>
        </w:tc>
        <w:tc>
          <w:tcPr>
            <w:tcW w:w="866" w:type="dxa"/>
          </w:tcPr>
          <w:p w:rsidR="00FA7237" w:rsidRDefault="00FA7237" w:rsidP="00630E27">
            <w:pPr>
              <w:pStyle w:val="Default"/>
              <w:rPr>
                <w:sz w:val="20"/>
                <w:szCs w:val="20"/>
              </w:rPr>
            </w:pPr>
            <w:r>
              <w:rPr>
                <w:sz w:val="20"/>
                <w:szCs w:val="20"/>
              </w:rPr>
              <w:t xml:space="preserve">22-03-01 </w:t>
            </w:r>
          </w:p>
        </w:tc>
        <w:tc>
          <w:tcPr>
            <w:tcW w:w="1132" w:type="dxa"/>
          </w:tcPr>
          <w:p w:rsidR="00FA7237" w:rsidRDefault="00FA7237" w:rsidP="00630E27">
            <w:pPr>
              <w:pStyle w:val="Default"/>
              <w:rPr>
                <w:sz w:val="20"/>
                <w:szCs w:val="20"/>
              </w:rPr>
            </w:pPr>
            <w:r>
              <w:rPr>
                <w:sz w:val="20"/>
                <w:szCs w:val="20"/>
              </w:rPr>
              <w:t xml:space="preserve">11910 Ha o </w:t>
            </w:r>
          </w:p>
          <w:p w:rsidR="00FA7237" w:rsidRDefault="00FA7237" w:rsidP="00630E27">
            <w:pPr>
              <w:pStyle w:val="Default"/>
              <w:rPr>
                <w:sz w:val="20"/>
                <w:szCs w:val="20"/>
              </w:rPr>
            </w:pPr>
            <w:r>
              <w:rPr>
                <w:sz w:val="20"/>
                <w:szCs w:val="20"/>
              </w:rPr>
              <w:t xml:space="preserve">12400 Ha </w:t>
            </w:r>
          </w:p>
        </w:tc>
        <w:tc>
          <w:tcPr>
            <w:tcW w:w="1170" w:type="dxa"/>
          </w:tcPr>
          <w:p w:rsidR="00FA7237" w:rsidRDefault="00FA7237" w:rsidP="00630E27">
            <w:pPr>
              <w:pStyle w:val="Default"/>
              <w:rPr>
                <w:sz w:val="20"/>
                <w:szCs w:val="20"/>
              </w:rPr>
            </w:pPr>
            <w:r>
              <w:rPr>
                <w:sz w:val="20"/>
                <w:szCs w:val="20"/>
              </w:rPr>
              <w:t xml:space="preserve">Puntarenas </w:t>
            </w:r>
          </w:p>
        </w:tc>
        <w:tc>
          <w:tcPr>
            <w:tcW w:w="1272" w:type="dxa"/>
          </w:tcPr>
          <w:p w:rsidR="00FA7237" w:rsidRDefault="00FA7237" w:rsidP="00630E27">
            <w:pPr>
              <w:pStyle w:val="Default"/>
              <w:rPr>
                <w:sz w:val="20"/>
                <w:szCs w:val="20"/>
              </w:rPr>
            </w:pPr>
            <w:r>
              <w:rPr>
                <w:sz w:val="20"/>
                <w:szCs w:val="20"/>
              </w:rPr>
              <w:t>Golfito Corredores</w:t>
            </w:r>
          </w:p>
        </w:tc>
        <w:tc>
          <w:tcPr>
            <w:tcW w:w="1500" w:type="dxa"/>
          </w:tcPr>
          <w:p w:rsidR="00FA7237" w:rsidRDefault="00FA7237" w:rsidP="00630E27">
            <w:pPr>
              <w:pStyle w:val="Default"/>
              <w:rPr>
                <w:sz w:val="20"/>
                <w:szCs w:val="20"/>
              </w:rPr>
            </w:pPr>
            <w:r>
              <w:rPr>
                <w:sz w:val="20"/>
                <w:szCs w:val="20"/>
              </w:rPr>
              <w:t>Pavón</w:t>
            </w:r>
          </w:p>
          <w:p w:rsidR="00FA7237" w:rsidRDefault="00FA7237" w:rsidP="00630E27">
            <w:pPr>
              <w:pStyle w:val="Default"/>
              <w:rPr>
                <w:sz w:val="20"/>
                <w:szCs w:val="20"/>
              </w:rPr>
            </w:pPr>
            <w:r>
              <w:rPr>
                <w:sz w:val="20"/>
                <w:szCs w:val="20"/>
              </w:rPr>
              <w:t xml:space="preserve"> Laurel</w:t>
            </w:r>
          </w:p>
        </w:tc>
      </w:tr>
      <w:tr w:rsidR="00FA7237" w:rsidTr="00DE4C28">
        <w:tc>
          <w:tcPr>
            <w:tcW w:w="2172" w:type="dxa"/>
          </w:tcPr>
          <w:p w:rsidR="00FA7237" w:rsidRDefault="00FA7237" w:rsidP="00153966">
            <w:pPr>
              <w:pStyle w:val="Default"/>
              <w:numPr>
                <w:ilvl w:val="0"/>
                <w:numId w:val="1"/>
              </w:numPr>
              <w:rPr>
                <w:sz w:val="20"/>
                <w:szCs w:val="20"/>
              </w:rPr>
            </w:pPr>
            <w:r>
              <w:rPr>
                <w:sz w:val="20"/>
                <w:szCs w:val="20"/>
              </w:rPr>
              <w:t xml:space="preserve">Coto </w:t>
            </w:r>
            <w:proofErr w:type="spellStart"/>
            <w:r>
              <w:rPr>
                <w:sz w:val="20"/>
                <w:szCs w:val="20"/>
              </w:rPr>
              <w:t>Brus</w:t>
            </w:r>
            <w:proofErr w:type="spellEnd"/>
            <w:r>
              <w:rPr>
                <w:sz w:val="20"/>
                <w:szCs w:val="20"/>
              </w:rPr>
              <w:t xml:space="preserve"> (</w:t>
            </w:r>
            <w:proofErr w:type="spellStart"/>
            <w:r>
              <w:rPr>
                <w:sz w:val="20"/>
                <w:szCs w:val="20"/>
              </w:rPr>
              <w:t>Ngobe</w:t>
            </w:r>
            <w:proofErr w:type="spellEnd"/>
            <w:r>
              <w:rPr>
                <w:sz w:val="20"/>
                <w:szCs w:val="20"/>
              </w:rPr>
              <w:t xml:space="preserve">) </w:t>
            </w:r>
          </w:p>
        </w:tc>
        <w:tc>
          <w:tcPr>
            <w:tcW w:w="942" w:type="dxa"/>
          </w:tcPr>
          <w:p w:rsidR="00FA7237" w:rsidRDefault="00FA7237" w:rsidP="00630E27">
            <w:pPr>
              <w:pStyle w:val="Default"/>
              <w:rPr>
                <w:sz w:val="20"/>
                <w:szCs w:val="20"/>
              </w:rPr>
            </w:pPr>
            <w:r>
              <w:rPr>
                <w:sz w:val="20"/>
                <w:szCs w:val="20"/>
              </w:rPr>
              <w:t xml:space="preserve">29449 </w:t>
            </w:r>
          </w:p>
        </w:tc>
        <w:tc>
          <w:tcPr>
            <w:tcW w:w="866" w:type="dxa"/>
          </w:tcPr>
          <w:p w:rsidR="00FA7237" w:rsidRDefault="00FA7237" w:rsidP="00630E27">
            <w:pPr>
              <w:pStyle w:val="Default"/>
              <w:rPr>
                <w:sz w:val="20"/>
                <w:szCs w:val="20"/>
              </w:rPr>
            </w:pPr>
            <w:r>
              <w:rPr>
                <w:sz w:val="20"/>
                <w:szCs w:val="20"/>
              </w:rPr>
              <w:t xml:space="preserve">22-03-01 </w:t>
            </w:r>
          </w:p>
        </w:tc>
        <w:tc>
          <w:tcPr>
            <w:tcW w:w="1132" w:type="dxa"/>
          </w:tcPr>
          <w:p w:rsidR="00FA7237" w:rsidRDefault="00FA7237" w:rsidP="00630E27">
            <w:pPr>
              <w:pStyle w:val="Default"/>
              <w:rPr>
                <w:sz w:val="20"/>
                <w:szCs w:val="20"/>
              </w:rPr>
            </w:pPr>
            <w:r>
              <w:rPr>
                <w:sz w:val="20"/>
                <w:szCs w:val="20"/>
              </w:rPr>
              <w:t xml:space="preserve">7500 Ha o </w:t>
            </w:r>
          </w:p>
          <w:p w:rsidR="00FA7237" w:rsidRDefault="00FA7237" w:rsidP="00630E27">
            <w:pPr>
              <w:pStyle w:val="Default"/>
              <w:rPr>
                <w:sz w:val="20"/>
                <w:szCs w:val="20"/>
              </w:rPr>
            </w:pPr>
            <w:r>
              <w:rPr>
                <w:sz w:val="20"/>
                <w:szCs w:val="20"/>
              </w:rPr>
              <w:t xml:space="preserve">9000 Ha </w:t>
            </w:r>
          </w:p>
        </w:tc>
        <w:tc>
          <w:tcPr>
            <w:tcW w:w="1170" w:type="dxa"/>
          </w:tcPr>
          <w:p w:rsidR="00FA7237" w:rsidRDefault="00FA7237" w:rsidP="00630E27">
            <w:pPr>
              <w:pStyle w:val="Default"/>
              <w:rPr>
                <w:sz w:val="20"/>
                <w:szCs w:val="20"/>
              </w:rPr>
            </w:pPr>
            <w:r>
              <w:rPr>
                <w:sz w:val="20"/>
                <w:szCs w:val="20"/>
              </w:rPr>
              <w:t xml:space="preserve">Puntarenas </w:t>
            </w:r>
          </w:p>
        </w:tc>
        <w:tc>
          <w:tcPr>
            <w:tcW w:w="1272" w:type="dxa"/>
          </w:tcPr>
          <w:p w:rsidR="00FA7237" w:rsidRDefault="00FA7237" w:rsidP="00630E27">
            <w:pPr>
              <w:pStyle w:val="Default"/>
              <w:rPr>
                <w:sz w:val="20"/>
                <w:szCs w:val="20"/>
              </w:rPr>
            </w:pPr>
            <w:proofErr w:type="spellStart"/>
            <w:r>
              <w:rPr>
                <w:sz w:val="20"/>
                <w:szCs w:val="20"/>
              </w:rPr>
              <w:t>B.Aires</w:t>
            </w:r>
            <w:proofErr w:type="spellEnd"/>
            <w:r>
              <w:rPr>
                <w:sz w:val="20"/>
                <w:szCs w:val="20"/>
              </w:rPr>
              <w:t xml:space="preserve"> </w:t>
            </w:r>
          </w:p>
          <w:p w:rsidR="00FA7237" w:rsidRDefault="00FA7237" w:rsidP="00630E27">
            <w:pPr>
              <w:pStyle w:val="Default"/>
              <w:rPr>
                <w:sz w:val="20"/>
                <w:szCs w:val="20"/>
              </w:rPr>
            </w:pPr>
            <w:r>
              <w:rPr>
                <w:sz w:val="20"/>
                <w:szCs w:val="20"/>
              </w:rPr>
              <w:t xml:space="preserve">Coto </w:t>
            </w:r>
            <w:proofErr w:type="spellStart"/>
            <w:r>
              <w:rPr>
                <w:sz w:val="20"/>
                <w:szCs w:val="20"/>
              </w:rPr>
              <w:t>Brus</w:t>
            </w:r>
            <w:proofErr w:type="spellEnd"/>
          </w:p>
        </w:tc>
        <w:tc>
          <w:tcPr>
            <w:tcW w:w="1500" w:type="dxa"/>
          </w:tcPr>
          <w:p w:rsidR="00FA7237" w:rsidRDefault="00FA7237" w:rsidP="00630E27">
            <w:pPr>
              <w:pStyle w:val="Default"/>
              <w:rPr>
                <w:sz w:val="20"/>
                <w:szCs w:val="20"/>
              </w:rPr>
            </w:pPr>
            <w:proofErr w:type="spellStart"/>
            <w:r>
              <w:rPr>
                <w:sz w:val="20"/>
                <w:szCs w:val="20"/>
              </w:rPr>
              <w:t>Changuena</w:t>
            </w:r>
            <w:proofErr w:type="spellEnd"/>
            <w:r>
              <w:rPr>
                <w:sz w:val="20"/>
                <w:szCs w:val="20"/>
              </w:rPr>
              <w:t xml:space="preserve"> Limoncito</w:t>
            </w:r>
          </w:p>
        </w:tc>
      </w:tr>
      <w:tr w:rsidR="00FA7237" w:rsidTr="00DE4C28">
        <w:tc>
          <w:tcPr>
            <w:tcW w:w="2172" w:type="dxa"/>
          </w:tcPr>
          <w:p w:rsidR="00FA7237" w:rsidRDefault="00FA7237" w:rsidP="00153966">
            <w:pPr>
              <w:pStyle w:val="Default"/>
              <w:numPr>
                <w:ilvl w:val="0"/>
                <w:numId w:val="1"/>
              </w:numPr>
              <w:rPr>
                <w:sz w:val="20"/>
                <w:szCs w:val="20"/>
              </w:rPr>
            </w:pPr>
            <w:r>
              <w:rPr>
                <w:sz w:val="20"/>
                <w:szCs w:val="20"/>
              </w:rPr>
              <w:t xml:space="preserve">Abrojo </w:t>
            </w:r>
            <w:proofErr w:type="spellStart"/>
            <w:r>
              <w:rPr>
                <w:sz w:val="20"/>
                <w:szCs w:val="20"/>
              </w:rPr>
              <w:t>Montezuma</w:t>
            </w:r>
            <w:proofErr w:type="spellEnd"/>
            <w:r>
              <w:rPr>
                <w:sz w:val="20"/>
                <w:szCs w:val="20"/>
              </w:rPr>
              <w:t xml:space="preserve"> (</w:t>
            </w:r>
            <w:proofErr w:type="spellStart"/>
            <w:r>
              <w:rPr>
                <w:sz w:val="20"/>
                <w:szCs w:val="20"/>
              </w:rPr>
              <w:t>Ngobe</w:t>
            </w:r>
            <w:proofErr w:type="spellEnd"/>
            <w:r>
              <w:rPr>
                <w:sz w:val="20"/>
                <w:szCs w:val="20"/>
              </w:rPr>
              <w:t xml:space="preserve">) </w:t>
            </w:r>
          </w:p>
        </w:tc>
        <w:tc>
          <w:tcPr>
            <w:tcW w:w="942" w:type="dxa"/>
          </w:tcPr>
          <w:p w:rsidR="00FA7237" w:rsidRDefault="00FA7237" w:rsidP="00630E27">
            <w:pPr>
              <w:pStyle w:val="Default"/>
              <w:rPr>
                <w:sz w:val="20"/>
                <w:szCs w:val="20"/>
              </w:rPr>
            </w:pPr>
            <w:r>
              <w:rPr>
                <w:sz w:val="20"/>
                <w:szCs w:val="20"/>
              </w:rPr>
              <w:t xml:space="preserve">29960 </w:t>
            </w:r>
          </w:p>
        </w:tc>
        <w:tc>
          <w:tcPr>
            <w:tcW w:w="866" w:type="dxa"/>
          </w:tcPr>
          <w:p w:rsidR="00FA7237" w:rsidRDefault="00FA7237" w:rsidP="00630E27">
            <w:pPr>
              <w:pStyle w:val="Default"/>
              <w:rPr>
                <w:sz w:val="20"/>
                <w:szCs w:val="20"/>
              </w:rPr>
            </w:pPr>
            <w:r>
              <w:rPr>
                <w:sz w:val="20"/>
                <w:szCs w:val="20"/>
              </w:rPr>
              <w:t xml:space="preserve">26-10-01 </w:t>
            </w:r>
          </w:p>
        </w:tc>
        <w:tc>
          <w:tcPr>
            <w:tcW w:w="1132" w:type="dxa"/>
          </w:tcPr>
          <w:p w:rsidR="00FA7237" w:rsidRDefault="00FA7237" w:rsidP="00630E27">
            <w:pPr>
              <w:pStyle w:val="Default"/>
              <w:rPr>
                <w:sz w:val="20"/>
                <w:szCs w:val="20"/>
              </w:rPr>
            </w:pPr>
            <w:r>
              <w:rPr>
                <w:sz w:val="20"/>
                <w:szCs w:val="20"/>
              </w:rPr>
              <w:t xml:space="preserve">1480 Ha </w:t>
            </w:r>
          </w:p>
        </w:tc>
        <w:tc>
          <w:tcPr>
            <w:tcW w:w="1170" w:type="dxa"/>
          </w:tcPr>
          <w:p w:rsidR="00FA7237" w:rsidRDefault="00FA7237" w:rsidP="00630E27">
            <w:pPr>
              <w:pStyle w:val="Default"/>
              <w:rPr>
                <w:sz w:val="20"/>
                <w:szCs w:val="20"/>
              </w:rPr>
            </w:pPr>
            <w:r>
              <w:rPr>
                <w:sz w:val="20"/>
                <w:szCs w:val="20"/>
              </w:rPr>
              <w:t xml:space="preserve">Puntarenas </w:t>
            </w:r>
          </w:p>
        </w:tc>
        <w:tc>
          <w:tcPr>
            <w:tcW w:w="1272" w:type="dxa"/>
          </w:tcPr>
          <w:p w:rsidR="00FA7237" w:rsidRDefault="00FA7237" w:rsidP="00630E27">
            <w:pPr>
              <w:pStyle w:val="Default"/>
              <w:rPr>
                <w:sz w:val="20"/>
                <w:szCs w:val="20"/>
              </w:rPr>
            </w:pPr>
            <w:r>
              <w:rPr>
                <w:sz w:val="20"/>
                <w:szCs w:val="20"/>
              </w:rPr>
              <w:t xml:space="preserve">Corredores </w:t>
            </w:r>
          </w:p>
        </w:tc>
        <w:tc>
          <w:tcPr>
            <w:tcW w:w="1500" w:type="dxa"/>
          </w:tcPr>
          <w:p w:rsidR="00FA7237" w:rsidRDefault="00FA7237" w:rsidP="00630E27">
            <w:pPr>
              <w:pStyle w:val="Default"/>
              <w:rPr>
                <w:sz w:val="20"/>
                <w:szCs w:val="20"/>
              </w:rPr>
            </w:pPr>
            <w:r>
              <w:rPr>
                <w:sz w:val="20"/>
                <w:szCs w:val="20"/>
              </w:rPr>
              <w:t xml:space="preserve">Corredores </w:t>
            </w:r>
          </w:p>
        </w:tc>
      </w:tr>
      <w:tr w:rsidR="00FA7237" w:rsidTr="00DE4C28">
        <w:tc>
          <w:tcPr>
            <w:tcW w:w="2172" w:type="dxa"/>
          </w:tcPr>
          <w:p w:rsidR="00FA7237" w:rsidRDefault="00FA7237" w:rsidP="00153966">
            <w:pPr>
              <w:pStyle w:val="Default"/>
              <w:numPr>
                <w:ilvl w:val="0"/>
                <w:numId w:val="1"/>
              </w:numPr>
              <w:rPr>
                <w:sz w:val="20"/>
                <w:szCs w:val="20"/>
              </w:rPr>
            </w:pPr>
            <w:proofErr w:type="spellStart"/>
            <w:r>
              <w:rPr>
                <w:sz w:val="20"/>
                <w:szCs w:val="20"/>
              </w:rPr>
              <w:t>Guaymi</w:t>
            </w:r>
            <w:proofErr w:type="spellEnd"/>
            <w:r>
              <w:rPr>
                <w:sz w:val="20"/>
                <w:szCs w:val="20"/>
              </w:rPr>
              <w:t xml:space="preserve"> de Osa (</w:t>
            </w:r>
            <w:proofErr w:type="spellStart"/>
            <w:r>
              <w:rPr>
                <w:sz w:val="20"/>
                <w:szCs w:val="20"/>
              </w:rPr>
              <w:t>Ngobe</w:t>
            </w:r>
            <w:proofErr w:type="spellEnd"/>
            <w:r>
              <w:rPr>
                <w:sz w:val="20"/>
                <w:szCs w:val="20"/>
              </w:rPr>
              <w:t xml:space="preserve">) </w:t>
            </w:r>
          </w:p>
        </w:tc>
        <w:tc>
          <w:tcPr>
            <w:tcW w:w="942" w:type="dxa"/>
          </w:tcPr>
          <w:p w:rsidR="00FA7237" w:rsidRDefault="00FA7237" w:rsidP="00630E27">
            <w:pPr>
              <w:pStyle w:val="Default"/>
              <w:rPr>
                <w:sz w:val="20"/>
                <w:szCs w:val="20"/>
              </w:rPr>
            </w:pPr>
            <w:r>
              <w:rPr>
                <w:sz w:val="20"/>
                <w:szCs w:val="20"/>
              </w:rPr>
              <w:t xml:space="preserve">29957 </w:t>
            </w:r>
          </w:p>
        </w:tc>
        <w:tc>
          <w:tcPr>
            <w:tcW w:w="866" w:type="dxa"/>
          </w:tcPr>
          <w:p w:rsidR="00FA7237" w:rsidRDefault="00FA7237" w:rsidP="00630E27">
            <w:pPr>
              <w:pStyle w:val="Default"/>
              <w:rPr>
                <w:sz w:val="20"/>
                <w:szCs w:val="20"/>
              </w:rPr>
            </w:pPr>
            <w:r>
              <w:rPr>
                <w:sz w:val="20"/>
                <w:szCs w:val="20"/>
              </w:rPr>
              <w:t xml:space="preserve">26-10-01 </w:t>
            </w:r>
          </w:p>
        </w:tc>
        <w:tc>
          <w:tcPr>
            <w:tcW w:w="1132" w:type="dxa"/>
          </w:tcPr>
          <w:p w:rsidR="00FA7237" w:rsidRDefault="00FA7237" w:rsidP="00630E27">
            <w:pPr>
              <w:pStyle w:val="Default"/>
              <w:rPr>
                <w:sz w:val="20"/>
                <w:szCs w:val="20"/>
              </w:rPr>
            </w:pPr>
            <w:r>
              <w:rPr>
                <w:sz w:val="20"/>
                <w:szCs w:val="20"/>
              </w:rPr>
              <w:t xml:space="preserve">2757 Ha </w:t>
            </w:r>
          </w:p>
        </w:tc>
        <w:tc>
          <w:tcPr>
            <w:tcW w:w="1170" w:type="dxa"/>
          </w:tcPr>
          <w:p w:rsidR="00FA7237" w:rsidRDefault="00FA7237" w:rsidP="00630E27">
            <w:pPr>
              <w:pStyle w:val="Default"/>
              <w:rPr>
                <w:sz w:val="20"/>
                <w:szCs w:val="20"/>
              </w:rPr>
            </w:pPr>
            <w:r>
              <w:rPr>
                <w:sz w:val="20"/>
                <w:szCs w:val="20"/>
              </w:rPr>
              <w:t xml:space="preserve">Puntarenas </w:t>
            </w:r>
          </w:p>
        </w:tc>
        <w:tc>
          <w:tcPr>
            <w:tcW w:w="1272" w:type="dxa"/>
          </w:tcPr>
          <w:p w:rsidR="00FA7237" w:rsidRDefault="00FA7237" w:rsidP="00630E27">
            <w:pPr>
              <w:pStyle w:val="Default"/>
              <w:rPr>
                <w:sz w:val="20"/>
                <w:szCs w:val="20"/>
              </w:rPr>
            </w:pPr>
            <w:r>
              <w:rPr>
                <w:sz w:val="20"/>
                <w:szCs w:val="20"/>
              </w:rPr>
              <w:t xml:space="preserve">Golfito </w:t>
            </w:r>
          </w:p>
        </w:tc>
        <w:tc>
          <w:tcPr>
            <w:tcW w:w="1500" w:type="dxa"/>
          </w:tcPr>
          <w:p w:rsidR="00FA7237" w:rsidRDefault="00FA7237" w:rsidP="00630E27">
            <w:pPr>
              <w:pStyle w:val="Default"/>
              <w:rPr>
                <w:sz w:val="20"/>
                <w:szCs w:val="20"/>
              </w:rPr>
            </w:pPr>
            <w:proofErr w:type="spellStart"/>
            <w:r>
              <w:rPr>
                <w:sz w:val="20"/>
                <w:szCs w:val="20"/>
              </w:rPr>
              <w:t>Pto</w:t>
            </w:r>
            <w:proofErr w:type="spellEnd"/>
            <w:r>
              <w:rPr>
                <w:sz w:val="20"/>
                <w:szCs w:val="20"/>
              </w:rPr>
              <w:t xml:space="preserve">. Jiménez </w:t>
            </w:r>
          </w:p>
        </w:tc>
      </w:tr>
      <w:tr w:rsidR="00FA7237" w:rsidTr="00DE4C28">
        <w:tc>
          <w:tcPr>
            <w:tcW w:w="2172" w:type="dxa"/>
          </w:tcPr>
          <w:p w:rsidR="00FA7237" w:rsidRDefault="00FA7237" w:rsidP="00153966">
            <w:pPr>
              <w:pStyle w:val="Default"/>
              <w:numPr>
                <w:ilvl w:val="0"/>
                <w:numId w:val="1"/>
              </w:numPr>
              <w:rPr>
                <w:sz w:val="20"/>
                <w:szCs w:val="20"/>
              </w:rPr>
            </w:pPr>
            <w:proofErr w:type="spellStart"/>
            <w:r>
              <w:rPr>
                <w:sz w:val="20"/>
                <w:szCs w:val="20"/>
              </w:rPr>
              <w:t>Guaymí</w:t>
            </w:r>
            <w:proofErr w:type="spellEnd"/>
            <w:r>
              <w:rPr>
                <w:sz w:val="20"/>
                <w:szCs w:val="20"/>
              </w:rPr>
              <w:t xml:space="preserve"> Altos de San Antonio </w:t>
            </w:r>
          </w:p>
        </w:tc>
        <w:tc>
          <w:tcPr>
            <w:tcW w:w="942" w:type="dxa"/>
          </w:tcPr>
          <w:p w:rsidR="00FA7237" w:rsidRDefault="00FA7237" w:rsidP="00630E27">
            <w:pPr>
              <w:pStyle w:val="Default"/>
              <w:rPr>
                <w:sz w:val="20"/>
                <w:szCs w:val="20"/>
              </w:rPr>
            </w:pPr>
            <w:r>
              <w:rPr>
                <w:sz w:val="20"/>
                <w:szCs w:val="20"/>
              </w:rPr>
              <w:t xml:space="preserve">29451-G </w:t>
            </w:r>
          </w:p>
        </w:tc>
        <w:tc>
          <w:tcPr>
            <w:tcW w:w="866" w:type="dxa"/>
          </w:tcPr>
          <w:p w:rsidR="00FA7237" w:rsidRDefault="00FA7237" w:rsidP="00630E27">
            <w:pPr>
              <w:pStyle w:val="Default"/>
              <w:rPr>
                <w:sz w:val="20"/>
                <w:szCs w:val="20"/>
              </w:rPr>
            </w:pPr>
            <w:r>
              <w:rPr>
                <w:sz w:val="20"/>
                <w:szCs w:val="20"/>
              </w:rPr>
              <w:t xml:space="preserve">22-03-01 </w:t>
            </w:r>
          </w:p>
        </w:tc>
        <w:tc>
          <w:tcPr>
            <w:tcW w:w="1132" w:type="dxa"/>
          </w:tcPr>
          <w:p w:rsidR="00FA7237" w:rsidRDefault="00FA7237" w:rsidP="00630E27">
            <w:pPr>
              <w:pStyle w:val="Default"/>
              <w:rPr>
                <w:sz w:val="20"/>
                <w:szCs w:val="20"/>
              </w:rPr>
            </w:pPr>
            <w:r>
              <w:rPr>
                <w:sz w:val="20"/>
                <w:szCs w:val="20"/>
              </w:rPr>
              <w:t xml:space="preserve">1262 Ha </w:t>
            </w:r>
          </w:p>
        </w:tc>
        <w:tc>
          <w:tcPr>
            <w:tcW w:w="1170" w:type="dxa"/>
          </w:tcPr>
          <w:p w:rsidR="00FA7237" w:rsidRDefault="00FA7237" w:rsidP="00630E27">
            <w:pPr>
              <w:pStyle w:val="Default"/>
              <w:rPr>
                <w:sz w:val="20"/>
                <w:szCs w:val="20"/>
              </w:rPr>
            </w:pPr>
            <w:r>
              <w:rPr>
                <w:sz w:val="20"/>
                <w:szCs w:val="20"/>
              </w:rPr>
              <w:t xml:space="preserve">Puntarenas </w:t>
            </w:r>
          </w:p>
        </w:tc>
        <w:tc>
          <w:tcPr>
            <w:tcW w:w="1272" w:type="dxa"/>
          </w:tcPr>
          <w:p w:rsidR="00FA7237" w:rsidRDefault="00FA7237" w:rsidP="00630E27">
            <w:pPr>
              <w:pStyle w:val="Default"/>
              <w:rPr>
                <w:sz w:val="20"/>
                <w:szCs w:val="20"/>
              </w:rPr>
            </w:pPr>
            <w:r>
              <w:rPr>
                <w:sz w:val="20"/>
                <w:szCs w:val="20"/>
              </w:rPr>
              <w:t xml:space="preserve">Corredores </w:t>
            </w:r>
          </w:p>
        </w:tc>
        <w:tc>
          <w:tcPr>
            <w:tcW w:w="1500" w:type="dxa"/>
          </w:tcPr>
          <w:p w:rsidR="00FA7237" w:rsidRDefault="00FA7237" w:rsidP="00630E27">
            <w:pPr>
              <w:pStyle w:val="Default"/>
              <w:rPr>
                <w:sz w:val="20"/>
                <w:szCs w:val="20"/>
              </w:rPr>
            </w:pPr>
            <w:r>
              <w:rPr>
                <w:sz w:val="20"/>
                <w:szCs w:val="20"/>
              </w:rPr>
              <w:t xml:space="preserve">Centro </w:t>
            </w:r>
          </w:p>
        </w:tc>
      </w:tr>
      <w:tr w:rsidR="00FA7237" w:rsidTr="00DE4C28">
        <w:tc>
          <w:tcPr>
            <w:tcW w:w="2172" w:type="dxa"/>
          </w:tcPr>
          <w:p w:rsidR="00FA7237" w:rsidRDefault="00FA7237" w:rsidP="00153966">
            <w:pPr>
              <w:pStyle w:val="Default"/>
              <w:numPr>
                <w:ilvl w:val="0"/>
                <w:numId w:val="1"/>
              </w:numPr>
              <w:rPr>
                <w:sz w:val="20"/>
                <w:szCs w:val="20"/>
              </w:rPr>
            </w:pPr>
            <w:r>
              <w:rPr>
                <w:sz w:val="20"/>
                <w:szCs w:val="20"/>
              </w:rPr>
              <w:t xml:space="preserve">Zapatón </w:t>
            </w:r>
          </w:p>
        </w:tc>
        <w:tc>
          <w:tcPr>
            <w:tcW w:w="942" w:type="dxa"/>
          </w:tcPr>
          <w:p w:rsidR="00FA7237" w:rsidRDefault="00FA7237" w:rsidP="00630E27">
            <w:pPr>
              <w:pStyle w:val="Default"/>
              <w:rPr>
                <w:sz w:val="20"/>
                <w:szCs w:val="20"/>
              </w:rPr>
            </w:pPr>
            <w:r>
              <w:rPr>
                <w:sz w:val="20"/>
                <w:szCs w:val="20"/>
              </w:rPr>
              <w:t xml:space="preserve">29453 </w:t>
            </w:r>
          </w:p>
        </w:tc>
        <w:tc>
          <w:tcPr>
            <w:tcW w:w="866" w:type="dxa"/>
          </w:tcPr>
          <w:p w:rsidR="00FA7237" w:rsidRDefault="00FA7237" w:rsidP="00630E27">
            <w:pPr>
              <w:pStyle w:val="Default"/>
              <w:rPr>
                <w:sz w:val="20"/>
                <w:szCs w:val="20"/>
              </w:rPr>
            </w:pPr>
            <w:r>
              <w:rPr>
                <w:sz w:val="20"/>
                <w:szCs w:val="20"/>
              </w:rPr>
              <w:t xml:space="preserve">21-03-01 </w:t>
            </w:r>
          </w:p>
        </w:tc>
        <w:tc>
          <w:tcPr>
            <w:tcW w:w="1132" w:type="dxa"/>
          </w:tcPr>
          <w:p w:rsidR="00FA7237" w:rsidRDefault="00FA7237" w:rsidP="00630E27">
            <w:pPr>
              <w:pStyle w:val="Default"/>
              <w:rPr>
                <w:sz w:val="20"/>
                <w:szCs w:val="20"/>
              </w:rPr>
            </w:pPr>
            <w:r>
              <w:rPr>
                <w:sz w:val="20"/>
                <w:szCs w:val="20"/>
              </w:rPr>
              <w:t xml:space="preserve">2855 Ha </w:t>
            </w:r>
          </w:p>
        </w:tc>
        <w:tc>
          <w:tcPr>
            <w:tcW w:w="1170" w:type="dxa"/>
          </w:tcPr>
          <w:p w:rsidR="00FA7237" w:rsidRDefault="00FA7237" w:rsidP="00630E27">
            <w:pPr>
              <w:pStyle w:val="Default"/>
              <w:rPr>
                <w:sz w:val="20"/>
                <w:szCs w:val="20"/>
              </w:rPr>
            </w:pPr>
            <w:r>
              <w:rPr>
                <w:sz w:val="20"/>
                <w:szCs w:val="20"/>
              </w:rPr>
              <w:t>San José</w:t>
            </w:r>
          </w:p>
        </w:tc>
        <w:tc>
          <w:tcPr>
            <w:tcW w:w="1272" w:type="dxa"/>
          </w:tcPr>
          <w:p w:rsidR="00FA7237" w:rsidRDefault="00FA7237" w:rsidP="00630E27">
            <w:pPr>
              <w:pStyle w:val="Default"/>
              <w:rPr>
                <w:sz w:val="20"/>
                <w:szCs w:val="20"/>
              </w:rPr>
            </w:pPr>
            <w:proofErr w:type="spellStart"/>
            <w:r>
              <w:rPr>
                <w:sz w:val="20"/>
                <w:szCs w:val="20"/>
              </w:rPr>
              <w:t>Puriscal</w:t>
            </w:r>
            <w:proofErr w:type="spellEnd"/>
            <w:r>
              <w:rPr>
                <w:sz w:val="20"/>
                <w:szCs w:val="20"/>
              </w:rPr>
              <w:t xml:space="preserve"> </w:t>
            </w:r>
          </w:p>
        </w:tc>
        <w:tc>
          <w:tcPr>
            <w:tcW w:w="1500" w:type="dxa"/>
          </w:tcPr>
          <w:p w:rsidR="00FA7237" w:rsidRDefault="00FA7237" w:rsidP="00630E27">
            <w:pPr>
              <w:pStyle w:val="Default"/>
              <w:rPr>
                <w:sz w:val="20"/>
                <w:szCs w:val="20"/>
              </w:rPr>
            </w:pPr>
            <w:proofErr w:type="spellStart"/>
            <w:r>
              <w:rPr>
                <w:sz w:val="20"/>
                <w:szCs w:val="20"/>
              </w:rPr>
              <w:t>Chires</w:t>
            </w:r>
            <w:proofErr w:type="spellEnd"/>
            <w:r>
              <w:rPr>
                <w:sz w:val="20"/>
                <w:szCs w:val="20"/>
              </w:rPr>
              <w:t xml:space="preserve"> </w:t>
            </w:r>
          </w:p>
        </w:tc>
      </w:tr>
      <w:tr w:rsidR="00FA7237" w:rsidTr="00DE4C28">
        <w:tc>
          <w:tcPr>
            <w:tcW w:w="2172" w:type="dxa"/>
          </w:tcPr>
          <w:p w:rsidR="00FA7237" w:rsidRDefault="00FA7237" w:rsidP="00153966">
            <w:pPr>
              <w:pStyle w:val="Default"/>
              <w:numPr>
                <w:ilvl w:val="0"/>
                <w:numId w:val="1"/>
              </w:numPr>
              <w:rPr>
                <w:sz w:val="20"/>
                <w:szCs w:val="20"/>
              </w:rPr>
            </w:pPr>
            <w:proofErr w:type="spellStart"/>
            <w:r>
              <w:rPr>
                <w:sz w:val="20"/>
                <w:szCs w:val="20"/>
              </w:rPr>
              <w:t>Quitirrisí</w:t>
            </w:r>
            <w:proofErr w:type="spellEnd"/>
            <w:r>
              <w:rPr>
                <w:sz w:val="20"/>
                <w:szCs w:val="20"/>
              </w:rPr>
              <w:t xml:space="preserve"> </w:t>
            </w:r>
          </w:p>
        </w:tc>
        <w:tc>
          <w:tcPr>
            <w:tcW w:w="942" w:type="dxa"/>
          </w:tcPr>
          <w:p w:rsidR="00FA7237" w:rsidRDefault="00FA7237" w:rsidP="00630E27">
            <w:pPr>
              <w:pStyle w:val="Default"/>
              <w:rPr>
                <w:sz w:val="20"/>
                <w:szCs w:val="20"/>
              </w:rPr>
            </w:pPr>
            <w:r>
              <w:rPr>
                <w:sz w:val="20"/>
                <w:szCs w:val="20"/>
              </w:rPr>
              <w:t xml:space="preserve">29452 </w:t>
            </w:r>
          </w:p>
        </w:tc>
        <w:tc>
          <w:tcPr>
            <w:tcW w:w="866" w:type="dxa"/>
          </w:tcPr>
          <w:p w:rsidR="00FA7237" w:rsidRDefault="00FA7237" w:rsidP="00630E27">
            <w:pPr>
              <w:pStyle w:val="Default"/>
              <w:rPr>
                <w:sz w:val="20"/>
                <w:szCs w:val="20"/>
              </w:rPr>
            </w:pPr>
            <w:r>
              <w:rPr>
                <w:sz w:val="20"/>
                <w:szCs w:val="20"/>
              </w:rPr>
              <w:t xml:space="preserve">21-03-01 </w:t>
            </w:r>
          </w:p>
        </w:tc>
        <w:tc>
          <w:tcPr>
            <w:tcW w:w="1132" w:type="dxa"/>
          </w:tcPr>
          <w:p w:rsidR="00FA7237" w:rsidRDefault="00FA7237" w:rsidP="00630E27">
            <w:pPr>
              <w:pStyle w:val="Default"/>
              <w:rPr>
                <w:sz w:val="20"/>
                <w:szCs w:val="20"/>
              </w:rPr>
            </w:pPr>
            <w:r>
              <w:rPr>
                <w:sz w:val="20"/>
                <w:szCs w:val="20"/>
              </w:rPr>
              <w:t xml:space="preserve">2660 Ha </w:t>
            </w:r>
          </w:p>
        </w:tc>
        <w:tc>
          <w:tcPr>
            <w:tcW w:w="1170" w:type="dxa"/>
          </w:tcPr>
          <w:p w:rsidR="00FA7237" w:rsidRDefault="00FA7237" w:rsidP="00630E27">
            <w:pPr>
              <w:pStyle w:val="Default"/>
              <w:rPr>
                <w:sz w:val="20"/>
                <w:szCs w:val="20"/>
              </w:rPr>
            </w:pPr>
            <w:r>
              <w:rPr>
                <w:sz w:val="20"/>
                <w:szCs w:val="20"/>
              </w:rPr>
              <w:t xml:space="preserve">San José </w:t>
            </w:r>
          </w:p>
        </w:tc>
        <w:tc>
          <w:tcPr>
            <w:tcW w:w="1272" w:type="dxa"/>
          </w:tcPr>
          <w:p w:rsidR="00FA7237" w:rsidRDefault="00FA7237" w:rsidP="00630E27">
            <w:pPr>
              <w:pStyle w:val="Default"/>
              <w:rPr>
                <w:sz w:val="20"/>
                <w:szCs w:val="20"/>
              </w:rPr>
            </w:pPr>
            <w:r>
              <w:rPr>
                <w:sz w:val="20"/>
                <w:szCs w:val="20"/>
              </w:rPr>
              <w:t xml:space="preserve">Mora </w:t>
            </w:r>
          </w:p>
        </w:tc>
        <w:tc>
          <w:tcPr>
            <w:tcW w:w="1500" w:type="dxa"/>
          </w:tcPr>
          <w:p w:rsidR="00FA7237" w:rsidRDefault="00FA7237" w:rsidP="00630E27">
            <w:pPr>
              <w:pStyle w:val="Default"/>
              <w:rPr>
                <w:sz w:val="20"/>
                <w:szCs w:val="20"/>
              </w:rPr>
            </w:pPr>
            <w:r>
              <w:rPr>
                <w:sz w:val="20"/>
                <w:szCs w:val="20"/>
              </w:rPr>
              <w:t xml:space="preserve">Colón Guayabo </w:t>
            </w:r>
            <w:proofErr w:type="spellStart"/>
            <w:r>
              <w:rPr>
                <w:sz w:val="20"/>
                <w:szCs w:val="20"/>
              </w:rPr>
              <w:t>Tabarcia</w:t>
            </w:r>
            <w:proofErr w:type="spellEnd"/>
          </w:p>
        </w:tc>
      </w:tr>
    </w:tbl>
    <w:p w:rsidR="00C34554" w:rsidRDefault="00C34554">
      <w:pPr>
        <w:rPr>
          <w:noProof/>
          <w:lang w:eastAsia="es-CR"/>
        </w:rPr>
      </w:pPr>
    </w:p>
    <w:p w:rsidR="00C34554" w:rsidRPr="00DE4C28" w:rsidRDefault="00DE4C28" w:rsidP="00DE4C28">
      <w:pPr>
        <w:jc w:val="both"/>
        <w:rPr>
          <w:i/>
          <w:noProof/>
          <w:sz w:val="18"/>
          <w:szCs w:val="18"/>
          <w:lang w:eastAsia="es-CR"/>
        </w:rPr>
      </w:pPr>
      <w:r w:rsidRPr="00DE4C28">
        <w:rPr>
          <w:i/>
          <w:noProof/>
          <w:sz w:val="18"/>
          <w:szCs w:val="18"/>
          <w:lang w:eastAsia="es-CR"/>
        </w:rPr>
        <w:t>Fuente. Chacón Castro, Rubén, 2009 (modificado el orden de los territorios).  (2) Las áreas consignadas surgen de al menos</w:t>
      </w:r>
      <w:r w:rsidR="00376FF4">
        <w:rPr>
          <w:i/>
          <w:noProof/>
          <w:sz w:val="18"/>
          <w:szCs w:val="18"/>
          <w:lang w:eastAsia="es-CR"/>
        </w:rPr>
        <w:t>,</w:t>
      </w:r>
      <w:r w:rsidRPr="00DE4C28">
        <w:rPr>
          <w:i/>
          <w:noProof/>
          <w:sz w:val="18"/>
          <w:szCs w:val="18"/>
          <w:lang w:eastAsia="es-CR"/>
        </w:rPr>
        <w:t xml:space="preserve"> </w:t>
      </w:r>
      <w:r w:rsidR="00376FF4">
        <w:rPr>
          <w:i/>
          <w:noProof/>
          <w:sz w:val="18"/>
          <w:szCs w:val="18"/>
          <w:lang w:eastAsia="es-CR"/>
        </w:rPr>
        <w:t>l</w:t>
      </w:r>
      <w:r w:rsidRPr="00DE4C28">
        <w:rPr>
          <w:i/>
          <w:noProof/>
          <w:sz w:val="18"/>
          <w:szCs w:val="18"/>
          <w:lang w:eastAsia="es-CR"/>
        </w:rPr>
        <w:t>os Decretos citados y un Estudio del Instituto de Desarrollo Agrario (IDA) 2005.  (3) Territorio Indígena y Cultura.</w:t>
      </w:r>
      <w:r w:rsidRPr="00DE4C28">
        <w:rPr>
          <w:sz w:val="20"/>
          <w:szCs w:val="20"/>
        </w:rPr>
        <w:t xml:space="preserve"> </w:t>
      </w:r>
      <w:r w:rsidRPr="00DE4C28">
        <w:rPr>
          <w:i/>
          <w:sz w:val="20"/>
          <w:szCs w:val="20"/>
        </w:rPr>
        <w:t>Según el voto de la Sala N°6229-99 este Decreto mantiene, su vigencia para determinar la cabida del mismo. Sin embargo se mantiene una discusión en el sentido de si la cabida de este territorio debe ser la suma de</w:t>
      </w:r>
    </w:p>
    <w:p w:rsidR="0084364C" w:rsidRDefault="0084364C">
      <w:pPr>
        <w:rPr>
          <w:noProof/>
          <w:lang w:eastAsia="es-CR"/>
        </w:rPr>
      </w:pPr>
      <w:r>
        <w:rPr>
          <w:noProof/>
          <w:lang w:eastAsia="es-CR"/>
        </w:rPr>
        <w:br w:type="page"/>
      </w:r>
    </w:p>
    <w:p w:rsidR="0026666C" w:rsidRPr="00AA5CED" w:rsidRDefault="0084364C" w:rsidP="00AA5CED">
      <w:pPr>
        <w:jc w:val="center"/>
        <w:rPr>
          <w:b/>
          <w:noProof/>
          <w:lang w:eastAsia="es-CR"/>
        </w:rPr>
      </w:pPr>
      <w:r w:rsidRPr="00AA5CED">
        <w:rPr>
          <w:b/>
          <w:noProof/>
          <w:lang w:eastAsia="es-CR"/>
        </w:rPr>
        <w:lastRenderedPageBreak/>
        <w:t>ANEXO 2</w:t>
      </w:r>
    </w:p>
    <w:p w:rsidR="0084364C" w:rsidRPr="00AA5CED" w:rsidRDefault="00AA5CED" w:rsidP="00AA5CED">
      <w:pPr>
        <w:jc w:val="center"/>
        <w:rPr>
          <w:b/>
          <w:noProof/>
          <w:lang w:eastAsia="es-CR"/>
        </w:rPr>
      </w:pPr>
      <w:r w:rsidRPr="00AA5CED">
        <w:rPr>
          <w:b/>
          <w:noProof/>
          <w:lang w:eastAsia="es-CR"/>
        </w:rPr>
        <w:t>Estudio genéticos de Costa Rica</w:t>
      </w:r>
    </w:p>
    <w:p w:rsidR="0026666C" w:rsidRPr="0026666C" w:rsidRDefault="0026666C" w:rsidP="00AA5CED">
      <w:pPr>
        <w:shd w:val="clear" w:color="auto" w:fill="FFFFFF"/>
        <w:spacing w:after="63" w:line="288" w:lineRule="atLeast"/>
        <w:jc w:val="center"/>
        <w:rPr>
          <w:rFonts w:ascii="Arial" w:eastAsia="Times New Roman" w:hAnsi="Arial" w:cs="Arial"/>
          <w:caps/>
          <w:color w:val="4D739F"/>
          <w:sz w:val="14"/>
          <w:szCs w:val="14"/>
          <w:lang w:eastAsia="es-CR"/>
        </w:rPr>
      </w:pPr>
      <w:r w:rsidRPr="0026666C">
        <w:rPr>
          <w:rFonts w:ascii="Arial" w:eastAsia="Times New Roman" w:hAnsi="Arial" w:cs="Arial"/>
          <w:caps/>
          <w:color w:val="4D739F"/>
          <w:sz w:val="14"/>
          <w:szCs w:val="14"/>
          <w:lang w:eastAsia="es-CR"/>
        </w:rPr>
        <w:t>RESULTADO DE ANÁLISIS EN LA UNIVERSIDAD DE COSTA RICA</w:t>
      </w:r>
    </w:p>
    <w:p w:rsidR="0026666C" w:rsidRPr="0026666C" w:rsidRDefault="0084364C" w:rsidP="0026666C">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 xml:space="preserve"> </w:t>
      </w:r>
      <w:r w:rsidR="0026666C" w:rsidRPr="0026666C">
        <w:rPr>
          <w:rFonts w:asciiTheme="minorHAnsi" w:hAnsiTheme="minorHAnsi"/>
          <w:i/>
          <w:color w:val="000000"/>
        </w:rPr>
        <w:t>“Siempre hemos sido ‘mezcladitos”; varios estudios anteriores también lo han dicho. Incluso, el español que vino a Costa Rica tampoco fue puro, tenía más mezclas genéticas con algunas partes de África (moros principalmente), por ejemplo. Las personas negras que vinieron tampoco tenían genes 100% de un solo tipo”, explicó Ramiro Barrantes, coordinador de la investigación.</w:t>
      </w:r>
      <w:r w:rsidR="0026666C">
        <w:rPr>
          <w:rFonts w:asciiTheme="minorHAnsi" w:hAnsiTheme="minorHAnsi"/>
          <w:i/>
          <w:color w:val="000000"/>
        </w:rPr>
        <w:t xml:space="preserve">  </w:t>
      </w:r>
      <w:r w:rsidR="0026666C" w:rsidRPr="0026666C">
        <w:rPr>
          <w:rFonts w:asciiTheme="minorHAnsi" w:hAnsiTheme="minorHAnsi"/>
          <w:i/>
          <w:color w:val="000000"/>
        </w:rPr>
        <w:t>Este reporte es el primero en investigar los genes chinos en los costarricenses. El trabajo es el resultado del Premio Aportes a la Calidad y a la Excelencia, que este equipo ganó en el año 2010.  Para lograrlo, se tomaron muestras de sangre de 160 ticos de diferentes partes del país: 37 de la zona norte, 77 del Valle Central, 21 del Caribe y 25 de la zona sur. A todos se les buscaron marcadores genéticos propios de cada una de esas “familias raciales”.  Según Barrantes, la mezcla racial en Costa Rica es muy similar a la vista en otros países centroamericanos, con lo que se cae el mito de que aquí seamos los “más europeos y blanquitos de Centroamérica”.</w:t>
      </w:r>
    </w:p>
    <w:p w:rsidR="0026666C" w:rsidRPr="0026666C" w:rsidRDefault="0026666C" w:rsidP="0026666C">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 xml:space="preserve">“Tal vez podría haber un número un poco mayor de genes europeos en los costarricenses, pero es muy poco. Lo de ser casi solo descendientes de europeos es un mito, sobre todo de la clase alta, donde también la gente es muy mezclada”, aseveró el investigador.  </w:t>
      </w:r>
      <w:r w:rsidRPr="0026666C">
        <w:rPr>
          <w:rStyle w:val="Textoennegrita"/>
          <w:rFonts w:asciiTheme="minorHAnsi" w:hAnsiTheme="minorHAnsi"/>
          <w:b w:val="0"/>
          <w:bCs w:val="0"/>
          <w:i/>
          <w:color w:val="000000"/>
        </w:rPr>
        <w:t>Zona por zona.</w:t>
      </w:r>
      <w:r w:rsidRPr="0026666C">
        <w:rPr>
          <w:rStyle w:val="apple-converted-space"/>
          <w:rFonts w:asciiTheme="minorHAnsi" w:hAnsiTheme="minorHAnsi"/>
          <w:i/>
          <w:color w:val="000000"/>
        </w:rPr>
        <w:t xml:space="preserve">   </w:t>
      </w:r>
      <w:r w:rsidRPr="0026666C">
        <w:rPr>
          <w:rFonts w:asciiTheme="minorHAnsi" w:hAnsiTheme="minorHAnsi"/>
          <w:i/>
          <w:color w:val="000000"/>
        </w:rPr>
        <w:t xml:space="preserve">Las mezclas raciales de los costarricenses varían ligeramente según la zona del país de donde provengan.  Por ejemplo, la zona norte es la región de Costa Rica con más genes chinos, un 6,6% de la genética de sus pobladores es de origen oriental.  Además, es la segunda zona del país con más </w:t>
      </w:r>
      <w:proofErr w:type="spellStart"/>
      <w:r w:rsidRPr="0026666C">
        <w:rPr>
          <w:rFonts w:asciiTheme="minorHAnsi" w:hAnsiTheme="minorHAnsi"/>
          <w:i/>
          <w:color w:val="000000"/>
        </w:rPr>
        <w:t>afrodescendencia</w:t>
      </w:r>
      <w:proofErr w:type="spellEnd"/>
      <w:r w:rsidRPr="0026666C">
        <w:rPr>
          <w:rFonts w:asciiTheme="minorHAnsi" w:hAnsiTheme="minorHAnsi"/>
          <w:i/>
          <w:color w:val="000000"/>
        </w:rPr>
        <w:t xml:space="preserve">, pues posee un 14,1%, y la segunda con más herencia indígena, con un 37,1%. No obstante, aquí también predomina el componente europeo, con un 42,2%.  Barrantes explicó que la mayoría de los chinos llegó primero a Puntarenas y después se dispersó por el resto del país. Ellos tenían un nivel de educación mayor al de los negros que llegaron al país.  </w:t>
      </w:r>
    </w:p>
    <w:p w:rsidR="0026666C" w:rsidRPr="0026666C" w:rsidRDefault="0026666C" w:rsidP="0026666C">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 xml:space="preserve">Entretanto, el Caribe aunque es la zona con más componente negro, menos de la tercera parte de la genética de este lugar es </w:t>
      </w:r>
      <w:proofErr w:type="spellStart"/>
      <w:r w:rsidRPr="0026666C">
        <w:rPr>
          <w:rFonts w:asciiTheme="minorHAnsi" w:hAnsiTheme="minorHAnsi"/>
          <w:i/>
          <w:color w:val="000000"/>
        </w:rPr>
        <w:t>afrodescendiente</w:t>
      </w:r>
      <w:proofErr w:type="spellEnd"/>
      <w:r w:rsidRPr="0026666C">
        <w:rPr>
          <w:rFonts w:asciiTheme="minorHAnsi" w:hAnsiTheme="minorHAnsi"/>
          <w:i/>
          <w:color w:val="000000"/>
        </w:rPr>
        <w:t>. Solo el 30,5% de los genes caribeños son negros.  El Caribe también es el sitio con menos genética europea, pero igualmente son los genes predominantes, con un 38,9%. Además, el 26,5% de genes es indígena, y 4,2% chino. Esta es la zona del país con menos genes chinos.  “Los negros limonenses son la segunda generación de negros que llegó al país. La primera fue durante la colonia, y estuvieron principalmente en Guanacaste; la segunda fue con la construcción del ferrocarril, y ahí es donde se origina la parte negra de Limón”, explicó el especialista.</w:t>
      </w:r>
    </w:p>
    <w:p w:rsidR="0026666C" w:rsidRPr="0026666C" w:rsidRDefault="0026666C" w:rsidP="0026666C">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 xml:space="preserve">En el Valle Central más de la mitad (55%) de los genes son europeos; es la zona con mayor genética europea. Le sigue un 33,5% de indígena, un 6,3% de genes negros y un 4,9% de genes chinos.  La mayor predominancia europea, en gran parte, se explica porque durante </w:t>
      </w:r>
      <w:r w:rsidRPr="0026666C">
        <w:rPr>
          <w:rFonts w:asciiTheme="minorHAnsi" w:hAnsiTheme="minorHAnsi"/>
          <w:i/>
          <w:color w:val="000000"/>
        </w:rPr>
        <w:lastRenderedPageBreak/>
        <w:t xml:space="preserve">la época colonial la mayor cantidad de asentamientos de españoles y sus nuevas familias se dio en esta zona. Sin embargo, la variedad sigue siendo grande, pues hay presencia de las cuatro “familias” genéticas.  “Cuando se estudian nuestros ancestros hay mucho componente de español con madre indígena. De España venían solo hombres, por lo que es lógico que se diera este tipo de intercambio genético”, comentó </w:t>
      </w:r>
      <w:proofErr w:type="spellStart"/>
      <w:r w:rsidRPr="0026666C">
        <w:rPr>
          <w:rFonts w:asciiTheme="minorHAnsi" w:hAnsiTheme="minorHAnsi"/>
          <w:i/>
          <w:color w:val="000000"/>
        </w:rPr>
        <w:t>Henrriete</w:t>
      </w:r>
      <w:proofErr w:type="spellEnd"/>
      <w:r w:rsidRPr="0026666C">
        <w:rPr>
          <w:rFonts w:asciiTheme="minorHAnsi" w:hAnsiTheme="minorHAnsi"/>
          <w:i/>
          <w:color w:val="000000"/>
        </w:rPr>
        <w:t xml:space="preserve"> Raventós, del Centro de Biología Celular y Molecular de la UCR y una de las investigadoras de este reporte.  </w:t>
      </w:r>
    </w:p>
    <w:p w:rsidR="00AA5CED" w:rsidRDefault="0026666C" w:rsidP="0026666C">
      <w:pPr>
        <w:pStyle w:val="mce"/>
        <w:shd w:val="clear" w:color="auto" w:fill="FFFFFF"/>
        <w:spacing w:before="0" w:beforeAutospacing="0" w:after="313" w:afterAutospacing="0" w:line="313" w:lineRule="atLeast"/>
        <w:jc w:val="both"/>
        <w:rPr>
          <w:rFonts w:asciiTheme="minorHAnsi" w:hAnsiTheme="minorHAnsi"/>
          <w:i/>
          <w:color w:val="000000"/>
        </w:rPr>
      </w:pPr>
      <w:r w:rsidRPr="0026666C">
        <w:rPr>
          <w:rFonts w:asciiTheme="minorHAnsi" w:hAnsiTheme="minorHAnsi"/>
          <w:i/>
          <w:color w:val="000000"/>
        </w:rPr>
        <w:t>Finalmente, la zona sur tiene un 48,5% de genes europeos, un 37,7% de indígenas, un 7,7% de negros y un 6,1% de chinos.  Es la segunda zona del territorio nacional con más europeos y con más chinos, y en la que la mezcla racial es mayor.  Los investigadores señalan que en los próximos años la mezcla racial puede ser aún mayor, por factores como la tecnología.  Esto amplía la posibilidad de que personas de distintos grupos raciales se mezclen, con lo cual los genes serán cada vez menos “puros”.</w:t>
      </w:r>
      <w:r w:rsidR="00AA5CED">
        <w:rPr>
          <w:rStyle w:val="Refdenotaalpie"/>
          <w:rFonts w:asciiTheme="minorHAnsi" w:hAnsiTheme="minorHAnsi"/>
          <w:i/>
          <w:color w:val="000000"/>
        </w:rPr>
        <w:footnoteReference w:id="62"/>
      </w:r>
    </w:p>
    <w:p w:rsidR="00AA5CED" w:rsidRPr="00AA5CED" w:rsidRDefault="00AA5CED" w:rsidP="00AA5CED">
      <w:pPr>
        <w:rPr>
          <w:lang w:eastAsia="es-CR"/>
        </w:rPr>
      </w:pPr>
    </w:p>
    <w:p w:rsidR="00AA5CED" w:rsidRPr="00AA5CED" w:rsidRDefault="00AA5CED" w:rsidP="00AA5CED">
      <w:pPr>
        <w:rPr>
          <w:lang w:eastAsia="es-CR"/>
        </w:rPr>
      </w:pPr>
    </w:p>
    <w:p w:rsidR="00AA5CED" w:rsidRDefault="00AA5CED" w:rsidP="00AA5CED">
      <w:pPr>
        <w:rPr>
          <w:lang w:eastAsia="es-CR"/>
        </w:rPr>
      </w:pPr>
    </w:p>
    <w:p w:rsidR="0026666C" w:rsidRPr="00AA5CED" w:rsidRDefault="00AA5CED" w:rsidP="00AA5CED">
      <w:pPr>
        <w:tabs>
          <w:tab w:val="left" w:pos="7931"/>
        </w:tabs>
        <w:rPr>
          <w:lang w:eastAsia="es-CR"/>
        </w:rPr>
      </w:pPr>
      <w:r>
        <w:rPr>
          <w:lang w:eastAsia="es-CR"/>
        </w:rPr>
        <w:tab/>
      </w:r>
    </w:p>
    <w:p w:rsidR="00EA4D62" w:rsidRDefault="0026666C">
      <w:r>
        <w:rPr>
          <w:noProof/>
          <w:lang w:eastAsia="es-CR"/>
        </w:rPr>
        <w:lastRenderedPageBreak/>
        <w:drawing>
          <wp:inline distT="0" distB="0" distL="0" distR="0">
            <wp:extent cx="5557023" cy="5417041"/>
            <wp:effectExtent l="19050" t="0" r="5577" b="0"/>
            <wp:docPr id="1" name="Imagen 1" descr="infograf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a"/>
                    <pic:cNvPicPr>
                      <a:picLocks noChangeAspect="1" noChangeArrowheads="1"/>
                    </pic:cNvPicPr>
                  </pic:nvPicPr>
                  <pic:blipFill>
                    <a:blip r:embed="rId10" cstate="print"/>
                    <a:srcRect/>
                    <a:stretch>
                      <a:fillRect/>
                    </a:stretch>
                  </pic:blipFill>
                  <pic:spPr bwMode="auto">
                    <a:xfrm>
                      <a:off x="0" y="0"/>
                      <a:ext cx="5559594" cy="5419547"/>
                    </a:xfrm>
                    <a:prstGeom prst="rect">
                      <a:avLst/>
                    </a:prstGeom>
                    <a:noFill/>
                    <a:ln w="9525">
                      <a:noFill/>
                      <a:miter lim="800000"/>
                      <a:headEnd/>
                      <a:tailEnd/>
                    </a:ln>
                  </pic:spPr>
                </pic:pic>
              </a:graphicData>
            </a:graphic>
          </wp:inline>
        </w:drawing>
      </w:r>
    </w:p>
    <w:sectPr w:rsidR="00EA4D62" w:rsidSect="00EA4D62">
      <w:headerReference w:type="default" r:id="rId11"/>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370" w:rsidRDefault="001D0370" w:rsidP="0026666C">
      <w:pPr>
        <w:spacing w:after="0" w:line="240" w:lineRule="auto"/>
      </w:pPr>
      <w:r>
        <w:separator/>
      </w:r>
    </w:p>
  </w:endnote>
  <w:endnote w:type="continuationSeparator" w:id="0">
    <w:p w:rsidR="001D0370" w:rsidRDefault="001D0370" w:rsidP="002666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370" w:rsidRDefault="001D0370" w:rsidP="0026666C">
      <w:pPr>
        <w:spacing w:after="0" w:line="240" w:lineRule="auto"/>
      </w:pPr>
      <w:r>
        <w:separator/>
      </w:r>
    </w:p>
  </w:footnote>
  <w:footnote w:type="continuationSeparator" w:id="0">
    <w:p w:rsidR="001D0370" w:rsidRDefault="001D0370" w:rsidP="0026666C">
      <w:pPr>
        <w:spacing w:after="0" w:line="240" w:lineRule="auto"/>
      </w:pPr>
      <w:r>
        <w:continuationSeparator/>
      </w:r>
    </w:p>
  </w:footnote>
  <w:footnote w:id="1">
    <w:p w:rsidR="00630E27" w:rsidRPr="00AA5CED" w:rsidRDefault="00630E27" w:rsidP="007D691B">
      <w:pPr>
        <w:pStyle w:val="Textonotapie"/>
        <w:jc w:val="both"/>
        <w:rPr>
          <w:i/>
          <w:sz w:val="18"/>
          <w:szCs w:val="18"/>
        </w:rPr>
      </w:pPr>
      <w:r w:rsidRPr="00AA5CED">
        <w:rPr>
          <w:rStyle w:val="Refdenotaalpie"/>
          <w:i/>
          <w:sz w:val="18"/>
          <w:szCs w:val="18"/>
        </w:rPr>
        <w:footnoteRef/>
      </w:r>
      <w:r w:rsidRPr="00AA5CED">
        <w:rPr>
          <w:i/>
          <w:sz w:val="18"/>
          <w:szCs w:val="18"/>
        </w:rPr>
        <w:t xml:space="preserve"> Existe el Proyecto de ley No. 17.150, denominado “Reforma Constitucional del Artículo 1 para establecer el carácter Multiétnico y </w:t>
      </w:r>
      <w:proofErr w:type="spellStart"/>
      <w:r w:rsidRPr="00AA5CED">
        <w:rPr>
          <w:i/>
          <w:sz w:val="18"/>
          <w:szCs w:val="18"/>
        </w:rPr>
        <w:t>Pluricultural</w:t>
      </w:r>
      <w:proofErr w:type="spellEnd"/>
      <w:r w:rsidRPr="00AA5CED">
        <w:rPr>
          <w:i/>
          <w:sz w:val="18"/>
          <w:szCs w:val="18"/>
        </w:rPr>
        <w:t xml:space="preserve"> de Costa Rica”, cuya primera lectura en el Plenario Legislativo tuvo lugar el 26 de octubre de 2011 y ha sido retomado por la fracción del Partido Acción Ciudadana, actualmente en el poder, para que finalmente sea aprobado por la presente legislatura, después de 14 años de haberse introducido por primera vez.  El mismo fue aprobado en primer debate en octubre del presente año (2014).</w:t>
      </w:r>
    </w:p>
  </w:footnote>
  <w:footnote w:id="2">
    <w:p w:rsidR="00630E27" w:rsidRPr="00AA5CED" w:rsidRDefault="00630E27" w:rsidP="007D691B">
      <w:pPr>
        <w:pStyle w:val="Textonotapie"/>
        <w:jc w:val="both"/>
        <w:rPr>
          <w:i/>
          <w:sz w:val="18"/>
          <w:szCs w:val="18"/>
        </w:rPr>
      </w:pPr>
      <w:r w:rsidRPr="00AA5CED">
        <w:rPr>
          <w:rStyle w:val="Refdenotaalpie"/>
          <w:i/>
          <w:sz w:val="18"/>
          <w:szCs w:val="18"/>
        </w:rPr>
        <w:footnoteRef/>
      </w:r>
      <w:r w:rsidRPr="00AA5CED">
        <w:rPr>
          <w:i/>
          <w:sz w:val="18"/>
          <w:szCs w:val="18"/>
        </w:rPr>
        <w:t xml:space="preserve"> </w:t>
      </w:r>
      <w:r w:rsidRPr="0074100B">
        <w:rPr>
          <w:i/>
          <w:sz w:val="18"/>
          <w:szCs w:val="18"/>
        </w:rPr>
        <w:t xml:space="preserve">Existen diversos estudios recientes sobre el tema, como </w:t>
      </w:r>
      <w:proofErr w:type="spellStart"/>
      <w:r w:rsidRPr="0074100B">
        <w:rPr>
          <w:i/>
          <w:sz w:val="18"/>
          <w:szCs w:val="18"/>
        </w:rPr>
        <w:t>p.e.</w:t>
      </w:r>
      <w:proofErr w:type="spellEnd"/>
      <w:r w:rsidRPr="0074100B">
        <w:rPr>
          <w:i/>
          <w:sz w:val="18"/>
          <w:szCs w:val="18"/>
        </w:rPr>
        <w:t xml:space="preserve"> UNICEF-IDESPO. Percepciones de los costarricenses sobre la población </w:t>
      </w:r>
      <w:proofErr w:type="spellStart"/>
      <w:r w:rsidRPr="0074100B">
        <w:rPr>
          <w:i/>
          <w:sz w:val="18"/>
          <w:szCs w:val="18"/>
        </w:rPr>
        <w:t>afrodescendiente</w:t>
      </w:r>
      <w:proofErr w:type="spellEnd"/>
      <w:r w:rsidRPr="0074100B">
        <w:rPr>
          <w:i/>
          <w:sz w:val="18"/>
          <w:szCs w:val="18"/>
        </w:rPr>
        <w:t>.  San José, C.R.:</w:t>
      </w:r>
      <w:r w:rsidR="0074100B">
        <w:rPr>
          <w:i/>
          <w:sz w:val="18"/>
          <w:szCs w:val="18"/>
        </w:rPr>
        <w:t xml:space="preserve"> </w:t>
      </w:r>
      <w:r w:rsidRPr="0074100B">
        <w:rPr>
          <w:i/>
          <w:sz w:val="18"/>
          <w:szCs w:val="18"/>
        </w:rPr>
        <w:t>UNICEF-IDESPO, 2010 y UNICEF-UNAH. Conocimientos y percepciones de la población costarricense sobre los pueblos indígenas. San José, C.R.:</w:t>
      </w:r>
      <w:r w:rsidR="0074100B">
        <w:rPr>
          <w:i/>
          <w:sz w:val="18"/>
          <w:szCs w:val="18"/>
        </w:rPr>
        <w:t xml:space="preserve"> </w:t>
      </w:r>
      <w:r w:rsidRPr="0074100B">
        <w:rPr>
          <w:i/>
          <w:sz w:val="18"/>
          <w:szCs w:val="18"/>
        </w:rPr>
        <w:t>UNICEF, 2007.</w:t>
      </w:r>
      <w:r w:rsidRPr="00AA5CED">
        <w:rPr>
          <w:i/>
          <w:sz w:val="18"/>
          <w:szCs w:val="18"/>
        </w:rPr>
        <w:t xml:space="preserve"> </w:t>
      </w:r>
    </w:p>
  </w:footnote>
  <w:footnote w:id="3">
    <w:p w:rsidR="00630E27" w:rsidRPr="00AA5CED" w:rsidRDefault="00630E27" w:rsidP="007D691B">
      <w:pPr>
        <w:pStyle w:val="Textonotapie"/>
        <w:jc w:val="both"/>
        <w:rPr>
          <w:i/>
          <w:sz w:val="18"/>
          <w:szCs w:val="18"/>
        </w:rPr>
      </w:pPr>
      <w:r w:rsidRPr="00AA5CED">
        <w:rPr>
          <w:rStyle w:val="Refdenotaalpie"/>
          <w:i/>
          <w:sz w:val="18"/>
          <w:szCs w:val="18"/>
        </w:rPr>
        <w:footnoteRef/>
      </w:r>
      <w:r w:rsidRPr="00AA5CED">
        <w:rPr>
          <w:i/>
          <w:sz w:val="18"/>
          <w:szCs w:val="18"/>
        </w:rPr>
        <w:t xml:space="preserve"> Instituto Nacional de Estadística y Censos. X Censo Nacional de Población y VI de Vivienda: Territorios Indígenas. 1ª. Ed. San José, C.R.: INEC, 2013. 66 p.</w:t>
      </w:r>
    </w:p>
  </w:footnote>
  <w:footnote w:id="4">
    <w:p w:rsidR="00630E27" w:rsidRPr="00AA5CED" w:rsidRDefault="00630E27" w:rsidP="007D691B">
      <w:pPr>
        <w:pStyle w:val="Textonotapie"/>
        <w:jc w:val="both"/>
        <w:rPr>
          <w:i/>
          <w:sz w:val="18"/>
          <w:szCs w:val="18"/>
        </w:rPr>
      </w:pPr>
      <w:r w:rsidRPr="00AA5CED">
        <w:rPr>
          <w:rStyle w:val="Refdenotaalpie"/>
          <w:i/>
          <w:sz w:val="18"/>
          <w:szCs w:val="18"/>
        </w:rPr>
        <w:footnoteRef/>
      </w:r>
      <w:r w:rsidRPr="00AA5CED">
        <w:rPr>
          <w:i/>
          <w:sz w:val="18"/>
          <w:szCs w:val="18"/>
        </w:rPr>
        <w:t xml:space="preserve"> La autodefinición, </w:t>
      </w:r>
      <w:proofErr w:type="spellStart"/>
      <w:r w:rsidRPr="00AA5CED">
        <w:rPr>
          <w:i/>
          <w:sz w:val="18"/>
          <w:szCs w:val="18"/>
        </w:rPr>
        <w:t>autorreconocimiento</w:t>
      </w:r>
      <w:proofErr w:type="spellEnd"/>
      <w:r w:rsidRPr="00AA5CED">
        <w:rPr>
          <w:i/>
          <w:sz w:val="18"/>
          <w:szCs w:val="18"/>
        </w:rPr>
        <w:t xml:space="preserve"> o </w:t>
      </w:r>
      <w:proofErr w:type="spellStart"/>
      <w:r w:rsidRPr="00AA5CED">
        <w:rPr>
          <w:i/>
          <w:sz w:val="18"/>
          <w:szCs w:val="18"/>
        </w:rPr>
        <w:t>autodescripción</w:t>
      </w:r>
      <w:proofErr w:type="spellEnd"/>
      <w:r w:rsidRPr="00AA5CED">
        <w:rPr>
          <w:i/>
          <w:sz w:val="18"/>
          <w:szCs w:val="18"/>
        </w:rPr>
        <w:t xml:space="preserve"> es un criterio sustentado en los artículos 1 y 2 del Convenio 169 de la OIT, ratificado por Costa Rica el 2.04.1993. </w:t>
      </w:r>
    </w:p>
  </w:footnote>
  <w:footnote w:id="5">
    <w:p w:rsidR="00630E27" w:rsidRPr="00AA5CED" w:rsidRDefault="00630E27" w:rsidP="007D691B">
      <w:pPr>
        <w:pStyle w:val="Textonotapie"/>
        <w:jc w:val="both"/>
        <w:rPr>
          <w:i/>
          <w:sz w:val="18"/>
          <w:szCs w:val="18"/>
        </w:rPr>
      </w:pPr>
      <w:r w:rsidRPr="00AA5CED">
        <w:rPr>
          <w:rStyle w:val="Refdenotaalpie"/>
          <w:i/>
          <w:sz w:val="18"/>
          <w:szCs w:val="18"/>
        </w:rPr>
        <w:footnoteRef/>
      </w:r>
      <w:r w:rsidRPr="00AA5CED">
        <w:rPr>
          <w:i/>
          <w:sz w:val="18"/>
          <w:szCs w:val="18"/>
        </w:rPr>
        <w:t xml:space="preserve"> Dos pueblos indígenas (originarios más allá de las fronteras) coexisten con los  anteriores: </w:t>
      </w:r>
      <w:proofErr w:type="spellStart"/>
      <w:r w:rsidRPr="00AA5CED">
        <w:rPr>
          <w:i/>
          <w:sz w:val="18"/>
          <w:szCs w:val="18"/>
        </w:rPr>
        <w:t>buglés</w:t>
      </w:r>
      <w:proofErr w:type="spellEnd"/>
      <w:r w:rsidRPr="00AA5CED">
        <w:rPr>
          <w:i/>
          <w:sz w:val="18"/>
          <w:szCs w:val="18"/>
        </w:rPr>
        <w:t xml:space="preserve"> de Panamá y </w:t>
      </w:r>
      <w:proofErr w:type="spellStart"/>
      <w:r w:rsidRPr="00AA5CED">
        <w:rPr>
          <w:i/>
          <w:sz w:val="18"/>
          <w:szCs w:val="18"/>
        </w:rPr>
        <w:t>miskitos</w:t>
      </w:r>
      <w:proofErr w:type="spellEnd"/>
      <w:r w:rsidRPr="00AA5CED">
        <w:rPr>
          <w:i/>
          <w:sz w:val="18"/>
          <w:szCs w:val="18"/>
        </w:rPr>
        <w:t xml:space="preserve"> de Nicaragua.  Ver: UNICEF. Sistematización de Buenas Prácticas desarrolladas para la promoción de estilos de vida saludables y la atención de la salud materno-infantil en la población indígena </w:t>
      </w:r>
      <w:proofErr w:type="spellStart"/>
      <w:r w:rsidRPr="00AA5CED">
        <w:rPr>
          <w:i/>
          <w:sz w:val="18"/>
          <w:szCs w:val="18"/>
        </w:rPr>
        <w:t>Gnöbe</w:t>
      </w:r>
      <w:proofErr w:type="spellEnd"/>
      <w:r w:rsidRPr="00AA5CED">
        <w:rPr>
          <w:i/>
          <w:sz w:val="18"/>
          <w:szCs w:val="18"/>
        </w:rPr>
        <w:t xml:space="preserve">. Área de Salud de Coto </w:t>
      </w:r>
      <w:proofErr w:type="spellStart"/>
      <w:r w:rsidRPr="00AA5CED">
        <w:rPr>
          <w:i/>
          <w:sz w:val="18"/>
          <w:szCs w:val="18"/>
        </w:rPr>
        <w:t>Brus</w:t>
      </w:r>
      <w:proofErr w:type="spellEnd"/>
      <w:r w:rsidRPr="00AA5CED">
        <w:rPr>
          <w:i/>
          <w:sz w:val="18"/>
          <w:szCs w:val="18"/>
        </w:rPr>
        <w:t>.  San José, C.R.: UNICEF, 2012.</w:t>
      </w:r>
      <w:r w:rsidR="001E7EAD">
        <w:rPr>
          <w:i/>
          <w:sz w:val="18"/>
          <w:szCs w:val="18"/>
        </w:rPr>
        <w:t xml:space="preserve"> </w:t>
      </w:r>
      <w:r w:rsidR="00F81AC8">
        <w:rPr>
          <w:i/>
          <w:sz w:val="18"/>
          <w:szCs w:val="18"/>
        </w:rPr>
        <w:t>P</w:t>
      </w:r>
      <w:r w:rsidRPr="00AA5CED">
        <w:rPr>
          <w:i/>
          <w:sz w:val="18"/>
          <w:szCs w:val="18"/>
        </w:rPr>
        <w:t>. 13</w:t>
      </w:r>
    </w:p>
  </w:footnote>
  <w:footnote w:id="6">
    <w:p w:rsidR="00630E27" w:rsidRDefault="00630E27" w:rsidP="007D691B">
      <w:pPr>
        <w:pStyle w:val="Textonotapie"/>
        <w:jc w:val="both"/>
      </w:pPr>
      <w:r w:rsidRPr="00AA5CED">
        <w:rPr>
          <w:rStyle w:val="Refdenotaalpie"/>
          <w:i/>
          <w:sz w:val="18"/>
          <w:szCs w:val="18"/>
        </w:rPr>
        <w:footnoteRef/>
      </w:r>
      <w:r w:rsidRPr="00AA5CED">
        <w:rPr>
          <w:i/>
          <w:sz w:val="18"/>
          <w:szCs w:val="18"/>
        </w:rPr>
        <w:t xml:space="preserve"> Asociación Cultural </w:t>
      </w:r>
      <w:proofErr w:type="spellStart"/>
      <w:r w:rsidRPr="00AA5CED">
        <w:rPr>
          <w:i/>
          <w:sz w:val="18"/>
          <w:szCs w:val="18"/>
        </w:rPr>
        <w:t>Gnobegue</w:t>
      </w:r>
      <w:proofErr w:type="spellEnd"/>
      <w:r w:rsidRPr="00AA5CED">
        <w:rPr>
          <w:i/>
          <w:sz w:val="18"/>
          <w:szCs w:val="18"/>
        </w:rPr>
        <w:t xml:space="preserve"> y Asociación Comunidades Ecologistas La Ceiba-Amigos de la T</w:t>
      </w:r>
      <w:r>
        <w:rPr>
          <w:i/>
          <w:sz w:val="18"/>
          <w:szCs w:val="18"/>
        </w:rPr>
        <w:t xml:space="preserve">ierra.  San José, C.R.:2007.  </w:t>
      </w:r>
      <w:r w:rsidR="00F81AC8">
        <w:rPr>
          <w:i/>
          <w:sz w:val="18"/>
          <w:szCs w:val="18"/>
        </w:rPr>
        <w:t>P</w:t>
      </w:r>
      <w:r w:rsidRPr="00AA5CED">
        <w:rPr>
          <w:i/>
          <w:sz w:val="18"/>
          <w:szCs w:val="18"/>
        </w:rPr>
        <w:t>. 4</w:t>
      </w:r>
    </w:p>
  </w:footnote>
  <w:footnote w:id="7">
    <w:p w:rsidR="00630E27" w:rsidRPr="00AA5CED" w:rsidRDefault="00630E27" w:rsidP="00AA5CED">
      <w:pPr>
        <w:rPr>
          <w:i/>
          <w:sz w:val="18"/>
          <w:szCs w:val="18"/>
        </w:rPr>
      </w:pPr>
      <w:r>
        <w:rPr>
          <w:rStyle w:val="Refdenotaalpie"/>
        </w:rPr>
        <w:footnoteRef/>
      </w:r>
      <w:r>
        <w:t xml:space="preserve"> </w:t>
      </w:r>
      <w:r w:rsidRPr="00AA5CED">
        <w:rPr>
          <w:i/>
          <w:color w:val="000000"/>
          <w:sz w:val="18"/>
          <w:szCs w:val="18"/>
        </w:rPr>
        <w:t>Estas son las conclusiones del más reciente estudio sobre genética de la Escuela de Biología de la Universidad de Costa Rica (UCR) y del Centro de Biología Celular y Molecular del mismo centro de estudios</w:t>
      </w:r>
      <w:r>
        <w:rPr>
          <w:i/>
          <w:color w:val="000000"/>
          <w:sz w:val="18"/>
          <w:szCs w:val="18"/>
        </w:rPr>
        <w:t xml:space="preserve">.  </w:t>
      </w:r>
      <w:r w:rsidRPr="00AA5CED">
        <w:rPr>
          <w:i/>
          <w:color w:val="000000"/>
          <w:sz w:val="18"/>
          <w:szCs w:val="18"/>
        </w:rPr>
        <w:t>El documento fue publicado en la revista</w:t>
      </w:r>
      <w:r w:rsidRPr="00AA5CED">
        <w:rPr>
          <w:rStyle w:val="apple-converted-space"/>
          <w:i/>
          <w:color w:val="000000"/>
          <w:sz w:val="18"/>
          <w:szCs w:val="18"/>
        </w:rPr>
        <w:t> </w:t>
      </w:r>
      <w:proofErr w:type="spellStart"/>
      <w:r w:rsidRPr="00AA5CED">
        <w:rPr>
          <w:rStyle w:val="nfasis"/>
          <w:i w:val="0"/>
          <w:iCs w:val="0"/>
          <w:color w:val="000000"/>
          <w:sz w:val="18"/>
          <w:szCs w:val="18"/>
        </w:rPr>
        <w:t>Human</w:t>
      </w:r>
      <w:proofErr w:type="spellEnd"/>
      <w:r w:rsidRPr="00AA5CED">
        <w:rPr>
          <w:rStyle w:val="nfasis"/>
          <w:i w:val="0"/>
          <w:iCs w:val="0"/>
          <w:color w:val="000000"/>
          <w:sz w:val="18"/>
          <w:szCs w:val="18"/>
        </w:rPr>
        <w:t xml:space="preserve"> </w:t>
      </w:r>
      <w:proofErr w:type="spellStart"/>
      <w:r w:rsidRPr="00AA5CED">
        <w:rPr>
          <w:rStyle w:val="nfasis"/>
          <w:i w:val="0"/>
          <w:iCs w:val="0"/>
          <w:color w:val="000000"/>
          <w:sz w:val="18"/>
          <w:szCs w:val="18"/>
        </w:rPr>
        <w:t>Biology</w:t>
      </w:r>
      <w:proofErr w:type="spellEnd"/>
      <w:r w:rsidRPr="00AA5CED">
        <w:rPr>
          <w:i/>
          <w:color w:val="000000"/>
          <w:sz w:val="18"/>
          <w:szCs w:val="18"/>
        </w:rPr>
        <w:t xml:space="preserve">.  En: </w:t>
      </w:r>
      <w:r w:rsidRPr="00AA5CED">
        <w:rPr>
          <w:noProof/>
          <w:sz w:val="18"/>
          <w:szCs w:val="18"/>
          <w:lang w:eastAsia="es-CR"/>
        </w:rPr>
        <w:t>http://www.nacion.com/vivir/ciencia/Herencia-china-moldea-genes-</w:t>
      </w:r>
      <w:r w:rsidRPr="00AA5CED">
        <w:rPr>
          <w:i/>
          <w:noProof/>
          <w:sz w:val="18"/>
          <w:szCs w:val="18"/>
          <w:lang w:eastAsia="es-CR"/>
        </w:rPr>
        <w:t>costarricenses_0_1444655578.html</w:t>
      </w:r>
      <w:r w:rsidRPr="00AA5CED">
        <w:rPr>
          <w:rStyle w:val="Refdenotaalpie"/>
          <w:i/>
          <w:noProof/>
          <w:sz w:val="18"/>
          <w:szCs w:val="18"/>
          <w:lang w:eastAsia="es-CR"/>
        </w:rPr>
        <w:footnoteRef/>
      </w:r>
    </w:p>
  </w:footnote>
  <w:footnote w:id="8">
    <w:p w:rsidR="00630E27" w:rsidRPr="00F867DF" w:rsidRDefault="00630E27" w:rsidP="00F867DF">
      <w:pPr>
        <w:pStyle w:val="Textonotapie"/>
        <w:jc w:val="both"/>
        <w:rPr>
          <w:i/>
          <w:sz w:val="18"/>
          <w:szCs w:val="18"/>
        </w:rPr>
      </w:pPr>
      <w:r w:rsidRPr="00F867DF">
        <w:rPr>
          <w:rStyle w:val="Refdenotaalpie"/>
          <w:i/>
          <w:sz w:val="18"/>
          <w:szCs w:val="18"/>
        </w:rPr>
        <w:footnoteRef/>
      </w:r>
      <w:r w:rsidRPr="00F867DF">
        <w:rPr>
          <w:i/>
          <w:sz w:val="18"/>
          <w:szCs w:val="18"/>
        </w:rPr>
        <w:t xml:space="preserve"> P</w:t>
      </w:r>
      <w:r w:rsidRPr="00F867DF">
        <w:rPr>
          <w:rFonts w:cstheme="minorHAnsi"/>
          <w:i/>
          <w:sz w:val="18"/>
          <w:szCs w:val="18"/>
          <w:lang w:eastAsia="es-CR"/>
        </w:rPr>
        <w:t>romulgado el 26 de noviembre de 2013, vigente a partir del 1º. de enero de 2014</w:t>
      </w:r>
    </w:p>
  </w:footnote>
  <w:footnote w:id="9">
    <w:p w:rsidR="00630E27" w:rsidRPr="00F867DF" w:rsidRDefault="00630E27" w:rsidP="00F867DF">
      <w:pPr>
        <w:pStyle w:val="Textonotapie"/>
        <w:jc w:val="both"/>
        <w:rPr>
          <w:i/>
          <w:sz w:val="18"/>
          <w:szCs w:val="18"/>
        </w:rPr>
      </w:pPr>
      <w:r w:rsidRPr="00F867DF">
        <w:rPr>
          <w:rStyle w:val="Refdenotaalpie"/>
          <w:i/>
          <w:sz w:val="18"/>
          <w:szCs w:val="18"/>
        </w:rPr>
        <w:footnoteRef/>
      </w:r>
      <w:r w:rsidRPr="00F867DF">
        <w:rPr>
          <w:i/>
          <w:sz w:val="18"/>
          <w:szCs w:val="18"/>
        </w:rPr>
        <w:t xml:space="preserve"> La Gaceta No. 36, jueves 20 de febrero de 2014</w:t>
      </w:r>
      <w:r w:rsidR="00F81AC8">
        <w:rPr>
          <w:i/>
          <w:sz w:val="18"/>
          <w:szCs w:val="18"/>
        </w:rPr>
        <w:t>. P</w:t>
      </w:r>
      <w:r w:rsidRPr="00F867DF">
        <w:rPr>
          <w:i/>
          <w:sz w:val="18"/>
          <w:szCs w:val="18"/>
        </w:rPr>
        <w:t>. 4</w:t>
      </w:r>
    </w:p>
  </w:footnote>
  <w:footnote w:id="10">
    <w:p w:rsidR="00630E27" w:rsidRDefault="00630E27" w:rsidP="00F008D1">
      <w:pPr>
        <w:spacing w:after="0" w:line="240" w:lineRule="auto"/>
        <w:jc w:val="both"/>
        <w:rPr>
          <w:rFonts w:cstheme="minorHAnsi"/>
          <w:i/>
          <w:sz w:val="18"/>
          <w:szCs w:val="18"/>
          <w:lang w:eastAsia="es-CR"/>
        </w:rPr>
      </w:pPr>
      <w:r>
        <w:rPr>
          <w:rStyle w:val="Refdenotaalpie"/>
        </w:rPr>
        <w:footnoteRef/>
      </w:r>
      <w:r>
        <w:t xml:space="preserve"> </w:t>
      </w:r>
      <w:r>
        <w:rPr>
          <w:rFonts w:cstheme="minorHAnsi"/>
          <w:i/>
          <w:sz w:val="18"/>
          <w:szCs w:val="18"/>
          <w:lang w:eastAsia="es-CR"/>
        </w:rPr>
        <w:t>Mesa Nacional Indígena, Informe alternativo presentado por los pueblos indígenas al Informe presentado por el Estado de Costa Rica al Comité contra la Discriminación Racial de la Convención Internacional sobre la Eliminación de todas las formas de discriminación racial, 71 periodo de sesiones 30 de julio al 18 agosto de 2007.  P.40</w:t>
      </w:r>
    </w:p>
    <w:p w:rsidR="00630E27" w:rsidRDefault="00630E27" w:rsidP="00F008D1">
      <w:pPr>
        <w:pStyle w:val="Textonotapie"/>
      </w:pPr>
    </w:p>
  </w:footnote>
  <w:footnote w:id="11">
    <w:p w:rsidR="00630E27" w:rsidRDefault="00630E27" w:rsidP="00457F7B">
      <w:pPr>
        <w:spacing w:after="0" w:line="240" w:lineRule="auto"/>
        <w:jc w:val="both"/>
        <w:rPr>
          <w:rFonts w:cstheme="minorHAnsi"/>
          <w:i/>
          <w:sz w:val="18"/>
          <w:szCs w:val="18"/>
          <w:lang w:eastAsia="es-CR"/>
        </w:rPr>
      </w:pPr>
      <w:r>
        <w:rPr>
          <w:rStyle w:val="Refdenotaalpie"/>
        </w:rPr>
        <w:footnoteRef/>
      </w:r>
      <w:r>
        <w:t xml:space="preserve"> </w:t>
      </w:r>
      <w:r>
        <w:rPr>
          <w:rFonts w:cstheme="minorHAnsi"/>
          <w:i/>
          <w:sz w:val="18"/>
          <w:szCs w:val="18"/>
          <w:lang w:eastAsia="es-CR"/>
        </w:rPr>
        <w:t xml:space="preserve">VIOLACIONES DE LOS DERECHOS TERRITORIALES DE LOS PUEBLOS INDÍGENAS: El ejemplo de Costa Rica, </w:t>
      </w:r>
      <w:proofErr w:type="spellStart"/>
      <w:r>
        <w:rPr>
          <w:rFonts w:cstheme="minorHAnsi"/>
          <w:i/>
          <w:sz w:val="18"/>
          <w:szCs w:val="18"/>
          <w:lang w:eastAsia="es-CR"/>
        </w:rPr>
        <w:t>Fergus</w:t>
      </w:r>
      <w:proofErr w:type="spellEnd"/>
      <w:r>
        <w:rPr>
          <w:rFonts w:cstheme="minorHAnsi"/>
          <w:i/>
          <w:sz w:val="18"/>
          <w:szCs w:val="18"/>
          <w:lang w:eastAsia="es-CR"/>
        </w:rPr>
        <w:t xml:space="preserve"> </w:t>
      </w:r>
      <w:proofErr w:type="spellStart"/>
      <w:r>
        <w:rPr>
          <w:rFonts w:cstheme="minorHAnsi"/>
          <w:i/>
          <w:sz w:val="18"/>
          <w:szCs w:val="18"/>
          <w:lang w:eastAsia="es-CR"/>
        </w:rPr>
        <w:t>MacKay</w:t>
      </w:r>
      <w:proofErr w:type="spellEnd"/>
      <w:r>
        <w:rPr>
          <w:rFonts w:cstheme="minorHAnsi"/>
          <w:i/>
          <w:sz w:val="18"/>
          <w:szCs w:val="18"/>
          <w:lang w:eastAsia="es-CR"/>
        </w:rPr>
        <w:t xml:space="preserve"> y </w:t>
      </w:r>
      <w:proofErr w:type="spellStart"/>
      <w:r>
        <w:rPr>
          <w:rFonts w:cstheme="minorHAnsi"/>
          <w:i/>
          <w:sz w:val="18"/>
          <w:szCs w:val="18"/>
          <w:lang w:eastAsia="es-CR"/>
        </w:rPr>
        <w:t>Alancay</w:t>
      </w:r>
      <w:proofErr w:type="spellEnd"/>
      <w:r>
        <w:rPr>
          <w:rFonts w:cstheme="minorHAnsi"/>
          <w:i/>
          <w:sz w:val="18"/>
          <w:szCs w:val="18"/>
          <w:lang w:eastAsia="es-CR"/>
        </w:rPr>
        <w:t xml:space="preserve"> Morales Garro, </w:t>
      </w:r>
      <w:proofErr w:type="spellStart"/>
      <w:r>
        <w:rPr>
          <w:rFonts w:cstheme="minorHAnsi"/>
          <w:i/>
          <w:sz w:val="18"/>
          <w:szCs w:val="18"/>
          <w:lang w:eastAsia="es-CR"/>
        </w:rPr>
        <w:t>Forest</w:t>
      </w:r>
      <w:proofErr w:type="spellEnd"/>
      <w:r>
        <w:rPr>
          <w:rFonts w:cstheme="minorHAnsi"/>
          <w:i/>
          <w:sz w:val="18"/>
          <w:szCs w:val="18"/>
          <w:lang w:eastAsia="es-CR"/>
        </w:rPr>
        <w:t xml:space="preserve"> </w:t>
      </w:r>
      <w:proofErr w:type="spellStart"/>
      <w:r>
        <w:rPr>
          <w:rFonts w:cstheme="minorHAnsi"/>
          <w:i/>
          <w:sz w:val="18"/>
          <w:szCs w:val="18"/>
          <w:lang w:eastAsia="es-CR"/>
        </w:rPr>
        <w:t>Peoples</w:t>
      </w:r>
      <w:proofErr w:type="spellEnd"/>
      <w:r>
        <w:rPr>
          <w:rFonts w:cstheme="minorHAnsi"/>
          <w:i/>
          <w:sz w:val="18"/>
          <w:szCs w:val="18"/>
          <w:lang w:eastAsia="es-CR"/>
        </w:rPr>
        <w:t xml:space="preserve"> </w:t>
      </w:r>
      <w:proofErr w:type="spellStart"/>
      <w:r>
        <w:rPr>
          <w:rFonts w:cstheme="minorHAnsi"/>
          <w:i/>
          <w:sz w:val="18"/>
          <w:szCs w:val="18"/>
          <w:lang w:eastAsia="es-CR"/>
        </w:rPr>
        <w:t>Programme</w:t>
      </w:r>
      <w:proofErr w:type="spellEnd"/>
      <w:r>
        <w:rPr>
          <w:rFonts w:cstheme="minorHAnsi"/>
          <w:i/>
          <w:sz w:val="18"/>
          <w:szCs w:val="18"/>
          <w:lang w:eastAsia="es-CR"/>
        </w:rPr>
        <w:t>, Enero de 2014.  Citando a G. Berger, M. Vargas y J. Carlos, Perfil de los Pueblos Indígenas De Costa Rica (San José: Costa Rica, 2000).  P.15</w:t>
      </w:r>
    </w:p>
    <w:p w:rsidR="00630E27" w:rsidRDefault="00630E27">
      <w:pPr>
        <w:pStyle w:val="Textonotapie"/>
      </w:pPr>
    </w:p>
  </w:footnote>
  <w:footnote w:id="12">
    <w:p w:rsidR="00630E27" w:rsidRDefault="00630E27" w:rsidP="009E09B9">
      <w:pPr>
        <w:pStyle w:val="NormalWeb"/>
        <w:shd w:val="clear" w:color="auto" w:fill="FFFFFF"/>
        <w:spacing w:before="0" w:beforeAutospacing="0" w:after="0" w:afterAutospacing="0"/>
        <w:jc w:val="both"/>
      </w:pPr>
      <w:r>
        <w:rPr>
          <w:rStyle w:val="Refdenotaalpie"/>
        </w:rPr>
        <w:footnoteRef/>
      </w:r>
      <w:r>
        <w:t xml:space="preserve"> </w:t>
      </w:r>
      <w:r w:rsidRPr="009E09B9">
        <w:rPr>
          <w:rFonts w:asciiTheme="minorHAnsi" w:hAnsiTheme="minorHAnsi" w:cstheme="minorHAnsi"/>
          <w:i/>
          <w:color w:val="252525"/>
          <w:sz w:val="18"/>
          <w:szCs w:val="18"/>
        </w:rPr>
        <w:t xml:space="preserve">Los </w:t>
      </w:r>
      <w:r w:rsidRPr="009E09B9">
        <w:rPr>
          <w:rFonts w:asciiTheme="minorHAnsi" w:hAnsiTheme="minorHAnsi" w:cstheme="minorHAnsi"/>
          <w:i/>
          <w:sz w:val="18"/>
          <w:szCs w:val="18"/>
        </w:rPr>
        <w:t>derechos seleccionados en el estudio son: 1. Tierras, territorios y recursos naturales; 2. Consulta; 3. Libre determinación; 4. Acceso a la justicia; 5. Participación política; 6. Educación; 7. Salud; 8. Igualdad y no discriminación</w:t>
      </w:r>
      <w:r>
        <w:rPr>
          <w:rFonts w:asciiTheme="minorHAnsi" w:hAnsiTheme="minorHAnsi" w:cstheme="minorHAnsi"/>
        </w:rPr>
        <w:t xml:space="preserve">. </w:t>
      </w:r>
      <w:r>
        <w:rPr>
          <w:rFonts w:asciiTheme="minorHAnsi" w:hAnsiTheme="minorHAnsi" w:cstheme="minorHAnsi"/>
          <w:color w:val="252525"/>
        </w:rPr>
        <w:t xml:space="preserve">  </w:t>
      </w:r>
    </w:p>
  </w:footnote>
  <w:footnote w:id="13">
    <w:p w:rsidR="00630E27" w:rsidRPr="00F867DF" w:rsidRDefault="00630E27" w:rsidP="00F867DF">
      <w:pPr>
        <w:pStyle w:val="Textonotapie"/>
        <w:jc w:val="both"/>
        <w:rPr>
          <w:i/>
          <w:sz w:val="18"/>
          <w:szCs w:val="18"/>
        </w:rPr>
      </w:pPr>
      <w:r w:rsidRPr="00F867DF">
        <w:rPr>
          <w:rStyle w:val="Refdenotaalpie"/>
          <w:i/>
          <w:sz w:val="18"/>
          <w:szCs w:val="18"/>
        </w:rPr>
        <w:footnoteRef/>
      </w:r>
      <w:r w:rsidRPr="00F867DF">
        <w:rPr>
          <w:i/>
          <w:sz w:val="18"/>
          <w:szCs w:val="18"/>
        </w:rPr>
        <w:t xml:space="preserve"> OACNUDH. Diagnóstico sobre la situación de los derechos de los pueblos indígenas de América Central.  Costa Rica. Elaborado por Javier Rodríguez O. Tomo 1. </w:t>
      </w:r>
      <w:r w:rsidR="00F81AC8">
        <w:rPr>
          <w:i/>
          <w:sz w:val="18"/>
          <w:szCs w:val="18"/>
        </w:rPr>
        <w:t>1ª. ed. Panamá: OACNUDH, 2011. P</w:t>
      </w:r>
      <w:r w:rsidRPr="00F867DF">
        <w:rPr>
          <w:i/>
          <w:sz w:val="18"/>
          <w:szCs w:val="18"/>
        </w:rPr>
        <w:t>. 76.</w:t>
      </w:r>
    </w:p>
  </w:footnote>
  <w:footnote w:id="14">
    <w:p w:rsidR="00630E27" w:rsidRPr="00F867DF" w:rsidRDefault="00630E27" w:rsidP="00F867DF">
      <w:pPr>
        <w:pStyle w:val="Textonotapie"/>
        <w:jc w:val="both"/>
        <w:rPr>
          <w:i/>
          <w:sz w:val="18"/>
          <w:szCs w:val="18"/>
        </w:rPr>
      </w:pPr>
      <w:r w:rsidRPr="00F867DF">
        <w:rPr>
          <w:rStyle w:val="Refdenotaalpie"/>
          <w:i/>
          <w:sz w:val="18"/>
          <w:szCs w:val="18"/>
        </w:rPr>
        <w:footnoteRef/>
      </w:r>
      <w:r w:rsidRPr="00F867DF">
        <w:rPr>
          <w:i/>
          <w:sz w:val="18"/>
          <w:szCs w:val="18"/>
        </w:rPr>
        <w:t xml:space="preserve"> Informe nacional sobre desarrollo humano 2013.  Aprendiendo a vivir juntos: Convivencia y desarrollo humano en  Costa Rica.   San José, C.R.: PNUD, 2013. </w:t>
      </w:r>
      <w:r w:rsidR="00F81AC8">
        <w:rPr>
          <w:i/>
          <w:sz w:val="18"/>
          <w:szCs w:val="18"/>
        </w:rPr>
        <w:t>P</w:t>
      </w:r>
      <w:r w:rsidRPr="00F867DF">
        <w:rPr>
          <w:i/>
          <w:sz w:val="18"/>
          <w:szCs w:val="18"/>
        </w:rPr>
        <w:t>. 197</w:t>
      </w:r>
    </w:p>
  </w:footnote>
  <w:footnote w:id="15">
    <w:p w:rsidR="00630E27" w:rsidRPr="004D404B" w:rsidRDefault="00630E27" w:rsidP="004D404B">
      <w:pPr>
        <w:pStyle w:val="Textonotapie"/>
        <w:jc w:val="both"/>
        <w:rPr>
          <w:i/>
          <w:sz w:val="18"/>
          <w:szCs w:val="18"/>
        </w:rPr>
      </w:pPr>
      <w:r>
        <w:rPr>
          <w:rStyle w:val="Refdenotaalpie"/>
        </w:rPr>
        <w:footnoteRef/>
      </w:r>
      <w:r>
        <w:t xml:space="preserve"> </w:t>
      </w:r>
      <w:proofErr w:type="spellStart"/>
      <w:r w:rsidRPr="004D404B">
        <w:rPr>
          <w:i/>
          <w:sz w:val="18"/>
          <w:szCs w:val="18"/>
        </w:rPr>
        <w:t>Lider</w:t>
      </w:r>
      <w:proofErr w:type="spellEnd"/>
      <w:r w:rsidRPr="004D404B">
        <w:rPr>
          <w:i/>
          <w:sz w:val="18"/>
          <w:szCs w:val="18"/>
        </w:rPr>
        <w:t xml:space="preserve"> de la ONU en Costa Rica: “Indígenas tienen serio rezago en derechos y desarrollo social”.  Entrevista en La Nación, 23.09.2013.  </w:t>
      </w:r>
      <w:proofErr w:type="spellStart"/>
      <w:r w:rsidRPr="004D404B">
        <w:rPr>
          <w:i/>
          <w:sz w:val="18"/>
          <w:szCs w:val="18"/>
        </w:rPr>
        <w:t>R</w:t>
      </w:r>
      <w:r w:rsidRPr="004D404B">
        <w:rPr>
          <w:rFonts w:cstheme="minorHAnsi"/>
          <w:i/>
          <w:sz w:val="18"/>
          <w:szCs w:val="18"/>
          <w:lang w:eastAsia="es-CR"/>
        </w:rPr>
        <w:t>representante</w:t>
      </w:r>
      <w:proofErr w:type="spellEnd"/>
      <w:r w:rsidRPr="004D404B">
        <w:rPr>
          <w:rFonts w:cstheme="minorHAnsi"/>
          <w:i/>
          <w:sz w:val="18"/>
          <w:szCs w:val="18"/>
          <w:lang w:eastAsia="es-CR"/>
        </w:rPr>
        <w:t xml:space="preserve"> residente del PNUD en Costa Rica, Sra. </w:t>
      </w:r>
      <w:proofErr w:type="spellStart"/>
      <w:r w:rsidRPr="004D404B">
        <w:rPr>
          <w:rFonts w:cstheme="minorHAnsi"/>
          <w:i/>
          <w:sz w:val="18"/>
          <w:szCs w:val="18"/>
          <w:lang w:eastAsia="es-CR"/>
        </w:rPr>
        <w:t>Yoriko</w:t>
      </w:r>
      <w:proofErr w:type="spellEnd"/>
      <w:r w:rsidRPr="004D404B">
        <w:rPr>
          <w:rFonts w:cstheme="minorHAnsi"/>
          <w:i/>
          <w:sz w:val="18"/>
          <w:szCs w:val="18"/>
          <w:lang w:eastAsia="es-CR"/>
        </w:rPr>
        <w:t xml:space="preserve"> </w:t>
      </w:r>
      <w:proofErr w:type="spellStart"/>
      <w:r w:rsidRPr="004D404B">
        <w:rPr>
          <w:rFonts w:cstheme="minorHAnsi"/>
          <w:i/>
          <w:sz w:val="18"/>
          <w:szCs w:val="18"/>
          <w:lang w:eastAsia="es-CR"/>
        </w:rPr>
        <w:t>Yasukawa</w:t>
      </w:r>
      <w:proofErr w:type="spellEnd"/>
      <w:r w:rsidRPr="004D404B">
        <w:rPr>
          <w:rFonts w:cstheme="minorHAnsi"/>
          <w:i/>
          <w:sz w:val="18"/>
          <w:szCs w:val="18"/>
          <w:lang w:eastAsia="es-CR"/>
        </w:rPr>
        <w:t>,</w:t>
      </w:r>
    </w:p>
  </w:footnote>
  <w:footnote w:id="16">
    <w:p w:rsidR="00630E27" w:rsidRPr="004D404B" w:rsidRDefault="00630E27" w:rsidP="004D404B">
      <w:pPr>
        <w:pStyle w:val="Textonotapie"/>
        <w:jc w:val="both"/>
        <w:rPr>
          <w:i/>
          <w:sz w:val="18"/>
          <w:szCs w:val="18"/>
        </w:rPr>
      </w:pPr>
      <w:r w:rsidRPr="004D404B">
        <w:rPr>
          <w:rStyle w:val="Refdenotaalpie"/>
          <w:i/>
          <w:sz w:val="18"/>
          <w:szCs w:val="18"/>
        </w:rPr>
        <w:footnoteRef/>
      </w:r>
      <w:r w:rsidRPr="004D404B">
        <w:rPr>
          <w:i/>
          <w:sz w:val="18"/>
          <w:szCs w:val="18"/>
        </w:rPr>
        <w:t xml:space="preserve"> </w:t>
      </w:r>
      <w:proofErr w:type="spellStart"/>
      <w:r w:rsidRPr="004D404B">
        <w:rPr>
          <w:i/>
          <w:sz w:val="18"/>
          <w:szCs w:val="18"/>
        </w:rPr>
        <w:t>Idem</w:t>
      </w:r>
      <w:proofErr w:type="spellEnd"/>
      <w:r w:rsidRPr="004D404B">
        <w:rPr>
          <w:i/>
          <w:sz w:val="18"/>
          <w:szCs w:val="18"/>
        </w:rPr>
        <w:t>.</w:t>
      </w:r>
    </w:p>
  </w:footnote>
  <w:footnote w:id="17">
    <w:p w:rsidR="00630E27" w:rsidRDefault="00630E27">
      <w:pPr>
        <w:pStyle w:val="Textonotapie"/>
      </w:pPr>
      <w:r>
        <w:rPr>
          <w:rStyle w:val="Refdenotaalpie"/>
        </w:rPr>
        <w:footnoteRef/>
      </w:r>
      <w:r>
        <w:rPr>
          <w:rFonts w:cstheme="minorHAnsi"/>
          <w:i/>
          <w:color w:val="000000"/>
          <w:sz w:val="18"/>
          <w:szCs w:val="18"/>
          <w:shd w:val="clear" w:color="auto" w:fill="FFFFFF"/>
        </w:rPr>
        <w:t>C</w:t>
      </w:r>
      <w:r w:rsidRPr="001662BD">
        <w:rPr>
          <w:rFonts w:cstheme="minorHAnsi"/>
          <w:i/>
          <w:color w:val="000000"/>
          <w:sz w:val="18"/>
          <w:szCs w:val="18"/>
          <w:shd w:val="clear" w:color="auto" w:fill="FFFFFF"/>
        </w:rPr>
        <w:t>itado Informe del Estado de la Nación de 2013</w:t>
      </w:r>
    </w:p>
  </w:footnote>
  <w:footnote w:id="18">
    <w:p w:rsidR="00630E27" w:rsidRPr="00F008D1" w:rsidRDefault="00630E27" w:rsidP="00751CA8">
      <w:pPr>
        <w:pStyle w:val="Textonotapie"/>
        <w:rPr>
          <w:i/>
          <w:sz w:val="18"/>
          <w:szCs w:val="18"/>
        </w:rPr>
      </w:pPr>
      <w:r>
        <w:rPr>
          <w:rStyle w:val="Refdenotaalpie"/>
        </w:rPr>
        <w:footnoteRef/>
      </w:r>
      <w:r>
        <w:t xml:space="preserve"> </w:t>
      </w:r>
      <w:r w:rsidRPr="00F008D1">
        <w:rPr>
          <w:i/>
          <w:sz w:val="18"/>
          <w:szCs w:val="18"/>
        </w:rPr>
        <w:t xml:space="preserve">PNUD.  </w:t>
      </w:r>
      <w:proofErr w:type="spellStart"/>
      <w:r w:rsidRPr="00F008D1">
        <w:rPr>
          <w:i/>
          <w:sz w:val="18"/>
          <w:szCs w:val="18"/>
        </w:rPr>
        <w:t>Op</w:t>
      </w:r>
      <w:proofErr w:type="spellEnd"/>
      <w:r w:rsidRPr="00F008D1">
        <w:rPr>
          <w:i/>
          <w:sz w:val="18"/>
          <w:szCs w:val="18"/>
        </w:rPr>
        <w:t xml:space="preserve">. cit. </w:t>
      </w:r>
      <w:r w:rsidR="00F81AC8">
        <w:rPr>
          <w:i/>
          <w:sz w:val="18"/>
          <w:szCs w:val="18"/>
        </w:rPr>
        <w:t>P</w:t>
      </w:r>
      <w:r w:rsidRPr="00F008D1">
        <w:rPr>
          <w:i/>
          <w:sz w:val="18"/>
          <w:szCs w:val="18"/>
        </w:rPr>
        <w:t>. 197</w:t>
      </w:r>
    </w:p>
  </w:footnote>
  <w:footnote w:id="19">
    <w:p w:rsidR="00C41AC9" w:rsidRPr="00C41AC9" w:rsidRDefault="00630E27" w:rsidP="00B87DB6">
      <w:pPr>
        <w:pStyle w:val="Textonotapie"/>
        <w:jc w:val="both"/>
        <w:rPr>
          <w:i/>
          <w:sz w:val="18"/>
          <w:szCs w:val="18"/>
        </w:rPr>
      </w:pPr>
      <w:r w:rsidRPr="00F008D1">
        <w:rPr>
          <w:rStyle w:val="Refdenotaalpie"/>
          <w:i/>
          <w:sz w:val="18"/>
          <w:szCs w:val="18"/>
        </w:rPr>
        <w:footnoteRef/>
      </w:r>
      <w:r w:rsidRPr="00F008D1">
        <w:rPr>
          <w:i/>
          <w:sz w:val="18"/>
          <w:szCs w:val="18"/>
        </w:rPr>
        <w:t xml:space="preserve"> Programa Estado de la Nación.  Decimoctavo Informe del Estado de la Nación en Desarrollo Humano Sostenible.  </w:t>
      </w:r>
    </w:p>
    <w:p w:rsidR="00630E27" w:rsidRDefault="00C41AC9" w:rsidP="00B87DB6">
      <w:pPr>
        <w:pStyle w:val="Textonotapie"/>
        <w:jc w:val="both"/>
      </w:pPr>
      <w:r w:rsidRPr="00C41AC9">
        <w:rPr>
          <w:i/>
          <w:sz w:val="18"/>
          <w:szCs w:val="18"/>
        </w:rPr>
        <w:t xml:space="preserve"> Informe Final</w:t>
      </w:r>
      <w:r>
        <w:rPr>
          <w:i/>
          <w:sz w:val="18"/>
          <w:szCs w:val="18"/>
        </w:rPr>
        <w:t xml:space="preserve">. </w:t>
      </w:r>
      <w:r w:rsidRPr="00C41AC9">
        <w:rPr>
          <w:i/>
          <w:sz w:val="18"/>
          <w:szCs w:val="18"/>
        </w:rPr>
        <w:t>Reconocimiento y exigibilidad de los derechos de los pueblos</w:t>
      </w:r>
      <w:r>
        <w:rPr>
          <w:i/>
          <w:sz w:val="18"/>
          <w:szCs w:val="18"/>
        </w:rPr>
        <w:t xml:space="preserve"> </w:t>
      </w:r>
      <w:r w:rsidRPr="00C41AC9">
        <w:rPr>
          <w:i/>
          <w:sz w:val="18"/>
          <w:szCs w:val="18"/>
        </w:rPr>
        <w:t>indígenas: su expresión en la Defensoría de los Habitantes</w:t>
      </w:r>
      <w:r>
        <w:rPr>
          <w:i/>
          <w:sz w:val="18"/>
          <w:szCs w:val="18"/>
        </w:rPr>
        <w:t>. S</w:t>
      </w:r>
      <w:r w:rsidR="00630E27" w:rsidRPr="00F008D1">
        <w:rPr>
          <w:i/>
          <w:sz w:val="18"/>
          <w:szCs w:val="18"/>
        </w:rPr>
        <w:t>an José: Programa Estado de la Nación, 2012.</w:t>
      </w:r>
      <w:r>
        <w:rPr>
          <w:i/>
          <w:sz w:val="18"/>
          <w:szCs w:val="18"/>
        </w:rPr>
        <w:t xml:space="preserve"> P. 3</w:t>
      </w:r>
      <w:r w:rsidR="00630E27">
        <w:t xml:space="preserve">   </w:t>
      </w:r>
    </w:p>
  </w:footnote>
  <w:footnote w:id="20">
    <w:p w:rsidR="00630E27" w:rsidRPr="009E37C5" w:rsidRDefault="00630E27" w:rsidP="009E37C5">
      <w:pPr>
        <w:pStyle w:val="Textonotapie"/>
        <w:jc w:val="both"/>
        <w:rPr>
          <w:i/>
          <w:sz w:val="18"/>
          <w:szCs w:val="18"/>
        </w:rPr>
      </w:pPr>
      <w:r>
        <w:rPr>
          <w:rStyle w:val="Refdenotaalpie"/>
        </w:rPr>
        <w:footnoteRef/>
      </w:r>
      <w:r>
        <w:t xml:space="preserve"> </w:t>
      </w:r>
      <w:r>
        <w:rPr>
          <w:i/>
          <w:sz w:val="18"/>
          <w:szCs w:val="18"/>
        </w:rPr>
        <w:t>Guevara, Marcos B.  y Vargas, Juan Carlos.  Perfil de los pueblos indígenas de Costa Rica.  RUTA/Banco Mundial: UTN-CR/RUTA.S.E.2000 citado por el OACNUDH en Diagnóstico sobre la situación de los derechos humanos de los pueblos indígenas en América Central, 2011.</w:t>
      </w:r>
    </w:p>
  </w:footnote>
  <w:footnote w:id="21">
    <w:p w:rsidR="00630E27" w:rsidRPr="00F008D1" w:rsidRDefault="00630E27" w:rsidP="00751CA8">
      <w:pPr>
        <w:pStyle w:val="Textonotapie"/>
        <w:rPr>
          <w:i/>
          <w:sz w:val="18"/>
          <w:szCs w:val="18"/>
          <w:lang w:val="en-US"/>
        </w:rPr>
      </w:pPr>
      <w:r w:rsidRPr="00F008D1">
        <w:rPr>
          <w:rStyle w:val="Refdenotaalpie"/>
          <w:i/>
          <w:sz w:val="18"/>
          <w:szCs w:val="18"/>
        </w:rPr>
        <w:footnoteRef/>
      </w:r>
      <w:r w:rsidRPr="00F008D1">
        <w:rPr>
          <w:i/>
          <w:sz w:val="18"/>
          <w:szCs w:val="18"/>
          <w:lang w:val="en-US"/>
        </w:rPr>
        <w:t xml:space="preserve"> </w:t>
      </w:r>
      <w:proofErr w:type="gramStart"/>
      <w:r w:rsidRPr="00F008D1">
        <w:rPr>
          <w:i/>
          <w:sz w:val="18"/>
          <w:szCs w:val="18"/>
          <w:lang w:val="en-US"/>
        </w:rPr>
        <w:t>INEC.</w:t>
      </w:r>
      <w:proofErr w:type="gramEnd"/>
      <w:r w:rsidRPr="00F008D1">
        <w:rPr>
          <w:i/>
          <w:sz w:val="18"/>
          <w:szCs w:val="18"/>
          <w:lang w:val="en-US"/>
        </w:rPr>
        <w:t xml:space="preserve"> Op. cit. </w:t>
      </w:r>
      <w:r w:rsidR="00F81AC8">
        <w:rPr>
          <w:i/>
          <w:sz w:val="18"/>
          <w:szCs w:val="18"/>
          <w:lang w:val="en-US"/>
        </w:rPr>
        <w:t>P</w:t>
      </w:r>
      <w:r w:rsidRPr="00F008D1">
        <w:rPr>
          <w:i/>
          <w:sz w:val="18"/>
          <w:szCs w:val="18"/>
          <w:lang w:val="en-US"/>
        </w:rPr>
        <w:t>. 4</w:t>
      </w:r>
    </w:p>
  </w:footnote>
  <w:footnote w:id="22">
    <w:p w:rsidR="00630E27" w:rsidRPr="0074100B" w:rsidRDefault="00630E27" w:rsidP="00751CA8">
      <w:pPr>
        <w:pStyle w:val="Textonotapie"/>
        <w:rPr>
          <w:i/>
          <w:sz w:val="18"/>
          <w:szCs w:val="18"/>
        </w:rPr>
      </w:pPr>
      <w:r w:rsidRPr="00F008D1">
        <w:rPr>
          <w:rStyle w:val="Refdenotaalpie"/>
          <w:i/>
          <w:sz w:val="18"/>
          <w:szCs w:val="18"/>
        </w:rPr>
        <w:footnoteRef/>
      </w:r>
      <w:r w:rsidRPr="008E3B33">
        <w:rPr>
          <w:i/>
          <w:sz w:val="18"/>
          <w:szCs w:val="18"/>
          <w:lang w:val="en-US"/>
        </w:rPr>
        <w:t xml:space="preserve"> Idem</w:t>
      </w:r>
      <w:r w:rsidR="0074100B" w:rsidRPr="008E3B33">
        <w:rPr>
          <w:i/>
          <w:sz w:val="18"/>
          <w:szCs w:val="18"/>
          <w:lang w:val="en-US"/>
        </w:rPr>
        <w:t xml:space="preserve">. </w:t>
      </w:r>
      <w:r w:rsidRPr="008E3B33">
        <w:rPr>
          <w:i/>
          <w:sz w:val="18"/>
          <w:szCs w:val="18"/>
          <w:lang w:val="en-US"/>
        </w:rPr>
        <w:t xml:space="preserve"> </w:t>
      </w:r>
      <w:r w:rsidR="0074100B" w:rsidRPr="0074100B">
        <w:rPr>
          <w:i/>
          <w:sz w:val="18"/>
          <w:szCs w:val="18"/>
        </w:rPr>
        <w:t xml:space="preserve">Cuadro 12. </w:t>
      </w:r>
      <w:r w:rsidR="00F81AC8">
        <w:rPr>
          <w:i/>
          <w:sz w:val="18"/>
          <w:szCs w:val="18"/>
        </w:rPr>
        <w:t>P</w:t>
      </w:r>
      <w:r w:rsidRPr="0074100B">
        <w:rPr>
          <w:i/>
          <w:sz w:val="18"/>
          <w:szCs w:val="18"/>
        </w:rPr>
        <w:t>. 47</w:t>
      </w:r>
    </w:p>
  </w:footnote>
  <w:footnote w:id="23">
    <w:p w:rsidR="0074100B" w:rsidRDefault="0074100B">
      <w:pPr>
        <w:pStyle w:val="Textonotapie"/>
      </w:pPr>
      <w:r>
        <w:rPr>
          <w:rStyle w:val="Refdenotaalpie"/>
        </w:rPr>
        <w:footnoteRef/>
      </w:r>
      <w:r>
        <w:t xml:space="preserve"> </w:t>
      </w:r>
      <w:proofErr w:type="spellStart"/>
      <w:r w:rsidRPr="0074100B">
        <w:rPr>
          <w:i/>
        </w:rPr>
        <w:t>Idem</w:t>
      </w:r>
      <w:proofErr w:type="spellEnd"/>
      <w:r w:rsidRPr="0074100B">
        <w:rPr>
          <w:i/>
        </w:rPr>
        <w:t>. Cuadro 8</w:t>
      </w:r>
      <w:r w:rsidR="00F81AC8">
        <w:rPr>
          <w:i/>
        </w:rPr>
        <w:t>.</w:t>
      </w:r>
      <w:r w:rsidRPr="0074100B">
        <w:rPr>
          <w:i/>
        </w:rPr>
        <w:t xml:space="preserve"> </w:t>
      </w:r>
      <w:r w:rsidR="00F81AC8">
        <w:rPr>
          <w:i/>
        </w:rPr>
        <w:t>P</w:t>
      </w:r>
      <w:r w:rsidRPr="0074100B">
        <w:rPr>
          <w:i/>
        </w:rPr>
        <w:t>. 43</w:t>
      </w:r>
    </w:p>
  </w:footnote>
  <w:footnote w:id="24">
    <w:p w:rsidR="00630E27" w:rsidRPr="0074100B" w:rsidRDefault="00630E27" w:rsidP="00751CA8">
      <w:pPr>
        <w:pStyle w:val="Textonotapie"/>
        <w:rPr>
          <w:i/>
          <w:sz w:val="18"/>
          <w:szCs w:val="18"/>
        </w:rPr>
      </w:pPr>
      <w:r w:rsidRPr="00F008D1">
        <w:rPr>
          <w:rStyle w:val="Refdenotaalpie"/>
          <w:i/>
          <w:sz w:val="18"/>
          <w:szCs w:val="18"/>
        </w:rPr>
        <w:footnoteRef/>
      </w:r>
      <w:r w:rsidRPr="0074100B">
        <w:rPr>
          <w:i/>
          <w:sz w:val="18"/>
          <w:szCs w:val="18"/>
        </w:rPr>
        <w:t xml:space="preserve"> </w:t>
      </w:r>
      <w:proofErr w:type="spellStart"/>
      <w:r w:rsidRPr="0074100B">
        <w:rPr>
          <w:i/>
          <w:sz w:val="18"/>
          <w:szCs w:val="18"/>
        </w:rPr>
        <w:t>Ibid.</w:t>
      </w:r>
      <w:proofErr w:type="spellEnd"/>
      <w:r w:rsidR="0074100B">
        <w:rPr>
          <w:i/>
          <w:sz w:val="18"/>
          <w:szCs w:val="18"/>
        </w:rPr>
        <w:t xml:space="preserve">  Cuadro 10</w:t>
      </w:r>
      <w:r w:rsidR="00F81AC8">
        <w:rPr>
          <w:i/>
          <w:sz w:val="18"/>
          <w:szCs w:val="18"/>
        </w:rPr>
        <w:t>.</w:t>
      </w:r>
      <w:r w:rsidR="0074100B">
        <w:rPr>
          <w:i/>
          <w:sz w:val="18"/>
          <w:szCs w:val="18"/>
        </w:rPr>
        <w:t xml:space="preserve"> </w:t>
      </w:r>
      <w:r w:rsidR="00F81AC8">
        <w:rPr>
          <w:i/>
          <w:sz w:val="18"/>
          <w:szCs w:val="18"/>
        </w:rPr>
        <w:t>P</w:t>
      </w:r>
      <w:r w:rsidR="0074100B">
        <w:rPr>
          <w:i/>
          <w:sz w:val="18"/>
          <w:szCs w:val="18"/>
        </w:rPr>
        <w:t>. 45</w:t>
      </w:r>
    </w:p>
  </w:footnote>
  <w:footnote w:id="25">
    <w:p w:rsidR="00630E27" w:rsidRPr="008E3B33" w:rsidRDefault="00630E27" w:rsidP="00751CA8">
      <w:pPr>
        <w:pStyle w:val="Textonotapie"/>
        <w:rPr>
          <w:i/>
          <w:sz w:val="18"/>
          <w:szCs w:val="18"/>
        </w:rPr>
      </w:pPr>
      <w:r w:rsidRPr="00F008D1">
        <w:rPr>
          <w:rStyle w:val="Refdenotaalpie"/>
          <w:i/>
          <w:sz w:val="18"/>
          <w:szCs w:val="18"/>
        </w:rPr>
        <w:footnoteRef/>
      </w:r>
      <w:r w:rsidRPr="00F81AC8">
        <w:rPr>
          <w:i/>
          <w:sz w:val="18"/>
          <w:szCs w:val="18"/>
        </w:rPr>
        <w:t xml:space="preserve"> OACNUDH. </w:t>
      </w:r>
      <w:r w:rsidRPr="008E3B33">
        <w:rPr>
          <w:i/>
          <w:sz w:val="18"/>
          <w:szCs w:val="18"/>
        </w:rPr>
        <w:t>Op. cit</w:t>
      </w:r>
      <w:r w:rsidR="00F81AC8" w:rsidRPr="008E3B33">
        <w:rPr>
          <w:i/>
          <w:sz w:val="18"/>
          <w:szCs w:val="18"/>
        </w:rPr>
        <w:t>. P</w:t>
      </w:r>
      <w:r w:rsidRPr="008E3B33">
        <w:rPr>
          <w:i/>
          <w:sz w:val="18"/>
          <w:szCs w:val="18"/>
        </w:rPr>
        <w:t>. 76</w:t>
      </w:r>
    </w:p>
  </w:footnote>
  <w:footnote w:id="26">
    <w:p w:rsidR="00630E27" w:rsidRPr="00AC01B7" w:rsidRDefault="00630E27" w:rsidP="00751CA8">
      <w:pPr>
        <w:pStyle w:val="Textonotapie"/>
      </w:pPr>
      <w:r>
        <w:rPr>
          <w:rStyle w:val="Refdenotaalpie"/>
        </w:rPr>
        <w:footnoteRef/>
      </w:r>
      <w:r w:rsidRPr="00AC01B7">
        <w:t xml:space="preserve"> </w:t>
      </w:r>
      <w:r w:rsidRPr="00AC01B7">
        <w:rPr>
          <w:i/>
        </w:rPr>
        <w:t xml:space="preserve">OACNUDH. </w:t>
      </w:r>
      <w:proofErr w:type="spellStart"/>
      <w:r w:rsidRPr="00AC01B7">
        <w:rPr>
          <w:i/>
        </w:rPr>
        <w:t>Idem</w:t>
      </w:r>
      <w:proofErr w:type="spellEnd"/>
      <w:r w:rsidRPr="00AC01B7">
        <w:rPr>
          <w:i/>
        </w:rPr>
        <w:t xml:space="preserve">. </w:t>
      </w:r>
      <w:r w:rsidR="00F81AC8" w:rsidRPr="00AC01B7">
        <w:rPr>
          <w:i/>
        </w:rPr>
        <w:t>P</w:t>
      </w:r>
      <w:r w:rsidRPr="00AC01B7">
        <w:rPr>
          <w:i/>
        </w:rPr>
        <w:t>. 76</w:t>
      </w:r>
    </w:p>
  </w:footnote>
  <w:footnote w:id="27">
    <w:p w:rsidR="00630E27" w:rsidRPr="004A5CC3" w:rsidRDefault="00630E27" w:rsidP="00751CA8">
      <w:pPr>
        <w:pStyle w:val="Textonotapie"/>
        <w:rPr>
          <w:i/>
          <w:sz w:val="18"/>
          <w:szCs w:val="18"/>
        </w:rPr>
      </w:pPr>
      <w:r>
        <w:rPr>
          <w:rStyle w:val="Refdenotaalpie"/>
        </w:rPr>
        <w:footnoteRef/>
      </w:r>
      <w:r>
        <w:t xml:space="preserve"> </w:t>
      </w:r>
      <w:r w:rsidRPr="004A5CC3">
        <w:rPr>
          <w:i/>
          <w:sz w:val="18"/>
          <w:szCs w:val="18"/>
        </w:rPr>
        <w:t>Guevara, Marcos y Juan Carlos Vargas.  Perfil de los Pueblos Indígenas de Costa Rica.  Informe final.  San José, C.R.:RUTA/Banco Mundial, 2000. p. 105</w:t>
      </w:r>
    </w:p>
  </w:footnote>
  <w:footnote w:id="28">
    <w:p w:rsidR="00630E27" w:rsidRPr="008E3B33" w:rsidRDefault="00630E27" w:rsidP="00751CA8">
      <w:pPr>
        <w:pStyle w:val="Textonotapie"/>
        <w:rPr>
          <w:i/>
          <w:sz w:val="18"/>
          <w:szCs w:val="18"/>
          <w:lang w:val="en-US"/>
        </w:rPr>
      </w:pPr>
      <w:r w:rsidRPr="004A5CC3">
        <w:rPr>
          <w:rStyle w:val="Refdenotaalpie"/>
          <w:i/>
          <w:sz w:val="18"/>
          <w:szCs w:val="18"/>
        </w:rPr>
        <w:footnoteRef/>
      </w:r>
      <w:r w:rsidRPr="004A5CC3">
        <w:rPr>
          <w:i/>
          <w:sz w:val="18"/>
          <w:szCs w:val="18"/>
        </w:rPr>
        <w:t xml:space="preserve"> Instituto Nacional de Estadística y Censos. X Censo Nacional de Población y VI de Vivienda. </w:t>
      </w:r>
      <w:r w:rsidRPr="008E3B33">
        <w:rPr>
          <w:i/>
          <w:sz w:val="18"/>
          <w:szCs w:val="18"/>
          <w:lang w:val="en-US"/>
        </w:rPr>
        <w:t>1ª. Ed. San José, C.R.: INEC, 2013</w:t>
      </w:r>
    </w:p>
  </w:footnote>
  <w:footnote w:id="29">
    <w:p w:rsidR="00630E27" w:rsidRPr="008E3B33" w:rsidRDefault="00630E27" w:rsidP="00751CA8">
      <w:pPr>
        <w:pStyle w:val="Textonotapie"/>
        <w:rPr>
          <w:i/>
          <w:sz w:val="18"/>
          <w:szCs w:val="18"/>
          <w:lang w:val="en-US"/>
        </w:rPr>
      </w:pPr>
      <w:r w:rsidRPr="004A5CC3">
        <w:rPr>
          <w:rStyle w:val="Refdenotaalpie"/>
          <w:i/>
          <w:sz w:val="18"/>
          <w:szCs w:val="18"/>
        </w:rPr>
        <w:footnoteRef/>
      </w:r>
      <w:r w:rsidRPr="008E3B33">
        <w:rPr>
          <w:i/>
          <w:sz w:val="18"/>
          <w:szCs w:val="18"/>
          <w:lang w:val="en-US"/>
        </w:rPr>
        <w:t xml:space="preserve"> INEC. Op. cit. </w:t>
      </w:r>
    </w:p>
  </w:footnote>
  <w:footnote w:id="30">
    <w:p w:rsidR="00630E27" w:rsidRPr="004A5CC3" w:rsidRDefault="00630E27" w:rsidP="00751CA8">
      <w:pPr>
        <w:pStyle w:val="Textonotapie"/>
        <w:rPr>
          <w:i/>
          <w:sz w:val="18"/>
          <w:szCs w:val="18"/>
        </w:rPr>
      </w:pPr>
      <w:r w:rsidRPr="004A5CC3">
        <w:rPr>
          <w:rStyle w:val="Refdenotaalpie"/>
          <w:i/>
          <w:sz w:val="18"/>
          <w:szCs w:val="18"/>
        </w:rPr>
        <w:footnoteRef/>
      </w:r>
      <w:r w:rsidRPr="00EA4F9A">
        <w:rPr>
          <w:i/>
          <w:sz w:val="18"/>
          <w:szCs w:val="18"/>
        </w:rPr>
        <w:t xml:space="preserve"> MIDEPLAN. </w:t>
      </w:r>
      <w:r w:rsidRPr="004A5CC3">
        <w:rPr>
          <w:i/>
          <w:sz w:val="18"/>
          <w:szCs w:val="18"/>
        </w:rPr>
        <w:t xml:space="preserve">Índice de Desarrollo Social Distrital. San José, C.R., 2013. p.4 </w:t>
      </w:r>
    </w:p>
  </w:footnote>
  <w:footnote w:id="31">
    <w:p w:rsidR="00630E27" w:rsidRPr="004A5CC3" w:rsidRDefault="00630E27" w:rsidP="00751CA8">
      <w:pPr>
        <w:pStyle w:val="Textonotapie"/>
        <w:rPr>
          <w:i/>
          <w:sz w:val="18"/>
          <w:szCs w:val="18"/>
        </w:rPr>
      </w:pPr>
      <w:r w:rsidRPr="004A5CC3">
        <w:rPr>
          <w:rStyle w:val="Refdenotaalpie"/>
          <w:i/>
          <w:sz w:val="18"/>
          <w:szCs w:val="18"/>
        </w:rPr>
        <w:footnoteRef/>
      </w:r>
      <w:r w:rsidRPr="004A5CC3">
        <w:rPr>
          <w:i/>
          <w:sz w:val="18"/>
          <w:szCs w:val="18"/>
        </w:rPr>
        <w:t xml:space="preserve"> </w:t>
      </w:r>
      <w:proofErr w:type="spellStart"/>
      <w:r w:rsidRPr="004A5CC3">
        <w:rPr>
          <w:i/>
          <w:sz w:val="18"/>
          <w:szCs w:val="18"/>
        </w:rPr>
        <w:t>Idem</w:t>
      </w:r>
      <w:proofErr w:type="spellEnd"/>
      <w:r w:rsidRPr="004A5CC3">
        <w:rPr>
          <w:i/>
          <w:sz w:val="18"/>
          <w:szCs w:val="18"/>
        </w:rPr>
        <w:t>. p. 7</w:t>
      </w:r>
    </w:p>
  </w:footnote>
  <w:footnote w:id="32">
    <w:p w:rsidR="00630E27" w:rsidRPr="004A5CC3" w:rsidRDefault="00630E27" w:rsidP="00751CA8">
      <w:pPr>
        <w:pStyle w:val="Textonotapie"/>
        <w:rPr>
          <w:i/>
          <w:sz w:val="18"/>
          <w:szCs w:val="18"/>
        </w:rPr>
      </w:pPr>
      <w:r w:rsidRPr="004A5CC3">
        <w:rPr>
          <w:rStyle w:val="Refdenotaalpie"/>
          <w:i/>
          <w:sz w:val="18"/>
          <w:szCs w:val="18"/>
        </w:rPr>
        <w:footnoteRef/>
      </w:r>
      <w:r w:rsidRPr="004A5CC3">
        <w:rPr>
          <w:i/>
          <w:sz w:val="18"/>
          <w:szCs w:val="18"/>
        </w:rPr>
        <w:t xml:space="preserve"> </w:t>
      </w:r>
      <w:proofErr w:type="spellStart"/>
      <w:r w:rsidRPr="004A5CC3">
        <w:rPr>
          <w:i/>
          <w:sz w:val="18"/>
          <w:szCs w:val="18"/>
        </w:rPr>
        <w:t>Ibid.</w:t>
      </w:r>
      <w:proofErr w:type="spellEnd"/>
      <w:r w:rsidRPr="004A5CC3">
        <w:rPr>
          <w:i/>
          <w:sz w:val="18"/>
          <w:szCs w:val="18"/>
        </w:rPr>
        <w:t xml:space="preserve"> p. 15</w:t>
      </w:r>
    </w:p>
  </w:footnote>
  <w:footnote w:id="33">
    <w:p w:rsidR="00630E27" w:rsidRPr="000C5DE9" w:rsidRDefault="00630E27" w:rsidP="00751CA8">
      <w:pPr>
        <w:pStyle w:val="Textonotapie"/>
        <w:jc w:val="both"/>
        <w:rPr>
          <w:i/>
          <w:sz w:val="18"/>
          <w:szCs w:val="18"/>
        </w:rPr>
      </w:pPr>
      <w:r w:rsidRPr="004A5CC3">
        <w:rPr>
          <w:rStyle w:val="Refdenotaalpie"/>
          <w:i/>
          <w:sz w:val="18"/>
          <w:szCs w:val="18"/>
        </w:rPr>
        <w:footnoteRef/>
      </w:r>
      <w:r w:rsidRPr="004A5CC3">
        <w:rPr>
          <w:i/>
          <w:sz w:val="18"/>
          <w:szCs w:val="18"/>
        </w:rPr>
        <w:t xml:space="preserve"> </w:t>
      </w:r>
      <w:r w:rsidRPr="000C5DE9">
        <w:rPr>
          <w:rFonts w:cstheme="minorHAnsi"/>
          <w:i/>
          <w:sz w:val="18"/>
          <w:szCs w:val="18"/>
        </w:rPr>
        <w:t xml:space="preserve">Idiáquez, S.J., José A.  En búsqueda de esperanza. Migración </w:t>
      </w:r>
      <w:proofErr w:type="spellStart"/>
      <w:r w:rsidRPr="000C5DE9">
        <w:rPr>
          <w:rFonts w:cstheme="minorHAnsi"/>
          <w:i/>
          <w:sz w:val="18"/>
          <w:szCs w:val="18"/>
        </w:rPr>
        <w:t>ngäbe</w:t>
      </w:r>
      <w:proofErr w:type="spellEnd"/>
      <w:r w:rsidRPr="000C5DE9">
        <w:rPr>
          <w:rFonts w:cstheme="minorHAnsi"/>
          <w:i/>
          <w:sz w:val="18"/>
          <w:szCs w:val="18"/>
        </w:rPr>
        <w:t xml:space="preserve"> a Costa Rica y su impacto en la juventud.  Panamá: Servicio Jesuita Refugiados, 2012. p. 69</w:t>
      </w:r>
    </w:p>
  </w:footnote>
  <w:footnote w:id="34">
    <w:p w:rsidR="00630E27" w:rsidRPr="001E7EAD" w:rsidRDefault="00630E27" w:rsidP="0074100B">
      <w:pPr>
        <w:shd w:val="clear" w:color="auto" w:fill="FFFFFF"/>
        <w:spacing w:after="0" w:line="240" w:lineRule="auto"/>
        <w:jc w:val="both"/>
        <w:rPr>
          <w:lang w:val="en-US"/>
        </w:rPr>
      </w:pPr>
      <w:r w:rsidRPr="000C5DE9">
        <w:rPr>
          <w:rStyle w:val="Refdenotaalpie"/>
          <w:i/>
          <w:sz w:val="18"/>
          <w:szCs w:val="18"/>
        </w:rPr>
        <w:footnoteRef/>
      </w:r>
      <w:r w:rsidR="0074100B">
        <w:rPr>
          <w:i/>
          <w:sz w:val="18"/>
          <w:szCs w:val="18"/>
        </w:rPr>
        <w:t xml:space="preserve"> In</w:t>
      </w:r>
      <w:r w:rsidRPr="000C5DE9">
        <w:rPr>
          <w:i/>
          <w:sz w:val="18"/>
          <w:szCs w:val="18"/>
        </w:rPr>
        <w:t>forme del Relator Especial</w:t>
      </w:r>
      <w:r w:rsidR="0074100B">
        <w:rPr>
          <w:i/>
          <w:sz w:val="18"/>
          <w:szCs w:val="18"/>
        </w:rPr>
        <w:t xml:space="preserve"> sobre la situación de los derechos de los pueblos indígenas, James Anaya. Adición. La situación de los derechos de los pueblos indígenas en Panamá. </w:t>
      </w:r>
      <w:r w:rsidR="0074100B" w:rsidRPr="001E7EAD">
        <w:rPr>
          <w:i/>
          <w:sz w:val="18"/>
          <w:szCs w:val="18"/>
          <w:lang w:val="en-US"/>
        </w:rPr>
        <w:t>A/HRC/27/52/Add</w:t>
      </w:r>
      <w:r w:rsidRPr="001E7EAD">
        <w:rPr>
          <w:i/>
          <w:sz w:val="18"/>
          <w:szCs w:val="18"/>
          <w:lang w:val="en-US"/>
        </w:rPr>
        <w:t>.</w:t>
      </w:r>
      <w:r w:rsidR="0074100B" w:rsidRPr="001E7EAD">
        <w:rPr>
          <w:i/>
          <w:sz w:val="18"/>
          <w:szCs w:val="18"/>
          <w:lang w:val="en-US"/>
        </w:rPr>
        <w:t>1.</w:t>
      </w:r>
      <w:r w:rsidRPr="001E7EAD">
        <w:rPr>
          <w:i/>
          <w:sz w:val="18"/>
          <w:szCs w:val="18"/>
          <w:lang w:val="en-US"/>
        </w:rPr>
        <w:t xml:space="preserve"> </w:t>
      </w:r>
      <w:r w:rsidR="0074100B" w:rsidRPr="001E7EAD">
        <w:rPr>
          <w:i/>
          <w:sz w:val="18"/>
          <w:szCs w:val="18"/>
          <w:lang w:val="en-US"/>
        </w:rPr>
        <w:t>P</w:t>
      </w:r>
      <w:r w:rsidR="00F222BD" w:rsidRPr="001E7EAD">
        <w:rPr>
          <w:i/>
          <w:sz w:val="18"/>
          <w:szCs w:val="18"/>
          <w:lang w:val="en-US"/>
        </w:rPr>
        <w:t>. 4</w:t>
      </w:r>
    </w:p>
  </w:footnote>
  <w:footnote w:id="35">
    <w:p w:rsidR="00630E27" w:rsidRPr="007109ED" w:rsidRDefault="00630E27" w:rsidP="007109ED">
      <w:pPr>
        <w:pStyle w:val="Textonotapie"/>
        <w:jc w:val="both"/>
        <w:rPr>
          <w:i/>
          <w:sz w:val="18"/>
          <w:szCs w:val="18"/>
          <w:lang w:val="en-US"/>
        </w:rPr>
      </w:pPr>
      <w:r w:rsidRPr="007109ED">
        <w:rPr>
          <w:rStyle w:val="Refdenotaalpie"/>
          <w:i/>
          <w:sz w:val="18"/>
          <w:szCs w:val="18"/>
        </w:rPr>
        <w:footnoteRef/>
      </w:r>
      <w:r w:rsidRPr="007109ED">
        <w:rPr>
          <w:i/>
          <w:sz w:val="18"/>
          <w:szCs w:val="18"/>
          <w:lang w:val="en-US"/>
        </w:rPr>
        <w:t xml:space="preserve"> </w:t>
      </w:r>
      <w:proofErr w:type="spellStart"/>
      <w:proofErr w:type="gramStart"/>
      <w:r w:rsidR="00C3244E">
        <w:rPr>
          <w:i/>
          <w:sz w:val="18"/>
          <w:szCs w:val="18"/>
          <w:lang w:val="en-US"/>
        </w:rPr>
        <w:t>Idiáquez</w:t>
      </w:r>
      <w:proofErr w:type="spellEnd"/>
      <w:r w:rsidR="00C3244E">
        <w:rPr>
          <w:i/>
          <w:sz w:val="18"/>
          <w:szCs w:val="18"/>
          <w:lang w:val="en-US"/>
        </w:rPr>
        <w:t>.</w:t>
      </w:r>
      <w:proofErr w:type="gramEnd"/>
      <w:r w:rsidR="00C3244E">
        <w:rPr>
          <w:i/>
          <w:sz w:val="18"/>
          <w:szCs w:val="18"/>
          <w:lang w:val="en-US"/>
        </w:rPr>
        <w:t xml:space="preserve"> </w:t>
      </w:r>
      <w:proofErr w:type="gramStart"/>
      <w:r w:rsidRPr="007109ED">
        <w:rPr>
          <w:i/>
          <w:sz w:val="18"/>
          <w:szCs w:val="18"/>
          <w:lang w:val="en-US"/>
        </w:rPr>
        <w:t>Op. cit</w:t>
      </w:r>
      <w:r w:rsidR="0074100B">
        <w:rPr>
          <w:i/>
          <w:sz w:val="18"/>
          <w:szCs w:val="18"/>
          <w:lang w:val="en-US"/>
        </w:rPr>
        <w:t>.</w:t>
      </w:r>
      <w:proofErr w:type="gramEnd"/>
      <w:r w:rsidR="0074100B">
        <w:rPr>
          <w:i/>
          <w:sz w:val="18"/>
          <w:szCs w:val="18"/>
          <w:lang w:val="en-US"/>
        </w:rPr>
        <w:t xml:space="preserve">  </w:t>
      </w:r>
      <w:proofErr w:type="gramStart"/>
      <w:r w:rsidR="0074100B">
        <w:rPr>
          <w:i/>
          <w:sz w:val="18"/>
          <w:szCs w:val="18"/>
          <w:lang w:val="en-US"/>
        </w:rPr>
        <w:t>P</w:t>
      </w:r>
      <w:r w:rsidRPr="007109ED">
        <w:rPr>
          <w:i/>
          <w:sz w:val="18"/>
          <w:szCs w:val="18"/>
          <w:lang w:val="en-US"/>
        </w:rPr>
        <w:t>. 68.</w:t>
      </w:r>
      <w:proofErr w:type="gramEnd"/>
      <w:r w:rsidRPr="007109ED">
        <w:rPr>
          <w:i/>
          <w:sz w:val="18"/>
          <w:szCs w:val="18"/>
          <w:lang w:val="en-US"/>
        </w:rPr>
        <w:t xml:space="preserve">  </w:t>
      </w:r>
    </w:p>
  </w:footnote>
  <w:footnote w:id="36">
    <w:p w:rsidR="00630E27" w:rsidRPr="007109ED" w:rsidRDefault="00630E27" w:rsidP="007109ED">
      <w:pPr>
        <w:pStyle w:val="Textonotapie"/>
        <w:jc w:val="both"/>
        <w:rPr>
          <w:i/>
          <w:sz w:val="18"/>
          <w:szCs w:val="18"/>
          <w:lang w:val="en-US"/>
        </w:rPr>
      </w:pPr>
      <w:r w:rsidRPr="007109ED">
        <w:rPr>
          <w:rStyle w:val="Refdenotaalpie"/>
          <w:i/>
          <w:sz w:val="18"/>
          <w:szCs w:val="18"/>
        </w:rPr>
        <w:footnoteRef/>
      </w:r>
      <w:r w:rsidRPr="007109ED">
        <w:rPr>
          <w:i/>
          <w:sz w:val="18"/>
          <w:szCs w:val="18"/>
          <w:lang w:val="en-US"/>
        </w:rPr>
        <w:t xml:space="preserve"> Idem</w:t>
      </w:r>
      <w:r w:rsidR="0074100B">
        <w:rPr>
          <w:i/>
          <w:sz w:val="18"/>
          <w:szCs w:val="18"/>
          <w:lang w:val="en-US"/>
        </w:rPr>
        <w:t xml:space="preserve"> P</w:t>
      </w:r>
      <w:r w:rsidRPr="007109ED">
        <w:rPr>
          <w:i/>
          <w:sz w:val="18"/>
          <w:szCs w:val="18"/>
          <w:lang w:val="en-US"/>
        </w:rPr>
        <w:t>. 69</w:t>
      </w:r>
    </w:p>
  </w:footnote>
  <w:footnote w:id="37">
    <w:p w:rsidR="00630E27" w:rsidRPr="00AC01B7" w:rsidRDefault="00630E27" w:rsidP="007109ED">
      <w:pPr>
        <w:pStyle w:val="Textonotapie"/>
        <w:jc w:val="both"/>
        <w:rPr>
          <w:i/>
          <w:sz w:val="18"/>
          <w:szCs w:val="18"/>
        </w:rPr>
      </w:pPr>
      <w:r w:rsidRPr="007109ED">
        <w:rPr>
          <w:rStyle w:val="Refdenotaalpie"/>
          <w:i/>
          <w:sz w:val="18"/>
          <w:szCs w:val="18"/>
        </w:rPr>
        <w:footnoteRef/>
      </w:r>
      <w:r w:rsidRPr="00AC01B7">
        <w:rPr>
          <w:i/>
          <w:sz w:val="18"/>
          <w:szCs w:val="18"/>
        </w:rPr>
        <w:t xml:space="preserve"> </w:t>
      </w:r>
      <w:proofErr w:type="spellStart"/>
      <w:r w:rsidRPr="00AC01B7">
        <w:rPr>
          <w:i/>
          <w:sz w:val="18"/>
          <w:szCs w:val="18"/>
        </w:rPr>
        <w:t>Idem</w:t>
      </w:r>
      <w:proofErr w:type="spellEnd"/>
      <w:r w:rsidR="00DB51DD" w:rsidRPr="00AC01B7">
        <w:rPr>
          <w:i/>
          <w:sz w:val="18"/>
          <w:szCs w:val="18"/>
        </w:rPr>
        <w:t>.  P.</w:t>
      </w:r>
      <w:r w:rsidRPr="00AC01B7">
        <w:rPr>
          <w:i/>
          <w:sz w:val="18"/>
          <w:szCs w:val="18"/>
        </w:rPr>
        <w:t xml:space="preserve"> 69</w:t>
      </w:r>
    </w:p>
  </w:footnote>
  <w:footnote w:id="38">
    <w:p w:rsidR="00630E27" w:rsidRPr="00AC01B7" w:rsidRDefault="00630E27" w:rsidP="007109ED">
      <w:pPr>
        <w:pStyle w:val="Textonotapie"/>
        <w:jc w:val="both"/>
        <w:rPr>
          <w:i/>
          <w:sz w:val="18"/>
          <w:szCs w:val="18"/>
        </w:rPr>
      </w:pPr>
      <w:r w:rsidRPr="007109ED">
        <w:rPr>
          <w:rStyle w:val="Refdenotaalpie"/>
          <w:i/>
          <w:sz w:val="18"/>
          <w:szCs w:val="18"/>
        </w:rPr>
        <w:footnoteRef/>
      </w:r>
      <w:r w:rsidR="001E7EAD" w:rsidRPr="00AC01B7">
        <w:rPr>
          <w:i/>
          <w:sz w:val="18"/>
          <w:szCs w:val="18"/>
        </w:rPr>
        <w:t xml:space="preserve"> </w:t>
      </w:r>
      <w:proofErr w:type="spellStart"/>
      <w:r w:rsidR="001E7EAD" w:rsidRPr="00AC01B7">
        <w:rPr>
          <w:i/>
          <w:sz w:val="18"/>
          <w:szCs w:val="18"/>
        </w:rPr>
        <w:t>Idem</w:t>
      </w:r>
      <w:proofErr w:type="spellEnd"/>
      <w:r w:rsidR="00DB51DD" w:rsidRPr="00AC01B7">
        <w:rPr>
          <w:i/>
          <w:sz w:val="18"/>
          <w:szCs w:val="18"/>
        </w:rPr>
        <w:t>. P.</w:t>
      </w:r>
      <w:r w:rsidR="001E7EAD" w:rsidRPr="00AC01B7">
        <w:rPr>
          <w:i/>
          <w:sz w:val="18"/>
          <w:szCs w:val="18"/>
        </w:rPr>
        <w:t xml:space="preserve"> 69</w:t>
      </w:r>
    </w:p>
  </w:footnote>
  <w:footnote w:id="39">
    <w:p w:rsidR="00630E27" w:rsidRPr="007109ED" w:rsidRDefault="00630E27" w:rsidP="007109ED">
      <w:pPr>
        <w:pStyle w:val="Textonotapie"/>
        <w:jc w:val="both"/>
        <w:rPr>
          <w:i/>
          <w:sz w:val="18"/>
          <w:szCs w:val="18"/>
        </w:rPr>
      </w:pPr>
      <w:r w:rsidRPr="007109ED">
        <w:rPr>
          <w:rStyle w:val="Refdenotaalpie"/>
          <w:i/>
          <w:sz w:val="18"/>
          <w:szCs w:val="18"/>
        </w:rPr>
        <w:footnoteRef/>
      </w:r>
      <w:r w:rsidRPr="007109ED">
        <w:rPr>
          <w:i/>
          <w:sz w:val="18"/>
          <w:szCs w:val="18"/>
        </w:rPr>
        <w:t xml:space="preserve"> </w:t>
      </w:r>
      <w:proofErr w:type="spellStart"/>
      <w:r w:rsidRPr="007109ED">
        <w:rPr>
          <w:rFonts w:cstheme="minorHAnsi"/>
          <w:i/>
          <w:sz w:val="18"/>
          <w:szCs w:val="18"/>
        </w:rPr>
        <w:t>Mondol</w:t>
      </w:r>
      <w:proofErr w:type="spellEnd"/>
      <w:r w:rsidRPr="007109ED">
        <w:rPr>
          <w:rFonts w:cstheme="minorHAnsi"/>
          <w:i/>
          <w:sz w:val="18"/>
          <w:szCs w:val="18"/>
        </w:rPr>
        <w:t xml:space="preserve"> López, Lenin y Amador Hernández, Gustavo. Diagnóstico socioeconómico y de oportunidad de mercado para la población migrante de la subregión de Los Santos.  San José, C.R: Universidad Estatal a Distancia, 2013. P. 39</w:t>
      </w:r>
    </w:p>
  </w:footnote>
  <w:footnote w:id="40">
    <w:p w:rsidR="00630E27" w:rsidRPr="007109ED" w:rsidRDefault="00630E27" w:rsidP="007109ED">
      <w:pPr>
        <w:pStyle w:val="Textonotapie"/>
        <w:jc w:val="both"/>
        <w:rPr>
          <w:i/>
          <w:sz w:val="18"/>
          <w:szCs w:val="18"/>
        </w:rPr>
      </w:pPr>
      <w:r w:rsidRPr="007109ED">
        <w:rPr>
          <w:rStyle w:val="Refdenotaalpie"/>
          <w:i/>
          <w:sz w:val="18"/>
          <w:szCs w:val="18"/>
        </w:rPr>
        <w:footnoteRef/>
      </w:r>
      <w:r w:rsidRPr="007109ED">
        <w:rPr>
          <w:i/>
          <w:sz w:val="18"/>
          <w:szCs w:val="18"/>
        </w:rPr>
        <w:t xml:space="preserve"> Idiáquez</w:t>
      </w:r>
      <w:r w:rsidR="00DB51DD">
        <w:rPr>
          <w:i/>
          <w:sz w:val="18"/>
          <w:szCs w:val="18"/>
        </w:rPr>
        <w:t xml:space="preserve">. </w:t>
      </w:r>
      <w:proofErr w:type="spellStart"/>
      <w:r w:rsidR="00DB51DD">
        <w:rPr>
          <w:i/>
          <w:sz w:val="18"/>
          <w:szCs w:val="18"/>
        </w:rPr>
        <w:t>O</w:t>
      </w:r>
      <w:r w:rsidRPr="007109ED">
        <w:rPr>
          <w:i/>
          <w:sz w:val="18"/>
          <w:szCs w:val="18"/>
        </w:rPr>
        <w:t>p</w:t>
      </w:r>
      <w:proofErr w:type="spellEnd"/>
      <w:r w:rsidRPr="007109ED">
        <w:rPr>
          <w:i/>
          <w:sz w:val="18"/>
          <w:szCs w:val="18"/>
        </w:rPr>
        <w:t>. cit</w:t>
      </w:r>
      <w:r w:rsidR="00DB51DD">
        <w:rPr>
          <w:i/>
          <w:sz w:val="18"/>
          <w:szCs w:val="18"/>
        </w:rPr>
        <w:t>. P.</w:t>
      </w:r>
      <w:r w:rsidRPr="007109ED">
        <w:rPr>
          <w:i/>
          <w:sz w:val="18"/>
          <w:szCs w:val="18"/>
        </w:rPr>
        <w:t xml:space="preserve"> 69</w:t>
      </w:r>
    </w:p>
  </w:footnote>
  <w:footnote w:id="41">
    <w:p w:rsidR="00630E27" w:rsidRPr="00EA4F9A" w:rsidRDefault="00630E27" w:rsidP="007109ED">
      <w:pPr>
        <w:pStyle w:val="Textonotapie"/>
        <w:jc w:val="both"/>
        <w:rPr>
          <w:i/>
          <w:sz w:val="18"/>
          <w:szCs w:val="18"/>
        </w:rPr>
      </w:pPr>
      <w:r w:rsidRPr="007109ED">
        <w:rPr>
          <w:rStyle w:val="Refdenotaalpie"/>
          <w:i/>
          <w:sz w:val="18"/>
          <w:szCs w:val="18"/>
        </w:rPr>
        <w:footnoteRef/>
      </w:r>
      <w:r w:rsidRPr="00EA4F9A">
        <w:rPr>
          <w:i/>
          <w:sz w:val="18"/>
          <w:szCs w:val="18"/>
        </w:rPr>
        <w:t xml:space="preserve"> </w:t>
      </w:r>
      <w:r w:rsidR="00F81AC8">
        <w:rPr>
          <w:i/>
          <w:sz w:val="18"/>
          <w:szCs w:val="18"/>
        </w:rPr>
        <w:t xml:space="preserve">Informe del Relator Especial. </w:t>
      </w:r>
      <w:proofErr w:type="spellStart"/>
      <w:r w:rsidR="00F81AC8">
        <w:rPr>
          <w:i/>
          <w:sz w:val="18"/>
          <w:szCs w:val="18"/>
        </w:rPr>
        <w:t>Op</w:t>
      </w:r>
      <w:proofErr w:type="spellEnd"/>
      <w:r w:rsidR="00F81AC8">
        <w:rPr>
          <w:i/>
          <w:sz w:val="18"/>
          <w:szCs w:val="18"/>
        </w:rPr>
        <w:t>. cit. P</w:t>
      </w:r>
      <w:r w:rsidRPr="00EA4F9A">
        <w:rPr>
          <w:i/>
          <w:sz w:val="18"/>
          <w:szCs w:val="18"/>
        </w:rPr>
        <w:t>p. 1</w:t>
      </w:r>
      <w:r w:rsidR="00DB51DD">
        <w:rPr>
          <w:i/>
          <w:sz w:val="18"/>
          <w:szCs w:val="18"/>
        </w:rPr>
        <w:t>5</w:t>
      </w:r>
      <w:r w:rsidRPr="00EA4F9A">
        <w:rPr>
          <w:i/>
          <w:sz w:val="18"/>
          <w:szCs w:val="18"/>
        </w:rPr>
        <w:t>, 1</w:t>
      </w:r>
      <w:r w:rsidR="00DB51DD">
        <w:rPr>
          <w:i/>
          <w:sz w:val="18"/>
          <w:szCs w:val="18"/>
        </w:rPr>
        <w:t>6</w:t>
      </w:r>
    </w:p>
  </w:footnote>
  <w:footnote w:id="42">
    <w:p w:rsidR="00630E27" w:rsidRPr="007109ED" w:rsidRDefault="00630E27" w:rsidP="007109ED">
      <w:pPr>
        <w:pStyle w:val="Textonotapie"/>
        <w:jc w:val="both"/>
        <w:rPr>
          <w:i/>
          <w:sz w:val="18"/>
          <w:szCs w:val="18"/>
        </w:rPr>
      </w:pPr>
      <w:r w:rsidRPr="007109ED">
        <w:rPr>
          <w:rStyle w:val="Refdenotaalpie"/>
          <w:i/>
          <w:sz w:val="18"/>
          <w:szCs w:val="18"/>
        </w:rPr>
        <w:footnoteRef/>
      </w:r>
      <w:r w:rsidRPr="007109ED">
        <w:rPr>
          <w:i/>
          <w:sz w:val="18"/>
          <w:szCs w:val="18"/>
        </w:rPr>
        <w:t xml:space="preserve"> Idiáquez</w:t>
      </w:r>
      <w:r w:rsidR="00DB51DD">
        <w:rPr>
          <w:i/>
          <w:sz w:val="18"/>
          <w:szCs w:val="18"/>
        </w:rPr>
        <w:t xml:space="preserve">. </w:t>
      </w:r>
      <w:proofErr w:type="spellStart"/>
      <w:r w:rsidR="00DB51DD">
        <w:rPr>
          <w:i/>
          <w:sz w:val="18"/>
          <w:szCs w:val="18"/>
        </w:rPr>
        <w:t>O</w:t>
      </w:r>
      <w:r w:rsidRPr="007109ED">
        <w:rPr>
          <w:i/>
          <w:sz w:val="18"/>
          <w:szCs w:val="18"/>
        </w:rPr>
        <w:t>p</w:t>
      </w:r>
      <w:proofErr w:type="spellEnd"/>
      <w:r w:rsidRPr="007109ED">
        <w:rPr>
          <w:i/>
          <w:sz w:val="18"/>
          <w:szCs w:val="18"/>
        </w:rPr>
        <w:t>. cit</w:t>
      </w:r>
      <w:r w:rsidR="00DB51DD">
        <w:rPr>
          <w:i/>
          <w:sz w:val="18"/>
          <w:szCs w:val="18"/>
        </w:rPr>
        <w:t>. P</w:t>
      </w:r>
      <w:r w:rsidRPr="007109ED">
        <w:rPr>
          <w:i/>
          <w:sz w:val="18"/>
          <w:szCs w:val="18"/>
        </w:rPr>
        <w:t>. 74</w:t>
      </w:r>
    </w:p>
  </w:footnote>
  <w:footnote w:id="43">
    <w:p w:rsidR="00630E27" w:rsidRPr="008E3B33" w:rsidRDefault="00630E27" w:rsidP="007109ED">
      <w:pPr>
        <w:pStyle w:val="Textonotapie"/>
        <w:jc w:val="both"/>
        <w:rPr>
          <w:i/>
          <w:sz w:val="18"/>
          <w:szCs w:val="18"/>
          <w:lang w:val="en-US"/>
        </w:rPr>
      </w:pPr>
      <w:r w:rsidRPr="007109ED">
        <w:rPr>
          <w:rStyle w:val="Refdenotaalpie"/>
          <w:i/>
          <w:sz w:val="18"/>
          <w:szCs w:val="18"/>
        </w:rPr>
        <w:footnoteRef/>
      </w:r>
      <w:r w:rsidRPr="007109ED">
        <w:rPr>
          <w:i/>
          <w:sz w:val="18"/>
          <w:szCs w:val="18"/>
        </w:rPr>
        <w:t>I</w:t>
      </w:r>
      <w:r w:rsidR="00DB51DD">
        <w:rPr>
          <w:i/>
          <w:sz w:val="18"/>
          <w:szCs w:val="18"/>
        </w:rPr>
        <w:t xml:space="preserve">nforme del Relator Especial. </w:t>
      </w:r>
      <w:r w:rsidR="00DB51DD" w:rsidRPr="008E3B33">
        <w:rPr>
          <w:i/>
          <w:sz w:val="18"/>
          <w:szCs w:val="18"/>
          <w:lang w:val="en-US"/>
        </w:rPr>
        <w:t>Op. cit.  P</w:t>
      </w:r>
      <w:r w:rsidRPr="008E3B33">
        <w:rPr>
          <w:i/>
          <w:sz w:val="18"/>
          <w:szCs w:val="18"/>
          <w:lang w:val="en-US"/>
        </w:rPr>
        <w:t>. 1</w:t>
      </w:r>
      <w:r w:rsidR="00DB51DD" w:rsidRPr="008E3B33">
        <w:rPr>
          <w:i/>
          <w:sz w:val="18"/>
          <w:szCs w:val="18"/>
          <w:lang w:val="en-US"/>
        </w:rPr>
        <w:t>6</w:t>
      </w:r>
    </w:p>
  </w:footnote>
  <w:footnote w:id="44">
    <w:p w:rsidR="00630E27" w:rsidRPr="008E3B33" w:rsidRDefault="00630E27" w:rsidP="007109ED">
      <w:pPr>
        <w:pStyle w:val="Textonotapie"/>
        <w:jc w:val="both"/>
        <w:rPr>
          <w:i/>
          <w:sz w:val="18"/>
          <w:szCs w:val="18"/>
          <w:lang w:val="en-US"/>
        </w:rPr>
      </w:pPr>
      <w:r w:rsidRPr="007109ED">
        <w:rPr>
          <w:rStyle w:val="Refdenotaalpie"/>
          <w:i/>
          <w:sz w:val="18"/>
          <w:szCs w:val="18"/>
        </w:rPr>
        <w:footnoteRef/>
      </w:r>
      <w:r w:rsidRPr="008E3B33">
        <w:rPr>
          <w:i/>
          <w:sz w:val="18"/>
          <w:szCs w:val="18"/>
          <w:lang w:val="en-US"/>
        </w:rPr>
        <w:t xml:space="preserve"> Idiáquez.</w:t>
      </w:r>
      <w:r w:rsidR="00DB51DD" w:rsidRPr="008E3B33">
        <w:rPr>
          <w:i/>
          <w:sz w:val="18"/>
          <w:szCs w:val="18"/>
          <w:lang w:val="en-US"/>
        </w:rPr>
        <w:t>Op. cit. P</w:t>
      </w:r>
      <w:r w:rsidRPr="008E3B33">
        <w:rPr>
          <w:i/>
          <w:sz w:val="18"/>
          <w:szCs w:val="18"/>
          <w:lang w:val="en-US"/>
        </w:rPr>
        <w:t>. 76</w:t>
      </w:r>
    </w:p>
  </w:footnote>
  <w:footnote w:id="45">
    <w:p w:rsidR="00630E27" w:rsidRPr="00CE3698" w:rsidRDefault="00630E27" w:rsidP="007109ED">
      <w:pPr>
        <w:pStyle w:val="Textonotapie"/>
        <w:jc w:val="both"/>
        <w:rPr>
          <w:i/>
          <w:sz w:val="18"/>
          <w:szCs w:val="18"/>
          <w:lang w:val="en-US"/>
        </w:rPr>
      </w:pPr>
      <w:r w:rsidRPr="007109ED">
        <w:rPr>
          <w:rStyle w:val="Refdenotaalpie"/>
          <w:i/>
          <w:sz w:val="18"/>
          <w:szCs w:val="18"/>
        </w:rPr>
        <w:footnoteRef/>
      </w:r>
      <w:r w:rsidR="00CE3698" w:rsidRPr="00CE3698">
        <w:rPr>
          <w:i/>
          <w:sz w:val="18"/>
          <w:szCs w:val="18"/>
          <w:lang w:val="en-US"/>
        </w:rPr>
        <w:t xml:space="preserve"> </w:t>
      </w:r>
      <w:proofErr w:type="gramStart"/>
      <w:r w:rsidR="00CE3698" w:rsidRPr="00CE3698">
        <w:rPr>
          <w:i/>
          <w:sz w:val="18"/>
          <w:szCs w:val="18"/>
          <w:lang w:val="en-US"/>
        </w:rPr>
        <w:t>Ide</w:t>
      </w:r>
      <w:r w:rsidR="00CE3698">
        <w:rPr>
          <w:i/>
          <w:sz w:val="18"/>
          <w:szCs w:val="18"/>
          <w:lang w:val="en-US"/>
        </w:rPr>
        <w:t>m.</w:t>
      </w:r>
      <w:proofErr w:type="gramEnd"/>
      <w:r w:rsidR="00CE3698">
        <w:rPr>
          <w:i/>
          <w:sz w:val="18"/>
          <w:szCs w:val="18"/>
          <w:lang w:val="en-US"/>
        </w:rPr>
        <w:t xml:space="preserve"> O</w:t>
      </w:r>
      <w:r w:rsidRPr="00CE3698">
        <w:rPr>
          <w:i/>
          <w:sz w:val="18"/>
          <w:szCs w:val="18"/>
          <w:lang w:val="en-US"/>
        </w:rPr>
        <w:t xml:space="preserve">p. cit. </w:t>
      </w:r>
      <w:r w:rsidR="00CE3698" w:rsidRPr="00CE3698">
        <w:rPr>
          <w:i/>
          <w:sz w:val="18"/>
          <w:szCs w:val="18"/>
          <w:lang w:val="en-US"/>
        </w:rPr>
        <w:t>P</w:t>
      </w:r>
      <w:r w:rsidRPr="00CE3698">
        <w:rPr>
          <w:i/>
          <w:sz w:val="18"/>
          <w:szCs w:val="18"/>
          <w:lang w:val="en-US"/>
        </w:rPr>
        <w:t>. 74</w:t>
      </w:r>
    </w:p>
  </w:footnote>
  <w:footnote w:id="46">
    <w:p w:rsidR="00630E27" w:rsidRPr="00CE3698" w:rsidRDefault="00630E27" w:rsidP="007109ED">
      <w:pPr>
        <w:pStyle w:val="Textonotapie"/>
        <w:jc w:val="both"/>
        <w:rPr>
          <w:i/>
          <w:sz w:val="18"/>
          <w:szCs w:val="18"/>
          <w:lang w:val="en-US"/>
        </w:rPr>
      </w:pPr>
      <w:r w:rsidRPr="007109ED">
        <w:rPr>
          <w:rStyle w:val="Refdenotaalpie"/>
          <w:i/>
          <w:sz w:val="18"/>
          <w:szCs w:val="18"/>
        </w:rPr>
        <w:footnoteRef/>
      </w:r>
      <w:r w:rsidRPr="00CE3698">
        <w:rPr>
          <w:i/>
          <w:sz w:val="18"/>
          <w:szCs w:val="18"/>
          <w:lang w:val="en-US"/>
        </w:rPr>
        <w:t xml:space="preserve"> Ibid. </w:t>
      </w:r>
      <w:r w:rsidR="00CE3698" w:rsidRPr="00CE3698">
        <w:rPr>
          <w:i/>
          <w:sz w:val="18"/>
          <w:szCs w:val="18"/>
          <w:lang w:val="en-US"/>
        </w:rPr>
        <w:t>P</w:t>
      </w:r>
      <w:r w:rsidRPr="00CE3698">
        <w:rPr>
          <w:i/>
          <w:sz w:val="18"/>
          <w:szCs w:val="18"/>
          <w:lang w:val="en-US"/>
        </w:rPr>
        <w:t>. 74</w:t>
      </w:r>
    </w:p>
  </w:footnote>
  <w:footnote w:id="47">
    <w:p w:rsidR="00630E27" w:rsidRPr="00CE3698" w:rsidRDefault="00630E27" w:rsidP="007109ED">
      <w:pPr>
        <w:pStyle w:val="Textonotapie"/>
        <w:jc w:val="both"/>
        <w:rPr>
          <w:i/>
          <w:sz w:val="18"/>
          <w:szCs w:val="18"/>
          <w:lang w:val="en-US"/>
        </w:rPr>
      </w:pPr>
      <w:r w:rsidRPr="007109ED">
        <w:rPr>
          <w:rStyle w:val="Refdenotaalpie"/>
          <w:i/>
          <w:sz w:val="18"/>
          <w:szCs w:val="18"/>
        </w:rPr>
        <w:footnoteRef/>
      </w:r>
      <w:r w:rsidRPr="00CE3698">
        <w:rPr>
          <w:i/>
          <w:sz w:val="18"/>
          <w:szCs w:val="18"/>
          <w:lang w:val="en-US"/>
        </w:rPr>
        <w:t xml:space="preserve"> </w:t>
      </w:r>
      <w:proofErr w:type="gramStart"/>
      <w:r w:rsidRPr="00CE3698">
        <w:rPr>
          <w:i/>
          <w:sz w:val="18"/>
          <w:szCs w:val="18"/>
          <w:lang w:val="en-US"/>
        </w:rPr>
        <w:t>Id</w:t>
      </w:r>
      <w:r w:rsidR="00CE3698" w:rsidRPr="00CE3698">
        <w:rPr>
          <w:i/>
          <w:sz w:val="18"/>
          <w:szCs w:val="18"/>
          <w:lang w:val="en-US"/>
        </w:rPr>
        <w:t>em.</w:t>
      </w:r>
      <w:proofErr w:type="gramEnd"/>
      <w:r w:rsidR="00CE3698" w:rsidRPr="00CE3698">
        <w:rPr>
          <w:i/>
          <w:sz w:val="18"/>
          <w:szCs w:val="18"/>
          <w:lang w:val="en-US"/>
        </w:rPr>
        <w:t xml:space="preserve"> </w:t>
      </w:r>
      <w:r w:rsidR="00CE3698">
        <w:rPr>
          <w:i/>
          <w:sz w:val="18"/>
          <w:szCs w:val="18"/>
          <w:lang w:val="en-US"/>
        </w:rPr>
        <w:t>P</w:t>
      </w:r>
      <w:r w:rsidRPr="00CE3698">
        <w:rPr>
          <w:i/>
          <w:sz w:val="18"/>
          <w:szCs w:val="18"/>
          <w:lang w:val="en-US"/>
        </w:rPr>
        <w:t>p. 71, 76, 77, 90</w:t>
      </w:r>
    </w:p>
  </w:footnote>
  <w:footnote w:id="48">
    <w:p w:rsidR="00630E27" w:rsidRPr="007109ED" w:rsidRDefault="00630E27" w:rsidP="007109ED">
      <w:pPr>
        <w:pStyle w:val="Textonotapie"/>
        <w:jc w:val="both"/>
        <w:rPr>
          <w:i/>
          <w:sz w:val="18"/>
          <w:szCs w:val="18"/>
          <w:lang w:val="en-US"/>
        </w:rPr>
      </w:pPr>
      <w:r w:rsidRPr="007109ED">
        <w:rPr>
          <w:rStyle w:val="Refdenotaalpie"/>
          <w:i/>
          <w:sz w:val="18"/>
          <w:szCs w:val="18"/>
        </w:rPr>
        <w:footnoteRef/>
      </w:r>
      <w:r w:rsidRPr="007109ED">
        <w:rPr>
          <w:i/>
          <w:sz w:val="18"/>
          <w:szCs w:val="18"/>
          <w:lang w:val="en-US"/>
        </w:rPr>
        <w:t xml:space="preserve"> I</w:t>
      </w:r>
      <w:r w:rsidR="00CE3698">
        <w:rPr>
          <w:i/>
          <w:sz w:val="18"/>
          <w:szCs w:val="18"/>
          <w:lang w:val="en-US"/>
        </w:rPr>
        <w:t>bid. P</w:t>
      </w:r>
      <w:r w:rsidRPr="007109ED">
        <w:rPr>
          <w:i/>
          <w:sz w:val="18"/>
          <w:szCs w:val="18"/>
          <w:lang w:val="en-US"/>
        </w:rPr>
        <w:t>. 79</w:t>
      </w:r>
    </w:p>
  </w:footnote>
  <w:footnote w:id="49">
    <w:p w:rsidR="00630E27" w:rsidRPr="00AC01B7" w:rsidRDefault="00630E27" w:rsidP="007109ED">
      <w:pPr>
        <w:pStyle w:val="Textonotapie"/>
        <w:jc w:val="both"/>
        <w:rPr>
          <w:i/>
          <w:sz w:val="18"/>
          <w:szCs w:val="18"/>
        </w:rPr>
      </w:pPr>
      <w:r w:rsidRPr="007109ED">
        <w:rPr>
          <w:rStyle w:val="Refdenotaalpie"/>
          <w:i/>
          <w:sz w:val="18"/>
          <w:szCs w:val="18"/>
        </w:rPr>
        <w:footnoteRef/>
      </w:r>
      <w:r w:rsidRPr="00AC01B7">
        <w:rPr>
          <w:i/>
          <w:sz w:val="18"/>
          <w:szCs w:val="18"/>
        </w:rPr>
        <w:t xml:space="preserve"> </w:t>
      </w:r>
      <w:proofErr w:type="spellStart"/>
      <w:r w:rsidRPr="00AC01B7">
        <w:rPr>
          <w:i/>
          <w:sz w:val="18"/>
          <w:szCs w:val="18"/>
        </w:rPr>
        <w:t>Id</w:t>
      </w:r>
      <w:r w:rsidR="00CE3698" w:rsidRPr="00AC01B7">
        <w:rPr>
          <w:i/>
          <w:sz w:val="18"/>
          <w:szCs w:val="18"/>
        </w:rPr>
        <w:t>em</w:t>
      </w:r>
      <w:proofErr w:type="spellEnd"/>
      <w:r w:rsidR="00CE3698" w:rsidRPr="00AC01B7">
        <w:rPr>
          <w:i/>
          <w:sz w:val="18"/>
          <w:szCs w:val="18"/>
        </w:rPr>
        <w:t>. P</w:t>
      </w:r>
      <w:r w:rsidRPr="00AC01B7">
        <w:rPr>
          <w:i/>
          <w:sz w:val="18"/>
          <w:szCs w:val="18"/>
        </w:rPr>
        <w:t>. 95</w:t>
      </w:r>
    </w:p>
  </w:footnote>
  <w:footnote w:id="50">
    <w:p w:rsidR="00630E27" w:rsidRPr="00AC01B7" w:rsidRDefault="00630E27" w:rsidP="007109ED">
      <w:pPr>
        <w:pStyle w:val="Textonotapie"/>
        <w:jc w:val="both"/>
        <w:rPr>
          <w:i/>
          <w:sz w:val="18"/>
          <w:szCs w:val="18"/>
        </w:rPr>
      </w:pPr>
      <w:r w:rsidRPr="007109ED">
        <w:rPr>
          <w:rStyle w:val="Refdenotaalpie"/>
          <w:i/>
          <w:sz w:val="18"/>
          <w:szCs w:val="18"/>
        </w:rPr>
        <w:footnoteRef/>
      </w:r>
      <w:r w:rsidRPr="00AC01B7">
        <w:rPr>
          <w:i/>
          <w:sz w:val="18"/>
          <w:szCs w:val="18"/>
        </w:rPr>
        <w:t xml:space="preserve"> </w:t>
      </w:r>
      <w:proofErr w:type="spellStart"/>
      <w:r w:rsidRPr="00AC01B7">
        <w:rPr>
          <w:i/>
          <w:sz w:val="18"/>
          <w:szCs w:val="18"/>
        </w:rPr>
        <w:t>Ibid</w:t>
      </w:r>
      <w:r w:rsidR="00CE3698" w:rsidRPr="00AC01B7">
        <w:rPr>
          <w:i/>
          <w:sz w:val="18"/>
          <w:szCs w:val="18"/>
        </w:rPr>
        <w:t>.</w:t>
      </w:r>
      <w:proofErr w:type="spellEnd"/>
      <w:r w:rsidR="00CE3698" w:rsidRPr="00AC01B7">
        <w:rPr>
          <w:i/>
          <w:sz w:val="18"/>
          <w:szCs w:val="18"/>
        </w:rPr>
        <w:t xml:space="preserve">  P</w:t>
      </w:r>
      <w:r w:rsidRPr="00AC01B7">
        <w:rPr>
          <w:i/>
          <w:sz w:val="18"/>
          <w:szCs w:val="18"/>
        </w:rPr>
        <w:t>. 91</w:t>
      </w:r>
    </w:p>
  </w:footnote>
  <w:footnote w:id="51">
    <w:p w:rsidR="00630E27" w:rsidRPr="007109ED" w:rsidRDefault="00630E27" w:rsidP="007109ED">
      <w:pPr>
        <w:pStyle w:val="Textonotapie"/>
        <w:jc w:val="both"/>
        <w:rPr>
          <w:i/>
          <w:sz w:val="18"/>
          <w:szCs w:val="18"/>
          <w:lang w:val="en-US"/>
        </w:rPr>
      </w:pPr>
      <w:r w:rsidRPr="007109ED">
        <w:rPr>
          <w:rStyle w:val="Refdenotaalpie"/>
          <w:i/>
          <w:sz w:val="18"/>
          <w:szCs w:val="18"/>
        </w:rPr>
        <w:footnoteRef/>
      </w:r>
      <w:r w:rsidRPr="007109ED">
        <w:rPr>
          <w:i/>
          <w:sz w:val="18"/>
          <w:szCs w:val="18"/>
        </w:rPr>
        <w:t xml:space="preserve"> Defensoría de los Habitantes de la República de Costa Rica.  Informe final con recomendaciones: Situación de los Derechos Laborales y Acceso a los Servicios de Salud de las Familias Trabajadoras Migrantes Indígenas </w:t>
      </w:r>
      <w:proofErr w:type="spellStart"/>
      <w:r w:rsidRPr="007109ED">
        <w:rPr>
          <w:i/>
          <w:sz w:val="18"/>
          <w:szCs w:val="18"/>
        </w:rPr>
        <w:t>Gnöbes</w:t>
      </w:r>
      <w:proofErr w:type="spellEnd"/>
      <w:r w:rsidRPr="007109ED">
        <w:rPr>
          <w:i/>
          <w:sz w:val="18"/>
          <w:szCs w:val="18"/>
        </w:rPr>
        <w:t xml:space="preserve">.  </w:t>
      </w:r>
      <w:r w:rsidR="00CE3698" w:rsidRPr="00AC01B7">
        <w:rPr>
          <w:i/>
          <w:sz w:val="18"/>
          <w:szCs w:val="18"/>
          <w:lang w:val="en-US"/>
        </w:rPr>
        <w:t>P</w:t>
      </w:r>
      <w:r w:rsidRPr="007109ED">
        <w:rPr>
          <w:i/>
          <w:sz w:val="18"/>
          <w:szCs w:val="18"/>
          <w:lang w:val="en-US"/>
        </w:rPr>
        <w:t>. 3</w:t>
      </w:r>
    </w:p>
  </w:footnote>
  <w:footnote w:id="52">
    <w:p w:rsidR="00630E27" w:rsidRPr="00AC01B7" w:rsidRDefault="00630E27" w:rsidP="007109ED">
      <w:pPr>
        <w:pStyle w:val="Textonotapie"/>
        <w:jc w:val="both"/>
        <w:rPr>
          <w:i/>
          <w:sz w:val="18"/>
          <w:szCs w:val="18"/>
          <w:lang w:val="en-US"/>
        </w:rPr>
      </w:pPr>
      <w:r w:rsidRPr="007109ED">
        <w:rPr>
          <w:rStyle w:val="Refdenotaalpie"/>
          <w:i/>
          <w:sz w:val="18"/>
          <w:szCs w:val="18"/>
        </w:rPr>
        <w:footnoteRef/>
      </w:r>
      <w:r w:rsidR="00CE3698" w:rsidRPr="00AC01B7">
        <w:rPr>
          <w:i/>
          <w:sz w:val="18"/>
          <w:szCs w:val="18"/>
          <w:lang w:val="en-US"/>
        </w:rPr>
        <w:t xml:space="preserve"> </w:t>
      </w:r>
      <w:proofErr w:type="spellStart"/>
      <w:proofErr w:type="gramStart"/>
      <w:r w:rsidR="00CE3698" w:rsidRPr="00AC01B7">
        <w:rPr>
          <w:i/>
          <w:sz w:val="18"/>
          <w:szCs w:val="18"/>
          <w:lang w:val="en-US"/>
        </w:rPr>
        <w:t>Mondo</w:t>
      </w:r>
      <w:proofErr w:type="spellEnd"/>
      <w:r w:rsidR="00CE3698" w:rsidRPr="00AC01B7">
        <w:rPr>
          <w:i/>
          <w:sz w:val="18"/>
          <w:szCs w:val="18"/>
          <w:lang w:val="en-US"/>
        </w:rPr>
        <w:t>.</w:t>
      </w:r>
      <w:proofErr w:type="gramEnd"/>
      <w:r w:rsidR="00CE3698" w:rsidRPr="00AC01B7">
        <w:rPr>
          <w:i/>
          <w:sz w:val="18"/>
          <w:szCs w:val="18"/>
          <w:lang w:val="en-US"/>
        </w:rPr>
        <w:t xml:space="preserve"> </w:t>
      </w:r>
      <w:proofErr w:type="gramStart"/>
      <w:r w:rsidR="00CE3698" w:rsidRPr="00AC01B7">
        <w:rPr>
          <w:i/>
          <w:sz w:val="18"/>
          <w:szCs w:val="18"/>
          <w:lang w:val="en-US"/>
        </w:rPr>
        <w:t>O</w:t>
      </w:r>
      <w:r w:rsidRPr="00AC01B7">
        <w:rPr>
          <w:i/>
          <w:sz w:val="18"/>
          <w:szCs w:val="18"/>
          <w:lang w:val="en-US"/>
        </w:rPr>
        <w:t xml:space="preserve">p. </w:t>
      </w:r>
      <w:proofErr w:type="spellStart"/>
      <w:r w:rsidRPr="00AC01B7">
        <w:rPr>
          <w:i/>
          <w:sz w:val="18"/>
          <w:szCs w:val="18"/>
          <w:lang w:val="en-US"/>
        </w:rPr>
        <w:t>cit.</w:t>
      </w:r>
      <w:r w:rsidR="00CE3698" w:rsidRPr="00AC01B7">
        <w:rPr>
          <w:i/>
          <w:sz w:val="18"/>
          <w:szCs w:val="18"/>
          <w:lang w:val="en-US"/>
        </w:rPr>
        <w:t>P</w:t>
      </w:r>
      <w:proofErr w:type="spellEnd"/>
      <w:r w:rsidRPr="00AC01B7">
        <w:rPr>
          <w:i/>
          <w:sz w:val="18"/>
          <w:szCs w:val="18"/>
          <w:lang w:val="en-US"/>
        </w:rPr>
        <w:t>.</w:t>
      </w:r>
      <w:proofErr w:type="gramEnd"/>
      <w:r w:rsidRPr="00AC01B7">
        <w:rPr>
          <w:i/>
          <w:sz w:val="18"/>
          <w:szCs w:val="18"/>
          <w:lang w:val="en-US"/>
        </w:rPr>
        <w:t xml:space="preserve"> 41</w:t>
      </w:r>
    </w:p>
  </w:footnote>
  <w:footnote w:id="53">
    <w:p w:rsidR="00630E27" w:rsidRPr="00AC01B7" w:rsidRDefault="00630E27" w:rsidP="007109ED">
      <w:pPr>
        <w:pStyle w:val="Textonotapie"/>
        <w:jc w:val="both"/>
        <w:rPr>
          <w:i/>
          <w:sz w:val="18"/>
          <w:szCs w:val="18"/>
          <w:lang w:val="en-US"/>
        </w:rPr>
      </w:pPr>
      <w:r w:rsidRPr="007109ED">
        <w:rPr>
          <w:rStyle w:val="Refdenotaalpie"/>
          <w:i/>
          <w:sz w:val="18"/>
          <w:szCs w:val="18"/>
        </w:rPr>
        <w:footnoteRef/>
      </w:r>
      <w:r w:rsidRPr="00AC01B7">
        <w:rPr>
          <w:i/>
          <w:sz w:val="18"/>
          <w:szCs w:val="18"/>
          <w:lang w:val="en-US"/>
        </w:rPr>
        <w:t xml:space="preserve"> </w:t>
      </w:r>
      <w:proofErr w:type="spellStart"/>
      <w:r w:rsidRPr="00AC01B7">
        <w:rPr>
          <w:i/>
          <w:sz w:val="18"/>
          <w:szCs w:val="18"/>
          <w:lang w:val="en-US"/>
        </w:rPr>
        <w:t>Idiáquez</w:t>
      </w:r>
      <w:proofErr w:type="spellEnd"/>
      <w:r w:rsidR="00CE3698" w:rsidRPr="00AC01B7">
        <w:rPr>
          <w:i/>
          <w:sz w:val="18"/>
          <w:szCs w:val="18"/>
          <w:lang w:val="en-US"/>
        </w:rPr>
        <w:t>: O</w:t>
      </w:r>
      <w:r w:rsidRPr="00AC01B7">
        <w:rPr>
          <w:i/>
          <w:sz w:val="18"/>
          <w:szCs w:val="18"/>
          <w:lang w:val="en-US"/>
        </w:rPr>
        <w:t xml:space="preserve">p. </w:t>
      </w:r>
      <w:proofErr w:type="spellStart"/>
      <w:r w:rsidRPr="00AC01B7">
        <w:rPr>
          <w:i/>
          <w:sz w:val="18"/>
          <w:szCs w:val="18"/>
          <w:lang w:val="en-US"/>
        </w:rPr>
        <w:t>cit.</w:t>
      </w:r>
      <w:r w:rsidR="00CE3698" w:rsidRPr="00AC01B7">
        <w:rPr>
          <w:i/>
          <w:sz w:val="18"/>
          <w:szCs w:val="18"/>
          <w:lang w:val="en-US"/>
        </w:rPr>
        <w:t>P</w:t>
      </w:r>
      <w:proofErr w:type="spellEnd"/>
      <w:r w:rsidRPr="00AC01B7">
        <w:rPr>
          <w:i/>
          <w:sz w:val="18"/>
          <w:szCs w:val="18"/>
          <w:lang w:val="en-US"/>
        </w:rPr>
        <w:t>. 92</w:t>
      </w:r>
    </w:p>
  </w:footnote>
  <w:footnote w:id="54">
    <w:p w:rsidR="00630E27" w:rsidRPr="00AC01B7" w:rsidRDefault="00630E27" w:rsidP="007109ED">
      <w:pPr>
        <w:pStyle w:val="Textonotapie"/>
        <w:jc w:val="both"/>
        <w:rPr>
          <w:i/>
          <w:sz w:val="18"/>
          <w:szCs w:val="18"/>
          <w:lang w:val="en-US"/>
        </w:rPr>
      </w:pPr>
      <w:r w:rsidRPr="007109ED">
        <w:rPr>
          <w:rStyle w:val="Refdenotaalpie"/>
          <w:i/>
          <w:sz w:val="18"/>
          <w:szCs w:val="18"/>
        </w:rPr>
        <w:footnoteRef/>
      </w:r>
      <w:r w:rsidRPr="00AC01B7">
        <w:rPr>
          <w:i/>
          <w:sz w:val="18"/>
          <w:szCs w:val="18"/>
          <w:lang w:val="en-US"/>
        </w:rPr>
        <w:t xml:space="preserve"> </w:t>
      </w:r>
      <w:proofErr w:type="gramStart"/>
      <w:r w:rsidRPr="00AC01B7">
        <w:rPr>
          <w:i/>
          <w:sz w:val="18"/>
          <w:szCs w:val="18"/>
          <w:lang w:val="en-US"/>
        </w:rPr>
        <w:t>Idem.</w:t>
      </w:r>
      <w:proofErr w:type="gramEnd"/>
      <w:r w:rsidRPr="00AC01B7">
        <w:rPr>
          <w:i/>
          <w:sz w:val="18"/>
          <w:szCs w:val="18"/>
          <w:lang w:val="en-US"/>
        </w:rPr>
        <w:t xml:space="preserve"> </w:t>
      </w:r>
      <w:r w:rsidR="00CE3698" w:rsidRPr="00AC01B7">
        <w:rPr>
          <w:i/>
          <w:sz w:val="18"/>
          <w:szCs w:val="18"/>
          <w:lang w:val="en-US"/>
        </w:rPr>
        <w:t>P</w:t>
      </w:r>
      <w:r w:rsidRPr="00AC01B7">
        <w:rPr>
          <w:i/>
          <w:sz w:val="18"/>
          <w:szCs w:val="18"/>
          <w:lang w:val="en-US"/>
        </w:rPr>
        <w:t>. 92</w:t>
      </w:r>
    </w:p>
  </w:footnote>
  <w:footnote w:id="55">
    <w:p w:rsidR="00630E27" w:rsidRPr="005345C8" w:rsidRDefault="00630E27" w:rsidP="007109ED">
      <w:pPr>
        <w:pStyle w:val="Textonotapie"/>
        <w:jc w:val="both"/>
        <w:rPr>
          <w:i/>
          <w:sz w:val="18"/>
          <w:szCs w:val="18"/>
        </w:rPr>
      </w:pPr>
      <w:r w:rsidRPr="007109ED">
        <w:rPr>
          <w:rStyle w:val="Refdenotaalpie"/>
          <w:i/>
          <w:sz w:val="18"/>
          <w:szCs w:val="18"/>
        </w:rPr>
        <w:footnoteRef/>
      </w:r>
      <w:r w:rsidRPr="007109ED">
        <w:rPr>
          <w:i/>
          <w:sz w:val="18"/>
          <w:szCs w:val="18"/>
          <w:lang w:val="en-US"/>
        </w:rPr>
        <w:t xml:space="preserve"> </w:t>
      </w:r>
      <w:proofErr w:type="spellStart"/>
      <w:proofErr w:type="gramStart"/>
      <w:r w:rsidRPr="007109ED">
        <w:rPr>
          <w:i/>
          <w:sz w:val="18"/>
          <w:szCs w:val="18"/>
          <w:lang w:val="en-US"/>
        </w:rPr>
        <w:t>Mondol</w:t>
      </w:r>
      <w:proofErr w:type="spellEnd"/>
      <w:r w:rsidR="00CE3698">
        <w:rPr>
          <w:i/>
          <w:sz w:val="18"/>
          <w:szCs w:val="18"/>
          <w:lang w:val="en-US"/>
        </w:rPr>
        <w:t>.</w:t>
      </w:r>
      <w:proofErr w:type="gramEnd"/>
      <w:r w:rsidR="00CE3698">
        <w:rPr>
          <w:i/>
          <w:sz w:val="18"/>
          <w:szCs w:val="18"/>
          <w:lang w:val="en-US"/>
        </w:rPr>
        <w:t xml:space="preserve"> O</w:t>
      </w:r>
      <w:r w:rsidRPr="007109ED">
        <w:rPr>
          <w:i/>
          <w:sz w:val="18"/>
          <w:szCs w:val="18"/>
          <w:lang w:val="en-US"/>
        </w:rPr>
        <w:t xml:space="preserve">p. cit. </w:t>
      </w:r>
      <w:r w:rsidR="00CE3698" w:rsidRPr="005345C8">
        <w:rPr>
          <w:i/>
          <w:sz w:val="18"/>
          <w:szCs w:val="18"/>
        </w:rPr>
        <w:t>P</w:t>
      </w:r>
      <w:r w:rsidRPr="005345C8">
        <w:rPr>
          <w:i/>
          <w:sz w:val="18"/>
          <w:szCs w:val="18"/>
        </w:rPr>
        <w:t xml:space="preserve">. 42 </w:t>
      </w:r>
    </w:p>
  </w:footnote>
  <w:footnote w:id="56">
    <w:p w:rsidR="00630E27" w:rsidRPr="007109ED" w:rsidRDefault="00630E27" w:rsidP="007109ED">
      <w:pPr>
        <w:pStyle w:val="Textonotapie"/>
        <w:jc w:val="both"/>
        <w:rPr>
          <w:i/>
          <w:sz w:val="18"/>
          <w:szCs w:val="18"/>
        </w:rPr>
      </w:pPr>
      <w:r w:rsidRPr="007109ED">
        <w:rPr>
          <w:rStyle w:val="Refdenotaalpie"/>
          <w:i/>
          <w:sz w:val="18"/>
          <w:szCs w:val="18"/>
        </w:rPr>
        <w:footnoteRef/>
      </w:r>
      <w:r w:rsidRPr="007109ED">
        <w:rPr>
          <w:rFonts w:cstheme="minorHAnsi"/>
          <w:i/>
          <w:sz w:val="18"/>
          <w:szCs w:val="18"/>
        </w:rPr>
        <w:t xml:space="preserve"> Consejo Nacional de Migración.  Política migratoria integral para Costa Rica.  San José, C.R., 2013. </w:t>
      </w:r>
      <w:r w:rsidR="005428CA">
        <w:rPr>
          <w:rFonts w:cstheme="minorHAnsi"/>
          <w:i/>
          <w:sz w:val="18"/>
          <w:szCs w:val="18"/>
        </w:rPr>
        <w:t>P</w:t>
      </w:r>
      <w:r w:rsidRPr="007109ED">
        <w:rPr>
          <w:rFonts w:cstheme="minorHAnsi"/>
          <w:i/>
          <w:sz w:val="18"/>
          <w:szCs w:val="18"/>
        </w:rPr>
        <w:t>. 20</w:t>
      </w:r>
      <w:r w:rsidRPr="007109ED">
        <w:rPr>
          <w:i/>
          <w:sz w:val="18"/>
          <w:szCs w:val="18"/>
        </w:rPr>
        <w:t xml:space="preserve"> </w:t>
      </w:r>
    </w:p>
  </w:footnote>
  <w:footnote w:id="57">
    <w:p w:rsidR="00630E27" w:rsidRPr="007109ED" w:rsidRDefault="00630E27" w:rsidP="007109ED">
      <w:pPr>
        <w:spacing w:after="0" w:line="240" w:lineRule="auto"/>
        <w:jc w:val="both"/>
        <w:rPr>
          <w:i/>
          <w:sz w:val="18"/>
          <w:szCs w:val="18"/>
        </w:rPr>
      </w:pPr>
      <w:r w:rsidRPr="007109ED">
        <w:rPr>
          <w:rStyle w:val="Refdenotaalpie"/>
          <w:i/>
          <w:sz w:val="18"/>
          <w:szCs w:val="18"/>
        </w:rPr>
        <w:footnoteRef/>
      </w:r>
      <w:r w:rsidRPr="007109ED">
        <w:rPr>
          <w:rFonts w:cstheme="minorHAnsi"/>
          <w:i/>
          <w:sz w:val="18"/>
          <w:szCs w:val="18"/>
        </w:rPr>
        <w:t xml:space="preserve"> </w:t>
      </w:r>
      <w:proofErr w:type="spellStart"/>
      <w:r w:rsidRPr="007109ED">
        <w:rPr>
          <w:rFonts w:cstheme="minorHAnsi"/>
          <w:i/>
          <w:sz w:val="18"/>
          <w:szCs w:val="18"/>
        </w:rPr>
        <w:t>Idem</w:t>
      </w:r>
      <w:proofErr w:type="spellEnd"/>
      <w:r w:rsidR="005428CA">
        <w:rPr>
          <w:rFonts w:cstheme="minorHAnsi"/>
          <w:i/>
          <w:sz w:val="18"/>
          <w:szCs w:val="18"/>
        </w:rPr>
        <w:t>. P</w:t>
      </w:r>
      <w:r w:rsidRPr="007109ED">
        <w:rPr>
          <w:rFonts w:cstheme="minorHAnsi"/>
          <w:i/>
          <w:sz w:val="18"/>
          <w:szCs w:val="18"/>
        </w:rPr>
        <w:t xml:space="preserve">. 38 </w:t>
      </w:r>
    </w:p>
  </w:footnote>
  <w:footnote w:id="58">
    <w:p w:rsidR="00630E27" w:rsidRPr="005428CA" w:rsidRDefault="00630E27" w:rsidP="007109ED">
      <w:pPr>
        <w:pStyle w:val="Textonotapie"/>
        <w:jc w:val="both"/>
        <w:rPr>
          <w:i/>
          <w:sz w:val="18"/>
          <w:szCs w:val="18"/>
        </w:rPr>
      </w:pPr>
      <w:r w:rsidRPr="007109ED">
        <w:rPr>
          <w:rStyle w:val="Refdenotaalpie"/>
          <w:i/>
          <w:sz w:val="18"/>
          <w:szCs w:val="18"/>
        </w:rPr>
        <w:footnoteRef/>
      </w:r>
      <w:proofErr w:type="spellStart"/>
      <w:r w:rsidR="005428CA">
        <w:rPr>
          <w:i/>
          <w:sz w:val="18"/>
          <w:szCs w:val="18"/>
        </w:rPr>
        <w:t>Ibid.</w:t>
      </w:r>
      <w:proofErr w:type="spellEnd"/>
      <w:r w:rsidRPr="007109ED">
        <w:rPr>
          <w:i/>
          <w:sz w:val="18"/>
          <w:szCs w:val="18"/>
        </w:rPr>
        <w:t xml:space="preserve"> </w:t>
      </w:r>
      <w:r w:rsidR="005428CA">
        <w:rPr>
          <w:i/>
          <w:sz w:val="18"/>
          <w:szCs w:val="18"/>
        </w:rPr>
        <w:t>P</w:t>
      </w:r>
      <w:r w:rsidRPr="005428CA">
        <w:rPr>
          <w:i/>
          <w:sz w:val="18"/>
          <w:szCs w:val="18"/>
        </w:rPr>
        <w:t>. 33</w:t>
      </w:r>
    </w:p>
  </w:footnote>
  <w:footnote w:id="59">
    <w:p w:rsidR="00630E27" w:rsidRPr="005428CA" w:rsidRDefault="00630E27" w:rsidP="007109ED">
      <w:pPr>
        <w:pStyle w:val="Textonotapie"/>
        <w:jc w:val="both"/>
      </w:pPr>
      <w:r w:rsidRPr="007109ED">
        <w:rPr>
          <w:rStyle w:val="Refdenotaalpie"/>
          <w:i/>
          <w:sz w:val="18"/>
          <w:szCs w:val="18"/>
        </w:rPr>
        <w:footnoteRef/>
      </w:r>
      <w:r w:rsidRPr="005428CA">
        <w:rPr>
          <w:i/>
          <w:sz w:val="18"/>
          <w:szCs w:val="18"/>
        </w:rPr>
        <w:t xml:space="preserve"> </w:t>
      </w:r>
      <w:proofErr w:type="spellStart"/>
      <w:r w:rsidRPr="005428CA">
        <w:rPr>
          <w:i/>
          <w:sz w:val="18"/>
          <w:szCs w:val="18"/>
        </w:rPr>
        <w:t>Idem.</w:t>
      </w:r>
      <w:r w:rsidR="005428CA" w:rsidRPr="005428CA">
        <w:rPr>
          <w:i/>
          <w:sz w:val="18"/>
          <w:szCs w:val="18"/>
        </w:rPr>
        <w:t>P</w:t>
      </w:r>
      <w:proofErr w:type="spellEnd"/>
      <w:r w:rsidRPr="005428CA">
        <w:rPr>
          <w:i/>
          <w:sz w:val="18"/>
          <w:szCs w:val="18"/>
        </w:rPr>
        <w:t>. 33</w:t>
      </w:r>
    </w:p>
  </w:footnote>
  <w:footnote w:id="60">
    <w:p w:rsidR="00630E27" w:rsidRPr="005345C8" w:rsidRDefault="00630E27" w:rsidP="00751CA8">
      <w:pPr>
        <w:pStyle w:val="Textonotapie"/>
        <w:rPr>
          <w:lang w:val="en-US"/>
        </w:rPr>
      </w:pPr>
      <w:r>
        <w:rPr>
          <w:rStyle w:val="Refdenotaalpie"/>
        </w:rPr>
        <w:footnoteRef/>
      </w:r>
      <w:r>
        <w:t xml:space="preserve"> </w:t>
      </w:r>
      <w:r w:rsidRPr="005428CA">
        <w:rPr>
          <w:i/>
        </w:rPr>
        <w:t>Idiáquez</w:t>
      </w:r>
      <w:r w:rsidR="005428CA" w:rsidRPr="005428CA">
        <w:rPr>
          <w:i/>
        </w:rPr>
        <w:t xml:space="preserve">.  </w:t>
      </w:r>
      <w:r w:rsidR="005428CA" w:rsidRPr="005345C8">
        <w:rPr>
          <w:i/>
          <w:lang w:val="en-US"/>
        </w:rPr>
        <w:t>O</w:t>
      </w:r>
      <w:r w:rsidRPr="005345C8">
        <w:rPr>
          <w:i/>
          <w:lang w:val="en-US"/>
        </w:rPr>
        <w:t xml:space="preserve">p. cit. </w:t>
      </w:r>
      <w:r w:rsidR="005428CA" w:rsidRPr="005345C8">
        <w:rPr>
          <w:i/>
          <w:lang w:val="en-US"/>
        </w:rPr>
        <w:t>P</w:t>
      </w:r>
      <w:r w:rsidRPr="005345C8">
        <w:rPr>
          <w:i/>
          <w:lang w:val="en-US"/>
        </w:rPr>
        <w:t>. 100</w:t>
      </w:r>
    </w:p>
  </w:footnote>
  <w:footnote w:id="61">
    <w:p w:rsidR="005428CA" w:rsidRPr="00AC01B7" w:rsidRDefault="005428CA">
      <w:pPr>
        <w:pStyle w:val="Textonotapie"/>
        <w:rPr>
          <w:lang w:val="en-US"/>
        </w:rPr>
      </w:pPr>
      <w:r>
        <w:rPr>
          <w:rStyle w:val="Refdenotaalpie"/>
        </w:rPr>
        <w:footnoteRef/>
      </w:r>
      <w:r w:rsidRPr="00AC01B7">
        <w:rPr>
          <w:lang w:val="en-US"/>
        </w:rPr>
        <w:t xml:space="preserve"> </w:t>
      </w:r>
      <w:proofErr w:type="gramStart"/>
      <w:r w:rsidRPr="00AC01B7">
        <w:rPr>
          <w:i/>
          <w:lang w:val="en-US"/>
        </w:rPr>
        <w:t>Idem.</w:t>
      </w:r>
      <w:proofErr w:type="gramEnd"/>
      <w:r w:rsidRPr="00AC01B7">
        <w:rPr>
          <w:i/>
          <w:lang w:val="en-US"/>
        </w:rPr>
        <w:t xml:space="preserve"> </w:t>
      </w:r>
      <w:proofErr w:type="gramStart"/>
      <w:r w:rsidRPr="00AC01B7">
        <w:rPr>
          <w:i/>
          <w:lang w:val="en-US"/>
        </w:rPr>
        <w:t>P. 97, 98</w:t>
      </w:r>
      <w:r w:rsidRPr="00AC01B7">
        <w:rPr>
          <w:lang w:val="en-US"/>
        </w:rPr>
        <w:t>.</w:t>
      </w:r>
      <w:proofErr w:type="gramEnd"/>
    </w:p>
  </w:footnote>
  <w:footnote w:id="62">
    <w:p w:rsidR="00630E27" w:rsidRPr="00AC01B7" w:rsidRDefault="00630E27" w:rsidP="00AA5CED">
      <w:pPr>
        <w:rPr>
          <w:noProof/>
          <w:lang w:val="en-US" w:eastAsia="es-CR"/>
        </w:rPr>
      </w:pPr>
      <w:r>
        <w:rPr>
          <w:rStyle w:val="Refdenotaalpie"/>
        </w:rPr>
        <w:footnoteRef/>
      </w:r>
      <w:r w:rsidRPr="00AC01B7">
        <w:rPr>
          <w:lang w:val="en-US"/>
        </w:rPr>
        <w:t xml:space="preserve"> </w:t>
      </w:r>
      <w:r w:rsidRPr="00AC01B7">
        <w:rPr>
          <w:noProof/>
          <w:sz w:val="20"/>
          <w:szCs w:val="20"/>
          <w:lang w:val="en-US" w:eastAsia="es-CR"/>
        </w:rPr>
        <w:t>http://www.nacion.com/vivir/ciencia/Herencia-china-moldea-genes-costarricenses_0_1444655578.html</w:t>
      </w:r>
      <w:r>
        <w:rPr>
          <w:rStyle w:val="Refdenotaalpie"/>
          <w:noProof/>
          <w:lang w:eastAsia="es-CR"/>
        </w:rPr>
        <w:footnoteRef/>
      </w:r>
    </w:p>
    <w:p w:rsidR="00630E27" w:rsidRPr="00AC01B7" w:rsidRDefault="00630E27">
      <w:pPr>
        <w:pStyle w:val="Textonotapie"/>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7179854"/>
      <w:docPartObj>
        <w:docPartGallery w:val="Page Numbers (Top of Page)"/>
        <w:docPartUnique/>
      </w:docPartObj>
    </w:sdtPr>
    <w:sdtContent>
      <w:p w:rsidR="00630E27" w:rsidRDefault="009E430A">
        <w:pPr>
          <w:pStyle w:val="Encabezado"/>
          <w:jc w:val="right"/>
        </w:pPr>
        <w:fldSimple w:instr=" PAGE   \* MERGEFORMAT ">
          <w:r w:rsidR="005345C8">
            <w:rPr>
              <w:noProof/>
            </w:rPr>
            <w:t>1</w:t>
          </w:r>
        </w:fldSimple>
      </w:p>
    </w:sdtContent>
  </w:sdt>
  <w:p w:rsidR="00630E27" w:rsidRDefault="00630E2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414AB"/>
    <w:multiLevelType w:val="hybridMultilevel"/>
    <w:tmpl w:val="D4101E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3E923186"/>
    <w:multiLevelType w:val="hybridMultilevel"/>
    <w:tmpl w:val="42EEF36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7B856053"/>
    <w:multiLevelType w:val="hybridMultilevel"/>
    <w:tmpl w:val="0AFE2C5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6666C"/>
    <w:rsid w:val="0003315B"/>
    <w:rsid w:val="0007206E"/>
    <w:rsid w:val="00074C4D"/>
    <w:rsid w:val="000A6730"/>
    <w:rsid w:val="000C5DE9"/>
    <w:rsid w:val="00105D4F"/>
    <w:rsid w:val="00125999"/>
    <w:rsid w:val="00153966"/>
    <w:rsid w:val="001662BD"/>
    <w:rsid w:val="00167E30"/>
    <w:rsid w:val="001A4BF3"/>
    <w:rsid w:val="001D0370"/>
    <w:rsid w:val="001E7EAD"/>
    <w:rsid w:val="0026666C"/>
    <w:rsid w:val="00277E2D"/>
    <w:rsid w:val="002F2ACF"/>
    <w:rsid w:val="00376FF4"/>
    <w:rsid w:val="003807C8"/>
    <w:rsid w:val="003C2B1A"/>
    <w:rsid w:val="003D3A2B"/>
    <w:rsid w:val="0041631C"/>
    <w:rsid w:val="0044156F"/>
    <w:rsid w:val="00457F7B"/>
    <w:rsid w:val="00464AF3"/>
    <w:rsid w:val="004A5CC3"/>
    <w:rsid w:val="004D404B"/>
    <w:rsid w:val="005109C0"/>
    <w:rsid w:val="0053245B"/>
    <w:rsid w:val="005345C8"/>
    <w:rsid w:val="005428CA"/>
    <w:rsid w:val="00570BB4"/>
    <w:rsid w:val="00576C29"/>
    <w:rsid w:val="00577EF2"/>
    <w:rsid w:val="005B33D4"/>
    <w:rsid w:val="005D70EF"/>
    <w:rsid w:val="00611239"/>
    <w:rsid w:val="00630E27"/>
    <w:rsid w:val="00660398"/>
    <w:rsid w:val="006B7B34"/>
    <w:rsid w:val="006F2843"/>
    <w:rsid w:val="006F2A39"/>
    <w:rsid w:val="00707E5F"/>
    <w:rsid w:val="007109ED"/>
    <w:rsid w:val="0074100B"/>
    <w:rsid w:val="00751CA8"/>
    <w:rsid w:val="007970F8"/>
    <w:rsid w:val="007D691B"/>
    <w:rsid w:val="007F7852"/>
    <w:rsid w:val="0084364C"/>
    <w:rsid w:val="00850925"/>
    <w:rsid w:val="008529D4"/>
    <w:rsid w:val="0087099F"/>
    <w:rsid w:val="008E3B33"/>
    <w:rsid w:val="00954F06"/>
    <w:rsid w:val="00975D27"/>
    <w:rsid w:val="00993987"/>
    <w:rsid w:val="00995752"/>
    <w:rsid w:val="009B6BD4"/>
    <w:rsid w:val="009B7D8C"/>
    <w:rsid w:val="009E09B9"/>
    <w:rsid w:val="009E37C5"/>
    <w:rsid w:val="009E430A"/>
    <w:rsid w:val="009F5AE1"/>
    <w:rsid w:val="00A64714"/>
    <w:rsid w:val="00A805B7"/>
    <w:rsid w:val="00AA5CED"/>
    <w:rsid w:val="00AC01B7"/>
    <w:rsid w:val="00B11A69"/>
    <w:rsid w:val="00B4170D"/>
    <w:rsid w:val="00B87DB6"/>
    <w:rsid w:val="00BF134C"/>
    <w:rsid w:val="00C3244E"/>
    <w:rsid w:val="00C34554"/>
    <w:rsid w:val="00C41AC9"/>
    <w:rsid w:val="00C90B54"/>
    <w:rsid w:val="00CE3698"/>
    <w:rsid w:val="00DA55C9"/>
    <w:rsid w:val="00DB51DD"/>
    <w:rsid w:val="00DD2BEF"/>
    <w:rsid w:val="00DE4C28"/>
    <w:rsid w:val="00DE56B2"/>
    <w:rsid w:val="00EA4D62"/>
    <w:rsid w:val="00EA4F9A"/>
    <w:rsid w:val="00EC0FAB"/>
    <w:rsid w:val="00F008D1"/>
    <w:rsid w:val="00F021FD"/>
    <w:rsid w:val="00F10F88"/>
    <w:rsid w:val="00F14CC6"/>
    <w:rsid w:val="00F17DAE"/>
    <w:rsid w:val="00F21015"/>
    <w:rsid w:val="00F222BD"/>
    <w:rsid w:val="00F41446"/>
    <w:rsid w:val="00F43C1E"/>
    <w:rsid w:val="00F513A0"/>
    <w:rsid w:val="00F81AC8"/>
    <w:rsid w:val="00F867DF"/>
    <w:rsid w:val="00FA723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ED"/>
  </w:style>
  <w:style w:type="paragraph" w:styleId="Ttulo1">
    <w:name w:val="heading 1"/>
    <w:basedOn w:val="Normal"/>
    <w:link w:val="Ttulo1Car"/>
    <w:uiPriority w:val="9"/>
    <w:qFormat/>
    <w:rsid w:val="002666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66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666C"/>
    <w:rPr>
      <w:rFonts w:ascii="Tahoma" w:hAnsi="Tahoma" w:cs="Tahoma"/>
      <w:sz w:val="16"/>
      <w:szCs w:val="16"/>
    </w:rPr>
  </w:style>
  <w:style w:type="paragraph" w:customStyle="1" w:styleId="mce">
    <w:name w:val="mce"/>
    <w:basedOn w:val="Normal"/>
    <w:rsid w:val="0026666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26666C"/>
  </w:style>
  <w:style w:type="character" w:styleId="nfasis">
    <w:name w:val="Emphasis"/>
    <w:basedOn w:val="Fuentedeprrafopredeter"/>
    <w:uiPriority w:val="20"/>
    <w:qFormat/>
    <w:rsid w:val="0026666C"/>
    <w:rPr>
      <w:i/>
      <w:iCs/>
    </w:rPr>
  </w:style>
  <w:style w:type="character" w:styleId="Textoennegrita">
    <w:name w:val="Strong"/>
    <w:basedOn w:val="Fuentedeprrafopredeter"/>
    <w:uiPriority w:val="22"/>
    <w:qFormat/>
    <w:rsid w:val="0026666C"/>
    <w:rPr>
      <w:b/>
      <w:bCs/>
    </w:rPr>
  </w:style>
  <w:style w:type="character" w:customStyle="1" w:styleId="Ttulo1Car">
    <w:name w:val="Título 1 Car"/>
    <w:basedOn w:val="Fuentedeprrafopredeter"/>
    <w:link w:val="Ttulo1"/>
    <w:uiPriority w:val="9"/>
    <w:rsid w:val="0026666C"/>
    <w:rPr>
      <w:rFonts w:ascii="Times New Roman" w:eastAsia="Times New Roman" w:hAnsi="Times New Roman" w:cs="Times New Roman"/>
      <w:b/>
      <w:bCs/>
      <w:kern w:val="36"/>
      <w:sz w:val="48"/>
      <w:szCs w:val="48"/>
      <w:lang w:eastAsia="es-CR"/>
    </w:rPr>
  </w:style>
  <w:style w:type="paragraph" w:customStyle="1" w:styleId="pg-bkn-trail-id">
    <w:name w:val="pg-bkn-trail-id"/>
    <w:basedOn w:val="Normal"/>
    <w:rsid w:val="0026666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g-bkn-dateline">
    <w:name w:val="pg-bkn-dateline"/>
    <w:basedOn w:val="Normal"/>
    <w:rsid w:val="0026666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
    <w:name w:val="Hyperlink"/>
    <w:basedOn w:val="Fuentedeprrafopredeter"/>
    <w:uiPriority w:val="99"/>
    <w:unhideWhenUsed/>
    <w:rsid w:val="0026666C"/>
    <w:rPr>
      <w:color w:val="0000FF"/>
      <w:u w:val="single"/>
    </w:rPr>
  </w:style>
  <w:style w:type="paragraph" w:styleId="NormalWeb">
    <w:name w:val="Normal (Web)"/>
    <w:basedOn w:val="Normal"/>
    <w:uiPriority w:val="99"/>
    <w:unhideWhenUsed/>
    <w:rsid w:val="0026666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notapie">
    <w:name w:val="footnote text"/>
    <w:aliases w:val="Footnote Text Char Char Char Char Char,Footnote Text Char Char Char Char,Footnote reference,FA Fu,Footnote Text Char Char Char"/>
    <w:basedOn w:val="Normal"/>
    <w:link w:val="TextonotapieCar"/>
    <w:uiPriority w:val="99"/>
    <w:unhideWhenUsed/>
    <w:rsid w:val="0026666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
    <w:basedOn w:val="Fuentedeprrafopredeter"/>
    <w:link w:val="Textonotapie"/>
    <w:uiPriority w:val="99"/>
    <w:rsid w:val="0026666C"/>
    <w:rPr>
      <w:sz w:val="20"/>
      <w:szCs w:val="20"/>
    </w:rPr>
  </w:style>
  <w:style w:type="character" w:styleId="Refdenotaalpie">
    <w:name w:val="footnote reference"/>
    <w:basedOn w:val="Fuentedeprrafopredeter"/>
    <w:uiPriority w:val="99"/>
    <w:semiHidden/>
    <w:unhideWhenUsed/>
    <w:rsid w:val="0026666C"/>
    <w:rPr>
      <w:vertAlign w:val="superscript"/>
    </w:rPr>
  </w:style>
  <w:style w:type="paragraph" w:customStyle="1" w:styleId="Default">
    <w:name w:val="Default"/>
    <w:rsid w:val="009B7D8C"/>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C34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2ACF"/>
    <w:pPr>
      <w:ind w:left="720"/>
      <w:contextualSpacing/>
    </w:pPr>
  </w:style>
  <w:style w:type="paragraph" w:styleId="Encabezado">
    <w:name w:val="header"/>
    <w:basedOn w:val="Normal"/>
    <w:link w:val="EncabezadoCar"/>
    <w:uiPriority w:val="99"/>
    <w:unhideWhenUsed/>
    <w:rsid w:val="00F14C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4CC6"/>
  </w:style>
  <w:style w:type="paragraph" w:styleId="Piedepgina">
    <w:name w:val="footer"/>
    <w:basedOn w:val="Normal"/>
    <w:link w:val="PiedepginaCar"/>
    <w:uiPriority w:val="99"/>
    <w:semiHidden/>
    <w:unhideWhenUsed/>
    <w:rsid w:val="00F14C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14CC6"/>
  </w:style>
</w:styles>
</file>

<file path=word/webSettings.xml><?xml version="1.0" encoding="utf-8"?>
<w:webSettings xmlns:r="http://schemas.openxmlformats.org/officeDocument/2006/relationships" xmlns:w="http://schemas.openxmlformats.org/wordprocessingml/2006/main">
  <w:divs>
    <w:div w:id="48503274">
      <w:bodyDiv w:val="1"/>
      <w:marLeft w:val="0"/>
      <w:marRight w:val="0"/>
      <w:marTop w:val="0"/>
      <w:marBottom w:val="0"/>
      <w:divBdr>
        <w:top w:val="none" w:sz="0" w:space="0" w:color="auto"/>
        <w:left w:val="none" w:sz="0" w:space="0" w:color="auto"/>
        <w:bottom w:val="none" w:sz="0" w:space="0" w:color="auto"/>
        <w:right w:val="none" w:sz="0" w:space="0" w:color="auto"/>
      </w:divBdr>
      <w:divsChild>
        <w:div w:id="738988317">
          <w:marLeft w:val="0"/>
          <w:marRight w:val="0"/>
          <w:marTop w:val="0"/>
          <w:marBottom w:val="0"/>
          <w:divBdr>
            <w:top w:val="none" w:sz="0" w:space="0" w:color="auto"/>
            <w:left w:val="none" w:sz="0" w:space="0" w:color="auto"/>
            <w:bottom w:val="none" w:sz="0" w:space="0" w:color="auto"/>
            <w:right w:val="none" w:sz="0" w:space="0" w:color="auto"/>
          </w:divBdr>
        </w:div>
      </w:divsChild>
    </w:div>
    <w:div w:id="62684375">
      <w:bodyDiv w:val="1"/>
      <w:marLeft w:val="0"/>
      <w:marRight w:val="0"/>
      <w:marTop w:val="0"/>
      <w:marBottom w:val="0"/>
      <w:divBdr>
        <w:top w:val="none" w:sz="0" w:space="0" w:color="auto"/>
        <w:left w:val="none" w:sz="0" w:space="0" w:color="auto"/>
        <w:bottom w:val="none" w:sz="0" w:space="0" w:color="auto"/>
        <w:right w:val="none" w:sz="0" w:space="0" w:color="auto"/>
      </w:divBdr>
    </w:div>
    <w:div w:id="613824173">
      <w:bodyDiv w:val="1"/>
      <w:marLeft w:val="0"/>
      <w:marRight w:val="0"/>
      <w:marTop w:val="0"/>
      <w:marBottom w:val="0"/>
      <w:divBdr>
        <w:top w:val="none" w:sz="0" w:space="0" w:color="auto"/>
        <w:left w:val="none" w:sz="0" w:space="0" w:color="auto"/>
        <w:bottom w:val="none" w:sz="0" w:space="0" w:color="auto"/>
        <w:right w:val="none" w:sz="0" w:space="0" w:color="auto"/>
      </w:divBdr>
    </w:div>
    <w:div w:id="658198124">
      <w:bodyDiv w:val="1"/>
      <w:marLeft w:val="0"/>
      <w:marRight w:val="0"/>
      <w:marTop w:val="0"/>
      <w:marBottom w:val="0"/>
      <w:divBdr>
        <w:top w:val="none" w:sz="0" w:space="0" w:color="auto"/>
        <w:left w:val="none" w:sz="0" w:space="0" w:color="auto"/>
        <w:bottom w:val="none" w:sz="0" w:space="0" w:color="auto"/>
        <w:right w:val="none" w:sz="0" w:space="0" w:color="auto"/>
      </w:divBdr>
    </w:div>
    <w:div w:id="986008843">
      <w:bodyDiv w:val="1"/>
      <w:marLeft w:val="0"/>
      <w:marRight w:val="0"/>
      <w:marTop w:val="0"/>
      <w:marBottom w:val="0"/>
      <w:divBdr>
        <w:top w:val="none" w:sz="0" w:space="0" w:color="auto"/>
        <w:left w:val="none" w:sz="0" w:space="0" w:color="auto"/>
        <w:bottom w:val="none" w:sz="0" w:space="0" w:color="auto"/>
        <w:right w:val="none" w:sz="0" w:space="0" w:color="auto"/>
      </w:divBdr>
    </w:div>
    <w:div w:id="1095589042">
      <w:bodyDiv w:val="1"/>
      <w:marLeft w:val="0"/>
      <w:marRight w:val="0"/>
      <w:marTop w:val="0"/>
      <w:marBottom w:val="0"/>
      <w:divBdr>
        <w:top w:val="none" w:sz="0" w:space="0" w:color="auto"/>
        <w:left w:val="none" w:sz="0" w:space="0" w:color="auto"/>
        <w:bottom w:val="none" w:sz="0" w:space="0" w:color="auto"/>
        <w:right w:val="none" w:sz="0" w:space="0" w:color="auto"/>
      </w:divBdr>
    </w:div>
    <w:div w:id="1561746415">
      <w:bodyDiv w:val="1"/>
      <w:marLeft w:val="0"/>
      <w:marRight w:val="0"/>
      <w:marTop w:val="0"/>
      <w:marBottom w:val="0"/>
      <w:divBdr>
        <w:top w:val="none" w:sz="0" w:space="0" w:color="auto"/>
        <w:left w:val="none" w:sz="0" w:space="0" w:color="auto"/>
        <w:bottom w:val="none" w:sz="0" w:space="0" w:color="auto"/>
        <w:right w:val="none" w:sz="0" w:space="0" w:color="auto"/>
      </w:divBdr>
    </w:div>
    <w:div w:id="1929849096">
      <w:bodyDiv w:val="1"/>
      <w:marLeft w:val="0"/>
      <w:marRight w:val="0"/>
      <w:marTop w:val="0"/>
      <w:marBottom w:val="0"/>
      <w:divBdr>
        <w:top w:val="none" w:sz="0" w:space="0" w:color="auto"/>
        <w:left w:val="none" w:sz="0" w:space="0" w:color="auto"/>
        <w:bottom w:val="none" w:sz="0" w:space="0" w:color="auto"/>
        <w:right w:val="none" w:sz="0" w:space="0" w:color="auto"/>
      </w:divBdr>
      <w:divsChild>
        <w:div w:id="98452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A7440-7875-4DC4-BFF1-A4346609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6015</Words>
  <Characters>33088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3</cp:revision>
  <dcterms:created xsi:type="dcterms:W3CDTF">2014-11-27T20:58:00Z</dcterms:created>
  <dcterms:modified xsi:type="dcterms:W3CDTF">2015-01-27T21:27:00Z</dcterms:modified>
</cp:coreProperties>
</file>