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wmf" ContentType="image/x-wmf"/>
  <Override PartName="/word/media/image4.jpeg" ContentType="image/jpeg"/>
  <Override PartName="/word/media/image3.wmf" ContentType="image/x-wmf"/>
  <Override PartName="/word/media/image6.jpeg" ContentType="image/jpeg"/>
  <Override PartName="/word/media/image5.wmf" ContentType="image/x-wmf"/>
  <Override PartName="/word/media/image7.wmf" ContentType="image/x-wmf"/>
  <Override PartName="/word/media/image8.jpeg" ContentType="image/jpeg"/>
  <Override PartName="/word/media/image6.png" ContentType="image/png"/>
  <Override PartName="/word/media/image17.wmf" ContentType="image/x-wmf"/>
  <Override PartName="/word/media/image7.png" ContentType="image/png"/>
  <Override PartName="/word/media/image18.wmf" ContentType="image/x-wmf"/>
  <Override PartName="/word/media/image8.png" ContentType="image/png"/>
  <Override PartName="/word/media/image19.wmf" ContentType="image/x-wmf"/>
  <Override PartName="/word/media/image9.png" ContentType="image/png"/>
  <Override PartName="/word/media/image10.wmf" ContentType="image/x-wmf"/>
  <Override PartName="/word/media/image11.png" ContentType="image/png"/>
  <Override PartName="/word/media/image12.jpeg" ContentType="image/jpeg"/>
  <Override PartName="/word/media/image13.jpeg" ContentType="image/jpeg"/>
  <Override PartName="/word/media/image14.wmf" ContentType="image/x-wmf"/>
  <Override PartName="/word/media/image15.wmf" ContentType="image/x-wmf"/>
  <Override PartName="/word/media/image16.wmf" ContentType="image/x-wmf"/>
  <Override PartName="/word/media/image20.jpeg" ContentType="image/jpeg"/>
  <Override PartName="/word/header2.xml" ContentType="application/vnd.openxmlformats-officedocument.wordprocessingml.header+xml"/>
  <Override PartName="/word/embeddings/oleObject1.docx" ContentType="application/vnd.openxmlformats-officedocument.wordprocessingml.document"/>
  <Override PartName="/word/embeddings/oleObject6.doc" ContentType="application/msword"/>
  <Override PartName="/word/embeddings/oleObject2.doc" ContentType="application/msword"/>
  <Override PartName="/word/embeddings/oleObject3.docx" ContentType="application/vnd.openxmlformats-officedocument.wordprocessingml.document"/>
  <Override PartName="/word/embeddings/oleObject8.doc" ContentType="application/msword"/>
  <Override PartName="/word/embeddings/oleObject4.bin" ContentType="application/vnd.openxmlformats-officedocument.oleObject"/>
  <Override PartName="/word/embeddings/oleObject7.doc" ContentType="application/msword"/>
  <Override PartName="/word/embeddings/oleObject5.doc" ContentType="application/msword"/>
  <Override PartName="/word/embeddings/oleObject9.doc" ContentType="application/msword"/>
  <Override PartName="/word/header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4.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Tahoma" w:hAnsi="Tahoma" w:cs="Tahoma"/>
          <w:sz w:val="20"/>
          <w:szCs w:val="20"/>
        </w:rPr>
      </w:pPr>
      <w:r>
        <w:rPr>
          <w:rFonts w:cs="Tahoma" w:ascii="Tahoma" w:hAnsi="Tahoma"/>
          <w:sz w:val="20"/>
          <w:szCs w:val="20"/>
        </w:rPr>
        <mc:AlternateContent>
          <mc:Choice Requires="wps">
            <w:drawing>
              <wp:anchor behindDoc="0" distT="0" distB="0" distL="0" distR="0" simplePos="0" locked="0" layoutInCell="0" allowOverlap="1" relativeHeight="16">
                <wp:simplePos x="0" y="0"/>
                <wp:positionH relativeFrom="column">
                  <wp:posOffset>154940</wp:posOffset>
                </wp:positionH>
                <wp:positionV relativeFrom="paragraph">
                  <wp:posOffset>82550</wp:posOffset>
                </wp:positionV>
                <wp:extent cx="5264785" cy="1257935"/>
                <wp:effectExtent l="0" t="0" r="12700" b="38100"/>
                <wp:wrapNone/>
                <wp:docPr id="1" name="Text Box 11"/>
                <a:graphic xmlns:a="http://schemas.openxmlformats.org/drawingml/2006/main">
                  <a:graphicData uri="http://schemas.microsoft.com/office/word/2010/wordprocessingShape">
                    <wps:wsp>
                      <wps:cNvSpPr/>
                      <wps:spPr>
                        <a:xfrm>
                          <a:off x="0" y="0"/>
                          <a:ext cx="5264280" cy="1257480"/>
                        </a:xfrm>
                        <a:prstGeom prst="rect">
                          <a:avLst/>
                        </a:prstGeom>
                        <a:noFill/>
                        <a:ln w="19050">
                          <a:solidFill>
                            <a:srgbClr val="f2f2f2"/>
                          </a:solidFill>
                          <a:miter/>
                        </a:ln>
                        <a:effectLst>
                          <a:outerShdw algn="ctr" dir="3825519" dist="28496" rotWithShape="0">
                            <a:srgbClr val="205867">
                              <a:alpha val="50000"/>
                            </a:srgbClr>
                          </a:outerShdw>
                        </a:effectLst>
                      </wps:spPr>
                      <wps:style>
                        <a:lnRef idx="0"/>
                        <a:fillRef idx="0"/>
                        <a:effectRef idx="0"/>
                        <a:fontRef idx="minor"/>
                      </wps:style>
                      <wps:txbx>
                        <w:txbxContent>
                          <w:p>
                            <w:pPr>
                              <w:pStyle w:val="Contenidodelmarco"/>
                              <w:jc w:val="center"/>
                              <w:rPr>
                                <w:rFonts w:ascii="Verdana" w:hAnsi="Verdana"/>
                                <w:b/>
                                <w:b/>
                              </w:rPr>
                            </w:pPr>
                            <w:r>
                              <w:rPr>
                                <w:rFonts w:ascii="Verdana" w:hAnsi="Verdana"/>
                                <w:b/>
                              </w:rPr>
                              <w:t>ACTA SESIÓN ORDINARIA N° 02</w:t>
                            </w:r>
                            <w:bookmarkStart w:id="0" w:name="_GoBack"/>
                            <w:bookmarkEnd w:id="0"/>
                            <w:r>
                              <w:rPr>
                                <w:rFonts w:ascii="Verdana" w:hAnsi="Verdana"/>
                                <w:b/>
                              </w:rPr>
                              <w:t>-2020</w:t>
                            </w:r>
                          </w:p>
                          <w:p>
                            <w:pPr>
                              <w:pStyle w:val="Contenidodelmarco"/>
                              <w:jc w:val="center"/>
                              <w:rPr>
                                <w:rFonts w:ascii="Verdana" w:hAnsi="Verdana"/>
                                <w:b/>
                                <w:b/>
                              </w:rPr>
                            </w:pPr>
                            <w:r>
                              <w:rPr>
                                <w:rFonts w:ascii="Verdana" w:hAnsi="Verdana"/>
                                <w:b/>
                              </w:rPr>
                              <w:t xml:space="preserve">SUBCOMISIÓN DE ACCESO A LA JUSTICIA DE  PUEBLOS INDÍGENAS </w:t>
                            </w:r>
                          </w:p>
                          <w:p>
                            <w:pPr>
                              <w:pStyle w:val="Contenidodelmarco"/>
                              <w:jc w:val="center"/>
                              <w:rPr>
                                <w:rFonts w:ascii="Verdana" w:hAnsi="Verdana"/>
                                <w:b/>
                                <w:b/>
                              </w:rPr>
                            </w:pPr>
                            <w:r>
                              <w:rPr>
                                <w:rFonts w:ascii="Verdana" w:hAnsi="Verdana"/>
                                <w:b/>
                              </w:rPr>
                              <w:t xml:space="preserve">06 de marzo de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wps:txbx>
                      <wps:bodyPr>
                        <a:noAutofit/>
                      </wps:bodyPr>
                    </wps:wsp>
                  </a:graphicData>
                </a:graphic>
              </wp:anchor>
            </w:drawing>
          </mc:Choice>
          <mc:Fallback>
            <w:pict>
              <v:rect id="shape_0" ID="Text Box 11" stroked="t" style="position:absolute;margin-left:12.2pt;margin-top:6.5pt;width:414.45pt;height:98.95pt;mso-wrap-style:square;v-text-anchor:top">
                <v:fill o:detectmouseclick="t" on="false"/>
                <v:stroke color="#f2f2f2" weight="19080" joinstyle="miter" endcap="flat"/>
                <v:shadow on="t" obscured="f" color="#205867"/>
                <v:textbox>
                  <w:txbxContent>
                    <w:p>
                      <w:pPr>
                        <w:pStyle w:val="Contenidodelmarco"/>
                        <w:jc w:val="center"/>
                        <w:rPr>
                          <w:rFonts w:ascii="Verdana" w:hAnsi="Verdana"/>
                          <w:b/>
                          <w:b/>
                        </w:rPr>
                      </w:pPr>
                      <w:r>
                        <w:rPr>
                          <w:rFonts w:ascii="Verdana" w:hAnsi="Verdana"/>
                          <w:b/>
                        </w:rPr>
                        <w:t>ACTA SESIÓN ORDINARIA N° 02</w:t>
                      </w:r>
                      <w:bookmarkStart w:id="1" w:name="_GoBack"/>
                      <w:bookmarkEnd w:id="1"/>
                      <w:r>
                        <w:rPr>
                          <w:rFonts w:ascii="Verdana" w:hAnsi="Verdana"/>
                          <w:b/>
                        </w:rPr>
                        <w:t>-2020</w:t>
                      </w:r>
                    </w:p>
                    <w:p>
                      <w:pPr>
                        <w:pStyle w:val="Contenidodelmarco"/>
                        <w:jc w:val="center"/>
                        <w:rPr>
                          <w:rFonts w:ascii="Verdana" w:hAnsi="Verdana"/>
                          <w:b/>
                          <w:b/>
                        </w:rPr>
                      </w:pPr>
                      <w:r>
                        <w:rPr>
                          <w:rFonts w:ascii="Verdana" w:hAnsi="Verdana"/>
                          <w:b/>
                        </w:rPr>
                        <w:t xml:space="preserve">SUBCOMISIÓN DE ACCESO A LA JUSTICIA DE  PUEBLOS INDÍGENAS </w:t>
                      </w:r>
                    </w:p>
                    <w:p>
                      <w:pPr>
                        <w:pStyle w:val="Contenidodelmarco"/>
                        <w:jc w:val="center"/>
                        <w:rPr>
                          <w:rFonts w:ascii="Verdana" w:hAnsi="Verdana"/>
                          <w:b/>
                          <w:b/>
                        </w:rPr>
                      </w:pPr>
                      <w:r>
                        <w:rPr>
                          <w:rFonts w:ascii="Verdana" w:hAnsi="Verdana"/>
                          <w:b/>
                        </w:rPr>
                        <w:t xml:space="preserve">06 de marzo de 2020 </w:t>
                      </w:r>
                    </w:p>
                    <w:p>
                      <w:pPr>
                        <w:pStyle w:val="Contenidodelmarco"/>
                        <w:jc w:val="center"/>
                        <w:rPr>
                          <w:rFonts w:ascii="Cambria" w:hAnsi="Cambria"/>
                          <w:b/>
                          <w:b/>
                          <w:sz w:val="28"/>
                          <w:szCs w:val="28"/>
                        </w:rPr>
                      </w:pPr>
                      <w:r>
                        <w:rPr>
                          <w:rFonts w:ascii="Cambria" w:hAnsi="Cambria"/>
                          <w:b/>
                          <w:sz w:val="28"/>
                          <w:szCs w:val="28"/>
                        </w:rPr>
                      </w:r>
                    </w:p>
                    <w:p>
                      <w:pPr>
                        <w:pStyle w:val="Contenidodelmarco"/>
                        <w:jc w:val="center"/>
                        <w:rPr>
                          <w:rFonts w:ascii="Cambria" w:hAnsi="Cambria"/>
                          <w:b/>
                          <w:b/>
                        </w:rPr>
                      </w:pPr>
                      <w:r>
                        <w:rPr>
                          <w:rFonts w:ascii="Cambria" w:hAnsi="Cambria"/>
                          <w:b/>
                        </w:rPr>
                        <w:t>Febrero 2020</w:t>
                      </w:r>
                    </w:p>
                    <w:p>
                      <w:pPr>
                        <w:pStyle w:val="Contenidodelmarco"/>
                        <w:jc w:val="center"/>
                        <w:rPr>
                          <w:rFonts w:ascii="Cambria" w:hAnsi="Cambria"/>
                          <w:b/>
                          <w:b/>
                        </w:rPr>
                      </w:pPr>
                      <w:r>
                        <w:rPr>
                          <w:rFonts w:ascii="Cambria" w:hAnsi="Cambria"/>
                          <w:b/>
                        </w:rPr>
                      </w:r>
                    </w:p>
                    <w:p>
                      <w:pPr>
                        <w:pStyle w:val="Contenidodelmarco"/>
                        <w:spacing w:before="0" w:after="200"/>
                        <w:rPr>
                          <w:rFonts w:ascii="Cambria" w:hAnsi="Cambria"/>
                        </w:rPr>
                      </w:pPr>
                      <w:r>
                        <w:rPr/>
                      </w:r>
                    </w:p>
                  </w:txbxContent>
                </v:textbox>
                <w10:wrap type="none"/>
              </v:rect>
            </w:pict>
          </mc:Fallback>
        </mc:AlternateConten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Ttulo2"/>
        <w:jc w:val="both"/>
        <w:rPr>
          <w:rFonts w:ascii="Tahoma" w:hAnsi="Tahoma" w:cs="Tahoma"/>
          <w:color w:val="auto"/>
          <w:sz w:val="20"/>
          <w:szCs w:val="20"/>
        </w:rPr>
      </w:pPr>
      <w:r>
        <w:rPr>
          <w:rFonts w:cs="Tahoma" w:ascii="Tahoma" w:hAnsi="Tahoma"/>
          <w:color w:val="auto"/>
          <w:sz w:val="20"/>
          <w:szCs w:val="20"/>
        </w:rPr>
        <w:t xml:space="preserve">Fecha: 6 de marzo de 2020 </w:t>
      </w:r>
    </w:p>
    <w:p>
      <w:pPr>
        <w:pStyle w:val="Ttulo2"/>
        <w:jc w:val="both"/>
        <w:rPr>
          <w:rFonts w:ascii="Tahoma" w:hAnsi="Tahoma" w:cs="Tahoma"/>
          <w:b w:val="false"/>
          <w:b w:val="false"/>
          <w:color w:val="auto"/>
          <w:sz w:val="20"/>
          <w:szCs w:val="20"/>
        </w:rPr>
      </w:pPr>
      <w:r>
        <w:rPr>
          <w:rFonts w:cs="Tahoma" w:ascii="Tahoma" w:hAnsi="Tahoma"/>
          <w:color w:val="auto"/>
          <w:sz w:val="20"/>
          <w:szCs w:val="20"/>
        </w:rPr>
        <w:t>Hora: 10:00 a.m. a 12:30 pm.</w:t>
      </w:r>
    </w:p>
    <w:p>
      <w:pPr>
        <w:pStyle w:val="Ttulo2"/>
        <w:jc w:val="both"/>
        <w:rPr>
          <w:rFonts w:ascii="Tahoma" w:hAnsi="Tahoma" w:cs="Tahoma"/>
          <w:b w:val="false"/>
          <w:b w:val="false"/>
          <w:color w:val="auto"/>
          <w:sz w:val="20"/>
          <w:szCs w:val="20"/>
        </w:rPr>
      </w:pPr>
      <w:r>
        <w:rPr>
          <w:rFonts w:cs="Tahoma" w:ascii="Tahoma" w:hAnsi="Tahoma"/>
          <w:color w:val="auto"/>
          <w:sz w:val="20"/>
          <w:szCs w:val="20"/>
        </w:rPr>
        <w:t xml:space="preserve">Lugar: Salón de Servidor Judicial (piso 3 edificios de Corte Suprema de Justicia) </w:t>
      </w:r>
    </w:p>
    <w:p>
      <w:pPr>
        <w:pStyle w:val="NoSpacing"/>
        <w:rPr>
          <w:rFonts w:ascii="Tahoma" w:hAnsi="Tahoma" w:cs="Tahoma"/>
          <w:b/>
          <w:b/>
          <w:sz w:val="20"/>
          <w:szCs w:val="20"/>
        </w:rPr>
      </w:pPr>
      <w:r>
        <w:rPr>
          <w:rFonts w:cs="Tahoma" w:ascii="Tahoma" w:hAnsi="Tahoma"/>
          <w:b/>
          <w:sz w:val="20"/>
          <w:szCs w:val="20"/>
        </w:rPr>
      </w:r>
    </w:p>
    <w:tbl>
      <w:tblPr>
        <w:tblW w:w="882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770"/>
        <w:gridCol w:w="3057"/>
      </w:tblGrid>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200"/>
              <w:jc w:val="both"/>
              <w:rPr>
                <w:rStyle w:val="Ttulo3Car"/>
                <w:rFonts w:ascii="Tahoma" w:hAnsi="Tahoma" w:cs="Tahoma"/>
                <w:b/>
                <w:b/>
                <w:bCs/>
                <w:i/>
                <w:i/>
                <w:color w:val="auto"/>
                <w:sz w:val="20"/>
                <w:szCs w:val="20"/>
              </w:rPr>
            </w:pPr>
            <w:r>
              <w:rPr>
                <w:rStyle w:val="Ttulo3Car"/>
                <w:rFonts w:cs="Tahoma" w:ascii="Tahoma" w:hAnsi="Tahoma"/>
                <w:b/>
                <w:bCs/>
                <w:color w:val="auto"/>
                <w:sz w:val="20"/>
                <w:szCs w:val="20"/>
              </w:rPr>
              <w:t>INTEGRANTES</w:t>
              <w:tab/>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tabs>
                <w:tab w:val="clear" w:pos="708"/>
                <w:tab w:val="left" w:pos="5350" w:leader="none"/>
              </w:tabs>
              <w:spacing w:before="0" w:after="200"/>
              <w:jc w:val="both"/>
              <w:rPr>
                <w:rStyle w:val="Ttulo3Car"/>
                <w:rFonts w:ascii="Tahoma" w:hAnsi="Tahoma" w:cs="Tahoma"/>
                <w:b/>
                <w:b/>
                <w:bCs/>
                <w:i/>
                <w:i/>
                <w:color w:val="auto"/>
                <w:sz w:val="20"/>
                <w:szCs w:val="20"/>
              </w:rPr>
            </w:pPr>
            <w:r>
              <w:rPr>
                <w:rStyle w:val="Ttulo3Car"/>
                <w:rFonts w:cs="Tahoma" w:ascii="Tahoma" w:hAnsi="Tahoma"/>
                <w:b/>
                <w:bCs/>
                <w:color w:val="auto"/>
                <w:sz w:val="20"/>
                <w:szCs w:val="20"/>
              </w:rPr>
              <w:t>ASISTENTES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iCs/>
                <w:color w:val="auto"/>
                <w:sz w:val="20"/>
                <w:szCs w:val="20"/>
              </w:rPr>
            </w:pPr>
            <w:r>
              <w:rPr>
                <w:rStyle w:val="Ttulo3Car"/>
                <w:rFonts w:cs="Tahoma" w:ascii="Tahoma" w:hAnsi="Tahoma"/>
                <w:bCs/>
                <w:i/>
                <w:iCs/>
                <w:color w:val="auto"/>
                <w:sz w:val="20"/>
                <w:szCs w:val="20"/>
              </w:rPr>
              <w:t>Sr. Jorge Olaso Álvarez, Coordinador Comisión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color w:val="auto"/>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Style w:val="Ttulo3Car"/>
                <w:rFonts w:ascii="Tahoma" w:hAnsi="Tahoma" w:cs="Tahoma"/>
                <w:bCs/>
                <w:i/>
                <w:i/>
                <w:iCs/>
                <w:color w:val="auto"/>
                <w:sz w:val="20"/>
                <w:szCs w:val="20"/>
              </w:rPr>
            </w:pPr>
            <w:r>
              <w:rPr>
                <w:rFonts w:cs="Tahoma" w:ascii="Tahoma" w:hAnsi="Tahoma"/>
                <w:bCs/>
                <w:i/>
                <w:sz w:val="20"/>
                <w:szCs w:val="20"/>
              </w:rPr>
              <w:t>Sra. Damaris Vargas Vásquez, Coordinadora Subcomisión Acceso a la Justicia de Pueblos Indígenas</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Sra. Melissa Benavides Víquez, Coordinadora Unidad de Acceso a la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Sandra Pizarro, representante Consejo Superior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Jorge Morales, Despacho de la Presidencia de la Corte Suprema de Justicia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Wilbert Kidd, Subdirector Ejecutivo del PJ</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Dixon Li, Subdirector de Planificación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Marcos Guevara Berger, representante Escuela de Antropología de la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Román Bresciani Quirós, Escuela Judicial</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Sra. Francia León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Jean Carlo Monge, Judicatura Penal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Geyner Blanco, Asesor de Casa Presidencial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Valeria Varas, Asesora INAMU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Alí García, Profesor UCR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Vanessa Villalobos Montero, Departamento de Trabajo Social y Psicología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 xml:space="preserve">Sra. Carmen María Escoto Fernández, sociedad civil </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Ariana Céspedes, Fiscala Indígena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Ligia Jeannette Jiménez, Defensora Indígena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Erick Alfaro, Contralor de Servicios Poder Judicial</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 Carlos Romero, Contralor de Servicios del Primer Circuito Judicial de la Zona Sur</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Vivian Rímola Soto, Tecnología de la Información</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Marjorie Herrera, Defensoría de los Habitantes de la República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Yorleny Ferreto, Organismo de Investigación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Hugo Hernández, Oficina de Control Interno</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Señora Indira Alfaro</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Cheryl Bolaños Madrigal, Gestión Humana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Robert García González, Auditoría Judicial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William Vega, ONU</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 Cristian Alberto Martínez Hernández: Centro de Apoyo, Coordinación y Mejoramiento de la Función Jurisdiccional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Rocío Rivera Cascante: Departamento de Prensa y Comunicación Organizacional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Patricia Bonilla Rodríguez, Centro de Información Jurisprudencial</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Sra. Roxana Arrieta Meléndez, Directora de Gestión Humana</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Alex Guevara, jefe de UISA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Sra. Michelle Mayorga, Dirección Nacional de Justicia Restaurativa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sz w:val="20"/>
                <w:szCs w:val="20"/>
              </w:rPr>
            </w:pPr>
            <w:r>
              <w:rPr>
                <w:rFonts w:cs="Tahoma" w:ascii="Tahoma" w:hAnsi="Tahoma"/>
                <w:bCs/>
                <w:i/>
                <w:sz w:val="20"/>
                <w:szCs w:val="20"/>
              </w:rPr>
              <w:t>Presente</w:t>
            </w:r>
          </w:p>
        </w:tc>
      </w:tr>
      <w:tr>
        <w:trPr/>
        <w:tc>
          <w:tcPr>
            <w:tcW w:w="5770"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Sr. Franklin Paniagua, Ministerio de Justicia, DINARAC</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Suplente: Sra. Kathy Piedra Corella</w:t>
            </w:r>
          </w:p>
        </w:tc>
        <w:tc>
          <w:tcPr>
            <w:tcW w:w="3057"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sz w:val="20"/>
                <w:szCs w:val="20"/>
              </w:rPr>
            </w:pPr>
            <w:r>
              <w:rPr>
                <w:rFonts w:cs="Tahoma" w:ascii="Tahoma" w:hAnsi="Tahoma"/>
                <w:bCs/>
                <w:i/>
                <w:sz w:val="20"/>
                <w:szCs w:val="20"/>
              </w:rPr>
              <w:t>Ausente por motivos laborales</w:t>
            </w:r>
          </w:p>
          <w:p>
            <w:pPr>
              <w:pStyle w:val="Normal"/>
              <w:widowControl w:val="false"/>
              <w:spacing w:before="0" w:after="200"/>
              <w:jc w:val="both"/>
              <w:rPr>
                <w:rFonts w:ascii="Tahoma" w:hAnsi="Tahoma" w:cs="Tahoma"/>
                <w:bCs/>
                <w:i/>
                <w:i/>
                <w:sz w:val="20"/>
                <w:szCs w:val="20"/>
              </w:rPr>
            </w:pPr>
            <w:r>
              <w:rPr>
                <w:rFonts w:cs="Tahoma" w:ascii="Tahoma" w:hAnsi="Tahoma"/>
                <w:bCs/>
                <w:i/>
                <w:sz w:val="20"/>
                <w:szCs w:val="20"/>
              </w:rPr>
              <w:t>Ausente por motivos laborales</w:t>
            </w:r>
          </w:p>
        </w:tc>
      </w:tr>
    </w:tbl>
    <w:p>
      <w:pPr>
        <w:pStyle w:val="NoSpacing"/>
        <w:jc w:val="center"/>
        <w:rPr>
          <w:rFonts w:ascii="Tahoma" w:hAnsi="Tahoma" w:cs="Tahoma"/>
          <w:b/>
          <w:b/>
          <w:sz w:val="20"/>
          <w:szCs w:val="20"/>
        </w:rPr>
      </w:pPr>
      <w:r>
        <w:rPr>
          <w:rFonts w:cs="Tahoma" w:ascii="Tahoma" w:hAnsi="Tahoma"/>
          <w:b/>
          <w:sz w:val="20"/>
          <w:szCs w:val="20"/>
        </w:rPr>
      </w:r>
      <w:bookmarkStart w:id="2" w:name="_Hlk34804815"/>
      <w:bookmarkStart w:id="3" w:name="_Hlk34804815"/>
      <w:bookmarkEnd w:id="3"/>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ARTICULO I</w:t>
      </w:r>
    </w:p>
    <w:p>
      <w:pPr>
        <w:pStyle w:val="Normal"/>
        <w:rPr>
          <w:rFonts w:ascii="Tahoma" w:hAnsi="Tahoma" w:cs="Tahoma"/>
          <w:sz w:val="20"/>
          <w:szCs w:val="20"/>
          <w:lang w:val="es-ES"/>
        </w:rPr>
      </w:pPr>
      <w:r>
        <w:rPr>
          <w:rFonts w:cs="Tahoma" w:ascii="Tahoma" w:hAnsi="Tahoma"/>
          <w:b/>
          <w:sz w:val="20"/>
          <w:szCs w:val="20"/>
        </w:rPr>
        <w:t>TEMA:</w:t>
      </w:r>
      <w:r>
        <w:rPr>
          <w:rFonts w:cs="Tahoma" w:ascii="Tahoma" w:hAnsi="Tahoma"/>
          <w:i/>
          <w:sz w:val="20"/>
          <w:szCs w:val="20"/>
        </w:rPr>
        <w:t xml:space="preserve"> </w:t>
      </w:r>
      <w:r>
        <w:rPr>
          <w:rFonts w:cs="Tahoma" w:ascii="Tahoma" w:hAnsi="Tahoma"/>
          <w:b/>
          <w:i/>
          <w:sz w:val="20"/>
          <w:szCs w:val="20"/>
        </w:rPr>
        <w:t>PROTOCOLO PARA LA ATENCIÓN DE CAUSAS PENALES CON INTERVINIENTES INDÍGENAS.</w:t>
      </w:r>
    </w:p>
    <w:p>
      <w:pPr>
        <w:pStyle w:val="Normal"/>
        <w:jc w:val="both"/>
        <w:rPr>
          <w:rFonts w:ascii="Tahoma" w:hAnsi="Tahoma" w:cs="Tahoma"/>
          <w:sz w:val="20"/>
          <w:szCs w:val="20"/>
          <w:lang w:val="es-ES"/>
        </w:rPr>
      </w:pPr>
      <w:r>
        <w:rPr>
          <w:rFonts w:cs="Tahoma" w:ascii="Tahoma" w:hAnsi="Tahoma"/>
          <w:sz w:val="20"/>
          <w:szCs w:val="20"/>
          <w:lang w:val="es-ES"/>
        </w:rPr>
        <w:t xml:space="preserve">La Unidad de Acceso a la Justicia comunicó mediante </w:t>
      </w:r>
      <w:r>
        <w:rPr>
          <w:rFonts w:cs="Tahoma" w:ascii="Tahoma" w:hAnsi="Tahoma"/>
          <w:b/>
          <w:sz w:val="20"/>
          <w:szCs w:val="20"/>
          <w:lang w:val="es-ES"/>
        </w:rPr>
        <w:t>el Oficio CACC-04-2020</w:t>
      </w:r>
      <w:r>
        <w:rPr>
          <w:rFonts w:cs="Tahoma" w:ascii="Tahoma" w:hAnsi="Tahoma"/>
          <w:sz w:val="20"/>
          <w:szCs w:val="20"/>
          <w:lang w:val="es-ES"/>
        </w:rPr>
        <w:t xml:space="preserve"> a la Dirección Nacional de Justicia Restaurativa, el acuerdo estipulado en el Artículo VIII  del Acta 10-19 el cual se transcribe literalmente: </w:t>
      </w:r>
    </w:p>
    <w:p>
      <w:pPr>
        <w:pStyle w:val="NormalWeb"/>
        <w:spacing w:lineRule="auto" w:line="276" w:before="280" w:after="0"/>
        <w:jc w:val="both"/>
        <w:rPr>
          <w:rFonts w:ascii="Tahoma" w:hAnsi="Tahoma" w:cs="Tahoma"/>
          <w:b/>
          <w:b/>
          <w:bCs/>
          <w:i/>
          <w:i/>
          <w:iCs/>
          <w:sz w:val="20"/>
          <w:szCs w:val="20"/>
        </w:rPr>
      </w:pPr>
      <w:r>
        <w:rPr>
          <w:rFonts w:cs="Tahoma" w:ascii="Tahoma" w:hAnsi="Tahoma"/>
          <w:b/>
          <w:bCs/>
          <w:i/>
          <w:iCs/>
          <w:sz w:val="20"/>
          <w:szCs w:val="20"/>
          <w:u w:val="single"/>
        </w:rPr>
        <w:t>SE ACUERDA:</w:t>
      </w:r>
      <w:r>
        <w:rPr>
          <w:rFonts w:cs="Tahoma" w:ascii="Tahoma" w:hAnsi="Tahoma"/>
          <w:b/>
          <w:bCs/>
          <w:i/>
          <w:iCs/>
          <w:sz w:val="20"/>
          <w:szCs w:val="20"/>
        </w:rPr>
        <w:t xml:space="preserve"> </w:t>
      </w:r>
    </w:p>
    <w:p>
      <w:pPr>
        <w:pStyle w:val="NormalWeb"/>
        <w:spacing w:lineRule="auto" w:line="276" w:before="280" w:after="0"/>
        <w:jc w:val="both"/>
        <w:rPr>
          <w:rFonts w:ascii="Tahoma" w:hAnsi="Tahoma" w:cs="Tahoma"/>
          <w:i/>
          <w:i/>
          <w:sz w:val="20"/>
          <w:szCs w:val="20"/>
        </w:rPr>
      </w:pPr>
      <w:r>
        <w:rPr>
          <w:rFonts w:cs="Tahoma" w:ascii="Tahoma" w:hAnsi="Tahoma"/>
          <w:b/>
          <w:i/>
          <w:sz w:val="20"/>
          <w:szCs w:val="20"/>
        </w:rPr>
        <w:t>1°.</w:t>
      </w:r>
      <w:r>
        <w:rPr>
          <w:rFonts w:cs="Tahoma" w:ascii="Tahoma" w:hAnsi="Tahoma"/>
          <w:i/>
          <w:sz w:val="20"/>
          <w:szCs w:val="20"/>
        </w:rPr>
        <w:t xml:space="preserve"> Se toma nota de la propuesta de Protocolo para la atención de causas penales con intervinientes indígenas mediante de Justicia Restaurativa planteada por la Dirección Nacional de Justicia Restaurativa. </w:t>
      </w:r>
    </w:p>
    <w:p>
      <w:pPr>
        <w:pStyle w:val="NormalWeb"/>
        <w:spacing w:lineRule="auto" w:line="276" w:before="280" w:after="0"/>
        <w:jc w:val="both"/>
        <w:rPr>
          <w:rFonts w:ascii="Tahoma" w:hAnsi="Tahoma" w:cs="Tahoma"/>
          <w:i/>
          <w:i/>
          <w:sz w:val="20"/>
          <w:szCs w:val="20"/>
        </w:rPr>
      </w:pPr>
      <w:r>
        <w:rPr>
          <w:rFonts w:cs="Tahoma" w:ascii="Tahoma" w:hAnsi="Tahoma"/>
          <w:b/>
          <w:i/>
          <w:sz w:val="20"/>
          <w:szCs w:val="20"/>
        </w:rPr>
        <w:t>2°.</w:t>
      </w:r>
      <w:r>
        <w:rPr>
          <w:rFonts w:cs="Tahoma" w:ascii="Tahoma" w:hAnsi="Tahoma"/>
          <w:i/>
          <w:sz w:val="20"/>
          <w:szCs w:val="20"/>
        </w:rPr>
        <w:t xml:space="preserve"> Consultar a la DNJR el estado de dicho documento y la programación de actividades del 2020 para dar inicio a la implementación de Justicia Restaurativa en procesos penales, contravencionales y agrarios, según lo acordado. </w:t>
      </w:r>
    </w:p>
    <w:p>
      <w:pPr>
        <w:pStyle w:val="NormalWeb"/>
        <w:spacing w:lineRule="auto" w:line="276" w:before="280" w:after="0"/>
        <w:jc w:val="both"/>
        <w:rPr>
          <w:rFonts w:ascii="Tahoma" w:hAnsi="Tahoma" w:cs="Tahoma"/>
          <w:i/>
          <w:i/>
          <w:iCs/>
          <w:sz w:val="20"/>
          <w:szCs w:val="20"/>
        </w:rPr>
      </w:pPr>
      <w:r>
        <w:rPr>
          <w:rFonts w:cs="Tahoma" w:ascii="Tahoma" w:hAnsi="Tahoma"/>
          <w:b/>
          <w:i/>
          <w:sz w:val="20"/>
          <w:szCs w:val="20"/>
        </w:rPr>
        <w:t>3°</w:t>
      </w:r>
      <w:r>
        <w:rPr>
          <w:rFonts w:cs="Tahoma" w:ascii="Tahoma" w:hAnsi="Tahoma"/>
          <w:i/>
          <w:sz w:val="20"/>
          <w:szCs w:val="20"/>
        </w:rPr>
        <w:t>. Comunicar este acuerdo a la DNJR por medio de la Unidad de Acceso a la Justicia. Se declara firme este acuerdo por unanimidad.”</w:t>
      </w:r>
    </w:p>
    <w:p>
      <w:pPr>
        <w:pStyle w:val="Normal"/>
        <w:jc w:val="both"/>
        <w:rPr>
          <w:rFonts w:ascii="Tahoma" w:hAnsi="Tahoma" w:cs="Tahoma"/>
          <w:b/>
          <w:b/>
          <w:sz w:val="20"/>
          <w:szCs w:val="20"/>
          <w:lang w:val="es-ES"/>
        </w:rPr>
      </w:pPr>
      <w:r>
        <w:rPr>
          <w:rFonts w:cs="Tahoma" w:ascii="Tahoma" w:hAnsi="Tahoma"/>
          <w:sz w:val="20"/>
          <w:szCs w:val="20"/>
          <w:lang w:val="es-ES"/>
        </w:rPr>
        <w:t>El Magistrado Gerardo Rubén Alfaro, Rector de la Dirección Nacional de Justicia Restaurativa, remitió Oficio N° 036-DNJD-20 de 14 de febrero pasado, en el que informa:</w:t>
      </w:r>
    </w:p>
    <w:p>
      <w:pPr>
        <w:pStyle w:val="Normal"/>
        <w:jc w:val="right"/>
        <w:rPr>
          <w:rFonts w:ascii="Tahoma" w:hAnsi="Tahoma" w:cs="Tahoma"/>
          <w:i/>
          <w:i/>
          <w:iCs/>
          <w:sz w:val="20"/>
          <w:szCs w:val="20"/>
        </w:rPr>
      </w:pPr>
      <w:r>
        <w:rPr>
          <w:rFonts w:cs="Tahoma" w:ascii="Tahoma" w:hAnsi="Tahoma"/>
          <w:i/>
          <w:iCs/>
          <w:sz w:val="20"/>
          <w:szCs w:val="20"/>
        </w:rPr>
        <w:t>14 de febrero del 2020</w:t>
      </w:r>
    </w:p>
    <w:p>
      <w:pPr>
        <w:pStyle w:val="Normal"/>
        <w:rPr>
          <w:rFonts w:ascii="Tahoma" w:hAnsi="Tahoma" w:cs="Tahoma"/>
          <w:i/>
          <w:i/>
          <w:iCs/>
          <w:sz w:val="20"/>
          <w:szCs w:val="20"/>
        </w:rPr>
      </w:pPr>
      <w:r>
        <w:rPr>
          <w:rFonts w:cs="Tahoma" w:ascii="Tahoma" w:hAnsi="Tahoma"/>
          <w:i/>
          <w:iCs/>
          <w:sz w:val="20"/>
          <w:szCs w:val="20"/>
        </w:rPr>
        <w:tab/>
        <w:tab/>
        <w:tab/>
        <w:tab/>
        <w:tab/>
        <w:tab/>
        <w:tab/>
        <w:tab/>
        <w:tab/>
        <w:tab/>
        <w:tab/>
        <w:t xml:space="preserve">        No. 036-DNJR-20</w:t>
        <w:tab/>
        <w:tab/>
        <w:tab/>
        <w:tab/>
        <w:tab/>
        <w:tab/>
        <w:tab/>
        <w:tab/>
        <w:tab/>
      </w:r>
    </w:p>
    <w:p>
      <w:pPr>
        <w:pStyle w:val="NormalWeb"/>
        <w:spacing w:beforeAutospacing="0" w:before="0" w:afterAutospacing="0" w:after="0"/>
        <w:jc w:val="right"/>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Msc. Damaris Vargas Vásquez</w:t>
      </w:r>
    </w:p>
    <w:p>
      <w:pPr>
        <w:pStyle w:val="Normal"/>
        <w:jc w:val="both"/>
        <w:rPr>
          <w:rFonts w:ascii="Tahoma" w:hAnsi="Tahoma" w:cs="Tahoma"/>
          <w:i/>
          <w:i/>
          <w:iCs/>
          <w:sz w:val="20"/>
          <w:szCs w:val="20"/>
        </w:rPr>
      </w:pPr>
      <w:r>
        <w:rPr>
          <w:rFonts w:cs="Tahoma" w:ascii="Tahoma" w:hAnsi="Tahoma"/>
          <w:i/>
          <w:iCs/>
          <w:sz w:val="20"/>
          <w:szCs w:val="20"/>
        </w:rPr>
        <w:t>Magistrada</w:t>
      </w:r>
    </w:p>
    <w:p>
      <w:pPr>
        <w:pStyle w:val="Normal"/>
        <w:jc w:val="both"/>
        <w:rPr>
          <w:rFonts w:ascii="Tahoma" w:hAnsi="Tahoma" w:cs="Tahoma"/>
          <w:i/>
          <w:i/>
          <w:iCs/>
          <w:sz w:val="20"/>
          <w:szCs w:val="20"/>
        </w:rPr>
      </w:pPr>
      <w:r>
        <w:rPr>
          <w:rFonts w:cs="Tahoma" w:ascii="Tahoma" w:hAnsi="Tahoma"/>
          <w:i/>
          <w:iCs/>
          <w:sz w:val="20"/>
          <w:szCs w:val="20"/>
        </w:rPr>
        <w:t>Sala Primera</w:t>
      </w:r>
    </w:p>
    <w:p>
      <w:pPr>
        <w:pStyle w:val="Normal"/>
        <w:jc w:val="both"/>
        <w:rPr>
          <w:rFonts w:ascii="Tahoma" w:hAnsi="Tahoma" w:cs="Tahoma"/>
          <w:i/>
          <w:i/>
          <w:iCs/>
          <w:sz w:val="20"/>
          <w:szCs w:val="20"/>
        </w:rPr>
      </w:pPr>
      <w:r>
        <w:rPr>
          <w:rFonts w:cs="Tahoma" w:ascii="Tahoma" w:hAnsi="Tahoma"/>
          <w:i/>
          <w:iCs/>
          <w:sz w:val="20"/>
          <w:szCs w:val="20"/>
        </w:rPr>
        <w:t>Su Despacho</w:t>
      </w:r>
    </w:p>
    <w:p>
      <w:pPr>
        <w:pStyle w:val="NormalWeb"/>
        <w:spacing w:beforeAutospacing="0" w:before="0" w:afterAutospacing="0" w:after="0"/>
        <w:jc w:val="both"/>
        <w:rPr>
          <w:rFonts w:ascii="Tahoma" w:hAnsi="Tahoma" w:cs="Tahoma"/>
          <w:i/>
          <w:i/>
          <w:iCs/>
          <w:sz w:val="20"/>
          <w:szCs w:val="20"/>
        </w:rPr>
      </w:pPr>
      <w:r>
        <w:rPr>
          <w:rFonts w:cs="Tahoma" w:ascii="Tahoma" w:hAnsi="Tahoma"/>
          <w:i/>
          <w:iCs/>
          <w:sz w:val="20"/>
          <w:szCs w:val="20"/>
        </w:rPr>
        <w:t>Estimada Magistrada Vargas:</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Reciba un atento saludo.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Por medio de la presente me dirijo a usted, muy respetuosamente, con la finalidad de dar respuesta a su correo electrónico mediante el cual nos solicita </w:t>
      </w:r>
      <w:r>
        <w:rPr>
          <w:rFonts w:cs="Tahoma" w:ascii="Tahoma" w:hAnsi="Tahoma"/>
          <w:i/>
          <w:iCs/>
          <w:color w:val="201F1E"/>
          <w:sz w:val="20"/>
          <w:szCs w:val="20"/>
          <w:shd w:fill="FFFFFF" w:val="clear"/>
        </w:rPr>
        <w:t>la planificación de la Dirección Nacional de Justicia Restaurativa para colaborar con el Plan de Descongestionamiento de los despachos agrarios en 2020 y proyección al 2021, específicamente con los procesos agrarios vinculados con población indígena en cumplimiento de la Ley de Acceso a la Justicia de Pueblos Indígenas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Inicialmente, agradecemos que la Justicia Restaurativa sea contemplada como una alternativa para la resolución de conflictos judiciales en los que están involucradas personas indígenas. Para ello, desde la Dirección Nacional de Justicia Restaurativa se han realizado las siguientes acciones:</w:t>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Formación de personal judicial sobre Justicia Restaurativa en Asuntos Indígenas </w:t>
      </w:r>
    </w:p>
    <w:p>
      <w:pPr>
        <w:pStyle w:val="ListParagraph"/>
        <w:shd w:val="clear" w:color="auto" w:fill="FFFFFF"/>
        <w:spacing w:lineRule="auto" w:line="360"/>
        <w:jc w:val="both"/>
        <w:rPr>
          <w:rFonts w:ascii="Tahoma" w:hAnsi="Tahoma" w:cs="Tahoma"/>
          <w:i/>
          <w:i/>
          <w:iCs/>
          <w:sz w:val="20"/>
        </w:rPr>
      </w:pPr>
      <w:r>
        <w:rPr>
          <w:rFonts w:cs="Tahoma" w:ascii="Tahoma" w:hAnsi="Tahoma"/>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En el marco del Proyecto de Fortalecimiento de la Justicia Restaurativa que se ejecuta en los Poderes Judiciales de Costa Rica, Colombia y México, nuestro país como coordinador del proyecto ha promovido un acercamiento a la población indígena al incluir una perspectiva intercultural en los procesos de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Para ello, se han realizado diversas actividades de sensibilización y capacitación para las personas funcionarias de estos tres poderes y sociedad civil, tales como el diseño de capacitación para el Estado de México en la cual participó personal judicial de Costa Rica. Adicionalmente, la delegación costarricense recibió una charla sobre los territorios indígenas en el Estado de México, obteniendo conocimientos que pueden trasladarse a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Como parte de las actividades en el extranjero, el personal judicial de Costa Rica realizó una visita a la Universidad Intercultural en el Estado de México, en la que se desarrollan actividades de formación con la cosmovisión de los pueblos indígenas.</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A nivel nacional, en los Tribunales de Justicia de Turrialba se llevó a cabo una inducción para el personal judicial en la que participó una persona indígena quien colabora como intérprete del idioma cabécar que colabora en los procesos judiciales, especialmente aquellos derivados de la zona de Grano de Oro. </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Coordinaciones Interinstitucionales</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 </w:t>
      </w:r>
      <w:r>
        <w:rPr>
          <w:rFonts w:cs="Tahoma" w:ascii="Tahoma" w:hAnsi="Tahoma"/>
          <w:i/>
          <w:iCs/>
          <w:sz w:val="20"/>
          <w:szCs w:val="20"/>
        </w:rPr>
        <w:t>La Dirección Nacional de Justicia Restaurativa gracias a la cooperación institucional ha realizado enlaces con el Centro de Investigación Antropológicas de la Universidad de Costa Rica, la Oficina de Acceso a la Justicia, la Subcomisión de Acceso a la Justicia de Pueblos Indígenas y la Escuela Judicial para promover la sensibilización y capacitación de las personas funcionarias que participan en los procesos de Justicia Restaurativa, en materia de Acceso a la Justicia Intercultural, para el mejoramiento de capacidades de actuación con pertinencia cultural.</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Gracias a estas coordinaciones se participó en el conversatorio “Conflictos territoriales y pueblos indígenas: experiencias latinoamericanas”, realizado en la Escuela de Antropología de la Universidad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Además, el Equipo de Justicia Penal Restaurativa de Pérez Zeledón participó en el</w:t>
      </w:r>
      <w:r>
        <w:rPr>
          <w:rFonts w:cs="Tahoma" w:ascii="Tahoma" w:hAnsi="Tahoma"/>
          <w:b/>
          <w:bCs/>
          <w:i/>
          <w:iCs/>
          <w:sz w:val="20"/>
          <w:szCs w:val="20"/>
        </w:rPr>
        <w:t xml:space="preserve"> “</w:t>
      </w:r>
      <w:r>
        <w:rPr>
          <w:rFonts w:cs="Tahoma" w:ascii="Tahoma" w:hAnsi="Tahoma"/>
          <w:i/>
          <w:iCs/>
          <w:sz w:val="20"/>
          <w:szCs w:val="20"/>
        </w:rPr>
        <w:t>Módulo didáctico para la promoción de los derechos humanos de los pueblos indígenas” organizado por la Escuela Judicial y realizado en el Colegio Técnico Profesional de Buenos Aires de Puntarenas.</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Construcción de Instrumentos. </w:t>
      </w:r>
    </w:p>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En Justicia Penal Restaurativa, gracias al trabajo conjunto con la Defensa Pública, el Ministerio Público y el Departamento de Trabajo Social y Psicología se elaboró una propuesta de </w:t>
      </w:r>
      <w:r>
        <w:rPr>
          <w:rFonts w:cs="Tahoma" w:ascii="Tahoma" w:hAnsi="Tahoma"/>
          <w:b/>
          <w:bCs/>
          <w:i/>
          <w:iCs/>
          <w:sz w:val="20"/>
          <w:szCs w:val="20"/>
        </w:rPr>
        <w:t>Protocolo para la atención de causas penales con intervinientes indígenas mediante de Justicia Restaurativa</w:t>
      </w:r>
      <w:r>
        <w:rPr>
          <w:rFonts w:cs="Tahoma" w:ascii="Tahoma" w:hAnsi="Tahoma"/>
          <w:bCs/>
          <w:i/>
          <w:iCs/>
          <w:sz w:val="20"/>
          <w:szCs w:val="20"/>
        </w:rPr>
        <w:t xml:space="preserve"> con u</w:t>
      </w:r>
      <w:r>
        <w:rPr>
          <w:rFonts w:cs="Tahoma" w:ascii="Tahoma" w:hAnsi="Tahoma"/>
          <w:i/>
          <w:iCs/>
          <w:sz w:val="20"/>
          <w:szCs w:val="20"/>
        </w:rPr>
        <w:t>n enfoque intercultural, así como su plan de implementación en la zona de Buenos Aires, por parte de la Oficina de Justicia Restaurativa de Pérez Zeledón.</w:t>
      </w:r>
    </w:p>
    <w:p>
      <w:pPr>
        <w:pStyle w:val="NormalWeb"/>
        <w:spacing w:lineRule="auto" w:line="360" w:before="280" w:after="280"/>
        <w:ind w:firstLine="708"/>
        <w:jc w:val="both"/>
        <w:rPr>
          <w:rFonts w:ascii="Tahoma" w:hAnsi="Tahoma" w:cs="Tahoma"/>
          <w:i/>
          <w:i/>
          <w:iCs/>
          <w:sz w:val="20"/>
          <w:szCs w:val="20"/>
          <w:lang w:eastAsia="es-ES"/>
        </w:rPr>
      </w:pPr>
      <w:r>
        <w:rPr>
          <w:rFonts w:cs="Tahoma" w:ascii="Tahoma" w:hAnsi="Tahoma"/>
          <w:i/>
          <w:iCs/>
          <w:sz w:val="20"/>
          <w:szCs w:val="20"/>
          <w:lang w:eastAsia="es-ES"/>
        </w:rPr>
      </w:r>
    </w:p>
    <w:p>
      <w:pPr>
        <w:pStyle w:val="NormalWeb"/>
        <w:spacing w:lineRule="auto" w:line="360" w:before="280" w:after="280"/>
        <w:ind w:firstLine="708"/>
        <w:jc w:val="both"/>
        <w:rPr>
          <w:rFonts w:ascii="Tahoma" w:hAnsi="Tahoma" w:cs="Tahoma"/>
          <w:i/>
          <w:i/>
          <w:iCs/>
          <w:sz w:val="20"/>
          <w:szCs w:val="20"/>
          <w:lang w:val="es-ES" w:eastAsia="es-ES"/>
        </w:rPr>
      </w:pPr>
      <w:r>
        <w:rPr>
          <w:rFonts w:cs="Tahoma" w:ascii="Tahoma" w:hAnsi="Tahoma"/>
          <w:i/>
          <w:iCs/>
          <w:sz w:val="20"/>
          <w:szCs w:val="20"/>
          <w:lang w:val="es-ES" w:eastAsia="es-ES"/>
        </w:rPr>
        <w:t>En el mes de octubre 2019, se puso en conocimiento de la Sub Comisión de Acceso a la Justicia de Pueblos Indígenas la propuesta de protocolo y el día 05 de noviembre 2019, participamos en la sesión 09-2019 de la Sub Comisión explicando el procedimiento restaurativo y los lineamientos de la Ley de Justicia Restaurativa.</w:t>
      </w:r>
    </w:p>
    <w:p>
      <w:pPr>
        <w:pStyle w:val="NormalWeb"/>
        <w:spacing w:lineRule="auto" w:line="360" w:before="280" w:after="280"/>
        <w:ind w:firstLine="708"/>
        <w:jc w:val="both"/>
        <w:rPr>
          <w:rFonts w:ascii="Tahoma" w:hAnsi="Tahoma" w:cs="Tahoma"/>
          <w:i/>
          <w:i/>
          <w:iCs/>
          <w:sz w:val="20"/>
          <w:szCs w:val="20"/>
          <w:lang w:val="es-ES" w:eastAsia="es-ES"/>
        </w:rPr>
      </w:pPr>
      <w:r>
        <w:rPr>
          <w:rFonts w:cs="Tahoma" w:ascii="Tahoma" w:hAnsi="Tahoma"/>
          <w:i/>
          <w:iCs/>
          <w:sz w:val="20"/>
          <w:szCs w:val="20"/>
          <w:lang w:val="es-ES" w:eastAsia="es-ES"/>
        </w:rPr>
        <w:t>Además, se acordó que una vez incorporadas las observaciones al documento se  continuara con las labores de coordinación e involucramiento de las comunidades indígenas para lograr la implementación de este instrumento.</w:t>
      </w:r>
    </w:p>
    <w:p>
      <w:pPr>
        <w:pStyle w:val="ListParagraph"/>
        <w:numPr>
          <w:ilvl w:val="0"/>
          <w:numId w:val="1"/>
        </w:numPr>
        <w:shd w:val="clear" w:color="auto" w:fill="FFFFFF"/>
        <w:spacing w:lineRule="auto" w:line="360"/>
        <w:jc w:val="both"/>
        <w:rPr>
          <w:rFonts w:ascii="Tahoma" w:hAnsi="Tahoma" w:cs="Tahoma"/>
          <w:i/>
          <w:i/>
          <w:iCs/>
          <w:sz w:val="20"/>
        </w:rPr>
      </w:pPr>
      <w:r>
        <w:rPr>
          <w:rFonts w:cs="Tahoma" w:ascii="Tahoma" w:hAnsi="Tahoma"/>
          <w:b/>
          <w:i/>
          <w:iCs/>
          <w:sz w:val="20"/>
        </w:rPr>
        <w:t>Cantidad de personas indígenas atendidas en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El Equipo de Justicia Penal Restaurativa de Pérez Zeledón es el único que ha atendido casos en los que figuran personas indígenas como partes mediante la metodología de Justicia Restaurativa y ha facilitado la aplicación de medidas alternas, obteniendo resultados muy positivos, tal y como se muestra a continuación:</w:t>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1 Resultados de atención en Justicia Restaurativa</w:t>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tbl>
      <w:tblPr>
        <w:tblW w:w="718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795"/>
        <w:gridCol w:w="1795"/>
        <w:gridCol w:w="1796"/>
        <w:gridCol w:w="1795"/>
      </w:tblGrid>
      <w:tr>
        <w:trPr/>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Total de Asuntos</w:t>
            </w:r>
          </w:p>
        </w:tc>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Con acuerdo</w:t>
            </w:r>
          </w:p>
        </w:tc>
        <w:tc>
          <w:tcPr>
            <w:tcW w:w="1796"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Trámite</w:t>
            </w:r>
          </w:p>
        </w:tc>
        <w:tc>
          <w:tcPr>
            <w:tcW w:w="1795"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Devueltos</w:t>
            </w:r>
          </w:p>
        </w:tc>
      </w:tr>
      <w:tr>
        <w:trPr/>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29</w:t>
            </w:r>
          </w:p>
        </w:tc>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22</w:t>
            </w:r>
          </w:p>
        </w:tc>
        <w:tc>
          <w:tcPr>
            <w:tcW w:w="17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c>
          <w:tcPr>
            <w:tcW w:w="179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3</w:t>
            </w:r>
          </w:p>
        </w:tc>
      </w:tr>
    </w:tbl>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2 Tipología de delitos atendidos en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tbl>
      <w:tblPr>
        <w:tblW w:w="448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44"/>
        <w:gridCol w:w="2243"/>
      </w:tblGrid>
      <w:tr>
        <w:trPr/>
        <w:tc>
          <w:tcPr>
            <w:tcW w:w="2244"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Delito</w:t>
            </w:r>
          </w:p>
        </w:tc>
        <w:tc>
          <w:tcPr>
            <w:tcW w:w="2243"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Cantidad</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Conducción Temeraria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Agresión con arma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10</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Portación de arma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Daños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9</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Resistencia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 xml:space="preserve">Hurto </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2</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Lesiones Leves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Lesiones Culposas</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bl>
    <w:p>
      <w:pPr>
        <w:pStyle w:val="Normal"/>
        <w:shd w:val="clear" w:color="auto" w:fill="FFFFFF"/>
        <w:spacing w:lineRule="auto" w:line="360"/>
        <w:ind w:firstLine="708"/>
        <w:jc w:val="both"/>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r>
    </w:p>
    <w:p>
      <w:pPr>
        <w:pStyle w:val="Normal"/>
        <w:shd w:val="clear" w:color="auto" w:fill="FFFFFF"/>
        <w:spacing w:lineRule="auto" w:line="360"/>
        <w:ind w:firstLine="708"/>
        <w:jc w:val="center"/>
        <w:rPr>
          <w:rFonts w:ascii="Tahoma" w:hAnsi="Tahoma" w:cs="Tahoma"/>
          <w:b/>
          <w:b/>
          <w:i/>
          <w:i/>
          <w:iCs/>
          <w:sz w:val="20"/>
          <w:szCs w:val="20"/>
        </w:rPr>
      </w:pPr>
      <w:r>
        <w:rPr>
          <w:rFonts w:cs="Tahoma" w:ascii="Tahoma" w:hAnsi="Tahoma"/>
          <w:b/>
          <w:i/>
          <w:iCs/>
          <w:sz w:val="20"/>
          <w:szCs w:val="20"/>
        </w:rPr>
        <w:t>Tabla N° 3 Territorios indígenas a los que pertenecen las personas indígenas atendidas en Justicia Restaurativa</w:t>
      </w:r>
    </w:p>
    <w:p>
      <w:pPr>
        <w:pStyle w:val="Normal"/>
        <w:shd w:val="clear" w:color="auto" w:fill="FFFFFF"/>
        <w:spacing w:lineRule="auto" w:line="360"/>
        <w:ind w:firstLine="708"/>
        <w:jc w:val="center"/>
        <w:rPr>
          <w:rFonts w:ascii="Tahoma" w:hAnsi="Tahoma" w:cs="Tahoma"/>
          <w:i/>
          <w:i/>
          <w:iCs/>
          <w:sz w:val="20"/>
          <w:szCs w:val="20"/>
        </w:rPr>
      </w:pPr>
      <w:r>
        <w:rPr>
          <w:rFonts w:cs="Tahoma" w:ascii="Tahoma" w:hAnsi="Tahoma"/>
          <w:i/>
          <w:iCs/>
          <w:sz w:val="20"/>
          <w:szCs w:val="20"/>
        </w:rPr>
      </w:r>
    </w:p>
    <w:tbl>
      <w:tblPr>
        <w:tblW w:w="448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244"/>
        <w:gridCol w:w="2243"/>
      </w:tblGrid>
      <w:tr>
        <w:trPr/>
        <w:tc>
          <w:tcPr>
            <w:tcW w:w="2244"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Territorio indígena</w:t>
            </w:r>
          </w:p>
        </w:tc>
        <w:tc>
          <w:tcPr>
            <w:tcW w:w="2243" w:type="dxa"/>
            <w:tcBorders>
              <w:top w:val="single" w:sz="4" w:space="0" w:color="000000"/>
              <w:left w:val="single" w:sz="4" w:space="0" w:color="000000"/>
              <w:bottom w:val="single" w:sz="4" w:space="0" w:color="000000"/>
              <w:right w:val="single" w:sz="4" w:space="0" w:color="000000"/>
            </w:tcBorders>
            <w:shd w:color="auto" w:fill="002060" w:val="clear"/>
          </w:tcPr>
          <w:p>
            <w:pPr>
              <w:pStyle w:val="Normal"/>
              <w:widowControl w:val="false"/>
              <w:spacing w:lineRule="auto" w:line="360" w:before="0" w:after="200"/>
              <w:jc w:val="center"/>
              <w:rPr>
                <w:rFonts w:ascii="Tahoma" w:hAnsi="Tahoma" w:cs="Tahoma"/>
                <w:b/>
                <w:b/>
                <w:i/>
                <w:i/>
                <w:iCs/>
                <w:sz w:val="20"/>
                <w:szCs w:val="20"/>
              </w:rPr>
            </w:pPr>
            <w:r>
              <w:rPr>
                <w:rFonts w:cs="Tahoma" w:ascii="Tahoma" w:hAnsi="Tahoma"/>
                <w:b/>
                <w:i/>
                <w:iCs/>
                <w:sz w:val="20"/>
                <w:szCs w:val="20"/>
              </w:rPr>
              <w:t>Cantidad</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Bribri</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Boruca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6</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Teribe</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Cabécar</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4</w:t>
            </w:r>
          </w:p>
        </w:tc>
      </w:tr>
      <w:tr>
        <w:trPr/>
        <w:tc>
          <w:tcPr>
            <w:tcW w:w="224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both"/>
              <w:rPr>
                <w:rFonts w:ascii="Tahoma" w:hAnsi="Tahoma" w:cs="Tahoma"/>
                <w:i/>
                <w:i/>
                <w:iCs/>
                <w:sz w:val="20"/>
                <w:szCs w:val="20"/>
              </w:rPr>
            </w:pPr>
            <w:r>
              <w:rPr>
                <w:rFonts w:cs="Tahoma" w:ascii="Tahoma" w:hAnsi="Tahoma"/>
                <w:i/>
                <w:iCs/>
                <w:sz w:val="20"/>
                <w:szCs w:val="20"/>
              </w:rPr>
              <w:t>Brunca</w:t>
            </w:r>
          </w:p>
        </w:tc>
        <w:tc>
          <w:tcPr>
            <w:tcW w:w="22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ahoma" w:hAnsi="Tahoma" w:cs="Tahoma"/>
                <w:i/>
                <w:i/>
                <w:iCs/>
                <w:sz w:val="20"/>
                <w:szCs w:val="20"/>
              </w:rPr>
            </w:pPr>
            <w:r>
              <w:rPr>
                <w:rFonts w:cs="Tahoma" w:ascii="Tahoma" w:hAnsi="Tahoma"/>
                <w:i/>
                <w:iCs/>
                <w:sz w:val="20"/>
                <w:szCs w:val="20"/>
              </w:rPr>
              <w:t>1</w:t>
            </w:r>
          </w:p>
        </w:tc>
      </w:tr>
    </w:tbl>
    <w:p>
      <w:pPr>
        <w:pStyle w:val="Normal"/>
        <w:shd w:val="clear" w:color="auto" w:fill="FFFFFF"/>
        <w:spacing w:lineRule="auto" w:line="360"/>
        <w:jc w:val="both"/>
        <w:rPr>
          <w:rFonts w:ascii="Tahoma" w:hAnsi="Tahoma" w:cs="Tahoma"/>
          <w:i/>
          <w:i/>
          <w:iCs/>
          <w:sz w:val="20"/>
          <w:szCs w:val="20"/>
        </w:rPr>
      </w:pPr>
      <w:r>
        <w:rPr>
          <w:rFonts w:cs="Tahoma" w:ascii="Tahoma" w:hAnsi="Tahoma"/>
          <w:i/>
          <w:iCs/>
          <w:sz w:val="20"/>
          <w:szCs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Proyección a la Comunidad</w:t>
      </w:r>
    </w:p>
    <w:p>
      <w:pPr>
        <w:pStyle w:val="Normal"/>
        <w:shd w:val="clear" w:color="auto" w:fill="FFFFFF"/>
        <w:spacing w:lineRule="auto" w:line="360"/>
        <w:jc w:val="both"/>
        <w:rPr>
          <w:rFonts w:ascii="Tahoma" w:hAnsi="Tahoma" w:cs="Tahoma"/>
          <w:i/>
          <w:i/>
          <w:iCs/>
          <w:sz w:val="20"/>
          <w:szCs w:val="20"/>
          <w:highlight w:val="yellow"/>
        </w:rPr>
      </w:pPr>
      <w:r>
        <w:rPr>
          <w:rFonts w:cs="Tahoma" w:ascii="Tahoma" w:hAnsi="Tahoma"/>
          <w:i/>
          <w:iCs/>
          <w:sz w:val="20"/>
          <w:szCs w:val="20"/>
          <w:highlight w:val="yellow"/>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Como parte de las acciones de proyección a la Comunidad, el Equipo de Justicia Penal Restaurativa de Pérez Zeledón realiza visitas a Buenos Aires para la atención de las personas usuarias en los casos remitidos a Justicia Restaurativa, así como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En materia penal juvenil, el Equipo de Justicia Juvenil Restaurativa de Cartago realiza visitas a la comunidad de Turrialba para la atención de las personas usuarias en los casos remitidos a Justicia Restaurativa, así como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Sumando a lo anterior, el Equipo de Justicia Juvenil de Limón realiza visitas a la comunidad de Talamanca, para la construcción y fortalecimiento de la Red de Apoyo Interinstitucional, incorporando instituciones que pertenecen a los territorios indígenas y otras que trabajan con población indígena. Además, periódicamente se realizan actividades de sensibilización y divulgación sobre Justicia Restaurativa.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En el marco del Proyecto de Cooperación Corte-USA-NCSC sobre Justicia Juvenil Restaurativa, financiado por la Embajada de los Estados Unidos se llevó a cabo la Reunión Anual, actividad dirigida a la comunidad de Talamanca, en la cual se contó con la presencia de representantes de sociedad civil, así como instituciones públicas y privadas que conforman la Red de Apoyo, personas indígenas, y personal judicial. Durante la actividad se mostraron los resultados obtenidos en los procesos juveniles restaurativos y se brindó un espacio a los representantes del pueblo Bribrí para que  compartieran su experiencia y las prácticas indígenas que utilizan para resolver conflictos a lo interno de sus comunidades.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tbl>
      <w:tblPr>
        <w:tblW w:w="901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4506"/>
        <w:gridCol w:w="4505"/>
      </w:tblGrid>
      <w:tr>
        <w:trPr/>
        <w:tc>
          <w:tcPr>
            <w:tcW w:w="4506"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905000"/>
                  <wp:effectExtent l="0" t="0" r="0" b="0"/>
                  <wp:docPr id="3" name="Imagen 2" descr="C:\Users\mmayorga\AppData\Local\Microsoft\Windows\INetCache\IE\6V9XDV1B\fil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descr="C:\Users\mmayorga\AppData\Local\Microsoft\Windows\INetCache\IE\6V9XDV1B\file5.jpeg"/>
                          <pic:cNvPicPr>
                            <a:picLocks noChangeAspect="1" noChangeArrowheads="1"/>
                          </pic:cNvPicPr>
                        </pic:nvPicPr>
                        <pic:blipFill>
                          <a:blip r:embed="rId2"/>
                          <a:stretch>
                            <a:fillRect/>
                          </a:stretch>
                        </pic:blipFill>
                        <pic:spPr bwMode="auto">
                          <a:xfrm>
                            <a:off x="0" y="0"/>
                            <a:ext cx="2705100" cy="1905000"/>
                          </a:xfrm>
                          <a:prstGeom prst="rect">
                            <a:avLst/>
                          </a:prstGeom>
                        </pic:spPr>
                      </pic:pic>
                    </a:graphicData>
                  </a:graphic>
                </wp:inline>
              </w:drawing>
            </w:r>
          </w:p>
        </w:tc>
        <w:tc>
          <w:tcPr>
            <w:tcW w:w="4505"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686050" cy="1847850"/>
                  <wp:effectExtent l="0" t="0" r="0" b="0"/>
                  <wp:docPr id="4" name="Imagen 3" descr="C:\Users\mmayorga\AppData\Local\Microsoft\Windows\INetCache\IE\ABOG3KG9\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C:\Users\mmayorga\AppData\Local\Microsoft\Windows\INetCache\IE\ABOG3KG9\file.jpeg"/>
                          <pic:cNvPicPr>
                            <a:picLocks noChangeAspect="1" noChangeArrowheads="1"/>
                          </pic:cNvPicPr>
                        </pic:nvPicPr>
                        <pic:blipFill>
                          <a:blip r:embed="rId3"/>
                          <a:stretch>
                            <a:fillRect/>
                          </a:stretch>
                        </pic:blipFill>
                        <pic:spPr bwMode="auto">
                          <a:xfrm>
                            <a:off x="0" y="0"/>
                            <a:ext cx="2686050" cy="1847850"/>
                          </a:xfrm>
                          <a:prstGeom prst="rect">
                            <a:avLst/>
                          </a:prstGeom>
                        </pic:spPr>
                      </pic:pic>
                    </a:graphicData>
                  </a:graphic>
                </wp:inline>
              </w:drawing>
            </w:r>
          </w:p>
        </w:tc>
      </w:tr>
      <w:tr>
        <w:trPr/>
        <w:tc>
          <w:tcPr>
            <w:tcW w:w="4506"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895475"/>
                  <wp:effectExtent l="0" t="0" r="0" b="0"/>
                  <wp:docPr id="5" name="Imagen 5" descr="C:\Users\mmayorga\AppData\Local\Microsoft\Windows\INetCache\IE\G3XSPGDB\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Users\mmayorga\AppData\Local\Microsoft\Windows\INetCache\IE\G3XSPGDB\file1.jpeg"/>
                          <pic:cNvPicPr>
                            <a:picLocks noChangeAspect="1" noChangeArrowheads="1"/>
                          </pic:cNvPicPr>
                        </pic:nvPicPr>
                        <pic:blipFill>
                          <a:blip r:embed="rId4"/>
                          <a:stretch>
                            <a:fillRect/>
                          </a:stretch>
                        </pic:blipFill>
                        <pic:spPr bwMode="auto">
                          <a:xfrm>
                            <a:off x="0" y="0"/>
                            <a:ext cx="2705100" cy="1895475"/>
                          </a:xfrm>
                          <a:prstGeom prst="rect">
                            <a:avLst/>
                          </a:prstGeom>
                        </pic:spPr>
                      </pic:pic>
                    </a:graphicData>
                  </a:graphic>
                </wp:inline>
              </w:drawing>
            </w:r>
          </w:p>
        </w:tc>
        <w:tc>
          <w:tcPr>
            <w:tcW w:w="4505" w:type="dxa"/>
            <w:tcBorders/>
          </w:tcPr>
          <w:p>
            <w:pPr>
              <w:pStyle w:val="Normal"/>
              <w:widowControl w:val="false"/>
              <w:spacing w:lineRule="auto" w:line="360" w:before="0" w:after="200"/>
              <w:jc w:val="both"/>
              <w:rPr>
                <w:rFonts w:ascii="Tahoma" w:hAnsi="Tahoma" w:cs="Tahoma"/>
                <w:i/>
                <w:i/>
                <w:iCs/>
                <w:sz w:val="20"/>
                <w:szCs w:val="20"/>
              </w:rPr>
            </w:pPr>
            <w:r>
              <w:rPr/>
              <w:drawing>
                <wp:inline distT="0" distB="0" distL="0" distR="0">
                  <wp:extent cx="2705100" cy="1914525"/>
                  <wp:effectExtent l="0" t="0" r="0" b="0"/>
                  <wp:docPr id="6" name="Imagen 4" descr="C:\Users\mmayorga\AppData\Local\Microsoft\Windows\INetCache\IE\UYO8YQPN\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C:\Users\mmayorga\AppData\Local\Microsoft\Windows\INetCache\IE\UYO8YQPN\file2.jpeg"/>
                          <pic:cNvPicPr>
                            <a:picLocks noChangeAspect="1" noChangeArrowheads="1"/>
                          </pic:cNvPicPr>
                        </pic:nvPicPr>
                        <pic:blipFill>
                          <a:blip r:embed="rId5"/>
                          <a:stretch>
                            <a:fillRect/>
                          </a:stretch>
                        </pic:blipFill>
                        <pic:spPr bwMode="auto">
                          <a:xfrm>
                            <a:off x="0" y="0"/>
                            <a:ext cx="2705100" cy="1914525"/>
                          </a:xfrm>
                          <a:prstGeom prst="rect">
                            <a:avLst/>
                          </a:prstGeom>
                        </pic:spPr>
                      </pic:pic>
                    </a:graphicData>
                  </a:graphic>
                </wp:inline>
              </w:drawing>
            </w:r>
          </w:p>
        </w:tc>
      </w:tr>
    </w:tbl>
    <w:p>
      <w:pPr>
        <w:pStyle w:val="ListParagraph"/>
        <w:shd w:val="clear" w:color="auto" w:fill="FFFFFF"/>
        <w:spacing w:lineRule="auto" w:line="360"/>
        <w:ind w:left="1080" w:hanging="0"/>
        <w:jc w:val="both"/>
        <w:rPr>
          <w:rFonts w:ascii="Tahoma" w:hAnsi="Tahoma" w:cs="Tahoma"/>
          <w:b/>
          <w:b/>
          <w:i/>
          <w:i/>
          <w:iCs/>
          <w:sz w:val="20"/>
        </w:rPr>
      </w:pPr>
      <w:r>
        <w:rPr>
          <w:rFonts w:cs="Tahoma" w:ascii="Tahoma" w:hAnsi="Tahoma"/>
          <w:b/>
          <w:i/>
          <w:iCs/>
          <w:sz w:val="20"/>
        </w:rPr>
      </w:r>
    </w:p>
    <w:p>
      <w:pPr>
        <w:pStyle w:val="ListParagraph"/>
        <w:numPr>
          <w:ilvl w:val="0"/>
          <w:numId w:val="1"/>
        </w:numPr>
        <w:shd w:val="clear" w:color="auto" w:fill="FFFFFF"/>
        <w:spacing w:lineRule="auto" w:line="360"/>
        <w:jc w:val="both"/>
        <w:rPr>
          <w:rFonts w:ascii="Tahoma" w:hAnsi="Tahoma" w:cs="Tahoma"/>
          <w:b/>
          <w:b/>
          <w:i/>
          <w:i/>
          <w:iCs/>
          <w:sz w:val="20"/>
        </w:rPr>
      </w:pPr>
      <w:r>
        <w:rPr>
          <w:rFonts w:cs="Tahoma" w:ascii="Tahoma" w:hAnsi="Tahoma"/>
          <w:b/>
          <w:i/>
          <w:iCs/>
          <w:sz w:val="20"/>
        </w:rPr>
        <w:t xml:space="preserve">Directrices y lineamientos </w:t>
      </w:r>
    </w:p>
    <w:p>
      <w:pPr>
        <w:pStyle w:val="Normal"/>
        <w:shd w:val="clear" w:color="auto" w:fill="FFFFFF"/>
        <w:spacing w:lineRule="auto" w:line="360"/>
        <w:ind w:left="720" w:hanging="0"/>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La Dirección de Nacional de Justicia Restaurativa emitió la Directriz Administrativa N° 03-DNJR-2019 a todos los Equipos Interdisciplinarios de Justicia Restaurativa del país, reiterando las “Reglas Prácticas para facilitar el acceso a la justicia de las  Poblaciones  Indígenas”, publicadas en las  Circulares N° 10-09, 145-09 y 80-15, de la Secretaría General de la Corte Suprema de Justicia que se adjunta.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Así como la obligación de coordinar la presencia de una persona intérprete para las personas indígenas que participen en los procesos de Justicia Restaurativa, conforme a lo dispuesto en el artículo 12 de la Declaración de las Naciones Unidas sobre los Derechos de los Pueblos Indígenas (Convenio 169 de la OIT sobre pueblos indígenas y tribales) y los artículos 3 y 6 de la Ley N° 9593, Ley de Acceso a la Justicia de los Pueblos Indígenas de Costa Rica.</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 xml:space="preserve">Sumado a lo anterior se solicitó a los Equipos de Justicia Penal Restaurativa y Justicia Juvenil Restaurativa  que lleven un registro de los asuntos con población indígenas rindiendo un informe trimestralmente ante esta Dirección. </w:t>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r>
    </w:p>
    <w:p>
      <w:pPr>
        <w:pStyle w:val="Normal"/>
        <w:shd w:val="clear" w:color="auto" w:fill="FFFFFF"/>
        <w:spacing w:lineRule="auto" w:line="360"/>
        <w:ind w:firstLine="708"/>
        <w:jc w:val="both"/>
        <w:rPr>
          <w:rFonts w:ascii="Tahoma" w:hAnsi="Tahoma" w:cs="Tahoma"/>
          <w:i/>
          <w:i/>
          <w:iCs/>
          <w:sz w:val="20"/>
          <w:szCs w:val="20"/>
        </w:rPr>
      </w:pPr>
      <w:r>
        <w:rPr>
          <w:rFonts w:cs="Tahoma" w:ascii="Tahoma" w:hAnsi="Tahoma"/>
          <w:i/>
          <w:iCs/>
          <w:sz w:val="20"/>
          <w:szCs w:val="20"/>
        </w:rPr>
        <w:t>Esperamos continuar estas acciones para garantizar y promover los derechos de las personas indígenas dentro de los procesos judiciales en las que intervienen personas indígenas, especialmente cuando se busque la resolución alternativa del conflicto mediante Justicia Restaurativa incorporando la cosmovisión de estas personas.</w:t>
      </w:r>
    </w:p>
    <w:p>
      <w:pPr>
        <w:pStyle w:val="NormalWeb"/>
        <w:spacing w:lineRule="auto" w:line="360" w:before="280" w:after="280"/>
        <w:ind w:firstLine="708"/>
        <w:jc w:val="both"/>
        <w:rPr>
          <w:rFonts w:ascii="Tahoma" w:hAnsi="Tahoma" w:cs="Tahoma"/>
          <w:i/>
          <w:i/>
          <w:iCs/>
          <w:sz w:val="20"/>
          <w:szCs w:val="20"/>
        </w:rPr>
      </w:pPr>
      <w:r>
        <w:rPr>
          <w:rFonts w:cs="Tahoma" w:ascii="Tahoma" w:hAnsi="Tahoma"/>
          <w:i/>
          <w:iCs/>
          <w:sz w:val="20"/>
          <w:szCs w:val="20"/>
        </w:rPr>
        <w:t>Sin más por el momento, cordialmente se despide</w:t>
      </w:r>
    </w:p>
    <w:p>
      <w:pPr>
        <w:pStyle w:val="Normal"/>
        <w:jc w:val="center"/>
        <w:rPr>
          <w:rFonts w:ascii="Tahoma" w:hAnsi="Tahoma" w:cs="Tahoma"/>
          <w:i/>
          <w:i/>
          <w:iCs/>
          <w:sz w:val="20"/>
          <w:szCs w:val="20"/>
        </w:rPr>
      </w:pPr>
      <w:r>
        <w:rPr>
          <w:rFonts w:cs="Tahoma" w:ascii="Tahoma" w:hAnsi="Tahoma"/>
          <w:i/>
          <w:iCs/>
          <w:sz w:val="20"/>
          <w:szCs w:val="20"/>
        </w:rPr>
        <w:t>Gerardo Rubén Alfaro Vargas</w:t>
      </w:r>
    </w:p>
    <w:p>
      <w:pPr>
        <w:pStyle w:val="Normal"/>
        <w:jc w:val="center"/>
        <w:rPr>
          <w:rFonts w:ascii="Tahoma" w:hAnsi="Tahoma" w:cs="Tahoma"/>
          <w:i/>
          <w:i/>
          <w:iCs/>
          <w:sz w:val="20"/>
          <w:szCs w:val="20"/>
        </w:rPr>
      </w:pPr>
      <w:r>
        <w:rPr>
          <w:rFonts w:cs="Tahoma" w:ascii="Tahoma" w:hAnsi="Tahoma"/>
          <w:i/>
          <w:iCs/>
          <w:sz w:val="20"/>
          <w:szCs w:val="20"/>
        </w:rPr>
        <w:t>Magistrado Sala Tercera</w:t>
      </w:r>
    </w:p>
    <w:p>
      <w:pPr>
        <w:pStyle w:val="Normal"/>
        <w:jc w:val="center"/>
        <w:rPr>
          <w:rFonts w:ascii="Tahoma" w:hAnsi="Tahoma" w:cs="Tahoma"/>
          <w:sz w:val="20"/>
          <w:szCs w:val="20"/>
        </w:rPr>
      </w:pPr>
      <w:r>
        <w:rPr>
          <w:rFonts w:cs="Tahoma" w:ascii="Tahoma" w:hAnsi="Tahoma"/>
          <w:i/>
          <w:iCs/>
          <w:sz w:val="20"/>
          <w:szCs w:val="20"/>
        </w:rPr>
        <w:t>Rector de Justicia Restaurativa.</w:t>
      </w:r>
    </w:p>
    <w:p>
      <w:pPr>
        <w:pStyle w:val="Normal"/>
        <w:jc w:val="center"/>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b/>
          <w:b/>
          <w:sz w:val="20"/>
          <w:szCs w:val="20"/>
          <w:lang w:val="es-ES"/>
        </w:rPr>
      </w:pPr>
      <w:r>
        <w:rPr>
          <w:rFonts w:cs="Tahoma" w:ascii="Tahoma" w:hAnsi="Tahoma"/>
          <w:b/>
          <w:sz w:val="20"/>
          <w:szCs w:val="20"/>
          <w:u w:val="single"/>
        </w:rPr>
        <w:t>SE ACUERDA:</w:t>
      </w:r>
      <w:r>
        <w:rPr>
          <w:rFonts w:cs="Tahoma" w:ascii="Tahoma" w:hAnsi="Tahoma"/>
          <w:sz w:val="20"/>
          <w:szCs w:val="20"/>
        </w:rPr>
        <w:t xml:space="preserve"> 1° </w:t>
      </w:r>
      <w:r>
        <w:rPr>
          <w:rFonts w:cs="Tahoma" w:ascii="Tahoma" w:hAnsi="Tahoma"/>
          <w:bCs/>
          <w:sz w:val="20"/>
          <w:szCs w:val="20"/>
        </w:rPr>
        <w:t xml:space="preserve">Se toma nota del </w:t>
      </w:r>
      <w:r>
        <w:rPr>
          <w:rFonts w:cs="Tahoma" w:ascii="Tahoma" w:hAnsi="Tahoma"/>
          <w:sz w:val="20"/>
          <w:szCs w:val="20"/>
          <w:lang w:val="es-ES"/>
        </w:rPr>
        <w:t xml:space="preserve">Oficio N° 036-DNJD-20 de 14 de febrero pasado, remitido por el Magistrado Gerardo Rubén Alfaro, Rector de la Dirección Nacional de Justicia Restaurativa, remitió. 2° </w:t>
      </w:r>
      <w:r>
        <w:rPr>
          <w:rFonts w:cs="Tahoma" w:ascii="Tahoma" w:hAnsi="Tahoma"/>
          <w:bCs/>
          <w:sz w:val="20"/>
          <w:szCs w:val="20"/>
        </w:rPr>
        <w:t>Solicitar a la Dirección Nacional de Justicia Restaurativa que al desarrollar la capacitación incluya los lineamientos de la Circular 188-19 de Corte Plena incluyéndose además la normativa nacional e internacional que regula los derechos de los pueblos indígenas y de género; además, desarrollar la capacitación con la participación activa de personas lideresas indígenas de los pueblos donde se vaya a ejecutar dicha capacitación o sean competencia material y territorial de las personas servidoras judiciales que sean capacitadas. 3° En relación con el Protocolo de Justicia Restaurativa, solicitar que en su construcción se consulte a los pueblos indígenas involucrados, en cumplimiento del Convenio 169 de la OIT; y se tomen las previsiones respectivas, para garantizar la participación de personas indígenas y organizaciones indígenas en su construcción. Para tal efecto, se sugiere coordinar con DINARAC del Ministerio de Justicia y Paz a cargo del proceso de consultar con las modalidades establecidas. 4° Hacer este acuerdo de conocimiento de la DNJR, la Comisión de la Jurisdicción Penal y la Comisión de la Jurisdicción Agraria al estar asociado a gestiones de capacitación e intervención de la citada Dirección con procesos judiciales de naturaleza penal, contravencional y agraria en los que intervengan personas indígenas, con especial énfasis de los pueblos beneficiarios de las Medidas Cautelares 321-12 de la CIDH contra el Estado, como parte del cumplimiento de éstas. 5° Se declara firme este acuerdo por unanimidad para su ejecución. Comuníquese a la DNJR y a las Comisiones citadas por medio de la Unidad de Acceso a la Justicia con copia a esta Subcomisión para el seguimiento respectivo.</w:t>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II:</w:t>
      </w:r>
    </w:p>
    <w:p>
      <w:pPr>
        <w:pStyle w:val="Normal"/>
        <w:jc w:val="both"/>
        <w:rPr>
          <w:rFonts w:ascii="Tahoma" w:hAnsi="Tahoma" w:cs="Tahoma"/>
          <w:i/>
          <w:i/>
          <w:sz w:val="20"/>
          <w:szCs w:val="20"/>
          <w:lang w:val="es-ES_tradnl" w:eastAsia="ar-SA"/>
        </w:rPr>
      </w:pPr>
      <w:r>
        <w:rPr>
          <w:rFonts w:cs="Tahoma" w:ascii="Tahoma" w:hAnsi="Tahoma"/>
          <w:b/>
          <w:sz w:val="20"/>
          <w:szCs w:val="20"/>
        </w:rPr>
        <w:t>TEMA:</w:t>
      </w:r>
      <w:r>
        <w:rPr>
          <w:rFonts w:cs="Tahoma" w:ascii="Tahoma" w:hAnsi="Tahoma"/>
          <w:i/>
          <w:sz w:val="20"/>
          <w:szCs w:val="20"/>
        </w:rPr>
        <w:t xml:space="preserve"> </w:t>
      </w:r>
      <w:r>
        <w:rPr>
          <w:rFonts w:cs="Tahoma" w:ascii="Tahoma" w:hAnsi="Tahoma"/>
          <w:b/>
          <w:bCs/>
          <w:sz w:val="20"/>
          <w:szCs w:val="20"/>
          <w:lang w:val="es-ES" w:eastAsia="es-ES"/>
        </w:rPr>
        <w:t xml:space="preserve">Oficio </w:t>
      </w:r>
      <w:r>
        <w:rPr>
          <w:rFonts w:cs="Tahoma" w:ascii="Tahoma" w:hAnsi="Tahoma"/>
          <w:b/>
          <w:bCs/>
          <w:sz w:val="20"/>
          <w:szCs w:val="20"/>
        </w:rPr>
        <w:t>Nº 3967-19 de 29 de abril de 2019, en el que la Secretaría General de la Corte comunicó el acuerdo tomado por el Consejo Superior del Poder Judicial, en la sesión Nº 28-19 celebrada el 28 de marzo de 2019, Artículo XXXV</w:t>
      </w:r>
    </w:p>
    <w:p>
      <w:pPr>
        <w:pStyle w:val="Normal"/>
        <w:jc w:val="both"/>
        <w:rPr>
          <w:rFonts w:ascii="Tahoma" w:hAnsi="Tahoma" w:cs="Tahoma"/>
          <w:i/>
          <w:i/>
          <w:sz w:val="20"/>
          <w:szCs w:val="20"/>
          <w:lang w:val="es-ES_tradnl" w:eastAsia="ar-SA"/>
        </w:rPr>
      </w:pPr>
      <w:r>
        <w:rPr>
          <w:rFonts w:cs="Tahoma" w:ascii="Tahoma" w:hAnsi="Tahoma"/>
          <w:sz w:val="20"/>
          <w:szCs w:val="20"/>
        </w:rPr>
        <w:t xml:space="preserve">La Coordinadora de la Subcomisión de Acceso a la Justicia de Pueblos Indígenas, previa consulta de contenido a las personas integrantes de la Subcomisión, remitió el Oficio N° DVV-SI-022-2020 de 28 de febrero pasado al Consejo Superior, dando respuesta al </w:t>
      </w:r>
      <w:r>
        <w:rPr>
          <w:rFonts w:cs="Tahoma" w:ascii="Tahoma" w:hAnsi="Tahoma"/>
          <w:sz w:val="20"/>
          <w:szCs w:val="20"/>
          <w:lang w:val="es-ES" w:eastAsia="es-ES"/>
        </w:rPr>
        <w:t xml:space="preserve">Oficio </w:t>
      </w:r>
      <w:r>
        <w:rPr>
          <w:rFonts w:cs="Tahoma" w:ascii="Tahoma" w:hAnsi="Tahoma"/>
          <w:sz w:val="20"/>
          <w:szCs w:val="20"/>
        </w:rPr>
        <w:t>Nº 3967-19 de 29 de abril de 2019, en el que la Secretaría General de la Corte comunicó el acuerdo tomado por el Consejo Superior del Poder Judicial, en la sesión Nº 28-19 celebrada el 28 de marzo de 2019, Artículo XXXV. El Oficio literalmente indica:</w:t>
      </w:r>
    </w:p>
    <w:p>
      <w:pPr>
        <w:pStyle w:val="Ttulo7"/>
        <w:keepNext w:val="false"/>
        <w:keepLines w:val="false"/>
        <w:numPr>
          <w:ilvl w:val="0"/>
          <w:numId w:val="0"/>
        </w:numPr>
        <w:tabs>
          <w:tab w:val="clear" w:pos="708"/>
          <w:tab w:val="left" w:pos="-10312" w:leader="none"/>
          <w:tab w:val="left" w:pos="0" w:leader="none"/>
        </w:tabs>
        <w:suppressAutoHyphens w:val="true"/>
        <w:spacing w:lineRule="auto" w:line="240" w:before="0" w:after="0"/>
        <w:ind w:left="4248" w:hanging="0"/>
        <w:jc w:val="right"/>
        <w:rPr>
          <w:rFonts w:ascii="Tahoma" w:hAnsi="Tahoma" w:cs="Tahoma"/>
          <w:b/>
          <w:b/>
          <w:bCs/>
          <w:sz w:val="20"/>
          <w:szCs w:val="20"/>
        </w:rPr>
      </w:pPr>
      <w:r>
        <w:rPr>
          <w:rFonts w:cs="Tahoma" w:ascii="Tahoma" w:hAnsi="Tahoma"/>
          <w:b/>
          <w:bCs/>
          <w:sz w:val="20"/>
          <w:szCs w:val="20"/>
        </w:rPr>
        <w:t>San José, 28 de febrero de 2020</w:t>
      </w:r>
    </w:p>
    <w:p>
      <w:pPr>
        <w:pStyle w:val="Ttulo7"/>
        <w:keepNext w:val="false"/>
        <w:keepLines w:val="false"/>
        <w:numPr>
          <w:ilvl w:val="0"/>
          <w:numId w:val="0"/>
        </w:numPr>
        <w:tabs>
          <w:tab w:val="clear" w:pos="708"/>
          <w:tab w:val="left" w:pos="-10312" w:leader="none"/>
          <w:tab w:val="left" w:pos="0" w:leader="none"/>
        </w:tabs>
        <w:suppressAutoHyphens w:val="true"/>
        <w:spacing w:lineRule="auto" w:line="240" w:before="0" w:after="0"/>
        <w:ind w:left="4248" w:hanging="0"/>
        <w:jc w:val="right"/>
        <w:rPr>
          <w:rFonts w:ascii="Tahoma" w:hAnsi="Tahoma" w:cs="Tahoma"/>
          <w:b/>
          <w:b/>
          <w:bCs/>
          <w:sz w:val="20"/>
          <w:szCs w:val="20"/>
        </w:rPr>
      </w:pPr>
      <w:r>
        <w:rPr>
          <w:rFonts w:cs="Tahoma" w:ascii="Tahoma" w:hAnsi="Tahoma"/>
          <w:b/>
          <w:bCs/>
          <w:sz w:val="20"/>
          <w:szCs w:val="20"/>
        </w:rPr>
        <w:t>N° DVV-S1-022-2020</w:t>
      </w:r>
    </w:p>
    <w:p>
      <w:pPr>
        <w:pStyle w:val="Normal"/>
        <w:jc w:val="right"/>
        <w:rPr>
          <w:rFonts w:ascii="Tahoma" w:hAnsi="Tahoma" w:cs="Tahoma"/>
          <w:b/>
          <w:b/>
          <w:bCs/>
          <w:i/>
          <w:i/>
          <w:iCs/>
          <w:sz w:val="20"/>
          <w:szCs w:val="20"/>
        </w:rPr>
      </w:pPr>
      <w:r>
        <w:rPr>
          <w:rFonts w:cs="Tahoma" w:ascii="Tahoma" w:hAnsi="Tahoma"/>
          <w:b/>
          <w:bCs/>
          <w:i/>
          <w:iCs/>
          <w:sz w:val="20"/>
          <w:szCs w:val="20"/>
        </w:rPr>
        <w:t>(Oficio N° 3667-19)</w:t>
      </w:r>
    </w:p>
    <w:p>
      <w:pPr>
        <w:pStyle w:val="Ttulo7"/>
        <w:tabs>
          <w:tab w:val="clear" w:pos="708"/>
          <w:tab w:val="left" w:pos="-10312" w:leader="none"/>
        </w:tabs>
        <w:spacing w:before="0" w:after="0"/>
        <w:ind w:left="4248" w:hanging="0"/>
        <w:rPr>
          <w:rFonts w:ascii="Tahoma" w:hAnsi="Tahoma" w:cs="Tahoma"/>
          <w:b/>
          <w:b/>
          <w:bCs/>
          <w:sz w:val="20"/>
          <w:szCs w:val="20"/>
        </w:rPr>
      </w:pPr>
      <w:r>
        <w:rPr>
          <w:rFonts w:cs="Tahoma" w:ascii="Tahoma" w:hAnsi="Tahoma"/>
          <w:b/>
          <w:bCs/>
          <w:sz w:val="20"/>
          <w:szCs w:val="20"/>
        </w:rPr>
      </w:r>
    </w:p>
    <w:p>
      <w:pPr>
        <w:pStyle w:val="Ttulo7"/>
        <w:tabs>
          <w:tab w:val="clear" w:pos="708"/>
          <w:tab w:val="left" w:pos="-10312" w:leader="none"/>
        </w:tabs>
        <w:spacing w:before="0" w:after="0"/>
        <w:rPr>
          <w:rFonts w:ascii="Tahoma" w:hAnsi="Tahoma" w:cs="Tahoma"/>
          <w:b/>
          <w:b/>
          <w:bCs/>
          <w:sz w:val="20"/>
          <w:szCs w:val="20"/>
          <w:lang w:val="es-ES" w:eastAsia="es-ES"/>
        </w:rPr>
      </w:pPr>
      <w:r>
        <w:rPr>
          <w:rFonts w:cs="Tahoma" w:ascii="Tahoma" w:hAnsi="Tahoma"/>
          <w:b/>
          <w:bCs/>
          <w:sz w:val="20"/>
          <w:szCs w:val="20"/>
          <w:lang w:val="es-ES" w:eastAsia="es-ES"/>
        </w:rPr>
        <w:t>Señoras y Señores</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t xml:space="preserve">Consejo Superior </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t>Poder Judicial</w:t>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r>
    </w:p>
    <w:p>
      <w:pPr>
        <w:pStyle w:val="Normal"/>
        <w:tabs>
          <w:tab w:val="clear" w:pos="708"/>
          <w:tab w:val="left" w:pos="7906" w:leader="none"/>
        </w:tabs>
        <w:rPr>
          <w:rFonts w:ascii="Tahoma" w:hAnsi="Tahoma" w:cs="Tahoma"/>
          <w:b/>
          <w:b/>
          <w:bCs/>
          <w:i/>
          <w:i/>
          <w:iCs/>
          <w:sz w:val="20"/>
          <w:szCs w:val="20"/>
          <w:lang w:val="es-ES" w:eastAsia="es-ES"/>
        </w:rPr>
      </w:pPr>
      <w:r>
        <w:rPr>
          <w:rFonts w:cs="Tahoma" w:ascii="Tahoma" w:hAnsi="Tahoma"/>
          <w:b/>
          <w:bCs/>
          <w:i/>
          <w:iCs/>
          <w:sz w:val="20"/>
          <w:szCs w:val="20"/>
          <w:lang w:val="es-ES" w:eastAsia="es-ES"/>
        </w:rPr>
        <w:t>Estimado Señor:</w:t>
        <w:tab/>
      </w:r>
    </w:p>
    <w:p>
      <w:pPr>
        <w:pStyle w:val="Normal"/>
        <w:rPr>
          <w:rFonts w:ascii="Tahoma" w:hAnsi="Tahoma" w:cs="Tahoma"/>
          <w:b/>
          <w:b/>
          <w:bCs/>
          <w:i/>
          <w:i/>
          <w:iCs/>
          <w:sz w:val="20"/>
          <w:szCs w:val="20"/>
          <w:lang w:val="es-ES" w:eastAsia="es-ES"/>
        </w:rPr>
      </w:pPr>
      <w:r>
        <w:rPr>
          <w:rFonts w:cs="Tahoma" w:ascii="Tahoma" w:hAnsi="Tahoma"/>
          <w:b/>
          <w:bCs/>
          <w:i/>
          <w:iCs/>
          <w:sz w:val="20"/>
          <w:szCs w:val="20"/>
          <w:lang w:val="es-ES" w:eastAsia="es-ES"/>
        </w:rPr>
      </w:r>
    </w:p>
    <w:p>
      <w:pPr>
        <w:pStyle w:val="Normal"/>
        <w:jc w:val="both"/>
        <w:rPr>
          <w:rFonts w:ascii="Tahoma" w:hAnsi="Tahoma" w:cs="Tahoma"/>
          <w:i/>
          <w:i/>
          <w:iCs/>
          <w:sz w:val="20"/>
          <w:szCs w:val="20"/>
        </w:rPr>
      </w:pPr>
      <w:r>
        <w:rPr>
          <w:rFonts w:cs="Tahoma" w:ascii="Tahoma" w:hAnsi="Tahoma"/>
          <w:i/>
          <w:iCs/>
          <w:sz w:val="20"/>
          <w:szCs w:val="20"/>
          <w:lang w:val="es-ES" w:eastAsia="es-ES"/>
        </w:rPr>
        <w:t xml:space="preserve">Reciban un cordial saludo. Tengo el honor de dirigirme a ustedes en mi condición de Coordinadora de la Subcomisión de Acceso a la Justicia de Pueblos Indígenas, a fin de dar respuesta a la solicitud de información contenida en el Oficio </w:t>
      </w:r>
      <w:r>
        <w:rPr>
          <w:rFonts w:cs="Tahoma" w:ascii="Tahoma" w:hAnsi="Tahoma"/>
          <w:i/>
          <w:iCs/>
          <w:sz w:val="20"/>
          <w:szCs w:val="20"/>
        </w:rPr>
        <w:t>Nº 3967-19 de 29 de abril de 2019, en el que la Secretaría General de la Corte comunicó el acuerdo tomado por el Consejo Superior del Poder Judicial, en la sesión Nº 28-19 celebrada el 28 de marzo de 2019, Artículo XXXV, que literalmente dice:</w:t>
      </w:r>
    </w:p>
    <w:p>
      <w:pPr>
        <w:pStyle w:val="Normal"/>
        <w:rPr>
          <w:rFonts w:ascii="Tahoma" w:hAnsi="Tahoma" w:cs="Tahoma"/>
          <w:i/>
          <w:i/>
          <w:iCs/>
          <w:sz w:val="20"/>
          <w:szCs w:val="20"/>
        </w:rPr>
      </w:pPr>
      <w:r>
        <w:rPr>
          <w:rFonts w:cs="Tahoma" w:ascii="Tahoma" w:hAnsi="Tahoma"/>
          <w:i/>
          <w:iCs/>
          <w:sz w:val="20"/>
          <w:szCs w:val="20"/>
        </w:rPr>
      </w:r>
    </w:p>
    <w:p>
      <w:pPr>
        <w:pStyle w:val="Normal"/>
        <w:keepNext w:val="true"/>
        <w:numPr>
          <w:ilvl w:val="0"/>
          <w:numId w:val="0"/>
        </w:numPr>
        <w:tabs>
          <w:tab w:val="clear" w:pos="708"/>
          <w:tab w:val="left" w:pos="0" w:leader="none"/>
        </w:tabs>
        <w:ind w:left="708" w:hanging="0"/>
        <w:jc w:val="both"/>
        <w:outlineLvl w:val="1"/>
        <w:rPr>
          <w:rFonts w:ascii="Tahoma" w:hAnsi="Tahoma" w:cs="Tahoma"/>
          <w:b/>
          <w:b/>
          <w:bCs/>
          <w:i/>
          <w:i/>
          <w:iCs/>
          <w:sz w:val="20"/>
          <w:szCs w:val="20"/>
        </w:rPr>
      </w:pPr>
      <w:r>
        <w:rPr>
          <w:rFonts w:cs="Tahoma" w:ascii="Tahoma" w:hAnsi="Tahoma"/>
          <w:b/>
          <w:bCs/>
          <w:i/>
          <w:iCs/>
          <w:sz w:val="20"/>
          <w:szCs w:val="20"/>
        </w:rPr>
        <w:t>“</w:t>
      </w:r>
      <w:r>
        <w:rPr>
          <w:rFonts w:cs="Tahoma" w:ascii="Tahoma" w:hAnsi="Tahoma"/>
          <w:b/>
          <w:bCs/>
          <w:i/>
          <w:iCs/>
          <w:sz w:val="20"/>
          <w:szCs w:val="20"/>
        </w:rPr>
        <w:t xml:space="preserve">Se acordó: 1.) </w:t>
      </w:r>
      <w:r>
        <w:rPr>
          <w:rFonts w:cs="Tahoma" w:ascii="Tahoma" w:hAnsi="Tahoma"/>
          <w:bCs/>
          <w:i/>
          <w:iCs/>
          <w:sz w:val="20"/>
          <w:szCs w:val="20"/>
        </w:rPr>
        <w:t xml:space="preserve">Devolver el informe N° 328-PLA-OI-PE-2019 del 8 de marzo del 2019 a la Dirección de Planificación, para que actualice los datos contenidos en el citado informe. </w:t>
      </w:r>
      <w:r>
        <w:rPr>
          <w:rFonts w:cs="Tahoma" w:ascii="Tahoma" w:hAnsi="Tahoma"/>
          <w:b/>
          <w:bCs/>
          <w:i/>
          <w:iCs/>
          <w:sz w:val="20"/>
          <w:szCs w:val="20"/>
        </w:rPr>
        <w:t>2.)</w:t>
      </w:r>
      <w:r>
        <w:rPr>
          <w:rFonts w:cs="Tahoma" w:ascii="Tahoma" w:hAnsi="Tahoma"/>
          <w:bCs/>
          <w:i/>
          <w:iCs/>
          <w:sz w:val="20"/>
          <w:szCs w:val="20"/>
        </w:rPr>
        <w:t xml:space="preserve"> Solicitar a la Subcomisión de Acceso a la Justicia para Pueblos Indígenas y a la Fiscalía General de la República, un criterio de la situación actual de la atención de los asuntos indígenas en la localidad Buenos Aires. </w:t>
      </w:r>
      <w:r>
        <w:rPr>
          <w:rFonts w:cs="Tahoma" w:ascii="Tahoma" w:hAnsi="Tahoma"/>
          <w:b/>
          <w:bCs/>
          <w:i/>
          <w:iCs/>
          <w:sz w:val="20"/>
          <w:szCs w:val="20"/>
        </w:rPr>
        <w:t>3.)</w:t>
      </w:r>
      <w:r>
        <w:rPr>
          <w:rFonts w:cs="Tahoma" w:ascii="Tahoma" w:hAnsi="Tahoma"/>
          <w:bCs/>
          <w:i/>
          <w:iCs/>
          <w:sz w:val="20"/>
          <w:szCs w:val="20"/>
        </w:rPr>
        <w:t xml:space="preserve"> Hacer este acuerdo de conocimiento del</w:t>
      </w:r>
      <w:r>
        <w:rPr>
          <w:rFonts w:cs="Tahoma" w:ascii="Tahoma" w:hAnsi="Tahoma"/>
          <w:i/>
          <w:iCs/>
          <w:sz w:val="20"/>
          <w:szCs w:val="20"/>
        </w:rPr>
        <w:t xml:space="preserve"> </w:t>
      </w:r>
      <w:r>
        <w:rPr>
          <w:rFonts w:cs="Tahoma" w:ascii="Tahoma" w:hAnsi="Tahoma"/>
          <w:bCs/>
          <w:i/>
          <w:iCs/>
          <w:sz w:val="20"/>
          <w:szCs w:val="20"/>
        </w:rPr>
        <w:t>Tribunal Penal del Primer Circuito Judicial de la Zona Sur, del Juzgado Penal del Primer Circuito Judicial de la Zona Sur, del Ministerio Público y la Defensa Pública.</w:t>
      </w:r>
      <w:r>
        <w:rPr>
          <w:rFonts w:cs="Tahoma" w:ascii="Tahoma" w:hAnsi="Tahoma"/>
          <w:b/>
          <w:bCs/>
          <w:i/>
          <w:iCs/>
          <w:sz w:val="20"/>
          <w:szCs w:val="20"/>
        </w:rPr>
        <w:t xml:space="preserve">” </w:t>
      </w:r>
    </w:p>
    <w:p>
      <w:pPr>
        <w:pStyle w:val="Normal"/>
        <w:ind w:left="-708" w:hanging="0"/>
        <w:jc w:val="both"/>
        <w:rPr>
          <w:rFonts w:ascii="Tahoma" w:hAnsi="Tahoma" w:cs="Tahoma"/>
          <w:b/>
          <w:b/>
          <w:bCs/>
          <w:i/>
          <w:i/>
          <w:iCs/>
          <w:color w:val="000000"/>
          <w:sz w:val="20"/>
          <w:szCs w:val="20"/>
        </w:rPr>
      </w:pPr>
      <w:r>
        <w:rPr>
          <w:rFonts w:cs="Tahoma" w:ascii="Tahoma" w:hAnsi="Tahoma"/>
          <w:b/>
          <w:bCs/>
          <w:i/>
          <w:iCs/>
          <w:color w:val="000000"/>
          <w:sz w:val="20"/>
          <w:szCs w:val="20"/>
        </w:rPr>
      </w:r>
    </w:p>
    <w:p>
      <w:pPr>
        <w:pStyle w:val="Normal"/>
        <w:jc w:val="both"/>
        <w:rPr>
          <w:rFonts w:ascii="Tahoma" w:hAnsi="Tahoma" w:cs="Tahoma"/>
          <w:i/>
          <w:i/>
          <w:iCs/>
          <w:sz w:val="20"/>
          <w:szCs w:val="20"/>
        </w:rPr>
      </w:pPr>
      <w:r>
        <w:rPr>
          <w:rFonts w:cs="Tahoma" w:ascii="Tahoma" w:hAnsi="Tahoma"/>
          <w:i/>
          <w:iCs/>
          <w:sz w:val="20"/>
          <w:szCs w:val="20"/>
        </w:rPr>
        <w:t xml:space="preserve">El </w:t>
      </w:r>
      <w:r>
        <w:rPr>
          <w:rFonts w:cs="Tahoma" w:ascii="Tahoma" w:hAnsi="Tahoma"/>
          <w:bCs/>
          <w:i/>
          <w:iCs/>
          <w:sz w:val="20"/>
          <w:szCs w:val="20"/>
        </w:rPr>
        <w:t xml:space="preserve">Informe N° 328-PLA-OI-PE-2019 del 8 de marzo del 2019 fue emitido por la Dirección de Planificación con ocasión del </w:t>
      </w:r>
      <w:r>
        <w:rPr>
          <w:rFonts w:cs="Tahoma" w:ascii="Tahoma" w:hAnsi="Tahoma"/>
          <w:i/>
          <w:iCs/>
          <w:sz w:val="20"/>
          <w:szCs w:val="20"/>
        </w:rPr>
        <w:t>acuerdo tomado por el Consejo Superior en sesión celebrada el 20 de diciembre del 2016, artículo LVI, asociado al estudio para determinar la necesidad de las plazas de Fiscal Auxiliar y Técnico Judicial 2 en la Fiscalía de Buenos Aires, así como una plaza de Juez 4 para el Tribunal de la Zona Sur, un Fiscal y Defensor Público, asignada mediante permiso con goce de salario y sustitución, para atender prioritariamente los asuntos indígenas en Buenos Aires.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Al respecto, es importante señalar que la Subcomisión de Acceso a la Justicia de Pueblos Indígenas emitió pronunciamiento, según evidencia que consta en el Oficio N° 11983-18 del 20 de noviembre del 2018 de la Secretaría General de la Corte. El acuerdo de la Subcomisión fue comunicado gracias a la colaboración de la Unidad de Acceso a la Justicia en el Oficio N° CACC-408-2018 de 16 de noviembre de 2018. En el acuerdo, la Subcomisión solicita se valore devolver la plaza de defensor y fiscal a la jurisdicción de Buenos Aires para la atención de los procesos vinculados con personas indígenas.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La Dirección de Planificación en el </w:t>
      </w:r>
      <w:r>
        <w:rPr>
          <w:rFonts w:cs="Tahoma" w:ascii="Tahoma" w:hAnsi="Tahoma"/>
          <w:bCs/>
          <w:i/>
          <w:iCs/>
          <w:sz w:val="20"/>
          <w:szCs w:val="20"/>
        </w:rPr>
        <w:t>Informe N° 328-PLA-OI-PE-2019 del 8 de marzo del 2019,</w:t>
      </w:r>
      <w:r>
        <w:rPr>
          <w:rFonts w:cs="Tahoma" w:ascii="Tahoma" w:hAnsi="Tahoma"/>
          <w:i/>
          <w:iCs/>
          <w:sz w:val="20"/>
          <w:szCs w:val="20"/>
        </w:rPr>
        <w:t xml:space="preserve"> recomendó:</w:t>
      </w:r>
    </w:p>
    <w:p>
      <w:pPr>
        <w:pStyle w:val="Normal"/>
        <w:jc w:val="both"/>
        <w:rPr>
          <w:rFonts w:ascii="Tahoma" w:hAnsi="Tahoma" w:cs="Tahoma"/>
          <w:i/>
          <w:i/>
          <w:iCs/>
          <w:sz w:val="20"/>
          <w:szCs w:val="20"/>
        </w:rPr>
      </w:pPr>
      <w:r>
        <w:rPr>
          <w:rFonts w:cs="Tahoma" w:ascii="Tahoma" w:hAnsi="Tahoma"/>
          <w:i/>
          <w:iCs/>
          <w:sz w:val="20"/>
          <w:szCs w:val="20"/>
        </w:rPr>
      </w:r>
    </w:p>
    <w:p>
      <w:pPr>
        <w:pStyle w:val="Normal"/>
        <w:tabs>
          <w:tab w:val="clear" w:pos="708"/>
          <w:tab w:val="center" w:pos="4252" w:leader="none"/>
          <w:tab w:val="right" w:pos="8504" w:leader="none"/>
        </w:tabs>
        <w:ind w:firstLine="709"/>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w:t>
      </w:r>
    </w:p>
    <w:p>
      <w:pPr>
        <w:pStyle w:val="Normal"/>
        <w:tabs>
          <w:tab w:val="clear" w:pos="708"/>
          <w:tab w:val="center" w:pos="4252" w:leader="none"/>
          <w:tab w:val="right" w:pos="8504" w:leader="none"/>
        </w:tabs>
        <w:ind w:firstLine="709"/>
        <w:jc w:val="both"/>
        <w:rPr>
          <w:rFonts w:ascii="Tahoma" w:hAnsi="Tahoma" w:cs="Tahoma"/>
          <w:i/>
          <w:i/>
          <w:iCs/>
          <w:sz w:val="20"/>
          <w:szCs w:val="20"/>
        </w:rPr>
      </w:pPr>
      <w:r>
        <w:rPr>
          <w:rFonts w:cs="Tahoma" w:ascii="Tahoma" w:hAnsi="Tahoma"/>
          <w:i/>
          <w:iCs/>
          <w:sz w:val="20"/>
          <w:szCs w:val="20"/>
        </w:rPr>
      </w:r>
    </w:p>
    <w:tbl>
      <w:tblPr>
        <w:tblpPr w:bottomFromText="0" w:horzAnchor="text" w:leftFromText="141" w:rightFromText="141" w:tblpX="-210" w:tblpY="1" w:topFromText="0" w:vertAnchor="text"/>
        <w:tblW w:w="9054"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964"/>
        <w:gridCol w:w="7089"/>
      </w:tblGrid>
      <w:tr>
        <w:trPr>
          <w:trHeight w:val="1074" w:hRule="atLeast"/>
        </w:trPr>
        <w:tc>
          <w:tcPr>
            <w:tcW w:w="1964" w:type="dxa"/>
            <w:tcBorders>
              <w:top w:val="single" w:sz="4" w:space="0" w:color="000000"/>
              <w:left w:val="single" w:sz="4" w:space="0" w:color="000000"/>
              <w:bottom w:val="single" w:sz="4" w:space="0" w:color="000000"/>
              <w:right w:val="single" w:sz="4" w:space="0" w:color="000000"/>
            </w:tcBorders>
            <w:shd w:color="auto" w:fill="C0C0C0" w:val="clear"/>
          </w:tcPr>
          <w:p>
            <w:pPr>
              <w:pStyle w:val="Normal"/>
              <w:widowControl w:val="false"/>
              <w:ind w:left="284" w:hanging="284"/>
              <w:jc w:val="both"/>
              <w:rPr>
                <w:rFonts w:ascii="Tahoma" w:hAnsi="Tahoma" w:cs="Tahoma"/>
                <w:b/>
                <w:b/>
                <w:i/>
                <w:i/>
                <w:iCs/>
                <w:sz w:val="20"/>
                <w:szCs w:val="20"/>
              </w:rPr>
            </w:pPr>
            <w:r>
              <w:rPr>
                <w:rFonts w:cs="Tahoma" w:ascii="Tahoma" w:hAnsi="Tahoma"/>
                <w:b/>
                <w:i/>
                <w:iCs/>
                <w:sz w:val="20"/>
                <w:szCs w:val="20"/>
              </w:rPr>
              <w:t>V.</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Recomendaciones</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Por lo anterior, se recomienda lo siguiente:</w:t>
            </w:r>
          </w:p>
          <w:p>
            <w:pPr>
              <w:pStyle w:val="Normal"/>
              <w:widowControl w:val="false"/>
              <w:jc w:val="both"/>
              <w:rPr>
                <w:rFonts w:ascii="Tahoma" w:hAnsi="Tahoma" w:cs="Tahoma"/>
                <w:b/>
                <w:b/>
                <w:bCs/>
                <w:i/>
                <w:i/>
                <w:iCs/>
                <w:sz w:val="20"/>
                <w:szCs w:val="20"/>
              </w:rPr>
            </w:pPr>
            <w:r>
              <w:rPr>
                <w:rFonts w:cs="Tahoma" w:ascii="Tahoma" w:hAnsi="Tahoma"/>
                <w:b/>
                <w:bCs/>
                <w:i/>
                <w:iCs/>
                <w:sz w:val="20"/>
                <w:szCs w:val="20"/>
              </w:rPr>
              <w:t>Fiscalía de Buenos Aires</w:t>
            </w:r>
          </w:p>
          <w:p>
            <w:pPr>
              <w:pStyle w:val="Normal"/>
              <w:widowControl w:val="false"/>
              <w:jc w:val="both"/>
              <w:rPr>
                <w:rFonts w:ascii="Tahoma" w:hAnsi="Tahoma" w:cs="Tahoma"/>
                <w:bCs/>
                <w:i/>
                <w:i/>
                <w:iCs/>
                <w:sz w:val="20"/>
                <w:szCs w:val="20"/>
              </w:rPr>
            </w:pPr>
            <w:r>
              <w:rPr>
                <w:rFonts w:cs="Tahoma" w:ascii="Tahoma" w:hAnsi="Tahoma"/>
                <w:b/>
                <w:bCs/>
                <w:i/>
                <w:iCs/>
                <w:sz w:val="20"/>
                <w:szCs w:val="20"/>
              </w:rPr>
              <w:t>5.1.-</w:t>
            </w:r>
            <w:r>
              <w:rPr>
                <w:rFonts w:cs="Tahoma" w:ascii="Tahoma" w:hAnsi="Tahoma"/>
                <w:bCs/>
                <w:i/>
                <w:iCs/>
                <w:sz w:val="20"/>
                <w:szCs w:val="20"/>
              </w:rPr>
              <w:t>En cuanto a la necesidad de las plazas de Fiscal Auxiliar y Técnico Judicial 2 asignadas con permiso con goce de salario y sustitución para atender el ejercicio de la acción penal de los posibles delitos de usurpación de tierras en los territorios indígenas del Cantón de Buenos Aires, y en atención de la medida cautelar impuesta por la Corte Interamericana al Estado costarricense, esta Dirección no puede recomendar su creación en virtud de algunos conceptos, a saber:</w:t>
            </w:r>
          </w:p>
          <w:p>
            <w:pPr>
              <w:pStyle w:val="Normal"/>
              <w:widowControl w:val="false"/>
              <w:numPr>
                <w:ilvl w:val="3"/>
                <w:numId w:val="34"/>
              </w:numPr>
              <w:spacing w:lineRule="auto" w:line="240" w:before="0" w:after="0"/>
              <w:ind w:left="595" w:hanging="142"/>
              <w:jc w:val="both"/>
              <w:rPr>
                <w:rFonts w:ascii="Tahoma" w:hAnsi="Tahoma" w:cs="Tahoma"/>
                <w:bCs/>
                <w:i/>
                <w:i/>
                <w:iCs/>
                <w:sz w:val="20"/>
                <w:szCs w:val="20"/>
              </w:rPr>
            </w:pPr>
            <w:r>
              <w:rPr>
                <w:rFonts w:cs="Tahoma" w:ascii="Tahoma" w:hAnsi="Tahoma"/>
                <w:bCs/>
                <w:i/>
                <w:iCs/>
                <w:sz w:val="20"/>
                <w:szCs w:val="20"/>
              </w:rPr>
              <w:t>Al igual que en estudios anteriores, se ha determinado que la carga de trabajo no justifica plenamente la creación de los recursos que se han venido desempeñando, tanto en la Fiscalía de Buenos Aires, como en el I Circuito Judicial de la Zona Sur.</w:t>
            </w:r>
          </w:p>
          <w:p>
            <w:pPr>
              <w:pStyle w:val="Normal"/>
              <w:widowControl w:val="false"/>
              <w:numPr>
                <w:ilvl w:val="3"/>
                <w:numId w:val="34"/>
              </w:numPr>
              <w:spacing w:lineRule="auto" w:line="240" w:before="0" w:after="0"/>
              <w:ind w:left="595" w:hanging="77"/>
              <w:jc w:val="both"/>
              <w:rPr>
                <w:rFonts w:ascii="Tahoma" w:hAnsi="Tahoma" w:cs="Tahoma"/>
                <w:bCs/>
                <w:i/>
                <w:i/>
                <w:iCs/>
                <w:sz w:val="20"/>
                <w:szCs w:val="20"/>
              </w:rPr>
            </w:pPr>
            <w:r>
              <w:rPr>
                <w:rFonts w:cs="Tahoma" w:ascii="Tahoma" w:hAnsi="Tahoma"/>
                <w:bCs/>
                <w:i/>
                <w:iCs/>
                <w:sz w:val="20"/>
                <w:szCs w:val="20"/>
              </w:rPr>
              <w:t>La coyuntura presupuestaria de la Institución y las limitaciones existentes a nivel de las propuestas para crear permisos con goces de salario.</w:t>
            </w:r>
          </w:p>
          <w:p>
            <w:pPr>
              <w:pStyle w:val="NormalWeb"/>
              <w:widowControl w:val="false"/>
              <w:spacing w:before="0" w:after="0"/>
              <w:ind w:right="23" w:hanging="0"/>
              <w:jc w:val="both"/>
              <w:rPr>
                <w:rFonts w:ascii="Tahoma" w:hAnsi="Tahoma" w:cs="Tahoma"/>
                <w:bCs/>
                <w:i/>
                <w:i/>
                <w:iCs/>
                <w:sz w:val="20"/>
                <w:szCs w:val="20"/>
              </w:rPr>
            </w:pPr>
            <w:r>
              <w:rPr>
                <w:rFonts w:cs="Tahoma" w:ascii="Tahoma" w:hAnsi="Tahoma"/>
                <w:bCs/>
                <w:i/>
                <w:iCs/>
                <w:sz w:val="20"/>
                <w:szCs w:val="20"/>
              </w:rPr>
              <w:t>A pesar de lo anterior, esta Dirección también es consciente de la importancia de atender con prioridad los asuntos en los que están involucrados grupos vulnerables de la sociedad, como en este caso, los grupos indígenas de esas zonas. De igual forma, se reconoce el abordaje y las actividades investigativas ya realizadas por los permisos concedidos en el 2017 en el caso de Térraba (17-000125-634-PE), que es un territorio más amplio, por lo que se estima que se tomará más tiempo en la investigación que el caso de Salitre.  Asimismo, se es consciente de una nueva solicitud de personas indígenas y la ONG para ampliar la medida cautelar, al pueblo de Bribri de Cabagra y se debe tomar en consideración el resto de los territorios, a los cuales también hay que brindar el servicio público de administración de justicia.</w:t>
            </w:r>
          </w:p>
          <w:p>
            <w:pPr>
              <w:pStyle w:val="Normal"/>
              <w:widowControl w:val="false"/>
              <w:jc w:val="both"/>
              <w:rPr>
                <w:rFonts w:ascii="Tahoma" w:hAnsi="Tahoma" w:cs="Tahoma"/>
                <w:bCs/>
                <w:i/>
                <w:i/>
                <w:iCs/>
                <w:sz w:val="20"/>
                <w:szCs w:val="20"/>
              </w:rPr>
            </w:pPr>
            <w:r>
              <w:rPr>
                <w:rFonts w:cs="Tahoma" w:ascii="Tahoma" w:hAnsi="Tahoma"/>
                <w:bCs/>
                <w:i/>
                <w:iCs/>
                <w:sz w:val="20"/>
                <w:szCs w:val="20"/>
              </w:rPr>
              <w:t>Por lo anterior se recomienda que la Fiscalía General y la Fiscalía Adjunta de Asuntos Indígenas, valoren si existen recursos internos que puedan trasladarse a la zona de Buenos Aires, para que asuman las importantes funciones que se han venido desarrollando y en los que están involucrados los grupos indígenas de esa zona. Esta misma medida aplicaría en relación con la plaza de Fiscal que se ha establecido en el I Circuito Judicial de la Zona Sur.</w:t>
            </w:r>
          </w:p>
          <w:p>
            <w:pPr>
              <w:pStyle w:val="Normal"/>
              <w:widowControl w:val="false"/>
              <w:jc w:val="both"/>
              <w:rPr>
                <w:rFonts w:ascii="Tahoma" w:hAnsi="Tahoma" w:cs="Tahoma"/>
                <w:bCs/>
                <w:i/>
                <w:i/>
                <w:iCs/>
                <w:sz w:val="20"/>
                <w:szCs w:val="20"/>
              </w:rPr>
            </w:pPr>
            <w:r>
              <w:rPr>
                <w:rFonts w:cs="Tahoma" w:ascii="Tahoma" w:hAnsi="Tahoma"/>
                <w:bCs/>
                <w:i/>
                <w:iCs/>
                <w:sz w:val="20"/>
                <w:szCs w:val="20"/>
              </w:rPr>
              <w:t>Realizar la gestión ante la Administración de Pérez Zeledón para que les brinden colaboración con el respectivo cronograma de trabajo, dado que la Fiscalía General destacó en Buenos Aires un Fiscal durante el primer trimestre del presente año para la atención de los asuntos indígenas, no así la plaza de Técnico Judicial para las labores de apoyo, razón por la cual se coordinó con la Administración.</w:t>
            </w:r>
          </w:p>
          <w:p>
            <w:pPr>
              <w:pStyle w:val="Normal"/>
              <w:widowControl w:val="false"/>
              <w:jc w:val="both"/>
              <w:rPr>
                <w:rFonts w:ascii="Tahoma" w:hAnsi="Tahoma" w:cs="Tahoma"/>
                <w:i/>
                <w:i/>
                <w:iCs/>
                <w:sz w:val="20"/>
                <w:szCs w:val="20"/>
              </w:rPr>
            </w:pPr>
            <w:r>
              <w:rPr>
                <w:rFonts w:cs="Tahoma" w:ascii="Tahoma" w:hAnsi="Tahoma"/>
                <w:b/>
                <w:bCs/>
                <w:i/>
                <w:iCs/>
                <w:sz w:val="20"/>
                <w:szCs w:val="20"/>
              </w:rPr>
              <w:t>5.2.-</w:t>
            </w:r>
            <w:r>
              <w:rPr>
                <w:rFonts w:cs="Tahoma" w:ascii="Tahoma" w:hAnsi="Tahoma"/>
                <w:i/>
                <w:iCs/>
                <w:sz w:val="20"/>
                <w:szCs w:val="20"/>
              </w:rPr>
              <w:t xml:space="preserve"> Se recomienda que la Fiscalía de Asuntos Indígenas lleve un control de las estadísticas de los asuntos indígenas por fiscalía, y a partir de la experiencia de </w:t>
            </w:r>
            <w:r>
              <w:rPr>
                <w:rFonts w:cs="Tahoma" w:ascii="Tahoma" w:hAnsi="Tahoma"/>
                <w:bCs/>
                <w:i/>
                <w:iCs/>
                <w:sz w:val="20"/>
                <w:szCs w:val="20"/>
              </w:rPr>
              <w:t>Bribri Salitre</w:t>
            </w:r>
            <w:r>
              <w:rPr>
                <w:rFonts w:cs="Tahoma" w:ascii="Tahoma" w:hAnsi="Tahoma"/>
                <w:i/>
                <w:iCs/>
                <w:sz w:val="20"/>
                <w:szCs w:val="20"/>
              </w:rPr>
              <w:t xml:space="preserve"> defina un cronograma de atención a los territorios indígenas en el Cantón de Buenos Aires y brinde seguimiento al proyecto. Asimismo, que rinda informes trimestrales a la Dirección de Planificación de las actividades realizadas por las plazas asignadas y el desarrollo del proyecto, con el fin de tener datos y elementos para evaluar la necesidad del recurso otorgado.</w:t>
            </w:r>
          </w:p>
          <w:p>
            <w:pPr>
              <w:pStyle w:val="Normal"/>
              <w:widowControl w:val="false"/>
              <w:jc w:val="both"/>
              <w:rPr>
                <w:rFonts w:ascii="Tahoma" w:hAnsi="Tahoma" w:cs="Tahoma"/>
                <w:b/>
                <w:b/>
                <w:bCs/>
                <w:i/>
                <w:i/>
                <w:iCs/>
                <w:sz w:val="20"/>
                <w:szCs w:val="20"/>
              </w:rPr>
            </w:pPr>
            <w:r>
              <w:rPr>
                <w:rFonts w:cs="Tahoma" w:ascii="Tahoma" w:hAnsi="Tahoma"/>
                <w:b/>
                <w:bCs/>
                <w:i/>
                <w:iCs/>
                <w:sz w:val="20"/>
                <w:szCs w:val="20"/>
              </w:rPr>
              <w:t>Tribunal del Primer Circuito Judicial de la Zona Sur</w:t>
            </w:r>
          </w:p>
          <w:p>
            <w:pPr>
              <w:pStyle w:val="Normal"/>
              <w:widowControl w:val="false"/>
              <w:jc w:val="both"/>
              <w:rPr>
                <w:rFonts w:ascii="Tahoma" w:hAnsi="Tahoma" w:cs="Tahoma"/>
                <w:i/>
                <w:i/>
                <w:iCs/>
                <w:sz w:val="20"/>
                <w:szCs w:val="20"/>
              </w:rPr>
            </w:pPr>
            <w:r>
              <w:rPr>
                <w:rFonts w:cs="Tahoma" w:ascii="Tahoma" w:hAnsi="Tahoma"/>
                <w:b/>
                <w:i/>
                <w:iCs/>
                <w:sz w:val="20"/>
                <w:szCs w:val="20"/>
              </w:rPr>
              <w:t>5.3.-</w:t>
            </w:r>
            <w:r>
              <w:rPr>
                <w:rFonts w:cs="Tahoma" w:ascii="Tahoma" w:hAnsi="Tahoma"/>
                <w:i/>
                <w:iCs/>
                <w:sz w:val="20"/>
                <w:szCs w:val="20"/>
              </w:rPr>
              <w:t xml:space="preserve"> Después del análisis de carga de trabajo, la Dirección de Planificación reitera la recomendación emitida en el informe anterior de NO recomendar la propuesta del Tribunal del Primer Circuito Judicial de la Zona Sur, en cuanto a nombrar otra jueza o juez en forma permanente en Buenos Aires, con su respectiva oficina, y una sala de juicio en forma regular; a efectos de atender las apelaciones y demás vistas de los asuntos de  Buenos Aires; realizar juicios unipersonales e integrar colegio con dos profesionales de Pérez Zeledón para realizar los juicios previamente señalados.</w:t>
            </w:r>
          </w:p>
          <w:p>
            <w:pPr>
              <w:pStyle w:val="Normal"/>
              <w:widowControl w:val="false"/>
              <w:jc w:val="both"/>
              <w:rPr>
                <w:rFonts w:ascii="Tahoma" w:hAnsi="Tahoma" w:cs="Tahoma"/>
                <w:bCs/>
                <w:i/>
                <w:i/>
                <w:iCs/>
                <w:sz w:val="20"/>
                <w:szCs w:val="20"/>
              </w:rPr>
            </w:pPr>
            <w:r>
              <w:rPr>
                <w:rFonts w:cs="Tahoma" w:ascii="Tahoma" w:hAnsi="Tahoma"/>
                <w:b/>
                <w:bCs/>
                <w:i/>
                <w:iCs/>
                <w:sz w:val="20"/>
                <w:szCs w:val="20"/>
              </w:rPr>
              <w:t>5.4.-</w:t>
            </w:r>
            <w:r>
              <w:rPr>
                <w:rFonts w:cs="Tahoma" w:ascii="Tahoma" w:hAnsi="Tahoma"/>
                <w:bCs/>
                <w:i/>
                <w:iCs/>
                <w:sz w:val="20"/>
                <w:szCs w:val="20"/>
              </w:rPr>
              <w:t xml:space="preserve"> La Defensa Pública deberá igualmente, valorar la posibilidad de un traslado de algún recurso que exista y que pueda reubicarse en esa zona para continuar con la atención de los asuntos donde están involucrados los grupos indígenas, una vez que se lleven a cabo estudios de reestructuración y reorganización de oficinas, en caso de estimarse necesario. Sobre este tema indicó el Lic. Erick Núñez Rodríguez, Subdirector de la Defensa Pública, que de los análisis que se están realizando para redistribución de plazas de acuerdo a las necesidades institucionales y procurando asignar los recursos donde mayormente se requiere, se determinó la necesidad de atender prioritariamente la Zona de Buenos Aires.</w:t>
            </w:r>
          </w:p>
          <w:p>
            <w:pPr>
              <w:pStyle w:val="Normal"/>
              <w:widowControl w:val="false"/>
              <w:jc w:val="both"/>
              <w:rPr>
                <w:rFonts w:ascii="Tahoma" w:hAnsi="Tahoma" w:cs="Tahoma"/>
                <w:i/>
                <w:i/>
                <w:iCs/>
                <w:sz w:val="20"/>
                <w:szCs w:val="20"/>
              </w:rPr>
            </w:pPr>
            <w:r>
              <w:rPr>
                <w:rFonts w:cs="Tahoma" w:ascii="Tahoma" w:hAnsi="Tahoma"/>
                <w:b/>
                <w:i/>
                <w:iCs/>
                <w:sz w:val="20"/>
                <w:szCs w:val="20"/>
              </w:rPr>
              <w:t>5.5</w:t>
            </w:r>
            <w:r>
              <w:rPr>
                <w:rFonts w:cs="Tahoma" w:ascii="Tahoma" w:hAnsi="Tahoma"/>
                <w:i/>
                <w:iCs/>
                <w:sz w:val="20"/>
                <w:szCs w:val="20"/>
              </w:rPr>
              <w:t xml:space="preserve">.-En virtud de los inconvenientes presentados en el local que se alquila del ANDE en Buenos Aires, se recomienda a la Administración Regional de Pérez Zeledón agilizar las gestiones que actualmente realiza para que a la brevedad posible se alquile un local en el Cantón de Buenos Aires para habilitar una sala de juicios específica, que permita instalar un equipo de videoconferencia para las vistas y lecturas de sentencias desde Pérez Zeledón. </w:t>
            </w:r>
          </w:p>
          <w:p>
            <w:pPr>
              <w:pStyle w:val="Normal"/>
              <w:widowControl w:val="false"/>
              <w:jc w:val="both"/>
              <w:rPr>
                <w:rFonts w:ascii="Tahoma" w:hAnsi="Tahoma" w:cs="Tahoma"/>
                <w:i/>
                <w:i/>
                <w:iCs/>
                <w:sz w:val="20"/>
                <w:szCs w:val="20"/>
              </w:rPr>
            </w:pPr>
            <w:r>
              <w:rPr>
                <w:rFonts w:cs="Tahoma" w:ascii="Tahoma" w:hAnsi="Tahoma"/>
                <w:b/>
                <w:i/>
                <w:iCs/>
                <w:sz w:val="20"/>
                <w:szCs w:val="20"/>
              </w:rPr>
              <w:t xml:space="preserve">5.6.- </w:t>
            </w:r>
            <w:r>
              <w:rPr>
                <w:rFonts w:cs="Tahoma" w:ascii="Tahoma" w:hAnsi="Tahoma"/>
                <w:i/>
                <w:iCs/>
                <w:sz w:val="20"/>
                <w:szCs w:val="20"/>
              </w:rPr>
              <w:t xml:space="preserve">Finalmente se reitera la recomendación, en el sentido de que si el órgano superior  </w:t>
            </w:r>
            <w:r>
              <w:rPr>
                <w:rFonts w:cs="Tahoma" w:ascii="Tahoma" w:hAnsi="Tahoma"/>
                <w:b/>
                <w:i/>
                <w:iCs/>
                <w:sz w:val="20"/>
                <w:szCs w:val="20"/>
              </w:rPr>
              <w:t>estima conveniente apartarse del criterio técnico antes expuesto</w:t>
            </w:r>
            <w:r>
              <w:rPr>
                <w:rFonts w:cs="Tahoma" w:ascii="Tahoma" w:hAnsi="Tahoma"/>
                <w:i/>
                <w:iCs/>
                <w:sz w:val="20"/>
                <w:szCs w:val="20"/>
              </w:rPr>
              <w:t xml:space="preserve"> y ofrecer el servicio de administración de justicia penal en Buenos Aires (a nivel de Tribunal Penal), con la finalidad de brindar mayor accesibilidad a la población vulnerable identificada (personas indígenas),  se presentan algunas estimaciones de costos mínimos asociados con la puesta en funcionamiento de una </w:t>
            </w:r>
            <w:r>
              <w:rPr>
                <w:rFonts w:cs="Tahoma" w:ascii="Tahoma" w:hAnsi="Tahoma"/>
                <w:b/>
                <w:i/>
                <w:iCs/>
                <w:sz w:val="20"/>
                <w:szCs w:val="20"/>
              </w:rPr>
              <w:t>“Sede de Tribunal”</w:t>
            </w:r>
            <w:r>
              <w:rPr>
                <w:rFonts w:cs="Tahoma" w:ascii="Tahoma" w:hAnsi="Tahoma"/>
                <w:i/>
                <w:iCs/>
                <w:sz w:val="20"/>
                <w:szCs w:val="20"/>
              </w:rPr>
              <w:t xml:space="preserve"> en esa localidad, para asumir la atención de juicios unipersonales, apelaciones, vistas y procesos abreviados en materia Penal; esos recursos contarían con la integración de dos profesionales del Tribunal del Primer Circuito Judicial de la Zona Sur para celebrar juicios colegiados: </w:t>
            </w:r>
          </w:p>
          <w:p>
            <w:pPr>
              <w:pStyle w:val="Normal"/>
              <w:widowControl w:val="false"/>
              <w:jc w:val="both"/>
              <w:rPr>
                <w:rFonts w:ascii="Tahoma" w:hAnsi="Tahoma" w:cs="Tahoma"/>
                <w:b/>
                <w:b/>
                <w:i/>
                <w:i/>
                <w:iCs/>
                <w:sz w:val="20"/>
                <w:szCs w:val="20"/>
              </w:rPr>
            </w:pPr>
            <w:r>
              <w:rPr>
                <w:rFonts w:cs="Tahoma" w:ascii="Tahoma" w:hAnsi="Tahoma"/>
                <w:b/>
                <w:i/>
                <w:iCs/>
                <w:sz w:val="20"/>
                <w:szCs w:val="20"/>
              </w:rPr>
              <w:t>COSTOS MÍNIMOS ESTIMADOS</w:t>
            </w:r>
            <w:r>
              <w:rPr>
                <w:rStyle w:val="Ancladenotaalpie"/>
                <w:rFonts w:cs="Tahoma" w:ascii="Tahoma" w:hAnsi="Tahoma"/>
                <w:b/>
                <w:i/>
                <w:iCs/>
                <w:sz w:val="20"/>
                <w:szCs w:val="20"/>
                <w:vertAlign w:val="superscript"/>
              </w:rPr>
              <w:footnoteReference w:id="2"/>
            </w:r>
            <w:r>
              <w:rPr>
                <w:rFonts w:cs="Tahoma" w:ascii="Tahoma" w:hAnsi="Tahoma"/>
                <w:b/>
                <w:i/>
                <w:iCs/>
                <w:sz w:val="20"/>
                <w:szCs w:val="20"/>
              </w:rPr>
              <w:t>:</w:t>
            </w:r>
          </w:p>
          <w:tbl>
            <w:tblPr>
              <w:tblW w:w="1680" w:type="dxa"/>
              <w:jc w:val="left"/>
              <w:tblInd w:w="0" w:type="dxa"/>
              <w:tblLayout w:type="fixed"/>
              <w:tblCellMar>
                <w:top w:w="0" w:type="dxa"/>
                <w:left w:w="70" w:type="dxa"/>
                <w:bottom w:w="0" w:type="dxa"/>
                <w:right w:w="70" w:type="dxa"/>
              </w:tblCellMar>
              <w:tblLook w:firstRow="1" w:noVBand="1" w:lastRow="0" w:firstColumn="1" w:lastColumn="0" w:noHBand="0" w:val="04a0"/>
            </w:tblPr>
            <w:tblGrid>
              <w:gridCol w:w="979"/>
              <w:gridCol w:w="700"/>
            </w:tblGrid>
            <w:tr>
              <w:trPr>
                <w:trHeight w:val="276" w:hRule="exact"/>
              </w:trPr>
              <w:tc>
                <w:tcPr>
                  <w:tcW w:w="979" w:type="dxa"/>
                  <w:tcBorders/>
                  <w:shd w:color="auto" w:fill="auto" w:val="clear"/>
                </w:tcPr>
                <w:p>
                  <w:pPr>
                    <w:pStyle w:val="Normal"/>
                    <w:widowControl w:val="false"/>
                    <w:spacing w:before="0" w:after="200"/>
                    <w:jc w:val="both"/>
                    <w:rPr>
                      <w:rFonts w:ascii="Tahoma" w:hAnsi="Tahoma" w:cs="Tahoma"/>
                      <w:i/>
                      <w:i/>
                      <w:iCs/>
                      <w:sz w:val="20"/>
                      <w:szCs w:val="20"/>
                      <w:lang w:eastAsia="es-CR"/>
                    </w:rPr>
                  </w:pPr>
                  <w:r>
                    <w:rPr>
                      <w:rFonts w:cs="Tahoma" w:ascii="Tahoma" w:hAnsi="Tahoma"/>
                      <w:i/>
                      <w:iCs/>
                      <w:sz w:val="20"/>
                      <w:szCs w:val="20"/>
                      <w:lang w:eastAsia="es-CR"/>
                    </w:rPr>
                  </w:r>
                </w:p>
              </w:tc>
              <w:tc>
                <w:tcPr>
                  <w:tcW w:w="700" w:type="dxa"/>
                  <w:tcBorders/>
                  <w:shd w:color="auto" w:fill="auto" w:val="clea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r>
                </w:p>
              </w:tc>
            </w:tr>
          </w:tbl>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Estructura mínima de 5 plazas nuevas</w:t>
            </w:r>
            <w:r>
              <w:rPr>
                <w:rFonts w:cs="Tahoma" w:ascii="Tahoma" w:hAnsi="Tahoma"/>
                <w:i/>
                <w:iCs/>
                <w:sz w:val="20"/>
                <w:szCs w:val="20"/>
              </w:rPr>
              <w:t xml:space="preserve">:  </w:t>
            </w:r>
          </w:p>
          <w:p>
            <w:pPr>
              <w:pStyle w:val="Normal"/>
              <w:widowControl w:val="false"/>
              <w:jc w:val="both"/>
              <w:rPr>
                <w:rFonts w:ascii="Tahoma" w:hAnsi="Tahoma" w:cs="Tahoma"/>
                <w:i/>
                <w:i/>
                <w:iCs/>
                <w:sz w:val="20"/>
                <w:szCs w:val="20"/>
              </w:rPr>
            </w:pPr>
            <w:r>
              <w:rPr>
                <w:rFonts w:cs="Tahoma" w:ascii="Tahoma" w:hAnsi="Tahoma"/>
                <w:i/>
                <w:iCs/>
                <w:sz w:val="20"/>
                <w:szCs w:val="20"/>
              </w:rPr>
            </w:r>
          </w:p>
          <w:tbl>
            <w:tblPr>
              <w:tblW w:w="710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421"/>
              <w:gridCol w:w="2679"/>
            </w:tblGrid>
            <w:tr>
              <w:trPr>
                <w:trHeight w:val="541"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PUESTO</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i/>
                      <w:i/>
                      <w:iCs/>
                      <w:sz w:val="20"/>
                      <w:szCs w:val="20"/>
                    </w:rPr>
                  </w:pPr>
                  <w:r>
                    <w:rPr>
                      <w:rFonts w:cs="Tahoma" w:ascii="Tahoma" w:hAnsi="Tahoma"/>
                      <w:b/>
                      <w:i/>
                      <w:iCs/>
                      <w:sz w:val="20"/>
                      <w:szCs w:val="20"/>
                    </w:rPr>
                    <w:t>COSTOS ESTIMADOS</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2018</w:t>
                  </w:r>
                </w:p>
              </w:tc>
            </w:tr>
            <w:tr>
              <w:trPr>
                <w:trHeight w:val="264" w:hRule="atLeast"/>
              </w:trPr>
              <w:tc>
                <w:tcPr>
                  <w:tcW w:w="4421"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Jueza o Juez 4</w:t>
                  </w:r>
                </w:p>
              </w:tc>
              <w:tc>
                <w:tcPr>
                  <w:tcW w:w="2679"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64.124.000,00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Coordinadora o Coordinador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19.060.000,00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Técnica o Técnico Judicial 3</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16.179.000,00</w:t>
                  </w:r>
                </w:p>
              </w:tc>
            </w:tr>
            <w:tr>
              <w:trPr>
                <w:trHeight w:val="276" w:hRule="atLeast"/>
              </w:trPr>
              <w:tc>
                <w:tcPr>
                  <w:tcW w:w="4421"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Custodia/o de Detenidas/os</w:t>
                  </w:r>
                </w:p>
              </w:tc>
              <w:tc>
                <w:tcPr>
                  <w:tcW w:w="2679"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17.211.000,00</w:t>
                  </w:r>
                </w:p>
              </w:tc>
            </w:tr>
            <w:tr>
              <w:trPr>
                <w:trHeight w:val="276" w:hRule="atLeast"/>
              </w:trPr>
              <w:tc>
                <w:tcPr>
                  <w:tcW w:w="4421"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Auxiliar de Seguridad (Guarda de Juicio)</w:t>
                  </w:r>
                </w:p>
              </w:tc>
              <w:tc>
                <w:tcPr>
                  <w:tcW w:w="2679"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13.602.000,00</w:t>
                  </w:r>
                </w:p>
              </w:tc>
            </w:tr>
            <w:tr>
              <w:trPr>
                <w:trHeight w:val="276" w:hRule="atLeast"/>
              </w:trPr>
              <w:tc>
                <w:tcPr>
                  <w:tcW w:w="4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TOTAL</w:t>
                  </w:r>
                </w:p>
              </w:tc>
              <w:tc>
                <w:tcPr>
                  <w:tcW w:w="26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 130.176.000,00</w:t>
                  </w:r>
                </w:p>
              </w:tc>
            </w:tr>
          </w:tbl>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Mobiliario y Equipo de Oficina</w:t>
            </w:r>
            <w:r>
              <w:rPr>
                <w:rFonts w:cs="Tahoma" w:ascii="Tahoma" w:hAnsi="Tahoma"/>
                <w:i/>
                <w:iCs/>
                <w:sz w:val="20"/>
                <w:szCs w:val="20"/>
              </w:rPr>
              <w:t>:</w:t>
            </w:r>
          </w:p>
          <w:p>
            <w:pPr>
              <w:pStyle w:val="Normal"/>
              <w:widowControl w:val="false"/>
              <w:ind w:left="624" w:hanging="0"/>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tbl>
            <w:tblPr>
              <w:tblW w:w="7101"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4428"/>
              <w:gridCol w:w="2672"/>
            </w:tblGrid>
            <w:tr>
              <w:trPr/>
              <w:tc>
                <w:tcPr>
                  <w:tcW w:w="44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PUESTO</w:t>
                  </w:r>
                </w:p>
              </w:tc>
              <w:tc>
                <w:tcPr>
                  <w:tcW w:w="2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i/>
                      <w:i/>
                      <w:iCs/>
                      <w:sz w:val="20"/>
                      <w:szCs w:val="20"/>
                    </w:rPr>
                  </w:pPr>
                  <w:r>
                    <w:rPr>
                      <w:rFonts w:cs="Tahoma" w:ascii="Tahoma" w:hAnsi="Tahoma"/>
                      <w:b/>
                      <w:i/>
                      <w:iCs/>
                      <w:sz w:val="20"/>
                      <w:szCs w:val="20"/>
                    </w:rPr>
                    <w:t>COSTOS ESTIMADOS</w:t>
                  </w:r>
                </w:p>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2018</w:t>
                  </w:r>
                </w:p>
              </w:tc>
            </w:tr>
            <w:tr>
              <w:trPr/>
              <w:tc>
                <w:tcPr>
                  <w:tcW w:w="4428"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OFICINA NUEVA (a)</w:t>
                  </w:r>
                </w:p>
              </w:tc>
              <w:tc>
                <w:tcPr>
                  <w:tcW w:w="2672" w:type="dxa"/>
                  <w:tcBorders>
                    <w:top w:val="single"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1.918.673,00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Jueza o Juez 4</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846.295,00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Coordinadora o Coordinador Judicial 3</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391.398,00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 Técnica o Técnico Judicial 3</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391.398,00</w:t>
                  </w:r>
                </w:p>
              </w:tc>
            </w:tr>
            <w:tr>
              <w:trPr/>
              <w:tc>
                <w:tcPr>
                  <w:tcW w:w="4428"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 xml:space="preserve">1 Custodio de Detenidos </w:t>
                  </w:r>
                  <w:r>
                    <w:rPr>
                      <w:rFonts w:cs="Tahoma" w:ascii="Tahoma" w:hAnsi="Tahoma"/>
                      <w:b/>
                      <w:i/>
                      <w:iCs/>
                      <w:sz w:val="20"/>
                      <w:szCs w:val="20"/>
                    </w:rPr>
                    <w:t>(b)</w:t>
                  </w:r>
                </w:p>
              </w:tc>
              <w:tc>
                <w:tcPr>
                  <w:tcW w:w="2672" w:type="dxa"/>
                  <w:tcBorders>
                    <w:top w:val="dotted" w:sz="4" w:space="0" w:color="000000"/>
                    <w:left w:val="single" w:sz="4" w:space="0" w:color="000000"/>
                    <w:bottom w:val="dotted"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2.288.449,00</w:t>
                  </w:r>
                </w:p>
              </w:tc>
            </w:tr>
            <w:tr>
              <w:trPr/>
              <w:tc>
                <w:tcPr>
                  <w:tcW w:w="4428"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 xml:space="preserve">1 Auxiliar de Seguridad (Guarda de Juicio) </w:t>
                  </w:r>
                  <w:r>
                    <w:rPr>
                      <w:rFonts w:cs="Tahoma" w:ascii="Tahoma" w:hAnsi="Tahoma"/>
                      <w:b/>
                      <w:i/>
                      <w:iCs/>
                      <w:sz w:val="20"/>
                      <w:szCs w:val="20"/>
                    </w:rPr>
                    <w:t>(b)</w:t>
                  </w:r>
                </w:p>
              </w:tc>
              <w:tc>
                <w:tcPr>
                  <w:tcW w:w="2672" w:type="dxa"/>
                  <w:tcBorders>
                    <w:top w:val="dotted"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i/>
                      <w:i/>
                      <w:iCs/>
                      <w:sz w:val="20"/>
                      <w:szCs w:val="20"/>
                    </w:rPr>
                  </w:pPr>
                  <w:r>
                    <w:rPr>
                      <w:rFonts w:cs="Tahoma" w:ascii="Tahoma" w:hAnsi="Tahoma"/>
                      <w:i/>
                      <w:iCs/>
                      <w:sz w:val="20"/>
                      <w:szCs w:val="20"/>
                    </w:rPr>
                    <w:t>1.497.651,00</w:t>
                  </w:r>
                </w:p>
              </w:tc>
            </w:tr>
            <w:tr>
              <w:trPr/>
              <w:tc>
                <w:tcPr>
                  <w:tcW w:w="44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TOTAL</w:t>
                  </w:r>
                </w:p>
              </w:tc>
              <w:tc>
                <w:tcPr>
                  <w:tcW w:w="26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 7.333.864,00</w:t>
                  </w:r>
                </w:p>
              </w:tc>
            </w:tr>
          </w:tbl>
          <w:p>
            <w:pPr>
              <w:pStyle w:val="Normal"/>
              <w:widowControl w:val="false"/>
              <w:ind w:left="180" w:right="772" w:hanging="0"/>
              <w:jc w:val="both"/>
              <w:rPr>
                <w:rFonts w:ascii="Tahoma" w:hAnsi="Tahoma" w:cs="Tahoma"/>
                <w:i/>
                <w:i/>
                <w:iCs/>
                <w:sz w:val="20"/>
                <w:szCs w:val="20"/>
              </w:rPr>
            </w:pPr>
            <w:r>
              <w:rPr>
                <w:rFonts w:cs="Tahoma" w:ascii="Tahoma" w:hAnsi="Tahoma"/>
                <w:b/>
                <w:i/>
                <w:iCs/>
                <w:sz w:val="20"/>
                <w:szCs w:val="20"/>
              </w:rPr>
              <w:t>NOTAS: (a)</w:t>
            </w:r>
            <w:r>
              <w:rPr>
                <w:rFonts w:cs="Tahoma" w:ascii="Tahoma" w:hAnsi="Tahoma"/>
                <w:i/>
                <w:iCs/>
                <w:sz w:val="20"/>
                <w:szCs w:val="20"/>
              </w:rPr>
              <w:t xml:space="preserve"> Incluye 1 Reloj de pared, 6 Sillas de espera (visita), 3 Archivadores metal tipo legal 4 gavetas, 2 Ventiladores de pared, 2 Bibliotecas de metal y 4 Butacas de 4 plazas.  </w:t>
            </w:r>
            <w:r>
              <w:rPr>
                <w:rFonts w:cs="Tahoma" w:ascii="Tahoma" w:hAnsi="Tahoma"/>
                <w:b/>
                <w:i/>
                <w:iCs/>
                <w:sz w:val="20"/>
                <w:szCs w:val="20"/>
              </w:rPr>
              <w:t>(b)</w:t>
            </w:r>
            <w:r>
              <w:rPr>
                <w:rFonts w:cs="Tahoma" w:ascii="Tahoma" w:hAnsi="Tahoma"/>
                <w:i/>
                <w:iCs/>
                <w:sz w:val="20"/>
                <w:szCs w:val="20"/>
              </w:rPr>
              <w:t xml:space="preserve"> Costos de equipamiento básico.</w:t>
            </w:r>
          </w:p>
          <w:p>
            <w:pPr>
              <w:pStyle w:val="Normal"/>
              <w:widowControl w:val="false"/>
              <w:numPr>
                <w:ilvl w:val="0"/>
                <w:numId w:val="32"/>
              </w:numPr>
              <w:spacing w:lineRule="auto" w:line="240" w:before="0" w:after="0"/>
              <w:jc w:val="both"/>
              <w:rPr>
                <w:rFonts w:ascii="Tahoma" w:hAnsi="Tahoma" w:cs="Tahoma"/>
                <w:i/>
                <w:i/>
                <w:iCs/>
                <w:sz w:val="20"/>
                <w:szCs w:val="20"/>
              </w:rPr>
            </w:pPr>
            <w:r>
              <w:rPr>
                <w:rFonts w:cs="Tahoma" w:ascii="Tahoma" w:hAnsi="Tahoma"/>
                <w:b/>
                <w:i/>
                <w:iCs/>
                <w:sz w:val="20"/>
                <w:szCs w:val="20"/>
              </w:rPr>
              <w:t>Alquiler de local</w:t>
            </w:r>
            <w:r>
              <w:rPr>
                <w:rFonts w:cs="Tahoma" w:ascii="Tahoma" w:hAnsi="Tahoma"/>
                <w:i/>
                <w:iCs/>
                <w:sz w:val="20"/>
                <w:szCs w:val="20"/>
              </w:rPr>
              <w:t xml:space="preserve"> (para albergar al personal y habilitado con una sala de juicios considerando un área de 125 metros cuadrados): ¢ 1.500.000,00 colones por mes</w:t>
            </w:r>
            <w:r>
              <w:rPr>
                <w:rStyle w:val="Ancladenotaalpie"/>
                <w:rFonts w:cs="Tahoma" w:ascii="Tahoma" w:hAnsi="Tahoma"/>
                <w:i/>
                <w:iCs/>
                <w:sz w:val="20"/>
                <w:szCs w:val="20"/>
              </w:rPr>
              <w:footnoteReference w:id="3"/>
            </w:r>
            <w:r>
              <w:rPr>
                <w:rFonts w:cs="Tahoma" w:ascii="Tahoma" w:hAnsi="Tahoma"/>
                <w:i/>
                <w:iCs/>
                <w:sz w:val="20"/>
                <w:szCs w:val="20"/>
              </w:rPr>
              <w:t xml:space="preserve">, para </w:t>
            </w:r>
            <w:r>
              <w:rPr>
                <w:rFonts w:cs="Tahoma" w:ascii="Tahoma" w:hAnsi="Tahoma"/>
                <w:b/>
                <w:i/>
                <w:iCs/>
                <w:sz w:val="20"/>
                <w:szCs w:val="20"/>
              </w:rPr>
              <w:t>un monto anual de ¢18.000.000,00 colones</w:t>
            </w:r>
            <w:r>
              <w:rPr>
                <w:rFonts w:cs="Tahoma" w:ascii="Tahoma" w:hAnsi="Tahoma"/>
                <w:i/>
                <w:iCs/>
                <w:sz w:val="20"/>
                <w:szCs w:val="20"/>
              </w:rPr>
              <w:t xml:space="preserve">.  </w:t>
            </w:r>
          </w:p>
          <w:p>
            <w:pPr>
              <w:pStyle w:val="Normal"/>
              <w:widowControl w:val="false"/>
              <w:jc w:val="both"/>
              <w:rPr>
                <w:rFonts w:ascii="Tahoma" w:hAnsi="Tahoma" w:cs="Tahoma"/>
                <w:b/>
                <w:b/>
                <w:i/>
                <w:i/>
                <w:iCs/>
                <w:sz w:val="20"/>
                <w:szCs w:val="20"/>
              </w:rPr>
            </w:pPr>
            <w:r>
              <w:rPr>
                <w:rFonts w:cs="Tahoma" w:ascii="Tahoma" w:hAnsi="Tahoma"/>
                <w:b/>
                <w:i/>
                <w:iCs/>
                <w:sz w:val="20"/>
                <w:szCs w:val="20"/>
              </w:rPr>
              <w:t>Por tanto, los costos totales anuales estimados por habilitar una “Sede de Tribunal” en Buenos Aires serían de alrededor de ¢ 155.509.864,00 colones.</w:t>
            </w:r>
          </w:p>
          <w:p>
            <w:pPr>
              <w:pStyle w:val="Normal"/>
              <w:widowControl w:val="false"/>
              <w:jc w:val="both"/>
              <w:rPr>
                <w:rFonts w:ascii="Tahoma" w:hAnsi="Tahoma" w:cs="Tahoma"/>
                <w:i/>
                <w:i/>
                <w:iCs/>
                <w:sz w:val="20"/>
                <w:szCs w:val="20"/>
              </w:rPr>
            </w:pPr>
            <w:r>
              <w:rPr>
                <w:rFonts w:cs="Tahoma" w:ascii="Tahoma" w:hAnsi="Tahoma"/>
                <w:i/>
                <w:iCs/>
                <w:sz w:val="20"/>
                <w:szCs w:val="20"/>
              </w:rPr>
              <w:t xml:space="preserve">Adicionalmente, se debe contemplar el costo de </w:t>
            </w:r>
            <w:r>
              <w:rPr>
                <w:rFonts w:cs="Tahoma" w:ascii="Tahoma" w:hAnsi="Tahoma"/>
                <w:b/>
                <w:i/>
                <w:iCs/>
                <w:sz w:val="20"/>
                <w:szCs w:val="20"/>
              </w:rPr>
              <w:t xml:space="preserve">¢ 112.575.000,00 </w:t>
            </w:r>
            <w:r>
              <w:rPr>
                <w:rFonts w:cs="Tahoma" w:ascii="Tahoma" w:hAnsi="Tahoma"/>
                <w:i/>
                <w:iCs/>
                <w:sz w:val="20"/>
                <w:szCs w:val="20"/>
              </w:rPr>
              <w:t>correspondiente a una plaza de Fiscala o Fiscal Auxiliar (¢ 57.101.000) y una de Defensora o Defensor Público (¢ 55.474.000), para completar el equipo de trabajo.</w:t>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t>Cabe indicar que las recomendaciones antes expuestas fueron formuladas considerando los resultados obtenidos por la Licda. Graciela Lugo Solano, Profesional 2 (Socióloga) de la Dirección de Planificación, en el análisis sociodemográfico de la zona de Buenos Aires.</w:t>
            </w:r>
          </w:p>
          <w:p>
            <w:pPr>
              <w:pStyle w:val="Normal"/>
              <w:widowControl w:val="false"/>
              <w:jc w:val="both"/>
              <w:rPr>
                <w:rFonts w:ascii="Tahoma" w:hAnsi="Tahoma" w:cs="Tahoma"/>
                <w:b/>
                <w:b/>
                <w:i/>
                <w:i/>
                <w:iCs/>
                <w:sz w:val="20"/>
                <w:szCs w:val="20"/>
              </w:rPr>
            </w:pPr>
            <w:r>
              <w:rPr>
                <w:rFonts w:cs="Tahoma" w:ascii="Tahoma" w:hAnsi="Tahoma"/>
                <w:b/>
                <w:i/>
                <w:iCs/>
                <w:sz w:val="20"/>
                <w:szCs w:val="20"/>
              </w:rPr>
              <w:t>Relación del Informe con el Plan Estratégico del Poder Judicial 2013-2018</w:t>
            </w:r>
          </w:p>
          <w:p>
            <w:pPr>
              <w:pStyle w:val="Normal"/>
              <w:widowControl w:val="false"/>
              <w:jc w:val="both"/>
              <w:rPr>
                <w:rFonts w:ascii="Tahoma" w:hAnsi="Tahoma" w:cs="Tahoma"/>
                <w:i/>
                <w:i/>
                <w:iCs/>
                <w:sz w:val="20"/>
                <w:szCs w:val="20"/>
              </w:rPr>
            </w:pPr>
            <w:r>
              <w:rPr>
                <w:rFonts w:cs="Tahoma" w:ascii="Tahoma" w:hAnsi="Tahoma"/>
                <w:i/>
                <w:iCs/>
                <w:sz w:val="20"/>
                <w:szCs w:val="20"/>
              </w:rPr>
              <w:t>Las recomendaciones antes expuestas están en concordancia con el tema Nº 7 del Plan Estratégico Institucional, para el período 2013-2018, que indica:</w:t>
            </w:r>
          </w:p>
          <w:p>
            <w:pPr>
              <w:pStyle w:val="Normal"/>
              <w:widowControl w:val="false"/>
              <w:ind w:left="540" w:right="380" w:hanging="0"/>
              <w:jc w:val="both"/>
              <w:rPr>
                <w:rFonts w:ascii="Tahoma" w:hAnsi="Tahoma" w:cs="Tahoma"/>
                <w:i/>
                <w:i/>
                <w:iCs/>
                <w:sz w:val="20"/>
                <w:szCs w:val="20"/>
              </w:rPr>
            </w:pPr>
            <w:r>
              <w:rPr>
                <w:rFonts w:cs="Tahoma" w:ascii="Tahoma" w:hAnsi="Tahoma"/>
                <w:b/>
                <w:bCs/>
                <w:i/>
                <w:iCs/>
                <w:sz w:val="20"/>
                <w:szCs w:val="20"/>
              </w:rPr>
              <w:t>“</w:t>
            </w:r>
            <w:r>
              <w:rPr>
                <w:rFonts w:cs="Tahoma" w:ascii="Tahoma" w:hAnsi="Tahoma"/>
                <w:b/>
                <w:bCs/>
                <w:i/>
                <w:iCs/>
                <w:sz w:val="20"/>
                <w:szCs w:val="20"/>
              </w:rPr>
              <w:t>7.- Planificación institucional</w:t>
            </w:r>
          </w:p>
          <w:p>
            <w:pPr>
              <w:pStyle w:val="Normal"/>
              <w:widowControl w:val="false"/>
              <w:ind w:left="540" w:right="380" w:hanging="0"/>
              <w:jc w:val="both"/>
              <w:rPr>
                <w:rFonts w:ascii="Tahoma" w:hAnsi="Tahoma" w:cs="Tahoma"/>
                <w:i/>
                <w:i/>
                <w:iCs/>
                <w:sz w:val="20"/>
                <w:szCs w:val="20"/>
              </w:rPr>
            </w:pPr>
            <w:r>
              <w:rPr>
                <w:rFonts w:cs="Tahoma" w:ascii="Tahoma" w:hAnsi="Tahoma"/>
                <w:i/>
                <w:iCs/>
                <w:sz w:val="20"/>
                <w:szCs w:val="20"/>
              </w:rPr>
              <w:t>Maximizar el uso de los recursos y ordenar los procesos. Se hace necesario este tema a efecto de orientar la gestión judicial para dar respuestas satisfactorias de una forma ordenada, armonizando los recursos disponibles en función de las prioridades definidas.”</w:t>
            </w:r>
          </w:p>
          <w:p>
            <w:pPr>
              <w:pStyle w:val="Normal"/>
              <w:widowControl w:val="false"/>
              <w:jc w:val="both"/>
              <w:rPr>
                <w:rFonts w:ascii="Tahoma" w:hAnsi="Tahoma" w:cs="Tahoma"/>
                <w:i/>
                <w:i/>
                <w:iCs/>
                <w:sz w:val="20"/>
                <w:szCs w:val="20"/>
              </w:rPr>
            </w:pPr>
            <w:r>
              <w:rPr>
                <w:rFonts w:cs="Tahoma" w:ascii="Tahoma" w:hAnsi="Tahoma"/>
                <w:i/>
                <w:iCs/>
                <w:sz w:val="20"/>
                <w:szCs w:val="20"/>
              </w:rPr>
              <w:t>Asimismo, los planteamientos son consecuentes con los siguientes ejes transversales:</w:t>
            </w:r>
          </w:p>
          <w:p>
            <w:pPr>
              <w:pStyle w:val="Normal"/>
              <w:widowControl w:val="false"/>
              <w:numPr>
                <w:ilvl w:val="0"/>
                <w:numId w:val="33"/>
              </w:numPr>
              <w:spacing w:lineRule="auto" w:line="240" w:before="0" w:after="0"/>
              <w:jc w:val="both"/>
              <w:rPr>
                <w:rFonts w:ascii="Tahoma" w:hAnsi="Tahoma" w:cs="Tahoma"/>
                <w:i/>
                <w:i/>
                <w:iCs/>
                <w:sz w:val="20"/>
                <w:szCs w:val="20"/>
              </w:rPr>
            </w:pPr>
            <w:r>
              <w:rPr>
                <w:rFonts w:cs="Tahoma" w:ascii="Tahoma" w:hAnsi="Tahoma"/>
                <w:b/>
                <w:bCs/>
                <w:i/>
                <w:iCs/>
                <w:sz w:val="20"/>
                <w:szCs w:val="20"/>
              </w:rPr>
              <w:t>Servicio Público de Calidad.</w:t>
            </w:r>
            <w:r>
              <w:rPr>
                <w:rFonts w:cs="Tahoma" w:ascii="Tahoma" w:hAnsi="Tahoma"/>
                <w:i/>
                <w:iCs/>
                <w:sz w:val="20"/>
                <w:szCs w:val="20"/>
              </w:rPr>
              <w:t xml:space="preserve"> La propuesta tiene como fin acercar el servicio de justicia penal a las personas usuarias, y principalmente a los grupos vulnerables socialmente, del Cantón de Buenos Aires.</w:t>
            </w:r>
          </w:p>
          <w:p>
            <w:pPr>
              <w:pStyle w:val="Normal"/>
              <w:widowControl w:val="false"/>
              <w:numPr>
                <w:ilvl w:val="0"/>
                <w:numId w:val="33"/>
              </w:numPr>
              <w:spacing w:lineRule="auto" w:line="240" w:before="0" w:after="0"/>
              <w:jc w:val="both"/>
              <w:rPr>
                <w:rFonts w:ascii="Tahoma" w:hAnsi="Tahoma" w:cs="Tahoma"/>
                <w:bCs/>
                <w:i/>
                <w:i/>
                <w:iCs/>
                <w:sz w:val="20"/>
                <w:szCs w:val="20"/>
              </w:rPr>
            </w:pPr>
            <w:r>
              <w:rPr>
                <w:rFonts w:cs="Tahoma" w:ascii="Tahoma" w:hAnsi="Tahoma"/>
                <w:b/>
                <w:bCs/>
                <w:i/>
                <w:iCs/>
                <w:sz w:val="20"/>
                <w:szCs w:val="20"/>
              </w:rPr>
              <w:t>Accesibilidad.</w:t>
            </w:r>
            <w:r>
              <w:rPr>
                <w:rFonts w:cs="Tahoma" w:ascii="Tahoma" w:hAnsi="Tahoma"/>
                <w:i/>
                <w:iCs/>
                <w:sz w:val="20"/>
                <w:szCs w:val="20"/>
              </w:rPr>
              <w:t xml:space="preserve"> Existen problemas evidentes de accesibilidad en el servicio en los grupos vulnerables identificados, principalmente en las personas indígenas por las condiciones socioeconómicas en que viven y lo complejo de los traslados hasta Pérez Zeledón.</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Realizado por:</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Licda. Marlene Alpízar López, Profesional 2.</w:t>
            </w:r>
          </w:p>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Licda. Graciela Lugo Solano, Profesional 2.</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Aprobado por:</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Cs/>
                <w:i/>
                <w:i/>
                <w:iCs/>
                <w:sz w:val="20"/>
                <w:szCs w:val="20"/>
              </w:rPr>
            </w:pPr>
            <w:r>
              <w:rPr>
                <w:rFonts w:cs="Tahoma" w:ascii="Tahoma" w:hAnsi="Tahoma"/>
                <w:bCs/>
                <w:i/>
                <w:iCs/>
                <w:sz w:val="20"/>
                <w:szCs w:val="20"/>
              </w:rPr>
              <w:t>Licda. Ginethe Retana Ureña, Jefa del Subproceso Organización Institucional.</w:t>
            </w:r>
          </w:p>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 xml:space="preserve">Máster Allan Pow Hing Cordero, Jefe del Subproceso de Planificación Estratégica. </w:t>
            </w:r>
          </w:p>
        </w:tc>
      </w:tr>
      <w:tr>
        <w:trPr/>
        <w:tc>
          <w:tcPr>
            <w:tcW w:w="1964" w:type="dxa"/>
            <w:tcBorders>
              <w:top w:val="single" w:sz="4" w:space="0" w:color="000000"/>
              <w:left w:val="single" w:sz="4" w:space="0" w:color="000000"/>
              <w:bottom w:val="single" w:sz="4" w:space="0" w:color="000000"/>
              <w:right w:val="single" w:sz="4" w:space="0" w:color="000000"/>
            </w:tcBorders>
            <w:shd w:color="auto" w:fill="B3B3B3" w:val="clear"/>
            <w:vAlign w:val="center"/>
          </w:tcPr>
          <w:p>
            <w:pPr>
              <w:pStyle w:val="Normal"/>
              <w:widowControl w:val="false"/>
              <w:spacing w:before="0" w:after="200"/>
              <w:jc w:val="both"/>
              <w:rPr>
                <w:rFonts w:ascii="Tahoma" w:hAnsi="Tahoma" w:cs="Tahoma"/>
                <w:b/>
                <w:b/>
                <w:i/>
                <w:i/>
                <w:iCs/>
                <w:sz w:val="20"/>
                <w:szCs w:val="20"/>
              </w:rPr>
            </w:pPr>
            <w:r>
              <w:rPr>
                <w:rFonts w:cs="Tahoma" w:ascii="Tahoma" w:hAnsi="Tahoma"/>
                <w:b/>
                <w:i/>
                <w:iCs/>
                <w:sz w:val="20"/>
                <w:szCs w:val="20"/>
              </w:rPr>
              <w:t>Visto bueno:</w:t>
            </w:r>
          </w:p>
        </w:tc>
        <w:tc>
          <w:tcPr>
            <w:tcW w:w="708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both"/>
              <w:rPr>
                <w:rFonts w:ascii="Tahoma" w:hAnsi="Tahoma" w:cs="Tahoma"/>
                <w:bCs/>
                <w:i/>
                <w:i/>
                <w:iCs/>
                <w:sz w:val="20"/>
                <w:szCs w:val="20"/>
              </w:rPr>
            </w:pPr>
            <w:r>
              <w:rPr>
                <w:rFonts w:cs="Tahoma" w:ascii="Tahoma" w:hAnsi="Tahoma"/>
                <w:bCs/>
                <w:i/>
                <w:iCs/>
                <w:sz w:val="20"/>
                <w:szCs w:val="20"/>
              </w:rPr>
              <w:t>Ing. Dixon Li Morales, Jefe del Proceso de Ejecución de las Operaciones.</w:t>
            </w:r>
          </w:p>
        </w:tc>
      </w:tr>
    </w:tbl>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Como antecedentes se citan en el Oficio en referencia los siguientes:</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Nº 75-16 celebrada el 9 de agosto del año 2016, artículo XXIV, se concedió permiso con goce de salario y sustitución a la plaza N° 96502 de Técnico Judicial 2 de la Fiscalía de Buenos Aires, ocupada en propiedad por el servidor Heiner Bermúdez Anchía, para que llevara a cabo las labores de apoyo al fiscal auxiliar designado para la dirección funcional y ejercicio de la acción penal de los posibles delitos de usurpación de territorio indígena, en perjuicio del pueblo indígena Bribri de Salitre en primera instancia, para luego pasar a analizar lo atinente al pueblo indígena Teribe ubicado en Térraba, cantón de Buenos Aires de Puntarenas, lo anterior a partir del 16 de agosto y hasta el 23 de diciembre del 2016.</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Posteriormente, en sesión N° 113-16 del 20 de diciembre del 2019, artículo LVI,  se prorrogó el permiso con goce de salario y sustitución a la plaza N° 96502 de Técnico Judicial 2 de la Fiscalía de Buenos Aires, ocupada por el servidor Heiner Bermúdez Anchía, y a la plaza N° 19899 de Fiscal Auxiliar de la Fiscalía de Buenos Aires, ocupada por el licenciado Esteban Ceciliano Matamoros a fin de que se dedicaran a las labores que se dieron cuenta, lo anterior a partir del 24 de diciembre del 2016 y hasta el 31 de marzo del 2017.</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 xml:space="preserve">Seguidamente, en sesión N° 2-17 celebrada el 12 de enero del 2017, artículo LXXVI, se concedió permiso con goce de salario y sustitución, a una plaza de Juez 4, para el Tribunal del Primer Circuito de la Zona Sur, así como a un fiscal y un defensor o defensora, para completar el equipo, a partir del 16 de enero del 2017 y hasta por tres meses y se dedicaran a las labores indicadas con el fin de dar un trato prioritario a las comunidades indígenas del cantón de Buenos Aires. </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Luego en sesión N° 29-17 del 28 de marzo del 2017, artículo LV, se prorrogó el permiso con goce de salario y sustitución a partir del 1 de abril y hasta el 31 de diciembre 2017, a las plazas N° s 96502 de Técnico Judicial 2 y 19899 de Fiscal Auxiliar, ambas de la Fiscalía de Buenos Aires, a fin de que se dedicaran a las labores que se dan cuenta.</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32-17 celebrada el 4 de abril del 2017, artículo XLV, se prorrogaron los permisos con goce de salario y sustitución, a una plaza de Juez 4 y a una de Fiscal, del 17 de abril del 2017 y hasta por tres meses, para que se dedicaran a las labores indicadas con el fin de dar un trato prioritario a las comunidades indígenas del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34-17 del 5 de abril del 2017, artículo LXXXIX, se prorrogaron los permisos con goce de salario y sustitución, a una plaza de Defensor Público, del 16 de abril del 2017 y hasta por tres meses más, para que se dedicaran a las labores indicadas con el fin de dar un trato prioritario a las comunidades indígenas del cantón de Buenos Aires.</w:t>
      </w:r>
    </w:p>
    <w:p>
      <w:pPr>
        <w:pStyle w:val="Normal"/>
        <w:jc w:val="both"/>
        <w:rPr>
          <w:rFonts w:ascii="Tahoma" w:hAnsi="Tahoma" w:cs="Tahoma"/>
          <w:i/>
          <w:i/>
          <w:iCs/>
          <w:color w:val="000000"/>
          <w:sz w:val="20"/>
          <w:szCs w:val="20"/>
        </w:rPr>
      </w:pPr>
      <w:r>
        <w:rPr>
          <w:rFonts w:cs="Tahoma" w:ascii="Tahoma" w:hAnsi="Tahoma"/>
          <w:i/>
          <w:iCs/>
          <w:color w:val="000000"/>
          <w:sz w:val="20"/>
          <w:szCs w:val="20"/>
        </w:rPr>
        <w:t>Luego en sesión N° 40-17 celebrada el 27 de abril del 2017, artículo XXXVIII, se comunicó al máster Randall Quirós Soto, Jefe de la Sección de Desarrollo Organizacional de la Dirección de Planificación, que este Consejo requiere el estudio solicitado en sesión Nº 113-16 del 20 de diciembre del 2016, artículo LVI, para determinar la necesidad de mantener los permisos con goce de salario y sustitución a la plaza N° 96502 de Técnico Judicial 2 y a la plaza N° 19899 de Fiscal Auxiliar de la Fiscalía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Posteriormente, en sesión N° 42-17 del 4 de mayo del 2017, artículo LXIII, se tuvo por rendido el informe de la Dirección de Planificación con respecto al estudio solicitado en sesión N° 40-17 del 27 de abril del 2017, artículo XXXVIII.</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sesión N° 63-17 del 04 de julio del 2017, artículo XCVII, se prorrogó el permiso con goce de salario y sustitución de la plaza de juez 4 asignada al Tribunal de Juicio de Pérez Zeledón, hasta el último día laboral del 2017, para que se dedicara las labores indicadas y se concedió permiso con goce de salario y sustitución a una plaza de Técnico Judicial del citado despacho, del 01 de setiembre hasta el último día laboral del 2017, siempre y cuando exista contenido presupuestario, de lo contario se instó a la administración regional del Primer Circuito Judicial de la Zona Sur, a mantener dentro de las posibilidades el técnico supernumerario a fin de que continuara con la colaboración del juzgador en los debates y vistas a realizar en 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Seguidamente, en sesión N° 66-17 del 13 de julio del 2017, artículo XCI, se prorrogó el permiso con goce de salario y sustitución a una plaza de Defensor Público, hasta el último día laboral del 2017, para que se dedicara a las labores indicadas, en el cantón de Buenos Aires.</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Finalmente, en sesión N° 96-17 celebrada el 19 de octubre del 2017, artículo CII, se aprobó el traslado de la plaza de Juez 4 del Tribunal de Juicio del Primer Circuito Judicial de la Zona Sur, al Tribunal de Juicio del Primer Circuito Judicial de Alajuela, por lo que restaba del año 2017.</w:t>
      </w:r>
    </w:p>
    <w:p>
      <w:pPr>
        <w:pStyle w:val="Normal"/>
        <w:ind w:firstLine="708"/>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i/>
          <w:i/>
          <w:iCs/>
          <w:color w:val="000000"/>
          <w:sz w:val="20"/>
          <w:szCs w:val="20"/>
        </w:rPr>
      </w:pPr>
      <w:r>
        <w:rPr>
          <w:rFonts w:cs="Tahoma" w:ascii="Tahoma" w:hAnsi="Tahoma"/>
          <w:i/>
          <w:iCs/>
          <w:color w:val="000000"/>
          <w:sz w:val="20"/>
          <w:szCs w:val="20"/>
        </w:rPr>
        <w:t>En relación con lo anterior, la Subcomisión mantiene la misma posición que externó en su momento y amplía la misma para que se valore con los recursos institucionales existentes, amplíe el equipo de trabajo para atender de manera prioritaria los procesos judiciales vinculados con la población indígena de Buenos Aires de Puntarenas, al tratarse de una población en situación de vulnerabilidad; con especial atención de los procesos relacionados con personas indígenas beneficiarias de las Medidas Cautelares 321-12 de la CIDH contra el Estado. Lo anterior, a fin de poder cumplir con la responsabilidad del Poder Judicial como parte del Estado, en lo que a sus competencias se refiere. De igual forma, la petición anterior obedece al cumplimiento de la Circular 188-19 de Corte Plena.</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Normal"/>
        <w:jc w:val="both"/>
        <w:rPr>
          <w:rFonts w:ascii="Tahoma" w:hAnsi="Tahoma" w:cs="Tahoma"/>
          <w:b/>
          <w:b/>
          <w:bCs/>
          <w:i/>
          <w:i/>
          <w:iCs/>
          <w:color w:val="000000"/>
          <w:sz w:val="20"/>
          <w:szCs w:val="20"/>
        </w:rPr>
      </w:pPr>
      <w:r>
        <w:rPr>
          <w:rFonts w:cs="Tahoma" w:ascii="Tahoma" w:hAnsi="Tahoma"/>
          <w:b/>
          <w:bCs/>
          <w:i/>
          <w:iCs/>
          <w:color w:val="000000"/>
          <w:sz w:val="20"/>
          <w:szCs w:val="20"/>
        </w:rPr>
        <w:t>Recomendaciones:</w:t>
      </w:r>
    </w:p>
    <w:p>
      <w:pPr>
        <w:pStyle w:val="Normal"/>
        <w:jc w:val="both"/>
        <w:rPr>
          <w:rFonts w:ascii="Tahoma" w:hAnsi="Tahoma" w:cs="Tahoma"/>
          <w:i/>
          <w:i/>
          <w:iCs/>
          <w:color w:val="000000"/>
          <w:sz w:val="20"/>
          <w:szCs w:val="20"/>
        </w:rPr>
      </w:pPr>
      <w:r>
        <w:rPr>
          <w:rFonts w:cs="Tahoma" w:ascii="Tahoma" w:hAnsi="Tahoma"/>
          <w:i/>
          <w:iCs/>
          <w:color w:val="000000"/>
          <w:sz w:val="20"/>
          <w:szCs w:val="20"/>
        </w:rPr>
      </w:r>
    </w:p>
    <w:p>
      <w:pPr>
        <w:pStyle w:val="ListParagraph"/>
        <w:numPr>
          <w:ilvl w:val="0"/>
          <w:numId w:val="35"/>
        </w:numPr>
        <w:spacing w:before="0" w:after="0"/>
        <w:jc w:val="both"/>
        <w:rPr>
          <w:rFonts w:ascii="Tahoma" w:hAnsi="Tahoma" w:cs="Tahoma"/>
          <w:i/>
          <w:i/>
          <w:iCs/>
          <w:color w:val="000000"/>
          <w:sz w:val="20"/>
        </w:rPr>
      </w:pPr>
      <w:r>
        <w:rPr>
          <w:rFonts w:cs="Tahoma" w:ascii="Tahoma" w:hAnsi="Tahoma"/>
          <w:i/>
          <w:iCs/>
          <w:color w:val="000000"/>
          <w:sz w:val="20"/>
          <w:lang w:val="es-MX"/>
        </w:rPr>
        <w:t>Se solicita establecer una acción afirmativa en beneficio de la población indígena de Buenos Aires de Puntarenas y de China Quichá de Pérez Zeledón, que consiste en reforzar tanto la jurisdicción de Buenos Aires como Pérez Zeledón, con nuevas plazas que permitan  conformar un equipo de trabajo completo que integre representantes de Judicatura, Defensa Pública, Fiscalía de Asuntos indígenas, OIJ, personal de apoyo, recursos tecnológicos y materiales tales como vehículos para transporte y oficinas, entre otros que sean necesarios para que la labor del equipo de trabajo pueda ser eficaz, eficiente y efectiva, a efecto de atender los procesos judiciales vinculados con las personas indígenas citadas. Lo anterior, con fundamento en la normativa internacional que regula los derechos de la población indígena</w:t>
      </w:r>
      <w:r>
        <w:rPr>
          <w:rFonts w:cs="Tahoma" w:ascii="Tahoma" w:hAnsi="Tahoma"/>
          <w:i/>
          <w:iCs/>
          <w:color w:val="000000"/>
          <w:sz w:val="20"/>
        </w:rPr>
        <w:t xml:space="preserve">: </w:t>
      </w:r>
      <w:r>
        <w:rPr>
          <w:rFonts w:cs="Tahoma" w:ascii="Tahoma" w:hAnsi="Tahoma"/>
          <w:i/>
          <w:iCs/>
          <w:color w:val="000000"/>
          <w:sz w:val="20"/>
          <w:lang w:val="es-MX"/>
        </w:rPr>
        <w:t>Convenio sobre Pueblos Indígenas y Tribales 1989 (Convenio 169 OIT), Declaración de las Naciones Unidas sobre los derechos de los Pueblos Indígenas 2007 y Declaración Americana sobre Derechos de los Pueblos Indígenas OEA 2016, la cual tiene carácter supraconstitucional según reiteradas resoluciones de la Sala Constitucional al tratarse de convenios referidos a derechos humanos; el artículo 1 de la Constitución Política que refiere a Costa Rica como un país multiétnico y pluricultural; así como la normativa interna, entre otras, la Ley Indígena y la Ley de Acceso a la Justicia de Pueblos Indígenas.</w:t>
      </w:r>
    </w:p>
    <w:p>
      <w:pPr>
        <w:pStyle w:val="ListParagraph"/>
        <w:jc w:val="both"/>
        <w:rPr>
          <w:rFonts w:ascii="Tahoma" w:hAnsi="Tahoma" w:cs="Tahoma"/>
          <w:i/>
          <w:i/>
          <w:iCs/>
          <w:color w:val="000000"/>
          <w:sz w:val="20"/>
        </w:rPr>
      </w:pPr>
      <w:r>
        <w:rPr>
          <w:rFonts w:cs="Tahoma" w:ascii="Tahoma" w:hAnsi="Tahoma"/>
          <w:i/>
          <w:iCs/>
          <w:color w:val="000000"/>
          <w:sz w:val="20"/>
        </w:rPr>
      </w:r>
    </w:p>
    <w:p>
      <w:pPr>
        <w:pStyle w:val="ListParagraph"/>
        <w:jc w:val="both"/>
        <w:rPr>
          <w:rFonts w:ascii="Tahoma" w:hAnsi="Tahoma" w:cs="Tahoma"/>
          <w:i/>
          <w:i/>
          <w:iCs/>
          <w:color w:val="000000"/>
          <w:sz w:val="20"/>
        </w:rPr>
      </w:pPr>
      <w:r>
        <w:rPr>
          <w:rFonts w:cs="Tahoma" w:ascii="Tahoma" w:hAnsi="Tahoma"/>
          <w:i/>
          <w:iCs/>
          <w:color w:val="000000"/>
          <w:sz w:val="20"/>
        </w:rPr>
      </w:r>
    </w:p>
    <w:p>
      <w:pPr>
        <w:pStyle w:val="ListParagraph"/>
        <w:jc w:val="both"/>
        <w:rPr>
          <w:rFonts w:ascii="Tahoma" w:hAnsi="Tahoma" w:cs="Tahoma"/>
          <w:i/>
          <w:i/>
          <w:iCs/>
          <w:color w:val="000000"/>
          <w:sz w:val="20"/>
        </w:rPr>
      </w:pPr>
      <w:r>
        <w:rPr>
          <w:rFonts w:cs="Tahoma" w:ascii="Tahoma" w:hAnsi="Tahoma"/>
          <w:i/>
          <w:iCs/>
          <w:color w:val="000000"/>
          <w:sz w:val="20"/>
        </w:rPr>
        <w:t>En relación con lo anterior, debe tomarse en consideración que los conflictos en Buenos Aires de Puntarenas han aumentado considerablemente, por lo que la recomendación planteada en esta recomendación y en la siguiente, se refieren a la autorización de un equipo de trabajo en materia penal por medio de la aplicación del artículo 44 de la Ley Orgánica del Poder Judicial conforme a la Metodología de Administración de Proyectos para el control y seguimiento debidos. Además, debe tomarse en consideración que los territorios indígenas de Buenos Aires de Puntarenas corresponden a una competencia territorial diferente al territorio de China Quichá de Pérez Zeledón.</w:t>
      </w:r>
    </w:p>
    <w:p>
      <w:pPr>
        <w:pStyle w:val="ListParagraph"/>
        <w:spacing w:lineRule="auto" w:line="228" w:before="0" w:after="231"/>
        <w:ind w:left="720" w:right="14" w:hanging="0"/>
        <w:contextualSpacing/>
        <w:jc w:val="both"/>
        <w:rPr>
          <w:rFonts w:ascii="Tahoma" w:hAnsi="Tahoma" w:cs="Tahoma"/>
          <w:i/>
          <w:i/>
          <w:iCs/>
          <w:sz w:val="20"/>
        </w:rPr>
      </w:pPr>
      <w:r>
        <w:rPr>
          <w:rFonts w:cs="Tahoma" w:ascii="Tahoma" w:hAnsi="Tahoma"/>
          <w:i/>
          <w:iCs/>
          <w:sz w:val="20"/>
        </w:rPr>
      </w:r>
    </w:p>
    <w:p>
      <w:pPr>
        <w:pStyle w:val="ListParagraph"/>
        <w:numPr>
          <w:ilvl w:val="0"/>
          <w:numId w:val="35"/>
        </w:numPr>
        <w:spacing w:before="0" w:after="0"/>
        <w:jc w:val="both"/>
        <w:rPr>
          <w:rFonts w:ascii="Tahoma" w:hAnsi="Tahoma" w:cs="Tahoma"/>
          <w:i/>
          <w:i/>
          <w:iCs/>
          <w:color w:val="000000"/>
          <w:sz w:val="20"/>
        </w:rPr>
      </w:pPr>
      <w:r>
        <w:rPr>
          <w:rFonts w:cs="Tahoma" w:ascii="Tahoma" w:hAnsi="Tahoma"/>
          <w:i/>
          <w:iCs/>
          <w:color w:val="000000"/>
          <w:sz w:val="20"/>
        </w:rPr>
        <w:t xml:space="preserve">Para la valoración de la urgencia del citado recurso se tome en cuenta no solo aspectos estadísticos, sino que se tome en cuenta la especificidad con que los funcionarios deben atender la población indígena y el abordaje diferenciado de las causas, que implica una aumento en las cargas de trabajo de manera que para atender adecuadamente los usuarios se debe contar con más personal, con el cual sea posible atender prioritariamente la conflictividad que enfrenta la zona.  </w:t>
      </w:r>
    </w:p>
    <w:p>
      <w:pPr>
        <w:pStyle w:val="Normal"/>
        <w:spacing w:lineRule="auto" w:line="228" w:before="0" w:after="231"/>
        <w:ind w:left="360" w:right="14" w:hanging="0"/>
        <w:jc w:val="both"/>
        <w:rPr>
          <w:rFonts w:ascii="Tahoma" w:hAnsi="Tahoma" w:cs="Tahoma"/>
          <w:i/>
          <w:i/>
          <w:iCs/>
          <w:sz w:val="20"/>
          <w:szCs w:val="20"/>
        </w:rPr>
      </w:pPr>
      <w:r>
        <w:rPr>
          <w:rFonts w:cs="Tahoma" w:ascii="Tahoma" w:hAnsi="Tahoma"/>
          <w:i/>
          <w:iCs/>
          <w:sz w:val="20"/>
          <w:szCs w:val="20"/>
        </w:rPr>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 xml:space="preserve">En seguimiento del cumplimiento de las </w:t>
      </w:r>
      <w:r>
        <w:rPr>
          <w:rFonts w:eastAsia="Batang" w:cs="Tahoma" w:ascii="Tahoma" w:hAnsi="Tahoma"/>
          <w:i/>
          <w:iCs/>
          <w:kern w:val="2"/>
          <w:sz w:val="20"/>
        </w:rPr>
        <w:t>Medidas Cautelares N° 321-12 del 30 de abril de 2015, establecidas por la Comisión Interamericana de Derechos Humanos (CIDH) contra Costa Rica, que obligan al Estado a a</w:t>
      </w:r>
      <w:r>
        <w:rPr>
          <w:rFonts w:cs="Tahoma" w:ascii="Tahoma" w:hAnsi="Tahoma"/>
          <w:i/>
          <w:iCs/>
          <w:sz w:val="20"/>
        </w:rPr>
        <w:t>doptar las medidas necesarias para garantizar la vida y la integridad personal de los miembros del pueblo indígena Teribe y del pueblo indígena Bribri de Salitre, concertar las medidas a implementarse con los beneficiarios y sus representantes; e informar sobre las acciones adoptadas a fin de investigar los presuntos hechos que dieron lugar a la adopción de dicha medida cautelar y así evitar su repetición, se solicita al Consejo Superior en cumplimiento a lo que compete al Poder Judicial como parte del Estado, el reforzamiento de las oficinas judiciales que atienden este tipo de procesos en las materias penal, agraria y contenciosa administrativa, con el personal necesario a efecto de que las decisiones judiciales sobre ese tipo de asuntos se atienda de manera prioritaria y se emitan de conformidad con la normativa nacional e internacional que regula los derechos de la población indígena. Lo anterior, debido a que las medidas cautelares y provisionales de la CIDH tienen un doble carácter, uno cautelar y otro tutelar. Respecto del carácter tutelar, las medidas buscan evitar un daño irreparable y preservar el ejercicio de los derechos humanos. Con respecto al carácter cautelar, las medidas cautelares tienen como propósito preservar una situación jurídica de derechos en posible riesgo, hasta en tanto se resuelva la petición que se encuentra bajo conocimiento en el Sistema Interamericano. Su objeto y fin son los de asegurar la integridad y la efectividad de la decisión de fondo y, de esta manera, evitar que se lesionen los derechos alegados, situación que podría hacer inocua o desvirtuar el efecto útil de la decisión final, según la CIDH. Con ocasión de lo anterior, a fin de que el Estado pueda cumplir con la decisión final de las Medidas y, de ser necesario, con las reparaciones ordenadas, es necesario reforzar los equipos de trabajo humanos y materiales a disposición para atender este tipo de procesos, con especial referencia a la materia penal que es objeto de análisis.</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A efecto de atender la "gravedad de la situación", vinculada con el serio impacto que la acción u omisión estatal pueda tener sobre los derechos protegidos o sobre el efecto eventual de las decisiones pendientes ante la CIDH; así como la "urgencia de la situación", que se determina por la información que indica que el riesgo o la amenaza son inminentes y puedan materializarse, requiriendo de esa manera acción preventiva o tutelar; el "daño irreparable" vinculado con la afectación sobre derechos que, por su propia naturaleza, no son susceptibles de reparación, restauración o adecuada indemnización, se solicita la atención prioritaria e inmediata de los requerimientos de recursos materiales y tecnológicos, así como el talento humano necesario para conformar el equipo de trabajo que continúe dando respuesta a los procesos vinculados con la población indígena beneficiaria de las Medidas Cautelares.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A efecto de cumplir con la Circular 188-19 de Corte Plena, solicitar a la Escuela Judicial para que priorice el fortalecimiento de las competencias del equipo de trabajo que esta a cargo y que, de aceptarse las recomendaciones anteriores, se designe de manera inmediata para la atención de los procesos judiciales penales vinculados con la población indígena de Buenos Aires de Puntarenas y de China Quichá de Pérez Zeledón, indistintamente de la cantidad de procesos pendientes o la proyección que se tenga ante los altos niveles de conflictividad en la zona, atendiendo sobre todo a la exigencia de la normativa supraconstitucional que regula los derechos de esa población y los requerimientos de la CIDH. Lo anterior, para disminuir en lo posible desde las funciones del Poder Judicial, la serie continua de ciclos de amenazas, hostigamientos y actos de violencia en contra de los miembros de los pueblos indígenas Teribe y Bribri de Salitre, identificados por los gestionantes de las Medidas Cautelares como posibles factores generadores de riesgo que incidirían en su situación, asociados a lo que la CIDH califica como un presunto clima de tensión y hostilidad, en vista que los miembros de ambos pueblos indígenas estarían cohabitando un área en la que se encontrarían personas no indígenas, en el marco de un conflicto territorial que habría perdurado por varios años; y supuestas represalias, debido a la labor que los miembros de ambos pueblos indígenas estarían adelantando, con el fin de que se reconozca y delimite su territorio.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 xml:space="preserve">Se solicite a la Dirección Nacional de Justicia Restaurativa y al Centro de Conciliación del Poder Judicial continuar con la atención de los procesos indígenas de la zona citada, coadyuvando en la búsqueda de soluciones legalmente posibles y con pertinencia cultural, en cumplimiento del mandato que les confiere la Ley de Acceso a la Justicia de Pueblos Indígenas de Costa Rica. Lo anterior, considerando que, según refiere la CIDH en las Medidas Cautelares 321-15, el 7 de julio de 2014, el Sistema de Naciones Unidas en Costa Rica expresó "su preocupación por la violencia registrada en el territorio indígena de Salitre [...l, que ha provocado movilización de personas, quema de ranchos y bloqueo de caminos. La ONU confía en que el Estado impulse urgentemente la resolución pacífica del conflicto de manera que se proteja el derecho de los pueblos indígenas a su territorio y también se garantice los derechos humanos de todos sus habitantes y a los actores involucrados para que rechacen cualquier tipo de violencia"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 Oficina de Protección de Víctimas y Testigos, ante la posibilidad de que la situación de riesgo pueda exacerbase aún más en la zona de Buenos Aires y de China Quichá de Pérez Zeledón, por la continuidad del clima de tensión y las medidas destinadas a delimitar los territorios, se tomen medidas adecuadas y efectivas, tomando en consideración un enfoque diferencial respecto de pueblos indígenas y las dinámicas particulares en la zona. Se recomienda que las medidas necesarias que se tomen para garantizar la vida y la integridad personal de los miembros del pueblo indígena Teribe y del pueblo indígena Bribri de Salitre, deben tener pertinencia cultural.</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las personas servidoras judiciales y oficinas involucradas en los equipos de trabajo que se conformen, emitir informes de su gestión, según la periodicidad que la Dirección de Planificación sugiera al Consejo Superior y éste disponga, a efecto de verificar el acceso a la justicia de la población y la atención prioritaria y oportuna.</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Instar a la Dirección Ejecutiva para asegurar que el equipo de personas traductoras e intérpretes, conformado tanto por mujeres como por hombres, en cumplimiento de la Ley de Acceso a la Justicia de Pueblos Indígenas, sea suficiente para la atención de los procesos judiciales en los que estén vinculadas personas indígenas de las zonas referidas, para garantizar que no se constituya en un atraso en la gestión de los diferentes equipos de trabajo.</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a la Administración Regional del Primer Circuito Judicial de Pérez Zeledón a cargo de Buenos Aires, y a los despachos involucrados, tomar las medidas necesarias para que el pago a las personas traductoras e intérpretes se realice de manera oportuna y cumpliendo con todos los requerimientos legales y políticas institucionales, para poder seguir contando con este apoyo.</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sz w:val="20"/>
        </w:rPr>
        <w:t>Solicitar colaboración a la Escuela de Antropología de la Universidad de Costa Rica que, en cumplimiento de la Ley de Acceso a la Justicia de Pueblos Indígenas de Costa Rica, para que coadyuven con los peritajes culturales necesarios para la atención de los procesos judiciales que atienda el equipo de trabajo que se conforme, a cargo de reforzar la atención de los asuntos indígenas de la zona de Buenos Aires de Puntarenas y China Quichá de Pérez Zeledón.</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Solicitar a la Escuela Judicial, en cumplimiento de la Ley de Acceso a la Justicia de Pueblos Indígenas de Costa Rica y la Circular 188-19 de Corte Plena, brinde capacitación de manera prioritaria al equipo de trabajo que se conforme para atender los asuntos penales de la zona, con el objetivo de fortalecer sus competencias en Derecho Indígena, siguiendo los lineamientos dispuestos en la circular en referencia que incluyen aspectos relacionados con contenidos mínimos, verificación de asistencia y seguimiento del impacto de la capacitación. Instar a la Escuela Judicial ve</w:t>
      </w:r>
      <w:r>
        <w:rPr>
          <w:rFonts w:eastAsia="Arial Unicode MS" w:cs="Tahoma" w:ascii="Tahoma" w:hAnsi="Tahoma"/>
          <w:bCs/>
          <w:i/>
          <w:iCs/>
          <w:kern w:val="2"/>
          <w:sz w:val="20"/>
        </w:rPr>
        <w:t>rifique que, en los contenidos de los diseños de las capacitaciones en Derecho Indígena, se incluya al menos: a) 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 b) Jurisprudencia de la Corte Interamericana de Derechos Humanos vinculada con pueblos Indígenas incluyendo la Opinión Consultiva 23-2017, c) Constitución Política, Ley Indígena, Ley de Acceso a la Justicia de los Pueblos Indígenas, entre otras; d) Jurisprudencia de las Salas de Casación y de la Sala Constitucional de la Corte Suprema de Justicia; d) Lineamientos y circulares de Corte Plena y del Consejo Superior vinculados con las reglas para los procesos en los que estén involucradas personas indígenas; además, los alcances y distinción entre el sistema monista y el pluralismo jurídico. Incluyendo, el establecimiento de un modelo de control y seguimiento a fin de medir el impacto de esas capacitaciones en el fortalecimiento de las competencias de las personas servidoras judiciales que asistan y su concreción en las resoluciones –incluyendo las sentencias- que emitan en los procesos propios de su competencia, con absoluto respeto al principio de independencia judicial y los principios de Bangalore sobre la conducta judicial, entre otros. Al respecto, la Institución tiene experiencia pues para tal seguimiento del impacto de la capacitación se diseñó el Manual para realizar las evaluaciones de resultados de la capacitación judicial en el desempeño laboral por parte de la Escuela Judicial.</w:t>
      </w:r>
    </w:p>
    <w:p>
      <w:pPr>
        <w:pStyle w:val="ListParagraph"/>
        <w:numPr>
          <w:ilvl w:val="0"/>
          <w:numId w:val="35"/>
        </w:numPr>
        <w:spacing w:lineRule="auto" w:line="228" w:before="0" w:after="231"/>
        <w:ind w:left="720" w:right="14" w:hanging="360"/>
        <w:jc w:val="both"/>
        <w:rPr>
          <w:rFonts w:ascii="Tahoma" w:hAnsi="Tahoma" w:eastAsia="Arial Unicode MS" w:cs="Tahoma"/>
          <w:bCs/>
          <w:i/>
          <w:i/>
          <w:iCs/>
          <w:kern w:val="2"/>
          <w:sz w:val="20"/>
        </w:rPr>
      </w:pPr>
      <w:r>
        <w:rPr>
          <w:rFonts w:eastAsia="Arial Unicode MS" w:cs="Tahoma" w:ascii="Tahoma" w:hAnsi="Tahoma"/>
          <w:bCs/>
          <w:i/>
          <w:iCs/>
          <w:kern w:val="2"/>
          <w:sz w:val="20"/>
        </w:rPr>
        <w:t>Declarar obligatoria la participación de las personas servidoras judiciales en las capacitaciones sobre Derecho Indígena, ampliar a sensibilización, atención y acceso a la justicia de pueblos indígenas en cumplimiento de la Ley de Acceso a la Justicia de Pueblos Indígenas, especialmente quienes tengan competencia material y territorial para conocer de procesos judiciales vinculados con el pueblo indígena Teribe y Bribri de Salitre y la Circular 188-19 de Corte Plena.</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eastAsia="Arial Unicode MS" w:cs="Tahoma" w:ascii="Tahoma" w:hAnsi="Tahoma"/>
          <w:bCs/>
          <w:i/>
          <w:iCs/>
          <w:kern w:val="2"/>
          <w:sz w:val="20"/>
        </w:rPr>
        <w:t>Solicitar a la Escuela Judicial llevar un control de las personas que hayan sido capacitadas y un seguimiento para medir el impacto en su gestión, y valorar su inclusión en los indicadores de evaluación de desempeño y los procesos de reclutamiento, ya sea para nombramientos o ascensos en puestos vinculados con el conocimiento de procesos asociados a personas indígenas.</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cs="Tahoma" w:ascii="Tahoma" w:hAnsi="Tahoma"/>
          <w:i/>
          <w:iCs/>
          <w:color w:val="000000"/>
          <w:sz w:val="20"/>
        </w:rPr>
        <w:t>Instar al CACMFJ para que, junto con el Departamento de Prensa y Comunicación Organizacional, divulgue la Circular 188-19 de Corte Plena; en especial el eje sexto referido a las personas juzgadoras de todas las materias que atienden procesos vinculados con personas indígenas, en el que se señala: “</w:t>
      </w:r>
      <w:r>
        <w:rPr>
          <w:rFonts w:eastAsia="Arial Unicode MS" w:cs="Tahoma" w:ascii="Tahoma" w:hAnsi="Tahoma"/>
          <w:bCs/>
          <w:i/>
          <w:iCs/>
          <w:kern w:val="2"/>
          <w:sz w:val="20"/>
        </w:rPr>
        <w:t xml:space="preserve">Con absoluto respeto al principio de independencia judicial, emitir circulares dirigidas a todas las personas servidoras judiciales en las que se les reitere su deber de ser garantes del acceso efectivo a la justicia de los pueblos indígenas, la no discriminación y eliminación de barreras, a saber: </w:t>
      </w:r>
      <w:r>
        <w:rPr>
          <w:rFonts w:eastAsia="Arial Unicode MS" w:cs="Tahoma" w:ascii="Tahoma" w:hAnsi="Tahoma"/>
          <w:b/>
          <w:i/>
          <w:iCs/>
          <w:kern w:val="2"/>
          <w:sz w:val="20"/>
        </w:rPr>
        <w:t>i)</w:t>
      </w:r>
      <w:r>
        <w:rPr>
          <w:rFonts w:eastAsia="Arial Unicode MS" w:cs="Tahoma" w:ascii="Tahoma" w:hAnsi="Tahoma"/>
          <w:bCs/>
          <w:i/>
          <w:iCs/>
          <w:kern w:val="2"/>
          <w:sz w:val="20"/>
        </w:rPr>
        <w:t xml:space="preserve"> asegurar que los miembros de la comunidad puedan comprender y hacerse comprender en los procedimientos legales iniciados, facilitándoles intérpretes u otros medios eficaces para tal fin; </w:t>
      </w:r>
      <w:r>
        <w:rPr>
          <w:rFonts w:eastAsia="Arial Unicode MS" w:cs="Tahoma" w:ascii="Tahoma" w:hAnsi="Tahoma"/>
          <w:b/>
          <w:i/>
          <w:iCs/>
          <w:kern w:val="2"/>
          <w:sz w:val="20"/>
        </w:rPr>
        <w:t>ii)</w:t>
      </w:r>
      <w:r>
        <w:rPr>
          <w:rFonts w:eastAsia="Arial Unicode MS" w:cs="Tahoma" w:ascii="Tahoma" w:hAnsi="Tahoma"/>
          <w:bCs/>
          <w:i/>
          <w:iCs/>
          <w:kern w:val="2"/>
          <w:sz w:val="20"/>
        </w:rPr>
        <w:t xml:space="preserve"> proporcionar el acceso a los pueblos indígenas y tribales a asistencia técnica y legal en relación con su derecho a la propiedad colectiva, en el supuesto de que estos se encontrasen en una situación de vulnerabilidad que les impediría conseguirla, y </w:t>
      </w:r>
      <w:r>
        <w:rPr>
          <w:rFonts w:eastAsia="Arial Unicode MS" w:cs="Tahoma" w:ascii="Tahoma" w:hAnsi="Tahoma"/>
          <w:b/>
          <w:i/>
          <w:iCs/>
          <w:kern w:val="2"/>
          <w:sz w:val="20"/>
        </w:rPr>
        <w:t>iii)</w:t>
      </w:r>
      <w:r>
        <w:rPr>
          <w:rFonts w:eastAsia="Arial Unicode MS" w:cs="Tahoma" w:ascii="Tahoma" w:hAnsi="Tahoma"/>
          <w:bCs/>
          <w:i/>
          <w:iCs/>
          <w:kern w:val="2"/>
          <w:sz w:val="20"/>
        </w:rPr>
        <w:t xml:space="preserve"> 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 que conforman su identidad cultural, sus características económicas y sociales, su posible situación de vulnerabilidad, su derecho consuetudinario, valores, usos y costumbres, así como su especial relación con la tierra, y respeto de los mecanismos internos de decisión de controversias en materia indígena, los cuales se encuentren en armonía con los derechos humanos, según los estándares internacionales establecidos por la Corte Interamericana de Derechos Humanos en el caso Pueblos Kaliña y Lokono versus Surinam, sentencia de 25 de noviembre de 2015 y las disposiciones de la Ley de Acceso a la Justicia de los Pueblos Indígenas de Costa Rica.” Así como el sétimo que indica: “</w:t>
      </w:r>
      <w:r>
        <w:rPr>
          <w:rFonts w:eastAsia="Arial Unicode MS" w:cs="Tahoma" w:ascii="Tahoma" w:hAnsi="Tahoma"/>
          <w:b/>
          <w:i/>
          <w:iCs/>
          <w:kern w:val="2"/>
          <w:sz w:val="20"/>
        </w:rPr>
        <w:t>7.</w:t>
      </w:r>
      <w:r>
        <w:rPr>
          <w:rFonts w:eastAsia="Arial Unicode MS" w:cs="Tahoma" w:ascii="Tahoma" w:hAnsi="Tahoma"/>
          <w:bCs/>
          <w:i/>
          <w:iCs/>
          <w:kern w:val="2"/>
          <w:sz w:val="20"/>
        </w:rPr>
        <w:t xml:space="preserve"> Con absoluto respeto al principio de independencia judicial y los principios de Bangalore sobre la conducta judicial, entre otros, establecer políticas y prácticas de gestión de recursos humanos apropiadas, principalmente en cuanto a contratación, vinculación, entrenamiento, evaluación, promoción  y acciones disciplinarias; todo de conformidad con el ordenamiento jurídico y técnico aplicable, en lo relacionado con la aplicación del Derecho Indígena, con el objetivo de ofrecer a las personas usuarias indígenas una justicia pronta, cumplida, sin denegación y accesible; priorizando lo vinculado con los procesos judiciales en los que sean parte miembros del pueblo indígena Teribe y Bribri de Salitre.” </w:t>
      </w:r>
    </w:p>
    <w:p>
      <w:pPr>
        <w:pStyle w:val="ListParagraph"/>
        <w:numPr>
          <w:ilvl w:val="0"/>
          <w:numId w:val="35"/>
        </w:numPr>
        <w:spacing w:lineRule="auto" w:line="228" w:before="0" w:after="231"/>
        <w:ind w:left="720" w:right="14" w:hanging="360"/>
        <w:jc w:val="both"/>
        <w:rPr>
          <w:rFonts w:ascii="Tahoma" w:hAnsi="Tahoma" w:cs="Tahoma"/>
          <w:i/>
          <w:i/>
          <w:iCs/>
          <w:sz w:val="20"/>
        </w:rPr>
      </w:pPr>
      <w:r>
        <w:rPr>
          <w:rFonts w:eastAsia="Arial Unicode MS" w:cs="Tahoma" w:ascii="Tahoma" w:hAnsi="Tahoma"/>
          <w:bCs/>
          <w:i/>
          <w:iCs/>
          <w:kern w:val="2"/>
          <w:sz w:val="20"/>
        </w:rPr>
        <w:t>Solicitar a la Contraloría de Servicios del Poder Judicial, Comisión de Acceso a la Justicia y Subcomisión de Acceso a la Justicia de Pueblos Indígenas, en cumplimiento de la Ley de Acceso a la Justicia de Pueblos Indígenas, y el eje octavo de la Circular 188-19, priorizar la realización de encuentros entre el pueblo indígena Teribe y Bribri de Salitre, a efecto de que estas últimas les expongan el funcionamiento del Poder Judicial en sus diferentes ámbitos. En forma previa a su ejecución, solicitarles concertar con las personas indígenas de los pueblos indígenas de Buenos Aires la identificación de los contenidos mínimos de los aspectos sobre los cuales desean ser informados y los mecanismos que ofrece el Poder Judicial para el acceso a la justicia. Así mismo, que en forma coordinada con la Escuela Judicial y demás Unidades de Capacitación de la institución, coordinen encuentros entre representantes del pueblo indígena Teribe y Bribri de Salitre y personas funcionarias judiciales con competencia para conocer procesos judiciales vinculados con esa población, a efecto de que las personas indígenas capaciten a las y los servidores judiciales sobre la 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Aires de Puntarenas, incluyendo a personas juzgadoras, técnicas y coordinadoras judiciales, defensoras públicas, fiscalas, personal administrativo, del Organismo de Investigación Judicial, entre otros. Iniciar el proceso de capacitación con personas servidoras judiciales de las Jurisdicciones Penal, Agrario y Contencioso Administrativo, de todas las instancias; y luego se continuará con las demás.</w:t>
      </w:r>
    </w:p>
    <w:p>
      <w:pPr>
        <w:pStyle w:val="Normal"/>
        <w:spacing w:beforeAutospacing="1" w:afterAutospacing="1"/>
        <w:jc w:val="both"/>
        <w:rPr>
          <w:rFonts w:ascii="Tahoma" w:hAnsi="Tahoma" w:cs="Tahoma"/>
          <w:i/>
          <w:i/>
          <w:iCs/>
          <w:sz w:val="20"/>
          <w:szCs w:val="20"/>
          <w:lang w:val="es-ES"/>
        </w:rPr>
      </w:pPr>
      <w:r>
        <w:rPr>
          <w:rFonts w:cs="Tahoma" w:ascii="Tahoma" w:hAnsi="Tahoma"/>
          <w:i/>
          <w:iCs/>
          <w:sz w:val="20"/>
          <w:szCs w:val="20"/>
          <w:lang w:val="es-ES"/>
        </w:rPr>
        <w:t>Se adjuntan documentos de interés y desde la Subcomisión de Acceso a la Justicia de Pueblos Indígenas nos ponemos en la mayor disposición en caso de que requieran una ampliación del informe.</w:t>
      </w:r>
    </w:p>
    <w:p>
      <w:pPr>
        <w:pStyle w:val="Normal"/>
        <w:spacing w:beforeAutospacing="1" w:afterAutospacing="1"/>
        <w:jc w:val="both"/>
        <w:rPr>
          <w:rFonts w:ascii="Tahoma" w:hAnsi="Tahoma" w:cs="Tahoma"/>
          <w:i/>
          <w:i/>
          <w:iCs/>
          <w:sz w:val="20"/>
          <w:szCs w:val="20"/>
          <w:lang w:val="es-ES"/>
        </w:rPr>
      </w:pPr>
      <w:r>
        <w:rPr>
          <w:rFonts w:cs="Tahoma" w:ascii="Tahoma" w:hAnsi="Tahoma"/>
          <w:i/>
          <w:iCs/>
          <w:sz w:val="20"/>
          <w:szCs w:val="20"/>
          <w:lang w:val="es-ES"/>
        </w:rPr>
        <w:t xml:space="preserve">De ustedes con respeto y estima, </w:t>
      </w:r>
    </w:p>
    <w:p>
      <w:pPr>
        <w:pStyle w:val="Normal"/>
        <w:spacing w:beforeAutospacing="1" w:afterAutospacing="1"/>
        <w:rPr>
          <w:rFonts w:ascii="Tahoma" w:hAnsi="Tahoma" w:cs="Tahoma"/>
          <w:i/>
          <w:i/>
          <w:iCs/>
          <w:sz w:val="20"/>
          <w:szCs w:val="20"/>
        </w:rPr>
      </w:pPr>
      <w:r>
        <w:rPr>
          <w:rFonts w:cs="Tahoma" w:ascii="Tahoma" w:hAnsi="Tahoma"/>
          <w:i/>
          <w:iCs/>
          <w:sz w:val="20"/>
          <w:szCs w:val="20"/>
        </w:rPr>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Damaris Vargas Vásquez</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Coordinadora Subcomisión Acceso a la Justicia de Pueblos Indígenas</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Magistrada Sala Primera de la Corte Suprema de Justicia</w:t>
      </w:r>
    </w:p>
    <w:p>
      <w:pPr>
        <w:pStyle w:val="Normal"/>
        <w:spacing w:beforeAutospacing="1" w:afterAutospacing="1"/>
        <w:jc w:val="center"/>
        <w:rPr>
          <w:rFonts w:ascii="Tahoma" w:hAnsi="Tahoma" w:cs="Tahoma"/>
          <w:b/>
          <w:b/>
          <w:bCs/>
          <w:i/>
          <w:i/>
          <w:iCs/>
          <w:sz w:val="20"/>
          <w:szCs w:val="20"/>
        </w:rPr>
      </w:pPr>
      <w:r>
        <w:rPr>
          <w:rFonts w:cs="Tahoma" w:ascii="Tahoma" w:hAnsi="Tahoma"/>
          <w:b/>
          <w:bCs/>
          <w:i/>
          <w:iCs/>
          <w:sz w:val="20"/>
          <w:szCs w:val="20"/>
        </w:rPr>
        <w:t>Poder Judicial</w:t>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r>
    </w:p>
    <w:p>
      <w:pPr>
        <w:pStyle w:val="Normal"/>
        <w:widowControl w:val="false"/>
        <w:jc w:val="both"/>
        <w:rPr>
          <w:rFonts w:ascii="Tahoma" w:hAnsi="Tahoma" w:cs="Tahoma"/>
          <w:i/>
          <w:i/>
          <w:iCs/>
          <w:sz w:val="20"/>
          <w:szCs w:val="20"/>
        </w:rPr>
      </w:pPr>
      <w:r>
        <w:rPr>
          <w:rFonts w:cs="Tahoma" w:ascii="Tahoma" w:hAnsi="Tahoma"/>
          <w:i/>
          <w:iCs/>
          <w:sz w:val="20"/>
          <w:szCs w:val="20"/>
        </w:rPr>
        <w:t>Copias:</w:t>
      </w:r>
    </w:p>
    <w:p>
      <w:pPr>
        <w:pStyle w:val="Normal"/>
        <w:widowControl w:val="false"/>
        <w:jc w:val="both"/>
        <w:rPr>
          <w:rFonts w:ascii="Tahoma" w:hAnsi="Tahoma" w:cs="Tahoma"/>
          <w:i/>
          <w:i/>
          <w:iCs/>
          <w:sz w:val="20"/>
          <w:szCs w:val="20"/>
        </w:rPr>
      </w:pPr>
      <w:r>
        <w:rPr>
          <w:rFonts w:cs="Tahoma" w:ascii="Tahoma" w:hAnsi="Tahoma"/>
          <w:i/>
          <w:iCs/>
          <w:sz w:val="20"/>
          <w:szCs w:val="20"/>
        </w:rPr>
        <w:t xml:space="preserve">Comisión de Acceso a la Justicia </w:t>
      </w:r>
    </w:p>
    <w:p>
      <w:pPr>
        <w:pStyle w:val="Normal"/>
        <w:widowControl w:val="false"/>
        <w:jc w:val="both"/>
        <w:rPr>
          <w:rFonts w:ascii="Tahoma" w:hAnsi="Tahoma" w:cs="Tahoma"/>
          <w:i/>
          <w:i/>
          <w:iCs/>
          <w:sz w:val="20"/>
          <w:szCs w:val="20"/>
        </w:rPr>
      </w:pPr>
      <w:r>
        <w:rPr>
          <w:rFonts w:cs="Tahoma" w:ascii="Tahoma" w:hAnsi="Tahoma"/>
          <w:i/>
          <w:iCs/>
          <w:sz w:val="20"/>
          <w:szCs w:val="20"/>
        </w:rPr>
        <w:t>Comisión de la Jurisdicción Penal</w:t>
      </w:r>
    </w:p>
    <w:p>
      <w:pPr>
        <w:pStyle w:val="Normal"/>
        <w:widowControl w:val="false"/>
        <w:jc w:val="both"/>
        <w:rPr>
          <w:rFonts w:ascii="Tahoma" w:hAnsi="Tahoma" w:cs="Tahoma"/>
          <w:i/>
          <w:i/>
          <w:iCs/>
          <w:sz w:val="20"/>
          <w:szCs w:val="20"/>
        </w:rPr>
      </w:pPr>
      <w:r>
        <w:rPr>
          <w:rFonts w:cs="Tahoma" w:ascii="Tahoma" w:hAnsi="Tahoma"/>
          <w:i/>
          <w:iCs/>
          <w:sz w:val="20"/>
          <w:szCs w:val="20"/>
        </w:rPr>
        <w:t>Unidad de Acceso a la Justicia</w:t>
      </w:r>
    </w:p>
    <w:p>
      <w:pPr>
        <w:pStyle w:val="Normal"/>
        <w:widowControl w:val="false"/>
        <w:jc w:val="both"/>
        <w:rPr>
          <w:rFonts w:ascii="Tahoma" w:hAnsi="Tahoma" w:cs="Tahoma"/>
          <w:i/>
          <w:i/>
          <w:iCs/>
          <w:sz w:val="20"/>
          <w:szCs w:val="20"/>
        </w:rPr>
      </w:pPr>
      <w:r>
        <w:rPr>
          <w:rFonts w:cs="Tahoma" w:ascii="Tahoma" w:hAnsi="Tahoma"/>
          <w:i/>
          <w:iCs/>
          <w:sz w:val="20"/>
          <w:szCs w:val="20"/>
        </w:rPr>
        <w:t>Subcomisión de Acceso a la Justicia de Pueblos Indígenas</w:t>
      </w:r>
    </w:p>
    <w:p>
      <w:pPr>
        <w:pStyle w:val="Normal"/>
        <w:widowControl w:val="false"/>
        <w:jc w:val="both"/>
        <w:rPr>
          <w:rFonts w:ascii="Tahoma" w:hAnsi="Tahoma" w:cs="Tahoma"/>
          <w:i/>
          <w:i/>
          <w:iCs/>
          <w:sz w:val="20"/>
          <w:szCs w:val="20"/>
        </w:rPr>
      </w:pPr>
      <w:r>
        <w:rPr>
          <w:rFonts w:cs="Tahoma" w:ascii="Tahoma" w:hAnsi="Tahoma"/>
          <w:i/>
          <w:iCs/>
          <w:sz w:val="20"/>
          <w:szCs w:val="20"/>
        </w:rPr>
        <w:t>Dirección del Ministerio Público</w:t>
      </w:r>
    </w:p>
    <w:p>
      <w:pPr>
        <w:pStyle w:val="Normal"/>
        <w:widowControl w:val="false"/>
        <w:jc w:val="both"/>
        <w:rPr>
          <w:rFonts w:ascii="Tahoma" w:hAnsi="Tahoma" w:cs="Tahoma"/>
          <w:i/>
          <w:i/>
          <w:iCs/>
          <w:sz w:val="20"/>
          <w:szCs w:val="20"/>
        </w:rPr>
      </w:pPr>
      <w:r>
        <w:rPr>
          <w:rFonts w:cs="Tahoma" w:ascii="Tahoma" w:hAnsi="Tahoma"/>
          <w:i/>
          <w:iCs/>
          <w:sz w:val="20"/>
          <w:szCs w:val="20"/>
        </w:rPr>
        <w:t>Dirección de Planificación</w:t>
      </w:r>
    </w:p>
    <w:p>
      <w:pPr>
        <w:pStyle w:val="Normal"/>
        <w:widowControl w:val="false"/>
        <w:jc w:val="both"/>
        <w:rPr>
          <w:rFonts w:ascii="Tahoma" w:hAnsi="Tahoma" w:cs="Tahoma"/>
          <w:i/>
          <w:i/>
          <w:iCs/>
          <w:sz w:val="20"/>
          <w:szCs w:val="20"/>
        </w:rPr>
      </w:pPr>
      <w:r>
        <w:rPr>
          <w:rFonts w:cs="Tahoma" w:ascii="Tahoma" w:hAnsi="Tahoma"/>
          <w:i/>
          <w:iCs/>
          <w:sz w:val="20"/>
          <w:szCs w:val="20"/>
        </w:rPr>
        <w:t>Dirección del OIJ</w:t>
      </w:r>
    </w:p>
    <w:p>
      <w:pPr>
        <w:pStyle w:val="Normal"/>
        <w:widowControl w:val="false"/>
        <w:jc w:val="both"/>
        <w:rPr>
          <w:rFonts w:ascii="Tahoma" w:hAnsi="Tahoma" w:cs="Tahoma"/>
          <w:i/>
          <w:i/>
          <w:iCs/>
          <w:sz w:val="20"/>
          <w:szCs w:val="20"/>
        </w:rPr>
      </w:pPr>
      <w:r>
        <w:rPr>
          <w:rFonts w:cs="Tahoma" w:ascii="Tahoma" w:hAnsi="Tahoma"/>
          <w:i/>
          <w:iCs/>
          <w:sz w:val="20"/>
          <w:szCs w:val="20"/>
        </w:rPr>
        <w:t>Dirección de la Defensa Pública</w:t>
      </w:r>
    </w:p>
    <w:p>
      <w:pPr>
        <w:pStyle w:val="Normal"/>
        <w:widowControl w:val="false"/>
        <w:jc w:val="both"/>
        <w:rPr>
          <w:rFonts w:ascii="Tahoma" w:hAnsi="Tahoma" w:cs="Tahoma"/>
          <w:i/>
          <w:i/>
          <w:iCs/>
          <w:sz w:val="20"/>
          <w:szCs w:val="20"/>
        </w:rPr>
      </w:pPr>
      <w:r>
        <w:rPr>
          <w:rFonts w:cs="Tahoma" w:ascii="Tahoma" w:hAnsi="Tahoma"/>
          <w:i/>
          <w:iCs/>
          <w:sz w:val="20"/>
          <w:szCs w:val="20"/>
        </w:rPr>
        <w:t>Dirección del CACMFJ</w:t>
      </w:r>
    </w:p>
    <w:p>
      <w:pPr>
        <w:pStyle w:val="Normal"/>
        <w:widowControl w:val="false"/>
        <w:jc w:val="both"/>
        <w:rPr>
          <w:rFonts w:ascii="Tahoma" w:hAnsi="Tahoma" w:cs="Tahoma"/>
          <w:i/>
          <w:i/>
          <w:iCs/>
          <w:sz w:val="20"/>
          <w:szCs w:val="20"/>
        </w:rPr>
      </w:pPr>
      <w:r>
        <w:rPr>
          <w:rFonts w:cs="Tahoma" w:ascii="Tahoma" w:hAnsi="Tahoma"/>
          <w:i/>
          <w:iCs/>
          <w:sz w:val="20"/>
          <w:szCs w:val="20"/>
        </w:rPr>
        <w:t xml:space="preserve">Tribunal </w:t>
      </w:r>
      <w:r>
        <w:rPr>
          <w:rFonts w:cs="Tahoma" w:ascii="Tahoma" w:hAnsi="Tahoma"/>
          <w:bCs/>
          <w:i/>
          <w:iCs/>
          <w:sz w:val="20"/>
          <w:szCs w:val="20"/>
        </w:rPr>
        <w:t>del Primer Circuito Judicial de la Zona Sur</w:t>
      </w:r>
    </w:p>
    <w:p>
      <w:pPr>
        <w:pStyle w:val="Normal"/>
        <w:rPr>
          <w:rFonts w:ascii="Tahoma" w:hAnsi="Tahoma" w:cs="Tahoma"/>
          <w:i/>
          <w:i/>
          <w:iCs/>
          <w:sz w:val="20"/>
          <w:szCs w:val="20"/>
        </w:rPr>
      </w:pPr>
      <w:r>
        <w:rPr>
          <w:rFonts w:cs="Tahoma" w:ascii="Tahoma" w:hAnsi="Tahoma"/>
          <w:bCs/>
          <w:i/>
          <w:iCs/>
          <w:sz w:val="20"/>
          <w:szCs w:val="20"/>
        </w:rPr>
        <w:t>Juzgado Penal del Primer Circuito Judicial de la Zona Sur</w:t>
      </w:r>
    </w:p>
    <w:p>
      <w:pPr>
        <w:pStyle w:val="Normal"/>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rFonts w:cs="Tahoma" w:ascii="Tahoma" w:hAnsi="Tahoma"/>
          <w:sz w:val="20"/>
          <w:szCs w:val="20"/>
        </w:rPr>
        <w:t>-0-</w:t>
      </w:r>
    </w:p>
    <w:p>
      <w:pPr>
        <w:pStyle w:val="Normal"/>
        <w:jc w:val="center"/>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lang w:val="es-ES"/>
        </w:rPr>
      </w:pPr>
      <w:r>
        <w:rPr>
          <w:rFonts w:cs="Tahoma" w:ascii="Tahoma" w:hAnsi="Tahoma"/>
          <w:sz w:val="20"/>
          <w:szCs w:val="20"/>
          <w:lang w:val="es-ES"/>
        </w:rPr>
        <w:t xml:space="preserve">La Unidad de Acceso a la Justicia comunicó mediante el </w:t>
      </w:r>
      <w:r>
        <w:rPr>
          <w:rFonts w:cs="Tahoma" w:ascii="Tahoma" w:hAnsi="Tahoma"/>
          <w:b/>
          <w:sz w:val="20"/>
          <w:szCs w:val="20"/>
          <w:lang w:val="es-ES"/>
        </w:rPr>
        <w:t>Oficio CACC-08-2020</w:t>
      </w:r>
      <w:r>
        <w:rPr>
          <w:rFonts w:cs="Tahoma" w:ascii="Tahoma" w:hAnsi="Tahoma"/>
          <w:sz w:val="20"/>
          <w:szCs w:val="20"/>
          <w:lang w:val="es-ES"/>
        </w:rPr>
        <w:t xml:space="preserve"> a la Fiscalía Adjunta de Asuntos Indígenas, el acuerdo estipulado en el Artículo V del Acta 10-19 el cual se transcribe literalmente: </w:t>
      </w:r>
    </w:p>
    <w:p>
      <w:pPr>
        <w:pStyle w:val="NormalWeb"/>
        <w:spacing w:lineRule="auto" w:line="276" w:before="280" w:after="0"/>
        <w:jc w:val="both"/>
        <w:rPr>
          <w:rFonts w:ascii="Tahoma" w:hAnsi="Tahoma" w:cs="Tahoma"/>
          <w:b/>
          <w:b/>
          <w:bCs/>
          <w:i/>
          <w:i/>
          <w:iCs/>
          <w:sz w:val="20"/>
          <w:szCs w:val="20"/>
        </w:rPr>
      </w:pPr>
      <w:r>
        <w:rPr>
          <w:rFonts w:cs="Tahoma" w:ascii="Tahoma" w:hAnsi="Tahoma"/>
          <w:b/>
          <w:bCs/>
          <w:i/>
          <w:iCs/>
          <w:sz w:val="20"/>
          <w:szCs w:val="20"/>
          <w:u w:val="single"/>
        </w:rPr>
        <w:t>SE ACUERDA:</w:t>
      </w:r>
      <w:r>
        <w:rPr>
          <w:rFonts w:cs="Tahoma" w:ascii="Tahoma" w:hAnsi="Tahoma"/>
          <w:b/>
          <w:bCs/>
          <w:i/>
          <w:iCs/>
          <w:sz w:val="20"/>
          <w:szCs w:val="20"/>
        </w:rPr>
        <w:t xml:space="preserve"> </w:t>
      </w:r>
      <w:r>
        <w:rPr>
          <w:rFonts w:cs="Tahoma" w:ascii="Tahoma" w:hAnsi="Tahoma"/>
          <w:bCs/>
          <w:i/>
          <w:sz w:val="20"/>
          <w:szCs w:val="20"/>
          <w:highlight w:val="lightGray"/>
          <w:lang w:val="es-ES" w:eastAsia="ar-SA"/>
        </w:rPr>
        <w:t>2°.</w:t>
      </w:r>
      <w:r>
        <w:rPr>
          <w:rFonts w:cs="Tahoma" w:ascii="Tahoma" w:hAnsi="Tahoma"/>
          <w:bCs/>
          <w:i/>
          <w:sz w:val="20"/>
          <w:szCs w:val="20"/>
          <w:lang w:val="es-ES" w:eastAsia="ar-SA"/>
        </w:rPr>
        <w:t xml:space="preserve"> Consultar a la Fiscalía Adjunta de Asuntos Indígenas, infor</w:t>
      </w:r>
      <w:r>
        <w:rPr>
          <w:rFonts w:cs="Tahoma" w:ascii="Tahoma" w:hAnsi="Tahoma"/>
          <w:i/>
          <w:sz w:val="20"/>
          <w:szCs w:val="20"/>
          <w:lang w:val="es-ES" w:eastAsia="ar-SA"/>
        </w:rPr>
        <w:t xml:space="preserve">me sobre el control </w:t>
      </w:r>
      <w:r>
        <w:rPr>
          <w:rFonts w:cs="Tahoma" w:ascii="Tahoma" w:hAnsi="Tahoma"/>
          <w:i/>
          <w:sz w:val="20"/>
          <w:szCs w:val="20"/>
          <w:lang w:val="es-ES_tradnl" w:eastAsia="ar-SA"/>
        </w:rPr>
        <w:t>de las estadísticas de los asuntos indígenas por fiscalía, así como del cronograma de atención a los territorios indígenas en el Cantón de Buenos Aires y brinde seguimiento al proyecto, así como de los informes trimestrales a la Dirección de Planificación de las actividades realizadas por las plazas asignadas y el desarrollo del proyecto, con el fin de tener datos y elementos para evaluar la necesidad del recurso. Se declara este acuerdo firme.</w:t>
      </w:r>
      <w:r>
        <w:rPr>
          <w:rFonts w:cs="Tahoma" w:ascii="Tahoma" w:hAnsi="Tahoma"/>
          <w:i/>
          <w:sz w:val="20"/>
          <w:szCs w:val="20"/>
          <w:lang w:val="es-ES" w:eastAsia="ar-SA"/>
        </w:rPr>
        <w:t>”</w:t>
      </w:r>
    </w:p>
    <w:p>
      <w:pPr>
        <w:pStyle w:val="Normal"/>
        <w:jc w:val="both"/>
        <w:rPr>
          <w:rFonts w:ascii="Tahoma" w:hAnsi="Tahoma" w:cs="Tahoma"/>
          <w:sz w:val="20"/>
          <w:szCs w:val="20"/>
        </w:rPr>
      </w:pPr>
      <w:r>
        <w:rPr>
          <w:rFonts w:cs="Tahoma" w:ascii="Tahoma" w:hAnsi="Tahoma"/>
          <w:sz w:val="20"/>
          <w:szCs w:val="20"/>
          <w:lang w:val="es-ES"/>
        </w:rPr>
        <w:t xml:space="preserve">La Fiscalía Adjunta de Asuntos Indígenas comunicó mediante el </w:t>
      </w:r>
      <w:r>
        <w:rPr>
          <w:rFonts w:cs="Tahoma" w:ascii="Tahoma" w:hAnsi="Tahoma"/>
          <w:sz w:val="20"/>
          <w:szCs w:val="20"/>
        </w:rPr>
        <w:t xml:space="preserve">Oficio </w:t>
      </w:r>
      <w:r>
        <w:rPr>
          <w:rFonts w:cs="Tahoma" w:ascii="Tahoma" w:hAnsi="Tahoma"/>
          <w:b/>
          <w:sz w:val="20"/>
          <w:szCs w:val="20"/>
        </w:rPr>
        <w:t>N° 12-FAI-2020</w:t>
      </w:r>
      <w:r>
        <w:rPr>
          <w:rFonts w:cs="Tahoma" w:ascii="Tahoma" w:hAnsi="Tahoma"/>
          <w:sz w:val="20"/>
          <w:szCs w:val="20"/>
        </w:rPr>
        <w:t>, lo siguiente:</w:t>
      </w:r>
    </w:p>
    <w:p>
      <w:pPr>
        <w:pStyle w:val="Normal"/>
        <w:spacing w:before="100" w:after="200"/>
        <w:ind w:left="5821" w:hanging="0"/>
        <w:rPr>
          <w:rFonts w:ascii="Tahoma" w:hAnsi="Tahoma" w:cs="Tahoma"/>
          <w:b/>
          <w:b/>
          <w:i/>
          <w:i/>
          <w:iCs/>
          <w:sz w:val="20"/>
          <w:szCs w:val="20"/>
        </w:rPr>
      </w:pPr>
      <w:r>
        <w:rPr>
          <w:rFonts w:cs="Tahoma" w:ascii="Tahoma" w:hAnsi="Tahoma"/>
          <w:i/>
          <w:iCs/>
          <w:position w:val="-8"/>
          <w:sz w:val="20"/>
          <w:szCs w:val="20"/>
        </w:rPr>
        <w:t>San Jos</w:t>
      </w:r>
      <w:r>
        <w:rPr>
          <w:rFonts w:cs="Tahoma" w:ascii="Tahoma" w:hAnsi="Tahoma"/>
          <w:b/>
          <w:i/>
          <w:iCs/>
          <w:position w:val="-8"/>
          <w:sz w:val="20"/>
          <w:szCs w:val="20"/>
        </w:rPr>
        <w:t xml:space="preserve">é </w:t>
      </w:r>
      <w:r>
        <w:rPr>
          <w:rFonts w:cs="Tahoma" w:ascii="Tahoma" w:hAnsi="Tahoma"/>
          <w:b/>
          <w:i/>
          <w:iCs/>
          <w:sz w:val="20"/>
          <w:szCs w:val="20"/>
        </w:rPr>
        <w:t xml:space="preserve">14 de </w:t>
      </w:r>
      <w:r>
        <w:rPr>
          <w:rFonts w:cs="Tahoma" w:ascii="Tahoma" w:hAnsi="Tahoma"/>
          <w:b/>
          <w:i/>
          <w:iCs/>
          <w:spacing w:val="2"/>
          <w:sz w:val="20"/>
          <w:szCs w:val="20"/>
        </w:rPr>
        <w:t xml:space="preserve">febrero </w:t>
      </w:r>
      <w:r>
        <w:rPr>
          <w:rFonts w:cs="Tahoma" w:ascii="Tahoma" w:hAnsi="Tahoma"/>
          <w:b/>
          <w:i/>
          <w:iCs/>
          <w:sz w:val="20"/>
          <w:szCs w:val="20"/>
        </w:rPr>
        <w:t>de</w:t>
      </w:r>
      <w:r>
        <w:rPr>
          <w:rFonts w:cs="Tahoma" w:ascii="Tahoma" w:hAnsi="Tahoma"/>
          <w:b/>
          <w:i/>
          <w:iCs/>
          <w:spacing w:val="31"/>
          <w:sz w:val="20"/>
          <w:szCs w:val="20"/>
        </w:rPr>
        <w:t xml:space="preserve"> </w:t>
      </w:r>
      <w:r>
        <w:rPr>
          <w:rFonts w:cs="Tahoma" w:ascii="Tahoma" w:hAnsi="Tahoma"/>
          <w:b/>
          <w:i/>
          <w:iCs/>
          <w:sz w:val="20"/>
          <w:szCs w:val="20"/>
        </w:rPr>
        <w:t>2020</w:t>
      </w:r>
    </w:p>
    <w:p>
      <w:pPr>
        <w:pStyle w:val="Cuerpodetexto"/>
        <w:spacing w:before="9" w:after="0"/>
        <w:rPr>
          <w:rFonts w:ascii="Tahoma" w:hAnsi="Tahoma" w:cs="Tahoma"/>
          <w:b/>
          <w:b/>
          <w:i/>
          <w:i/>
          <w:iCs/>
          <w:sz w:val="20"/>
          <w:szCs w:val="20"/>
        </w:rPr>
      </w:pPr>
      <w:r>
        <w:rPr>
          <w:rFonts w:cs="Tahoma" w:ascii="Tahoma" w:hAnsi="Tahoma"/>
          <w:b/>
          <w:i/>
          <w:iCs/>
          <w:sz w:val="20"/>
          <w:szCs w:val="20"/>
        </w:rPr>
      </w:r>
    </w:p>
    <w:p>
      <w:pPr>
        <w:pStyle w:val="Ttulo11"/>
        <w:ind w:left="0" w:right="100" w:hanging="0"/>
        <w:jc w:val="right"/>
        <w:rPr>
          <w:rFonts w:ascii="Tahoma" w:hAnsi="Tahoma" w:cs="Tahoma"/>
          <w:i/>
          <w:i/>
          <w:iCs/>
          <w:sz w:val="20"/>
          <w:szCs w:val="20"/>
        </w:rPr>
      </w:pPr>
      <w:r>
        <w:rPr>
          <w:rFonts w:cs="Tahoma" w:ascii="Tahoma" w:hAnsi="Tahoma"/>
          <w:i/>
          <w:iCs/>
          <w:spacing w:val="2"/>
          <w:sz w:val="20"/>
          <w:szCs w:val="20"/>
        </w:rPr>
        <w:t xml:space="preserve">Oficio </w:t>
      </w:r>
      <w:r>
        <w:rPr>
          <w:rFonts w:cs="Tahoma" w:ascii="Tahoma" w:hAnsi="Tahoma"/>
          <w:i/>
          <w:iCs/>
          <w:sz w:val="20"/>
          <w:szCs w:val="20"/>
        </w:rPr>
        <w:t>N°</w:t>
      </w:r>
      <w:r>
        <w:rPr>
          <w:rFonts w:cs="Tahoma" w:ascii="Tahoma" w:hAnsi="Tahoma"/>
          <w:i/>
          <w:iCs/>
          <w:spacing w:val="17"/>
          <w:sz w:val="20"/>
          <w:szCs w:val="20"/>
        </w:rPr>
        <w:t xml:space="preserve"> </w:t>
      </w:r>
      <w:r>
        <w:rPr>
          <w:rFonts w:cs="Tahoma" w:ascii="Tahoma" w:hAnsi="Tahoma"/>
          <w:i/>
          <w:iCs/>
          <w:spacing w:val="2"/>
          <w:sz w:val="20"/>
          <w:szCs w:val="20"/>
        </w:rPr>
        <w:t>12-FAI-2020</w:t>
      </w:r>
    </w:p>
    <w:p>
      <w:pPr>
        <w:pStyle w:val="Cuerpodetexto"/>
        <w:spacing w:before="1" w:after="0"/>
        <w:rPr>
          <w:rFonts w:ascii="Tahoma" w:hAnsi="Tahoma" w:cs="Tahoma"/>
          <w:b/>
          <w:b/>
          <w:i/>
          <w:i/>
          <w:iCs/>
          <w:sz w:val="20"/>
          <w:szCs w:val="20"/>
        </w:rPr>
      </w:pPr>
      <w:r>
        <w:rPr>
          <w:rFonts w:cs="Tahoma" w:ascii="Tahoma" w:hAnsi="Tahoma"/>
          <w:b/>
          <w:i/>
          <w:iCs/>
          <w:sz w:val="20"/>
          <w:szCs w:val="20"/>
        </w:rPr>
      </w:r>
    </w:p>
    <w:p>
      <w:pPr>
        <w:pStyle w:val="Normal"/>
        <w:spacing w:before="100" w:after="200"/>
        <w:ind w:left="119" w:hanging="0"/>
        <w:rPr>
          <w:rFonts w:ascii="Tahoma" w:hAnsi="Tahoma" w:cs="Tahoma"/>
          <w:b/>
          <w:b/>
          <w:i/>
          <w:i/>
          <w:iCs/>
          <w:sz w:val="20"/>
          <w:szCs w:val="20"/>
        </w:rPr>
      </w:pPr>
      <w:r>
        <w:rPr>
          <w:rFonts w:cs="Tahoma" w:ascii="Tahoma" w:hAnsi="Tahoma"/>
          <w:b/>
          <w:i/>
          <w:iCs/>
          <w:sz w:val="20"/>
          <w:szCs w:val="20"/>
        </w:rPr>
        <w:t>Señoras</w:t>
      </w:r>
    </w:p>
    <w:p>
      <w:pPr>
        <w:pStyle w:val="Normal"/>
        <w:spacing w:lineRule="auto" w:line="403" w:before="199" w:after="200"/>
        <w:ind w:left="119" w:right="5950" w:hanging="0"/>
        <w:rPr>
          <w:rFonts w:ascii="Tahoma" w:hAnsi="Tahoma" w:cs="Tahoma"/>
          <w:b/>
          <w:b/>
          <w:i/>
          <w:i/>
          <w:iCs/>
          <w:sz w:val="20"/>
          <w:szCs w:val="20"/>
        </w:rPr>
      </w:pPr>
      <w:r>
        <w:rPr>
          <w:rFonts w:cs="Tahoma" w:ascii="Tahoma" w:hAnsi="Tahoma"/>
          <w:b/>
          <w:i/>
          <w:iCs/>
          <w:sz w:val="20"/>
          <w:szCs w:val="20"/>
        </w:rPr>
        <w:t>Unidad de Acceso a la Justicia Corte Suprema de Justicia Poder Judicial</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before="3" w:after="0"/>
        <w:rPr>
          <w:rFonts w:ascii="Tahoma" w:hAnsi="Tahoma" w:cs="Tahoma"/>
          <w:b/>
          <w:b/>
          <w:i/>
          <w:i/>
          <w:iCs/>
          <w:sz w:val="20"/>
          <w:szCs w:val="20"/>
        </w:rPr>
      </w:pPr>
      <w:r>
        <w:rPr>
          <w:rFonts w:cs="Tahoma" w:ascii="Tahoma" w:hAnsi="Tahoma"/>
          <w:b/>
          <w:i/>
          <w:iCs/>
          <w:sz w:val="20"/>
          <w:szCs w:val="20"/>
        </w:rPr>
      </w:r>
    </w:p>
    <w:p>
      <w:pPr>
        <w:pStyle w:val="Cuerpodetexto"/>
        <w:ind w:left="119" w:hanging="0"/>
        <w:rPr>
          <w:rFonts w:ascii="Tahoma" w:hAnsi="Tahoma" w:cs="Tahoma"/>
          <w:i/>
          <w:i/>
          <w:iCs/>
          <w:sz w:val="20"/>
          <w:szCs w:val="20"/>
        </w:rPr>
      </w:pPr>
      <w:r>
        <w:rPr>
          <w:rFonts w:cs="Tahoma" w:ascii="Tahoma" w:hAnsi="Tahoma"/>
          <w:i/>
          <w:iCs/>
          <w:sz w:val="20"/>
          <w:szCs w:val="20"/>
        </w:rPr>
        <w:t>Estimadas señoras:</w:t>
      </w:r>
    </w:p>
    <w:p>
      <w:pPr>
        <w:pStyle w:val="Cuerpodetexto"/>
        <w:spacing w:before="4" w:after="0"/>
        <w:rPr>
          <w:rFonts w:ascii="Tahoma" w:hAnsi="Tahoma" w:cs="Tahoma"/>
          <w:i/>
          <w:i/>
          <w:iCs/>
          <w:sz w:val="20"/>
          <w:szCs w:val="20"/>
        </w:rPr>
      </w:pPr>
      <w:r>
        <w:rPr>
          <w:rFonts w:cs="Tahoma" w:ascii="Tahoma" w:hAnsi="Tahoma"/>
          <w:i/>
          <w:iCs/>
          <w:sz w:val="20"/>
          <w:szCs w:val="20"/>
        </w:rPr>
      </w:r>
    </w:p>
    <w:p>
      <w:pPr>
        <w:pStyle w:val="Cuerpodetexto"/>
        <w:spacing w:lineRule="auto" w:line="360"/>
        <w:ind w:left="119" w:right="102" w:firstLine="708"/>
        <w:jc w:val="both"/>
        <w:rPr>
          <w:rFonts w:ascii="Tahoma" w:hAnsi="Tahoma" w:cs="Tahoma"/>
          <w:i/>
          <w:i/>
          <w:iCs/>
          <w:sz w:val="20"/>
          <w:szCs w:val="20"/>
        </w:rPr>
      </w:pPr>
      <w:r>
        <w:rPr>
          <w:rFonts w:cs="Tahoma" w:ascii="Tahoma" w:hAnsi="Tahoma"/>
          <w:i/>
          <w:iCs/>
          <w:sz w:val="20"/>
          <w:szCs w:val="20"/>
        </w:rPr>
        <w:t>Por medio de la presente reciba un cordial saludo, a su vez se da respuesta a la solicitud remitida por correo electrónico el día 13 de febrero de 2020, mediante el cual se solicita informe con respecto a las disposiciones tomadas por la Fiscalía de Asuntos Indígenas, en adelante FAI, con la finalidad de dar respuesta al acuerdo enviado mediante oficio CACC-08-2020:</w:t>
      </w:r>
    </w:p>
    <w:p>
      <w:pPr>
        <w:pStyle w:val="Cuerpodetexto"/>
        <w:rPr>
          <w:rFonts w:ascii="Tahoma" w:hAnsi="Tahoma" w:cs="Tahoma"/>
          <w:i/>
          <w:i/>
          <w:iCs/>
          <w:sz w:val="20"/>
          <w:szCs w:val="20"/>
        </w:rPr>
      </w:pPr>
      <w:r>
        <w:rPr>
          <w:rFonts w:cs="Tahoma" w:ascii="Tahoma" w:hAnsi="Tahoma"/>
          <w:i/>
          <w:iCs/>
          <w:sz w:val="20"/>
          <w:szCs w:val="20"/>
        </w:rPr>
      </w:r>
    </w:p>
    <w:p>
      <w:pPr>
        <w:pStyle w:val="Cuerpodetexto"/>
        <w:rPr>
          <w:rFonts w:ascii="Tahoma" w:hAnsi="Tahoma" w:cs="Tahoma"/>
          <w:i/>
          <w:i/>
          <w:iCs/>
          <w:sz w:val="20"/>
          <w:szCs w:val="20"/>
        </w:rPr>
      </w:pPr>
      <w:r>
        <w:rPr>
          <w:rFonts w:cs="Tahoma" w:ascii="Tahoma" w:hAnsi="Tahoma"/>
          <w:i/>
          <w:iCs/>
          <w:sz w:val="20"/>
          <w:szCs w:val="20"/>
        </w:rPr>
      </w:r>
    </w:p>
    <w:p>
      <w:pPr>
        <w:pStyle w:val="Cuerpodetexto"/>
        <w:spacing w:before="11" w:after="0"/>
        <w:rPr>
          <w:rFonts w:ascii="Tahoma" w:hAnsi="Tahoma" w:cs="Tahoma"/>
          <w:i/>
          <w:i/>
          <w:iCs/>
          <w:sz w:val="20"/>
          <w:szCs w:val="20"/>
        </w:rPr>
      </w:pPr>
      <w:r>
        <w:rPr>
          <w:rFonts w:cs="Tahoma" w:ascii="Tahoma" w:hAnsi="Tahoma"/>
          <w:i/>
          <w:iCs/>
          <w:sz w:val="20"/>
          <w:szCs w:val="20"/>
        </w:rPr>
      </w:r>
    </w:p>
    <w:p>
      <w:pPr>
        <w:pStyle w:val="Normal"/>
        <w:spacing w:before="100" w:after="200"/>
        <w:ind w:left="119" w:right="98" w:hanging="0"/>
        <w:rPr>
          <w:rFonts w:ascii="Tahoma" w:hAnsi="Tahoma" w:cs="Tahoma"/>
          <w:i/>
          <w:i/>
          <w:iCs/>
          <w:sz w:val="20"/>
          <w:szCs w:val="20"/>
        </w:rPr>
      </w:pPr>
      <w:r>
        <mc:AlternateContent>
          <mc:Choice Requires="wpg">
            <w:drawing>
              <wp:anchor behindDoc="1" distT="0" distB="0" distL="0" distR="0" simplePos="0" locked="0" layoutInCell="0" allowOverlap="1" relativeHeight="62">
                <wp:simplePos x="0" y="0"/>
                <wp:positionH relativeFrom="page">
                  <wp:posOffset>1078230</wp:posOffset>
                </wp:positionH>
                <wp:positionV relativeFrom="paragraph">
                  <wp:posOffset>62865</wp:posOffset>
                </wp:positionV>
                <wp:extent cx="234315" cy="187325"/>
                <wp:effectExtent l="11430" t="10160" r="12065" b="12700"/>
                <wp:wrapNone/>
                <wp:docPr id="7" name="Group 21"/>
                <a:graphic xmlns:a="http://schemas.openxmlformats.org/drawingml/2006/main">
                  <a:graphicData uri="http://schemas.microsoft.com/office/word/2010/wordprocessingGroup">
                    <wpg:wgp>
                      <wpg:cNvGrpSpPr/>
                      <wpg:grpSpPr>
                        <a:xfrm>
                          <a:off x="0" y="0"/>
                          <a:ext cx="233640" cy="186840"/>
                        </a:xfrm>
                      </wpg:grpSpPr>
                      <wps:wsp>
                        <wps:cNvSpPr/>
                        <wps:spPr>
                          <a:xfrm>
                            <a:off x="202680" y="182160"/>
                            <a:ext cx="30960" cy="4320"/>
                          </a:xfrm>
                          <a:custGeom>
                            <a:avLst/>
                            <a:gdLst/>
                            <a:ahLst/>
                            <a:rect l="l" t="t" r="r" b="b"/>
                            <a:pathLst>
                              <a:path w="1860" h="2420">
                                <a:moveTo>
                                  <a:pt x="-12461" y="-95568"/>
                                </a:moveTo>
                                <a:lnTo>
                                  <a:pt x="-12360" y="-95568"/>
                                </a:lnTo>
                                <a:lnTo>
                                  <a:pt x="-12360" y="-95278"/>
                                </a:lnTo>
                                <a:lnTo>
                                  <a:pt x="-12461" y="-95278"/>
                                </a:lnTo>
                                <a:lnTo>
                                  <a:pt x="-12461" y="-95568"/>
                                </a:lnTo>
                                <a:close/>
                                <a:moveTo>
                                  <a:pt x="-12360" y="-95568"/>
                                </a:moveTo>
                                <a:lnTo>
                                  <a:pt x="-12238" y="-95568"/>
                                </a:lnTo>
                                <a:lnTo>
                                  <a:pt x="-12238" y="-95278"/>
                                </a:lnTo>
                                <a:lnTo>
                                  <a:pt x="-12360" y="-95278"/>
                                </a:lnTo>
                                <a:lnTo>
                                  <a:pt x="-12360" y="-95568"/>
                                </a:lnTo>
                                <a:close/>
                              </a:path>
                            </a:pathLst>
                          </a:custGeom>
                          <a:noFill/>
                          <a:ln w="1524">
                            <a:solidFill>
                              <a:srgbClr val="c0c0c0"/>
                            </a:solidFill>
                            <a:round/>
                          </a:ln>
                        </wps:spPr>
                        <wps:style>
                          <a:lnRef idx="0"/>
                          <a:fillRef idx="0"/>
                          <a:effectRef idx="0"/>
                          <a:fontRef idx="minor"/>
                        </wps:style>
                        <wps:bodyPr/>
                      </wps:wsp>
                      <wps:wsp>
                        <wps:cNvSpPr/>
                        <wps:spPr>
                          <a:xfrm>
                            <a:off x="0" y="0"/>
                            <a:ext cx="1440" cy="720"/>
                          </a:xfrm>
                          <a:prstGeom prst="rect">
                            <a:avLst/>
                          </a:prstGeom>
                          <a:solidFill>
                            <a:srgbClr val="c0c0c0"/>
                          </a:solidFill>
                          <a:ln w="0">
                            <a:noFill/>
                          </a:ln>
                        </wps:spPr>
                        <wps:style>
                          <a:lnRef idx="0"/>
                          <a:fillRef idx="0"/>
                          <a:effectRef idx="0"/>
                          <a:fontRef idx="minor"/>
                        </wps:style>
                        <wps:bodyPr/>
                      </wps:wsp>
                      <wps:wsp>
                        <wps:cNvSpPr/>
                        <wps:spPr>
                          <a:xfrm>
                            <a:off x="0" y="0"/>
                            <a:ext cx="1440" cy="720"/>
                          </a:xfrm>
                          <a:prstGeom prst="rect">
                            <a:avLst/>
                          </a:prstGeom>
                          <a:noFill/>
                          <a:ln w="1524">
                            <a:solidFill>
                              <a:srgbClr val="c0c0c0"/>
                            </a:solidFill>
                            <a:miter/>
                          </a:ln>
                        </wps:spPr>
                        <wps:style>
                          <a:lnRef idx="0"/>
                          <a:fillRef idx="0"/>
                          <a:effectRef idx="0"/>
                          <a:fontRef idx="minor"/>
                        </wps:style>
                        <wps:bodyPr/>
                      </wps:wsp>
                      <wps:wsp>
                        <wps:cNvSpPr/>
                        <wps:spPr>
                          <a:xfrm>
                            <a:off x="1440" y="0"/>
                            <a:ext cx="1440" cy="720"/>
                          </a:xfrm>
                          <a:prstGeom prst="rect">
                            <a:avLst/>
                          </a:prstGeom>
                          <a:solidFill>
                            <a:srgbClr val="c0c0c0"/>
                          </a:solidFill>
                          <a:ln w="0">
                            <a:noFill/>
                          </a:ln>
                        </wps:spPr>
                        <wps:style>
                          <a:lnRef idx="0"/>
                          <a:fillRef idx="0"/>
                          <a:effectRef idx="0"/>
                          <a:fontRef idx="minor"/>
                        </wps:style>
                        <wps:bodyPr/>
                      </wps:wsp>
                      <wps:wsp>
                        <wps:cNvSpPr/>
                        <wps:spPr>
                          <a:xfrm>
                            <a:off x="1440" y="0"/>
                            <a:ext cx="1440" cy="720"/>
                          </a:xfrm>
                          <a:prstGeom prst="rect">
                            <a:avLst/>
                          </a:prstGeom>
                          <a:noFill/>
                          <a:ln w="1524">
                            <a:solidFill>
                              <a:srgbClr val="c0c0c0"/>
                            </a:solidFill>
                            <a:miter/>
                          </a:ln>
                        </wps:spPr>
                        <wps:style>
                          <a:lnRef idx="0"/>
                          <a:fillRef idx="0"/>
                          <a:effectRef idx="0"/>
                          <a:fontRef idx="minor"/>
                        </wps:style>
                        <wps:bodyPr/>
                      </wps:wsp>
                    </wpg:wgp>
                  </a:graphicData>
                </a:graphic>
              </wp:anchor>
            </w:drawing>
          </mc:Choice>
          <mc:Fallback>
            <w:pict>
              <v:group id="shape_0" alt="Group 21" style="position:absolute;margin-left:84.9pt;margin-top:4.95pt;width:18.4pt;height:14.7pt" coordorigin="1698,99" coordsize="368,294">
                <v:rect id="shape_0" ID="Rectangle 23" fillcolor="silver" stroked="f" style="position:absolute;left:1698;top:99;width:1;height:0;mso-wrap-style:none;v-text-anchor:middle;mso-position-horizontal-relative:page">
                  <v:fill o:detectmouseclick="t" type="solid" color2="#3f3f3f"/>
                  <v:stroke color="#3465a4" joinstyle="round" endcap="flat"/>
                  <w10:wrap type="none"/>
                </v:rect>
                <v:rect id="shape_0" ID="Rectangle 24" stroked="t" style="position:absolute;left:1698;top:99;width:1;height:0;mso-wrap-style:none;v-text-anchor:middle;mso-position-horizontal-relative:page">
                  <v:fill o:detectmouseclick="t" on="false"/>
                  <v:stroke color="silver" weight="1440" joinstyle="miter" endcap="flat"/>
                </v:rect>
                <v:rect id="shape_0" ID="Rectangle 25" fillcolor="silver" stroked="f" style="position:absolute;left:1700;top:99;width:1;height:0;mso-wrap-style:none;v-text-anchor:middle;mso-position-horizontal-relative:page">
                  <v:fill o:detectmouseclick="t" type="solid" color2="#3f3f3f"/>
                  <v:stroke color="#3465a4" joinstyle="round" endcap="flat"/>
                </v:rect>
                <v:rect id="shape_0" ID="Rectangle 26" stroked="t" style="position:absolute;left:1700;top:99;width:1;height:0;mso-wrap-style:none;v-text-anchor:middle;mso-position-horizontal-relative:page">
                  <v:fill o:detectmouseclick="t" on="false"/>
                  <v:stroke color="silver" weight="1440" joinstyle="miter" endcap="flat"/>
                </v:rect>
              </v:group>
            </w:pict>
          </mc:Fallback>
        </mc:AlternateContent>
      </w:r>
      <w:r>
        <w:rPr>
          <w:rFonts w:cs="Tahoma" w:ascii="Tahoma" w:hAnsi="Tahoma"/>
          <w:b/>
          <w:i/>
          <w:iCs/>
          <w:color w:val="3E3E3E"/>
          <w:sz w:val="20"/>
          <w:szCs w:val="20"/>
          <w:shd w:fill="C0C0C0" w:val="clear"/>
        </w:rPr>
        <w:t>“</w:t>
      </w:r>
      <w:r>
        <w:rPr>
          <w:rFonts w:cs="Tahoma" w:ascii="Tahoma" w:hAnsi="Tahoma"/>
          <w:b/>
          <w:i/>
          <w:iCs/>
          <w:color w:val="3E3E3E"/>
          <w:sz w:val="20"/>
          <w:szCs w:val="20"/>
          <w:shd w:fill="C0C0C0" w:val="clear"/>
        </w:rPr>
        <w:t>2</w:t>
      </w:r>
      <w:r>
        <w:rPr>
          <w:rFonts w:cs="Tahoma" w:ascii="Tahoma" w:hAnsi="Tahoma"/>
          <w:b/>
          <w:i/>
          <w:iCs/>
          <w:color w:val="3E3E3E"/>
          <w:sz w:val="20"/>
          <w:szCs w:val="20"/>
        </w:rPr>
        <w:t>°.</w:t>
      </w:r>
      <w:r>
        <w:rPr>
          <w:rFonts w:cs="Tahoma" w:ascii="Tahoma" w:hAnsi="Tahoma"/>
          <w:b/>
          <w:i/>
          <w:iCs/>
          <w:sz w:val="20"/>
          <w:szCs w:val="20"/>
        </w:rPr>
        <w:t xml:space="preserve"> </w:t>
      </w:r>
      <w:r>
        <w:rPr>
          <w:rFonts w:cs="Tahoma" w:ascii="Tahoma" w:hAnsi="Tahoma"/>
          <w:i/>
          <w:iCs/>
          <w:sz w:val="20"/>
          <w:szCs w:val="20"/>
        </w:rPr>
        <w:t>Consultar a la Fiscal ía Adjunta de Asuntos Indígenas, informe sobre el control de las estadísticas de los asuntos indígenas por fiscalía, así como del cronograma de atención a los territorios indígenas en el Cantón de Buenos Aires y brinde seguimiento al proyecto, así como de los informes trimestrales a la Direcci ón de Planificaci ón de las actividades realizadas por las plazas asignadas y el desarrollo del proyecto, con el fin de tener datos y elementos para evaluar la necesidad del recurso. Se declara este acuerdo firme. ”</w:t>
      </w:r>
    </w:p>
    <w:p>
      <w:pPr>
        <w:pStyle w:val="Cuerpodetexto"/>
        <w:rPr>
          <w:rFonts w:ascii="Tahoma" w:hAnsi="Tahoma" w:cs="Tahoma"/>
          <w:i/>
          <w:i/>
          <w:iCs/>
          <w:sz w:val="20"/>
          <w:szCs w:val="20"/>
        </w:rPr>
      </w:pPr>
      <w:r>
        <w:rPr>
          <w:rFonts w:cs="Tahoma" w:ascii="Tahoma" w:hAnsi="Tahoma"/>
          <w:i/>
          <w:iCs/>
          <w:sz w:val="20"/>
          <w:szCs w:val="20"/>
        </w:rPr>
      </w:r>
    </w:p>
    <w:p>
      <w:pPr>
        <w:pStyle w:val="Ttulo11"/>
        <w:rPr>
          <w:rFonts w:ascii="Tahoma" w:hAnsi="Tahoma" w:cs="Tahoma"/>
          <w:i/>
          <w:i/>
          <w:iCs/>
          <w:sz w:val="20"/>
          <w:szCs w:val="20"/>
        </w:rPr>
      </w:pPr>
      <w:r>
        <w:rPr>
          <w:rFonts w:cs="Tahoma" w:ascii="Tahoma" w:hAnsi="Tahoma"/>
          <w:i/>
          <w:iCs/>
          <w:sz w:val="20"/>
          <w:szCs w:val="20"/>
        </w:rPr>
        <w:t>I.- Antecedente:</w:t>
      </w:r>
    </w:p>
    <w:p>
      <w:pPr>
        <w:pStyle w:val="Normal"/>
        <w:jc w:val="both"/>
        <w:rPr>
          <w:rFonts w:ascii="Tahoma" w:hAnsi="Tahoma" w:cs="Tahoma"/>
          <w:i/>
          <w:i/>
          <w:iCs/>
          <w:sz w:val="20"/>
          <w:szCs w:val="20"/>
        </w:rPr>
      </w:pPr>
      <w:r>
        <w:rPr>
          <w:rFonts w:cs="Tahoma" w:ascii="Tahoma" w:hAnsi="Tahoma"/>
          <w:i/>
          <w:iCs/>
          <w:sz w:val="20"/>
          <w:szCs w:val="20"/>
        </w:rPr>
      </w:r>
    </w:p>
    <w:p>
      <w:pPr>
        <w:pStyle w:val="Normal"/>
        <w:spacing w:lineRule="auto" w:line="360" w:before="101" w:after="200"/>
        <w:ind w:left="119" w:right="114" w:firstLine="720"/>
        <w:jc w:val="both"/>
        <w:rPr>
          <w:rFonts w:ascii="Tahoma" w:hAnsi="Tahoma" w:cs="Tahoma"/>
          <w:i/>
          <w:i/>
          <w:iCs/>
          <w:sz w:val="20"/>
          <w:szCs w:val="20"/>
        </w:rPr>
      </w:pPr>
      <w:r>
        <w:rPr>
          <w:rFonts w:cs="Tahoma" w:ascii="Tahoma" w:hAnsi="Tahoma"/>
          <w:i/>
          <w:iCs/>
          <w:sz w:val="20"/>
          <w:szCs w:val="20"/>
        </w:rPr>
        <w:t>La Fiscalía de Asuntos Indígenas, mediante oficio 249-2019 del diez de octubre del año dos mil diecinueve, solicitó al Consejo Superior del Poder Judicial el nombramiento de una plaza de técnico judicial en la Fiscalía de Buenos Aires, concretamente “se autorice el permiso con goce de salario y sustitución del técnico judicial 2 N°96502, del período del 31 de Octubre del 2019 al 31 de Diciembre del 2019, con la finalidad de no afectar el servicio que se le brinda a esa población en situación de vulnerabilidad y cumplir con los objetivos planteados.”</w:t>
      </w:r>
    </w:p>
    <w:p>
      <w:pPr>
        <w:pStyle w:val="Normal"/>
        <w:spacing w:lineRule="auto" w:line="360" w:before="197" w:after="200"/>
        <w:ind w:left="119" w:right="102" w:firstLine="708"/>
        <w:jc w:val="both"/>
        <w:rPr>
          <w:rFonts w:ascii="Tahoma" w:hAnsi="Tahoma" w:cs="Tahoma"/>
          <w:b/>
          <w:b/>
          <w:i/>
          <w:i/>
          <w:iCs/>
          <w:sz w:val="20"/>
          <w:szCs w:val="20"/>
        </w:rPr>
      </w:pPr>
      <w:r>
        <w:rPr>
          <w:rFonts w:cs="Tahoma" w:ascii="Tahoma" w:hAnsi="Tahoma"/>
          <w:i/>
          <w:iCs/>
          <w:sz w:val="20"/>
          <w:szCs w:val="20"/>
        </w:rPr>
        <w:t xml:space="preserve">Ante esta solicitud, el Consejo Superior resolvió: </w:t>
      </w:r>
      <w:r>
        <w:rPr>
          <w:rFonts w:cs="Tahoma" w:ascii="Tahoma" w:hAnsi="Tahoma"/>
          <w:i/>
          <w:iCs/>
          <w:spacing w:val="2"/>
          <w:sz w:val="20"/>
          <w:szCs w:val="20"/>
        </w:rPr>
        <w:t>“</w:t>
      </w:r>
      <w:r>
        <w:rPr>
          <w:rFonts w:cs="Tahoma" w:ascii="Tahoma" w:hAnsi="Tahoma"/>
          <w:b/>
          <w:i/>
          <w:iCs/>
          <w:spacing w:val="2"/>
          <w:sz w:val="20"/>
          <w:szCs w:val="20"/>
        </w:rPr>
        <w:t xml:space="preserve">Se acordó: </w:t>
      </w:r>
      <w:r>
        <w:rPr>
          <w:rFonts w:cs="Tahoma" w:ascii="Tahoma" w:hAnsi="Tahoma"/>
          <w:i/>
          <w:iCs/>
          <w:sz w:val="20"/>
          <w:szCs w:val="20"/>
        </w:rPr>
        <w:t xml:space="preserve">Denegar la gestión presentada por </w:t>
      </w:r>
      <w:r>
        <w:rPr>
          <w:rFonts w:cs="Tahoma" w:ascii="Tahoma" w:hAnsi="Tahoma"/>
          <w:i/>
          <w:iCs/>
          <w:spacing w:val="10"/>
          <w:sz w:val="20"/>
          <w:szCs w:val="20"/>
        </w:rPr>
        <w:t xml:space="preserve">la </w:t>
      </w:r>
      <w:r>
        <w:rPr>
          <w:rFonts w:cs="Tahoma" w:ascii="Tahoma" w:hAnsi="Tahoma"/>
          <w:i/>
          <w:iCs/>
          <w:spacing w:val="2"/>
          <w:sz w:val="20"/>
          <w:szCs w:val="20"/>
        </w:rPr>
        <w:t xml:space="preserve">licenciada Tattiana </w:t>
      </w:r>
      <w:r>
        <w:rPr>
          <w:rFonts w:cs="Tahoma" w:ascii="Tahoma" w:hAnsi="Tahoma"/>
          <w:i/>
          <w:iCs/>
          <w:spacing w:val="3"/>
          <w:sz w:val="20"/>
          <w:szCs w:val="20"/>
        </w:rPr>
        <w:t xml:space="preserve">García </w:t>
      </w:r>
      <w:r>
        <w:rPr>
          <w:rFonts w:cs="Tahoma" w:ascii="Tahoma" w:hAnsi="Tahoma"/>
          <w:i/>
          <w:iCs/>
          <w:spacing w:val="2"/>
          <w:sz w:val="20"/>
          <w:szCs w:val="20"/>
        </w:rPr>
        <w:t xml:space="preserve">Chaves, </w:t>
      </w:r>
      <w:r>
        <w:rPr>
          <w:rFonts w:cs="Tahoma" w:ascii="Tahoma" w:hAnsi="Tahoma"/>
          <w:i/>
          <w:iCs/>
          <w:spacing w:val="3"/>
          <w:sz w:val="20"/>
          <w:szCs w:val="20"/>
        </w:rPr>
        <w:t xml:space="preserve">Fiscal Adjunta </w:t>
      </w:r>
      <w:r>
        <w:rPr>
          <w:rFonts w:cs="Tahoma" w:ascii="Tahoma" w:hAnsi="Tahoma"/>
          <w:i/>
          <w:iCs/>
          <w:spacing w:val="10"/>
          <w:sz w:val="20"/>
          <w:szCs w:val="20"/>
        </w:rPr>
        <w:t xml:space="preserve">de </w:t>
      </w:r>
      <w:r>
        <w:rPr>
          <w:rFonts w:cs="Tahoma" w:ascii="Tahoma" w:hAnsi="Tahoma"/>
          <w:i/>
          <w:iCs/>
          <w:spacing w:val="3"/>
          <w:sz w:val="20"/>
          <w:szCs w:val="20"/>
        </w:rPr>
        <w:t xml:space="preserve">Asuntos </w:t>
      </w:r>
      <w:r>
        <w:rPr>
          <w:rFonts w:cs="Tahoma" w:ascii="Tahoma" w:hAnsi="Tahoma"/>
          <w:i/>
          <w:iCs/>
          <w:sz w:val="20"/>
          <w:szCs w:val="20"/>
        </w:rPr>
        <w:t xml:space="preserve">Indígenas, en </w:t>
      </w:r>
      <w:r>
        <w:rPr>
          <w:rFonts w:cs="Tahoma" w:ascii="Tahoma" w:hAnsi="Tahoma"/>
          <w:i/>
          <w:iCs/>
          <w:spacing w:val="4"/>
          <w:sz w:val="20"/>
          <w:szCs w:val="20"/>
        </w:rPr>
        <w:t xml:space="preserve">cuanto </w:t>
      </w:r>
      <w:r>
        <w:rPr>
          <w:rFonts w:cs="Tahoma" w:ascii="Tahoma" w:hAnsi="Tahoma"/>
          <w:i/>
          <w:iCs/>
          <w:sz w:val="20"/>
          <w:szCs w:val="20"/>
        </w:rPr>
        <w:t xml:space="preserve">a </w:t>
      </w:r>
      <w:r>
        <w:rPr>
          <w:rFonts w:cs="Tahoma" w:ascii="Tahoma" w:hAnsi="Tahoma"/>
          <w:i/>
          <w:iCs/>
          <w:spacing w:val="10"/>
          <w:sz w:val="20"/>
          <w:szCs w:val="20"/>
        </w:rPr>
        <w:t xml:space="preserve">la </w:t>
      </w:r>
      <w:r>
        <w:rPr>
          <w:rFonts w:cs="Tahoma" w:ascii="Tahoma" w:hAnsi="Tahoma"/>
          <w:i/>
          <w:iCs/>
          <w:spacing w:val="2"/>
          <w:sz w:val="20"/>
          <w:szCs w:val="20"/>
        </w:rPr>
        <w:t xml:space="preserve">necesidad </w:t>
      </w:r>
      <w:r>
        <w:rPr>
          <w:rFonts w:cs="Tahoma" w:ascii="Tahoma" w:hAnsi="Tahoma"/>
          <w:i/>
          <w:iCs/>
          <w:spacing w:val="9"/>
          <w:sz w:val="20"/>
          <w:szCs w:val="20"/>
        </w:rPr>
        <w:t xml:space="preserve">de la </w:t>
      </w:r>
      <w:r>
        <w:rPr>
          <w:rFonts w:cs="Tahoma" w:ascii="Tahoma" w:hAnsi="Tahoma"/>
          <w:i/>
          <w:iCs/>
          <w:spacing w:val="3"/>
          <w:sz w:val="20"/>
          <w:szCs w:val="20"/>
        </w:rPr>
        <w:t xml:space="preserve">plaza </w:t>
      </w:r>
      <w:r>
        <w:rPr>
          <w:rFonts w:cs="Tahoma" w:ascii="Tahoma" w:hAnsi="Tahoma"/>
          <w:i/>
          <w:iCs/>
          <w:spacing w:val="2"/>
          <w:sz w:val="20"/>
          <w:szCs w:val="20"/>
        </w:rPr>
        <w:t xml:space="preserve">Técnico Judicial </w:t>
      </w:r>
      <w:r>
        <w:rPr>
          <w:rFonts w:cs="Tahoma" w:ascii="Tahoma" w:hAnsi="Tahoma"/>
          <w:i/>
          <w:iCs/>
          <w:sz w:val="20"/>
          <w:szCs w:val="20"/>
        </w:rPr>
        <w:t xml:space="preserve">2 </w:t>
      </w:r>
      <w:r>
        <w:rPr>
          <w:rFonts w:cs="Tahoma" w:ascii="Tahoma" w:hAnsi="Tahoma"/>
          <w:i/>
          <w:iCs/>
          <w:spacing w:val="2"/>
          <w:sz w:val="20"/>
          <w:szCs w:val="20"/>
        </w:rPr>
        <w:t xml:space="preserve">asignada </w:t>
      </w:r>
      <w:r>
        <w:rPr>
          <w:rFonts w:cs="Tahoma" w:ascii="Tahoma" w:hAnsi="Tahoma"/>
          <w:i/>
          <w:iCs/>
          <w:spacing w:val="6"/>
          <w:sz w:val="20"/>
          <w:szCs w:val="20"/>
        </w:rPr>
        <w:t xml:space="preserve">con </w:t>
      </w:r>
      <w:r>
        <w:rPr>
          <w:rFonts w:cs="Tahoma" w:ascii="Tahoma" w:hAnsi="Tahoma"/>
          <w:i/>
          <w:iCs/>
          <w:spacing w:val="2"/>
          <w:sz w:val="20"/>
          <w:szCs w:val="20"/>
        </w:rPr>
        <w:t xml:space="preserve">permiso </w:t>
      </w:r>
      <w:r>
        <w:rPr>
          <w:rFonts w:cs="Tahoma" w:ascii="Tahoma" w:hAnsi="Tahoma"/>
          <w:i/>
          <w:iCs/>
          <w:spacing w:val="6"/>
          <w:sz w:val="20"/>
          <w:szCs w:val="20"/>
        </w:rPr>
        <w:t xml:space="preserve">con </w:t>
      </w:r>
      <w:r>
        <w:rPr>
          <w:rFonts w:cs="Tahoma" w:ascii="Tahoma" w:hAnsi="Tahoma"/>
          <w:i/>
          <w:iCs/>
          <w:spacing w:val="5"/>
          <w:sz w:val="20"/>
          <w:szCs w:val="20"/>
        </w:rPr>
        <w:t xml:space="preserve">goce </w:t>
      </w:r>
      <w:r>
        <w:rPr>
          <w:rFonts w:cs="Tahoma" w:ascii="Tahoma" w:hAnsi="Tahoma"/>
          <w:i/>
          <w:iCs/>
          <w:sz w:val="20"/>
          <w:szCs w:val="20"/>
        </w:rPr>
        <w:t xml:space="preserve">de salario y sustitución para </w:t>
      </w:r>
      <w:r>
        <w:rPr>
          <w:rFonts w:cs="Tahoma" w:ascii="Tahoma" w:hAnsi="Tahoma"/>
          <w:i/>
          <w:iCs/>
          <w:spacing w:val="4"/>
          <w:sz w:val="20"/>
          <w:szCs w:val="20"/>
        </w:rPr>
        <w:t xml:space="preserve">atender </w:t>
      </w:r>
      <w:r>
        <w:rPr>
          <w:rFonts w:cs="Tahoma" w:ascii="Tahoma" w:hAnsi="Tahoma"/>
          <w:i/>
          <w:iCs/>
          <w:spacing w:val="12"/>
          <w:sz w:val="20"/>
          <w:szCs w:val="20"/>
        </w:rPr>
        <w:t xml:space="preserve">el </w:t>
      </w:r>
      <w:r>
        <w:rPr>
          <w:rFonts w:cs="Tahoma" w:ascii="Tahoma" w:hAnsi="Tahoma"/>
          <w:i/>
          <w:iCs/>
          <w:spacing w:val="3"/>
          <w:sz w:val="20"/>
          <w:szCs w:val="20"/>
        </w:rPr>
        <w:t xml:space="preserve">ejercicio </w:t>
      </w:r>
      <w:r>
        <w:rPr>
          <w:rFonts w:cs="Tahoma" w:ascii="Tahoma" w:hAnsi="Tahoma"/>
          <w:i/>
          <w:iCs/>
          <w:spacing w:val="12"/>
          <w:sz w:val="20"/>
          <w:szCs w:val="20"/>
        </w:rPr>
        <w:t xml:space="preserve">de la </w:t>
      </w:r>
      <w:r>
        <w:rPr>
          <w:rFonts w:cs="Tahoma" w:ascii="Tahoma" w:hAnsi="Tahoma"/>
          <w:i/>
          <w:iCs/>
          <w:spacing w:val="4"/>
          <w:sz w:val="20"/>
          <w:szCs w:val="20"/>
        </w:rPr>
        <w:t xml:space="preserve">acción penal </w:t>
      </w:r>
      <w:r>
        <w:rPr>
          <w:rFonts w:cs="Tahoma" w:ascii="Tahoma" w:hAnsi="Tahoma"/>
          <w:i/>
          <w:iCs/>
          <w:spacing w:val="11"/>
          <w:sz w:val="20"/>
          <w:szCs w:val="20"/>
        </w:rPr>
        <w:t xml:space="preserve">de </w:t>
      </w:r>
      <w:r>
        <w:rPr>
          <w:rFonts w:cs="Tahoma" w:ascii="Tahoma" w:hAnsi="Tahoma"/>
          <w:i/>
          <w:iCs/>
          <w:spacing w:val="8"/>
          <w:sz w:val="20"/>
          <w:szCs w:val="20"/>
        </w:rPr>
        <w:t xml:space="preserve">los </w:t>
      </w:r>
      <w:r>
        <w:rPr>
          <w:rFonts w:cs="Tahoma" w:ascii="Tahoma" w:hAnsi="Tahoma"/>
          <w:i/>
          <w:iCs/>
          <w:spacing w:val="3"/>
          <w:sz w:val="20"/>
          <w:szCs w:val="20"/>
        </w:rPr>
        <w:t>posibles delitos</w:t>
      </w:r>
      <w:r>
        <w:rPr>
          <w:rFonts w:cs="Tahoma" w:ascii="Tahoma" w:hAnsi="Tahoma"/>
          <w:i/>
          <w:iCs/>
          <w:spacing w:val="-37"/>
          <w:sz w:val="20"/>
          <w:szCs w:val="20"/>
        </w:rPr>
        <w:t xml:space="preserve"> </w:t>
      </w:r>
      <w:r>
        <w:rPr>
          <w:rFonts w:cs="Tahoma" w:ascii="Tahoma" w:hAnsi="Tahoma"/>
          <w:i/>
          <w:iCs/>
          <w:sz w:val="20"/>
          <w:szCs w:val="20"/>
        </w:rPr>
        <w:t xml:space="preserve">de usurpación </w:t>
      </w:r>
      <w:r>
        <w:rPr>
          <w:rFonts w:cs="Tahoma" w:ascii="Tahoma" w:hAnsi="Tahoma"/>
          <w:i/>
          <w:iCs/>
          <w:spacing w:val="5"/>
          <w:sz w:val="20"/>
          <w:szCs w:val="20"/>
        </w:rPr>
        <w:t xml:space="preserve">de </w:t>
      </w:r>
      <w:r>
        <w:rPr>
          <w:rFonts w:cs="Tahoma" w:ascii="Tahoma" w:hAnsi="Tahoma"/>
          <w:i/>
          <w:iCs/>
          <w:sz w:val="20"/>
          <w:szCs w:val="20"/>
        </w:rPr>
        <w:t xml:space="preserve">tierras </w:t>
      </w:r>
      <w:r>
        <w:rPr>
          <w:rFonts w:cs="Tahoma" w:ascii="Tahoma" w:hAnsi="Tahoma"/>
          <w:i/>
          <w:iCs/>
          <w:spacing w:val="5"/>
          <w:sz w:val="20"/>
          <w:szCs w:val="20"/>
        </w:rPr>
        <w:t xml:space="preserve">en </w:t>
      </w:r>
      <w:r>
        <w:rPr>
          <w:rFonts w:cs="Tahoma" w:ascii="Tahoma" w:hAnsi="Tahoma"/>
          <w:i/>
          <w:iCs/>
          <w:spacing w:val="4"/>
          <w:sz w:val="20"/>
          <w:szCs w:val="20"/>
        </w:rPr>
        <w:t xml:space="preserve">los </w:t>
      </w:r>
      <w:r>
        <w:rPr>
          <w:rFonts w:cs="Tahoma" w:ascii="Tahoma" w:hAnsi="Tahoma"/>
          <w:i/>
          <w:iCs/>
          <w:sz w:val="20"/>
          <w:szCs w:val="20"/>
        </w:rPr>
        <w:t xml:space="preserve">territorios indígenas </w:t>
      </w:r>
      <w:r>
        <w:rPr>
          <w:rFonts w:cs="Tahoma" w:ascii="Tahoma" w:hAnsi="Tahoma"/>
          <w:i/>
          <w:iCs/>
          <w:spacing w:val="3"/>
          <w:sz w:val="20"/>
          <w:szCs w:val="20"/>
        </w:rPr>
        <w:t xml:space="preserve">del </w:t>
      </w:r>
      <w:r>
        <w:rPr>
          <w:rFonts w:cs="Tahoma" w:ascii="Tahoma" w:hAnsi="Tahoma"/>
          <w:i/>
          <w:iCs/>
          <w:spacing w:val="2"/>
          <w:sz w:val="20"/>
          <w:szCs w:val="20"/>
        </w:rPr>
        <w:t xml:space="preserve">Cantón </w:t>
      </w:r>
      <w:r>
        <w:rPr>
          <w:rFonts w:cs="Tahoma" w:ascii="Tahoma" w:hAnsi="Tahoma"/>
          <w:i/>
          <w:iCs/>
          <w:spacing w:val="5"/>
          <w:sz w:val="20"/>
          <w:szCs w:val="20"/>
        </w:rPr>
        <w:t xml:space="preserve">de </w:t>
      </w:r>
      <w:r>
        <w:rPr>
          <w:rFonts w:cs="Tahoma" w:ascii="Tahoma" w:hAnsi="Tahoma"/>
          <w:i/>
          <w:iCs/>
          <w:spacing w:val="2"/>
          <w:sz w:val="20"/>
          <w:szCs w:val="20"/>
        </w:rPr>
        <w:t xml:space="preserve">Buenos </w:t>
      </w:r>
      <w:r>
        <w:rPr>
          <w:rFonts w:cs="Tahoma" w:ascii="Tahoma" w:hAnsi="Tahoma"/>
          <w:i/>
          <w:iCs/>
          <w:sz w:val="20"/>
          <w:szCs w:val="20"/>
        </w:rPr>
        <w:t xml:space="preserve">Aires, </w:t>
      </w:r>
      <w:r>
        <w:rPr>
          <w:rFonts w:cs="Tahoma" w:ascii="Tahoma" w:hAnsi="Tahoma"/>
          <w:i/>
          <w:iCs/>
          <w:spacing w:val="7"/>
          <w:sz w:val="20"/>
          <w:szCs w:val="20"/>
        </w:rPr>
        <w:t xml:space="preserve">y </w:t>
      </w:r>
      <w:r>
        <w:rPr>
          <w:rFonts w:cs="Tahoma" w:ascii="Tahoma" w:hAnsi="Tahoma"/>
          <w:i/>
          <w:iCs/>
          <w:spacing w:val="4"/>
          <w:sz w:val="20"/>
          <w:szCs w:val="20"/>
        </w:rPr>
        <w:t xml:space="preserve">en </w:t>
      </w:r>
      <w:r>
        <w:rPr>
          <w:rFonts w:cs="Tahoma" w:ascii="Tahoma" w:hAnsi="Tahoma"/>
          <w:i/>
          <w:iCs/>
          <w:sz w:val="20"/>
          <w:szCs w:val="20"/>
        </w:rPr>
        <w:t xml:space="preserve">atención de la medida cautelar impuesta por la Corte Interamericana al Estado costarricense, en razón de que al igual que en estudios anteriores, se ha determinado que la carga de trabajo no justifica plenamente </w:t>
      </w:r>
      <w:r>
        <w:rPr>
          <w:rFonts w:cs="Tahoma" w:ascii="Tahoma" w:hAnsi="Tahoma"/>
          <w:i/>
          <w:iCs/>
          <w:spacing w:val="4"/>
          <w:sz w:val="20"/>
          <w:szCs w:val="20"/>
        </w:rPr>
        <w:t xml:space="preserve">la </w:t>
      </w:r>
      <w:r>
        <w:rPr>
          <w:rFonts w:cs="Tahoma" w:ascii="Tahoma" w:hAnsi="Tahoma"/>
          <w:i/>
          <w:iCs/>
          <w:sz w:val="20"/>
          <w:szCs w:val="20"/>
        </w:rPr>
        <w:t xml:space="preserve">creación </w:t>
      </w:r>
      <w:r>
        <w:rPr>
          <w:rFonts w:cs="Tahoma" w:ascii="Tahoma" w:hAnsi="Tahoma"/>
          <w:i/>
          <w:iCs/>
          <w:spacing w:val="4"/>
          <w:sz w:val="20"/>
          <w:szCs w:val="20"/>
        </w:rPr>
        <w:t xml:space="preserve">de </w:t>
      </w:r>
      <w:r>
        <w:rPr>
          <w:rFonts w:cs="Tahoma" w:ascii="Tahoma" w:hAnsi="Tahoma"/>
          <w:i/>
          <w:iCs/>
          <w:spacing w:val="3"/>
          <w:sz w:val="20"/>
          <w:szCs w:val="20"/>
        </w:rPr>
        <w:t xml:space="preserve">los </w:t>
      </w:r>
      <w:r>
        <w:rPr>
          <w:rFonts w:cs="Tahoma" w:ascii="Tahoma" w:hAnsi="Tahoma"/>
          <w:i/>
          <w:iCs/>
          <w:sz w:val="20"/>
          <w:szCs w:val="20"/>
        </w:rPr>
        <w:t xml:space="preserve">recursos </w:t>
      </w:r>
      <w:r>
        <w:rPr>
          <w:rFonts w:cs="Tahoma" w:ascii="Tahoma" w:hAnsi="Tahoma"/>
          <w:i/>
          <w:iCs/>
          <w:spacing w:val="3"/>
          <w:sz w:val="20"/>
          <w:szCs w:val="20"/>
        </w:rPr>
        <w:t xml:space="preserve">que </w:t>
      </w:r>
      <w:r>
        <w:rPr>
          <w:rFonts w:cs="Tahoma" w:ascii="Tahoma" w:hAnsi="Tahoma"/>
          <w:i/>
          <w:iCs/>
          <w:spacing w:val="4"/>
          <w:sz w:val="20"/>
          <w:szCs w:val="20"/>
        </w:rPr>
        <w:t xml:space="preserve">se </w:t>
      </w:r>
      <w:r>
        <w:rPr>
          <w:rFonts w:cs="Tahoma" w:ascii="Tahoma" w:hAnsi="Tahoma"/>
          <w:i/>
          <w:iCs/>
          <w:spacing w:val="3"/>
          <w:sz w:val="20"/>
          <w:szCs w:val="20"/>
        </w:rPr>
        <w:t xml:space="preserve">han </w:t>
      </w:r>
      <w:r>
        <w:rPr>
          <w:rFonts w:cs="Tahoma" w:ascii="Tahoma" w:hAnsi="Tahoma"/>
          <w:i/>
          <w:iCs/>
          <w:sz w:val="20"/>
          <w:szCs w:val="20"/>
        </w:rPr>
        <w:t xml:space="preserve">venido desempeñando, </w:t>
      </w:r>
      <w:r>
        <w:rPr>
          <w:rFonts w:cs="Tahoma" w:ascii="Tahoma" w:hAnsi="Tahoma"/>
          <w:i/>
          <w:iCs/>
          <w:spacing w:val="4"/>
          <w:sz w:val="20"/>
          <w:szCs w:val="20"/>
        </w:rPr>
        <w:t xml:space="preserve">en </w:t>
      </w:r>
      <w:r>
        <w:rPr>
          <w:rFonts w:cs="Tahoma" w:ascii="Tahoma" w:hAnsi="Tahoma"/>
          <w:i/>
          <w:iCs/>
          <w:sz w:val="20"/>
          <w:szCs w:val="20"/>
        </w:rPr>
        <w:t xml:space="preserve">la Fiscalía de Buenos Aires, además de la coyuntura presupuestaria de la Institución y las limitaciones </w:t>
      </w:r>
      <w:r>
        <w:rPr>
          <w:rFonts w:cs="Tahoma" w:ascii="Tahoma" w:hAnsi="Tahoma"/>
          <w:i/>
          <w:iCs/>
          <w:spacing w:val="2"/>
          <w:sz w:val="20"/>
          <w:szCs w:val="20"/>
        </w:rPr>
        <w:t xml:space="preserve">existentes </w:t>
      </w:r>
      <w:r>
        <w:rPr>
          <w:rFonts w:cs="Tahoma" w:ascii="Tahoma" w:hAnsi="Tahoma"/>
          <w:i/>
          <w:iCs/>
          <w:sz w:val="20"/>
          <w:szCs w:val="20"/>
        </w:rPr>
        <w:t xml:space="preserve">a </w:t>
      </w:r>
      <w:r>
        <w:rPr>
          <w:rFonts w:cs="Tahoma" w:ascii="Tahoma" w:hAnsi="Tahoma"/>
          <w:i/>
          <w:iCs/>
          <w:spacing w:val="3"/>
          <w:sz w:val="20"/>
          <w:szCs w:val="20"/>
        </w:rPr>
        <w:t xml:space="preserve">nivel </w:t>
      </w:r>
      <w:r>
        <w:rPr>
          <w:rFonts w:cs="Tahoma" w:ascii="Tahoma" w:hAnsi="Tahoma"/>
          <w:i/>
          <w:iCs/>
          <w:spacing w:val="9"/>
          <w:sz w:val="20"/>
          <w:szCs w:val="20"/>
        </w:rPr>
        <w:t xml:space="preserve">de </w:t>
      </w:r>
      <w:r>
        <w:rPr>
          <w:rFonts w:cs="Tahoma" w:ascii="Tahoma" w:hAnsi="Tahoma"/>
          <w:i/>
          <w:iCs/>
          <w:spacing w:val="6"/>
          <w:sz w:val="20"/>
          <w:szCs w:val="20"/>
        </w:rPr>
        <w:t xml:space="preserve">las </w:t>
      </w:r>
      <w:r>
        <w:rPr>
          <w:rFonts w:cs="Tahoma" w:ascii="Tahoma" w:hAnsi="Tahoma"/>
          <w:i/>
          <w:iCs/>
          <w:spacing w:val="2"/>
          <w:sz w:val="20"/>
          <w:szCs w:val="20"/>
        </w:rPr>
        <w:t xml:space="preserve">propuestas </w:t>
      </w:r>
      <w:r>
        <w:rPr>
          <w:rFonts w:cs="Tahoma" w:ascii="Tahoma" w:hAnsi="Tahoma"/>
          <w:i/>
          <w:iCs/>
          <w:spacing w:val="5"/>
          <w:sz w:val="20"/>
          <w:szCs w:val="20"/>
        </w:rPr>
        <w:t xml:space="preserve">para </w:t>
      </w:r>
      <w:r>
        <w:rPr>
          <w:rFonts w:cs="Tahoma" w:ascii="Tahoma" w:hAnsi="Tahoma"/>
          <w:i/>
          <w:iCs/>
          <w:spacing w:val="4"/>
          <w:sz w:val="20"/>
          <w:szCs w:val="20"/>
        </w:rPr>
        <w:t xml:space="preserve">crear </w:t>
      </w:r>
      <w:r>
        <w:rPr>
          <w:rFonts w:cs="Tahoma" w:ascii="Tahoma" w:hAnsi="Tahoma"/>
          <w:i/>
          <w:iCs/>
          <w:spacing w:val="2"/>
          <w:sz w:val="20"/>
          <w:szCs w:val="20"/>
        </w:rPr>
        <w:t xml:space="preserve">permisos </w:t>
      </w:r>
      <w:r>
        <w:rPr>
          <w:rFonts w:cs="Tahoma" w:ascii="Tahoma" w:hAnsi="Tahoma"/>
          <w:i/>
          <w:iCs/>
          <w:spacing w:val="6"/>
          <w:sz w:val="20"/>
          <w:szCs w:val="20"/>
        </w:rPr>
        <w:t xml:space="preserve">con </w:t>
      </w:r>
      <w:r>
        <w:rPr>
          <w:rFonts w:cs="Tahoma" w:ascii="Tahoma" w:hAnsi="Tahoma"/>
          <w:i/>
          <w:iCs/>
          <w:spacing w:val="3"/>
          <w:sz w:val="20"/>
          <w:szCs w:val="20"/>
        </w:rPr>
        <w:t xml:space="preserve">goces </w:t>
      </w:r>
      <w:r>
        <w:rPr>
          <w:rFonts w:cs="Tahoma" w:ascii="Tahoma" w:hAnsi="Tahoma"/>
          <w:i/>
          <w:iCs/>
          <w:spacing w:val="8"/>
          <w:sz w:val="20"/>
          <w:szCs w:val="20"/>
        </w:rPr>
        <w:t xml:space="preserve">de </w:t>
      </w:r>
      <w:r>
        <w:rPr>
          <w:rFonts w:cs="Tahoma" w:ascii="Tahoma" w:hAnsi="Tahoma"/>
          <w:i/>
          <w:iCs/>
          <w:sz w:val="20"/>
          <w:szCs w:val="20"/>
        </w:rPr>
        <w:t xml:space="preserve">salario. No obstante, lo anterior, este Consejo, recomienda que la Fiscal ía de Asuntos Indígenas lleve un control de las estadísticas de los asuntos indígenas por fiscal ía, y a partir de la experiencia de Bribri-Salitre defina un cronograma de atención </w:t>
      </w:r>
      <w:r>
        <w:rPr>
          <w:rFonts w:cs="Tahoma" w:ascii="Tahoma" w:hAnsi="Tahoma"/>
          <w:i/>
          <w:iCs/>
          <w:spacing w:val="4"/>
          <w:sz w:val="20"/>
          <w:szCs w:val="20"/>
        </w:rPr>
        <w:t xml:space="preserve">a </w:t>
      </w:r>
      <w:r>
        <w:rPr>
          <w:rFonts w:cs="Tahoma" w:ascii="Tahoma" w:hAnsi="Tahoma"/>
          <w:i/>
          <w:iCs/>
          <w:sz w:val="20"/>
          <w:szCs w:val="20"/>
        </w:rPr>
        <w:t xml:space="preserve">los territorios indígenas en el </w:t>
      </w:r>
      <w:r>
        <w:rPr>
          <w:rFonts w:cs="Tahoma" w:ascii="Tahoma" w:hAnsi="Tahoma"/>
          <w:i/>
          <w:iCs/>
          <w:spacing w:val="2"/>
          <w:sz w:val="20"/>
          <w:szCs w:val="20"/>
        </w:rPr>
        <w:t xml:space="preserve">Cantón </w:t>
      </w:r>
      <w:r>
        <w:rPr>
          <w:rFonts w:cs="Tahoma" w:ascii="Tahoma" w:hAnsi="Tahoma"/>
          <w:i/>
          <w:iCs/>
          <w:spacing w:val="8"/>
          <w:sz w:val="20"/>
          <w:szCs w:val="20"/>
        </w:rPr>
        <w:t xml:space="preserve">de </w:t>
      </w:r>
      <w:r>
        <w:rPr>
          <w:rFonts w:cs="Tahoma" w:ascii="Tahoma" w:hAnsi="Tahoma"/>
          <w:i/>
          <w:iCs/>
          <w:spacing w:val="3"/>
          <w:sz w:val="20"/>
          <w:szCs w:val="20"/>
        </w:rPr>
        <w:t xml:space="preserve">Buenos Aires </w:t>
      </w:r>
      <w:r>
        <w:rPr>
          <w:rFonts w:cs="Tahoma" w:ascii="Tahoma" w:hAnsi="Tahoma"/>
          <w:i/>
          <w:iCs/>
          <w:spacing w:val="14"/>
          <w:sz w:val="20"/>
          <w:szCs w:val="20"/>
        </w:rPr>
        <w:t xml:space="preserve">y </w:t>
      </w:r>
      <w:r>
        <w:rPr>
          <w:rFonts w:cs="Tahoma" w:ascii="Tahoma" w:hAnsi="Tahoma"/>
          <w:i/>
          <w:iCs/>
          <w:spacing w:val="3"/>
          <w:sz w:val="20"/>
          <w:szCs w:val="20"/>
        </w:rPr>
        <w:t xml:space="preserve">brinde </w:t>
      </w:r>
      <w:r>
        <w:rPr>
          <w:rFonts w:cs="Tahoma" w:ascii="Tahoma" w:hAnsi="Tahoma"/>
          <w:i/>
          <w:iCs/>
          <w:sz w:val="20"/>
          <w:szCs w:val="20"/>
        </w:rPr>
        <w:t xml:space="preserve">seguimiento </w:t>
      </w:r>
      <w:r>
        <w:rPr>
          <w:rFonts w:cs="Tahoma" w:ascii="Tahoma" w:hAnsi="Tahoma"/>
          <w:i/>
          <w:iCs/>
          <w:spacing w:val="7"/>
          <w:sz w:val="20"/>
          <w:szCs w:val="20"/>
        </w:rPr>
        <w:t xml:space="preserve">al </w:t>
      </w:r>
      <w:r>
        <w:rPr>
          <w:rFonts w:cs="Tahoma" w:ascii="Tahoma" w:hAnsi="Tahoma"/>
          <w:i/>
          <w:iCs/>
          <w:sz w:val="20"/>
          <w:szCs w:val="20"/>
        </w:rPr>
        <w:t xml:space="preserve">proyecto. Asimismo, </w:t>
      </w:r>
      <w:r>
        <w:rPr>
          <w:rFonts w:cs="Tahoma" w:ascii="Tahoma" w:hAnsi="Tahoma"/>
          <w:i/>
          <w:iCs/>
          <w:spacing w:val="5"/>
          <w:sz w:val="20"/>
          <w:szCs w:val="20"/>
        </w:rPr>
        <w:t xml:space="preserve">que </w:t>
      </w:r>
      <w:r>
        <w:rPr>
          <w:rFonts w:cs="Tahoma" w:ascii="Tahoma" w:hAnsi="Tahoma"/>
          <w:i/>
          <w:iCs/>
          <w:spacing w:val="3"/>
          <w:sz w:val="20"/>
          <w:szCs w:val="20"/>
        </w:rPr>
        <w:t xml:space="preserve">rinda </w:t>
      </w:r>
      <w:r>
        <w:rPr>
          <w:rFonts w:cs="Tahoma" w:ascii="Tahoma" w:hAnsi="Tahoma"/>
          <w:i/>
          <w:iCs/>
          <w:sz w:val="20"/>
          <w:szCs w:val="20"/>
        </w:rPr>
        <w:t xml:space="preserve">informes trimestrales a la Dirección de Planificación de las actividades realizadas por las plazas asignadas </w:t>
      </w:r>
      <w:r>
        <w:rPr>
          <w:rFonts w:cs="Tahoma" w:ascii="Tahoma" w:hAnsi="Tahoma"/>
          <w:i/>
          <w:iCs/>
          <w:spacing w:val="4"/>
          <w:sz w:val="20"/>
          <w:szCs w:val="20"/>
        </w:rPr>
        <w:t xml:space="preserve">y </w:t>
      </w:r>
      <w:r>
        <w:rPr>
          <w:rFonts w:cs="Tahoma" w:ascii="Tahoma" w:hAnsi="Tahoma"/>
          <w:i/>
          <w:iCs/>
          <w:sz w:val="20"/>
          <w:szCs w:val="20"/>
        </w:rPr>
        <w:t xml:space="preserve">el desarrollo del proyecto, </w:t>
      </w:r>
      <w:r>
        <w:rPr>
          <w:rFonts w:cs="Tahoma" w:ascii="Tahoma" w:hAnsi="Tahoma"/>
          <w:i/>
          <w:iCs/>
          <w:spacing w:val="2"/>
          <w:sz w:val="20"/>
          <w:szCs w:val="20"/>
        </w:rPr>
        <w:t xml:space="preserve">con </w:t>
      </w:r>
      <w:r>
        <w:rPr>
          <w:rFonts w:cs="Tahoma" w:ascii="Tahoma" w:hAnsi="Tahoma"/>
          <w:i/>
          <w:iCs/>
          <w:sz w:val="20"/>
          <w:szCs w:val="20"/>
        </w:rPr>
        <w:t xml:space="preserve">el fin </w:t>
      </w:r>
      <w:r>
        <w:rPr>
          <w:rFonts w:cs="Tahoma" w:ascii="Tahoma" w:hAnsi="Tahoma"/>
          <w:i/>
          <w:iCs/>
          <w:spacing w:val="3"/>
          <w:sz w:val="20"/>
          <w:szCs w:val="20"/>
        </w:rPr>
        <w:t xml:space="preserve">de </w:t>
      </w:r>
      <w:r>
        <w:rPr>
          <w:rFonts w:cs="Tahoma" w:ascii="Tahoma" w:hAnsi="Tahoma"/>
          <w:i/>
          <w:iCs/>
          <w:sz w:val="20"/>
          <w:szCs w:val="20"/>
        </w:rPr>
        <w:t xml:space="preserve">tener datos </w:t>
      </w:r>
      <w:r>
        <w:rPr>
          <w:rFonts w:cs="Tahoma" w:ascii="Tahoma" w:hAnsi="Tahoma"/>
          <w:i/>
          <w:iCs/>
          <w:spacing w:val="4"/>
          <w:sz w:val="20"/>
          <w:szCs w:val="20"/>
        </w:rPr>
        <w:t xml:space="preserve">y </w:t>
      </w:r>
      <w:r>
        <w:rPr>
          <w:rFonts w:cs="Tahoma" w:ascii="Tahoma" w:hAnsi="Tahoma"/>
          <w:i/>
          <w:iCs/>
          <w:sz w:val="20"/>
          <w:szCs w:val="20"/>
        </w:rPr>
        <w:t xml:space="preserve">elementos para evaluar la necesidad del recurso. </w:t>
      </w:r>
      <w:r>
        <w:rPr>
          <w:rFonts w:cs="Tahoma" w:ascii="Tahoma" w:hAnsi="Tahoma"/>
          <w:b/>
          <w:i/>
          <w:iCs/>
          <w:spacing w:val="3"/>
          <w:sz w:val="20"/>
          <w:szCs w:val="20"/>
        </w:rPr>
        <w:t xml:space="preserve">Se </w:t>
      </w:r>
      <w:r>
        <w:rPr>
          <w:rFonts w:cs="Tahoma" w:ascii="Tahoma" w:hAnsi="Tahoma"/>
          <w:b/>
          <w:i/>
          <w:iCs/>
          <w:spacing w:val="2"/>
          <w:sz w:val="20"/>
          <w:szCs w:val="20"/>
        </w:rPr>
        <w:t xml:space="preserve">declara </w:t>
      </w:r>
      <w:r>
        <w:rPr>
          <w:rFonts w:cs="Tahoma" w:ascii="Tahoma" w:hAnsi="Tahoma"/>
          <w:b/>
          <w:i/>
          <w:iCs/>
          <w:spacing w:val="3"/>
          <w:sz w:val="20"/>
          <w:szCs w:val="20"/>
        </w:rPr>
        <w:t xml:space="preserve">este </w:t>
      </w:r>
      <w:r>
        <w:rPr>
          <w:rFonts w:cs="Tahoma" w:ascii="Tahoma" w:hAnsi="Tahoma"/>
          <w:b/>
          <w:i/>
          <w:iCs/>
          <w:spacing w:val="2"/>
          <w:sz w:val="20"/>
          <w:szCs w:val="20"/>
        </w:rPr>
        <w:t>acuerdo</w:t>
      </w:r>
      <w:r>
        <w:rPr>
          <w:rFonts w:cs="Tahoma" w:ascii="Tahoma" w:hAnsi="Tahoma"/>
          <w:b/>
          <w:i/>
          <w:iCs/>
          <w:spacing w:val="-3"/>
          <w:sz w:val="20"/>
          <w:szCs w:val="20"/>
        </w:rPr>
        <w:t xml:space="preserve"> </w:t>
      </w:r>
      <w:r>
        <w:rPr>
          <w:rFonts w:cs="Tahoma" w:ascii="Tahoma" w:hAnsi="Tahoma"/>
          <w:b/>
          <w:i/>
          <w:iCs/>
          <w:spacing w:val="2"/>
          <w:sz w:val="20"/>
          <w:szCs w:val="20"/>
        </w:rPr>
        <w:t>firme.”</w:t>
      </w:r>
    </w:p>
    <w:p>
      <w:pPr>
        <w:pStyle w:val="Cuerpodetexto"/>
        <w:spacing w:lineRule="auto" w:line="360" w:before="101" w:after="0"/>
        <w:ind w:left="119" w:right="100" w:firstLine="708"/>
        <w:jc w:val="both"/>
        <w:rPr>
          <w:rFonts w:ascii="Tahoma" w:hAnsi="Tahoma" w:cs="Tahoma"/>
          <w:i/>
          <w:i/>
          <w:iCs/>
          <w:sz w:val="20"/>
          <w:szCs w:val="20"/>
        </w:rPr>
      </w:pPr>
      <w:r>
        <w:rPr>
          <w:rFonts w:cs="Tahoma" w:ascii="Tahoma" w:hAnsi="Tahoma"/>
          <w:i/>
          <w:iCs/>
          <w:sz w:val="20"/>
          <w:szCs w:val="20"/>
        </w:rPr>
        <w:t>Posteriormente el Fiscal Coordinador de la Fiscalía de Asuntos Indígenas, Lic. Daniel Villalobos, remitió correo electrónico enviado el 07 de noviembre de 2019 a la señora Damaris Vásquez, mediante el cual se puso en conocimiento de la Unidad de Acceso a la Justicia, el oficio 11515 del año 2019 del Consejo Superior del Poder Judicial, dentro del cual se les hizo saber del rechazo de la creación de una plaza de técnico judical para la atención de personas indígenas en la Fiscalía de Buenos Aires, y así coadyudar con la gestión del Ministerio</w:t>
      </w:r>
      <w:r>
        <w:rPr>
          <w:rFonts w:cs="Tahoma" w:ascii="Tahoma" w:hAnsi="Tahoma"/>
          <w:i/>
          <w:iCs/>
          <w:spacing w:val="-1"/>
          <w:sz w:val="20"/>
          <w:szCs w:val="20"/>
        </w:rPr>
        <w:t xml:space="preserve"> </w:t>
      </w:r>
      <w:r>
        <w:rPr>
          <w:rFonts w:cs="Tahoma" w:ascii="Tahoma" w:hAnsi="Tahoma"/>
          <w:i/>
          <w:iCs/>
          <w:sz w:val="20"/>
          <w:szCs w:val="20"/>
        </w:rPr>
        <w:t>Público.</w:t>
      </w:r>
    </w:p>
    <w:p>
      <w:pPr>
        <w:pStyle w:val="Cuerpodetexto"/>
        <w:spacing w:lineRule="auto" w:line="360"/>
        <w:ind w:left="119" w:right="101" w:firstLine="708"/>
        <w:jc w:val="both"/>
        <w:rPr>
          <w:rFonts w:ascii="Tahoma" w:hAnsi="Tahoma" w:cs="Tahoma"/>
          <w:i/>
          <w:i/>
          <w:iCs/>
          <w:sz w:val="20"/>
          <w:szCs w:val="20"/>
        </w:rPr>
      </w:pPr>
      <w:r>
        <w:rPr>
          <w:rFonts w:cs="Tahoma" w:ascii="Tahoma" w:hAnsi="Tahoma"/>
          <w:i/>
          <w:iCs/>
          <w:sz w:val="20"/>
          <w:szCs w:val="20"/>
        </w:rPr>
        <w:t>En fecha del ocho de noviembre del año 2019, mediante oficio N°318-FAI-2019, se presentó la respectiva reconsideración ante el Consejo Superior del Poder Judicial, sobre la denegatoria de la plaza de técnico judicial en la Fiscalía de Buenos Aires, a fin de garantizar un adecuado acceso a la justicia de los pueblos indígenas de esta zona y en aras de dar un efectivo cumplimiento a las medida cautelar impuesta por la Comisión Interamericana de Derechos Humanos sobre el Estado Costarricense.</w:t>
      </w:r>
    </w:p>
    <w:p>
      <w:pPr>
        <w:pStyle w:val="Cuerpodetexto"/>
        <w:spacing w:lineRule="exact" w:line="291"/>
        <w:ind w:left="827" w:hanging="0"/>
        <w:jc w:val="both"/>
        <w:rPr>
          <w:rFonts w:ascii="Tahoma" w:hAnsi="Tahoma" w:cs="Tahoma"/>
          <w:i/>
          <w:i/>
          <w:iCs/>
          <w:sz w:val="20"/>
          <w:szCs w:val="20"/>
        </w:rPr>
      </w:pPr>
      <w:r>
        <w:rPr>
          <w:rFonts w:cs="Tahoma" w:ascii="Tahoma" w:hAnsi="Tahoma"/>
          <w:i/>
          <w:iCs/>
          <w:sz w:val="20"/>
          <w:szCs w:val="20"/>
        </w:rPr>
        <w:t>Esta reconsideración aún se encuentra pendiente de resolver.</w:t>
      </w:r>
    </w:p>
    <w:p>
      <w:pPr>
        <w:pStyle w:val="Cuerpodetexto"/>
        <w:rPr>
          <w:rFonts w:ascii="Tahoma" w:hAnsi="Tahoma" w:cs="Tahoma"/>
          <w:i/>
          <w:i/>
          <w:iCs/>
          <w:sz w:val="20"/>
          <w:szCs w:val="20"/>
        </w:rPr>
      </w:pPr>
      <w:r>
        <w:rPr>
          <w:rFonts w:cs="Tahoma" w:ascii="Tahoma" w:hAnsi="Tahoma"/>
          <w:i/>
          <w:iCs/>
          <w:sz w:val="20"/>
          <w:szCs w:val="20"/>
        </w:rPr>
      </w:r>
    </w:p>
    <w:p>
      <w:pPr>
        <w:pStyle w:val="Ttulo11"/>
        <w:spacing w:before="225" w:after="0"/>
        <w:jc w:val="both"/>
        <w:rPr>
          <w:rFonts w:ascii="Tahoma" w:hAnsi="Tahoma" w:cs="Tahoma"/>
          <w:i/>
          <w:i/>
          <w:iCs/>
          <w:sz w:val="20"/>
          <w:szCs w:val="20"/>
        </w:rPr>
      </w:pPr>
      <w:r>
        <w:rPr>
          <w:rFonts w:cs="Tahoma" w:ascii="Tahoma" w:hAnsi="Tahoma"/>
          <w:i/>
          <w:iCs/>
          <w:sz w:val="20"/>
          <w:szCs w:val="20"/>
        </w:rPr>
        <w:t>II.- Control estadístico:</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lineRule="auto" w:line="360" w:before="227" w:after="0"/>
        <w:ind w:left="119" w:right="101" w:firstLine="708"/>
        <w:jc w:val="both"/>
        <w:rPr>
          <w:rFonts w:ascii="Tahoma" w:hAnsi="Tahoma" w:cs="Tahoma"/>
          <w:i/>
          <w:i/>
          <w:iCs/>
          <w:sz w:val="20"/>
          <w:szCs w:val="20"/>
        </w:rPr>
      </w:pPr>
      <w:r>
        <w:rPr>
          <w:rFonts w:cs="Tahoma" w:ascii="Tahoma" w:hAnsi="Tahoma"/>
          <w:i/>
          <w:iCs/>
          <w:sz w:val="20"/>
          <w:szCs w:val="20"/>
        </w:rPr>
        <w:t>En el mes de Noviembre del 2011, se publicó la Circular de Fiscalía General 13-ADM-2011, en la cual se estableció que las fiscalías territoriales que atienden población indígena, tienen la obligación de remitir trimestralmente a la FAI informes del sobre el circulante indígena.</w:t>
      </w:r>
    </w:p>
    <w:p>
      <w:pPr>
        <w:pStyle w:val="Cuerpodetexto"/>
        <w:spacing w:lineRule="auto" w:line="360"/>
        <w:ind w:left="119" w:right="126" w:firstLine="708"/>
        <w:jc w:val="both"/>
        <w:rPr>
          <w:rFonts w:ascii="Tahoma" w:hAnsi="Tahoma" w:cs="Tahoma"/>
          <w:i/>
          <w:i/>
          <w:iCs/>
          <w:sz w:val="20"/>
          <w:szCs w:val="20"/>
        </w:rPr>
      </w:pPr>
      <w:r>
        <w:rPr>
          <w:rFonts w:cs="Tahoma" w:ascii="Tahoma" w:hAnsi="Tahoma"/>
          <w:i/>
          <w:iCs/>
          <w:sz w:val="20"/>
          <w:szCs w:val="20"/>
        </w:rPr>
        <w:t>Esta estadística, que aún se mantiene al día de hoy, y al ingresar los datos a este despacho son revisados y se cuantifican por fiscalía.</w:t>
      </w:r>
    </w:p>
    <w:p>
      <w:pPr>
        <w:pStyle w:val="Cuerpodetexto"/>
        <w:spacing w:lineRule="auto" w:line="360"/>
        <w:ind w:left="119" w:right="99" w:firstLine="708"/>
        <w:jc w:val="both"/>
        <w:rPr>
          <w:rFonts w:ascii="Tahoma" w:hAnsi="Tahoma" w:cs="Tahoma"/>
          <w:i/>
          <w:i/>
          <w:iCs/>
          <w:sz w:val="20"/>
          <w:szCs w:val="20"/>
        </w:rPr>
      </w:pPr>
      <w:r>
        <w:rPr>
          <w:rFonts w:cs="Tahoma" w:ascii="Tahoma" w:hAnsi="Tahoma"/>
          <w:i/>
          <w:iCs/>
          <w:sz w:val="20"/>
          <w:szCs w:val="20"/>
        </w:rPr>
        <w:t>Posteriormente, esta información se remite a la Unidad de Monitoreo del Ministerio Público (UMGEF) para su respectivo análisis, a fin de conocer los porcentajes de</w:t>
      </w:r>
      <w:r>
        <w:rPr>
          <w:rFonts w:cs="Tahoma" w:ascii="Tahoma" w:hAnsi="Tahoma"/>
          <w:i/>
          <w:iCs/>
          <w:spacing w:val="-20"/>
          <w:sz w:val="20"/>
          <w:szCs w:val="20"/>
        </w:rPr>
        <w:t xml:space="preserve"> </w:t>
      </w:r>
      <w:r>
        <w:rPr>
          <w:rFonts w:cs="Tahoma" w:ascii="Tahoma" w:hAnsi="Tahoma"/>
          <w:i/>
          <w:iCs/>
          <w:sz w:val="20"/>
          <w:szCs w:val="20"/>
        </w:rPr>
        <w:t>delitos</w:t>
      </w:r>
    </w:p>
    <w:p>
      <w:pPr>
        <w:pStyle w:val="Cuerpodetexto"/>
        <w:spacing w:lineRule="auto" w:line="360" w:before="101" w:after="0"/>
        <w:ind w:left="119" w:right="102" w:hanging="0"/>
        <w:jc w:val="both"/>
        <w:rPr>
          <w:rFonts w:ascii="Tahoma" w:hAnsi="Tahoma" w:cs="Tahoma"/>
          <w:i/>
          <w:i/>
          <w:iCs/>
          <w:sz w:val="20"/>
          <w:szCs w:val="20"/>
        </w:rPr>
      </w:pPr>
      <w:r>
        <w:rPr>
          <w:rFonts w:cs="Tahoma" w:ascii="Tahoma" w:hAnsi="Tahoma"/>
          <w:i/>
          <w:iCs/>
          <w:sz w:val="20"/>
          <w:szCs w:val="20"/>
        </w:rPr>
        <w:t>ocurridos  en causas  indígenas  a nivel  nacional,  utilizando  dichos  análisis  como</w:t>
      </w:r>
      <w:r>
        <w:rPr>
          <w:rFonts w:cs="Tahoma" w:ascii="Tahoma" w:hAnsi="Tahoma"/>
          <w:i/>
          <w:iCs/>
          <w:spacing w:val="-8"/>
          <w:sz w:val="20"/>
          <w:szCs w:val="20"/>
        </w:rPr>
        <w:t xml:space="preserve"> </w:t>
      </w:r>
      <w:r>
        <w:rPr>
          <w:rFonts w:cs="Tahoma" w:ascii="Tahoma" w:hAnsi="Tahoma"/>
          <w:i/>
          <w:iCs/>
          <w:sz w:val="20"/>
          <w:szCs w:val="20"/>
        </w:rPr>
        <w:t>insumos para conocer la incidencia criminal que afecta a la población indígena a nivel nacional y con ello elaborar la metodología de trabajo anual de la Fiscalía de Asuntos Indígenas con respecto a cada una de las fiscalías que conocen materia indígena.</w:t>
      </w:r>
    </w:p>
    <w:p>
      <w:pPr>
        <w:pStyle w:val="Cuerpodetexto"/>
        <w:spacing w:lineRule="exact" w:line="292"/>
        <w:ind w:left="119" w:hanging="0"/>
        <w:jc w:val="both"/>
        <w:rPr>
          <w:rFonts w:ascii="Tahoma" w:hAnsi="Tahoma" w:cs="Tahoma"/>
          <w:i/>
          <w:i/>
          <w:iCs/>
          <w:sz w:val="20"/>
          <w:szCs w:val="20"/>
        </w:rPr>
      </w:pPr>
      <w:r>
        <w:rPr>
          <w:rFonts w:cs="Tahoma" w:ascii="Tahoma" w:hAnsi="Tahoma"/>
          <w:i/>
          <w:iCs/>
          <w:sz w:val="20"/>
          <w:szCs w:val="20"/>
        </w:rPr>
      </w:r>
    </w:p>
    <w:p>
      <w:pPr>
        <w:pStyle w:val="Ttulo11"/>
        <w:jc w:val="both"/>
        <w:rPr>
          <w:rFonts w:ascii="Tahoma" w:hAnsi="Tahoma" w:cs="Tahoma"/>
          <w:i/>
          <w:i/>
          <w:iCs/>
          <w:sz w:val="20"/>
          <w:szCs w:val="20"/>
        </w:rPr>
      </w:pPr>
      <w:r>
        <w:rPr>
          <w:rFonts w:cs="Tahoma" w:ascii="Tahoma" w:hAnsi="Tahoma"/>
          <w:i/>
          <w:iCs/>
          <w:sz w:val="20"/>
          <w:szCs w:val="20"/>
        </w:rPr>
        <w:t>III.- Cronograma de atención a los territorios indígenas en el Cantón de Buenos Aires:</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lineRule="auto" w:line="360" w:before="227" w:after="0"/>
        <w:ind w:left="119" w:right="101" w:firstLine="708"/>
        <w:jc w:val="both"/>
        <w:rPr>
          <w:rFonts w:ascii="Tahoma" w:hAnsi="Tahoma" w:cs="Tahoma"/>
          <w:i/>
          <w:i/>
          <w:iCs/>
          <w:sz w:val="20"/>
          <w:szCs w:val="20"/>
        </w:rPr>
      </w:pPr>
      <w:r>
        <w:rPr>
          <w:rFonts w:cs="Tahoma" w:ascii="Tahoma" w:hAnsi="Tahoma"/>
          <w:i/>
          <w:iCs/>
          <w:sz w:val="20"/>
          <w:szCs w:val="20"/>
        </w:rPr>
        <w:t xml:space="preserve">Anualmente se programan y se agendan las visitas a los territorios indígenas en asocio con la Oficina de </w:t>
      </w:r>
      <w:r>
        <w:rPr>
          <w:rFonts w:cs="Tahoma" w:ascii="Tahoma" w:hAnsi="Tahoma"/>
          <w:i/>
          <w:iCs/>
          <w:spacing w:val="2"/>
          <w:sz w:val="20"/>
          <w:szCs w:val="20"/>
        </w:rPr>
        <w:t xml:space="preserve">Atención </w:t>
      </w:r>
      <w:r>
        <w:rPr>
          <w:rFonts w:cs="Tahoma" w:ascii="Tahoma" w:hAnsi="Tahoma"/>
          <w:i/>
          <w:iCs/>
          <w:sz w:val="20"/>
          <w:szCs w:val="20"/>
        </w:rPr>
        <w:t xml:space="preserve">de </w:t>
      </w:r>
      <w:r>
        <w:rPr>
          <w:rFonts w:cs="Tahoma" w:ascii="Tahoma" w:hAnsi="Tahoma"/>
          <w:i/>
          <w:iCs/>
          <w:spacing w:val="2"/>
          <w:sz w:val="20"/>
          <w:szCs w:val="20"/>
        </w:rPr>
        <w:t xml:space="preserve">Víctimas </w:t>
      </w:r>
      <w:r>
        <w:rPr>
          <w:rFonts w:cs="Tahoma" w:ascii="Tahoma" w:hAnsi="Tahoma"/>
          <w:i/>
          <w:iCs/>
          <w:sz w:val="20"/>
          <w:szCs w:val="20"/>
        </w:rPr>
        <w:t xml:space="preserve">y Testigos, con el fin de brindar atención in situ, brindar </w:t>
      </w:r>
      <w:r>
        <w:rPr>
          <w:rFonts w:cs="Tahoma" w:ascii="Tahoma" w:hAnsi="Tahoma"/>
          <w:i/>
          <w:iCs/>
          <w:spacing w:val="2"/>
          <w:sz w:val="20"/>
          <w:szCs w:val="20"/>
        </w:rPr>
        <w:t xml:space="preserve">información </w:t>
      </w:r>
      <w:r>
        <w:rPr>
          <w:rFonts w:cs="Tahoma" w:ascii="Tahoma" w:hAnsi="Tahoma"/>
          <w:i/>
          <w:iCs/>
          <w:sz w:val="20"/>
          <w:szCs w:val="20"/>
        </w:rPr>
        <w:t>sobre las funciones del Ministerio Público, recibir denuncias y/o entrevistas, así como evacuar cualquier otra diligencia o consulta que surja durante la visita.</w:t>
      </w:r>
    </w:p>
    <w:p>
      <w:pPr>
        <w:pStyle w:val="Cuerpodetexto"/>
        <w:spacing w:lineRule="auto" w:line="360"/>
        <w:ind w:left="119" w:right="101" w:firstLine="708"/>
        <w:jc w:val="both"/>
        <w:rPr>
          <w:rFonts w:ascii="Tahoma" w:hAnsi="Tahoma" w:cs="Tahoma"/>
          <w:i/>
          <w:i/>
          <w:iCs/>
          <w:sz w:val="20"/>
          <w:szCs w:val="20"/>
        </w:rPr>
      </w:pPr>
      <w:r>
        <w:rPr>
          <w:rFonts w:cs="Tahoma" w:ascii="Tahoma" w:hAnsi="Tahoma"/>
          <w:i/>
          <w:iCs/>
          <w:sz w:val="20"/>
          <w:szCs w:val="20"/>
        </w:rPr>
        <w:t>Para este año 2020, la programación de las visitas a los territorios indígenas de Ujarrás, Salitre, Rey Curré, Cabagra, Térraba y Boruca, darán inicio entre en el mes de Marzo hasta el mes de Octubre del presente año, así como también, se realizarán las visitas que resulten necesarias, según las situaciones especiales o circunstancias que surjan durante el presente año.</w:t>
      </w:r>
    </w:p>
    <w:p>
      <w:pPr>
        <w:pStyle w:val="Cuerpodetexto"/>
        <w:spacing w:before="5" w:after="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119" w:right="104" w:hanging="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0" w:right="104" w:hanging="0"/>
        <w:rPr>
          <w:rFonts w:ascii="Tahoma" w:hAnsi="Tahoma" w:cs="Tahoma"/>
          <w:i/>
          <w:i/>
          <w:iCs/>
          <w:sz w:val="20"/>
          <w:szCs w:val="20"/>
        </w:rPr>
      </w:pPr>
      <w:r>
        <w:rPr>
          <w:rFonts w:cs="Tahoma" w:ascii="Tahoma" w:hAnsi="Tahoma"/>
          <w:i/>
          <w:iCs/>
          <w:sz w:val="20"/>
          <w:szCs w:val="20"/>
        </w:rPr>
      </w:r>
    </w:p>
    <w:p>
      <w:pPr>
        <w:pStyle w:val="Ttulo11"/>
        <w:tabs>
          <w:tab w:val="clear" w:pos="708"/>
          <w:tab w:val="left" w:pos="7859" w:leader="none"/>
        </w:tabs>
        <w:spacing w:lineRule="auto" w:line="360"/>
        <w:ind w:left="119" w:right="104" w:hanging="0"/>
        <w:rPr>
          <w:rFonts w:ascii="Tahoma" w:hAnsi="Tahoma" w:cs="Tahoma"/>
          <w:i/>
          <w:i/>
          <w:iCs/>
          <w:sz w:val="20"/>
          <w:szCs w:val="20"/>
        </w:rPr>
      </w:pPr>
      <w:r>
        <w:rPr>
          <w:rFonts w:cs="Tahoma" w:ascii="Tahoma" w:hAnsi="Tahoma"/>
          <w:i/>
          <w:iCs/>
          <w:sz w:val="20"/>
          <w:szCs w:val="20"/>
        </w:rPr>
        <w:t xml:space="preserve">IV.-   </w:t>
      </w:r>
      <w:r>
        <w:rPr>
          <w:rFonts w:cs="Tahoma" w:ascii="Tahoma" w:hAnsi="Tahoma"/>
          <w:i/>
          <w:iCs/>
          <w:spacing w:val="2"/>
          <w:sz w:val="20"/>
          <w:szCs w:val="20"/>
        </w:rPr>
        <w:t xml:space="preserve">Remitir  informes  trimestrales  </w:t>
      </w:r>
      <w:r>
        <w:rPr>
          <w:rFonts w:cs="Tahoma" w:ascii="Tahoma" w:hAnsi="Tahoma"/>
          <w:i/>
          <w:iCs/>
          <w:sz w:val="20"/>
          <w:szCs w:val="20"/>
        </w:rPr>
        <w:t xml:space="preserve">a   la   </w:t>
      </w:r>
      <w:r>
        <w:rPr>
          <w:rFonts w:cs="Tahoma" w:ascii="Tahoma" w:hAnsi="Tahoma"/>
          <w:i/>
          <w:iCs/>
          <w:spacing w:val="2"/>
          <w:sz w:val="20"/>
          <w:szCs w:val="20"/>
        </w:rPr>
        <w:t xml:space="preserve">Dirección  </w:t>
      </w:r>
      <w:r>
        <w:rPr>
          <w:rFonts w:cs="Tahoma" w:ascii="Tahoma" w:hAnsi="Tahoma"/>
          <w:i/>
          <w:iCs/>
          <w:sz w:val="20"/>
          <w:szCs w:val="20"/>
        </w:rPr>
        <w:t xml:space="preserve">de   </w:t>
      </w:r>
      <w:r>
        <w:rPr>
          <w:rFonts w:cs="Tahoma" w:ascii="Tahoma" w:hAnsi="Tahoma"/>
          <w:i/>
          <w:iCs/>
          <w:spacing w:val="2"/>
          <w:sz w:val="20"/>
          <w:szCs w:val="20"/>
        </w:rPr>
        <w:t xml:space="preserve">Planificación  </w:t>
      </w:r>
      <w:r>
        <w:rPr>
          <w:rFonts w:cs="Tahoma" w:ascii="Tahoma" w:hAnsi="Tahoma"/>
          <w:i/>
          <w:iCs/>
          <w:spacing w:val="18"/>
          <w:sz w:val="20"/>
          <w:szCs w:val="20"/>
        </w:rPr>
        <w:t xml:space="preserve"> </w:t>
      </w:r>
      <w:r>
        <w:rPr>
          <w:rFonts w:cs="Tahoma" w:ascii="Tahoma" w:hAnsi="Tahoma"/>
          <w:i/>
          <w:iCs/>
          <w:sz w:val="20"/>
          <w:szCs w:val="20"/>
        </w:rPr>
        <w:t>de</w:t>
      </w:r>
      <w:r>
        <w:rPr>
          <w:rFonts w:cs="Tahoma" w:ascii="Tahoma" w:hAnsi="Tahoma"/>
          <w:i/>
          <w:iCs/>
          <w:spacing w:val="5"/>
          <w:sz w:val="20"/>
          <w:szCs w:val="20"/>
        </w:rPr>
        <w:t xml:space="preserve"> </w:t>
      </w:r>
      <w:r>
        <w:rPr>
          <w:rFonts w:cs="Tahoma" w:ascii="Tahoma" w:hAnsi="Tahoma"/>
          <w:i/>
          <w:iCs/>
          <w:sz w:val="20"/>
          <w:szCs w:val="20"/>
        </w:rPr>
        <w:t>las</w:t>
        <w:tab/>
        <w:t xml:space="preserve">actividades </w:t>
      </w:r>
      <w:r>
        <w:rPr>
          <w:rFonts w:cs="Tahoma" w:ascii="Tahoma" w:hAnsi="Tahoma"/>
          <w:i/>
          <w:iCs/>
          <w:spacing w:val="2"/>
          <w:sz w:val="20"/>
          <w:szCs w:val="20"/>
        </w:rPr>
        <w:t>realizadas por las plazas</w:t>
      </w:r>
      <w:r>
        <w:rPr>
          <w:rFonts w:cs="Tahoma" w:ascii="Tahoma" w:hAnsi="Tahoma"/>
          <w:i/>
          <w:iCs/>
          <w:spacing w:val="10"/>
          <w:sz w:val="20"/>
          <w:szCs w:val="20"/>
        </w:rPr>
        <w:t xml:space="preserve"> </w:t>
      </w:r>
      <w:r>
        <w:rPr>
          <w:rFonts w:cs="Tahoma" w:ascii="Tahoma" w:hAnsi="Tahoma"/>
          <w:i/>
          <w:iCs/>
          <w:spacing w:val="2"/>
          <w:sz w:val="20"/>
          <w:szCs w:val="20"/>
        </w:rPr>
        <w:t>asignadas</w:t>
      </w:r>
    </w:p>
    <w:p>
      <w:pPr>
        <w:pStyle w:val="Cuerpodetexto"/>
        <w:spacing w:before="6" w:after="0"/>
        <w:rPr>
          <w:rFonts w:ascii="Tahoma" w:hAnsi="Tahoma" w:cs="Tahoma"/>
          <w:b/>
          <w:b/>
          <w:i/>
          <w:i/>
          <w:iCs/>
          <w:sz w:val="20"/>
          <w:szCs w:val="20"/>
        </w:rPr>
      </w:pPr>
      <w:r>
        <w:rPr>
          <w:rFonts w:cs="Tahoma" w:ascii="Tahoma" w:hAnsi="Tahoma"/>
          <w:b/>
          <w:i/>
          <w:iCs/>
          <w:sz w:val="20"/>
          <w:szCs w:val="20"/>
        </w:rPr>
      </w:r>
    </w:p>
    <w:p>
      <w:pPr>
        <w:pStyle w:val="Cuerpodetexto"/>
        <w:spacing w:lineRule="atLeast" w:line="440"/>
        <w:ind w:left="119" w:right="101" w:firstLine="720"/>
        <w:jc w:val="both"/>
        <w:rPr>
          <w:rFonts w:ascii="Tahoma" w:hAnsi="Tahoma" w:cs="Tahoma"/>
          <w:i/>
          <w:i/>
          <w:iCs/>
          <w:sz w:val="20"/>
          <w:szCs w:val="20"/>
        </w:rPr>
      </w:pPr>
      <w:r>
        <w:rPr>
          <w:rFonts w:cs="Tahoma" w:ascii="Tahoma" w:hAnsi="Tahoma"/>
          <w:i/>
          <w:iCs/>
          <w:sz w:val="20"/>
          <w:szCs w:val="20"/>
        </w:rPr>
        <w:t>A partir del año 2020, se está generando una bitácora diaria de las labores realizadas tanto por fiscales como por parte de los técnicos judiciales de la Fiscal ía de Buenos Aires, con el fin de evidenciar las labores que se realizan durante la jornada laboral y el tiempo que requiere la atención de la población indígena en la zona, lo anterior, con la finalidad de remitir de forma trimestral la información al Departamento de</w:t>
      </w:r>
      <w:r>
        <w:rPr>
          <w:rFonts w:cs="Tahoma" w:ascii="Tahoma" w:hAnsi="Tahoma"/>
          <w:i/>
          <w:iCs/>
          <w:spacing w:val="-6"/>
          <w:sz w:val="20"/>
          <w:szCs w:val="20"/>
        </w:rPr>
        <w:t xml:space="preserve"> </w:t>
      </w:r>
      <w:r>
        <w:rPr>
          <w:rFonts w:cs="Tahoma" w:ascii="Tahoma" w:hAnsi="Tahoma"/>
          <w:i/>
          <w:iCs/>
          <w:sz w:val="20"/>
          <w:szCs w:val="20"/>
        </w:rPr>
        <w:t>Planificación.</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Cuerpodetexto"/>
        <w:spacing w:lineRule="auto" w:line="360" w:before="250" w:after="0"/>
        <w:ind w:left="119" w:right="102" w:firstLine="720"/>
        <w:jc w:val="both"/>
        <w:rPr>
          <w:rFonts w:ascii="Tahoma" w:hAnsi="Tahoma" w:cs="Tahoma"/>
          <w:i/>
          <w:i/>
          <w:iCs/>
          <w:sz w:val="20"/>
          <w:szCs w:val="20"/>
        </w:rPr>
      </w:pPr>
      <w:r>
        <w:rPr>
          <w:rFonts w:cs="Tahoma" w:ascii="Tahoma" w:hAnsi="Tahoma"/>
          <w:i/>
          <w:iCs/>
          <w:sz w:val="20"/>
          <w:szCs w:val="20"/>
        </w:rPr>
        <w:t>Por último, es importante indicar, que se están cumpliento con las recomendaciones emitidas por parte del Consejo Superior para rendir los informes trimestrales a la Dirección de Planificación de las actividades realizadas por los funcionarios de la Fiscalía de Buenos Aires, lo anterior, con la finalidad de contar con mayores insumos con respecto a la justificación de la necesidad de la plaza de técnico judicial que se solicita.</w:t>
      </w:r>
    </w:p>
    <w:p>
      <w:pPr>
        <w:pStyle w:val="Cuerpodetexto"/>
        <w:spacing w:before="6" w:after="0"/>
        <w:rPr>
          <w:rFonts w:ascii="Tahoma" w:hAnsi="Tahoma" w:cs="Tahoma"/>
          <w:i/>
          <w:i/>
          <w:iCs/>
          <w:sz w:val="20"/>
          <w:szCs w:val="20"/>
        </w:rPr>
      </w:pPr>
      <w:r>
        <w:rPr>
          <w:rFonts w:cs="Tahoma" w:ascii="Tahoma" w:hAnsi="Tahoma"/>
          <w:i/>
          <w:iCs/>
          <w:sz w:val="20"/>
          <w:szCs w:val="20"/>
        </w:rPr>
      </w:r>
    </w:p>
    <w:p>
      <w:pPr>
        <w:pStyle w:val="Cuerpodetexto"/>
        <w:ind w:left="839" w:hanging="0"/>
        <w:rPr>
          <w:rFonts w:ascii="Tahoma" w:hAnsi="Tahoma" w:cs="Tahoma"/>
          <w:i/>
          <w:i/>
          <w:iCs/>
          <w:sz w:val="20"/>
          <w:szCs w:val="20"/>
        </w:rPr>
      </w:pPr>
      <w:r>
        <w:rPr>
          <w:rFonts w:cs="Tahoma" w:ascii="Tahoma" w:hAnsi="Tahoma"/>
          <w:i/>
          <w:iCs/>
          <w:sz w:val="20"/>
          <w:szCs w:val="20"/>
        </w:rPr>
        <w:t>De esta manera se da respuesta, en caso de requerirse ampliación quedo atenta.</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t xml:space="preserve">Con las mayores muestras de consideración y estima </w:t>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lang w:val="es-ES"/>
        </w:rPr>
      </w:pPr>
      <w:r>
        <w:rPr>
          <w:rFonts w:cs="Tahoma" w:ascii="Tahoma" w:hAnsi="Tahoma"/>
          <w:i/>
          <w:iCs/>
          <w:sz w:val="20"/>
          <w:szCs w:val="20"/>
          <w:lang w:val="es-ES"/>
        </w:rPr>
      </w:r>
    </w:p>
    <w:p>
      <w:pPr>
        <w:pStyle w:val="Ttulo11"/>
        <w:spacing w:lineRule="auto" w:line="360" w:before="101" w:after="0"/>
        <w:ind w:left="3441" w:right="3422" w:hanging="0"/>
        <w:jc w:val="center"/>
        <w:rPr>
          <w:rFonts w:ascii="Tahoma" w:hAnsi="Tahoma" w:cs="Tahoma"/>
          <w:i/>
          <w:i/>
          <w:iCs/>
          <w:sz w:val="20"/>
          <w:szCs w:val="20"/>
        </w:rPr>
      </w:pPr>
      <w:r>
        <w:rPr>
          <w:rFonts w:cs="Tahoma" w:ascii="Tahoma" w:hAnsi="Tahoma"/>
          <w:i/>
          <w:iCs/>
          <w:sz w:val="20"/>
          <w:szCs w:val="20"/>
        </w:rPr>
        <w:t>Tattiana García Chaves Fiscala Adjunta</w:t>
      </w:r>
    </w:p>
    <w:p>
      <w:pPr>
        <w:pStyle w:val="Normal"/>
        <w:spacing w:lineRule="exact" w:line="292"/>
        <w:ind w:left="3146" w:right="3131" w:hanging="0"/>
        <w:jc w:val="center"/>
        <w:rPr>
          <w:rFonts w:ascii="Tahoma" w:hAnsi="Tahoma" w:cs="Tahoma"/>
          <w:b/>
          <w:b/>
          <w:i/>
          <w:i/>
          <w:iCs/>
          <w:sz w:val="20"/>
          <w:szCs w:val="20"/>
        </w:rPr>
      </w:pPr>
      <w:r>
        <w:rPr>
          <w:rFonts w:cs="Tahoma" w:ascii="Tahoma" w:hAnsi="Tahoma"/>
          <w:b/>
          <w:i/>
          <w:iCs/>
          <w:sz w:val="20"/>
          <w:szCs w:val="20"/>
        </w:rPr>
        <w:t>Fiscalía de Asuntos Indígenas</w:t>
      </w:r>
    </w:p>
    <w:p>
      <w:pPr>
        <w:pStyle w:val="Normal"/>
        <w:spacing w:lineRule="exact" w:line="292"/>
        <w:ind w:left="3146" w:right="3131" w:hanging="0"/>
        <w:jc w:val="center"/>
        <w:rPr>
          <w:rFonts w:ascii="Tahoma" w:hAnsi="Tahoma" w:cs="Tahoma"/>
          <w:b/>
          <w:b/>
          <w:sz w:val="20"/>
          <w:szCs w:val="20"/>
        </w:rPr>
      </w:pPr>
      <w:r>
        <w:rPr>
          <w:rFonts w:cs="Tahoma" w:ascii="Tahoma" w:hAnsi="Tahoma"/>
          <w:b/>
          <w:sz w:val="20"/>
          <w:szCs w:val="20"/>
        </w:rPr>
        <w:t>___________________________</w:t>
      </w:r>
    </w:p>
    <w:p>
      <w:pPr>
        <w:pStyle w:val="Normal"/>
        <w:widowControl w:val="false"/>
        <w:jc w:val="both"/>
        <w:rPr>
          <w:rFonts w:ascii="Tahoma" w:hAnsi="Tahoma" w:cs="Tahoma"/>
          <w:bCs/>
          <w:i/>
          <w:i/>
          <w:iCs/>
          <w:sz w:val="20"/>
          <w:szCs w:val="20"/>
        </w:rPr>
      </w:pPr>
      <w:r>
        <w:rPr>
          <w:rFonts w:cs="Tahoma" w:ascii="Tahoma" w:hAnsi="Tahoma"/>
          <w:bCs/>
          <w:i/>
          <w:iCs/>
          <w:sz w:val="20"/>
          <w:szCs w:val="20"/>
        </w:rPr>
      </w:r>
    </w:p>
    <w:p>
      <w:pPr>
        <w:pStyle w:val="Normal"/>
        <w:spacing w:lineRule="exact" w:line="292"/>
        <w:ind w:right="3131" w:hanging="0"/>
        <w:rPr>
          <w:rFonts w:ascii="Tahoma" w:hAnsi="Tahoma" w:cs="Tahoma"/>
          <w:b/>
          <w:b/>
          <w:sz w:val="20"/>
          <w:szCs w:val="20"/>
        </w:rPr>
      </w:pPr>
      <w:r>
        <w:rPr>
          <w:rFonts w:cs="Tahoma" w:ascii="Tahoma" w:hAnsi="Tahoma"/>
          <w:b/>
          <w:sz w:val="20"/>
          <w:szCs w:val="20"/>
        </w:rPr>
      </w:r>
    </w:p>
    <w:p>
      <w:pPr>
        <w:pStyle w:val="Normal"/>
        <w:jc w:val="both"/>
        <w:rPr>
          <w:rFonts w:ascii="Tahoma" w:hAnsi="Tahoma" w:cs="Tahoma"/>
          <w:i/>
          <w:i/>
          <w:sz w:val="20"/>
          <w:szCs w:val="20"/>
          <w:lang w:val="es-ES_tradnl" w:eastAsia="ar-SA"/>
        </w:rPr>
      </w:pPr>
      <w:r>
        <w:rPr>
          <w:rFonts w:cs="Tahoma" w:ascii="Tahoma" w:hAnsi="Tahoma"/>
          <w:b/>
          <w:bCs/>
          <w:sz w:val="20"/>
          <w:szCs w:val="20"/>
          <w:u w:val="single"/>
          <w:lang w:val="es-ES"/>
        </w:rPr>
        <w:t>SE ACUERDA:</w:t>
      </w:r>
      <w:r>
        <w:rPr>
          <w:rFonts w:cs="Tahoma" w:ascii="Tahoma" w:hAnsi="Tahoma"/>
          <w:sz w:val="20"/>
          <w:szCs w:val="20"/>
          <w:lang w:val="es-ES"/>
        </w:rPr>
        <w:t xml:space="preserve"> 1° Se toma nota del </w:t>
      </w:r>
      <w:r>
        <w:rPr>
          <w:rFonts w:cs="Tahoma" w:ascii="Tahoma" w:hAnsi="Tahoma"/>
          <w:sz w:val="20"/>
          <w:szCs w:val="20"/>
        </w:rPr>
        <w:t xml:space="preserve">Oficio N° DVV-SI-022-2020 de 28 de febrero pasado, remitido por la Coordinadora de la Subcomisión de Acceso a la Justicia de Pueblos Indígenas al Consejo Superior, previa consulta de contenido a las personas integrantes de la Subcomisión, dando respuesta al </w:t>
      </w:r>
      <w:r>
        <w:rPr>
          <w:rFonts w:cs="Tahoma" w:ascii="Tahoma" w:hAnsi="Tahoma"/>
          <w:sz w:val="20"/>
          <w:szCs w:val="20"/>
          <w:lang w:val="es-ES" w:eastAsia="es-ES"/>
        </w:rPr>
        <w:t xml:space="preserve">Oficio </w:t>
      </w:r>
      <w:r>
        <w:rPr>
          <w:rFonts w:cs="Tahoma" w:ascii="Tahoma" w:hAnsi="Tahoma"/>
          <w:sz w:val="20"/>
          <w:szCs w:val="20"/>
        </w:rPr>
        <w:t xml:space="preserve">Nº 3967-19 de 29 de abril de 2019, en el que la Secretaría General de la Corte comunicó el acuerdo tomado por el Consejo Superior del Poder Judicial, en la sesión Nº 28-19 celebrada el 28 de marzo de 2019, Artículo XXXV. Lo anterior, como parte de las gestiones de seguimiento de las Medidas Cautelares 321-12 de la CIDH contra el Estado. 2° Se toma nota del Oficio </w:t>
      </w:r>
      <w:r>
        <w:rPr>
          <w:rFonts w:cs="Tahoma" w:ascii="Tahoma" w:hAnsi="Tahoma"/>
          <w:b/>
          <w:sz w:val="20"/>
          <w:szCs w:val="20"/>
        </w:rPr>
        <w:t>N° 12-FAI-2020</w:t>
      </w:r>
      <w:r>
        <w:rPr>
          <w:rFonts w:cs="Tahoma" w:ascii="Tahoma" w:hAnsi="Tahoma"/>
          <w:sz w:val="20"/>
          <w:szCs w:val="20"/>
        </w:rPr>
        <w:t xml:space="preserve"> de 14 de febrero pasado, enviado a esta Subcomisión por l</w:t>
      </w:r>
      <w:r>
        <w:rPr>
          <w:rFonts w:cs="Tahoma" w:ascii="Tahoma" w:hAnsi="Tahoma"/>
          <w:sz w:val="20"/>
          <w:szCs w:val="20"/>
          <w:lang w:val="es-ES"/>
        </w:rPr>
        <w:t>a Fiscalía Adjunta de Asuntos Indígenas. 3° Solicitar a la Unidad de Acceso a la Justicia dar seguimiento al acuerdo que tome el Consejo Superior en relación con la gestión citada en el primer acuerdo. 4° Comuníquese este acuerdo a la Fiscalía Indígena para su conocimiento, por medio de la Unidad de Acceso a la Justicia.-</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III:</w:t>
      </w:r>
    </w:p>
    <w:p>
      <w:pPr>
        <w:pStyle w:val="Normal"/>
        <w:spacing w:lineRule="auto" w:line="360"/>
        <w:rPr>
          <w:rFonts w:ascii="Tahoma" w:hAnsi="Tahoma" w:cs="Tahoma"/>
          <w:sz w:val="20"/>
          <w:szCs w:val="20"/>
          <w:u w:val="single"/>
        </w:rPr>
      </w:pPr>
      <w:r>
        <w:rPr>
          <w:rFonts w:cs="Tahoma" w:ascii="Tahoma" w:hAnsi="Tahoma"/>
          <w:b/>
          <w:sz w:val="20"/>
          <w:szCs w:val="20"/>
          <w:u w:val="single"/>
        </w:rPr>
        <w:t>TEMA:</w:t>
      </w:r>
      <w:r>
        <w:rPr>
          <w:rFonts w:cs="Tahoma" w:ascii="Tahoma" w:hAnsi="Tahoma"/>
          <w:sz w:val="20"/>
          <w:szCs w:val="20"/>
          <w:u w:val="single"/>
        </w:rPr>
        <w:t xml:space="preserve"> </w:t>
      </w:r>
      <w:r>
        <w:rPr>
          <w:rFonts w:cs="Tahoma" w:ascii="Tahoma" w:hAnsi="Tahoma"/>
          <w:b/>
          <w:bCs/>
          <w:sz w:val="20"/>
          <w:szCs w:val="20"/>
          <w:u w:val="single"/>
        </w:rPr>
        <w:t>OFICINA DE TRABAJO SOCIAL Y PSICOLOGÍA DE BUENOS AIRES DE PUNTARENAS</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CACC-10-2020</w:t>
      </w:r>
      <w:r>
        <w:rPr>
          <w:rFonts w:cs="Tahoma" w:ascii="Tahoma" w:hAnsi="Tahoma"/>
          <w:sz w:val="20"/>
          <w:szCs w:val="20"/>
          <w:lang w:val="es-ES"/>
        </w:rPr>
        <w:t xml:space="preserve"> a la Dirección de Planificación y al Departamento de Trabajo Social y Psicología, el acuerdo estipulado en el Artículo VII del Acta 10-19 el cual se transcribe literalmente: </w:t>
      </w:r>
    </w:p>
    <w:p>
      <w:pPr>
        <w:pStyle w:val="Normal"/>
        <w:jc w:val="both"/>
        <w:rPr>
          <w:rFonts w:ascii="Tahoma" w:hAnsi="Tahoma" w:cs="Tahoma"/>
          <w:sz w:val="20"/>
          <w:szCs w:val="20"/>
          <w:lang w:val="es-ES" w:eastAsia="es-CR"/>
        </w:rPr>
      </w:pPr>
      <w:r>
        <w:rPr>
          <w:rFonts w:cs="Tahoma" w:ascii="Tahoma" w:hAnsi="Tahoma"/>
          <w:b/>
          <w:sz w:val="20"/>
          <w:szCs w:val="20"/>
          <w:highlight w:val="lightGray"/>
        </w:rPr>
        <w:t>3°</w:t>
      </w:r>
      <w:r>
        <w:rPr>
          <w:rFonts w:cs="Tahoma" w:ascii="Tahoma" w:hAnsi="Tahoma"/>
          <w:sz w:val="20"/>
          <w:szCs w:val="20"/>
          <w:highlight w:val="lightGray"/>
        </w:rPr>
        <w:t>.</w:t>
      </w:r>
      <w:r>
        <w:rPr>
          <w:rFonts w:cs="Tahoma" w:ascii="Tahoma" w:hAnsi="Tahoma"/>
          <w:sz w:val="20"/>
          <w:szCs w:val="20"/>
        </w:rPr>
        <w:t xml:space="preserve"> Solicitar al </w:t>
      </w:r>
      <w:r>
        <w:rPr>
          <w:rFonts w:cs="Tahoma" w:ascii="Tahoma" w:hAnsi="Tahoma"/>
          <w:sz w:val="20"/>
          <w:szCs w:val="20"/>
          <w:lang w:val="es-ES" w:eastAsia="es-CR"/>
        </w:rPr>
        <w:t xml:space="preserve">Departamento de Trabajo Social y Psicología, y a la Dirección de Planificación informen sobre la factibilidad de que la plaza se ubique en Buenos Aires de Puntarenas considerando la situación actual de infraestructura, los requerimientos de servicio y el destino de la plaza aprobada por el Consejo Superior. </w:t>
      </w:r>
    </w:p>
    <w:p>
      <w:pPr>
        <w:pStyle w:val="Normal"/>
        <w:jc w:val="both"/>
        <w:rPr>
          <w:rFonts w:ascii="Tahoma" w:hAnsi="Tahoma" w:cs="Tahoma"/>
          <w:sz w:val="20"/>
          <w:szCs w:val="20"/>
          <w:lang w:val="pt-BR"/>
        </w:rPr>
      </w:pPr>
      <w:r>
        <w:rPr>
          <w:rFonts w:cs="Tahoma" w:ascii="Tahoma" w:hAnsi="Tahoma"/>
          <w:sz w:val="20"/>
          <w:szCs w:val="20"/>
          <w:lang w:val="es-ES"/>
        </w:rPr>
        <w:t xml:space="preserve">La Dirección de Planificación comunica mediante el Oficio </w:t>
      </w:r>
      <w:r>
        <w:rPr>
          <w:rFonts w:cs="Tahoma" w:ascii="Tahoma" w:hAnsi="Tahoma"/>
          <w:sz w:val="20"/>
          <w:szCs w:val="20"/>
          <w:lang w:val="pt-BR"/>
        </w:rPr>
        <w:t>162-PLA-OI-2020, lo siguiente:</w:t>
      </w:r>
    </w:p>
    <w:p>
      <w:pPr>
        <w:pStyle w:val="Normal"/>
        <w:jc w:val="right"/>
        <w:rPr>
          <w:rFonts w:ascii="Tahoma" w:hAnsi="Tahoma" w:cs="Tahoma"/>
          <w:i/>
          <w:i/>
          <w:iCs/>
          <w:sz w:val="20"/>
          <w:szCs w:val="20"/>
          <w:lang w:val="pt-BR"/>
        </w:rPr>
      </w:pPr>
      <w:r>
        <w:rPr>
          <w:rFonts w:cs="Tahoma" w:ascii="Tahoma" w:hAnsi="Tahoma"/>
          <w:i/>
          <w:iCs/>
          <w:sz w:val="20"/>
          <w:szCs w:val="20"/>
          <w:lang w:val="pt-BR"/>
        </w:rPr>
        <w:t>162-PLA-OI-2020</w:t>
      </w:r>
    </w:p>
    <w:p>
      <w:pPr>
        <w:pStyle w:val="Normal"/>
        <w:jc w:val="right"/>
        <w:rPr>
          <w:rFonts w:ascii="Tahoma" w:hAnsi="Tahoma" w:cs="Tahoma"/>
          <w:i/>
          <w:i/>
          <w:iCs/>
          <w:sz w:val="20"/>
          <w:szCs w:val="20"/>
        </w:rPr>
      </w:pPr>
      <w:r>
        <w:rPr>
          <w:rFonts w:cs="Tahoma" w:ascii="Tahoma" w:hAnsi="Tahoma"/>
          <w:i/>
          <w:iCs/>
          <w:sz w:val="20"/>
          <w:szCs w:val="20"/>
        </w:rPr>
        <w:t xml:space="preserve">Ref. SICE: 24-20 </w:t>
      </w:r>
    </w:p>
    <w:p>
      <w:pPr>
        <w:pStyle w:val="Normal"/>
        <w:rPr>
          <w:rFonts w:ascii="Tahoma" w:hAnsi="Tahoma" w:cs="Tahoma"/>
          <w:i/>
          <w:i/>
          <w:iCs/>
          <w:sz w:val="20"/>
          <w:szCs w:val="20"/>
          <w:lang w:val="es-MX"/>
        </w:rPr>
      </w:pPr>
      <w:r>
        <w:rPr>
          <w:rFonts w:cs="Tahoma" w:ascii="Tahoma" w:hAnsi="Tahoma"/>
          <w:i/>
          <w:iCs/>
          <w:sz w:val="20"/>
          <w:szCs w:val="20"/>
          <w:lang w:val="es-MX"/>
        </w:rPr>
      </w:r>
    </w:p>
    <w:p>
      <w:pPr>
        <w:pStyle w:val="Normal"/>
        <w:jc w:val="right"/>
        <w:rPr>
          <w:rFonts w:ascii="Tahoma" w:hAnsi="Tahoma" w:cs="Tahoma"/>
          <w:i/>
          <w:i/>
          <w:iCs/>
          <w:sz w:val="20"/>
          <w:szCs w:val="20"/>
          <w:lang w:val="pt-BR"/>
        </w:rPr>
      </w:pPr>
      <w:r>
        <w:rPr>
          <w:rFonts w:cs="Tahoma" w:ascii="Tahoma" w:hAnsi="Tahoma"/>
          <w:i/>
          <w:iCs/>
          <w:sz w:val="20"/>
          <w:szCs w:val="20"/>
          <w:lang w:val="pt-BR"/>
        </w:rPr>
        <w:t>3 de febrero de 2020</w:t>
      </w:r>
    </w:p>
    <w:p>
      <w:pPr>
        <w:pStyle w:val="Normal"/>
        <w:rPr>
          <w:rFonts w:ascii="Tahoma" w:hAnsi="Tahoma" w:cs="Tahoma"/>
          <w:i/>
          <w:i/>
          <w:iCs/>
          <w:sz w:val="20"/>
          <w:szCs w:val="20"/>
          <w:lang w:val="es-ES"/>
        </w:rPr>
      </w:pPr>
      <w:r>
        <w:rPr>
          <w:rFonts w:cs="Tahoma" w:ascii="Tahoma" w:hAnsi="Tahoma"/>
          <w:i/>
          <w:iCs/>
          <w:sz w:val="20"/>
          <w:szCs w:val="20"/>
          <w:lang w:val="es-ES"/>
        </w:rPr>
        <w:t>Magistrado</w:t>
      </w:r>
    </w:p>
    <w:p>
      <w:pPr>
        <w:pStyle w:val="Normal"/>
        <w:tabs>
          <w:tab w:val="clear" w:pos="708"/>
          <w:tab w:val="left" w:pos="709" w:leader="none"/>
        </w:tabs>
        <w:rPr>
          <w:rFonts w:ascii="Tahoma" w:hAnsi="Tahoma" w:cs="Tahoma"/>
          <w:i/>
          <w:i/>
          <w:iCs/>
          <w:sz w:val="20"/>
          <w:szCs w:val="20"/>
          <w:lang w:val="es-ES"/>
        </w:rPr>
      </w:pPr>
      <w:r>
        <w:rPr>
          <w:rFonts w:cs="Tahoma" w:ascii="Tahoma" w:hAnsi="Tahoma"/>
          <w:bCs/>
          <w:i/>
          <w:iCs/>
          <w:sz w:val="20"/>
          <w:szCs w:val="20"/>
          <w:lang w:val="es-ES"/>
        </w:rPr>
        <w:t>Jorge Enrique Olaso Alvarez</w:t>
      </w:r>
      <w:r>
        <w:rPr>
          <w:rFonts w:cs="Tahoma" w:ascii="Tahoma" w:hAnsi="Tahoma"/>
          <w:i/>
          <w:iCs/>
          <w:sz w:val="20"/>
          <w:szCs w:val="20"/>
          <w:lang w:val="es-ES"/>
        </w:rPr>
        <w:t xml:space="preserve">, Coordinador </w:t>
      </w:r>
    </w:p>
    <w:p>
      <w:pPr>
        <w:pStyle w:val="Normal"/>
        <w:tabs>
          <w:tab w:val="clear" w:pos="708"/>
          <w:tab w:val="left" w:pos="709" w:leader="none"/>
        </w:tabs>
        <w:rPr>
          <w:rFonts w:ascii="Tahoma" w:hAnsi="Tahoma" w:cs="Tahoma"/>
          <w:i/>
          <w:i/>
          <w:iCs/>
          <w:sz w:val="20"/>
          <w:szCs w:val="20"/>
          <w:lang w:val="es-ES"/>
        </w:rPr>
      </w:pPr>
      <w:r>
        <w:rPr>
          <w:rFonts w:cs="Tahoma" w:ascii="Tahoma" w:hAnsi="Tahoma"/>
          <w:i/>
          <w:iCs/>
          <w:sz w:val="20"/>
          <w:szCs w:val="20"/>
          <w:lang w:val="es-ES"/>
        </w:rPr>
        <w:t>Comisión de Acceso a la Justicia</w:t>
      </w:r>
    </w:p>
    <w:p>
      <w:pPr>
        <w:pStyle w:val="Normal"/>
        <w:rPr>
          <w:rFonts w:ascii="Tahoma" w:hAnsi="Tahoma" w:cs="Tahoma"/>
          <w:i/>
          <w:i/>
          <w:iCs/>
          <w:sz w:val="20"/>
          <w:szCs w:val="20"/>
          <w:lang w:val="pt-BR"/>
        </w:rPr>
      </w:pPr>
      <w:r>
        <w:rPr>
          <w:rFonts w:cs="Tahoma" w:ascii="Tahoma" w:hAnsi="Tahoma"/>
          <w:i/>
          <w:iCs/>
          <w:sz w:val="20"/>
          <w:szCs w:val="20"/>
          <w:lang w:val="pt-BR"/>
        </w:rPr>
        <w:t>Estimado señor:</w:t>
      </w:r>
    </w:p>
    <w:p>
      <w:pPr>
        <w:pStyle w:val="Normal"/>
        <w:jc w:val="both"/>
        <w:rPr>
          <w:rFonts w:ascii="Tahoma" w:hAnsi="Tahoma" w:cs="Tahoma"/>
          <w:i/>
          <w:i/>
          <w:iCs/>
          <w:sz w:val="20"/>
          <w:szCs w:val="20"/>
          <w:lang w:val="pt-BR"/>
        </w:rPr>
      </w:pPr>
      <w:r>
        <w:rPr>
          <w:rFonts w:cs="Tahoma" w:ascii="Tahoma" w:hAnsi="Tahoma"/>
          <w:i/>
          <w:iCs/>
          <w:sz w:val="20"/>
          <w:szCs w:val="20"/>
          <w:lang w:val="pt-BR"/>
        </w:rPr>
      </w:r>
    </w:p>
    <w:p>
      <w:pPr>
        <w:pStyle w:val="Normal"/>
        <w:widowControl w:val="false"/>
        <w:ind w:firstLine="720"/>
        <w:jc w:val="both"/>
        <w:rPr>
          <w:rFonts w:ascii="Tahoma" w:hAnsi="Tahoma" w:cs="Tahoma"/>
          <w:i/>
          <w:i/>
          <w:iCs/>
          <w:sz w:val="20"/>
          <w:szCs w:val="20"/>
        </w:rPr>
      </w:pPr>
      <w:r>
        <w:rPr>
          <w:rFonts w:cs="Tahoma" w:ascii="Tahoma" w:hAnsi="Tahoma"/>
          <w:i/>
          <w:iCs/>
          <w:sz w:val="20"/>
          <w:szCs w:val="20"/>
        </w:rPr>
        <w:t xml:space="preserve">Le transcribo el informe suscrito por la Licda. Ginethe Retana Ureña, Jefa del Subproceso de Organización Institucional, que indica: </w:t>
      </w:r>
    </w:p>
    <w:p>
      <w:pPr>
        <w:pStyle w:val="Normal"/>
        <w:widowControl w:val="false"/>
        <w:jc w:val="both"/>
        <w:rPr>
          <w:rFonts w:ascii="Tahoma" w:hAnsi="Tahoma" w:cs="Tahoma"/>
          <w:i/>
          <w:i/>
          <w:iCs/>
          <w:color w:val="FF0000"/>
          <w:sz w:val="20"/>
          <w:szCs w:val="20"/>
          <w:shd w:fill="FFFFFF" w:val="clear"/>
        </w:rPr>
      </w:pPr>
      <w:r>
        <w:rPr>
          <w:rFonts w:cs="Tahoma" w:ascii="Tahoma" w:hAnsi="Tahoma"/>
          <w:i/>
          <w:iCs/>
          <w:color w:val="FF0000"/>
          <w:sz w:val="20"/>
          <w:szCs w:val="20"/>
          <w:shd w:fill="FFFFFF" w:val="clear"/>
        </w:rPr>
      </w:r>
    </w:p>
    <w:p>
      <w:pPr>
        <w:pStyle w:val="Normal"/>
        <w:widowControl w:val="false"/>
        <w:jc w:val="both"/>
        <w:rPr>
          <w:rFonts w:ascii="Tahoma" w:hAnsi="Tahoma" w:cs="Tahoma"/>
          <w:i/>
          <w:i/>
          <w:iCs/>
          <w:color w:val="FF0000"/>
          <w:sz w:val="20"/>
          <w:szCs w:val="20"/>
          <w:shd w:fill="FFFFFF" w:val="clear"/>
        </w:rPr>
      </w:pPr>
      <w:r>
        <w:rPr>
          <w:rFonts w:cs="Tahoma" w:ascii="Tahoma" w:hAnsi="Tahoma"/>
          <w:i/>
          <w:iCs/>
          <w:color w:val="FF0000"/>
          <w:sz w:val="20"/>
          <w:szCs w:val="20"/>
          <w:shd w:fill="FFFFFF" w:val="clear"/>
        </w:rPr>
      </w:r>
    </w:p>
    <w:p>
      <w:pPr>
        <w:pStyle w:val="Normal"/>
        <w:widowControl w:val="false"/>
        <w:jc w:val="both"/>
        <w:rPr>
          <w:rFonts w:ascii="Tahoma" w:hAnsi="Tahoma" w:cs="Tahoma"/>
          <w:i/>
          <w:i/>
          <w:iCs/>
          <w:sz w:val="20"/>
          <w:szCs w:val="20"/>
        </w:rPr>
      </w:pPr>
      <w:r>
        <w:rPr>
          <w:rFonts w:cs="Tahoma" w:ascii="Tahoma" w:hAnsi="Tahoma"/>
          <w:i/>
          <w:iCs/>
          <w:sz w:val="20"/>
          <w:szCs w:val="20"/>
          <w:shd w:fill="FFFFFF" w:val="clear"/>
          <w:lang w:val="es-ES"/>
        </w:rPr>
        <w:t>”</w:t>
      </w:r>
      <w:r>
        <w:rPr>
          <w:rFonts w:cs="Tahoma" w:ascii="Tahoma" w:hAnsi="Tahoma"/>
          <w:i/>
          <w:iCs/>
          <w:sz w:val="20"/>
          <w:szCs w:val="20"/>
        </w:rPr>
        <w:t xml:space="preserve">Mediante oficio CACC-10-2020 del 09 de enero de 2020, la Comisión de Acceso a la Justicia, comunicó el acuerdo de la </w:t>
      </w:r>
      <w:bookmarkStart w:id="4" w:name="_Hlk31294075"/>
      <w:r>
        <w:rPr>
          <w:rFonts w:cs="Tahoma" w:ascii="Tahoma" w:hAnsi="Tahoma"/>
          <w:i/>
          <w:iCs/>
          <w:sz w:val="20"/>
          <w:szCs w:val="20"/>
        </w:rPr>
        <w:t>Subcomisión de Acceso a la Justicia de Pueblos Indígenas</w:t>
      </w:r>
      <w:bookmarkEnd w:id="4"/>
      <w:r>
        <w:rPr>
          <w:rFonts w:cs="Tahoma" w:ascii="Tahoma" w:hAnsi="Tahoma"/>
          <w:i/>
          <w:iCs/>
          <w:sz w:val="20"/>
          <w:szCs w:val="20"/>
        </w:rPr>
        <w:t xml:space="preserve"> tomado en sesión celebrada virtualmente el 20 de diciembre de 2019, artículo VII, en el cual solicitan que el Departamento de Trabajo Social y Psicología, y  la Dirección de Planificación informen sobre la factibilidad de que la plaza se ubique en Buenos Aires de Puntarenas considerando la situación actual de infraestructura, los requerimientos de servicio y el destino de la plaza aprobada por el Consejo Superior</w:t>
      </w:r>
      <w:r>
        <w:rPr>
          <w:rStyle w:val="Ancladenotaalpie"/>
          <w:rFonts w:cs="Tahoma" w:ascii="Tahoma" w:hAnsi="Tahoma"/>
          <w:i/>
          <w:iCs/>
          <w:sz w:val="20"/>
          <w:szCs w:val="20"/>
        </w:rPr>
        <w:footnoteReference w:id="4"/>
      </w:r>
      <w:r>
        <w:rPr>
          <w:rFonts w:cs="Tahoma" w:ascii="Tahoma" w:hAnsi="Tahoma"/>
          <w:i/>
          <w:iCs/>
          <w:sz w:val="20"/>
          <w:szCs w:val="20"/>
        </w:rPr>
        <w:t>.</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Sobre el particular, me permito indicarle que con base en la información recopilada por la Licda. Marlene Alpízar López, Profesional del Subproceso a mi cargo, la gestión solicitada fue contemplada por la Dirección de Planificación en el informe 61-PLA-DO-2014,  relacionado con el estudio sobre requerimientos de recurso humano 2015 para la Creación de la Oficina de Trabajo Social y Psicología para los cantones de Buenos Aires y Bribrí, donde se recomendó la plaza para Buenos Aires y específicamente sobre el tema de la ubicación de recurso se indicó lo siguiente:</w:t>
      </w:r>
    </w:p>
    <w:p>
      <w:pPr>
        <w:pStyle w:val="Normal"/>
        <w:ind w:firstLine="708"/>
        <w:jc w:val="both"/>
        <w:rPr>
          <w:rFonts w:ascii="Tahoma" w:hAnsi="Tahoma" w:cs="Tahoma"/>
          <w:i/>
          <w:i/>
          <w:iCs/>
          <w:sz w:val="20"/>
          <w:szCs w:val="20"/>
          <w:lang w:val="es-ES"/>
        </w:rPr>
      </w:pPr>
      <w:r>
        <w:rPr>
          <w:rFonts w:cs="Tahoma" w:ascii="Tahoma" w:hAnsi="Tahoma"/>
          <w:i/>
          <w:iCs/>
          <w:sz w:val="20"/>
          <w:szCs w:val="20"/>
          <w:lang w:val="es-ES"/>
        </w:rPr>
      </w:r>
    </w:p>
    <w:p>
      <w:pPr>
        <w:pStyle w:val="Normal"/>
        <w:ind w:left="1701" w:right="1701" w:hanging="0"/>
        <w:jc w:val="both"/>
        <w:rPr>
          <w:rFonts w:ascii="Tahoma" w:hAnsi="Tahoma" w:cs="Tahoma"/>
          <w:i/>
          <w:i/>
          <w:iCs/>
          <w:sz w:val="20"/>
          <w:szCs w:val="20"/>
          <w:lang w:val="es-ES"/>
        </w:rPr>
      </w:pPr>
      <w:r>
        <w:rPr>
          <w:rFonts w:cs="Tahoma" w:ascii="Tahoma" w:hAnsi="Tahoma"/>
          <w:i/>
          <w:iCs/>
          <w:sz w:val="20"/>
          <w:szCs w:val="20"/>
          <w:lang w:val="es-ES"/>
        </w:rPr>
        <w:t>“</w:t>
      </w:r>
      <w:r>
        <w:rPr>
          <w:rFonts w:cs="Tahoma" w:ascii="Tahoma" w:hAnsi="Tahoma"/>
          <w:i/>
          <w:iCs/>
          <w:sz w:val="20"/>
          <w:szCs w:val="20"/>
          <w:lang w:val="es-ES"/>
        </w:rPr>
        <w:t>4.5.- No se cuenta con condiciones de espacio físico en la zona de Buenos Aires para instalar un equipo psicosocial, por lo que ante una eventual creación debe incluirse el alquiler de un local.”</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El citado informe fue conocido por el Consejo Superior del Poder Judicial, en la sesión extraordinaria N°35-14 (Presupuesto 2015), del 23 de abril del 2014, artículo LV, donde se dispuso lo siguiente:</w:t>
      </w:r>
    </w:p>
    <w:p>
      <w:pPr>
        <w:pStyle w:val="Normal"/>
        <w:jc w:val="both"/>
        <w:rPr>
          <w:rFonts w:ascii="Tahoma" w:hAnsi="Tahoma" w:cs="Tahoma"/>
          <w:i/>
          <w:i/>
          <w:iCs/>
          <w:sz w:val="20"/>
          <w:szCs w:val="20"/>
        </w:rPr>
      </w:pPr>
      <w:r>
        <w:rPr>
          <w:rFonts w:cs="Tahoma" w:ascii="Tahoma" w:hAnsi="Tahoma"/>
          <w:i/>
          <w:iCs/>
          <w:sz w:val="20"/>
          <w:szCs w:val="20"/>
        </w:rPr>
      </w:r>
    </w:p>
    <w:p>
      <w:pPr>
        <w:pStyle w:val="Normal"/>
        <w:ind w:left="1701" w:right="1701" w:hanging="0"/>
        <w:jc w:val="both"/>
        <w:rPr>
          <w:rFonts w:ascii="Tahoma" w:hAnsi="Tahoma" w:cs="Tahoma"/>
          <w:i/>
          <w:i/>
          <w:iCs/>
          <w:sz w:val="20"/>
          <w:szCs w:val="20"/>
          <w:lang w:val="es-MX"/>
        </w:rPr>
      </w:pPr>
      <w:r>
        <w:rPr>
          <w:rFonts w:cs="Tahoma" w:ascii="Tahoma" w:hAnsi="Tahoma"/>
          <w:i/>
          <w:iCs/>
          <w:sz w:val="20"/>
          <w:szCs w:val="20"/>
        </w:rPr>
        <w:t>“</w:t>
      </w:r>
      <w:r>
        <w:rPr>
          <w:rFonts w:cs="Tahoma" w:ascii="Tahoma" w:hAnsi="Tahoma"/>
          <w:b/>
          <w:bCs/>
          <w:i/>
          <w:iCs/>
          <w:sz w:val="20"/>
          <w:szCs w:val="20"/>
          <w:lang w:val="es-MX"/>
        </w:rPr>
        <w:t>Se acordó: 1.)</w:t>
      </w:r>
      <w:r>
        <w:rPr>
          <w:rFonts w:cs="Tahoma" w:ascii="Tahoma" w:hAnsi="Tahoma"/>
          <w:i/>
          <w:iCs/>
          <w:sz w:val="20"/>
          <w:szCs w:val="20"/>
          <w:lang w:val="es-MX"/>
        </w:rPr>
        <w:t xml:space="preserve"> Aprobar el informe presentado por el Departamento de Planificación. </w:t>
      </w:r>
      <w:r>
        <w:rPr>
          <w:rFonts w:cs="Tahoma" w:ascii="Tahoma" w:hAnsi="Tahoma"/>
          <w:b/>
          <w:bCs/>
          <w:i/>
          <w:iCs/>
          <w:sz w:val="20"/>
          <w:szCs w:val="20"/>
          <w:lang w:val="es-MX"/>
        </w:rPr>
        <w:t>2.)</w:t>
      </w:r>
      <w:r>
        <w:rPr>
          <w:rFonts w:cs="Tahoma" w:ascii="Tahoma" w:hAnsi="Tahoma"/>
          <w:i/>
          <w:iCs/>
          <w:sz w:val="20"/>
          <w:szCs w:val="20"/>
          <w:lang w:val="es-MX"/>
        </w:rPr>
        <w:t xml:space="preserve"> Incluir en el anteproyecto de presupuesto del 2015, las siguientes plazas </w:t>
      </w:r>
      <w:r>
        <w:rPr>
          <w:rFonts w:cs="Tahoma" w:ascii="Tahoma" w:hAnsi="Tahoma"/>
          <w:i/>
          <w:iCs/>
          <w:sz w:val="20"/>
          <w:szCs w:val="20"/>
          <w:highlight w:val="lightGray"/>
          <w:lang w:val="es-MX"/>
        </w:rPr>
        <w:t>extraordinarias</w:t>
      </w:r>
      <w:r>
        <w:rPr>
          <w:rFonts w:cs="Tahoma" w:ascii="Tahoma" w:hAnsi="Tahoma"/>
          <w:i/>
          <w:iCs/>
          <w:sz w:val="20"/>
          <w:szCs w:val="20"/>
          <w:lang w:val="es-MX"/>
        </w:rPr>
        <w:t xml:space="preserve"> por todo el 2015:</w:t>
      </w:r>
    </w:p>
    <w:p>
      <w:pPr>
        <w:pStyle w:val="Normal"/>
        <w:widowControl w:val="false"/>
        <w:ind w:firstLine="708"/>
        <w:jc w:val="both"/>
        <w:rPr>
          <w:rFonts w:ascii="Tahoma" w:hAnsi="Tahoma" w:cs="Tahoma"/>
          <w:i/>
          <w:i/>
          <w:iCs/>
          <w:sz w:val="20"/>
          <w:szCs w:val="20"/>
          <w:lang w:val="es-MX"/>
        </w:rPr>
      </w:pPr>
      <w:r>
        <w:rPr>
          <w:rFonts w:cs="Tahoma" w:ascii="Tahoma" w:hAnsi="Tahoma"/>
          <w:i/>
          <w:iCs/>
          <w:sz w:val="20"/>
          <w:szCs w:val="20"/>
          <w:lang w:val="es-MX"/>
        </w:rPr>
      </w:r>
    </w:p>
    <w:tbl>
      <w:tblPr>
        <w:tblW w:w="673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593"/>
        <w:gridCol w:w="713"/>
        <w:gridCol w:w="1773"/>
        <w:gridCol w:w="1553"/>
        <w:gridCol w:w="1105"/>
      </w:tblGrid>
      <w:tr>
        <w:trPr>
          <w:tblHeader w:val="true"/>
          <w:trHeight w:val="197"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Despacho</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Cant.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Tipo de plaza</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Recomendación</w:t>
            </w:r>
          </w:p>
        </w:tc>
        <w:tc>
          <w:tcPr>
            <w:tcW w:w="110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Prioridad</w:t>
            </w:r>
          </w:p>
        </w:tc>
      </w:tr>
      <w:tr>
        <w:trPr>
          <w:trHeight w:val="1193"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Pérez Zeledón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1</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Perito Judicial 2 (Trabajadora o Trabajador Social)</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r>
        <w:trPr>
          <w:trHeight w:val="1182"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Limón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 Perito Judicial 2 (Trabajadora o Trabajador Social y Psicóloga o Psicólogo)</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bl>
    <w:p>
      <w:pPr>
        <w:pStyle w:val="Normal"/>
        <w:widowControl w:val="false"/>
        <w:ind w:firstLine="708"/>
        <w:jc w:val="both"/>
        <w:rPr>
          <w:rFonts w:ascii="Tahoma" w:hAnsi="Tahoma" w:cs="Tahoma"/>
          <w:b/>
          <w:b/>
          <w:bCs/>
          <w:i/>
          <w:i/>
          <w:iCs/>
          <w:sz w:val="20"/>
          <w:szCs w:val="20"/>
          <w:lang w:val="es-MX"/>
        </w:rPr>
      </w:pPr>
      <w:r>
        <w:rPr>
          <w:rFonts w:cs="Tahoma" w:ascii="Tahoma" w:hAnsi="Tahoma"/>
          <w:b/>
          <w:bCs/>
          <w:i/>
          <w:iCs/>
          <w:sz w:val="20"/>
          <w:szCs w:val="20"/>
          <w:lang w:val="es-MX"/>
        </w:rPr>
      </w:r>
    </w:p>
    <w:p>
      <w:pPr>
        <w:pStyle w:val="Normal"/>
        <w:widowControl w:val="false"/>
        <w:ind w:left="1701" w:right="1701" w:hanging="0"/>
        <w:jc w:val="both"/>
        <w:rPr>
          <w:rFonts w:ascii="Tahoma" w:hAnsi="Tahoma" w:cs="Tahoma"/>
          <w:i/>
          <w:i/>
          <w:iCs/>
          <w:sz w:val="20"/>
          <w:szCs w:val="20"/>
          <w:lang w:val="es-MX"/>
        </w:rPr>
      </w:pPr>
      <w:r>
        <w:rPr>
          <w:rFonts w:cs="Tahoma" w:ascii="Tahoma" w:hAnsi="Tahoma"/>
          <w:b/>
          <w:bCs/>
          <w:i/>
          <w:iCs/>
          <w:sz w:val="20"/>
          <w:szCs w:val="20"/>
          <w:lang w:val="es-MX"/>
        </w:rPr>
        <w:t>3.)</w:t>
      </w:r>
      <w:r>
        <w:rPr>
          <w:rFonts w:cs="Tahoma" w:ascii="Tahoma" w:hAnsi="Tahoma"/>
          <w:i/>
          <w:iCs/>
          <w:sz w:val="20"/>
          <w:szCs w:val="20"/>
          <w:lang w:val="es-MX"/>
        </w:rPr>
        <w:t xml:space="preserve"> Las plazas aprobadas estarán destinadas principalmente para atender las zonas de Bribrí y Buenos Aires, </w:t>
      </w:r>
      <w:r>
        <w:rPr>
          <w:rFonts w:cs="Tahoma" w:ascii="Tahoma" w:hAnsi="Tahoma"/>
          <w:b/>
          <w:bCs/>
          <w:i/>
          <w:iCs/>
          <w:sz w:val="20"/>
          <w:szCs w:val="20"/>
          <w:lang w:val="es-MX"/>
        </w:rPr>
        <w:t>ubicadas temporalmente</w:t>
      </w:r>
      <w:r>
        <w:rPr>
          <w:rFonts w:cs="Tahoma" w:ascii="Tahoma" w:hAnsi="Tahoma"/>
          <w:i/>
          <w:iCs/>
          <w:sz w:val="20"/>
          <w:szCs w:val="20"/>
          <w:lang w:val="es-MX"/>
        </w:rPr>
        <w:t xml:space="preserve"> en Limón y Pérez Zeledón. </w:t>
      </w:r>
      <w:r>
        <w:rPr>
          <w:rFonts w:cs="Tahoma" w:ascii="Tahoma" w:hAnsi="Tahoma"/>
          <w:b/>
          <w:bCs/>
          <w:i/>
          <w:iCs/>
          <w:sz w:val="20"/>
          <w:szCs w:val="20"/>
          <w:lang w:val="es-MX"/>
        </w:rPr>
        <w:t>4.)</w:t>
      </w:r>
      <w:r>
        <w:rPr>
          <w:rFonts w:cs="Tahoma" w:ascii="Tahoma" w:hAnsi="Tahoma"/>
          <w:i/>
          <w:iCs/>
          <w:sz w:val="20"/>
          <w:szCs w:val="20"/>
          <w:lang w:val="es-MX"/>
        </w:rPr>
        <w:t xml:space="preserve"> El Departamento de Personal deberá tomar nota para que cuando se saquen a concurso estas plazas indicar que son para cubrir esas zonas.” (La negrita no pertenece al original)</w:t>
      </w:r>
    </w:p>
    <w:p>
      <w:pPr>
        <w:pStyle w:val="Normal"/>
        <w:widowControl w:val="false"/>
        <w:ind w:left="1701" w:right="1701" w:hanging="0"/>
        <w:jc w:val="both"/>
        <w:rPr>
          <w:rFonts w:ascii="Tahoma" w:hAnsi="Tahoma" w:cs="Tahoma"/>
          <w:i/>
          <w:i/>
          <w:iCs/>
          <w:sz w:val="20"/>
          <w:szCs w:val="20"/>
        </w:rPr>
      </w:pPr>
      <w:r>
        <w:rPr>
          <w:rFonts w:cs="Tahoma" w:ascii="Tahoma" w:hAnsi="Tahoma"/>
          <w:i/>
          <w:iCs/>
          <w:sz w:val="20"/>
          <w:szCs w:val="20"/>
        </w:rPr>
      </w:r>
    </w:p>
    <w:p>
      <w:pPr>
        <w:pStyle w:val="Normal"/>
        <w:widowControl w:val="false"/>
        <w:ind w:left="1701" w:right="1701" w:hanging="0"/>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El citado acuerdo fue comunicado a los involucrados mediante el oficio N°186-CSP-14 del 26 de abril de 2014, el cual adjunta el informe citado. (Ver anexo 2).</w:t>
      </w:r>
    </w:p>
    <w:p>
      <w:pPr>
        <w:pStyle w:val="Normal"/>
        <w:ind w:firstLine="708"/>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De lo expuesto, es de notar que esta Dirección ya emitió criterio en su oportunidad y no tiene injerencia en su ejecución, por lo que se sugiere coordinar con otras dependencias competentes para la ejecución de este tema.”.</w:t>
      </w:r>
    </w:p>
    <w:p>
      <w:pPr>
        <w:pStyle w:val="Normal"/>
        <w:widowControl w:val="false"/>
        <w:jc w:val="center"/>
        <w:rPr>
          <w:rFonts w:ascii="Tahoma" w:hAnsi="Tahoma" w:cs="Tahoma"/>
          <w:b/>
          <w:b/>
          <w:bCs/>
          <w:i/>
          <w:i/>
          <w:iCs/>
          <w:sz w:val="20"/>
          <w:szCs w:val="20"/>
          <w:lang w:val="pt-BR"/>
        </w:rPr>
      </w:pPr>
      <w:r>
        <w:rPr>
          <w:rFonts w:cs="Tahoma" w:ascii="Tahoma" w:hAnsi="Tahoma"/>
          <w:b/>
          <w:bCs/>
          <w:i/>
          <w:iCs/>
          <w:sz w:val="20"/>
          <w:szCs w:val="20"/>
          <w:lang w:val="pt-BR"/>
        </w:rPr>
      </w:r>
    </w:p>
    <w:p>
      <w:pPr>
        <w:pStyle w:val="Normal"/>
        <w:rPr>
          <w:rFonts w:ascii="Tahoma" w:hAnsi="Tahoma" w:cs="Tahoma"/>
          <w:i/>
          <w:i/>
          <w:iCs/>
          <w:sz w:val="20"/>
          <w:szCs w:val="20"/>
          <w:lang w:val="pt-BR"/>
        </w:rPr>
      </w:pPr>
      <w:r>
        <w:rPr>
          <w:rFonts w:cs="Tahoma" w:ascii="Tahoma" w:hAnsi="Tahoma"/>
          <w:i/>
          <w:iCs/>
          <w:sz w:val="20"/>
          <w:szCs w:val="20"/>
          <w:lang w:val="pt-BR"/>
        </w:rPr>
        <w:t>(...)</w:t>
      </w:r>
    </w:p>
    <w:p>
      <w:pPr>
        <w:pStyle w:val="Normal"/>
        <w:rPr>
          <w:rFonts w:ascii="Tahoma" w:hAnsi="Tahoma" w:cs="Tahoma"/>
          <w:i/>
          <w:i/>
          <w:iCs/>
          <w:sz w:val="20"/>
          <w:szCs w:val="20"/>
          <w:lang w:val="pt-BR"/>
        </w:rPr>
      </w:pPr>
      <w:r>
        <w:rPr>
          <w:rFonts w:cs="Tahoma" w:ascii="Tahoma" w:hAnsi="Tahoma"/>
          <w:i/>
          <w:iCs/>
          <w:sz w:val="20"/>
          <w:szCs w:val="20"/>
          <w:lang w:val="pt-BR"/>
        </w:rPr>
      </w:r>
    </w:p>
    <w:tbl>
      <w:tblPr>
        <w:tblW w:w="8980"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4490"/>
        <w:gridCol w:w="4489"/>
      </w:tblGrid>
      <w:tr>
        <w:trPr>
          <w:trHeight w:val="274" w:hRule="atLeast"/>
        </w:trPr>
        <w:tc>
          <w:tcPr>
            <w:tcW w:w="8979" w:type="dxa"/>
            <w:gridSpan w:val="2"/>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ANEXOS</w:t>
            </w:r>
          </w:p>
        </w:tc>
      </w:tr>
      <w:tr>
        <w:trPr>
          <w:trHeight w:val="569" w:hRule="atLeast"/>
        </w:trPr>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spacing w:lineRule="auto" w:line="240" w:before="0" w:after="0"/>
              <w:rPr>
                <w:rFonts w:ascii="Tahoma" w:hAnsi="Tahoma" w:cs="Tahoma"/>
                <w:i/>
                <w:i/>
                <w:iCs/>
                <w:sz w:val="20"/>
                <w:szCs w:val="20"/>
              </w:rPr>
            </w:pPr>
            <w:r>
              <w:rPr>
                <w:rFonts w:cs="Tahoma" w:ascii="Tahoma" w:hAnsi="Tahoma"/>
                <w:i/>
                <w:iCs/>
                <w:sz w:val="20"/>
                <w:szCs w:val="20"/>
              </w:rPr>
              <w:t>Oficio -10-2020 de la Comisión de Acceso de la Justicia, relacionado con la gestión solicitada.</w:t>
            </w:r>
            <w:bookmarkStart w:id="5" w:name="_MON_1641909479"/>
            <w:bookmarkEnd w:id="5"/>
          </w:p>
        </w:tc>
        <w:tc>
          <w:tcPr>
            <w:tcW w:w="44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iCs/>
                <w:sz w:val="20"/>
                <w:szCs w:val="20"/>
              </w:rPr>
            </w:pPr>
            <w:r>
              <w:rPr/>
              <w:object>
                <v:shape id="ole_rId6" style="width:75.5pt;height:49pt" o:ole="">
                  <v:imagedata r:id="rId7" o:title=""/>
                </v:shape>
                <o:OLEObject Type="Embed" ProgID="Word.Document.12" ShapeID="ole_rId6" DrawAspect="Icon" ObjectID="_1021422359" r:id="rId6"/>
              </w:object>
            </w:r>
          </w:p>
        </w:tc>
      </w:tr>
      <w:tr>
        <w:trPr>
          <w:trHeight w:val="569" w:hRule="atLeast"/>
        </w:trPr>
        <w:tc>
          <w:tcPr>
            <w:tcW w:w="44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
              </w:numPr>
              <w:spacing w:lineRule="auto" w:line="240" w:before="0" w:after="0"/>
              <w:rPr>
                <w:rFonts w:ascii="Tahoma" w:hAnsi="Tahoma" w:cs="Tahoma"/>
                <w:i/>
                <w:i/>
                <w:iCs/>
                <w:sz w:val="20"/>
                <w:szCs w:val="20"/>
              </w:rPr>
            </w:pPr>
            <w:r>
              <w:rPr>
                <w:rFonts w:cs="Tahoma" w:ascii="Tahoma" w:hAnsi="Tahoma"/>
                <w:i/>
                <w:iCs/>
                <w:sz w:val="20"/>
                <w:szCs w:val="20"/>
              </w:rPr>
              <w:t>Comunicado 186-CSP-14 del acuerdo del Consejo Superior e informe 61-PLA-DO-2014</w:t>
            </w:r>
            <w:bookmarkStart w:id="6" w:name="_MON_1641887408"/>
            <w:bookmarkEnd w:id="6"/>
          </w:p>
        </w:tc>
        <w:tc>
          <w:tcPr>
            <w:tcW w:w="44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right"/>
              <w:rPr>
                <w:rFonts w:ascii="Tahoma" w:hAnsi="Tahoma" w:cs="Tahoma"/>
                <w:i/>
                <w:i/>
                <w:iCs/>
                <w:sz w:val="20"/>
                <w:szCs w:val="20"/>
              </w:rPr>
            </w:pPr>
            <w:r>
              <w:rPr/>
              <w:object>
                <v:shape id="ole_rId8" style="width:75.5pt;height:49pt" o:ole="">
                  <v:imagedata r:id="rId9" o:title=""/>
                </v:shape>
                <o:OLEObject Type="Embed" ProgID="Word.Document.8" ShapeID="ole_rId8" DrawAspect="Icon" ObjectID="_1456514745" r:id="rId8"/>
              </w:object>
            </w:r>
            <w:r>
              <w:rPr>
                <w:rFonts w:cs="Tahoma" w:ascii="Tahoma" w:hAnsi="Tahoma"/>
                <w:i/>
                <w:iCs/>
                <w:sz w:val="20"/>
                <w:szCs w:val="20"/>
                <w:lang w:val="pt-BR"/>
              </w:rPr>
              <w:t xml:space="preserve">”  </w:t>
            </w:r>
            <w:r>
              <w:rPr>
                <w:rFonts w:cs="Tahoma" w:ascii="Tahoma" w:hAnsi="Tahoma"/>
                <w:b/>
                <w:bCs/>
                <w:i/>
                <w:iCs/>
                <w:sz w:val="20"/>
                <w:szCs w:val="20"/>
                <w:lang w:val="pt-BR"/>
              </w:rPr>
              <w:t xml:space="preserve">                    “</w:t>
            </w:r>
          </w:p>
        </w:tc>
      </w:tr>
    </w:tbl>
    <w:p>
      <w:pPr>
        <w:pStyle w:val="Normal"/>
        <w:jc w:val="both"/>
        <w:rPr>
          <w:rFonts w:ascii="Tahoma" w:hAnsi="Tahoma" w:cs="Tahoma"/>
          <w:i/>
          <w:i/>
          <w:iCs/>
          <w:sz w:val="20"/>
          <w:szCs w:val="20"/>
          <w:lang w:val="pt-BR"/>
        </w:rPr>
      </w:pPr>
      <w:r>
        <w:rPr>
          <w:rFonts w:cs="Tahoma" w:ascii="Tahoma" w:hAnsi="Tahoma"/>
          <w:i/>
          <w:iCs/>
          <w:sz w:val="20"/>
          <w:szCs w:val="20"/>
          <w:lang w:val="pt-BR"/>
        </w:rPr>
      </w:r>
    </w:p>
    <w:p>
      <w:pPr>
        <w:pStyle w:val="Normal"/>
        <w:jc w:val="both"/>
        <w:rPr>
          <w:rFonts w:ascii="Tahoma" w:hAnsi="Tahoma" w:cs="Tahoma"/>
          <w:i/>
          <w:i/>
          <w:iCs/>
          <w:sz w:val="20"/>
          <w:szCs w:val="20"/>
          <w:lang w:val="pt-BR"/>
        </w:rPr>
      </w:pPr>
      <w:r>
        <w:rPr>
          <w:rFonts w:cs="Tahoma" w:ascii="Tahoma" w:hAnsi="Tahoma"/>
          <w:i/>
          <w:iCs/>
          <w:sz w:val="20"/>
          <w:szCs w:val="20"/>
          <w:lang w:val="pt-BR"/>
        </w:rPr>
        <w:t>Atentamente,</w:t>
      </w:r>
    </w:p>
    <w:p>
      <w:pPr>
        <w:pStyle w:val="Normal"/>
        <w:rPr>
          <w:rFonts w:ascii="Tahoma" w:hAnsi="Tahoma" w:cs="Tahoma"/>
          <w:i/>
          <w:i/>
          <w:iCs/>
          <w:sz w:val="20"/>
          <w:szCs w:val="20"/>
          <w:lang w:val="pt-BR"/>
        </w:rPr>
      </w:pPr>
      <w:r>
        <w:rPr>
          <w:rFonts w:cs="Tahoma" w:ascii="Tahoma" w:hAnsi="Tahoma"/>
          <w:i/>
          <w:iCs/>
          <w:sz w:val="20"/>
          <w:szCs w:val="20"/>
          <w:lang w:val="pt-BR"/>
        </w:rPr>
        <w:t xml:space="preserve">Dixon Li Morales </w:t>
      </w:r>
    </w:p>
    <w:p>
      <w:pPr>
        <w:pStyle w:val="Normal"/>
        <w:rPr>
          <w:rFonts w:ascii="Tahoma" w:hAnsi="Tahoma" w:cs="Tahoma"/>
          <w:i/>
          <w:i/>
          <w:iCs/>
          <w:sz w:val="20"/>
          <w:szCs w:val="20"/>
          <w:lang w:val="pt-BR"/>
        </w:rPr>
      </w:pPr>
      <w:r>
        <w:rPr>
          <w:rFonts w:cs="Tahoma" w:ascii="Tahoma" w:hAnsi="Tahoma"/>
          <w:i/>
          <w:iCs/>
          <w:sz w:val="20"/>
          <w:szCs w:val="20"/>
          <w:lang w:val="pt-BR"/>
        </w:rPr>
        <w:t>Director a.i. de Planificación</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Copias: </w:t>
      </w:r>
    </w:p>
    <w:p>
      <w:pPr>
        <w:pStyle w:val="Normal"/>
        <w:numPr>
          <w:ilvl w:val="0"/>
          <w:numId w:val="3"/>
        </w:numPr>
        <w:spacing w:lineRule="auto" w:line="240" w:before="0" w:after="0"/>
        <w:rPr>
          <w:rFonts w:ascii="Tahoma" w:hAnsi="Tahoma" w:cs="Tahoma"/>
          <w:i/>
          <w:i/>
          <w:iCs/>
          <w:sz w:val="20"/>
          <w:szCs w:val="20"/>
          <w:lang w:val="pt-BR"/>
        </w:rPr>
      </w:pPr>
      <w:r>
        <w:rPr>
          <w:rFonts w:cs="Tahoma" w:ascii="Tahoma" w:hAnsi="Tahoma"/>
          <w:i/>
          <w:iCs/>
          <w:sz w:val="20"/>
          <w:szCs w:val="20"/>
          <w:lang w:val="pt-BR"/>
        </w:rPr>
        <w:t xml:space="preserve">Máster  Damaris Vargas Vásquez, Coordinadora </w:t>
      </w:r>
    </w:p>
    <w:p>
      <w:pPr>
        <w:pStyle w:val="Normal"/>
        <w:ind w:left="720" w:hanging="0"/>
        <w:rPr>
          <w:rFonts w:ascii="Tahoma" w:hAnsi="Tahoma" w:cs="Tahoma"/>
          <w:i/>
          <w:i/>
          <w:iCs/>
          <w:sz w:val="20"/>
          <w:szCs w:val="20"/>
          <w:lang w:val="pt-BR"/>
        </w:rPr>
      </w:pPr>
      <w:r>
        <w:rPr>
          <w:rFonts w:cs="Tahoma" w:ascii="Tahoma" w:hAnsi="Tahoma"/>
          <w:i/>
          <w:iCs/>
          <w:sz w:val="20"/>
          <w:szCs w:val="20"/>
          <w:lang w:val="pt-BR"/>
        </w:rPr>
        <w:t>Subcomisión de Acceso a la Justicia de Pueblos Indígenas</w:t>
      </w:r>
    </w:p>
    <w:p>
      <w:pPr>
        <w:pStyle w:val="Normal"/>
        <w:ind w:left="720" w:hanging="0"/>
        <w:rPr>
          <w:rFonts w:ascii="Tahoma" w:hAnsi="Tahoma" w:cs="Tahoma"/>
          <w:i/>
          <w:i/>
          <w:iCs/>
          <w:sz w:val="20"/>
          <w:szCs w:val="20"/>
          <w:lang w:val="pt-BR"/>
        </w:rPr>
      </w:pPr>
      <w:r>
        <w:rPr>
          <w:rFonts w:cs="Tahoma" w:ascii="Tahoma" w:hAnsi="Tahoma"/>
          <w:i/>
          <w:iCs/>
          <w:sz w:val="20"/>
          <w:szCs w:val="20"/>
          <w:lang w:val="pt-BR"/>
        </w:rPr>
      </w:r>
    </w:p>
    <w:p>
      <w:pPr>
        <w:pStyle w:val="Normal"/>
        <w:numPr>
          <w:ilvl w:val="0"/>
          <w:numId w:val="3"/>
        </w:numPr>
        <w:spacing w:lineRule="auto" w:line="240" w:before="0" w:after="0"/>
        <w:rPr>
          <w:rFonts w:ascii="Tahoma" w:hAnsi="Tahoma" w:cs="Tahoma"/>
          <w:i/>
          <w:i/>
          <w:iCs/>
          <w:sz w:val="20"/>
          <w:szCs w:val="20"/>
          <w:lang w:val="pt-BR"/>
        </w:rPr>
      </w:pPr>
      <w:r>
        <w:rPr>
          <w:rFonts w:cs="Tahoma" w:ascii="Tahoma" w:hAnsi="Tahoma"/>
          <w:i/>
          <w:iCs/>
          <w:sz w:val="20"/>
          <w:szCs w:val="20"/>
          <w:lang w:val="pt-BR"/>
        </w:rPr>
        <w:t>Sra. Katherine Salazar Duarte, Secretaria</w:t>
      </w:r>
    </w:p>
    <w:p>
      <w:pPr>
        <w:pStyle w:val="Normal"/>
        <w:ind w:left="720" w:hanging="0"/>
        <w:rPr>
          <w:rFonts w:ascii="Tahoma" w:hAnsi="Tahoma" w:cs="Tahoma"/>
          <w:i/>
          <w:i/>
          <w:iCs/>
          <w:sz w:val="20"/>
          <w:szCs w:val="20"/>
          <w:lang w:val="pt-BR"/>
        </w:rPr>
      </w:pPr>
      <w:r>
        <w:rPr>
          <w:rFonts w:cs="Tahoma" w:ascii="Tahoma" w:hAnsi="Tahoma"/>
          <w:i/>
          <w:iCs/>
          <w:sz w:val="20"/>
          <w:szCs w:val="20"/>
          <w:lang w:val="pt-BR"/>
        </w:rPr>
        <w:t>Comisión de Acceso a la Justicia</w:t>
      </w:r>
    </w:p>
    <w:p>
      <w:pPr>
        <w:pStyle w:val="Normal"/>
        <w:ind w:left="720" w:hanging="0"/>
        <w:rPr>
          <w:rFonts w:ascii="Tahoma" w:hAnsi="Tahoma" w:cs="Tahoma"/>
          <w:i/>
          <w:i/>
          <w:iCs/>
          <w:sz w:val="20"/>
          <w:szCs w:val="20"/>
          <w:lang w:val="pt-BR"/>
        </w:rPr>
      </w:pPr>
      <w:r>
        <w:rPr>
          <w:rFonts w:cs="Tahoma" w:ascii="Tahoma" w:hAnsi="Tahoma"/>
          <w:i/>
          <w:iCs/>
          <w:sz w:val="20"/>
          <w:szCs w:val="20"/>
          <w:lang w:val="pt-BR"/>
        </w:rPr>
      </w:r>
    </w:p>
    <w:p>
      <w:pPr>
        <w:pStyle w:val="Normal"/>
        <w:numPr>
          <w:ilvl w:val="0"/>
          <w:numId w:val="3"/>
        </w:numPr>
        <w:spacing w:lineRule="auto" w:line="240" w:before="0" w:after="0"/>
        <w:rPr>
          <w:rFonts w:ascii="Tahoma" w:hAnsi="Tahoma" w:cs="Tahoma"/>
          <w:i/>
          <w:i/>
          <w:iCs/>
          <w:sz w:val="20"/>
          <w:szCs w:val="20"/>
          <w:lang w:val="es-ES"/>
        </w:rPr>
      </w:pPr>
      <w:r>
        <w:rPr>
          <w:rFonts w:cs="Tahoma" w:ascii="Tahoma" w:hAnsi="Tahoma"/>
          <w:i/>
          <w:iCs/>
          <w:sz w:val="20"/>
          <w:szCs w:val="20"/>
        </w:rPr>
        <w:t>Archivo</w:t>
      </w:r>
    </w:p>
    <w:p>
      <w:pPr>
        <w:pStyle w:val="Normal"/>
        <w:rPr>
          <w:rFonts w:ascii="Tahoma" w:hAnsi="Tahoma" w:cs="Tahoma"/>
          <w:i/>
          <w:i/>
          <w:iCs/>
          <w:sz w:val="20"/>
          <w:szCs w:val="20"/>
          <w:lang w:val="es-ES"/>
        </w:rPr>
      </w:pPr>
      <w:r>
        <w:rPr>
          <w:rFonts w:cs="Tahoma" w:ascii="Tahoma" w:hAnsi="Tahoma"/>
          <w:i/>
          <w:iCs/>
          <w:sz w:val="20"/>
          <w:szCs w:val="20"/>
          <w:lang w:val="es-ES"/>
        </w:rPr>
      </w:r>
    </w:p>
    <w:p>
      <w:pPr>
        <w:pStyle w:val="Normal"/>
        <w:rPr>
          <w:rFonts w:ascii="Tahoma" w:hAnsi="Tahoma" w:cs="Tahoma"/>
          <w:i/>
          <w:i/>
          <w:iCs/>
          <w:sz w:val="20"/>
          <w:szCs w:val="20"/>
          <w:lang w:val="es-ES"/>
        </w:rPr>
      </w:pPr>
      <w:r>
        <w:rPr>
          <w:rFonts w:cs="Tahoma" w:ascii="Tahoma" w:hAnsi="Tahoma"/>
          <w:i/>
          <w:iCs/>
          <w:sz w:val="20"/>
          <w:szCs w:val="20"/>
          <w:lang w:val="es-ES"/>
        </w:rPr>
        <w:t>xba</w:t>
      </w:r>
    </w:p>
    <w:p>
      <w:pPr>
        <w:pStyle w:val="BodyText2"/>
        <w:rPr>
          <w:rFonts w:ascii="Tahoma" w:hAnsi="Tahoma" w:cs="Tahoma"/>
          <w:i/>
          <w:i/>
          <w:iCs/>
          <w:sz w:val="20"/>
          <w:szCs w:val="20"/>
        </w:rPr>
      </w:pPr>
      <w:r>
        <w:rPr>
          <w:rFonts w:cs="Tahoma" w:ascii="Tahoma" w:hAnsi="Tahoma"/>
          <w:i/>
          <w:iCs/>
          <w:sz w:val="20"/>
          <w:szCs w:val="20"/>
        </w:rPr>
        <w:t>Ref. 24-20</w:t>
      </w:r>
    </w:p>
    <w:p>
      <w:pPr>
        <w:pStyle w:val="Normal"/>
        <w:jc w:val="both"/>
        <w:rPr>
          <w:rFonts w:ascii="Tahoma" w:hAnsi="Tahoma" w:cs="Tahoma"/>
          <w:sz w:val="20"/>
          <w:szCs w:val="20"/>
          <w:lang w:val="pt-BR"/>
        </w:rPr>
      </w:pPr>
      <w:r>
        <w:rPr>
          <w:rFonts w:cs="Tahoma" w:ascii="Tahoma" w:hAnsi="Tahoma"/>
          <w:sz w:val="20"/>
          <w:szCs w:val="20"/>
          <w:lang w:val="pt-BR"/>
        </w:rPr>
      </w:r>
    </w:p>
    <w:p>
      <w:pPr>
        <w:pStyle w:val="Normal"/>
        <w:jc w:val="both"/>
        <w:rPr>
          <w:rFonts w:ascii="Tahoma" w:hAnsi="Tahoma" w:cs="Tahoma"/>
          <w:sz w:val="20"/>
          <w:szCs w:val="20"/>
          <w:lang w:val="es-ES"/>
        </w:rPr>
      </w:pPr>
      <w:r>
        <w:rPr>
          <w:rFonts w:cs="Tahoma" w:ascii="Tahoma" w:hAnsi="Tahoma"/>
          <w:sz w:val="20"/>
          <w:szCs w:val="20"/>
          <w:lang w:val="pt-BR"/>
        </w:rPr>
        <w:t xml:space="preserve">El Departamento de Trabajo Social y Psicología </w:t>
      </w:r>
      <w:r>
        <w:rPr>
          <w:rFonts w:cs="Tahoma" w:ascii="Tahoma" w:hAnsi="Tahoma"/>
          <w:sz w:val="20"/>
          <w:szCs w:val="20"/>
          <w:lang w:val="es-ES"/>
        </w:rPr>
        <w:t xml:space="preserve">comunica mediante el </w:t>
      </w:r>
      <w:r>
        <w:rPr>
          <w:rFonts w:cs="Tahoma" w:ascii="Tahoma" w:hAnsi="Tahoma"/>
          <w:b/>
          <w:sz w:val="20"/>
          <w:szCs w:val="20"/>
          <w:lang w:val="es-ES"/>
        </w:rPr>
        <w:t>Oficio</w:t>
      </w:r>
      <w:r>
        <w:rPr>
          <w:rFonts w:cs="Tahoma" w:ascii="Tahoma" w:hAnsi="Tahoma"/>
          <w:b/>
          <w:sz w:val="20"/>
          <w:szCs w:val="20"/>
        </w:rPr>
        <w:t xml:space="preserve"> </w:t>
      </w:r>
      <w:r>
        <w:rPr>
          <w:rFonts w:cs="Tahoma" w:ascii="Tahoma" w:hAnsi="Tahoma"/>
          <w:b/>
          <w:sz w:val="20"/>
          <w:szCs w:val="20"/>
          <w:lang w:val="es-ES"/>
        </w:rPr>
        <w:t>DTSP-015-2020</w:t>
      </w:r>
      <w:r>
        <w:rPr>
          <w:rFonts w:cs="Tahoma" w:ascii="Tahoma" w:hAnsi="Tahoma"/>
          <w:sz w:val="20"/>
          <w:szCs w:val="20"/>
          <w:lang w:val="es-ES"/>
        </w:rPr>
        <w:t>, lo siguiente:</w:t>
      </w:r>
    </w:p>
    <w:p>
      <w:pPr>
        <w:pStyle w:val="Normal"/>
        <w:jc w:val="right"/>
        <w:rPr>
          <w:rFonts w:ascii="Tahoma" w:hAnsi="Tahoma" w:cs="Tahoma"/>
          <w:i/>
          <w:i/>
          <w:iCs/>
          <w:sz w:val="20"/>
          <w:szCs w:val="20"/>
        </w:rPr>
      </w:pPr>
      <w:r>
        <w:rPr>
          <w:rFonts w:cs="Tahoma" w:ascii="Tahoma" w:hAnsi="Tahoma"/>
          <w:i/>
          <w:iCs/>
          <w:sz w:val="20"/>
          <w:szCs w:val="20"/>
        </w:rPr>
        <w:t>12 de febrero de 2020</w:t>
      </w:r>
    </w:p>
    <w:p>
      <w:pPr>
        <w:pStyle w:val="Normal"/>
        <w:jc w:val="right"/>
        <w:rPr>
          <w:rFonts w:ascii="Tahoma" w:hAnsi="Tahoma" w:cs="Tahoma"/>
          <w:b/>
          <w:b/>
          <w:i/>
          <w:i/>
          <w:iCs/>
          <w:sz w:val="20"/>
          <w:szCs w:val="20"/>
        </w:rPr>
      </w:pPr>
      <w:r>
        <w:rPr>
          <w:rFonts w:cs="Tahoma" w:ascii="Tahoma" w:hAnsi="Tahoma"/>
          <w:b/>
          <w:i/>
          <w:iCs/>
          <w:sz w:val="20"/>
          <w:szCs w:val="20"/>
        </w:rPr>
        <w:t>DTSP-015-2020</w:t>
      </w:r>
    </w:p>
    <w:p>
      <w:pPr>
        <w:pStyle w:val="Normal"/>
        <w:jc w:val="right"/>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b/>
          <w:b/>
          <w:bCs/>
          <w:i/>
          <w:i/>
          <w:iCs/>
          <w:sz w:val="20"/>
          <w:szCs w:val="20"/>
        </w:rPr>
      </w:pPr>
      <w:r>
        <w:rPr>
          <w:rFonts w:cs="Tahoma" w:ascii="Tahoma" w:hAnsi="Tahoma"/>
          <w:b/>
          <w:bCs/>
          <w:i/>
          <w:iCs/>
          <w:sz w:val="20"/>
          <w:szCs w:val="20"/>
        </w:rPr>
        <w:t xml:space="preserve">Máster </w:t>
      </w:r>
    </w:p>
    <w:p>
      <w:pPr>
        <w:pStyle w:val="Normal"/>
        <w:jc w:val="both"/>
        <w:rPr>
          <w:rFonts w:ascii="Tahoma" w:hAnsi="Tahoma" w:cs="Tahoma"/>
          <w:b/>
          <w:b/>
          <w:bCs/>
          <w:i/>
          <w:i/>
          <w:iCs/>
          <w:sz w:val="20"/>
          <w:szCs w:val="20"/>
        </w:rPr>
      </w:pPr>
      <w:r>
        <w:rPr>
          <w:rFonts w:cs="Tahoma" w:ascii="Tahoma" w:hAnsi="Tahoma"/>
          <w:b/>
          <w:bCs/>
          <w:i/>
          <w:iCs/>
          <w:sz w:val="20"/>
          <w:szCs w:val="20"/>
        </w:rPr>
        <w:t>Melissa Benavides Víquez</w:t>
      </w:r>
    </w:p>
    <w:p>
      <w:pPr>
        <w:pStyle w:val="Normal"/>
        <w:jc w:val="both"/>
        <w:rPr>
          <w:rFonts w:ascii="Tahoma" w:hAnsi="Tahoma" w:cs="Tahoma"/>
          <w:b/>
          <w:b/>
          <w:bCs/>
          <w:i/>
          <w:i/>
          <w:iCs/>
          <w:sz w:val="20"/>
          <w:szCs w:val="20"/>
        </w:rPr>
      </w:pPr>
      <w:r>
        <w:rPr>
          <w:rFonts w:cs="Tahoma" w:ascii="Tahoma" w:hAnsi="Tahoma"/>
          <w:b/>
          <w:bCs/>
          <w:i/>
          <w:iCs/>
          <w:sz w:val="20"/>
          <w:szCs w:val="20"/>
        </w:rPr>
        <w:t>Coordinadora</w:t>
      </w:r>
    </w:p>
    <w:p>
      <w:pPr>
        <w:pStyle w:val="Normal"/>
        <w:jc w:val="both"/>
        <w:rPr>
          <w:rFonts w:ascii="Tahoma" w:hAnsi="Tahoma" w:cs="Tahoma"/>
          <w:b/>
          <w:b/>
          <w:bCs/>
          <w:i/>
          <w:i/>
          <w:iCs/>
          <w:sz w:val="20"/>
          <w:szCs w:val="20"/>
        </w:rPr>
      </w:pPr>
      <w:r>
        <w:rPr>
          <w:rFonts w:cs="Tahoma" w:ascii="Tahoma" w:hAnsi="Tahoma"/>
          <w:b/>
          <w:bCs/>
          <w:i/>
          <w:iCs/>
          <w:sz w:val="20"/>
          <w:szCs w:val="20"/>
        </w:rPr>
        <w:t>Unidad de Acceso a la Justicia</w:t>
      </w:r>
    </w:p>
    <w:p>
      <w:pPr>
        <w:pStyle w:val="Normal"/>
        <w:jc w:val="both"/>
        <w:rPr>
          <w:rFonts w:ascii="Tahoma" w:hAnsi="Tahoma" w:cs="Tahoma"/>
          <w:b/>
          <w:b/>
          <w:bCs/>
          <w:i/>
          <w:i/>
          <w:iCs/>
          <w:sz w:val="20"/>
          <w:szCs w:val="20"/>
        </w:rPr>
      </w:pPr>
      <w:r>
        <w:rPr>
          <w:rFonts w:cs="Tahoma" w:ascii="Tahoma" w:hAnsi="Tahoma"/>
          <w:b/>
          <w:bCs/>
          <w:i/>
          <w:iCs/>
          <w:sz w:val="20"/>
          <w:szCs w:val="20"/>
        </w:rPr>
        <w:t>Poder Judicial</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Estimada señora:</w:t>
      </w:r>
    </w:p>
    <w:p>
      <w:pPr>
        <w:pStyle w:val="Normal"/>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 xml:space="preserve">Reciba un cordial saludo. En atención al oficio N° Oficio CACC-10-2020, relacionado con los acuerdos tomados por la </w:t>
      </w:r>
      <w:r>
        <w:rPr>
          <w:rFonts w:cs="Tahoma" w:ascii="Tahoma" w:hAnsi="Tahoma"/>
          <w:bCs/>
          <w:i/>
          <w:iCs/>
          <w:sz w:val="20"/>
          <w:szCs w:val="20"/>
        </w:rPr>
        <w:t>Subcomisión de Acceso a la Justicia de Pueblos Indígenas</w:t>
      </w:r>
      <w:r>
        <w:rPr>
          <w:rFonts w:cs="Tahoma" w:ascii="Tahoma" w:hAnsi="Tahoma"/>
          <w:b/>
          <w:bCs/>
          <w:i/>
          <w:iCs/>
          <w:sz w:val="20"/>
          <w:szCs w:val="20"/>
        </w:rPr>
        <w:t xml:space="preserve"> </w:t>
      </w:r>
      <w:r>
        <w:rPr>
          <w:rFonts w:cs="Tahoma" w:ascii="Tahoma" w:hAnsi="Tahoma"/>
          <w:i/>
          <w:iCs/>
          <w:sz w:val="20"/>
          <w:szCs w:val="20"/>
        </w:rPr>
        <w:t xml:space="preserve">celebrada el 20 de diciembre de 2019, me permito informar lo siguiente. </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La plaza de Trabajo Social que se creó en el año 2015 para Buenos Aires es un recurso diferente al que se creó en ese mismo año para Bribrí, de manera que la primera desde su creación ha estado destacada en Buenos Aires hasta la fecha y con prioridad para la atención a la población indígena.</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spacing w:lineRule="auto" w:line="360"/>
        <w:jc w:val="both"/>
        <w:rPr>
          <w:rFonts w:ascii="Tahoma" w:hAnsi="Tahoma" w:cs="Tahoma"/>
          <w:b/>
          <w:b/>
          <w:i/>
          <w:i/>
          <w:iCs/>
          <w:sz w:val="20"/>
          <w:szCs w:val="20"/>
          <w:u w:val="single"/>
          <w:lang w:val="es-MX"/>
        </w:rPr>
      </w:pPr>
      <w:r>
        <w:rPr>
          <w:rFonts w:cs="Tahoma" w:ascii="Tahoma" w:hAnsi="Tahoma"/>
          <w:i/>
          <w:iCs/>
          <w:sz w:val="20"/>
          <w:szCs w:val="20"/>
        </w:rPr>
        <w:t>Si bien en el acuerdo del Consejo Superior tomado en la sesión extraordinaria N°35-14 (Presupuesto 2015),</w:t>
      </w:r>
      <w:r>
        <w:rPr>
          <w:rFonts w:cs="Tahoma" w:ascii="Tahoma" w:hAnsi="Tahoma"/>
          <w:b/>
          <w:i/>
          <w:iCs/>
          <w:sz w:val="20"/>
          <w:szCs w:val="20"/>
        </w:rPr>
        <w:t xml:space="preserve"> </w:t>
      </w:r>
      <w:r>
        <w:rPr>
          <w:rFonts w:cs="Tahoma" w:ascii="Tahoma" w:hAnsi="Tahoma"/>
          <w:i/>
          <w:iCs/>
          <w:sz w:val="20"/>
          <w:szCs w:val="20"/>
        </w:rPr>
        <w:t xml:space="preserve">celebrada el 23 de abril de 2014, artículo LV, se indicó que se iba a destacar temporalmente en </w:t>
      </w:r>
      <w:r>
        <w:rPr>
          <w:rFonts w:cs="Tahoma" w:ascii="Tahoma" w:hAnsi="Tahoma"/>
          <w:i/>
          <w:iCs/>
          <w:sz w:val="20"/>
          <w:szCs w:val="20"/>
          <w:lang w:val="es-MX"/>
        </w:rPr>
        <w:t xml:space="preserve">Pérez Zeledón, la Fiscalía cedió un espacio en Buenos Aires para la ubicación de la profesional y se ha mantenido a la fecha ahí destacada. En el 2016 la plaza pasó a ser ordinaria y fue nombrada en propiedad en ese mismo año, por lo que es un recurso que se mantendrá en la zona. </w:t>
      </w:r>
    </w:p>
    <w:p>
      <w:pPr>
        <w:pStyle w:val="Normal"/>
        <w:spacing w:lineRule="auto" w:line="360"/>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bCs/>
          <w:i/>
          <w:i/>
          <w:iCs/>
          <w:sz w:val="20"/>
          <w:szCs w:val="20"/>
          <w:lang w:val="es-MX"/>
        </w:rPr>
      </w:pPr>
      <w:r>
        <w:rPr>
          <w:rFonts w:cs="Tahoma" w:ascii="Tahoma" w:hAnsi="Tahoma"/>
          <w:bCs/>
          <w:i/>
          <w:iCs/>
          <w:sz w:val="20"/>
          <w:szCs w:val="20"/>
          <w:lang w:val="es-MX"/>
        </w:rPr>
        <w:t>Por otra parte, en cuanto a las plazas de Bribrí, se creó un equipo psicosocial en el 2015 con el fin de dar accesibilidad a la población indígena de la región, y tal como lo indica el acuerdo del Consejo Superior antes mencionado, se destacarían en Limón ante la falta de infraestructura en Bribrí, situación que persiste a la fecha. Sin</w:t>
      </w:r>
      <w:r>
        <w:rPr>
          <w:rFonts w:cs="Tahoma" w:ascii="Tahoma" w:hAnsi="Tahoma"/>
          <w:i/>
          <w:iCs/>
          <w:sz w:val="20"/>
          <w:szCs w:val="20"/>
          <w:lang w:val="es-ES"/>
        </w:rPr>
        <w:t xml:space="preserve"> </w:t>
      </w:r>
      <w:r>
        <w:rPr>
          <w:rFonts w:cs="Tahoma" w:ascii="Tahoma" w:hAnsi="Tahoma"/>
          <w:bCs/>
          <w:i/>
          <w:iCs/>
          <w:sz w:val="20"/>
          <w:szCs w:val="20"/>
          <w:lang w:val="es-MX"/>
        </w:rPr>
        <w:t>embargo, las profesionales de psicología y trabajo social, se han estado desplazando a la zona para atender ahí a la población usuaria, en diferentes espacios a saber: Iglesia católica, Municipalidad, Instituto Nacional de Aprendizaje, Trabajo Social de la Caja Costarricense del Seguro Social, Juzgado Contravencional  y finalmente, en un espacio cedido por el Organismo de Investigación Judicial del lugar y compartido con el médico forense, lugares que si bien no todos reúnen las condiciones idóneas para el buen servicio, permitían a las personas usuarias no tener que desplazarse hasta Limón, pero este año el espacio físico no fue cedido más por el OIJ y al no tener donde valorar en Bribrí, el equipo se está viendo obligado a citar a la población en Limón.</w:t>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t>Lo anterior, será llevado al Consejo de Administración del I Circuito Judicial de la Zona Atlántica, con el fin de solicitar una solución al problema y que el equipo psicosocial pueda brindar el servicio a la población en la zona de Bribrí, el cual fue el objetivo con el que se creó.</w:t>
      </w:r>
    </w:p>
    <w:p>
      <w:pPr>
        <w:pStyle w:val="Normal"/>
        <w:spacing w:lineRule="auto" w:line="360"/>
        <w:jc w:val="both"/>
        <w:rPr>
          <w:rFonts w:ascii="Tahoma" w:hAnsi="Tahoma" w:cs="Tahoma"/>
          <w:bCs/>
          <w:i/>
          <w:i/>
          <w:iCs/>
          <w:sz w:val="20"/>
          <w:szCs w:val="20"/>
          <w:lang w:val="es-MX"/>
        </w:rPr>
      </w:pPr>
      <w:r>
        <w:rPr>
          <w:rFonts w:cs="Tahoma" w:ascii="Tahoma" w:hAnsi="Tahoma"/>
          <w:bCs/>
          <w:i/>
          <w:iCs/>
          <w:sz w:val="20"/>
          <w:szCs w:val="20"/>
          <w:lang w:val="es-MX"/>
        </w:rPr>
      </w:r>
    </w:p>
    <w:p>
      <w:pPr>
        <w:pStyle w:val="Normal"/>
        <w:spacing w:lineRule="auto" w:line="360"/>
        <w:jc w:val="both"/>
        <w:rPr>
          <w:rFonts w:ascii="Tahoma" w:hAnsi="Tahoma" w:cs="Tahoma"/>
          <w:i/>
          <w:i/>
          <w:iCs/>
          <w:sz w:val="20"/>
          <w:szCs w:val="20"/>
        </w:rPr>
      </w:pPr>
      <w:r>
        <w:rPr>
          <w:rFonts w:cs="Tahoma" w:ascii="Tahoma" w:hAnsi="Tahoma"/>
          <w:i/>
          <w:iCs/>
          <w:sz w:val="20"/>
          <w:szCs w:val="20"/>
        </w:rPr>
        <w:t>A la espera de haber dado oportuna respuesta, quedo a disposición para cualquier consulta o información adicional.</w:t>
      </w:r>
    </w:p>
    <w:p>
      <w:pPr>
        <w:pStyle w:val="Normal"/>
        <w:jc w:val="both"/>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Atentamente,</w:t>
      </w:r>
    </w:p>
    <w:p>
      <w:pPr>
        <w:pStyle w:val="Normal"/>
        <w:rPr>
          <w:rFonts w:ascii="Tahoma" w:hAnsi="Tahoma" w:cs="Tahoma"/>
          <w:i/>
          <w:i/>
          <w:iCs/>
          <w:sz w:val="20"/>
          <w:szCs w:val="20"/>
        </w:rPr>
      </w:pPr>
      <w:r>
        <w:rPr>
          <w:rFonts w:cs="Tahoma" w:ascii="Tahoma" w:hAnsi="Tahoma"/>
          <w:i/>
          <w:iCs/>
          <w:sz w:val="20"/>
          <w:szCs w:val="20"/>
        </w:rPr>
      </w:r>
    </w:p>
    <w:p>
      <w:pPr>
        <w:pStyle w:val="Normal"/>
        <w:jc w:val="center"/>
        <w:rPr>
          <w:rFonts w:ascii="Tahoma" w:hAnsi="Tahoma" w:cs="Tahoma"/>
          <w:i/>
          <w:i/>
          <w:iCs/>
          <w:sz w:val="20"/>
          <w:szCs w:val="20"/>
        </w:rPr>
      </w:pPr>
      <w:r>
        <w:rPr>
          <w:rFonts w:cs="Tahoma" w:ascii="Tahoma" w:hAnsi="Tahoma"/>
          <w:i/>
          <w:iCs/>
          <w:sz w:val="20"/>
          <w:szCs w:val="20"/>
        </w:rPr>
        <w:t>MSc.  Alba Gutiérrez Villalobos</w:t>
      </w:r>
    </w:p>
    <w:p>
      <w:pPr>
        <w:pStyle w:val="Normal"/>
        <w:jc w:val="center"/>
        <w:rPr>
          <w:rFonts w:ascii="Tahoma" w:hAnsi="Tahoma" w:cs="Tahoma"/>
          <w:i/>
          <w:i/>
          <w:iCs/>
          <w:sz w:val="20"/>
          <w:szCs w:val="20"/>
        </w:rPr>
      </w:pPr>
      <w:r>
        <w:rPr>
          <w:rFonts w:cs="Tahoma" w:ascii="Tahoma" w:hAnsi="Tahoma"/>
          <w:i/>
          <w:iCs/>
          <w:sz w:val="20"/>
          <w:szCs w:val="20"/>
        </w:rPr>
        <w:t>Jefa, Departamento de Trabajo Social y Psicología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CC </w:t>
        <w:tab/>
        <w:t>Archivo</w:t>
      </w:r>
    </w:p>
    <w:p>
      <w:pPr>
        <w:pStyle w:val="Normal"/>
        <w:jc w:val="both"/>
        <w:rPr>
          <w:rFonts w:ascii="Tahoma" w:hAnsi="Tahoma" w:cs="Tahoma"/>
          <w:bCs/>
          <w:sz w:val="20"/>
          <w:szCs w:val="20"/>
          <w:lang w:val="es-MX"/>
        </w:rPr>
      </w:pPr>
      <w:r>
        <w:rPr>
          <w:rFonts w:cs="Tahoma" w:ascii="Tahoma" w:hAnsi="Tahoma"/>
          <w:bCs/>
          <w:sz w:val="20"/>
          <w:szCs w:val="20"/>
          <w:lang w:val="es-MX"/>
        </w:rPr>
      </w:r>
    </w:p>
    <w:p>
      <w:pPr>
        <w:pStyle w:val="Normal"/>
        <w:jc w:val="both"/>
        <w:rPr>
          <w:rFonts w:ascii="Tahoma" w:hAnsi="Tahoma" w:cs="Tahoma"/>
          <w:bCs/>
          <w:sz w:val="20"/>
          <w:szCs w:val="20"/>
        </w:rPr>
      </w:pPr>
      <w:r>
        <w:rPr>
          <w:rFonts w:cs="Tahoma" w:ascii="Tahoma" w:hAnsi="Tahoma"/>
          <w:b/>
          <w:sz w:val="20"/>
          <w:szCs w:val="20"/>
          <w:u w:val="single"/>
        </w:rPr>
        <w:t>SE ACUERDA:</w:t>
      </w:r>
      <w:r>
        <w:rPr>
          <w:rFonts w:cs="Tahoma" w:ascii="Tahoma" w:hAnsi="Tahoma"/>
          <w:bCs/>
          <w:sz w:val="20"/>
          <w:szCs w:val="20"/>
        </w:rPr>
        <w:t xml:space="preserve"> </w:t>
      </w:r>
    </w:p>
    <w:p>
      <w:pPr>
        <w:pStyle w:val="Normal"/>
        <w:jc w:val="both"/>
        <w:rPr>
          <w:rFonts w:ascii="Tahoma" w:hAnsi="Tahoma" w:cs="Tahoma"/>
          <w:i/>
          <w:i/>
          <w:iCs/>
          <w:sz w:val="20"/>
          <w:szCs w:val="20"/>
          <w:lang w:val="es-MX"/>
        </w:rPr>
      </w:pPr>
      <w:r>
        <w:rPr>
          <w:rFonts w:cs="Tahoma" w:ascii="Tahoma" w:hAnsi="Tahoma"/>
          <w:bCs/>
          <w:sz w:val="20"/>
          <w:szCs w:val="20"/>
        </w:rPr>
        <w:t xml:space="preserve">1° Se toma nota del </w:t>
      </w:r>
      <w:r>
        <w:rPr>
          <w:rFonts w:cs="Tahoma" w:ascii="Tahoma" w:hAnsi="Tahoma"/>
          <w:sz w:val="20"/>
          <w:szCs w:val="20"/>
          <w:lang w:val="es-ES"/>
        </w:rPr>
        <w:t xml:space="preserve">Oficio </w:t>
      </w:r>
      <w:r>
        <w:rPr>
          <w:rFonts w:cs="Tahoma" w:ascii="Tahoma" w:hAnsi="Tahoma"/>
          <w:sz w:val="20"/>
          <w:szCs w:val="20"/>
          <w:lang w:val="pt-BR"/>
        </w:rPr>
        <w:t xml:space="preserve">162-PLA-OI-2020 remitido por la Dirección de Planificación en el que se informa que el informe referido a las plazas del Departamento de Trabajo Social y Psicología </w:t>
      </w:r>
      <w:r>
        <w:rPr>
          <w:rFonts w:cs="Tahoma" w:ascii="Tahoma" w:hAnsi="Tahoma"/>
          <w:sz w:val="20"/>
          <w:szCs w:val="20"/>
        </w:rPr>
        <w:t>fue conocido por el Consejo Superior del Poder Judicial, en la sesión extraordinaria N°35-14 (Presupuesto 2015), del 23 de abril del 2014, artículo LV, donde se dispuso:</w:t>
      </w:r>
      <w:r>
        <w:rPr>
          <w:rFonts w:cs="Tahoma" w:ascii="Tahoma" w:hAnsi="Tahoma"/>
          <w:i/>
          <w:iCs/>
          <w:sz w:val="20"/>
          <w:szCs w:val="20"/>
        </w:rPr>
        <w:t xml:space="preserve"> “</w:t>
      </w:r>
      <w:r>
        <w:rPr>
          <w:rFonts w:cs="Tahoma" w:ascii="Tahoma" w:hAnsi="Tahoma"/>
          <w:b/>
          <w:bCs/>
          <w:i/>
          <w:iCs/>
          <w:sz w:val="20"/>
          <w:szCs w:val="20"/>
          <w:lang w:val="es-MX"/>
        </w:rPr>
        <w:t>Se acordó: 1.)</w:t>
      </w:r>
      <w:r>
        <w:rPr>
          <w:rFonts w:cs="Tahoma" w:ascii="Tahoma" w:hAnsi="Tahoma"/>
          <w:i/>
          <w:iCs/>
          <w:sz w:val="20"/>
          <w:szCs w:val="20"/>
          <w:lang w:val="es-MX"/>
        </w:rPr>
        <w:t xml:space="preserve"> Aprobar el informe presentado por el Departamento de Planificación. </w:t>
      </w:r>
      <w:r>
        <w:rPr>
          <w:rFonts w:cs="Tahoma" w:ascii="Tahoma" w:hAnsi="Tahoma"/>
          <w:b/>
          <w:bCs/>
          <w:i/>
          <w:iCs/>
          <w:sz w:val="20"/>
          <w:szCs w:val="20"/>
          <w:lang w:val="es-MX"/>
        </w:rPr>
        <w:t>2.)</w:t>
      </w:r>
      <w:r>
        <w:rPr>
          <w:rFonts w:cs="Tahoma" w:ascii="Tahoma" w:hAnsi="Tahoma"/>
          <w:i/>
          <w:iCs/>
          <w:sz w:val="20"/>
          <w:szCs w:val="20"/>
          <w:lang w:val="es-MX"/>
        </w:rPr>
        <w:t xml:space="preserve"> Incluir en el anteproyecto de presupuesto del 2015, las siguientes plazas </w:t>
      </w:r>
      <w:r>
        <w:rPr>
          <w:rFonts w:cs="Tahoma" w:ascii="Tahoma" w:hAnsi="Tahoma"/>
          <w:i/>
          <w:iCs/>
          <w:sz w:val="20"/>
          <w:szCs w:val="20"/>
          <w:highlight w:val="lightGray"/>
          <w:lang w:val="es-MX"/>
        </w:rPr>
        <w:t>extraordinarias</w:t>
      </w:r>
      <w:r>
        <w:rPr>
          <w:rFonts w:cs="Tahoma" w:ascii="Tahoma" w:hAnsi="Tahoma"/>
          <w:i/>
          <w:iCs/>
          <w:sz w:val="20"/>
          <w:szCs w:val="20"/>
          <w:lang w:val="es-MX"/>
        </w:rPr>
        <w:t xml:space="preserve"> por todo el 2015:</w:t>
      </w:r>
    </w:p>
    <w:tbl>
      <w:tblPr>
        <w:tblW w:w="6737" w:type="dxa"/>
        <w:jc w:val="center"/>
        <w:tblInd w:w="0" w:type="dxa"/>
        <w:tblLayout w:type="fixed"/>
        <w:tblCellMar>
          <w:top w:w="0" w:type="dxa"/>
          <w:left w:w="108" w:type="dxa"/>
          <w:bottom w:w="0" w:type="dxa"/>
          <w:right w:w="108" w:type="dxa"/>
        </w:tblCellMar>
        <w:tblLook w:firstRow="0" w:noVBand="0" w:lastRow="0" w:firstColumn="0" w:lastColumn="0" w:noHBand="0" w:val="0000"/>
      </w:tblPr>
      <w:tblGrid>
        <w:gridCol w:w="1593"/>
        <w:gridCol w:w="713"/>
        <w:gridCol w:w="1773"/>
        <w:gridCol w:w="1553"/>
        <w:gridCol w:w="1105"/>
      </w:tblGrid>
      <w:tr>
        <w:trPr>
          <w:tblHeader w:val="true"/>
          <w:trHeight w:val="197"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Despacho</w:t>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Cant.</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Tipo de plaza</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Recomendación</w:t>
            </w:r>
          </w:p>
        </w:tc>
        <w:tc>
          <w:tcPr>
            <w:tcW w:w="1105" w:type="dxa"/>
            <w:tcBorders>
              <w:top w:val="single" w:sz="4" w:space="0" w:color="000000"/>
              <w:left w:val="single" w:sz="4" w:space="0" w:color="000000"/>
              <w:bottom w:val="single" w:sz="4" w:space="0" w:color="000000"/>
              <w:right w:val="single" w:sz="4" w:space="0" w:color="000000"/>
            </w:tcBorders>
          </w:tcPr>
          <w:p>
            <w:pPr>
              <w:pStyle w:val="Normal"/>
              <w:widowControl w:val="false"/>
              <w:snapToGrid w:val="false"/>
              <w:spacing w:before="0" w:after="200"/>
              <w:jc w:val="center"/>
              <w:rPr>
                <w:rFonts w:ascii="Tahoma" w:hAnsi="Tahoma" w:cs="Tahoma"/>
                <w:b/>
                <w:b/>
                <w:bCs/>
                <w:i/>
                <w:i/>
                <w:iCs/>
                <w:sz w:val="20"/>
                <w:szCs w:val="20"/>
                <w:lang w:val="es-ES"/>
              </w:rPr>
            </w:pPr>
            <w:r>
              <w:rPr>
                <w:rFonts w:cs="Tahoma" w:ascii="Tahoma" w:hAnsi="Tahoma"/>
                <w:b/>
                <w:bCs/>
                <w:i/>
                <w:iCs/>
                <w:sz w:val="20"/>
                <w:szCs w:val="20"/>
                <w:lang w:val="es-ES"/>
              </w:rPr>
              <w:t>Prioridad</w:t>
            </w:r>
          </w:p>
        </w:tc>
      </w:tr>
      <w:tr>
        <w:trPr>
          <w:trHeight w:val="1193"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Pérez Zeledón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1</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Perito Judicial 2 (Trabajadora o Trabajador Social)</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r>
        <w:trPr>
          <w:trHeight w:val="1182" w:hRule="atLeast"/>
        </w:trPr>
        <w:tc>
          <w:tcPr>
            <w:tcW w:w="159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r>
          </w:p>
          <w:p>
            <w:pPr>
              <w:pStyle w:val="Normal"/>
              <w:widowControl w:val="false"/>
              <w:snapToGrid w:val="false"/>
              <w:jc w:val="center"/>
              <w:rPr>
                <w:rFonts w:ascii="Tahoma" w:hAnsi="Tahoma" w:cs="Tahoma"/>
                <w:i/>
                <w:i/>
                <w:iCs/>
                <w:sz w:val="20"/>
                <w:szCs w:val="20"/>
                <w:lang w:val="es-ES"/>
              </w:rPr>
            </w:pPr>
            <w:r>
              <w:rPr>
                <w:rFonts w:cs="Tahoma" w:ascii="Tahoma" w:hAnsi="Tahoma"/>
                <w:i/>
                <w:iCs/>
                <w:sz w:val="20"/>
                <w:szCs w:val="20"/>
                <w:lang w:val="es-ES"/>
              </w:rPr>
              <w:t>Oficina de Trabajo Social y Psicología de Limón</w:t>
            </w:r>
          </w:p>
          <w:p>
            <w:pPr>
              <w:pStyle w:val="Normal"/>
              <w:widowControl w:val="false"/>
              <w:snapToGrid w:val="false"/>
              <w:spacing w:before="0" w:after="200"/>
              <w:jc w:val="center"/>
              <w:rPr>
                <w:rFonts w:ascii="Tahoma" w:hAnsi="Tahoma" w:cs="Tahoma"/>
                <w:i/>
                <w:i/>
                <w:iCs/>
                <w:sz w:val="20"/>
                <w:szCs w:val="20"/>
                <w:highlight w:val="yellow"/>
                <w:lang w:val="es-ES"/>
              </w:rPr>
            </w:pPr>
            <w:r>
              <w:rPr>
                <w:rFonts w:cs="Tahoma" w:ascii="Tahoma" w:hAnsi="Tahoma"/>
                <w:i/>
                <w:iCs/>
                <w:sz w:val="20"/>
                <w:szCs w:val="20"/>
                <w:highlight w:val="yellow"/>
                <w:lang w:val="es-ES"/>
              </w:rPr>
            </w:r>
          </w:p>
        </w:tc>
        <w:tc>
          <w:tcPr>
            <w:tcW w:w="71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w:t>
            </w:r>
          </w:p>
        </w:tc>
        <w:tc>
          <w:tcPr>
            <w:tcW w:w="17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2 Perito Judicial 2 (Trabajadora o Trabajador Social y Psicóloga o Psicólogo)</w:t>
            </w:r>
          </w:p>
        </w:tc>
        <w:tc>
          <w:tcPr>
            <w:tcW w:w="155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napToGrid w:val="false"/>
              <w:spacing w:before="0" w:after="200"/>
              <w:jc w:val="center"/>
              <w:rPr>
                <w:rFonts w:ascii="Tahoma" w:hAnsi="Tahoma" w:cs="Tahoma"/>
                <w:i/>
                <w:i/>
                <w:iCs/>
                <w:sz w:val="20"/>
                <w:szCs w:val="20"/>
                <w:lang w:val="es-ES"/>
              </w:rPr>
            </w:pPr>
            <w:r>
              <w:rPr>
                <w:rFonts w:cs="Tahoma" w:ascii="Tahoma" w:hAnsi="Tahoma"/>
                <w:i/>
                <w:iCs/>
                <w:sz w:val="20"/>
                <w:szCs w:val="20"/>
                <w:lang w:val="es-ES"/>
              </w:rPr>
              <w:t>Extra</w:t>
            </w:r>
            <w:r>
              <w:rPr>
                <w:rFonts w:cs="Tahoma" w:ascii="Tahoma" w:hAnsi="Tahoma"/>
                <w:i/>
                <w:iCs/>
                <w:sz w:val="20"/>
                <w:szCs w:val="20"/>
                <w:highlight w:val="lightGray"/>
                <w:lang w:val="es-ES"/>
              </w:rPr>
              <w:t>o</w:t>
            </w:r>
            <w:r>
              <w:rPr>
                <w:rFonts w:cs="Tahoma" w:ascii="Tahoma" w:hAnsi="Tahoma"/>
                <w:i/>
                <w:iCs/>
                <w:sz w:val="20"/>
                <w:szCs w:val="20"/>
                <w:lang w:val="es-ES"/>
              </w:rPr>
              <w:t>rdinaria</w:t>
            </w:r>
          </w:p>
        </w:tc>
        <w:tc>
          <w:tcPr>
            <w:tcW w:w="110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8"/>
                <w:tab w:val="left" w:pos="205" w:leader="none"/>
              </w:tabs>
              <w:spacing w:before="0" w:after="200"/>
              <w:jc w:val="center"/>
              <w:rPr>
                <w:rFonts w:ascii="Tahoma" w:hAnsi="Tahoma" w:cs="Tahoma"/>
                <w:i/>
                <w:i/>
                <w:iCs/>
                <w:sz w:val="20"/>
                <w:szCs w:val="20"/>
                <w:lang w:val="es-ES"/>
              </w:rPr>
            </w:pPr>
            <w:r>
              <w:rPr>
                <w:rFonts w:cs="Tahoma" w:ascii="Tahoma" w:hAnsi="Tahoma"/>
                <w:i/>
                <w:iCs/>
                <w:sz w:val="20"/>
                <w:szCs w:val="20"/>
                <w:lang w:val="es-ES"/>
              </w:rPr>
              <w:t>2</w:t>
            </w:r>
          </w:p>
        </w:tc>
      </w:tr>
    </w:tbl>
    <w:p>
      <w:pPr>
        <w:pStyle w:val="Normal"/>
        <w:widowControl w:val="false"/>
        <w:ind w:right="1701" w:hanging="0"/>
        <w:jc w:val="both"/>
        <w:rPr>
          <w:rFonts w:ascii="Tahoma" w:hAnsi="Tahoma" w:cs="Tahoma"/>
          <w:b/>
          <w:b/>
          <w:bCs/>
          <w:i/>
          <w:i/>
          <w:iCs/>
          <w:sz w:val="20"/>
          <w:szCs w:val="20"/>
          <w:lang w:val="es-MX"/>
        </w:rPr>
      </w:pPr>
      <w:r>
        <w:rPr>
          <w:rFonts w:cs="Tahoma" w:ascii="Tahoma" w:hAnsi="Tahoma"/>
          <w:b/>
          <w:bCs/>
          <w:i/>
          <w:iCs/>
          <w:sz w:val="20"/>
          <w:szCs w:val="20"/>
          <w:lang w:val="es-MX"/>
        </w:rPr>
      </w:r>
    </w:p>
    <w:p>
      <w:pPr>
        <w:pStyle w:val="Normal"/>
        <w:widowControl w:val="false"/>
        <w:ind w:right="1701" w:hanging="0"/>
        <w:jc w:val="both"/>
        <w:rPr>
          <w:rFonts w:ascii="Tahoma" w:hAnsi="Tahoma" w:cs="Tahoma"/>
          <w:sz w:val="20"/>
          <w:szCs w:val="20"/>
        </w:rPr>
      </w:pPr>
      <w:r>
        <w:rPr>
          <w:rFonts w:cs="Tahoma" w:ascii="Tahoma" w:hAnsi="Tahoma"/>
          <w:b/>
          <w:bCs/>
          <w:i/>
          <w:iCs/>
          <w:sz w:val="20"/>
          <w:szCs w:val="20"/>
          <w:lang w:val="es-MX"/>
        </w:rPr>
        <w:t>3.)</w:t>
      </w:r>
      <w:r>
        <w:rPr>
          <w:rFonts w:cs="Tahoma" w:ascii="Tahoma" w:hAnsi="Tahoma"/>
          <w:i/>
          <w:iCs/>
          <w:sz w:val="20"/>
          <w:szCs w:val="20"/>
          <w:lang w:val="es-MX"/>
        </w:rPr>
        <w:t xml:space="preserve"> Las plazas aprobadas estarán destinadas principalmente para atender las zonas de Bribrí y Buenos Aires, </w:t>
      </w:r>
      <w:r>
        <w:rPr>
          <w:rFonts w:cs="Tahoma" w:ascii="Tahoma" w:hAnsi="Tahoma"/>
          <w:b/>
          <w:bCs/>
          <w:i/>
          <w:iCs/>
          <w:sz w:val="20"/>
          <w:szCs w:val="20"/>
          <w:lang w:val="es-MX"/>
        </w:rPr>
        <w:t>ubicadas temporalmente</w:t>
      </w:r>
      <w:r>
        <w:rPr>
          <w:rFonts w:cs="Tahoma" w:ascii="Tahoma" w:hAnsi="Tahoma"/>
          <w:i/>
          <w:iCs/>
          <w:sz w:val="20"/>
          <w:szCs w:val="20"/>
          <w:lang w:val="es-MX"/>
        </w:rPr>
        <w:t xml:space="preserve"> en Limón y Pérez Zeledón. </w:t>
      </w:r>
      <w:r>
        <w:rPr>
          <w:rFonts w:cs="Tahoma" w:ascii="Tahoma" w:hAnsi="Tahoma"/>
          <w:b/>
          <w:bCs/>
          <w:i/>
          <w:iCs/>
          <w:sz w:val="20"/>
          <w:szCs w:val="20"/>
          <w:lang w:val="es-MX"/>
        </w:rPr>
        <w:t>4.)</w:t>
      </w:r>
      <w:r>
        <w:rPr>
          <w:rFonts w:cs="Tahoma" w:ascii="Tahoma" w:hAnsi="Tahoma"/>
          <w:i/>
          <w:iCs/>
          <w:sz w:val="20"/>
          <w:szCs w:val="20"/>
          <w:lang w:val="es-MX"/>
        </w:rPr>
        <w:t xml:space="preserve"> El Departamento de Personal deberá tomar nota para que cuando se saquen a concurso estas plazas indicar que son para cubrir esas zonas.” (La negrita no pertenece al original). </w:t>
      </w:r>
      <w:r>
        <w:rPr>
          <w:rFonts w:cs="Tahoma" w:ascii="Tahoma" w:hAnsi="Tahoma"/>
          <w:i/>
          <w:iCs/>
          <w:sz w:val="20"/>
          <w:szCs w:val="20"/>
        </w:rPr>
        <w:t>El citado acuerdo fue comunicado a los involucrados mediante el oficio N°186-CSP-14 del 26 de abril de 2014, el cual adjunta el informe citado. (Ver anexo 2).”</w:t>
      </w:r>
      <w:r>
        <w:rPr>
          <w:rFonts w:cs="Tahoma" w:ascii="Tahoma" w:hAnsi="Tahoma"/>
          <w:sz w:val="20"/>
          <w:szCs w:val="20"/>
        </w:rPr>
        <w:t>; y se agrega, la Dirección de Planificación ya emitió criterio en su oportunidad y no tiene injerencia en su ejecución, por lo que se sugiere coordinar con otras dependencias competentes para la ejecución de este tema.</w:t>
      </w:r>
    </w:p>
    <w:p>
      <w:pPr>
        <w:pStyle w:val="Normal"/>
        <w:widowControl w:val="false"/>
        <w:jc w:val="both"/>
        <w:rPr>
          <w:rFonts w:ascii="Tahoma" w:hAnsi="Tahoma" w:cs="Tahoma"/>
          <w:bCs/>
          <w:sz w:val="20"/>
          <w:szCs w:val="20"/>
          <w:lang w:val="es-MX"/>
        </w:rPr>
      </w:pPr>
      <w:r>
        <w:rPr>
          <w:rFonts w:cs="Tahoma" w:ascii="Tahoma" w:hAnsi="Tahoma"/>
          <w:b/>
          <w:bCs/>
          <w:sz w:val="20"/>
          <w:szCs w:val="20"/>
          <w:lang w:val="pt-BR"/>
        </w:rPr>
        <w:t xml:space="preserve">2° </w:t>
      </w:r>
      <w:r>
        <w:rPr>
          <w:rFonts w:cs="Tahoma" w:ascii="Tahoma" w:hAnsi="Tahoma"/>
          <w:sz w:val="20"/>
          <w:szCs w:val="20"/>
          <w:lang w:val="pt-BR"/>
        </w:rPr>
        <w:t xml:space="preserve">Se toma nota del </w:t>
      </w:r>
      <w:r>
        <w:rPr>
          <w:rFonts w:cs="Tahoma" w:ascii="Tahoma" w:hAnsi="Tahoma"/>
          <w:sz w:val="20"/>
          <w:szCs w:val="20"/>
          <w:lang w:val="es-ES"/>
        </w:rPr>
        <w:t>Oficio</w:t>
      </w:r>
      <w:r>
        <w:rPr>
          <w:rFonts w:cs="Tahoma" w:ascii="Tahoma" w:hAnsi="Tahoma"/>
          <w:sz w:val="20"/>
          <w:szCs w:val="20"/>
        </w:rPr>
        <w:t xml:space="preserve"> </w:t>
      </w:r>
      <w:r>
        <w:rPr>
          <w:rFonts w:cs="Tahoma" w:ascii="Tahoma" w:hAnsi="Tahoma"/>
          <w:sz w:val="20"/>
          <w:szCs w:val="20"/>
          <w:lang w:val="es-ES"/>
        </w:rPr>
        <w:t xml:space="preserve">DTSP-015-2020, de 12 de febrero de 2020 en el el Departamento de Trabajo Social y Psicología informa, que la </w:t>
      </w:r>
      <w:r>
        <w:rPr>
          <w:rFonts w:cs="Tahoma" w:ascii="Tahoma" w:hAnsi="Tahoma"/>
          <w:sz w:val="20"/>
          <w:szCs w:val="20"/>
        </w:rPr>
        <w:t xml:space="preserve">plaza de Trabajo Social que se creó en el año 2015 para Buenos Aires es un recurso diferente al que se creó en ese mismo año para Bribrí, de manera que la primera desde su creación ha estado destacada en Buenos Aires hasta la fecha y con prioridad para la atención a la población indígena, debido a que </w:t>
      </w:r>
      <w:r>
        <w:rPr>
          <w:rFonts w:cs="Tahoma" w:ascii="Tahoma" w:hAnsi="Tahoma"/>
          <w:sz w:val="20"/>
          <w:szCs w:val="20"/>
          <w:lang w:val="es-MX"/>
        </w:rPr>
        <w:t xml:space="preserve">la Fiscalía cedió un espacio en Buenos Aires para la ubicación de la profesional y se ha mantenido a la fecha ahí destacada. En el 2016 la plaza pasó a ser ordinaria y fue nombrada en propiedad en ese mismo año, por lo que es un recurso que se mantendrá en la zona. Además, que </w:t>
      </w:r>
      <w:r>
        <w:rPr>
          <w:rFonts w:cs="Tahoma" w:ascii="Tahoma" w:hAnsi="Tahoma"/>
          <w:bCs/>
          <w:sz w:val="20"/>
          <w:szCs w:val="20"/>
          <w:lang w:val="es-MX"/>
        </w:rPr>
        <w:t>en cuanto a las plazas de Bribrí, se creó un equipo psicosocial en el 2015 con el fin de dar accesibilidad a la población indígena de la región, y tal como lo indica el acuerdo del Consejo Superior antes mencionado, se destacarían en Limón ante la falta de infraestructura en Bribrí, situación que persiste a la fecha. Sin</w:t>
      </w:r>
      <w:r>
        <w:rPr>
          <w:rFonts w:cs="Tahoma" w:ascii="Tahoma" w:hAnsi="Tahoma"/>
          <w:sz w:val="20"/>
          <w:szCs w:val="20"/>
          <w:lang w:val="es-ES"/>
        </w:rPr>
        <w:t xml:space="preserve"> </w:t>
      </w:r>
      <w:r>
        <w:rPr>
          <w:rFonts w:cs="Tahoma" w:ascii="Tahoma" w:hAnsi="Tahoma"/>
          <w:bCs/>
          <w:sz w:val="20"/>
          <w:szCs w:val="20"/>
          <w:lang w:val="es-MX"/>
        </w:rPr>
        <w:t>embargo, las profesionales de psicología y trabajo social, se han estado desplazando a la zona para atender ahí a la población usuaria, en diferentes espacios a saber: Iglesia católica, Municipalidad, Instituto Nacional de Aprendizaje, Trabajo Social de la Caja Costarricense del Seguro Social, Juzgado Contravencional  y finalmente, en un espacio cedido por el Organismo de Investigación Judicial del lugar y compartido con el médico forense, lugares que si bien no todos reúnen las condiciones idóneas para el buen servicio, permitían a las personas usuarias no tener que desplazarse hasta Limón, pero este año el espacio físico no fue cedido más por el OIJ y al no tener donde valorar en Bribrí, el equipo se está viendo obligado a citar a la población en Limón.</w:t>
      </w:r>
    </w:p>
    <w:p>
      <w:pPr>
        <w:pStyle w:val="Normal"/>
        <w:widowControl w:val="false"/>
        <w:jc w:val="both"/>
        <w:rPr>
          <w:rFonts w:ascii="Tahoma" w:hAnsi="Tahoma" w:cs="Tahoma"/>
          <w:sz w:val="20"/>
          <w:szCs w:val="20"/>
        </w:rPr>
      </w:pPr>
      <w:r>
        <w:rPr>
          <w:rFonts w:cs="Tahoma" w:ascii="Tahoma" w:hAnsi="Tahoma"/>
          <w:bCs/>
          <w:sz w:val="20"/>
          <w:szCs w:val="20"/>
          <w:lang w:val="es-MX"/>
        </w:rPr>
        <w:t xml:space="preserve">3° Solicitar a la Dirección de Gestión Humana informe si las plazas a las que hace alusión el Consejo Superior </w:t>
      </w:r>
      <w:r>
        <w:rPr>
          <w:rFonts w:cs="Tahoma" w:ascii="Tahoma" w:hAnsi="Tahoma"/>
          <w:sz w:val="20"/>
          <w:szCs w:val="20"/>
        </w:rPr>
        <w:t>en la sesión extraordinaria N°35-14 (Presupuesto 2015), del 23 de abril del 2014, artículo LV, ya fueron sacadas a concurso con la indicación expresa de que debían estar radicadas, una en Bribri y otra en Buenos Aires de Puntarenas; y si permanecen ahí en la actualidad, especialmente la destinada a Buenos Aires de Puntarenas para la atención de los pueblos indígenas de esa zona, dentro de los que se incluyen los beneficiarios de las Medidas Cautelares 321-12 de la CIDH contra el Estado.</w:t>
      </w:r>
    </w:p>
    <w:p>
      <w:pPr>
        <w:pStyle w:val="Normal"/>
        <w:widowControl w:val="false"/>
        <w:jc w:val="both"/>
        <w:rPr>
          <w:rFonts w:ascii="Tahoma" w:hAnsi="Tahoma" w:cs="Tahoma"/>
          <w:sz w:val="20"/>
          <w:szCs w:val="20"/>
        </w:rPr>
      </w:pPr>
      <w:r>
        <w:rPr>
          <w:rFonts w:cs="Tahoma" w:ascii="Tahoma" w:hAnsi="Tahoma"/>
          <w:sz w:val="20"/>
          <w:szCs w:val="20"/>
        </w:rPr>
        <w:t>4° Solicitar al Departamento de Trabajo Social y Psicología y al Consejo de Administración del Primer Circuito Judicial de la Zona Atlántica informe sobre las soluciones brindadas a efecto de la plaza creada para que brinde el servicio en Bribrí se encuentre radicada en esa zona para el servicio de la población indígena.</w:t>
      </w:r>
    </w:p>
    <w:p>
      <w:pPr>
        <w:pStyle w:val="Normal"/>
        <w:widowControl w:val="false"/>
        <w:jc w:val="both"/>
        <w:rPr>
          <w:rFonts w:ascii="Tahoma" w:hAnsi="Tahoma" w:cs="Tahoma"/>
          <w:bCs/>
          <w:i/>
          <w:i/>
          <w:iCs/>
          <w:sz w:val="20"/>
          <w:szCs w:val="20"/>
          <w:lang w:val="es-MX"/>
        </w:rPr>
      </w:pPr>
      <w:r>
        <w:rPr>
          <w:rFonts w:cs="Tahoma" w:ascii="Tahoma" w:hAnsi="Tahoma"/>
          <w:sz w:val="20"/>
          <w:szCs w:val="20"/>
        </w:rPr>
        <w:t>5° Se declaran firmes los acuerdos por unanimidad. Comuníquese este acuerdo a la Dirección de Planificación, la Dirección de Gestión Humana, el Departamento de Trabajo Social y Psicología y el Consejo de Administración del Primer Circuito Judicial de la Zona Atlántica, con copia al Consejo de Administración del Primer Circuito Judicial de la Zona Sur.</w:t>
      </w:r>
    </w:p>
    <w:p>
      <w:pPr>
        <w:pStyle w:val="Normal"/>
        <w:spacing w:lineRule="auto" w:line="360"/>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IV:</w:t>
      </w:r>
    </w:p>
    <w:p>
      <w:pPr>
        <w:pStyle w:val="Normal"/>
        <w:spacing w:lineRule="auto" w:line="360"/>
        <w:jc w:val="both"/>
        <w:rPr>
          <w:rFonts w:ascii="Tahoma" w:hAnsi="Tahoma" w:cs="Tahoma"/>
          <w:b/>
          <w:b/>
          <w:sz w:val="20"/>
          <w:szCs w:val="20"/>
        </w:rPr>
      </w:pPr>
      <w:r>
        <w:rPr>
          <w:rFonts w:cs="Tahoma" w:ascii="Tahoma" w:hAnsi="Tahoma"/>
          <w:b/>
          <w:sz w:val="20"/>
          <w:szCs w:val="20"/>
        </w:rPr>
        <w:t>TEMA: SOLICITUD DEL PUEBLO INDÍGENA MALECU A PRESIDENCIA DE LA CORTE SUPREMA DE JUSTICIA SOBRE “EXPEDIENTES JUDICIALES PARA TRÁMITE RÁPIDO EN CASOS DE TIERRA EN CASACIÓN Y REMATE DE TIERRAS DENTRO DE TERRITORIO INDÍGENA DE FORMA ILEGAL”.</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CACC-24-2020</w:t>
      </w:r>
      <w:r>
        <w:rPr>
          <w:rFonts w:cs="Tahoma" w:ascii="Tahoma" w:hAnsi="Tahoma"/>
          <w:sz w:val="20"/>
          <w:szCs w:val="20"/>
          <w:lang w:val="es-ES"/>
        </w:rPr>
        <w:t xml:space="preserve"> a la Asociación de Desarrollo Integral  Indígena de la Reserva Indígena Guatuso de Alajuela, el acuerdo estipulado en el Artículo III del Acta 01-20 el cual se transcribe literalmente: </w:t>
      </w:r>
    </w:p>
    <w:p>
      <w:pPr>
        <w:pStyle w:val="Normal"/>
        <w:jc w:val="both"/>
        <w:rPr>
          <w:rFonts w:ascii="Tahoma" w:hAnsi="Tahoma" w:cs="Tahoma"/>
          <w:sz w:val="20"/>
          <w:szCs w:val="20"/>
          <w:lang w:val="es-ES"/>
        </w:rPr>
      </w:pPr>
      <w:r>
        <w:rPr>
          <w:rFonts w:cs="Tahoma" w:ascii="Tahoma" w:hAnsi="Tahoma"/>
          <w:sz w:val="20"/>
          <w:szCs w:val="20"/>
          <w:lang w:val="es-ES"/>
        </w:rPr>
      </w:r>
    </w:p>
    <w:p>
      <w:pPr>
        <w:pStyle w:val="Normal"/>
        <w:jc w:val="both"/>
        <w:rPr>
          <w:rFonts w:ascii="Tahoma" w:hAnsi="Tahoma" w:cs="Tahoma"/>
          <w:b/>
          <w:b/>
          <w:i/>
          <w:i/>
          <w:sz w:val="20"/>
          <w:szCs w:val="20"/>
          <w:u w:val="single"/>
        </w:rPr>
      </w:pPr>
      <w:r>
        <w:rPr>
          <w:rFonts w:cs="Tahoma" w:ascii="Tahoma" w:hAnsi="Tahoma"/>
          <w:b/>
          <w:i/>
          <w:sz w:val="20"/>
          <w:szCs w:val="20"/>
          <w:u w:val="single"/>
        </w:rPr>
        <w:drawing>
          <wp:anchor behindDoc="0" distT="0" distB="0" distL="0" distR="0" simplePos="0" locked="0" layoutInCell="0" allowOverlap="1" relativeHeight="59">
            <wp:simplePos x="0" y="0"/>
            <wp:positionH relativeFrom="column">
              <wp:posOffset>-504825</wp:posOffset>
            </wp:positionH>
            <wp:positionV relativeFrom="paragraph">
              <wp:posOffset>55880</wp:posOffset>
            </wp:positionV>
            <wp:extent cx="6800850" cy="3248025"/>
            <wp:effectExtent l="0" t="0" r="0" b="0"/>
            <wp:wrapNone/>
            <wp:docPr id="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1" descr=""/>
                    <pic:cNvPicPr>
                      <a:picLocks noChangeAspect="1" noChangeArrowheads="1"/>
                    </pic:cNvPicPr>
                  </pic:nvPicPr>
                  <pic:blipFill>
                    <a:blip r:embed="rId10"/>
                    <a:stretch>
                      <a:fillRect/>
                    </a:stretch>
                  </pic:blipFill>
                  <pic:spPr bwMode="auto">
                    <a:xfrm>
                      <a:off x="0" y="0"/>
                      <a:ext cx="6800850" cy="3248025"/>
                    </a:xfrm>
                    <a:prstGeom prst="rect">
                      <a:avLst/>
                    </a:prstGeom>
                  </pic:spPr>
                </pic:pic>
              </a:graphicData>
            </a:graphic>
          </wp:anchor>
        </w:drawing>
      </w:r>
    </w:p>
    <w:p>
      <w:pPr>
        <w:pStyle w:val="Normal"/>
        <w:jc w:val="both"/>
        <w:rPr>
          <w:rFonts w:ascii="Tahoma" w:hAnsi="Tahoma" w:cs="Tahoma"/>
          <w:b/>
          <w:b/>
          <w:i/>
          <w:i/>
          <w:sz w:val="20"/>
          <w:szCs w:val="20"/>
          <w:u w:val="single"/>
        </w:rPr>
      </w:pPr>
      <w:r>
        <w:rPr>
          <w:rFonts w:cs="Tahoma" w:ascii="Tahoma" w:hAnsi="Tahoma"/>
          <w:b/>
          <w:i/>
          <w:sz w:val="20"/>
          <w:szCs w:val="20"/>
          <w:u w:val="single"/>
        </w:rPr>
      </w:r>
    </w:p>
    <w:p>
      <w:pPr>
        <w:pStyle w:val="Normal"/>
        <w:jc w:val="both"/>
        <w:rPr>
          <w:rFonts w:ascii="Tahoma" w:hAnsi="Tahoma" w:cs="Tahoma"/>
          <w:b/>
          <w:b/>
          <w:i/>
          <w:i/>
          <w:sz w:val="20"/>
          <w:szCs w:val="20"/>
          <w:u w:val="single"/>
        </w:rPr>
      </w:pPr>
      <w:r>
        <w:rPr>
          <w:rFonts w:cs="Tahoma" w:ascii="Tahoma" w:hAnsi="Tahoma"/>
          <w:b/>
          <w:i/>
          <w:sz w:val="20"/>
          <w:szCs w:val="20"/>
          <w:u w:val="single"/>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
          <w:b/>
          <w:i/>
          <w:i/>
          <w:sz w:val="20"/>
          <w:szCs w:val="20"/>
        </w:rPr>
      </w:pPr>
      <w:r>
        <w:rPr>
          <w:rFonts w:cs="Tahoma" w:ascii="Tahoma" w:hAnsi="Tahoma"/>
          <w:b/>
          <w:i/>
          <w:sz w:val="20"/>
          <w:szCs w:val="20"/>
        </w:rPr>
      </w:r>
    </w:p>
    <w:p>
      <w:pPr>
        <w:pStyle w:val="Normal"/>
        <w:jc w:val="both"/>
        <w:rPr>
          <w:rFonts w:ascii="Tahoma" w:hAnsi="Tahoma" w:cs="Tahoma"/>
          <w:bCs/>
          <w:i/>
          <w:i/>
          <w:sz w:val="20"/>
          <w:szCs w:val="20"/>
        </w:rPr>
      </w:pPr>
      <w:r>
        <w:rPr>
          <w:rFonts w:cs="Tahoma" w:ascii="Tahoma" w:hAnsi="Tahoma"/>
          <w:b/>
          <w:i/>
          <w:sz w:val="20"/>
          <w:szCs w:val="20"/>
        </w:rPr>
        <w:t>SE ACUERDA</w:t>
      </w:r>
      <w:r>
        <w:rPr>
          <w:rFonts w:cs="Tahoma" w:ascii="Tahoma" w:hAnsi="Tahoma"/>
          <w:bCs/>
          <w:i/>
          <w:sz w:val="20"/>
          <w:szCs w:val="20"/>
        </w:rPr>
        <w:t xml:space="preserve">: </w:t>
      </w:r>
      <w:r>
        <w:rPr>
          <w:rFonts w:cs="Tahoma" w:ascii="Tahoma" w:hAnsi="Tahoma"/>
          <w:b/>
          <w:i/>
          <w:sz w:val="20"/>
          <w:szCs w:val="20"/>
          <w:u w:val="single"/>
        </w:rPr>
        <w:t xml:space="preserve">2°. Solicitar al señor Emigdio Cruz, presidente de la Asociación de Desarrollo Integral de la Reserva Indígena Guatuso (Territorio Malecu) informe sobre los números de expedientes judiciales a los que hace referencia en los puntos 1 y 2 para el seguimiento respectivo; así como los temas de capacitación en los que estimen necesario deban ser capacitados por parte del Poder Judicial, a efecto de atender sus requerimientos conforme a las posibilidades institucionales. </w:t>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r>
    </w:p>
    <w:p>
      <w:pPr>
        <w:pStyle w:val="Normal"/>
        <w:rPr>
          <w:rFonts w:ascii="Tahoma" w:hAnsi="Tahoma" w:cs="Tahoma"/>
          <w:sz w:val="20"/>
          <w:szCs w:val="20"/>
        </w:rPr>
      </w:pPr>
      <w:r>
        <w:rPr>
          <w:rFonts w:cs="Tahoma" w:ascii="Tahoma" w:hAnsi="Tahoma"/>
          <w:sz w:val="20"/>
          <w:szCs w:val="20"/>
        </w:rPr>
        <w:t>El señor Emigdio Cruz, presidente de la Asociación de Desarrollo Integral de la Reserva Indígena comunica vía correo electrónico lo siguiente:</w:t>
      </w:r>
    </w:p>
    <w:p>
      <w:pPr>
        <w:pStyle w:val="Normal"/>
        <w:rPr>
          <w:rFonts w:ascii="Tahoma" w:hAnsi="Tahoma" w:eastAsia="Times New Roman" w:cs="Tahoma"/>
          <w:i/>
          <w:i/>
          <w:iCs/>
          <w:sz w:val="20"/>
          <w:szCs w:val="20"/>
          <w:lang w:val="es-ES"/>
        </w:rPr>
      </w:pPr>
      <w:r>
        <w:rPr>
          <w:rFonts w:eastAsia="Times New Roman" w:cs="Tahoma" w:ascii="Tahoma" w:hAnsi="Tahoma"/>
          <w:b/>
          <w:bCs/>
          <w:i/>
          <w:iCs/>
          <w:sz w:val="20"/>
          <w:szCs w:val="20"/>
          <w:lang w:val="es-ES"/>
        </w:rPr>
        <w:t>De:</w:t>
      </w:r>
      <w:r>
        <w:rPr>
          <w:rFonts w:eastAsia="Times New Roman" w:cs="Tahoma" w:ascii="Tahoma" w:hAnsi="Tahoma"/>
          <w:i/>
          <w:iCs/>
          <w:sz w:val="20"/>
          <w:szCs w:val="20"/>
          <w:lang w:val="es-ES"/>
        </w:rPr>
        <w:t xml:space="preserve"> Asociacion Maleku [mailto:aditerritoriomalecu@gmail.com] </w:t>
        <w:br/>
      </w:r>
      <w:r>
        <w:rPr>
          <w:rFonts w:eastAsia="Times New Roman" w:cs="Tahoma" w:ascii="Tahoma" w:hAnsi="Tahoma"/>
          <w:b/>
          <w:bCs/>
          <w:i/>
          <w:iCs/>
          <w:sz w:val="20"/>
          <w:szCs w:val="20"/>
          <w:lang w:val="es-ES"/>
        </w:rPr>
        <w:t>Enviado el:</w:t>
      </w:r>
      <w:r>
        <w:rPr>
          <w:rFonts w:eastAsia="Times New Roman" w:cs="Tahoma" w:ascii="Tahoma" w:hAnsi="Tahoma"/>
          <w:i/>
          <w:iCs/>
          <w:sz w:val="20"/>
          <w:szCs w:val="20"/>
          <w:lang w:val="es-ES"/>
        </w:rPr>
        <w:t xml:space="preserve"> lunes, 24 de febrero de 2020 01:06 p.m.</w:t>
        <w:br/>
      </w:r>
      <w:r>
        <w:rPr>
          <w:rFonts w:eastAsia="Times New Roman" w:cs="Tahoma" w:ascii="Tahoma" w:hAnsi="Tahoma"/>
          <w:b/>
          <w:bCs/>
          <w:i/>
          <w:iCs/>
          <w:sz w:val="20"/>
          <w:szCs w:val="20"/>
          <w:lang w:val="es-ES"/>
        </w:rPr>
        <w:t>Para:</w:t>
      </w:r>
      <w:r>
        <w:rPr>
          <w:rFonts w:eastAsia="Times New Roman" w:cs="Tahoma" w:ascii="Tahoma" w:hAnsi="Tahoma"/>
          <w:i/>
          <w:iCs/>
          <w:sz w:val="20"/>
          <w:szCs w:val="20"/>
          <w:lang w:val="es-ES"/>
        </w:rPr>
        <w:t xml:space="preserve"> Katherine Salazar Duarte</w:t>
        <w:br/>
      </w:r>
      <w:r>
        <w:rPr>
          <w:rFonts w:eastAsia="Times New Roman" w:cs="Tahoma" w:ascii="Tahoma" w:hAnsi="Tahoma"/>
          <w:b/>
          <w:bCs/>
          <w:i/>
          <w:iCs/>
          <w:sz w:val="20"/>
          <w:szCs w:val="20"/>
          <w:lang w:val="es-ES"/>
        </w:rPr>
        <w:t>Asunto:</w:t>
      </w:r>
      <w:r>
        <w:rPr>
          <w:rFonts w:eastAsia="Times New Roman" w:cs="Tahoma" w:ascii="Tahoma" w:hAnsi="Tahoma"/>
          <w:i/>
          <w:iCs/>
          <w:sz w:val="20"/>
          <w:szCs w:val="20"/>
          <w:lang w:val="es-ES"/>
        </w:rPr>
        <w:t xml:space="preserve"> Re: Oficio CACC-24-2020 Emigdio Cruz Elizondo Acuerdo Subcomisión de Acceso a la Justicia de Pueblos Indígenas 07 de enero</w:t>
      </w:r>
    </w:p>
    <w:p>
      <w:pPr>
        <w:pStyle w:val="Normal"/>
        <w:rPr>
          <w:rFonts w:ascii="Tahoma" w:hAnsi="Tahoma" w:cs="Tahoma"/>
          <w:i/>
          <w:i/>
          <w:iCs/>
          <w:sz w:val="20"/>
          <w:szCs w:val="20"/>
        </w:rPr>
      </w:pPr>
      <w:r>
        <w:rPr>
          <w:rFonts w:cs="Tahoma" w:ascii="Tahoma" w:hAnsi="Tahoma"/>
          <w:i/>
          <w:iCs/>
          <w:sz w:val="20"/>
          <w:szCs w:val="20"/>
        </w:rPr>
        <w:t>Estimada Katherine</w:t>
      </w:r>
    </w:p>
    <w:p>
      <w:pPr>
        <w:pStyle w:val="Normal"/>
        <w:rPr>
          <w:rFonts w:ascii="Tahoma" w:hAnsi="Tahoma" w:cs="Tahoma"/>
          <w:i/>
          <w:i/>
          <w:iCs/>
          <w:sz w:val="20"/>
          <w:szCs w:val="20"/>
        </w:rPr>
      </w:pPr>
      <w:r>
        <w:rPr>
          <w:rFonts w:cs="Tahoma" w:ascii="Tahoma" w:hAnsi="Tahoma"/>
          <w:i/>
          <w:iCs/>
          <w:sz w:val="20"/>
          <w:szCs w:val="20"/>
        </w:rPr>
        <w:t>Adjunto oficio con casos que requerimos información, asi mismo solicitamos una ves analizada los expedientes poder definir alguna fecha para la realización de la reunión en nuestro territorio Malecu</w:t>
      </w:r>
    </w:p>
    <w:p>
      <w:pPr>
        <w:pStyle w:val="Normal"/>
        <w:jc w:val="center"/>
        <w:rPr>
          <w:rFonts w:ascii="Tahoma" w:hAnsi="Tahoma" w:cs="Tahoma"/>
          <w:i/>
          <w:i/>
          <w:iCs/>
          <w:sz w:val="20"/>
          <w:szCs w:val="20"/>
        </w:rPr>
      </w:pPr>
      <w:r>
        <w:fldChar w:fldCharType="begin"/>
      </w:r>
      <w:r>
        <w:rPr>
          <w:sz w:val="20"/>
          <w:szCs w:val="20"/>
          <w:rFonts w:ascii="Tahoma" w:hAnsi="Tahoma"/>
        </w:rPr>
        <w:instrText>LINK AcroExch.Document.DC "C:\\Users\\KSALAZARD\\Desktop\\indígenas\\Expedientes pendientes.pdf" "" \a \p \f 0 \* MERGEFORMAT</w:instrText>
      </w:r>
      <w:r>
        <w:drawing>
          <wp:anchor behindDoc="1" distT="0" distB="0" distL="0" distR="0" simplePos="0" locked="0" layoutInCell="0" allowOverlap="1" relativeHeight="60">
            <wp:simplePos x="0" y="0"/>
            <wp:positionH relativeFrom="column">
              <wp:posOffset>-70485</wp:posOffset>
            </wp:positionH>
            <wp:positionV relativeFrom="paragraph">
              <wp:posOffset>728345</wp:posOffset>
            </wp:positionV>
            <wp:extent cx="5649595" cy="2886075"/>
            <wp:effectExtent l="0" t="0" r="0" b="0"/>
            <wp:wrapNone/>
            <wp:docPr id="9" name="Imagen 10" descr="C:\Users\KSALAZARD\AppData\Local\Microsoft\Windows\Temporary Internet Files\Content.Word\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0" descr="C:\Users\KSALAZARD\AppData\Local\Microsoft\Windows\Temporary Internet Files\Content.Word\image001 (1).jpg"/>
                    <pic:cNvPicPr>
                      <a:picLocks noChangeAspect="1" noChangeArrowheads="1"/>
                    </pic:cNvPicPr>
                  </pic:nvPicPr>
                  <pic:blipFill>
                    <a:blip r:embed="rId11"/>
                    <a:stretch>
                      <a:fillRect/>
                    </a:stretch>
                  </pic:blipFill>
                  <pic:spPr bwMode="auto">
                    <a:xfrm>
                      <a:off x="0" y="0"/>
                      <a:ext cx="5649595" cy="2886075"/>
                    </a:xfrm>
                    <a:prstGeom prst="rect">
                      <a:avLst/>
                    </a:prstGeom>
                  </pic:spPr>
                </pic:pic>
              </a:graphicData>
            </a:graphic>
          </wp:anchor>
        </w:drawing>
      </w:r>
      <w:r>
        <w:rPr>
          <w:rFonts w:ascii="Tahoma" w:hAnsi="Tahoma"/>
          <w:sz w:val="20"/>
          <w:szCs w:val="20"/>
        </w:rPr>
      </w:r>
      <w:r>
        <w:rPr>
          <w:sz w:val="20"/>
          <w:szCs w:val="20"/>
          <w:rFonts w:ascii="Tahoma" w:hAnsi="Tahoma"/>
        </w:rPr>
        <w:fldChar w:fldCharType="separate"/>
      </w:r>
      <w:r>
        <w:rPr>
          <w:rFonts w:ascii="Tahoma" w:hAnsi="Tahoma"/>
          <w:sz w:val="20"/>
          <w:szCs w:val="20"/>
        </w:rPr>
      </w:r>
      <w:r>
        <w:rPr/>
        <w:drawing>
          <wp:inline distT="0" distB="0" distL="0" distR="0">
            <wp:extent cx="972820" cy="640715"/>
            <wp:effectExtent l="0" t="0" r="0" b="0"/>
            <wp:docPr id="10" name="Objeto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jeto 3" descr=""/>
                    <pic:cNvPicPr>
                      <a:picLocks noChangeAspect="1" noChangeArrowheads="1"/>
                    </pic:cNvPicPr>
                  </pic:nvPicPr>
                  <pic:blipFill>
                    <a:blip r:embed="rId12"/>
                    <a:stretch>
                      <a:fillRect/>
                    </a:stretch>
                  </pic:blipFill>
                  <pic:spPr bwMode="auto">
                    <a:xfrm>
                      <a:off x="0" y="0"/>
                      <a:ext cx="972820" cy="640715"/>
                    </a:xfrm>
                    <a:prstGeom prst="rect">
                      <a:avLst/>
                    </a:prstGeom>
                  </pic:spPr>
                </pic:pic>
              </a:graphicData>
            </a:graphic>
          </wp:inline>
        </w:drawing>
      </w:r>
      <w:r>
        <w:rPr>
          <w:rFonts w:ascii="Tahoma" w:hAnsi="Tahoma"/>
          <w:sz w:val="20"/>
          <w:szCs w:val="20"/>
        </w:rPr>
      </w:r>
      <w:r>
        <w:rPr>
          <w:sz w:val="20"/>
          <w:szCs w:val="20"/>
          <w:rFonts w:ascii="Tahoma" w:hAnsi="Tahoma"/>
        </w:rPr>
        <w:fldChar w:fldCharType="end"/>
      </w:r>
    </w:p>
    <w:p>
      <w:pPr>
        <w:pStyle w:val="Normal"/>
        <w:jc w:val="center"/>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bCs/>
          <w:sz w:val="20"/>
          <w:szCs w:val="20"/>
        </w:rPr>
      </w:pPr>
      <w:r>
        <w:rPr>
          <w:rFonts w:cs="Tahoma" w:ascii="Tahoma" w:hAnsi="Tahoma"/>
          <w:bCs/>
          <w:sz w:val="20"/>
          <w:szCs w:val="20"/>
        </w:rPr>
        <w:t>El listado se trasladó a la Contraloría de Servicios para que colaboraran con informar el estado de esos expedientes a fin de comunicarlo a los gestionantes, en los casos en que sea legalmente posible suministrar esa información.</w:t>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
          <w:b/>
          <w:sz w:val="20"/>
          <w:szCs w:val="20"/>
          <w:u w:val="single"/>
        </w:rPr>
      </w:pPr>
      <w:r>
        <w:rPr>
          <w:rFonts w:cs="Tahoma" w:ascii="Tahoma" w:hAnsi="Tahoma"/>
          <w:b/>
          <w:sz w:val="20"/>
          <w:szCs w:val="20"/>
          <w:u w:val="single"/>
        </w:rPr>
      </w:r>
    </w:p>
    <w:p>
      <w:pPr>
        <w:pStyle w:val="Normal"/>
        <w:jc w:val="both"/>
        <w:rPr>
          <w:rFonts w:ascii="Tahoma" w:hAnsi="Tahoma" w:cs="Tahoma"/>
          <w:bCs/>
          <w:sz w:val="20"/>
          <w:szCs w:val="20"/>
        </w:rPr>
      </w:pPr>
      <w:r>
        <w:rPr>
          <w:rFonts w:cs="Tahoma" w:ascii="Tahoma" w:hAnsi="Tahoma"/>
          <w:b/>
          <w:sz w:val="20"/>
          <w:szCs w:val="20"/>
          <w:u w:val="single"/>
        </w:rPr>
        <w:t>SE ACUERDA</w:t>
      </w:r>
      <w:r>
        <w:rPr>
          <w:rFonts w:cs="Tahoma" w:ascii="Tahoma" w:hAnsi="Tahoma"/>
          <w:bCs/>
          <w:sz w:val="20"/>
          <w:szCs w:val="20"/>
        </w:rPr>
        <w:t>: 1. Se toma nota del informe de la representante de la Defensa Pública de que ellos y CONAMAJ van el 27 de marzo próximo a visitar al pueblo Malecu. 2. Solicitar a las oficinas representadas en esta Subcomisión que cuando realicen visitas a los territorios indígenas, incluyendo el de los Malecu, se procure coordinar con todas las oficinas involucradas para que sea una sola visita y no en forma separada a efecto de que las personas indígenas puedan aprovechar al máximo el tiempo destinado a atender a las personas servidoras judiciales. 3. Solicitar al Consejo Superior instar a las oficinas judiciales que cuando programen visitas a territorios indígenas, en forma previa deben investigar sobre su cosmovisión para no vulnerar sus derechos y respetar sus costumbres desde diferentes áreas, incluyendo su alimentación y forma de preparación, horarios preferentes de atención de parte de la población; además de consultar previamente a la población indígena sus costumbres. 4. Solicitar a la Dirección de Planificación que plantee al Consejo Superior y a Corte Plena oportunamente, en las sesiones extraordinarias de presupuesto la necesidad de que en las Unidades de Capacitación del Ministerio Público, Defensa Pública, OIJ, Escuela Judicial, Dirección de Justicia Restaurativa, y las Comisiones, entre otros, se contemple un rubro bajo las partidas de capacitación, viáticos y transportes, a efecto de contar con recursos para la alimentación en las visitas a territorios indígenas. La alimentación que se brinde en la actividad organizada por las diferentes oficinas del Poder Judicial debe ajustarse a las costumbres de las personas indígenas de los territorios que se visiten, con el objetivo de que se adecúen a la pertinencia cultural. La Subcomisión coordinará con la Dirección de Planificación para la elaboración de un plan de trabajo o de capacitaciones de giras, para cuyo efecto cada una de las Unidades de Capacitación aquí representadas deben enviar a más tardar el lunes próximo la programación de visitas que incluya monto requerido, fechas, cantidad de giras y de personas que se proyecta atender. La Escuela Judicial remitirá la información relativa a la judicatura. 5. Se declara firme este acuerdo por unanimidad para su ejecución.-</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u w:val="single"/>
        </w:rPr>
      </w:pPr>
      <w:r>
        <w:rPr>
          <w:rFonts w:cs="Tahoma" w:ascii="Tahoma" w:hAnsi="Tahoma"/>
          <w:b/>
          <w:sz w:val="20"/>
          <w:szCs w:val="20"/>
          <w:highlight w:val="yellow"/>
          <w:u w:val="single"/>
        </w:rPr>
        <w:t>ARTÍCULO V:</w:t>
      </w:r>
    </w:p>
    <w:p>
      <w:pPr>
        <w:pStyle w:val="Normal"/>
        <w:spacing w:lineRule="auto" w:line="360"/>
        <w:jc w:val="both"/>
        <w:rPr>
          <w:rFonts w:ascii="Tahoma" w:hAnsi="Tahoma" w:cs="Tahoma"/>
          <w:b/>
          <w:b/>
          <w:i/>
          <w:i/>
          <w:iCs/>
          <w:sz w:val="20"/>
          <w:szCs w:val="20"/>
          <w:u w:val="single"/>
        </w:rPr>
      </w:pPr>
      <w:r>
        <w:rPr>
          <w:rFonts w:cs="Tahoma" w:ascii="Tahoma" w:hAnsi="Tahoma"/>
          <w:b/>
          <w:sz w:val="20"/>
          <w:szCs w:val="20"/>
          <w:u w:val="single"/>
        </w:rPr>
        <w:t xml:space="preserve">TEMA: GESTION DEL PUEBLO INDÍGENA MELECU A LA PRESIDENCIA DE LA CORTE SUPREMA DE JUSTICIA SOBRE: </w:t>
      </w:r>
      <w:r>
        <w:rPr>
          <w:rFonts w:cs="Tahoma" w:ascii="Tahoma" w:hAnsi="Tahoma"/>
          <w:b/>
          <w:i/>
          <w:iCs/>
          <w:sz w:val="20"/>
          <w:szCs w:val="20"/>
          <w:u w:val="single"/>
        </w:rPr>
        <w:t>“COORDINAR SEGURIDAD COMUNITARIA Y FORMAS DE LUCHAR EN CONTRA DEL INGRESO DE DROGAS EN LA COMUNIDAD MALEKU”</w:t>
      </w:r>
    </w:p>
    <w:p>
      <w:pPr>
        <w:pStyle w:val="Normal"/>
        <w:jc w:val="both"/>
        <w:rPr>
          <w:rFonts w:ascii="Tahoma" w:hAnsi="Tahoma" w:cs="Tahoma"/>
          <w:sz w:val="20"/>
          <w:szCs w:val="20"/>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CACC-25-2020</w:t>
      </w:r>
      <w:r>
        <w:rPr>
          <w:rFonts w:cs="Tahoma" w:ascii="Tahoma" w:hAnsi="Tahoma"/>
          <w:sz w:val="20"/>
          <w:szCs w:val="20"/>
          <w:lang w:val="es-ES"/>
        </w:rPr>
        <w:t xml:space="preserve"> al Organismo de Investigación Judicial, el acuerdo estipulado en el Artículo III del Acta 01-20 el cual se transcribe literalmente</w:t>
      </w:r>
    </w:p>
    <w:p>
      <w:pPr>
        <w:pStyle w:val="Normal"/>
        <w:jc w:val="both"/>
        <w:rPr>
          <w:rFonts w:ascii="Tahoma" w:hAnsi="Tahoma" w:cs="Tahoma"/>
          <w:bCs/>
          <w:i/>
          <w:i/>
          <w:sz w:val="20"/>
          <w:szCs w:val="20"/>
        </w:rPr>
      </w:pPr>
      <w:r>
        <w:rPr>
          <w:rFonts w:cs="Tahoma" w:ascii="Tahoma" w:hAnsi="Tahoma"/>
          <w:bCs/>
          <w:i/>
          <w:sz w:val="20"/>
          <w:szCs w:val="20"/>
        </w:rPr>
        <w:t>SE ACUERDA: 6°. Trasladar a la Dirección del Organismo de Investigación Judicial y a la Fiscalía General la solicitud vinculada con “Coordinar seguridad comunitaria y formas de luchar en contra del ingreso de drogas en la comunidad” planteadas por el señor Emigdio Cruz, presidente de la Asociación de Desarrollo Integral de la Reserva Indígena Guatuso (Territorio Malecu) a efecto de brinden su colaboración con la atención de esta solicitud.</w:t>
      </w:r>
    </w:p>
    <w:p>
      <w:pPr>
        <w:pStyle w:val="Cuerpodetexto"/>
        <w:spacing w:lineRule="auto" w:line="360" w:before="160" w:after="0"/>
        <w:ind w:left="141" w:right="135" w:hanging="0"/>
        <w:jc w:val="both"/>
        <w:rPr>
          <w:rFonts w:ascii="Tahoma" w:hAnsi="Tahoma" w:cs="Tahoma"/>
          <w:sz w:val="20"/>
          <w:szCs w:val="20"/>
        </w:rPr>
      </w:pPr>
      <w:r>
        <w:rPr>
          <w:rFonts w:cs="Tahoma" w:ascii="Tahoma" w:hAnsi="Tahoma"/>
          <w:sz w:val="20"/>
          <w:szCs w:val="20"/>
        </w:rPr>
        <w:t xml:space="preserve">La Dirección del Organismo de Investigación Judicial comunico mediante el </w:t>
      </w:r>
      <w:r>
        <w:rPr>
          <w:rFonts w:cs="Tahoma" w:ascii="Tahoma" w:hAnsi="Tahoma"/>
          <w:b/>
          <w:sz w:val="20"/>
          <w:szCs w:val="20"/>
        </w:rPr>
        <w:t xml:space="preserve">Oficio </w:t>
      </w:r>
      <w:r>
        <w:rPr>
          <w:rFonts w:cs="Tahoma" w:ascii="Tahoma" w:hAnsi="Tahoma"/>
          <w:b/>
          <w:color w:val="00000A"/>
          <w:sz w:val="20"/>
          <w:szCs w:val="20"/>
        </w:rPr>
        <w:t>0087-DG-2020 REF. 0082-2020</w:t>
      </w:r>
      <w:r>
        <w:rPr>
          <w:rFonts w:cs="Tahoma" w:ascii="Tahoma" w:hAnsi="Tahoma"/>
          <w:color w:val="00000A"/>
          <w:sz w:val="20"/>
          <w:szCs w:val="20"/>
        </w:rPr>
        <w:t>, lo siguiente:</w:t>
      </w:r>
    </w:p>
    <w:p>
      <w:pPr>
        <w:pStyle w:val="Normal"/>
        <w:rPr>
          <w:rFonts w:ascii="Tahoma" w:hAnsi="Tahoma" w:cs="Tahoma"/>
          <w:sz w:val="20"/>
          <w:szCs w:val="20"/>
          <w:lang w:val="es-ES"/>
        </w:rPr>
      </w:pPr>
      <w:r>
        <w:rPr>
          <w:rFonts w:cs="Tahoma" w:ascii="Tahoma" w:hAnsi="Tahoma"/>
          <w:sz w:val="20"/>
          <w:szCs w:val="20"/>
          <w:lang w:val="es-ES"/>
        </w:rPr>
      </w:r>
    </w:p>
    <w:p>
      <w:pPr>
        <w:pStyle w:val="Cuerpodetexto"/>
        <w:spacing w:lineRule="exact" w:line="285"/>
        <w:ind w:left="5867" w:hanging="0"/>
        <w:rPr>
          <w:rFonts w:ascii="Tahoma" w:hAnsi="Tahoma" w:cs="Tahoma"/>
          <w:i/>
          <w:i/>
          <w:iCs/>
          <w:sz w:val="20"/>
          <w:szCs w:val="20"/>
        </w:rPr>
      </w:pPr>
      <w:r>
        <w:rPr>
          <w:rFonts w:cs="Tahoma" w:ascii="Tahoma" w:hAnsi="Tahoma"/>
          <w:i/>
          <w:iCs/>
          <w:color w:val="000009"/>
          <w:sz w:val="20"/>
          <w:szCs w:val="20"/>
        </w:rPr>
        <w:t>0087-DG-2020/ Ref.</w:t>
      </w:r>
      <w:r>
        <w:rPr>
          <w:rFonts w:cs="Tahoma" w:ascii="Tahoma" w:hAnsi="Tahoma"/>
          <w:i/>
          <w:iCs/>
          <w:color w:val="000009"/>
          <w:spacing w:val="-5"/>
          <w:sz w:val="20"/>
          <w:szCs w:val="20"/>
        </w:rPr>
        <w:t xml:space="preserve"> </w:t>
      </w:r>
      <w:r>
        <w:rPr>
          <w:rFonts w:cs="Tahoma" w:ascii="Tahoma" w:hAnsi="Tahoma"/>
          <w:i/>
          <w:iCs/>
          <w:color w:val="000009"/>
          <w:sz w:val="20"/>
          <w:szCs w:val="20"/>
        </w:rPr>
        <w:t>0082-2020.</w:t>
      </w:r>
    </w:p>
    <w:p>
      <w:pPr>
        <w:pStyle w:val="Cuerpodetexto"/>
        <w:spacing w:before="43" w:after="0"/>
        <w:ind w:left="5757" w:hanging="0"/>
        <w:rPr>
          <w:rFonts w:ascii="Tahoma" w:hAnsi="Tahoma" w:cs="Tahoma"/>
          <w:i/>
          <w:i/>
          <w:iCs/>
          <w:sz w:val="20"/>
          <w:szCs w:val="20"/>
        </w:rPr>
      </w:pPr>
      <w:r>
        <w:rPr>
          <w:rFonts w:cs="Tahoma" w:ascii="Tahoma" w:hAnsi="Tahoma"/>
          <w:i/>
          <w:iCs/>
          <w:color w:val="000009"/>
          <w:sz w:val="20"/>
          <w:szCs w:val="20"/>
        </w:rPr>
        <w:t>San José, 10 de febrero del</w:t>
      </w:r>
      <w:r>
        <w:rPr>
          <w:rFonts w:cs="Tahoma" w:ascii="Tahoma" w:hAnsi="Tahoma"/>
          <w:i/>
          <w:iCs/>
          <w:color w:val="000009"/>
          <w:spacing w:val="-12"/>
          <w:sz w:val="20"/>
          <w:szCs w:val="20"/>
        </w:rPr>
        <w:t xml:space="preserve"> </w:t>
      </w:r>
      <w:r>
        <w:rPr>
          <w:rFonts w:cs="Tahoma" w:ascii="Tahoma" w:hAnsi="Tahoma"/>
          <w:i/>
          <w:iCs/>
          <w:color w:val="000009"/>
          <w:sz w:val="20"/>
          <w:szCs w:val="20"/>
        </w:rPr>
        <w:t>2020.</w:t>
      </w:r>
    </w:p>
    <w:p>
      <w:pPr>
        <w:pStyle w:val="Ttulo11"/>
        <w:spacing w:before="43" w:after="0"/>
        <w:rPr>
          <w:rFonts w:ascii="Tahoma" w:hAnsi="Tahoma" w:cs="Tahoma"/>
          <w:i/>
          <w:i/>
          <w:iCs/>
          <w:sz w:val="20"/>
          <w:szCs w:val="20"/>
        </w:rPr>
      </w:pPr>
      <w:r>
        <w:rPr>
          <w:rFonts w:cs="Tahoma" w:ascii="Tahoma" w:hAnsi="Tahoma"/>
          <w:i/>
          <w:iCs/>
          <w:color w:val="000009"/>
          <w:sz w:val="20"/>
          <w:szCs w:val="20"/>
        </w:rPr>
        <w:t>Máster</w:t>
      </w:r>
    </w:p>
    <w:p>
      <w:pPr>
        <w:pStyle w:val="Normal"/>
        <w:spacing w:before="45" w:after="200"/>
        <w:ind w:left="141" w:right="6396" w:hanging="0"/>
        <w:rPr>
          <w:rFonts w:ascii="Tahoma" w:hAnsi="Tahoma" w:cs="Tahoma"/>
          <w:b/>
          <w:b/>
          <w:i/>
          <w:i/>
          <w:iCs/>
          <w:sz w:val="20"/>
          <w:szCs w:val="20"/>
        </w:rPr>
      </w:pPr>
      <w:r>
        <w:rPr>
          <w:rFonts w:cs="Tahoma" w:ascii="Tahoma" w:hAnsi="Tahoma"/>
          <w:b/>
          <w:i/>
          <w:iCs/>
          <w:color w:val="000009"/>
          <w:sz w:val="20"/>
          <w:szCs w:val="20"/>
        </w:rPr>
        <w:t>Melissa Benavides Víquez Coordinadora</w:t>
      </w:r>
    </w:p>
    <w:p>
      <w:pPr>
        <w:pStyle w:val="Normal"/>
        <w:spacing w:before="1" w:after="200"/>
        <w:ind w:left="141" w:hanging="0"/>
        <w:rPr>
          <w:rFonts w:ascii="Tahoma" w:hAnsi="Tahoma" w:cs="Tahoma"/>
          <w:b/>
          <w:b/>
          <w:i/>
          <w:i/>
          <w:iCs/>
          <w:sz w:val="20"/>
          <w:szCs w:val="20"/>
        </w:rPr>
      </w:pPr>
      <w:r>
        <w:rPr>
          <w:rFonts w:cs="Tahoma" w:ascii="Tahoma" w:hAnsi="Tahoma"/>
          <w:b/>
          <w:i/>
          <w:iCs/>
          <w:color w:val="000009"/>
          <w:sz w:val="20"/>
          <w:szCs w:val="20"/>
        </w:rPr>
        <w:t>Unidad de Acceso a la Justicia</w:t>
      </w:r>
    </w:p>
    <w:p>
      <w:pPr>
        <w:pStyle w:val="Cuerpodetexto"/>
        <w:rPr>
          <w:rFonts w:ascii="Tahoma" w:hAnsi="Tahoma" w:cs="Tahoma"/>
          <w:b/>
          <w:b/>
          <w:i/>
          <w:i/>
          <w:iCs/>
          <w:sz w:val="20"/>
          <w:szCs w:val="20"/>
        </w:rPr>
      </w:pPr>
      <w:r>
        <w:rPr>
          <w:rFonts w:cs="Tahoma" w:ascii="Tahoma" w:hAnsi="Tahoma"/>
          <w:b/>
          <w:i/>
          <w:iCs/>
          <w:sz w:val="20"/>
          <w:szCs w:val="20"/>
        </w:rPr>
      </w:r>
    </w:p>
    <w:p>
      <w:pPr>
        <w:pStyle w:val="Cuerpodetexto"/>
        <w:spacing w:before="8" w:after="0"/>
        <w:rPr>
          <w:rFonts w:ascii="Tahoma" w:hAnsi="Tahoma" w:cs="Tahoma"/>
          <w:b/>
          <w:b/>
          <w:i/>
          <w:i/>
          <w:iCs/>
          <w:sz w:val="20"/>
          <w:szCs w:val="20"/>
        </w:rPr>
      </w:pPr>
      <w:r>
        <w:rPr>
          <w:rFonts w:cs="Tahoma" w:ascii="Tahoma" w:hAnsi="Tahoma"/>
          <w:b/>
          <w:i/>
          <w:iCs/>
          <w:sz w:val="20"/>
          <w:szCs w:val="20"/>
        </w:rPr>
      </w:r>
    </w:p>
    <w:p>
      <w:pPr>
        <w:pStyle w:val="Cuerpodetexto"/>
        <w:ind w:left="141" w:hanging="0"/>
        <w:rPr>
          <w:rFonts w:ascii="Tahoma" w:hAnsi="Tahoma" w:cs="Tahoma"/>
          <w:i/>
          <w:i/>
          <w:iCs/>
          <w:sz w:val="20"/>
          <w:szCs w:val="20"/>
        </w:rPr>
      </w:pPr>
      <w:r>
        <w:rPr>
          <w:rFonts w:cs="Tahoma" w:ascii="Tahoma" w:hAnsi="Tahoma"/>
          <w:i/>
          <w:iCs/>
          <w:color w:val="000009"/>
          <w:sz w:val="20"/>
          <w:szCs w:val="20"/>
        </w:rPr>
        <w:t>Estimada señora:</w:t>
      </w:r>
    </w:p>
    <w:p>
      <w:pPr>
        <w:pStyle w:val="Cuerpodetexto"/>
        <w:spacing w:before="11" w:after="0"/>
        <w:rPr>
          <w:rFonts w:ascii="Tahoma" w:hAnsi="Tahoma" w:cs="Tahoma"/>
          <w:i/>
          <w:i/>
          <w:iCs/>
          <w:sz w:val="20"/>
          <w:szCs w:val="20"/>
        </w:rPr>
      </w:pPr>
      <w:r>
        <w:rPr>
          <w:rFonts w:cs="Tahoma" w:ascii="Tahoma" w:hAnsi="Tahoma"/>
          <w:i/>
          <w:iCs/>
          <w:sz w:val="20"/>
          <w:szCs w:val="20"/>
        </w:rPr>
      </w:r>
    </w:p>
    <w:p>
      <w:pPr>
        <w:pStyle w:val="Cuerpodetexto"/>
        <w:spacing w:lineRule="auto" w:line="360" w:before="52" w:after="0"/>
        <w:ind w:left="141" w:right="135" w:firstLine="707"/>
        <w:jc w:val="both"/>
        <w:rPr>
          <w:rFonts w:ascii="Tahoma" w:hAnsi="Tahoma" w:cs="Tahoma"/>
          <w:i/>
          <w:i/>
          <w:iCs/>
          <w:sz w:val="20"/>
          <w:szCs w:val="20"/>
        </w:rPr>
      </w:pPr>
      <w:r>
        <w:rPr>
          <w:rFonts w:cs="Tahoma" w:ascii="Tahoma" w:hAnsi="Tahoma"/>
          <w:i/>
          <w:iCs/>
          <w:color w:val="000009"/>
          <w:sz w:val="20"/>
          <w:szCs w:val="20"/>
        </w:rPr>
        <w:t>Reciba un cordial saludo de esta Dirección General. En atención al oficio CACC-25- 2020 en el cual pone en conocimiento el acuerdo tomado por la Subcomisión de Acceso a la Justicia de Pueblos Indígenas celebrada el 07 de enero del 2020, me permito indicar:</w:t>
      </w:r>
    </w:p>
    <w:p>
      <w:pPr>
        <w:pStyle w:val="Cuerpodetexto"/>
        <w:spacing w:lineRule="auto" w:line="360" w:before="160" w:after="0"/>
        <w:ind w:left="141" w:right="135" w:firstLine="708"/>
        <w:jc w:val="both"/>
        <w:rPr>
          <w:rFonts w:ascii="Tahoma" w:hAnsi="Tahoma" w:cs="Tahoma"/>
          <w:i/>
          <w:i/>
          <w:iCs/>
          <w:color w:val="000009"/>
          <w:sz w:val="20"/>
          <w:szCs w:val="20"/>
        </w:rPr>
      </w:pPr>
      <w:r>
        <w:rPr>
          <w:rFonts w:cs="Tahoma" w:ascii="Tahoma" w:hAnsi="Tahoma"/>
          <w:i/>
          <w:iCs/>
          <w:color w:val="000009"/>
          <w:sz w:val="20"/>
          <w:szCs w:val="20"/>
        </w:rPr>
      </w:r>
    </w:p>
    <w:p>
      <w:pPr>
        <w:pStyle w:val="Cuerpodetexto"/>
        <w:spacing w:lineRule="auto" w:line="360" w:before="160" w:after="0"/>
        <w:ind w:left="141" w:right="135" w:firstLine="708"/>
        <w:jc w:val="both"/>
        <w:rPr>
          <w:rFonts w:ascii="Tahoma" w:hAnsi="Tahoma" w:cs="Tahoma"/>
          <w:i/>
          <w:i/>
          <w:iCs/>
          <w:sz w:val="20"/>
          <w:szCs w:val="20"/>
        </w:rPr>
      </w:pPr>
      <w:r>
        <w:rPr>
          <w:rFonts w:cs="Tahoma" w:ascii="Tahoma" w:hAnsi="Tahoma"/>
          <w:i/>
          <w:iCs/>
          <w:color w:val="000009"/>
          <w:sz w:val="20"/>
          <w:szCs w:val="20"/>
        </w:rPr>
        <w:t>Analizadas las consideraciones planteadas por parte de la Subcomisión, esta Dirección General giró instrucciones a las Jefaturas de la Delegación Regional de este Organismo en San Carlos, así como la Unidad Regional de La Fortuna para que atiendan las consultas del señor Emigdio Cruz, presidente de la Asociación de Desarrollo Integral de la Reserva</w:t>
      </w:r>
      <w:r>
        <w:rPr>
          <w:rFonts w:cs="Tahoma" w:ascii="Tahoma" w:hAnsi="Tahoma"/>
          <w:i/>
          <w:iCs/>
          <w:color w:val="000009"/>
          <w:spacing w:val="-9"/>
          <w:sz w:val="20"/>
          <w:szCs w:val="20"/>
        </w:rPr>
        <w:t xml:space="preserve"> </w:t>
      </w:r>
      <w:r>
        <w:rPr>
          <w:rFonts w:cs="Tahoma" w:ascii="Tahoma" w:hAnsi="Tahoma"/>
          <w:i/>
          <w:iCs/>
          <w:color w:val="000009"/>
          <w:sz w:val="20"/>
          <w:szCs w:val="20"/>
        </w:rPr>
        <w:t>Indígena</w:t>
      </w:r>
      <w:r>
        <w:rPr>
          <w:rFonts w:cs="Tahoma" w:ascii="Tahoma" w:hAnsi="Tahoma"/>
          <w:i/>
          <w:iCs/>
          <w:color w:val="000009"/>
          <w:spacing w:val="-10"/>
          <w:sz w:val="20"/>
          <w:szCs w:val="20"/>
        </w:rPr>
        <w:t xml:space="preserve"> </w:t>
      </w:r>
      <w:r>
        <w:rPr>
          <w:rFonts w:cs="Tahoma" w:ascii="Tahoma" w:hAnsi="Tahoma"/>
          <w:i/>
          <w:iCs/>
          <w:color w:val="000009"/>
          <w:sz w:val="20"/>
          <w:szCs w:val="20"/>
        </w:rPr>
        <w:t>Guatuso</w:t>
      </w:r>
      <w:r>
        <w:rPr>
          <w:rFonts w:cs="Tahoma" w:ascii="Tahoma" w:hAnsi="Tahoma"/>
          <w:i/>
          <w:iCs/>
          <w:color w:val="000009"/>
          <w:spacing w:val="-9"/>
          <w:sz w:val="20"/>
          <w:szCs w:val="20"/>
        </w:rPr>
        <w:t xml:space="preserve"> </w:t>
      </w:r>
      <w:r>
        <w:rPr>
          <w:rFonts w:cs="Tahoma" w:ascii="Tahoma" w:hAnsi="Tahoma"/>
          <w:i/>
          <w:iCs/>
          <w:color w:val="000009"/>
          <w:sz w:val="20"/>
          <w:szCs w:val="20"/>
        </w:rPr>
        <w:t>y</w:t>
      </w:r>
      <w:r>
        <w:rPr>
          <w:rFonts w:cs="Tahoma" w:ascii="Tahoma" w:hAnsi="Tahoma"/>
          <w:i/>
          <w:iCs/>
          <w:color w:val="000009"/>
          <w:spacing w:val="-9"/>
          <w:sz w:val="20"/>
          <w:szCs w:val="20"/>
        </w:rPr>
        <w:t xml:space="preserve"> </w:t>
      </w:r>
      <w:r>
        <w:rPr>
          <w:rFonts w:cs="Tahoma" w:ascii="Tahoma" w:hAnsi="Tahoma"/>
          <w:i/>
          <w:iCs/>
          <w:color w:val="000009"/>
          <w:sz w:val="20"/>
          <w:szCs w:val="20"/>
        </w:rPr>
        <w:t>así</w:t>
      </w:r>
      <w:r>
        <w:rPr>
          <w:rFonts w:cs="Tahoma" w:ascii="Tahoma" w:hAnsi="Tahoma"/>
          <w:i/>
          <w:iCs/>
          <w:color w:val="000009"/>
          <w:spacing w:val="-12"/>
          <w:sz w:val="20"/>
          <w:szCs w:val="20"/>
        </w:rPr>
        <w:t xml:space="preserve"> </w:t>
      </w:r>
      <w:r>
        <w:rPr>
          <w:rFonts w:cs="Tahoma" w:ascii="Tahoma" w:hAnsi="Tahoma"/>
          <w:i/>
          <w:iCs/>
          <w:color w:val="000009"/>
          <w:sz w:val="20"/>
          <w:szCs w:val="20"/>
        </w:rPr>
        <w:t>obtener</w:t>
      </w:r>
      <w:r>
        <w:rPr>
          <w:rFonts w:cs="Tahoma" w:ascii="Tahoma" w:hAnsi="Tahoma"/>
          <w:i/>
          <w:iCs/>
          <w:color w:val="000009"/>
          <w:spacing w:val="-10"/>
          <w:sz w:val="20"/>
          <w:szCs w:val="20"/>
        </w:rPr>
        <w:t xml:space="preserve"> </w:t>
      </w:r>
      <w:r>
        <w:rPr>
          <w:rFonts w:cs="Tahoma" w:ascii="Tahoma" w:hAnsi="Tahoma"/>
          <w:i/>
          <w:iCs/>
          <w:color w:val="000009"/>
          <w:sz w:val="20"/>
          <w:szCs w:val="20"/>
        </w:rPr>
        <w:t>además</w:t>
      </w:r>
      <w:r>
        <w:rPr>
          <w:rFonts w:cs="Tahoma" w:ascii="Tahoma" w:hAnsi="Tahoma"/>
          <w:i/>
          <w:iCs/>
          <w:color w:val="000009"/>
          <w:spacing w:val="-12"/>
          <w:sz w:val="20"/>
          <w:szCs w:val="20"/>
        </w:rPr>
        <w:t xml:space="preserve"> </w:t>
      </w:r>
      <w:r>
        <w:rPr>
          <w:rFonts w:cs="Tahoma" w:ascii="Tahoma" w:hAnsi="Tahoma"/>
          <w:i/>
          <w:iCs/>
          <w:color w:val="000009"/>
          <w:sz w:val="20"/>
          <w:szCs w:val="20"/>
        </w:rPr>
        <w:t>datos</w:t>
      </w:r>
      <w:r>
        <w:rPr>
          <w:rFonts w:cs="Tahoma" w:ascii="Tahoma" w:hAnsi="Tahoma"/>
          <w:i/>
          <w:iCs/>
          <w:color w:val="000009"/>
          <w:spacing w:val="-11"/>
          <w:sz w:val="20"/>
          <w:szCs w:val="20"/>
        </w:rPr>
        <w:t xml:space="preserve"> </w:t>
      </w:r>
      <w:r>
        <w:rPr>
          <w:rFonts w:cs="Tahoma" w:ascii="Tahoma" w:hAnsi="Tahoma"/>
          <w:i/>
          <w:iCs/>
          <w:color w:val="000009"/>
          <w:sz w:val="20"/>
          <w:szCs w:val="20"/>
        </w:rPr>
        <w:t>del</w:t>
      </w:r>
      <w:r>
        <w:rPr>
          <w:rFonts w:cs="Tahoma" w:ascii="Tahoma" w:hAnsi="Tahoma"/>
          <w:i/>
          <w:iCs/>
          <w:color w:val="000009"/>
          <w:spacing w:val="-12"/>
          <w:sz w:val="20"/>
          <w:szCs w:val="20"/>
        </w:rPr>
        <w:t xml:space="preserve"> </w:t>
      </w:r>
      <w:r>
        <w:rPr>
          <w:rFonts w:cs="Tahoma" w:ascii="Tahoma" w:hAnsi="Tahoma"/>
          <w:i/>
          <w:iCs/>
          <w:color w:val="000009"/>
          <w:sz w:val="20"/>
          <w:szCs w:val="20"/>
        </w:rPr>
        <w:t>ingreso</w:t>
      </w:r>
      <w:r>
        <w:rPr>
          <w:rFonts w:cs="Tahoma" w:ascii="Tahoma" w:hAnsi="Tahoma"/>
          <w:i/>
          <w:iCs/>
          <w:color w:val="000009"/>
          <w:spacing w:val="-10"/>
          <w:sz w:val="20"/>
          <w:szCs w:val="20"/>
        </w:rPr>
        <w:t xml:space="preserve"> </w:t>
      </w:r>
      <w:r>
        <w:rPr>
          <w:rFonts w:cs="Tahoma" w:ascii="Tahoma" w:hAnsi="Tahoma"/>
          <w:i/>
          <w:iCs/>
          <w:color w:val="000009"/>
          <w:sz w:val="20"/>
          <w:szCs w:val="20"/>
        </w:rPr>
        <w:t>de</w:t>
      </w:r>
      <w:r>
        <w:rPr>
          <w:rFonts w:cs="Tahoma" w:ascii="Tahoma" w:hAnsi="Tahoma"/>
          <w:i/>
          <w:iCs/>
          <w:color w:val="000009"/>
          <w:spacing w:val="-10"/>
          <w:sz w:val="20"/>
          <w:szCs w:val="20"/>
        </w:rPr>
        <w:t xml:space="preserve"> </w:t>
      </w:r>
      <w:r>
        <w:rPr>
          <w:rFonts w:cs="Tahoma" w:ascii="Tahoma" w:hAnsi="Tahoma"/>
          <w:i/>
          <w:iCs/>
          <w:color w:val="000009"/>
          <w:sz w:val="20"/>
          <w:szCs w:val="20"/>
        </w:rPr>
        <w:t>drogas</w:t>
      </w:r>
      <w:r>
        <w:rPr>
          <w:rFonts w:cs="Tahoma" w:ascii="Tahoma" w:hAnsi="Tahoma"/>
          <w:i/>
          <w:iCs/>
          <w:color w:val="000009"/>
          <w:spacing w:val="-10"/>
          <w:sz w:val="20"/>
          <w:szCs w:val="20"/>
        </w:rPr>
        <w:t xml:space="preserve"> </w:t>
      </w:r>
      <w:r>
        <w:rPr>
          <w:rFonts w:cs="Tahoma" w:ascii="Tahoma" w:hAnsi="Tahoma"/>
          <w:i/>
          <w:iCs/>
          <w:color w:val="000009"/>
          <w:sz w:val="20"/>
          <w:szCs w:val="20"/>
        </w:rPr>
        <w:t>a</w:t>
      </w:r>
      <w:r>
        <w:rPr>
          <w:rFonts w:cs="Tahoma" w:ascii="Tahoma" w:hAnsi="Tahoma"/>
          <w:i/>
          <w:iCs/>
          <w:color w:val="000009"/>
          <w:spacing w:val="-8"/>
          <w:sz w:val="20"/>
          <w:szCs w:val="20"/>
        </w:rPr>
        <w:t xml:space="preserve"> </w:t>
      </w:r>
      <w:r>
        <w:rPr>
          <w:rFonts w:cs="Tahoma" w:ascii="Tahoma" w:hAnsi="Tahoma"/>
          <w:i/>
          <w:iCs/>
          <w:color w:val="000009"/>
          <w:sz w:val="20"/>
          <w:szCs w:val="20"/>
        </w:rPr>
        <w:t>la</w:t>
      </w:r>
      <w:r>
        <w:rPr>
          <w:rFonts w:cs="Tahoma" w:ascii="Tahoma" w:hAnsi="Tahoma"/>
          <w:i/>
          <w:iCs/>
          <w:color w:val="000009"/>
          <w:spacing w:val="-11"/>
          <w:sz w:val="20"/>
          <w:szCs w:val="20"/>
        </w:rPr>
        <w:t xml:space="preserve"> </w:t>
      </w:r>
      <w:r>
        <w:rPr>
          <w:rFonts w:cs="Tahoma" w:ascii="Tahoma" w:hAnsi="Tahoma"/>
          <w:i/>
          <w:iCs/>
          <w:color w:val="000009"/>
          <w:sz w:val="20"/>
          <w:szCs w:val="20"/>
        </w:rPr>
        <w:t>comunidad a la que hace</w:t>
      </w:r>
      <w:r>
        <w:rPr>
          <w:rFonts w:cs="Tahoma" w:ascii="Tahoma" w:hAnsi="Tahoma"/>
          <w:i/>
          <w:iCs/>
          <w:color w:val="000009"/>
          <w:spacing w:val="-2"/>
          <w:sz w:val="20"/>
          <w:szCs w:val="20"/>
        </w:rPr>
        <w:t xml:space="preserve"> </w:t>
      </w:r>
      <w:r>
        <w:rPr>
          <w:rFonts w:cs="Tahoma" w:ascii="Tahoma" w:hAnsi="Tahoma"/>
          <w:i/>
          <w:iCs/>
          <w:color w:val="000009"/>
          <w:sz w:val="20"/>
          <w:szCs w:val="20"/>
        </w:rPr>
        <w:t>referencia.</w:t>
      </w:r>
    </w:p>
    <w:p>
      <w:pPr>
        <w:pStyle w:val="Cuerpodetexto"/>
        <w:spacing w:lineRule="auto" w:line="360" w:before="159" w:after="0"/>
        <w:ind w:left="141" w:right="135" w:firstLine="708"/>
        <w:jc w:val="both"/>
        <w:rPr>
          <w:rFonts w:ascii="Tahoma" w:hAnsi="Tahoma" w:cs="Tahoma"/>
          <w:i/>
          <w:i/>
          <w:iCs/>
          <w:sz w:val="20"/>
          <w:szCs w:val="20"/>
        </w:rPr>
      </w:pPr>
      <w:r>
        <w:rPr>
          <w:rFonts w:cs="Tahoma" w:ascii="Tahoma" w:hAnsi="Tahoma"/>
          <w:i/>
          <w:iCs/>
          <w:color w:val="000009"/>
          <w:sz w:val="20"/>
          <w:szCs w:val="20"/>
        </w:rPr>
        <w:t>De igual forma es necesario destacar que por mandato legislativo las facultades conferidas a la policía judicial se concentran sobre aspectos represivos, delegando la prevención en el Ministerio de Seguridad Pública.</w:t>
      </w:r>
    </w:p>
    <w:p>
      <w:pPr>
        <w:pStyle w:val="Cuerpodetexto"/>
        <w:spacing w:lineRule="auto" w:line="360" w:before="160" w:after="0"/>
        <w:ind w:left="141" w:right="135" w:firstLine="707"/>
        <w:jc w:val="both"/>
        <w:rPr>
          <w:rFonts w:ascii="Tahoma" w:hAnsi="Tahoma" w:cs="Tahoma"/>
          <w:i/>
          <w:i/>
          <w:iCs/>
          <w:sz w:val="20"/>
          <w:szCs w:val="20"/>
        </w:rPr>
      </w:pPr>
      <w:r>
        <w:rPr>
          <w:rFonts w:cs="Tahoma" w:ascii="Tahoma" w:hAnsi="Tahoma"/>
          <w:i/>
          <w:iCs/>
          <w:color w:val="000009"/>
          <w:sz w:val="20"/>
          <w:szCs w:val="20"/>
        </w:rPr>
        <w:t>Por lo que en apego al principio de legalidad no resulta conveniente que el Organismo de Investigación Judicial se atribuya potestades que por imperio de ley corresponden a otro órgano.</w:t>
      </w:r>
    </w:p>
    <w:p>
      <w:pPr>
        <w:pStyle w:val="Cuerpodetexto"/>
        <w:spacing w:lineRule="auto" w:line="360"/>
        <w:ind w:left="141" w:hanging="0"/>
        <w:rPr>
          <w:rFonts w:ascii="Tahoma" w:hAnsi="Tahoma" w:cs="Tahoma"/>
          <w:i/>
          <w:i/>
          <w:iCs/>
          <w:sz w:val="20"/>
          <w:szCs w:val="20"/>
        </w:rPr>
      </w:pPr>
      <w:r>
        <w:rPr>
          <w:rFonts w:cs="Tahoma" w:ascii="Tahoma" w:hAnsi="Tahoma"/>
          <w:i/>
          <w:iCs/>
          <w:color w:val="000009"/>
          <w:sz w:val="20"/>
          <w:szCs w:val="20"/>
        </w:rPr>
        <w:t>Consecuente con lo anterior, se nos imposibilita brindar la capacitación y asesoramiento planteada por el señor Cruz, siendo además que este Organismo no cuenta con una Unidad de Capacitación propia, por lo que se recomienda dirigir dicha gestión a la Escuela Judicial.</w:t>
      </w:r>
    </w:p>
    <w:p>
      <w:pPr>
        <w:pStyle w:val="Cuerpodetexto"/>
        <w:spacing w:before="152" w:after="0"/>
        <w:ind w:left="849" w:hanging="0"/>
        <w:rPr>
          <w:rFonts w:ascii="Tahoma" w:hAnsi="Tahoma" w:cs="Tahoma"/>
          <w:i/>
          <w:i/>
          <w:iCs/>
          <w:sz w:val="20"/>
          <w:szCs w:val="20"/>
        </w:rPr>
      </w:pPr>
      <w:r>
        <mc:AlternateContent>
          <mc:Choice Requires="wps">
            <w:drawing>
              <wp:anchor behindDoc="1" distT="0" distB="0" distL="0" distR="0" simplePos="0" locked="0" layoutInCell="0" allowOverlap="1" relativeHeight="61">
                <wp:simplePos x="0" y="0"/>
                <wp:positionH relativeFrom="page">
                  <wp:posOffset>3629025</wp:posOffset>
                </wp:positionH>
                <wp:positionV relativeFrom="paragraph">
                  <wp:posOffset>-65405</wp:posOffset>
                </wp:positionV>
                <wp:extent cx="612775" cy="608330"/>
                <wp:effectExtent l="0" t="6350" r="6985" b="5080"/>
                <wp:wrapNone/>
                <wp:docPr id="11" name="AutoShape 8"/>
                <a:graphic xmlns:a="http://schemas.openxmlformats.org/drawingml/2006/main">
                  <a:graphicData uri="http://schemas.microsoft.com/office/word/2010/wordprocessingShape">
                    <wps:wsp>
                      <wps:cNvSpPr/>
                      <wps:spPr>
                        <a:xfrm>
                          <a:off x="0" y="0"/>
                          <a:ext cx="612000" cy="607680"/>
                        </a:xfrm>
                        <a:custGeom>
                          <a:avLst/>
                          <a:gdLst/>
                          <a:ahLst/>
                          <a:rect l="l" t="t" r="r" b="b"/>
                          <a:pathLst>
                            <a:path w="964" h="957">
                              <a:moveTo>
                                <a:pt x="174" y="754"/>
                              </a:moveTo>
                              <a:lnTo>
                                <a:pt x="90" y="809"/>
                              </a:lnTo>
                              <a:lnTo>
                                <a:pt x="37" y="862"/>
                              </a:lnTo>
                              <a:lnTo>
                                <a:pt x="8" y="907"/>
                              </a:lnTo>
                              <a:lnTo>
                                <a:pt x="0" y="941"/>
                              </a:lnTo>
                              <a:lnTo>
                                <a:pt x="6" y="953"/>
                              </a:lnTo>
                              <a:lnTo>
                                <a:pt x="12" y="957"/>
                              </a:lnTo>
                              <a:lnTo>
                                <a:pt x="74" y="957"/>
                              </a:lnTo>
                              <a:lnTo>
                                <a:pt x="80" y="955"/>
                              </a:lnTo>
                              <a:lnTo>
                                <a:pt x="19" y="955"/>
                              </a:lnTo>
                              <a:lnTo>
                                <a:pt x="27" y="919"/>
                              </a:lnTo>
                              <a:lnTo>
                                <a:pt x="59" y="868"/>
                              </a:lnTo>
                              <a:lnTo>
                                <a:pt x="109" y="811"/>
                              </a:lnTo>
                              <a:lnTo>
                                <a:pt x="174" y="754"/>
                              </a:lnTo>
                              <a:close/>
                              <a:moveTo>
                                <a:pt x="412" y="0"/>
                              </a:moveTo>
                              <a:lnTo>
                                <a:pt x="393" y="13"/>
                              </a:lnTo>
                              <a:lnTo>
                                <a:pt x="383" y="43"/>
                              </a:lnTo>
                              <a:lnTo>
                                <a:pt x="379" y="76"/>
                              </a:lnTo>
                              <a:lnTo>
                                <a:pt x="379" y="100"/>
                              </a:lnTo>
                              <a:lnTo>
                                <a:pt x="380" y="122"/>
                              </a:lnTo>
                              <a:lnTo>
                                <a:pt x="382" y="145"/>
                              </a:lnTo>
                              <a:lnTo>
                                <a:pt x="385" y="170"/>
                              </a:lnTo>
                              <a:lnTo>
                                <a:pt x="389" y="195"/>
                              </a:lnTo>
                              <a:lnTo>
                                <a:pt x="393" y="221"/>
                              </a:lnTo>
                              <a:lnTo>
                                <a:pt x="399" y="248"/>
                              </a:lnTo>
                              <a:lnTo>
                                <a:pt x="405" y="275"/>
                              </a:lnTo>
                              <a:lnTo>
                                <a:pt x="412" y="301"/>
                              </a:lnTo>
                              <a:lnTo>
                                <a:pt x="406" y="329"/>
                              </a:lnTo>
                              <a:lnTo>
                                <a:pt x="389" y="378"/>
                              </a:lnTo>
                              <a:lnTo>
                                <a:pt x="363" y="444"/>
                              </a:lnTo>
                              <a:lnTo>
                                <a:pt x="329" y="521"/>
                              </a:lnTo>
                              <a:lnTo>
                                <a:pt x="289" y="605"/>
                              </a:lnTo>
                              <a:lnTo>
                                <a:pt x="245" y="691"/>
                              </a:lnTo>
                              <a:lnTo>
                                <a:pt x="198" y="772"/>
                              </a:lnTo>
                              <a:lnTo>
                                <a:pt x="151" y="844"/>
                              </a:lnTo>
                              <a:lnTo>
                                <a:pt x="104" y="902"/>
                              </a:lnTo>
                              <a:lnTo>
                                <a:pt x="59" y="941"/>
                              </a:lnTo>
                              <a:lnTo>
                                <a:pt x="19" y="955"/>
                              </a:lnTo>
                              <a:lnTo>
                                <a:pt x="80" y="955"/>
                              </a:lnTo>
                              <a:lnTo>
                                <a:pt x="83" y="953"/>
                              </a:lnTo>
                              <a:lnTo>
                                <a:pt x="134" y="909"/>
                              </a:lnTo>
                              <a:lnTo>
                                <a:pt x="195" y="831"/>
                              </a:lnTo>
                              <a:lnTo>
                                <a:pt x="268" y="715"/>
                              </a:lnTo>
                              <a:lnTo>
                                <a:pt x="277" y="712"/>
                              </a:lnTo>
                              <a:lnTo>
                                <a:pt x="268" y="712"/>
                              </a:lnTo>
                              <a:lnTo>
                                <a:pt x="326" y="608"/>
                              </a:lnTo>
                              <a:lnTo>
                                <a:pt x="368" y="523"/>
                              </a:lnTo>
                              <a:lnTo>
                                <a:pt x="397" y="455"/>
                              </a:lnTo>
                              <a:lnTo>
                                <a:pt x="417" y="400"/>
                              </a:lnTo>
                              <a:lnTo>
                                <a:pt x="430" y="355"/>
                              </a:lnTo>
                              <a:lnTo>
                                <a:pt x="464" y="355"/>
                              </a:lnTo>
                              <a:lnTo>
                                <a:pt x="443" y="298"/>
                              </a:lnTo>
                              <a:lnTo>
                                <a:pt x="450" y="248"/>
                              </a:lnTo>
                              <a:lnTo>
                                <a:pt x="430" y="248"/>
                              </a:lnTo>
                              <a:lnTo>
                                <a:pt x="419" y="205"/>
                              </a:lnTo>
                              <a:lnTo>
                                <a:pt x="411" y="164"/>
                              </a:lnTo>
                              <a:lnTo>
                                <a:pt x="407" y="125"/>
                              </a:lnTo>
                              <a:lnTo>
                                <a:pt x="405" y="89"/>
                              </a:lnTo>
                              <a:lnTo>
                                <a:pt x="406" y="75"/>
                              </a:lnTo>
                              <a:lnTo>
                                <a:pt x="408" y="50"/>
                              </a:lnTo>
                              <a:lnTo>
                                <a:pt x="414" y="24"/>
                              </a:lnTo>
                              <a:lnTo>
                                <a:pt x="426" y="6"/>
                              </a:lnTo>
                              <a:lnTo>
                                <a:pt x="450" y="6"/>
                              </a:lnTo>
                              <a:lnTo>
                                <a:pt x="437" y="1"/>
                              </a:lnTo>
                              <a:lnTo>
                                <a:pt x="412" y="0"/>
                              </a:lnTo>
                              <a:close/>
                              <a:moveTo>
                                <a:pt x="954" y="710"/>
                              </a:moveTo>
                              <a:lnTo>
                                <a:pt x="926" y="710"/>
                              </a:lnTo>
                              <a:lnTo>
                                <a:pt x="915" y="720"/>
                              </a:lnTo>
                              <a:lnTo>
                                <a:pt x="915" y="747"/>
                              </a:lnTo>
                              <a:lnTo>
                                <a:pt x="926" y="756"/>
                              </a:lnTo>
                              <a:lnTo>
                                <a:pt x="954" y="756"/>
                              </a:lnTo>
                              <a:lnTo>
                                <a:pt x="959" y="752"/>
                              </a:lnTo>
                              <a:lnTo>
                                <a:pt x="929" y="752"/>
                              </a:lnTo>
                              <a:lnTo>
                                <a:pt x="920" y="744"/>
                              </a:lnTo>
                              <a:lnTo>
                                <a:pt x="920" y="723"/>
                              </a:lnTo>
                              <a:lnTo>
                                <a:pt x="929" y="715"/>
                              </a:lnTo>
                              <a:lnTo>
                                <a:pt x="959" y="715"/>
                              </a:lnTo>
                              <a:lnTo>
                                <a:pt x="954" y="710"/>
                              </a:lnTo>
                              <a:close/>
                              <a:moveTo>
                                <a:pt x="959" y="715"/>
                              </a:moveTo>
                              <a:lnTo>
                                <a:pt x="951" y="715"/>
                              </a:lnTo>
                              <a:lnTo>
                                <a:pt x="958" y="723"/>
                              </a:lnTo>
                              <a:lnTo>
                                <a:pt x="958" y="744"/>
                              </a:lnTo>
                              <a:lnTo>
                                <a:pt x="951" y="752"/>
                              </a:lnTo>
                              <a:lnTo>
                                <a:pt x="959" y="752"/>
                              </a:lnTo>
                              <a:lnTo>
                                <a:pt x="963" y="747"/>
                              </a:lnTo>
                              <a:lnTo>
                                <a:pt x="963" y="720"/>
                              </a:lnTo>
                              <a:lnTo>
                                <a:pt x="959" y="715"/>
                              </a:lnTo>
                              <a:close/>
                              <a:moveTo>
                                <a:pt x="946" y="718"/>
                              </a:moveTo>
                              <a:lnTo>
                                <a:pt x="930" y="718"/>
                              </a:lnTo>
                              <a:lnTo>
                                <a:pt x="930" y="747"/>
                              </a:lnTo>
                              <a:lnTo>
                                <a:pt x="935" y="747"/>
                              </a:lnTo>
                              <a:lnTo>
                                <a:pt x="935" y="736"/>
                              </a:lnTo>
                              <a:lnTo>
                                <a:pt x="947" y="736"/>
                              </a:lnTo>
                              <a:lnTo>
                                <a:pt x="947" y="735"/>
                              </a:lnTo>
                              <a:lnTo>
                                <a:pt x="944" y="734"/>
                              </a:lnTo>
                              <a:lnTo>
                                <a:pt x="950" y="732"/>
                              </a:lnTo>
                              <a:lnTo>
                                <a:pt x="935" y="732"/>
                              </a:lnTo>
                              <a:lnTo>
                                <a:pt x="935" y="724"/>
                              </a:lnTo>
                              <a:lnTo>
                                <a:pt x="949" y="724"/>
                              </a:lnTo>
                              <a:lnTo>
                                <a:pt x="949" y="722"/>
                              </a:lnTo>
                              <a:lnTo>
                                <a:pt x="946" y="718"/>
                              </a:lnTo>
                              <a:close/>
                              <a:moveTo>
                                <a:pt x="947" y="736"/>
                              </a:moveTo>
                              <a:lnTo>
                                <a:pt x="941" y="736"/>
                              </a:lnTo>
                              <a:lnTo>
                                <a:pt x="943" y="739"/>
                              </a:lnTo>
                              <a:lnTo>
                                <a:pt x="944" y="742"/>
                              </a:lnTo>
                              <a:lnTo>
                                <a:pt x="945" y="747"/>
                              </a:lnTo>
                              <a:lnTo>
                                <a:pt x="950" y="747"/>
                              </a:lnTo>
                              <a:lnTo>
                                <a:pt x="949" y="742"/>
                              </a:lnTo>
                              <a:lnTo>
                                <a:pt x="949" y="738"/>
                              </a:lnTo>
                              <a:lnTo>
                                <a:pt x="947" y="736"/>
                              </a:lnTo>
                              <a:close/>
                              <a:moveTo>
                                <a:pt x="949" y="724"/>
                              </a:moveTo>
                              <a:lnTo>
                                <a:pt x="942" y="724"/>
                              </a:lnTo>
                              <a:lnTo>
                                <a:pt x="944" y="725"/>
                              </a:lnTo>
                              <a:lnTo>
                                <a:pt x="944" y="731"/>
                              </a:lnTo>
                              <a:lnTo>
                                <a:pt x="941" y="732"/>
                              </a:lnTo>
                              <a:lnTo>
                                <a:pt x="950" y="732"/>
                              </a:lnTo>
                              <a:lnTo>
                                <a:pt x="950" y="728"/>
                              </a:lnTo>
                              <a:lnTo>
                                <a:pt x="949" y="724"/>
                              </a:lnTo>
                              <a:close/>
                              <a:moveTo>
                                <a:pt x="464" y="355"/>
                              </a:moveTo>
                              <a:lnTo>
                                <a:pt x="430" y="355"/>
                              </a:lnTo>
                              <a:lnTo>
                                <a:pt x="483" y="462"/>
                              </a:lnTo>
                              <a:lnTo>
                                <a:pt x="538" y="534"/>
                              </a:lnTo>
                              <a:lnTo>
                                <a:pt x="589" y="580"/>
                              </a:lnTo>
                              <a:lnTo>
                                <a:pt x="631" y="607"/>
                              </a:lnTo>
                              <a:lnTo>
                                <a:pt x="561" y="621"/>
                              </a:lnTo>
                              <a:lnTo>
                                <a:pt x="488" y="638"/>
                              </a:lnTo>
                              <a:lnTo>
                                <a:pt x="414" y="659"/>
                              </a:lnTo>
                              <a:lnTo>
                                <a:pt x="340" y="684"/>
                              </a:lnTo>
                              <a:lnTo>
                                <a:pt x="268" y="712"/>
                              </a:lnTo>
                              <a:lnTo>
                                <a:pt x="277" y="712"/>
                              </a:lnTo>
                              <a:lnTo>
                                <a:pt x="341" y="692"/>
                              </a:lnTo>
                              <a:lnTo>
                                <a:pt x="419" y="672"/>
                              </a:lnTo>
                              <a:lnTo>
                                <a:pt x="502" y="656"/>
                              </a:lnTo>
                              <a:lnTo>
                                <a:pt x="585" y="642"/>
                              </a:lnTo>
                              <a:lnTo>
                                <a:pt x="667" y="632"/>
                              </a:lnTo>
                              <a:lnTo>
                                <a:pt x="741" y="632"/>
                              </a:lnTo>
                              <a:lnTo>
                                <a:pt x="725" y="625"/>
                              </a:lnTo>
                              <a:lnTo>
                                <a:pt x="792" y="622"/>
                              </a:lnTo>
                              <a:lnTo>
                                <a:pt x="943" y="622"/>
                              </a:lnTo>
                              <a:lnTo>
                                <a:pt x="918" y="608"/>
                              </a:lnTo>
                              <a:lnTo>
                                <a:pt x="881" y="600"/>
                              </a:lnTo>
                              <a:lnTo>
                                <a:pt x="682" y="600"/>
                              </a:lnTo>
                              <a:lnTo>
                                <a:pt x="659" y="587"/>
                              </a:lnTo>
                              <a:lnTo>
                                <a:pt x="637" y="573"/>
                              </a:lnTo>
                              <a:lnTo>
                                <a:pt x="615" y="559"/>
                              </a:lnTo>
                              <a:lnTo>
                                <a:pt x="594" y="544"/>
                              </a:lnTo>
                              <a:lnTo>
                                <a:pt x="545" y="494"/>
                              </a:lnTo>
                              <a:lnTo>
                                <a:pt x="503" y="435"/>
                              </a:lnTo>
                              <a:lnTo>
                                <a:pt x="469" y="368"/>
                              </a:lnTo>
                              <a:lnTo>
                                <a:pt x="464" y="355"/>
                              </a:lnTo>
                              <a:close/>
                              <a:moveTo>
                                <a:pt x="741" y="632"/>
                              </a:moveTo>
                              <a:lnTo>
                                <a:pt x="667" y="632"/>
                              </a:lnTo>
                              <a:lnTo>
                                <a:pt x="732" y="661"/>
                              </a:lnTo>
                              <a:lnTo>
                                <a:pt x="795" y="683"/>
                              </a:lnTo>
                              <a:lnTo>
                                <a:pt x="854" y="697"/>
                              </a:lnTo>
                              <a:lnTo>
                                <a:pt x="903" y="701"/>
                              </a:lnTo>
                              <a:lnTo>
                                <a:pt x="923" y="700"/>
                              </a:lnTo>
                              <a:lnTo>
                                <a:pt x="938" y="696"/>
                              </a:lnTo>
                              <a:lnTo>
                                <a:pt x="948" y="689"/>
                              </a:lnTo>
                              <a:lnTo>
                                <a:pt x="950" y="686"/>
                              </a:lnTo>
                              <a:lnTo>
                                <a:pt x="923" y="686"/>
                              </a:lnTo>
                              <a:lnTo>
                                <a:pt x="884" y="681"/>
                              </a:lnTo>
                              <a:lnTo>
                                <a:pt x="836" y="669"/>
                              </a:lnTo>
                              <a:lnTo>
                                <a:pt x="782" y="650"/>
                              </a:lnTo>
                              <a:lnTo>
                                <a:pt x="741" y="632"/>
                              </a:lnTo>
                              <a:close/>
                              <a:moveTo>
                                <a:pt x="954" y="679"/>
                              </a:moveTo>
                              <a:lnTo>
                                <a:pt x="947" y="682"/>
                              </a:lnTo>
                              <a:lnTo>
                                <a:pt x="936" y="686"/>
                              </a:lnTo>
                              <a:lnTo>
                                <a:pt x="950" y="686"/>
                              </a:lnTo>
                              <a:lnTo>
                                <a:pt x="954" y="679"/>
                              </a:lnTo>
                              <a:close/>
                              <a:moveTo>
                                <a:pt x="943" y="622"/>
                              </a:moveTo>
                              <a:lnTo>
                                <a:pt x="792" y="622"/>
                              </a:lnTo>
                              <a:lnTo>
                                <a:pt x="869" y="624"/>
                              </a:lnTo>
                              <a:lnTo>
                                <a:pt x="932" y="638"/>
                              </a:lnTo>
                              <a:lnTo>
                                <a:pt x="958" y="668"/>
                              </a:lnTo>
                              <a:lnTo>
                                <a:pt x="961" y="661"/>
                              </a:lnTo>
                              <a:lnTo>
                                <a:pt x="963" y="658"/>
                              </a:lnTo>
                              <a:lnTo>
                                <a:pt x="963" y="651"/>
                              </a:lnTo>
                              <a:lnTo>
                                <a:pt x="952" y="626"/>
                              </a:lnTo>
                              <a:lnTo>
                                <a:pt x="943" y="622"/>
                              </a:lnTo>
                              <a:close/>
                              <a:moveTo>
                                <a:pt x="800" y="594"/>
                              </a:moveTo>
                              <a:lnTo>
                                <a:pt x="773" y="594"/>
                              </a:lnTo>
                              <a:lnTo>
                                <a:pt x="745" y="596"/>
                              </a:lnTo>
                              <a:lnTo>
                                <a:pt x="682" y="600"/>
                              </a:lnTo>
                              <a:lnTo>
                                <a:pt x="881" y="600"/>
                              </a:lnTo>
                              <a:lnTo>
                                <a:pt x="866" y="597"/>
                              </a:lnTo>
                              <a:lnTo>
                                <a:pt x="800" y="594"/>
                              </a:lnTo>
                              <a:close/>
                              <a:moveTo>
                                <a:pt x="459" y="81"/>
                              </a:moveTo>
                              <a:lnTo>
                                <a:pt x="454" y="110"/>
                              </a:lnTo>
                              <a:lnTo>
                                <a:pt x="448" y="147"/>
                              </a:lnTo>
                              <a:lnTo>
                                <a:pt x="440" y="193"/>
                              </a:lnTo>
                              <a:lnTo>
                                <a:pt x="430" y="248"/>
                              </a:lnTo>
                              <a:lnTo>
                                <a:pt x="450" y="248"/>
                              </a:lnTo>
                              <a:lnTo>
                                <a:pt x="451" y="242"/>
                              </a:lnTo>
                              <a:lnTo>
                                <a:pt x="455" y="188"/>
                              </a:lnTo>
                              <a:lnTo>
                                <a:pt x="457" y="135"/>
                              </a:lnTo>
                              <a:lnTo>
                                <a:pt x="459" y="81"/>
                              </a:lnTo>
                              <a:close/>
                              <a:moveTo>
                                <a:pt x="450" y="6"/>
                              </a:moveTo>
                              <a:lnTo>
                                <a:pt x="426" y="6"/>
                              </a:lnTo>
                              <a:lnTo>
                                <a:pt x="437" y="13"/>
                              </a:lnTo>
                              <a:lnTo>
                                <a:pt x="447" y="23"/>
                              </a:lnTo>
                              <a:lnTo>
                                <a:pt x="455" y="40"/>
                              </a:lnTo>
                              <a:lnTo>
                                <a:pt x="459" y="63"/>
                              </a:lnTo>
                              <a:lnTo>
                                <a:pt x="463" y="27"/>
                              </a:lnTo>
                              <a:lnTo>
                                <a:pt x="455" y="8"/>
                              </a:lnTo>
                              <a:lnTo>
                                <a:pt x="450" y="6"/>
                              </a:lnTo>
                              <a:close/>
                            </a:path>
                          </a:pathLst>
                        </a:custGeom>
                        <a:solidFill>
                          <a:srgbClr val="ffd8d8"/>
                        </a:solidFill>
                        <a:ln w="0">
                          <a:noFill/>
                        </a:ln>
                      </wps:spPr>
                      <wps:style>
                        <a:lnRef idx="0"/>
                        <a:fillRef idx="0"/>
                        <a:effectRef idx="0"/>
                        <a:fontRef idx="minor"/>
                      </wps:style>
                      <wps:bodyPr/>
                    </wps:wsp>
                  </a:graphicData>
                </a:graphic>
              </wp:anchor>
            </w:drawing>
          </mc:Choice>
          <mc:Fallback>
            <w:pict/>
          </mc:Fallback>
        </mc:AlternateContent>
      </w:r>
      <w:r>
        <w:rPr>
          <w:rFonts w:cs="Tahoma" w:ascii="Tahoma" w:hAnsi="Tahoma"/>
          <w:i/>
          <w:iCs/>
          <w:color w:val="000009"/>
          <w:sz w:val="20"/>
          <w:szCs w:val="20"/>
        </w:rPr>
        <w:t>Con mis más altas muestras de consideración, atentamente,</w:t>
      </w:r>
      <w:r>
        <w:rPr>
          <w:rFonts w:cs="Tahoma" w:ascii="Tahoma" w:hAnsi="Tahoma"/>
          <w:i/>
          <w:iCs/>
          <w:w w:val="105"/>
          <w:sz w:val="20"/>
          <w:szCs w:val="20"/>
        </w:rPr>
        <w:t xml:space="preserve">WALTER </w:t>
      </w:r>
      <w:r>
        <w:rPr>
          <w:rFonts w:cs="Tahoma" w:ascii="Tahoma" w:hAnsi="Tahoma"/>
          <w:i/>
          <w:iCs/>
          <w:sz w:val="20"/>
          <w:szCs w:val="20"/>
        </w:rPr>
        <w:t xml:space="preserve">ESPINOZA </w:t>
      </w:r>
      <w:r>
        <w:rPr>
          <w:rFonts w:cs="Tahoma" w:ascii="Tahoma" w:hAnsi="Tahoma"/>
          <w:i/>
          <w:iCs/>
          <w:position w:val="-6"/>
          <w:sz w:val="20"/>
          <w:szCs w:val="20"/>
        </w:rPr>
        <w:t xml:space="preserve">ESPINOZA (FIRMA) </w:t>
      </w:r>
      <w:r>
        <w:rPr>
          <w:rFonts w:cs="Tahoma" w:ascii="Tahoma" w:hAnsi="Tahoma"/>
          <w:i/>
          <w:iCs/>
          <w:sz w:val="20"/>
          <w:szCs w:val="20"/>
        </w:rPr>
        <w:t>Fecha: 2020.02.10</w:t>
      </w:r>
    </w:p>
    <w:p>
      <w:pPr>
        <w:pStyle w:val="Cuerpodetexto"/>
        <w:spacing w:before="2" w:after="0"/>
        <w:jc w:val="center"/>
        <w:rPr>
          <w:rFonts w:ascii="Tahoma" w:hAnsi="Tahoma" w:cs="Tahoma"/>
          <w:i/>
          <w:i/>
          <w:iCs/>
          <w:sz w:val="20"/>
          <w:szCs w:val="20"/>
          <w:lang w:val="es-CR"/>
        </w:rPr>
      </w:pPr>
      <w:r>
        <w:rPr>
          <w:rFonts w:cs="Tahoma" w:ascii="Tahoma" w:hAnsi="Tahoma"/>
          <w:i/>
          <w:iCs/>
          <w:sz w:val="20"/>
          <w:szCs w:val="20"/>
          <w:lang w:val="es-CR"/>
        </w:rPr>
      </w:r>
    </w:p>
    <w:p>
      <w:pPr>
        <w:pStyle w:val="Cuerpodetexto"/>
        <w:spacing w:before="2" w:after="0"/>
        <w:jc w:val="center"/>
        <w:rPr>
          <w:rFonts w:ascii="Tahoma" w:hAnsi="Tahoma" w:cs="Tahoma"/>
          <w:sz w:val="20"/>
          <w:szCs w:val="20"/>
        </w:rPr>
      </w:pPr>
      <w:r>
        <w:rPr>
          <w:rFonts w:cs="Tahoma" w:ascii="Tahoma" w:hAnsi="Tahoma"/>
          <w:sz w:val="20"/>
          <w:szCs w:val="20"/>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Cuerpodetexto"/>
        <w:spacing w:before="2" w:after="0"/>
        <w:jc w:val="both"/>
        <w:rPr>
          <w:rFonts w:ascii="Tahoma" w:hAnsi="Tahoma" w:cs="Tahoma"/>
          <w:sz w:val="20"/>
          <w:szCs w:val="20"/>
        </w:rPr>
      </w:pPr>
      <w:r>
        <w:rPr>
          <w:rFonts w:cs="Tahoma" w:ascii="Tahoma" w:hAnsi="Tahoma"/>
          <w:b/>
          <w:sz w:val="20"/>
          <w:szCs w:val="20"/>
          <w:u w:val="single"/>
        </w:rPr>
        <w:t>SE ACUERDA</w:t>
      </w:r>
      <w:r>
        <w:rPr>
          <w:rFonts w:cs="Tahoma" w:ascii="Tahoma" w:hAnsi="Tahoma"/>
          <w:b/>
          <w:sz w:val="20"/>
          <w:szCs w:val="20"/>
        </w:rPr>
        <w:t xml:space="preserve">:  1° </w:t>
      </w:r>
      <w:r>
        <w:rPr>
          <w:rFonts w:cs="Tahoma" w:ascii="Tahoma" w:hAnsi="Tahoma"/>
          <w:bCs/>
          <w:sz w:val="20"/>
          <w:szCs w:val="20"/>
        </w:rPr>
        <w:t>Se toma nota d</w:t>
      </w:r>
      <w:r>
        <w:rPr>
          <w:rFonts w:cs="Tahoma" w:ascii="Tahoma" w:hAnsi="Tahoma"/>
          <w:sz w:val="20"/>
          <w:szCs w:val="20"/>
        </w:rPr>
        <w:t xml:space="preserve">el </w:t>
      </w:r>
      <w:r>
        <w:rPr>
          <w:rFonts w:cs="Tahoma" w:ascii="Tahoma" w:hAnsi="Tahoma"/>
          <w:b/>
          <w:sz w:val="20"/>
          <w:szCs w:val="20"/>
        </w:rPr>
        <w:t xml:space="preserve">Oficio </w:t>
      </w:r>
      <w:r>
        <w:rPr>
          <w:rFonts w:cs="Tahoma" w:ascii="Tahoma" w:hAnsi="Tahoma"/>
          <w:b/>
          <w:color w:val="00000A"/>
          <w:sz w:val="20"/>
          <w:szCs w:val="20"/>
        </w:rPr>
        <w:t>0087-DG-2020 REF. 0082-2020</w:t>
      </w:r>
      <w:r>
        <w:rPr>
          <w:rFonts w:cs="Tahoma" w:ascii="Tahoma" w:hAnsi="Tahoma"/>
          <w:color w:val="00000A"/>
          <w:sz w:val="20"/>
          <w:szCs w:val="20"/>
        </w:rPr>
        <w:t>, de 10 de febrero pasado, remitido por l</w:t>
      </w:r>
      <w:r>
        <w:rPr>
          <w:rFonts w:cs="Tahoma" w:ascii="Tahoma" w:hAnsi="Tahoma"/>
          <w:sz w:val="20"/>
          <w:szCs w:val="20"/>
        </w:rPr>
        <w:t>a Dirección del Organismo de Investigación Judicial en el que, con ocasión de la solicitud formulada por el pueblo indígena Malecu, informa que a</w:t>
      </w:r>
      <w:r>
        <w:rPr>
          <w:rFonts w:cs="Tahoma" w:ascii="Tahoma" w:hAnsi="Tahoma"/>
          <w:color w:val="000009"/>
          <w:sz w:val="20"/>
          <w:szCs w:val="20"/>
        </w:rPr>
        <w:t>nalizadas las consideraciones planteadas por parte de la Subcomisión, esa Dirección General giró instrucciones a las Jefaturas de la Delegación Regional de este Organismo en San Carlos, así como la Unidad Regional de La Fortuna para que atiendan las consultas del señor Emigdio Cruz, presidente de la Asociación de Desarrollo Integral de la Reserva</w:t>
      </w:r>
      <w:r>
        <w:rPr>
          <w:rFonts w:cs="Tahoma" w:ascii="Tahoma" w:hAnsi="Tahoma"/>
          <w:color w:val="000009"/>
          <w:spacing w:val="-9"/>
          <w:sz w:val="20"/>
          <w:szCs w:val="20"/>
        </w:rPr>
        <w:t xml:space="preserve"> </w:t>
      </w:r>
      <w:r>
        <w:rPr>
          <w:rFonts w:cs="Tahoma" w:ascii="Tahoma" w:hAnsi="Tahoma"/>
          <w:color w:val="000009"/>
          <w:sz w:val="20"/>
          <w:szCs w:val="20"/>
        </w:rPr>
        <w:t>Indígena</w:t>
      </w:r>
      <w:r>
        <w:rPr>
          <w:rFonts w:cs="Tahoma" w:ascii="Tahoma" w:hAnsi="Tahoma"/>
          <w:color w:val="000009"/>
          <w:spacing w:val="-10"/>
          <w:sz w:val="20"/>
          <w:szCs w:val="20"/>
        </w:rPr>
        <w:t xml:space="preserve"> </w:t>
      </w:r>
      <w:r>
        <w:rPr>
          <w:rFonts w:cs="Tahoma" w:ascii="Tahoma" w:hAnsi="Tahoma"/>
          <w:color w:val="000009"/>
          <w:sz w:val="20"/>
          <w:szCs w:val="20"/>
        </w:rPr>
        <w:t>Guatuso</w:t>
      </w:r>
      <w:r>
        <w:rPr>
          <w:rFonts w:cs="Tahoma" w:ascii="Tahoma" w:hAnsi="Tahoma"/>
          <w:color w:val="000009"/>
          <w:spacing w:val="-9"/>
          <w:sz w:val="20"/>
          <w:szCs w:val="20"/>
        </w:rPr>
        <w:t xml:space="preserve"> </w:t>
      </w:r>
      <w:r>
        <w:rPr>
          <w:rFonts w:cs="Tahoma" w:ascii="Tahoma" w:hAnsi="Tahoma"/>
          <w:color w:val="000009"/>
          <w:sz w:val="20"/>
          <w:szCs w:val="20"/>
        </w:rPr>
        <w:t>y</w:t>
      </w:r>
      <w:r>
        <w:rPr>
          <w:rFonts w:cs="Tahoma" w:ascii="Tahoma" w:hAnsi="Tahoma"/>
          <w:color w:val="000009"/>
          <w:spacing w:val="-9"/>
          <w:sz w:val="20"/>
          <w:szCs w:val="20"/>
        </w:rPr>
        <w:t xml:space="preserve"> </w:t>
      </w:r>
      <w:r>
        <w:rPr>
          <w:rFonts w:cs="Tahoma" w:ascii="Tahoma" w:hAnsi="Tahoma"/>
          <w:color w:val="000009"/>
          <w:sz w:val="20"/>
          <w:szCs w:val="20"/>
        </w:rPr>
        <w:t>así</w:t>
      </w:r>
      <w:r>
        <w:rPr>
          <w:rFonts w:cs="Tahoma" w:ascii="Tahoma" w:hAnsi="Tahoma"/>
          <w:color w:val="000009"/>
          <w:spacing w:val="-12"/>
          <w:sz w:val="20"/>
          <w:szCs w:val="20"/>
        </w:rPr>
        <w:t xml:space="preserve"> </w:t>
      </w:r>
      <w:r>
        <w:rPr>
          <w:rFonts w:cs="Tahoma" w:ascii="Tahoma" w:hAnsi="Tahoma"/>
          <w:color w:val="000009"/>
          <w:sz w:val="20"/>
          <w:szCs w:val="20"/>
        </w:rPr>
        <w:t>obtener</w:t>
      </w:r>
      <w:r>
        <w:rPr>
          <w:rFonts w:cs="Tahoma" w:ascii="Tahoma" w:hAnsi="Tahoma"/>
          <w:color w:val="000009"/>
          <w:spacing w:val="-10"/>
          <w:sz w:val="20"/>
          <w:szCs w:val="20"/>
        </w:rPr>
        <w:t xml:space="preserve"> </w:t>
      </w:r>
      <w:r>
        <w:rPr>
          <w:rFonts w:cs="Tahoma" w:ascii="Tahoma" w:hAnsi="Tahoma"/>
          <w:color w:val="000009"/>
          <w:sz w:val="20"/>
          <w:szCs w:val="20"/>
        </w:rPr>
        <w:t>además</w:t>
      </w:r>
      <w:r>
        <w:rPr>
          <w:rFonts w:cs="Tahoma" w:ascii="Tahoma" w:hAnsi="Tahoma"/>
          <w:color w:val="000009"/>
          <w:spacing w:val="-12"/>
          <w:sz w:val="20"/>
          <w:szCs w:val="20"/>
        </w:rPr>
        <w:t xml:space="preserve"> </w:t>
      </w:r>
      <w:r>
        <w:rPr>
          <w:rFonts w:cs="Tahoma" w:ascii="Tahoma" w:hAnsi="Tahoma"/>
          <w:color w:val="000009"/>
          <w:sz w:val="20"/>
          <w:szCs w:val="20"/>
        </w:rPr>
        <w:t>datos</w:t>
      </w:r>
      <w:r>
        <w:rPr>
          <w:rFonts w:cs="Tahoma" w:ascii="Tahoma" w:hAnsi="Tahoma"/>
          <w:color w:val="000009"/>
          <w:spacing w:val="-11"/>
          <w:sz w:val="20"/>
          <w:szCs w:val="20"/>
        </w:rPr>
        <w:t xml:space="preserve"> </w:t>
      </w:r>
      <w:r>
        <w:rPr>
          <w:rFonts w:cs="Tahoma" w:ascii="Tahoma" w:hAnsi="Tahoma"/>
          <w:color w:val="000009"/>
          <w:sz w:val="20"/>
          <w:szCs w:val="20"/>
        </w:rPr>
        <w:t>del</w:t>
      </w:r>
      <w:r>
        <w:rPr>
          <w:rFonts w:cs="Tahoma" w:ascii="Tahoma" w:hAnsi="Tahoma"/>
          <w:color w:val="000009"/>
          <w:spacing w:val="-12"/>
          <w:sz w:val="20"/>
          <w:szCs w:val="20"/>
        </w:rPr>
        <w:t xml:space="preserve"> </w:t>
      </w:r>
      <w:r>
        <w:rPr>
          <w:rFonts w:cs="Tahoma" w:ascii="Tahoma" w:hAnsi="Tahoma"/>
          <w:color w:val="000009"/>
          <w:sz w:val="20"/>
          <w:szCs w:val="20"/>
        </w:rPr>
        <w:t>ingreso</w:t>
      </w:r>
      <w:r>
        <w:rPr>
          <w:rFonts w:cs="Tahoma" w:ascii="Tahoma" w:hAnsi="Tahoma"/>
          <w:color w:val="000009"/>
          <w:spacing w:val="-10"/>
          <w:sz w:val="20"/>
          <w:szCs w:val="20"/>
        </w:rPr>
        <w:t xml:space="preserve"> </w:t>
      </w:r>
      <w:r>
        <w:rPr>
          <w:rFonts w:cs="Tahoma" w:ascii="Tahoma" w:hAnsi="Tahoma"/>
          <w:color w:val="000009"/>
          <w:sz w:val="20"/>
          <w:szCs w:val="20"/>
        </w:rPr>
        <w:t>de</w:t>
      </w:r>
      <w:r>
        <w:rPr>
          <w:rFonts w:cs="Tahoma" w:ascii="Tahoma" w:hAnsi="Tahoma"/>
          <w:color w:val="000009"/>
          <w:spacing w:val="-10"/>
          <w:sz w:val="20"/>
          <w:szCs w:val="20"/>
        </w:rPr>
        <w:t xml:space="preserve"> </w:t>
      </w:r>
      <w:r>
        <w:rPr>
          <w:rFonts w:cs="Tahoma" w:ascii="Tahoma" w:hAnsi="Tahoma"/>
          <w:color w:val="000009"/>
          <w:sz w:val="20"/>
          <w:szCs w:val="20"/>
        </w:rPr>
        <w:t>drogas</w:t>
      </w:r>
      <w:r>
        <w:rPr>
          <w:rFonts w:cs="Tahoma" w:ascii="Tahoma" w:hAnsi="Tahoma"/>
          <w:color w:val="000009"/>
          <w:spacing w:val="-10"/>
          <w:sz w:val="20"/>
          <w:szCs w:val="20"/>
        </w:rPr>
        <w:t xml:space="preserve"> </w:t>
      </w:r>
      <w:r>
        <w:rPr>
          <w:rFonts w:cs="Tahoma" w:ascii="Tahoma" w:hAnsi="Tahoma"/>
          <w:color w:val="000009"/>
          <w:sz w:val="20"/>
          <w:szCs w:val="20"/>
        </w:rPr>
        <w:t>a</w:t>
      </w:r>
      <w:r>
        <w:rPr>
          <w:rFonts w:cs="Tahoma" w:ascii="Tahoma" w:hAnsi="Tahoma"/>
          <w:color w:val="000009"/>
          <w:spacing w:val="-8"/>
          <w:sz w:val="20"/>
          <w:szCs w:val="20"/>
        </w:rPr>
        <w:t xml:space="preserve"> </w:t>
      </w:r>
      <w:r>
        <w:rPr>
          <w:rFonts w:cs="Tahoma" w:ascii="Tahoma" w:hAnsi="Tahoma"/>
          <w:color w:val="000009"/>
          <w:sz w:val="20"/>
          <w:szCs w:val="20"/>
        </w:rPr>
        <w:t>la</w:t>
      </w:r>
      <w:r>
        <w:rPr>
          <w:rFonts w:cs="Tahoma" w:ascii="Tahoma" w:hAnsi="Tahoma"/>
          <w:color w:val="000009"/>
          <w:spacing w:val="-11"/>
          <w:sz w:val="20"/>
          <w:szCs w:val="20"/>
        </w:rPr>
        <w:t xml:space="preserve"> </w:t>
      </w:r>
      <w:r>
        <w:rPr>
          <w:rFonts w:cs="Tahoma" w:ascii="Tahoma" w:hAnsi="Tahoma"/>
          <w:color w:val="000009"/>
          <w:sz w:val="20"/>
          <w:szCs w:val="20"/>
        </w:rPr>
        <w:t>comunidad a la que hace</w:t>
      </w:r>
      <w:r>
        <w:rPr>
          <w:rFonts w:cs="Tahoma" w:ascii="Tahoma" w:hAnsi="Tahoma"/>
          <w:color w:val="000009"/>
          <w:spacing w:val="-2"/>
          <w:sz w:val="20"/>
          <w:szCs w:val="20"/>
        </w:rPr>
        <w:t xml:space="preserve"> </w:t>
      </w:r>
      <w:r>
        <w:rPr>
          <w:rFonts w:cs="Tahoma" w:ascii="Tahoma" w:hAnsi="Tahoma"/>
          <w:color w:val="000009"/>
          <w:sz w:val="20"/>
          <w:szCs w:val="20"/>
        </w:rPr>
        <w:t xml:space="preserve">referencia. Además, que por mandato legislativo las facultades conferidas a la policía judicial se concentran sobre aspectos represivos, delegando la prevención en el Ministerio de Seguridad Pública, por lo que en apego al principio de legalidad no resulta conveniente que el Organismo de Investigación Judicial se atribuya potestades que por imperio de ley corresponden a otro órgano, por lo que se les imposibilita brindar la capacitación y asesoramiento planteada por el señor Cruz, siendo además que este Organismo no cuenta con una Unidad de Capacitación propia, por lo que se recomienda dirigir dicha gestión a la Escuela Judicial. </w:t>
      </w:r>
      <w:r>
        <w:rPr>
          <w:rFonts w:cs="Tahoma" w:ascii="Tahoma" w:hAnsi="Tahoma"/>
          <w:b/>
          <w:bCs/>
          <w:color w:val="000009"/>
          <w:sz w:val="20"/>
          <w:szCs w:val="20"/>
        </w:rPr>
        <w:t>2°</w:t>
      </w:r>
      <w:r>
        <w:rPr>
          <w:rFonts w:cs="Tahoma" w:ascii="Tahoma" w:hAnsi="Tahoma"/>
          <w:color w:val="000009"/>
          <w:sz w:val="20"/>
          <w:szCs w:val="20"/>
        </w:rPr>
        <w:t xml:space="preserve"> Trasladar a la Escuela Judicial la solicitud planteada por el pueblo indígena Melecu acerca de los requerimientos de capacitación y solicitar que de acogerse la petición, ésta se ejecute dentro de los parámetros institucionales, incluyendo lo señalado por Corte Plena en la Circular 188-19. </w:t>
      </w:r>
      <w:r>
        <w:rPr>
          <w:rFonts w:cs="Tahoma" w:ascii="Tahoma" w:hAnsi="Tahoma"/>
          <w:b/>
          <w:bCs/>
          <w:color w:val="000009"/>
          <w:sz w:val="20"/>
          <w:szCs w:val="20"/>
        </w:rPr>
        <w:t>3°</w:t>
      </w:r>
      <w:r>
        <w:rPr>
          <w:rFonts w:cs="Tahoma" w:ascii="Tahoma" w:hAnsi="Tahoma"/>
          <w:color w:val="000009"/>
          <w:sz w:val="20"/>
          <w:szCs w:val="20"/>
        </w:rPr>
        <w:t xml:space="preserve"> Se declara firme este acuerdo por unanimidad, comuníquese a la Dirección del OIJ, Escuela Judicial, Despacho de la Presidencia de la Corte Suprema de Justicia y al señor Emigdio Cruz por medio de la Unidad de Acceso a la Justicia.</w:t>
      </w:r>
    </w:p>
    <w:p>
      <w:pPr>
        <w:pStyle w:val="Cuerpodetexto"/>
        <w:spacing w:before="2" w:after="0"/>
        <w:rPr>
          <w:rFonts w:ascii="Tahoma" w:hAnsi="Tahoma" w:cs="Tahoma"/>
          <w:bCs/>
          <w:sz w:val="20"/>
          <w:szCs w:val="20"/>
        </w:rPr>
      </w:pPr>
      <w:r>
        <w:rPr>
          <w:rFonts w:cs="Tahoma" w:ascii="Tahoma" w:hAnsi="Tahoma"/>
          <w:bCs/>
          <w:sz w:val="20"/>
          <w:szCs w:val="20"/>
        </w:rPr>
      </w:r>
    </w:p>
    <w:p>
      <w:pPr>
        <w:pStyle w:val="Cuerpodetexto"/>
        <w:spacing w:before="2" w:after="0"/>
        <w:rPr>
          <w:rFonts w:ascii="Tahoma" w:hAnsi="Tahoma" w:cs="Tahoma"/>
          <w:bCs/>
          <w:sz w:val="20"/>
          <w:szCs w:val="20"/>
        </w:rPr>
      </w:pPr>
      <w:r>
        <w:rPr>
          <w:rFonts w:cs="Tahoma" w:ascii="Tahoma" w:hAnsi="Tahoma"/>
          <w:bCs/>
          <w:sz w:val="20"/>
          <w:szCs w:val="20"/>
        </w:rPr>
      </w:r>
    </w:p>
    <w:p>
      <w:pPr>
        <w:pStyle w:val="Cuerpodetexto"/>
        <w:spacing w:before="2" w:after="0"/>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u w:val="single"/>
        </w:rPr>
      </w:pPr>
      <w:r>
        <w:rPr>
          <w:rFonts w:cs="Tahoma" w:ascii="Tahoma" w:hAnsi="Tahoma"/>
          <w:b/>
          <w:color w:val="000009"/>
          <w:sz w:val="20"/>
          <w:szCs w:val="20"/>
          <w:u w:val="single"/>
        </w:rPr>
        <w:t xml:space="preserve">  </w:t>
      </w:r>
      <w:r>
        <w:rPr>
          <w:rFonts w:cs="Tahoma" w:ascii="Tahoma" w:hAnsi="Tahoma"/>
          <w:b/>
          <w:sz w:val="20"/>
          <w:szCs w:val="20"/>
          <w:highlight w:val="yellow"/>
          <w:u w:val="single"/>
        </w:rPr>
        <w:t>ARTÍCULO VI:</w:t>
      </w:r>
    </w:p>
    <w:p>
      <w:pPr>
        <w:pStyle w:val="Normal"/>
        <w:spacing w:lineRule="auto" w:line="360"/>
        <w:jc w:val="both"/>
        <w:rPr>
          <w:rFonts w:ascii="Tahoma" w:hAnsi="Tahoma" w:cs="Tahoma"/>
          <w:b/>
          <w:b/>
          <w:sz w:val="20"/>
          <w:szCs w:val="20"/>
          <w:u w:val="single"/>
        </w:rPr>
      </w:pPr>
      <w:r>
        <w:rPr>
          <w:rFonts w:cs="Tahoma" w:ascii="Tahoma" w:hAnsi="Tahoma"/>
          <w:b/>
          <w:sz w:val="20"/>
          <w:szCs w:val="20"/>
          <w:u w:val="single"/>
        </w:rPr>
        <w:t>TEMA: ACUERDO DE CORTE PLENA” APROBACIÓN DE LA PROPUESTA DE CONSTRUCCIÓN DE POLÍTICAS INSTITUCIONALES PLANTEADAS CON BASE EN LA METODOLOGÍA DE MIDEPLAN”.</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CACC-26-2020</w:t>
      </w:r>
      <w:r>
        <w:rPr>
          <w:rFonts w:cs="Tahoma" w:ascii="Tahoma" w:hAnsi="Tahoma"/>
          <w:sz w:val="20"/>
          <w:szCs w:val="20"/>
          <w:lang w:val="es-ES"/>
        </w:rPr>
        <w:t xml:space="preserve"> a la Dirección de Planificación, el acuerdo estipulado en el Artículo III del Acta 01-20 el cual se transcribe literalmente: </w:t>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t xml:space="preserve">6°. Instar a la Dirección de Planificación a efecto de que informen cuando Corte Plena conozca y apruebe la propuesta de construcción de Políticas Institucionales planteadas con base en la metodología de MIDEPLAN. </w:t>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r>
    </w:p>
    <w:p>
      <w:pPr>
        <w:pStyle w:val="Gmailm4214538879123250192default"/>
        <w:spacing w:before="280" w:after="280"/>
        <w:jc w:val="both"/>
        <w:rPr>
          <w:rFonts w:ascii="Tahoma" w:hAnsi="Tahoma" w:cs="Tahoma"/>
          <w:bCs/>
          <w:sz w:val="20"/>
          <w:szCs w:val="20"/>
        </w:rPr>
      </w:pPr>
      <w:r>
        <w:rPr>
          <w:rFonts w:cs="Tahoma" w:ascii="Tahoma" w:hAnsi="Tahoma"/>
          <w:bCs/>
          <w:sz w:val="20"/>
          <w:szCs w:val="20"/>
        </w:rPr>
        <w:t>El señor Allan Pow Hing Cordero, Jefe del Subproceso de Planificación Estratégica, comunico el día viernes 28 de febrero vía correo electrónico, lo siguiente:</w:t>
      </w:r>
    </w:p>
    <w:p>
      <w:pPr>
        <w:pStyle w:val="Normal"/>
        <w:numPr>
          <w:ilvl w:val="0"/>
          <w:numId w:val="0"/>
        </w:numPr>
        <w:outlineLvl w:val="0"/>
        <w:rPr>
          <w:rFonts w:ascii="Tahoma" w:hAnsi="Tahoma" w:cs="Tahoma"/>
          <w:i/>
          <w:i/>
          <w:iCs/>
          <w:sz w:val="20"/>
          <w:szCs w:val="20"/>
          <w:lang w:val="es-ES"/>
        </w:rPr>
      </w:pPr>
      <w:r>
        <w:rPr>
          <w:rFonts w:cs="Tahoma" w:ascii="Tahoma" w:hAnsi="Tahoma"/>
          <w:b/>
          <w:bCs/>
          <w:i/>
          <w:iCs/>
          <w:sz w:val="20"/>
          <w:szCs w:val="20"/>
          <w:lang w:val="es-ES"/>
        </w:rPr>
        <w:t>De:</w:t>
      </w:r>
      <w:r>
        <w:rPr>
          <w:rFonts w:cs="Tahoma" w:ascii="Tahoma" w:hAnsi="Tahoma"/>
          <w:i/>
          <w:iCs/>
          <w:sz w:val="20"/>
          <w:szCs w:val="20"/>
          <w:lang w:val="es-ES"/>
        </w:rPr>
        <w:t xml:space="preserve"> Allan Pow Hing Cordero </w:t>
        <w:br/>
      </w:r>
      <w:r>
        <w:rPr>
          <w:rFonts w:cs="Tahoma" w:ascii="Tahoma" w:hAnsi="Tahoma"/>
          <w:b/>
          <w:bCs/>
          <w:i/>
          <w:iCs/>
          <w:sz w:val="20"/>
          <w:szCs w:val="20"/>
          <w:lang w:val="es-ES"/>
        </w:rPr>
        <w:t>Enviado el:</w:t>
      </w:r>
      <w:r>
        <w:rPr>
          <w:rFonts w:cs="Tahoma" w:ascii="Tahoma" w:hAnsi="Tahoma"/>
          <w:i/>
          <w:iCs/>
          <w:sz w:val="20"/>
          <w:szCs w:val="20"/>
          <w:lang w:val="es-ES"/>
        </w:rPr>
        <w:t xml:space="preserve"> viernes, 28 de febrero de 2020 02:49 p.m.</w:t>
        <w:br/>
      </w:r>
      <w:r>
        <w:rPr>
          <w:rFonts w:cs="Tahoma" w:ascii="Tahoma" w:hAnsi="Tahoma"/>
          <w:b/>
          <w:bCs/>
          <w:i/>
          <w:iCs/>
          <w:sz w:val="20"/>
          <w:szCs w:val="20"/>
          <w:lang w:val="es-ES"/>
        </w:rPr>
        <w:t>Para:</w:t>
      </w:r>
      <w:r>
        <w:rPr>
          <w:rFonts w:cs="Tahoma" w:ascii="Tahoma" w:hAnsi="Tahoma"/>
          <w:i/>
          <w:iCs/>
          <w:sz w:val="20"/>
          <w:szCs w:val="20"/>
          <w:lang w:val="es-ES"/>
        </w:rPr>
        <w:t xml:space="preserve"> Melissa Benavides Víquez</w:t>
        <w:br/>
      </w:r>
      <w:r>
        <w:rPr>
          <w:rFonts w:cs="Tahoma" w:ascii="Tahoma" w:hAnsi="Tahoma"/>
          <w:b/>
          <w:bCs/>
          <w:i/>
          <w:iCs/>
          <w:sz w:val="20"/>
          <w:szCs w:val="20"/>
          <w:lang w:val="es-ES"/>
        </w:rPr>
        <w:t>CC:</w:t>
      </w:r>
      <w:r>
        <w:rPr>
          <w:rFonts w:cs="Tahoma" w:ascii="Tahoma" w:hAnsi="Tahoma"/>
          <w:i/>
          <w:iCs/>
          <w:sz w:val="20"/>
          <w:szCs w:val="20"/>
          <w:lang w:val="es-ES"/>
        </w:rPr>
        <w:t xml:space="preserve"> Katherine Salazar Duarte; Ellen Villegas Hernández; Graciela Lugo Solano; Yesenia Salazar Guzmán; Erick Mora Leiva</w:t>
        <w:br/>
      </w:r>
      <w:r>
        <w:rPr>
          <w:rFonts w:cs="Tahoma" w:ascii="Tahoma" w:hAnsi="Tahoma"/>
          <w:b/>
          <w:bCs/>
          <w:i/>
          <w:iCs/>
          <w:sz w:val="20"/>
          <w:szCs w:val="20"/>
          <w:lang w:val="es-ES"/>
        </w:rPr>
        <w:t>Asunto:</w:t>
      </w:r>
      <w:r>
        <w:rPr>
          <w:rFonts w:cs="Tahoma" w:ascii="Tahoma" w:hAnsi="Tahoma"/>
          <w:i/>
          <w:iCs/>
          <w:sz w:val="20"/>
          <w:szCs w:val="20"/>
          <w:lang w:val="es-ES"/>
        </w:rPr>
        <w:t xml:space="preserve"> RV: DVV-S1-020-2020</w:t>
      </w:r>
    </w:p>
    <w:p>
      <w:pPr>
        <w:pStyle w:val="Normal"/>
        <w:numPr>
          <w:ilvl w:val="0"/>
          <w:numId w:val="0"/>
        </w:numPr>
        <w:outlineLvl w:val="0"/>
        <w:rPr>
          <w:rFonts w:ascii="Tahoma" w:hAnsi="Tahoma" w:cs="Tahoma"/>
          <w:i/>
          <w:i/>
          <w:iCs/>
          <w:sz w:val="20"/>
          <w:szCs w:val="20"/>
          <w:lang w:val="es-ES"/>
        </w:rPr>
      </w:pPr>
      <w:r>
        <w:rPr>
          <w:rFonts w:cs="Tahoma" w:ascii="Tahoma" w:hAnsi="Tahoma"/>
          <w:i/>
          <w:iCs/>
          <w:sz w:val="20"/>
          <w:szCs w:val="20"/>
          <w:lang w:val="es-ES"/>
        </w:rPr>
      </w:r>
    </w:p>
    <w:p>
      <w:pPr>
        <w:pStyle w:val="Normal"/>
        <w:rPr>
          <w:rFonts w:ascii="Tahoma" w:hAnsi="Tahoma" w:cs="Tahoma"/>
          <w:i/>
          <w:i/>
          <w:iCs/>
          <w:sz w:val="20"/>
          <w:szCs w:val="20"/>
        </w:rPr>
      </w:pPr>
      <w:r>
        <w:rPr>
          <w:rFonts w:cs="Tahoma" w:ascii="Tahoma" w:hAnsi="Tahoma"/>
          <w:i/>
          <w:iCs/>
          <w:sz w:val="20"/>
          <w:szCs w:val="20"/>
        </w:rPr>
        <w:t xml:space="preserve">Buena tarde estimada Melissa, un gusto saludarla,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En virtud del Oficio CACC-26-2020, en cuanto al acuerdo: </w:t>
      </w:r>
    </w:p>
    <w:p>
      <w:pPr>
        <w:pStyle w:val="Normal"/>
        <w:rPr>
          <w:rFonts w:ascii="Tahoma" w:hAnsi="Tahoma" w:cs="Tahoma"/>
          <w:i/>
          <w:i/>
          <w:iCs/>
          <w:sz w:val="20"/>
          <w:szCs w:val="20"/>
        </w:rPr>
      </w:pPr>
      <w:r>
        <w:rPr>
          <w:rFonts w:cs="Tahoma" w:ascii="Tahoma" w:hAnsi="Tahoma"/>
          <w:i/>
          <w:iCs/>
          <w:sz w:val="20"/>
          <w:szCs w:val="20"/>
        </w:rPr>
      </w:r>
    </w:p>
    <w:p>
      <w:pPr>
        <w:pStyle w:val="Normal"/>
        <w:ind w:left="708" w:hanging="0"/>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 xml:space="preserve">6°. Instar a la Dirección de Planificación a efecto de que informen cuando Corte Plena conozca y apruebe la propuesta de construcción de Políticas Institucionales planteadas con base en la metodología de MIDEPLAN.”.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Al respecto, procedemos a adjuntar el acuerdo de la Corte Plena donde aprobó el modelo de gestión de políticas institucionales para su referencia.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Quedamos atentos a cualquier consulta. </w:t>
      </w:r>
    </w:p>
    <w:p>
      <w:pPr>
        <w:pStyle w:val="Normal"/>
        <w:rPr>
          <w:rFonts w:ascii="Tahoma" w:hAnsi="Tahoma" w:cs="Tahoma"/>
          <w:i/>
          <w:i/>
          <w:iCs/>
          <w:sz w:val="20"/>
          <w:szCs w:val="20"/>
        </w:rPr>
      </w:pPr>
      <w:r>
        <w:rPr>
          <w:rFonts w:cs="Tahoma" w:ascii="Tahoma" w:hAnsi="Tahoma"/>
          <w:i/>
          <w:iCs/>
          <w:sz w:val="20"/>
          <w:szCs w:val="20"/>
        </w:rPr>
      </w:r>
    </w:p>
    <w:p>
      <w:pPr>
        <w:pStyle w:val="Normal"/>
        <w:rPr>
          <w:rFonts w:ascii="Tahoma" w:hAnsi="Tahoma" w:cs="Tahoma"/>
          <w:i/>
          <w:i/>
          <w:iCs/>
          <w:sz w:val="20"/>
          <w:szCs w:val="20"/>
        </w:rPr>
      </w:pPr>
      <w:r>
        <w:rPr>
          <w:rFonts w:cs="Tahoma" w:ascii="Tahoma" w:hAnsi="Tahoma"/>
          <w:i/>
          <w:iCs/>
          <w:sz w:val="20"/>
          <w:szCs w:val="20"/>
        </w:rPr>
        <w:t xml:space="preserve">Atentamente, </w:t>
      </w:r>
    </w:p>
    <w:p>
      <w:pPr>
        <w:pStyle w:val="Normal"/>
        <w:rPr>
          <w:rFonts w:ascii="Tahoma" w:hAnsi="Tahoma" w:cs="Tahoma"/>
          <w:sz w:val="20"/>
          <w:szCs w:val="20"/>
        </w:rPr>
      </w:pPr>
      <w:r>
        <w:rPr/>
        <w:drawing>
          <wp:inline distT="0" distB="0" distL="0" distR="0">
            <wp:extent cx="4981575" cy="1533525"/>
            <wp:effectExtent l="0" t="0" r="0" b="0"/>
            <wp:docPr id="12" name="Imagen 1" descr="cid:image001.jpg@01D5EE46.3AECB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 descr="cid:image001.jpg@01D5EE46.3AECB350"/>
                    <pic:cNvPicPr>
                      <a:picLocks noChangeAspect="1" noChangeArrowheads="1"/>
                    </pic:cNvPicPr>
                  </pic:nvPicPr>
                  <pic:blipFill>
                    <a:blip r:embed="rId13"/>
                    <a:stretch>
                      <a:fillRect/>
                    </a:stretch>
                  </pic:blipFill>
                  <pic:spPr bwMode="auto">
                    <a:xfrm>
                      <a:off x="0" y="0"/>
                      <a:ext cx="4981575" cy="1533525"/>
                    </a:xfrm>
                    <a:prstGeom prst="rect">
                      <a:avLst/>
                    </a:prstGeom>
                  </pic:spPr>
                </pic:pic>
              </a:graphicData>
            </a:graphic>
          </wp:inline>
        </w:drawing>
      </w:r>
    </w:p>
    <w:p>
      <w:pPr>
        <w:pStyle w:val="Gmailm4214538879123250192default"/>
        <w:spacing w:before="280" w:after="280"/>
        <w:jc w:val="both"/>
        <w:rPr>
          <w:rFonts w:ascii="Tahoma" w:hAnsi="Tahoma" w:cs="Tahoma"/>
          <w:b/>
          <w:b/>
          <w:bCs/>
          <w:i/>
          <w:i/>
          <w:sz w:val="20"/>
          <w:szCs w:val="20"/>
          <w:u w:val="single"/>
        </w:rPr>
      </w:pPr>
      <w:r>
        <w:rPr>
          <w:rFonts w:cs="Tahoma" w:ascii="Tahoma" w:hAnsi="Tahoma"/>
          <w:b/>
          <w:bCs/>
          <w:i/>
          <w:sz w:val="20"/>
          <w:szCs w:val="20"/>
          <w:u w:val="single"/>
        </w:rPr>
      </w:r>
    </w:p>
    <w:p>
      <w:pPr>
        <w:pStyle w:val="Ttulo7"/>
        <w:tabs>
          <w:tab w:val="clear" w:pos="708"/>
          <w:tab w:val="left" w:pos="4280" w:leader="none"/>
        </w:tabs>
        <w:ind w:left="4248" w:hanging="0"/>
        <w:jc w:val="both"/>
        <w:rPr>
          <w:rFonts w:ascii="Tahoma" w:hAnsi="Tahoma" w:cs="Tahoma"/>
          <w:bCs/>
          <w:sz w:val="20"/>
          <w:szCs w:val="20"/>
          <w:lang w:val="es-ES_tradnl"/>
        </w:rPr>
      </w:pPr>
      <w:r>
        <w:rPr>
          <w:rFonts w:cs="Tahoma" w:ascii="Tahoma" w:hAnsi="Tahoma"/>
          <w:sz w:val="20"/>
          <w:szCs w:val="20"/>
          <w:lang w:val="es-ES_tradnl"/>
        </w:rPr>
        <w:t>San José, 04 de febrero de 2020</w:t>
      </w:r>
    </w:p>
    <w:p>
      <w:pPr>
        <w:pStyle w:val="Ttulo7"/>
        <w:tabs>
          <w:tab w:val="clear" w:pos="708"/>
          <w:tab w:val="left" w:pos="4280" w:leader="none"/>
        </w:tabs>
        <w:ind w:left="4248" w:hanging="0"/>
        <w:jc w:val="both"/>
        <w:rPr>
          <w:rFonts w:ascii="Tahoma" w:hAnsi="Tahoma" w:cs="Tahoma"/>
          <w:sz w:val="20"/>
          <w:szCs w:val="20"/>
          <w:lang w:val="es-ES_tradnl"/>
        </w:rPr>
      </w:pPr>
      <w:r>
        <w:rPr>
          <w:rFonts w:cs="Tahoma" w:ascii="Tahoma" w:hAnsi="Tahoma"/>
          <w:sz w:val="20"/>
          <w:szCs w:val="20"/>
          <w:lang w:val="es-ES_tradnl"/>
        </w:rPr>
        <w:t>N° 1095-2020</w:t>
      </w:r>
    </w:p>
    <w:p>
      <w:pPr>
        <w:pStyle w:val="Ttulo7"/>
        <w:tabs>
          <w:tab w:val="clear" w:pos="708"/>
          <w:tab w:val="left" w:pos="4280" w:leader="none"/>
        </w:tabs>
        <w:ind w:left="4248" w:hanging="0"/>
        <w:jc w:val="both"/>
        <w:rPr>
          <w:rFonts w:ascii="Tahoma" w:hAnsi="Tahoma" w:cs="Tahoma"/>
          <w:sz w:val="20"/>
          <w:szCs w:val="20"/>
        </w:rPr>
      </w:pPr>
      <w:r>
        <w:rPr>
          <w:rFonts w:cs="Tahoma" w:ascii="Tahoma" w:hAnsi="Tahoma"/>
          <w:sz w:val="20"/>
          <w:szCs w:val="20"/>
        </w:rPr>
        <w:t>Al contestar refiérase a este # de oficio</w:t>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Señora</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Licda. Nacira Valverde Bermúdez</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Directora de Planificación</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ab/>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t>Estimada señora:</w:t>
      </w:r>
    </w:p>
    <w:p>
      <w:pPr>
        <w:pStyle w:val="Normal"/>
        <w:jc w:val="both"/>
        <w:rPr>
          <w:rFonts w:ascii="Tahoma" w:hAnsi="Tahoma" w:eastAsia="Arial Unicode MS" w:cs="Tahoma"/>
          <w:b/>
          <w:b/>
          <w:bCs/>
          <w:i/>
          <w:i/>
          <w:iCs/>
          <w:kern w:val="2"/>
          <w:sz w:val="20"/>
          <w:szCs w:val="20"/>
          <w:lang w:eastAsia="hi-IN" w:bidi="hi-IN"/>
        </w:rPr>
      </w:pPr>
      <w:r>
        <w:rPr>
          <w:rFonts w:eastAsia="Arial Unicode MS" w:cs="Tahoma" w:ascii="Tahoma" w:hAnsi="Tahoma"/>
          <w:b/>
          <w:bCs/>
          <w:i/>
          <w:iCs/>
          <w:kern w:val="2"/>
          <w:sz w:val="20"/>
          <w:szCs w:val="20"/>
          <w:lang w:eastAsia="hi-IN" w:bidi="hi-IN"/>
        </w:rPr>
      </w:r>
    </w:p>
    <w:p>
      <w:pPr>
        <w:pStyle w:val="Normal"/>
        <w:jc w:val="both"/>
        <w:rPr>
          <w:rFonts w:ascii="Tahoma" w:hAnsi="Tahoma" w:cs="Tahoma"/>
          <w:b/>
          <w:b/>
          <w:bCs/>
          <w:i/>
          <w:i/>
          <w:iCs/>
          <w:sz w:val="20"/>
          <w:szCs w:val="20"/>
        </w:rPr>
      </w:pPr>
      <w:r>
        <w:rPr>
          <w:rFonts w:cs="Tahoma" w:ascii="Tahoma" w:hAnsi="Tahoma"/>
          <w:b/>
          <w:bCs/>
          <w:i/>
          <w:iCs/>
          <w:sz w:val="20"/>
          <w:szCs w:val="20"/>
        </w:rPr>
      </w:r>
    </w:p>
    <w:p>
      <w:pPr>
        <w:pStyle w:val="Normal"/>
        <w:ind w:firstLine="708"/>
        <w:jc w:val="both"/>
        <w:rPr>
          <w:rFonts w:ascii="Tahoma" w:hAnsi="Tahoma" w:cs="Tahoma"/>
          <w:i/>
          <w:i/>
          <w:iCs/>
          <w:sz w:val="20"/>
          <w:szCs w:val="20"/>
        </w:rPr>
      </w:pPr>
      <w:r>
        <w:rPr>
          <w:rFonts w:cs="Tahoma" w:ascii="Tahoma" w:hAnsi="Tahoma"/>
          <w:i/>
          <w:iCs/>
          <w:sz w:val="20"/>
          <w:szCs w:val="20"/>
        </w:rPr>
        <w:t xml:space="preserve">Para su estimable conocimiento y fines consiguientes, le transcribo el acuerdo tomado por la Corte Plena, en sesión </w:t>
      </w:r>
      <w:r>
        <w:rPr>
          <w:rFonts w:cs="Tahoma" w:ascii="Tahoma" w:hAnsi="Tahoma"/>
          <w:b/>
          <w:bCs/>
          <w:i/>
          <w:iCs/>
          <w:sz w:val="20"/>
          <w:szCs w:val="20"/>
        </w:rPr>
        <w:t xml:space="preserve">N° 02-2020 </w:t>
      </w:r>
      <w:r>
        <w:rPr>
          <w:rFonts w:cs="Tahoma" w:ascii="Tahoma" w:hAnsi="Tahoma"/>
          <w:bCs/>
          <w:i/>
          <w:iCs/>
          <w:sz w:val="20"/>
          <w:szCs w:val="20"/>
        </w:rPr>
        <w:t>c</w:t>
      </w:r>
      <w:r>
        <w:rPr>
          <w:rFonts w:cs="Tahoma" w:ascii="Tahoma" w:hAnsi="Tahoma"/>
          <w:i/>
          <w:iCs/>
          <w:sz w:val="20"/>
          <w:szCs w:val="20"/>
        </w:rPr>
        <w:t xml:space="preserve">elebrada el </w:t>
      </w:r>
      <w:r>
        <w:rPr>
          <w:rFonts w:cs="Tahoma" w:ascii="Tahoma" w:hAnsi="Tahoma"/>
          <w:b/>
          <w:i/>
          <w:iCs/>
          <w:sz w:val="20"/>
          <w:szCs w:val="20"/>
        </w:rPr>
        <w:t>13 de enero</w:t>
      </w:r>
      <w:r>
        <w:rPr>
          <w:rFonts w:cs="Tahoma" w:ascii="Tahoma" w:hAnsi="Tahoma"/>
          <w:b/>
          <w:bCs/>
          <w:i/>
          <w:iCs/>
          <w:sz w:val="20"/>
          <w:szCs w:val="20"/>
        </w:rPr>
        <w:t xml:space="preserve"> del 2020,</w:t>
      </w:r>
      <w:r>
        <w:rPr>
          <w:rFonts w:cs="Tahoma" w:ascii="Tahoma" w:hAnsi="Tahoma"/>
          <w:i/>
          <w:iCs/>
          <w:sz w:val="20"/>
          <w:szCs w:val="20"/>
        </w:rPr>
        <w:t xml:space="preserve"> que literalmente dice:</w:t>
      </w:r>
    </w:p>
    <w:p>
      <w:pPr>
        <w:pStyle w:val="Normal"/>
        <w:ind w:firstLine="15"/>
        <w:jc w:val="both"/>
        <w:rPr>
          <w:rFonts w:ascii="Tahoma" w:hAnsi="Tahoma" w:cs="Tahoma"/>
          <w:i/>
          <w:i/>
          <w:iCs/>
          <w:sz w:val="20"/>
          <w:szCs w:val="20"/>
        </w:rPr>
      </w:pPr>
      <w:r>
        <w:rPr>
          <w:rFonts w:cs="Tahoma" w:ascii="Tahoma" w:hAnsi="Tahoma"/>
          <w:i/>
          <w:iCs/>
          <w:sz w:val="20"/>
          <w:szCs w:val="20"/>
        </w:rPr>
      </w:r>
    </w:p>
    <w:p>
      <w:pPr>
        <w:pStyle w:val="Normal"/>
        <w:keepNext w:val="true"/>
        <w:numPr>
          <w:ilvl w:val="0"/>
          <w:numId w:val="0"/>
        </w:numPr>
        <w:tabs>
          <w:tab w:val="clear" w:pos="708"/>
          <w:tab w:val="left" w:pos="0" w:leader="none"/>
        </w:tabs>
        <w:jc w:val="center"/>
        <w:outlineLvl w:val="1"/>
        <w:rPr>
          <w:rFonts w:ascii="Tahoma" w:hAnsi="Tahoma" w:cs="Tahoma"/>
          <w:b/>
          <w:b/>
          <w:bCs/>
          <w:i/>
          <w:i/>
          <w:iCs/>
          <w:sz w:val="20"/>
          <w:szCs w:val="20"/>
          <w:u w:val="single"/>
        </w:rPr>
      </w:pPr>
      <w:r>
        <w:rPr>
          <w:rFonts w:cs="Tahoma" w:ascii="Tahoma" w:hAnsi="Tahoma"/>
          <w:b/>
          <w:bCs/>
          <w:i/>
          <w:iCs/>
          <w:sz w:val="20"/>
          <w:szCs w:val="20"/>
        </w:rPr>
        <w:t>“</w:t>
      </w:r>
      <w:bookmarkStart w:id="7" w:name="_Toc29548635"/>
      <w:bookmarkStart w:id="8" w:name="_Toc27126309"/>
      <w:bookmarkStart w:id="9" w:name="_Toc26521081"/>
      <w:r>
        <w:rPr>
          <w:rFonts w:cs="Tahoma" w:ascii="Tahoma" w:hAnsi="Tahoma"/>
          <w:b/>
          <w:bCs/>
          <w:i/>
          <w:iCs/>
          <w:sz w:val="20"/>
          <w:szCs w:val="20"/>
          <w:u w:val="single"/>
        </w:rPr>
        <w:t xml:space="preserve">ARTÍCULO </w:t>
      </w:r>
      <w:bookmarkEnd w:id="7"/>
      <w:bookmarkEnd w:id="8"/>
      <w:bookmarkEnd w:id="9"/>
      <w:r>
        <w:rPr>
          <w:rFonts w:cs="Tahoma" w:ascii="Tahoma" w:hAnsi="Tahoma"/>
          <w:b/>
          <w:bCs/>
          <w:i/>
          <w:iCs/>
          <w:sz w:val="20"/>
          <w:szCs w:val="20"/>
          <w:u w:val="single"/>
        </w:rPr>
        <w:t>XXXII</w:t>
      </w:r>
    </w:p>
    <w:p>
      <w:pPr>
        <w:pStyle w:val="Normal"/>
        <w:keepNext w:val="true"/>
        <w:numPr>
          <w:ilvl w:val="0"/>
          <w:numId w:val="0"/>
        </w:numPr>
        <w:tabs>
          <w:tab w:val="clear" w:pos="708"/>
          <w:tab w:val="left" w:pos="0" w:leader="none"/>
        </w:tabs>
        <w:jc w:val="center"/>
        <w:outlineLvl w:val="1"/>
        <w:rPr>
          <w:rFonts w:ascii="Tahoma" w:hAnsi="Tahoma" w:cs="Tahoma"/>
          <w:b/>
          <w:b/>
          <w:bCs/>
          <w:i/>
          <w:i/>
          <w:iCs/>
          <w:sz w:val="20"/>
          <w:szCs w:val="20"/>
          <w:u w:val="single"/>
        </w:rPr>
      </w:pPr>
      <w:r>
        <w:rPr>
          <w:rFonts w:cs="Tahoma" w:ascii="Tahoma" w:hAnsi="Tahoma"/>
          <w:b/>
          <w:bCs/>
          <w:i/>
          <w:iCs/>
          <w:sz w:val="20"/>
          <w:szCs w:val="20"/>
          <w:u w:val="single"/>
        </w:rPr>
      </w:r>
    </w:p>
    <w:p>
      <w:pPr>
        <w:pStyle w:val="Normal"/>
        <w:keepNext w:val="true"/>
        <w:numPr>
          <w:ilvl w:val="0"/>
          <w:numId w:val="0"/>
        </w:numPr>
        <w:tabs>
          <w:tab w:val="clear" w:pos="708"/>
          <w:tab w:val="left" w:pos="0" w:leader="none"/>
        </w:tabs>
        <w:jc w:val="both"/>
        <w:outlineLvl w:val="1"/>
        <w:rPr>
          <w:rFonts w:ascii="Tahoma" w:hAnsi="Tahoma" w:cs="Tahoma"/>
          <w:b/>
          <w:b/>
          <w:bCs/>
          <w:i/>
          <w:i/>
          <w:iCs/>
          <w:sz w:val="20"/>
          <w:szCs w:val="20"/>
        </w:rPr>
      </w:pPr>
      <w:r>
        <w:rPr>
          <w:rFonts w:cs="Tahoma" w:ascii="Tahoma" w:hAnsi="Tahoma"/>
          <w:b/>
          <w:bCs/>
          <w:i/>
          <w:iCs/>
          <w:sz w:val="20"/>
          <w:szCs w:val="20"/>
        </w:rPr>
        <w:tab/>
        <w:t>SALEN EL MAGISTRADO SOLÍS Y LA MAGISTRADA HERNÁNDEZ.</w:t>
      </w:r>
    </w:p>
    <w:p>
      <w:pPr>
        <w:pStyle w:val="Normal"/>
        <w:keepNext w:val="true"/>
        <w:numPr>
          <w:ilvl w:val="0"/>
          <w:numId w:val="0"/>
        </w:numPr>
        <w:tabs>
          <w:tab w:val="clear" w:pos="708"/>
          <w:tab w:val="left" w:pos="0" w:leader="none"/>
        </w:tabs>
        <w:jc w:val="both"/>
        <w:outlineLvl w:val="1"/>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b/>
          <w:b/>
          <w:i/>
          <w:i/>
          <w:iCs/>
          <w:sz w:val="20"/>
          <w:szCs w:val="20"/>
        </w:rPr>
      </w:pPr>
      <w:r>
        <w:rPr>
          <w:rFonts w:cs="Tahoma" w:ascii="Tahoma" w:hAnsi="Tahoma"/>
          <w:b/>
          <w:i/>
          <w:iCs/>
          <w:sz w:val="20"/>
          <w:szCs w:val="20"/>
        </w:rPr>
        <w:t>Documento 10405-17/15762-19</w:t>
      </w:r>
    </w:p>
    <w:p>
      <w:pPr>
        <w:pStyle w:val="Normal"/>
        <w:ind w:firstLine="709"/>
        <w:jc w:val="both"/>
        <w:rPr>
          <w:rFonts w:ascii="Tahoma" w:hAnsi="Tahoma" w:cs="Tahoma"/>
          <w:b/>
          <w:b/>
          <w:i/>
          <w:i/>
          <w:iCs/>
          <w:sz w:val="20"/>
          <w:szCs w:val="20"/>
        </w:rPr>
      </w:pPr>
      <w:r>
        <w:rPr>
          <w:rFonts w:cs="Tahoma" w:ascii="Tahoma" w:hAnsi="Tahoma"/>
          <w:b/>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En sesión N° 56-18 celebrada el 10 de diciembre de 2018, artículo XXIII, se tuvo por hecha la exposición de la licenciada Nacira Valverde Bermúdez, Directora de Planificación, sobre el Plan Estratégico Institucional 2019-2024. En ese sentido se acogió el informe N° 1463-PLA-2018, Plan Estratégico Institucional 2019-2024, así como sus recomendaciones en los términos señalados.</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 xml:space="preserve">La máster Nacira Valverde Bermúdez, Directora interina de la Dirección de Planificación, en oficio N° 1995-PLA-PE-2019 de 27 de noviembre de 2019, remite el informe relacionado con la propuesta para implementar la metodología para la confección y aprobación de Políticas Institucionales, cuyas conclusiones y recomendaciones dicen: </w:t>
      </w:r>
    </w:p>
    <w:p>
      <w:pPr>
        <w:pStyle w:val="Normal"/>
        <w:ind w:firstLine="709"/>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851" w:right="851" w:firstLine="709"/>
        <w:jc w:val="both"/>
        <w:rPr>
          <w:rFonts w:ascii="Tahoma" w:hAnsi="Tahoma" w:cs="Tahoma"/>
          <w:i/>
          <w:i/>
          <w:iCs/>
          <w:sz w:val="20"/>
          <w:szCs w:val="20"/>
        </w:rPr>
      </w:pPr>
      <w:r>
        <w:rPr>
          <w:rFonts w:cs="Tahoma" w:ascii="Tahoma" w:hAnsi="Tahoma"/>
          <w:i/>
          <w:iCs/>
          <w:sz w:val="20"/>
          <w:szCs w:val="20"/>
        </w:rPr>
        <w:t>“</w:t>
      </w:r>
      <w:r>
        <w:rPr>
          <w:rFonts w:cs="Tahoma" w:ascii="Tahoma" w:hAnsi="Tahoma"/>
          <w:i/>
          <w:iCs/>
          <w:sz w:val="20"/>
          <w:szCs w:val="20"/>
        </w:rPr>
        <w:t>(…)</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bookmarkStart w:id="10" w:name="_Toc24623680"/>
      <w:r>
        <w:rPr>
          <w:rFonts w:cs="Tahoma" w:ascii="Tahoma" w:hAnsi="Tahoma"/>
          <w:i/>
          <w:iCs/>
          <w:sz w:val="20"/>
          <w:szCs w:val="20"/>
        </w:rPr>
        <w:t>“</w:t>
      </w:r>
      <w:r>
        <w:rPr>
          <w:rFonts w:cs="Tahoma" w:ascii="Tahoma" w:hAnsi="Tahoma"/>
          <w:b/>
          <w:bCs/>
          <w:i/>
          <w:iCs/>
          <w:sz w:val="20"/>
          <w:szCs w:val="20"/>
        </w:rPr>
        <w:t>VII. Elementos Conclusivos</w:t>
      </w:r>
      <w:bookmarkEnd w:id="10"/>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Entre las principales conclusiones sobresalen las siguientes:</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7.1. En el Poder Judicial, se destacan dos tipos de políticas: las políticas institucionales de impacto social y/o institucional y las políticas institucionales de índole operativo. </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7.2. Actualmente, se logró identificar en el Poder Judicial 31 instrumentos, que en su oportunidad fueron catalogados como Políticas Institucionales y 6 propuestas de políticas nueva en el nuevo plan estratégico para el periodo 2019-2024.</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7.3. Debido a la variabilidad que caracteriza estas políticas, se establece la necesidad de estandarizar la gestión de las nuevas políticas institucionales de índole social y/o institucional, lo que permitirá una mejora en la efectividad de su ejecución.</w:t>
      </w:r>
    </w:p>
    <w:p>
      <w:pPr>
        <w:pStyle w:val="Normal"/>
        <w:ind w:left="851" w:right="851" w:firstLine="709"/>
        <w:jc w:val="both"/>
        <w:rPr>
          <w:rFonts w:ascii="Tahoma" w:hAnsi="Tahoma" w:cs="Tahoma"/>
          <w:i/>
          <w:i/>
          <w:iCs/>
          <w:sz w:val="20"/>
          <w:szCs w:val="20"/>
        </w:rPr>
      </w:pPr>
      <w:r>
        <w:rPr>
          <w:rFonts w:cs="Tahoma" w:ascii="Tahoma" w:hAnsi="Tahoma"/>
          <w:i/>
          <w:iCs/>
          <w:sz w:val="20"/>
          <w:szCs w:val="20"/>
        </w:rPr>
        <w:t>7.4. Para garantizar el cumplimiento del proceso de gestión de las Políticas Institucionales y lograr el alineamiento con el Plan Estratégico</w:t>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Institucional 2019-2024, se propone la gestión de un informe anual con el seguimiento de los resultados del plan de acción de cada una de las políticas institucionales nuevas, que hayan sido construidas a partir de este modelo; establecido en los planes anuales operativos de las oficinas responsables, utilizando la metodología descrita supra sobre el desarrollo de los planes de acción. </w:t>
      </w:r>
    </w:p>
    <w:p>
      <w:pPr>
        <w:pStyle w:val="Normal"/>
        <w:ind w:left="851" w:right="851" w:firstLine="709"/>
        <w:jc w:val="both"/>
        <w:rPr>
          <w:rFonts w:ascii="Tahoma" w:hAnsi="Tahoma" w:cs="Tahoma"/>
          <w:b/>
          <w:b/>
          <w:bCs/>
          <w:i/>
          <w:i/>
          <w:iCs/>
          <w:sz w:val="20"/>
          <w:szCs w:val="20"/>
        </w:rPr>
      </w:pPr>
      <w:r>
        <w:rPr>
          <w:rFonts w:cs="Tahoma" w:ascii="Tahoma" w:hAnsi="Tahoma"/>
          <w:b/>
          <w:bCs/>
          <w:i/>
          <w:iCs/>
          <w:sz w:val="20"/>
          <w:szCs w:val="20"/>
        </w:rPr>
      </w:r>
      <w:bookmarkStart w:id="11" w:name="_Toc24623681"/>
      <w:bookmarkStart w:id="12" w:name="_Toc24623681"/>
    </w:p>
    <w:p>
      <w:pPr>
        <w:pStyle w:val="Normal"/>
        <w:ind w:left="851" w:right="851" w:firstLine="709"/>
        <w:jc w:val="both"/>
        <w:rPr>
          <w:rFonts w:ascii="Tahoma" w:hAnsi="Tahoma" w:cs="Tahoma"/>
          <w:b/>
          <w:b/>
          <w:bCs/>
          <w:i/>
          <w:i/>
          <w:iCs/>
          <w:sz w:val="20"/>
          <w:szCs w:val="20"/>
        </w:rPr>
      </w:pPr>
      <w:bookmarkStart w:id="13" w:name="_Toc24623681"/>
      <w:r>
        <w:rPr>
          <w:rFonts w:cs="Tahoma" w:ascii="Tahoma" w:hAnsi="Tahoma"/>
          <w:b/>
          <w:bCs/>
          <w:i/>
          <w:iCs/>
          <w:sz w:val="20"/>
          <w:szCs w:val="20"/>
        </w:rPr>
        <w:t>VIII. Recomendaciones</w:t>
      </w:r>
      <w:bookmarkEnd w:id="13"/>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Con el fin de mejorar la gestión de Políticas Institucionales en el Poder Judicial, se recomienda:</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b/>
          <w:b/>
          <w:i/>
          <w:i/>
          <w:iCs/>
          <w:sz w:val="20"/>
          <w:szCs w:val="20"/>
          <w:u w:val="single"/>
        </w:rPr>
      </w:pPr>
      <w:r>
        <w:rPr>
          <w:rFonts w:cs="Tahoma" w:ascii="Tahoma" w:hAnsi="Tahoma"/>
          <w:b/>
          <w:i/>
          <w:iCs/>
          <w:sz w:val="20"/>
          <w:szCs w:val="20"/>
          <w:u w:val="single"/>
        </w:rPr>
        <w:t>A la Corte Plena:</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8.1. Aprobar el </w:t>
      </w:r>
      <w:bookmarkStart w:id="14" w:name="_Hlk9341020"/>
      <w:r>
        <w:rPr>
          <w:rFonts w:cs="Tahoma" w:ascii="Tahoma" w:hAnsi="Tahoma"/>
          <w:i/>
          <w:iCs/>
          <w:sz w:val="20"/>
          <w:szCs w:val="20"/>
        </w:rPr>
        <w:t>“Modelo de Gestión (formulación, implementación, seguimiento y evaluación) de Políticas Institucionales”, que se detalla en el capítulo 3 de este informe.</w:t>
      </w:r>
      <w:bookmarkEnd w:id="14"/>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 xml:space="preserve">8.2. Solicitar a la Secretaría General de la Corte, la publicación mediante circular del </w:t>
      </w:r>
      <w:bookmarkStart w:id="15" w:name="_Hlk24468507"/>
      <w:r>
        <w:rPr>
          <w:rFonts w:cs="Tahoma" w:ascii="Tahoma" w:hAnsi="Tahoma"/>
          <w:i/>
          <w:iCs/>
          <w:sz w:val="20"/>
          <w:szCs w:val="20"/>
        </w:rPr>
        <w:t>“Modelo de Gestión (formulación, implementación, seguimiento y evaluación) de Políticas Institucionales”</w:t>
      </w:r>
      <w:bookmarkEnd w:id="15"/>
      <w:r>
        <w:rPr>
          <w:rFonts w:cs="Tahoma" w:ascii="Tahoma" w:hAnsi="Tahoma"/>
          <w:i/>
          <w:iCs/>
          <w:sz w:val="20"/>
          <w:szCs w:val="20"/>
        </w:rPr>
        <w:t xml:space="preserve">, indicando que este modelo aplica para la gestión de nuevas políticas institucionales de índole social o institucional (capítulo 3).  Ver propuesta de circular adjunta: </w:t>
      </w:r>
    </w:p>
    <w:p>
      <w:pPr>
        <w:pStyle w:val="Normal"/>
        <w:ind w:left="851" w:right="851" w:firstLine="709"/>
        <w:jc w:val="both"/>
        <w:rPr>
          <w:rFonts w:ascii="Tahoma" w:hAnsi="Tahoma" w:cs="Tahoma"/>
          <w:i/>
          <w:i/>
          <w:iCs/>
          <w:sz w:val="20"/>
          <w:szCs w:val="20"/>
        </w:rPr>
      </w:pPr>
      <w:r>
        <w:rPr>
          <w:rFonts w:cs="Tahoma" w:ascii="Tahoma" w:hAnsi="Tahoma"/>
          <w:i/>
          <w:iCs/>
          <w:sz w:val="20"/>
          <w:szCs w:val="20"/>
        </w:rPr>
      </w:r>
      <w:bookmarkStart w:id="16" w:name="_MON_1636196255"/>
      <w:bookmarkStart w:id="17" w:name="_MON_1636196255"/>
      <w:bookmarkEnd w:id="17"/>
    </w:p>
    <w:p>
      <w:pPr>
        <w:pStyle w:val="Normal"/>
        <w:ind w:left="851" w:right="851" w:firstLine="709"/>
        <w:jc w:val="center"/>
        <w:rPr>
          <w:rFonts w:ascii="Tahoma" w:hAnsi="Tahoma" w:cs="Tahoma"/>
          <w:i/>
          <w:i/>
          <w:iCs/>
          <w:sz w:val="20"/>
          <w:szCs w:val="20"/>
        </w:rPr>
      </w:pPr>
      <w:r>
        <w:rPr/>
        <w:object>
          <v:shape id="ole_rId14" style="width:79pt;height:51pt" o:ole="">
            <v:imagedata r:id="rId15" o:title=""/>
          </v:shape>
          <o:OLEObject Type="Embed" ProgID="Word.Document.12" ShapeID="ole_rId14" DrawAspect="Icon" ObjectID="_388650004" r:id="rId14"/>
        </w:objec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8.3. Aprobar el diseño e impresión de al menos 50 ejemplares del documento “Modelo de Gestión (formulación, implementación, seguimiento y evaluación) de Políticas Institucionales” para que la Dirección de Planificación los distribuya a las diferentes instancias que gestionan políticas institucionales.</w:t>
      </w:r>
    </w:p>
    <w:p>
      <w:pPr>
        <w:pStyle w:val="Normal"/>
        <w:ind w:left="851" w:right="851" w:firstLine="709"/>
        <w:jc w:val="both"/>
        <w:rPr>
          <w:rFonts w:ascii="Tahoma" w:hAnsi="Tahoma" w:cs="Tahoma"/>
          <w:i/>
          <w:i/>
          <w:iCs/>
          <w:sz w:val="20"/>
          <w:szCs w:val="20"/>
        </w:rPr>
      </w:pPr>
      <w:r>
        <w:rPr>
          <w:rFonts w:cs="Tahoma" w:ascii="Tahoma" w:hAnsi="Tahoma"/>
          <w:i/>
          <w:iCs/>
          <w:sz w:val="20"/>
          <w:szCs w:val="20"/>
        </w:rPr>
      </w:r>
    </w:p>
    <w:p>
      <w:pPr>
        <w:pStyle w:val="Normal"/>
        <w:ind w:left="851" w:right="851" w:firstLine="709"/>
        <w:jc w:val="both"/>
        <w:rPr>
          <w:rFonts w:ascii="Tahoma" w:hAnsi="Tahoma" w:cs="Tahoma"/>
          <w:i/>
          <w:i/>
          <w:iCs/>
          <w:sz w:val="20"/>
          <w:szCs w:val="20"/>
        </w:rPr>
      </w:pPr>
      <w:r>
        <w:rPr>
          <w:rFonts w:cs="Tahoma" w:ascii="Tahoma" w:hAnsi="Tahoma"/>
          <w:i/>
          <w:iCs/>
          <w:sz w:val="20"/>
          <w:szCs w:val="20"/>
        </w:rPr>
        <w:t>8.4. Aprobar el “Proceso de Gestión Estratégica de Políticas Institucionales (Alineación Estratégica)”, contenido en el capítulo 4 de este informe, que incluye la elaboración de un informe anual de seguimiento y evaluación de los resultados obtenidos de la gestión de las políticas institucionales, a cargo del Subproceso de Evaluación de la Dirección de Planificación, con el fin de que sea conocido por la Corte Plena para la toma de decisiones correspondiente.”</w:t>
      </w:r>
    </w:p>
    <w:p>
      <w:pPr>
        <w:pStyle w:val="Normal"/>
        <w:ind w:firstLine="709"/>
        <w:jc w:val="both"/>
        <w:rPr>
          <w:rFonts w:ascii="Tahoma" w:hAnsi="Tahoma" w:cs="Tahoma"/>
          <w:b/>
          <w:b/>
          <w:bCs/>
          <w:i/>
          <w:i/>
          <w:iCs/>
          <w:sz w:val="20"/>
          <w:szCs w:val="20"/>
        </w:rPr>
      </w:pPr>
      <w:r>
        <w:rPr>
          <w:rFonts w:cs="Tahoma" w:ascii="Tahoma" w:hAnsi="Tahoma"/>
          <w:b/>
          <w:bCs/>
          <w:i/>
          <w:iCs/>
          <w:sz w:val="20"/>
          <w:szCs w:val="20"/>
        </w:rPr>
        <w:t>SALE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MX"/>
        </w:rPr>
      </w:pPr>
      <w:r>
        <w:rPr>
          <w:rFonts w:cs="Tahoma" w:ascii="Tahoma" w:hAnsi="Tahoma"/>
          <w:i/>
          <w:iCs/>
          <w:sz w:val="20"/>
          <w:szCs w:val="20"/>
        </w:rPr>
        <w:t xml:space="preserve">Se concede el uso de la palabra a la licenciada Nacira Valverde Bermúdez, quien expone: </w:t>
      </w:r>
      <w:r>
        <w:rPr>
          <w:rFonts w:cs="Tahoma" w:ascii="Tahoma" w:hAnsi="Tahoma"/>
          <w:i/>
          <w:iCs/>
          <w:sz w:val="20"/>
          <w:szCs w:val="20"/>
          <w:lang w:eastAsia="es-MX"/>
        </w:rPr>
        <w:t xml:space="preserve">"Esta propuesta se realizó mediante el oficio 1995 del 27 de noviembre de 2019. Es una propuesta que se está realizando de cómo implementar y cómo desarrollar las Políticas en el Poder Judicial. </w:t>
      </w:r>
    </w:p>
    <w:p>
      <w:pPr>
        <w:pStyle w:val="Normal"/>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Comentarles un poco que este informe fue remitido a consulta a bastantes oficinas en el Poder Judicial, ya que es fundamental que todos los conocieran porque resulta vital para el funcionamiento para el Poder Judicial y para esta Corte, ya que es la que fija los lineamientos en relación con las políticas que se desarrollan para el Poder Judicial. También fue de conocimiento del Comité de planeación y estratégica. Ahí está representada la Presidencia de la Corte, Dirección de Tecnología de la Información, Dirección Jurídica, Dirección Ejecutiva, Dirección de Gestión Humana, Despacho de la Presidencia y miembros del Consejo Superior.</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Se envió de consulta y el informe fue contenido de observaciones por este grupo de personas como tal.</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agenda lo que trae es el informe, varios antecedentes, que son las políticas, la situación actual de hoy, las políticas en el Poder Judicial, la propuesta de gestión de política y el proceso de gestión estratégica de esas políticas institucionales que tenemos hoy en día.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Como antecedente hay que tomar en consideración no solamente importante resaltar la necesidad de poder tener mecanismos de seguimiento, sino que el segundo informe del Estado de la Justicia genera una recomendación o un indicador a esta Corte en temas de Consejo Superior y desconcentración de funciones, que le llamó el Estado de la Justicia.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Uno de los indicadores propuestos por el Estado de la Justicia era el poder determinar cuál era el mecanismo de seguimiento de las políticas institucionales, ya que hoy en día había muchas políticas, pero no había instrumentos claros para poder medir todo el impacto y el aporte que tenían cada una de esas políticas.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Otro de los antecedentes no es solamente el informe del Estado de la Justicia o de la Nación, sino también el modelo de gestión estratégica que aprobó esta Corte con el Plan Estratégico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Lo que está encerrado en un círculo en el apartado N°6 se indica que parte del Modelo de Gestión Estratégica, es la gestión de las Políticas Institucionales.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Partiendo de lo que indicó el Estado de la Justicia, más lo que se aprueba en el Modelo de Gestión Estratégica, es que hoy responde la presentación de este informe a esta Corte como uno de los mecanismos para cumplir también, lo que es la estrategia en el Poder Judicial.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En el apartado de los temas estratégicos del Plan Estratégico del Poder Judicial en el N°5 que está al final dice “Planificación Institucional” y una de las acciones estratégicas donde se indicó cómo se iban a cumplir estas acciones, era a través de la Gestión Estratégica Institucional, la Gestión de Políticas Institucionales y la Gestión Administrativa por medio del portafolio de proyectos estratégicos.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Este estudio nuevamente responde también al planteamiento de lo que es un mecanismo para cumplir el Plan Estratégico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¿Por qué es de relevancia poder entender hoy este informe? Porque es lo que le serviría de pauta a las oficinas y a esta Corte como tal, para poder de aquí en adelante redireccionar todas las propuestas de política que se realicen.</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No solamente mecanismos de seguimiento, sino mecanismos para poder orientar a esta Corte en cómo aprobar el que se inicie un proceso de políticas. Como qué son las políticas, les canalizamos dos conceptos básicos: Uno, qué es lo que indica la CEPAL y dos, lo que indica MIDEPLAN.</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Los dos nos llevan a poder determinar en que las políticas son esos cursos o esos flujos de información que se relacionan con ese objetivo político que se plantea para poder orientar y desarrollar en el sector público las acciones que se requieran.</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El MIDEPLAN es un poco más específico y determina el curso o línea de acción definida para orientar y alcanzar un fin, que se expresa en directrices, en lineamientos y en objetivos estratégicos y acciones sobre un tema a desarrollar. Esto explica la voluntad política traducida en decisiones.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Precisamente las políticas, al implementarse en el Poder Judicial viene a plasmarse hoy como una voluntad política de esta Corte para que se inicie un proceso de implementación de políticas en el Poder Judicial.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 xml:space="preserve">Quisimos pensar que eran políticas, tropicalizado el término en el Poder Judicial. Lo delimitamos o lo construimos como la Política Institucional de impacto social o institucional, porque estas políticas que nosotros analizamos hoy -las vigentes- hay algunas que tienen un impacto institucional y otras que van más allá solamente de la institución, sino que también tienen un impacto a nivel social.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Ahí pusimos como término que era una guía orientadora que se expresa en los objetivos, la línea de acción y de resultados esperados sobre un tema y la atención o transformación de un problema de interés institucional o social que se sustenta de los mandatos, acuerdos o compromisos Nacional e Internacionales del Poder Judicial. Es decir, tropicalizamos nuestro concepto de política aplicable al Poder Judicial. Revisando lo que tenemos hoy vigente, tenemos otras políticas institucionales, sin embargo, esas son de índole operativo. Ahí tenemos algunas que son: lineamientos, directrices, guías prácticas, procedimientos; entre otros, dirigidos al logro de la administración. Sin embargo, para efectos de ubicarnos en este informe, esas políticas de índole operativo no están siendo analizadas en esta propuesta como tal. En esta propuesta como tal, hoy lo que viene es el procedimiento para lo que es la política institucional de impacto social o institucional, no las de índole administrativo.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Las de índole administrativo serán de una segunda etapa en la que estamos trabajando en este momento.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 xml:space="preserve">Hoy en el Poder Judicial hicimos todo un recuento en las diferentes oficinas y podemos determinar que tenemos 34 políticas vigentes en la institución. También hemos visto en el Plan Estratégico Institucional como tenemos 6 iniciativas de políticas que están ahí para poder desarrollarse. </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Estas 34 políticas que hoy están vigentes, lo que estamos haciendo es un recuento de esas políticas porque las que ya están vigentes, lo que estamos recomendando son esos mecanismos de seguimiento para que puedan seguir reportando las acciones que se están realizando.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propuesta que también se trae aquí es para lo que son las políticas nuevas. El modelo propiamente de gestión de las políticas institucionales trae 4 apartados: 1. lo que es la formulación, 2. la implementación, 3. el seguimiento y 4. la evaluación.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Aquí a diferencia del procedimiento que existía que es lo que se está proponiendo. Cuando se ha presentado alguna política inicialmente lo que se ha realizado es que aquí llega prácticamente todo el documento, llega cuando se está implementando y cuando todas las necesidades y todas las cosas ya están generadas.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La propuesta que se está planteando ya que la Corte es el que fija lineamientos, es que la iniciativa para la elaboración de esa política institucional que se proponga, venga de previo a Corte.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Esa instancia judicial proponente debe analizar el cumplimiento de los criterios que define la política institucional. Esta instancia proponente va a remitir la solicitud normal a la Corte indicando el tema o problema a resolver y la manera que considera que se cumple la política institucional.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 xml:space="preserve">Es la Corte Plena la que va a establecer si la propuesta es de interés institucional y si la aprueba o no la elaboración de la nueva política. Si se aprueba la instancia judicial proponente podrá iniciar la elaboración de la política institucional utilizando como guía el modelo que ya les vamos a indicar.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El paso 1 es traer a la Corte Plena el proponente, la iniciativa para construir la política.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rPr>
      </w:pPr>
      <w:r>
        <w:rPr>
          <w:rFonts w:cs="Tahoma" w:ascii="Tahoma" w:hAnsi="Tahoma"/>
          <w:i/>
          <w:iCs/>
          <w:sz w:val="20"/>
          <w:szCs w:val="20"/>
          <w:lang w:eastAsia="es-MX"/>
        </w:rPr>
        <w:t xml:space="preserve">Si Corte Plena aprueba esa iniciativa, ahora considerando algunos criterios que deberán considerarse, va a tener que responder en esa iniciativa si es de interés institucional, si es de índole social o impacta socialmente, si incide directamente en la generación del valor público, entendiéndose valor público como el valor que se genera en la medida en que las personas usuarias reconozcan y confíen en el resultado </w:t>
      </w:r>
      <w:r>
        <w:rPr>
          <w:rFonts w:cs="Tahoma" w:ascii="Tahoma" w:hAnsi="Tahoma"/>
          <w:i/>
          <w:iCs/>
          <w:sz w:val="20"/>
          <w:szCs w:val="20"/>
        </w:rPr>
        <w:t xml:space="preserve">del servicio de administración de justicia como respuesta adecuada a sus necesidades. </w:t>
      </w:r>
    </w:p>
    <w:p>
      <w:pPr>
        <w:pStyle w:val="Normal"/>
        <w:widowControl w:val="false"/>
        <w:ind w:firstLine="709"/>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Va a tener que decir o indicar en la solicitud si responde a un mandato de ley, si responde a un acuerdo o compromiso en el Poder Judicial y si se relaciona con el Plan Estratégico Institucional. Con estos criterios la oficina proponente planteará la propuesta inicial para la elaboración posterior de la política a la Corte Plena.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Una vez que se apruebe -si llega a ser aprobada la elaboración de esta política- se procede a la aplicación del modelo de gestión de política que aquí les explicamos.</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 xml:space="preserve">Este modelo propiamente ahora sí va a tener cuatro pasos. El primero es el diagnóstico, va a haber un pequeño diagnóstico en donde se delimita el problema, se revisa el marco legal que un poco ya tuvo que haber visto desde la iniciativa y se analiza el problema. El segundo paso es la elaboración y aprobación de la política, ahí se establece una metodología, la elaboración de la propuesta y la validación y aprobación de la política. </w:t>
      </w:r>
    </w:p>
    <w:p>
      <w:pPr>
        <w:pStyle w:val="Normal"/>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i/>
          <w:i/>
          <w:iCs/>
          <w:sz w:val="20"/>
          <w:szCs w:val="20"/>
        </w:rPr>
      </w:pPr>
      <w:r>
        <w:rPr>
          <w:rFonts w:cs="Tahoma" w:ascii="Tahoma" w:hAnsi="Tahoma"/>
          <w:i/>
          <w:iCs/>
          <w:sz w:val="20"/>
          <w:szCs w:val="20"/>
        </w:rPr>
        <w:t>Todo esto si ustedes lo ven, hay una flechita en donde dice que va a tener transversal participación ciudadana y participación tanto institucional como interinstitucional.</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 xml:space="preserve">En el apartado número tres, va a tener que proponerse lo que es la implementación de la política, se va a proponer alineado al Plan Estratégico y alineado a los Planes Anuales Operativos, y en el punto número cuatro en el seguimiento y evaluación. </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ab/>
        <w:t>Esta propuesta que nosotros les traemos acá también está alineada con el modelo de que hoy trabaja también MIDEPLAN, solamente que le hemos realizado algunas adaptaciones a nuestros procesos institucionales."</w:t>
      </w:r>
    </w:p>
    <w:p>
      <w:pPr>
        <w:pStyle w:val="Normal"/>
        <w:jc w:val="both"/>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ALFARO. SALEN EL MAGISTRADO AGUIRRE Y EL SUPLENTE DESANTI HENDERSON.</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i/>
          <w:i/>
          <w:iCs/>
          <w:sz w:val="20"/>
          <w:szCs w:val="20"/>
        </w:rPr>
      </w:pPr>
      <w:r>
        <w:rPr>
          <w:rFonts w:cs="Tahoma" w:ascii="Tahoma" w:hAnsi="Tahoma"/>
          <w:i/>
          <w:iCs/>
          <w:sz w:val="20"/>
          <w:szCs w:val="20"/>
        </w:rPr>
        <w:tab/>
        <w:t>Consulta el magistrado Molinari: "Es una pregunta licenciada Valverde Bermúdez. Si tal vez nos devolvemos a la anterior, para efectos de la definición de la política que ustedes están proponiendo que se haga aquí en Corte Plena supongo que los pasos uno y dos están previamente dados o ¿no es así?"</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 xml:space="preserve">Contesta </w:t>
      </w:r>
      <w:r>
        <w:rPr>
          <w:rFonts w:eastAsia="Calibri" w:cs="Tahoma" w:ascii="Tahoma" w:hAnsi="Tahoma"/>
          <w:i/>
          <w:iCs/>
          <w:sz w:val="20"/>
          <w:szCs w:val="20"/>
        </w:rPr>
        <w:t xml:space="preserve">la licenciada </w:t>
      </w:r>
      <w:r>
        <w:rPr>
          <w:rFonts w:cs="Tahoma" w:ascii="Tahoma" w:hAnsi="Tahoma"/>
          <w:i/>
          <w:iCs/>
          <w:sz w:val="20"/>
          <w:szCs w:val="20"/>
        </w:rPr>
        <w:t>Valverde Bermúdez</w:t>
      </w:r>
      <w:r>
        <w:rPr>
          <w:rFonts w:eastAsia="Calibri" w:cs="Tahoma" w:ascii="Tahoma" w:hAnsi="Tahoma"/>
          <w:i/>
          <w:iCs/>
          <w:sz w:val="20"/>
          <w:szCs w:val="20"/>
          <w:lang w:eastAsia="es-ES_tradnl"/>
        </w:rPr>
        <w:t>: "El paso uno que es el previamente, posiblemente ya casi va a estar contenido en la propuesta que les llegue aqu</w:t>
      </w:r>
      <w:r>
        <w:rPr>
          <w:rFonts w:cs="Tahoma" w:ascii="Tahoma" w:hAnsi="Tahoma"/>
          <w:i/>
          <w:iCs/>
          <w:sz w:val="20"/>
          <w:szCs w:val="20"/>
          <w:lang w:eastAsia="es-ES_tradnl"/>
        </w:rPr>
        <w:t>í inicialmente, porque parte de la definición del problema, parte del marco legal es lo que les indicamos que serían estas preguntas que se tienen que responder en el planteamiento que se haga aquí a la Corte."</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jc w:val="both"/>
        <w:rPr>
          <w:rFonts w:ascii="Tahoma" w:hAnsi="Tahoma" w:cs="Tahoma"/>
          <w:i/>
          <w:i/>
          <w:iCs/>
          <w:sz w:val="20"/>
          <w:szCs w:val="20"/>
        </w:rPr>
      </w:pPr>
      <w:r>
        <w:rPr>
          <w:rFonts w:cs="Tahoma" w:ascii="Tahoma" w:hAnsi="Tahoma"/>
          <w:i/>
          <w:iCs/>
          <w:sz w:val="20"/>
          <w:szCs w:val="20"/>
          <w:lang w:eastAsia="es-ES_tradnl"/>
        </w:rPr>
        <w:tab/>
        <w:t xml:space="preserve">Prosigue el </w:t>
      </w:r>
      <w:r>
        <w:rPr>
          <w:rFonts w:eastAsia="Calibri" w:cs="Tahoma" w:ascii="Tahoma" w:hAnsi="Tahoma"/>
          <w:i/>
          <w:iCs/>
          <w:sz w:val="20"/>
          <w:szCs w:val="20"/>
        </w:rPr>
        <w:t>magistrado Molinari: "Volvamos a ese gráfico. En la elaboraci</w:t>
      </w:r>
      <w:r>
        <w:rPr>
          <w:rFonts w:cs="Tahoma" w:ascii="Tahoma" w:hAnsi="Tahoma"/>
          <w:i/>
          <w:iCs/>
          <w:sz w:val="20"/>
          <w:szCs w:val="20"/>
        </w:rPr>
        <w:t>ón y aprobación de la política institucional habla de una metodología, de una elaboración de la propuesta de la política y una validación y aprobación de la política, es porque yo sentí que es ahí donde nosotros entramos, pero que vendrá con una metodología porque si vamos a aprobar una política institucional supongo que tendrá que tener un contenido metodológico como para poder decir: “vamos a ejecutar esta política de esta manera”. Nada más para estar claro."</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 xml:space="preserve">Aclara </w:t>
      </w:r>
      <w:r>
        <w:rPr>
          <w:rFonts w:eastAsia="Calibri" w:cs="Tahoma" w:ascii="Tahoma" w:hAnsi="Tahoma"/>
          <w:i/>
          <w:iCs/>
          <w:sz w:val="20"/>
          <w:szCs w:val="20"/>
          <w:lang w:eastAsia="es-MX"/>
        </w:rPr>
        <w:t xml:space="preserve">la licenciada </w:t>
      </w:r>
      <w:r>
        <w:rPr>
          <w:rFonts w:cs="Tahoma" w:ascii="Tahoma" w:hAnsi="Tahoma"/>
          <w:i/>
          <w:iCs/>
          <w:sz w:val="20"/>
          <w:szCs w:val="20"/>
          <w:lang w:eastAsia="es-MX"/>
        </w:rPr>
        <w:t>Valverde Bermúdez</w:t>
      </w:r>
      <w:r>
        <w:rPr>
          <w:rFonts w:eastAsia="Calibri" w:cs="Tahoma" w:ascii="Tahoma" w:hAnsi="Tahoma"/>
          <w:i/>
          <w:iCs/>
          <w:sz w:val="20"/>
          <w:szCs w:val="20"/>
          <w:lang w:eastAsia="es-ES_tradnl"/>
        </w:rPr>
        <w:t>: "La propuesta que viene aqu</w:t>
      </w:r>
      <w:r>
        <w:rPr>
          <w:rFonts w:cs="Tahoma" w:ascii="Tahoma" w:hAnsi="Tahoma"/>
          <w:i/>
          <w:iCs/>
          <w:sz w:val="20"/>
          <w:szCs w:val="20"/>
          <w:lang w:eastAsia="es-ES_tradnl"/>
        </w:rPr>
        <w:t>í es de dos momentos. Una es el interés institucional del tema a desarrollar en la política, ese es el primer momento en donde el lineamiento de Corte se aprueba y el segundo momento, ahora sí es aprobar la política pero con toda la elaboración ya diciéndole a Corte, esto cuesta tanto, esto se va a implementar de esta forma y esto se va a desarrollar de esta forma y consultado a todas las instancias también que tienen que ver con el desarrollo de la política. Entonces, la propuesta va en esas dos vías. La primera es el lineamiento, tema, si es de importancia y la segunda, ahora sí, todo el desarrollo que va a venir en un segundo momento.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política como tal o el documento que se espera traer tiene varios componentes básicos que ya traería el documento final o en el segundo momento de la propuesta, la portada, la introducción, el índice, tendríamos la definición y delimitación, el marco legal, el análisis, aquí tendríamos la metodología.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metodología es participativa, es a nivel de talleres, es a nivel toda con grupos de trabajo definiríamos las poblaciones o grupos beneficiarios, a quienes se les dirige e impacta la política, el alineamiento con los ejes trasversales del Plan Estratégico, temas prioritarios, ahí desarrollaríamos objetivos, líneas de acción, resultados esperados y lo más importante los indicadores de resultados de la implementación de la política, que esto ha sido un tema que no se ha desarrollado.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Que estos temas son los que hoy día son los que no se han desarrollado en las políticas que se han propuesto, por tanto, ha sido difícil poder determinar cuantitativamente cual ha sido el impacto de estas iniciativas y lo más importante es el plan de acción.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El plan de acción, ahí si va a desarrollar el análisis e impacto presupuestario de la implementación de esas políticas y la definición del modelo de gestión para la implementación, seguimiento y evaluación.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Quiere decir que la propuesta que vendrá aquí de políticas va a tener ese estudio de previo para poder ver si es viable o no institucionalmente la aplicación de estas políticas."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SOLÍS.</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Expresa el Magistrado Molinari: "Supongo que la idea para efectos de proponer alguna política pues nacerá en algún lugar equis, nada más como para yo tener también una mejor idea y quién colabora a elaborar todo eso para efectos de que venga a Corte Plena, nosotros la podamos aprobar y continuar incluso con el desarrollo, con la implementación y evaluación de esa política.</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¿Quién? ¿Qué departamento es el que se encarga?¿Cuál subproceso? Si es de planificación o no sé, para tener claro ese tema también."</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eastAsia="Calibri" w:cs="Tahoma"/>
          <w:i/>
          <w:i/>
          <w:iCs/>
          <w:sz w:val="20"/>
          <w:szCs w:val="20"/>
          <w:lang w:eastAsia="es-ES_tradnl"/>
        </w:rPr>
      </w:pPr>
      <w:r>
        <w:rPr>
          <w:rFonts w:cs="Tahoma" w:ascii="Tahoma" w:hAnsi="Tahoma"/>
          <w:i/>
          <w:iCs/>
          <w:sz w:val="20"/>
          <w:szCs w:val="20"/>
          <w:lang w:eastAsia="es-ES_tradnl"/>
        </w:rPr>
        <w:t xml:space="preserve">Responde </w:t>
      </w:r>
      <w:r>
        <w:rPr>
          <w:rFonts w:eastAsia="Calibri" w:cs="Tahoma" w:ascii="Tahoma" w:hAnsi="Tahoma"/>
          <w:i/>
          <w:iCs/>
          <w:sz w:val="20"/>
          <w:szCs w:val="20"/>
          <w:lang w:eastAsia="es-MX"/>
        </w:rPr>
        <w:t>la m</w:t>
      </w:r>
      <w:r>
        <w:rPr>
          <w:rFonts w:cs="Tahoma" w:ascii="Tahoma" w:hAnsi="Tahoma"/>
          <w:i/>
          <w:iCs/>
          <w:sz w:val="20"/>
          <w:szCs w:val="20"/>
          <w:lang w:eastAsia="es-MX"/>
        </w:rPr>
        <w:t>áster Valverde Bermúdez</w:t>
      </w:r>
      <w:r>
        <w:rPr>
          <w:rFonts w:eastAsia="Calibri" w:cs="Tahoma" w:ascii="Tahoma" w:hAnsi="Tahoma"/>
          <w:i/>
          <w:iCs/>
          <w:sz w:val="20"/>
          <w:szCs w:val="20"/>
          <w:lang w:eastAsia="es-ES_tradnl"/>
        </w:rPr>
        <w:t xml:space="preserve">: "En la presentación que viene, ya está un poco el resumen de esa consulta que nos hace el magistrado Molinari. </w:t>
      </w:r>
    </w:p>
    <w:p>
      <w:pPr>
        <w:pStyle w:val="Normal"/>
        <w:ind w:firstLine="709"/>
        <w:jc w:val="both"/>
        <w:rPr>
          <w:rFonts w:ascii="Tahoma" w:hAnsi="Tahoma" w:eastAsia="Calibri" w:cs="Tahoma"/>
          <w:i/>
          <w:i/>
          <w:iCs/>
          <w:sz w:val="20"/>
          <w:szCs w:val="20"/>
          <w:lang w:eastAsia="es-ES_tradnl"/>
        </w:rPr>
      </w:pPr>
      <w:r>
        <w:rPr>
          <w:rFonts w:eastAsia="Calibri"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El primer paso es la instancia o comisi</w:t>
      </w:r>
      <w:r>
        <w:rPr>
          <w:rFonts w:cs="Tahoma" w:ascii="Tahoma" w:hAnsi="Tahoma"/>
          <w:i/>
          <w:iCs/>
          <w:sz w:val="20"/>
          <w:szCs w:val="20"/>
          <w:lang w:eastAsia="es-ES_tradnl"/>
        </w:rPr>
        <w:t>ón institucional. Nosotros siempre vamos a participar como la parte técnica, participaría como esa parte técnica que les daría la orientación en metodologías de trabajo, de hecho, ya hoy lo estamos haciendo con algunas Comisiones para poder orientar esos métodos o formas de trabajo.</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Pero inicialmente la instancia o comisión institucional solicita la aprobación a la Corte Plena sobre la propuesta para la elaboración de la política institucional basado en los criterios ya antes expresados.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Corte Plena es la que establece si la propuesta es de interés institucional y aprueba o no la elaboración de esta nueva política. La instancia o comisión institucional elabora la propuesta de la política según el modelo que ya dijimos que también tiene cuatro pasos, ese modelo como tal, la propuesta es que se remita a la Dirección de Planificación y a la Dirección Jurídica de previo a que venga aquí.</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eastAsia="Calibri" w:cs="Tahoma" w:ascii="Tahoma" w:hAnsi="Tahoma"/>
          <w:i/>
          <w:iCs/>
          <w:sz w:val="20"/>
          <w:szCs w:val="20"/>
          <w:lang w:eastAsia="es-ES_tradnl"/>
        </w:rPr>
        <w:tab/>
        <w:t>La Direcci</w:t>
      </w:r>
      <w:r>
        <w:rPr>
          <w:rFonts w:cs="Tahoma" w:ascii="Tahoma" w:hAnsi="Tahoma"/>
          <w:i/>
          <w:iCs/>
          <w:sz w:val="20"/>
          <w:szCs w:val="20"/>
          <w:lang w:eastAsia="es-ES_tradnl"/>
        </w:rPr>
        <w:t>ón de Planificación revisará toda la metodología, todo el procedimiento que aquí se está exponiendo y la Dirección Jurídica revisará a partir del criterio jurídico sobre el marco legal que está exponiendo en la política.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 xml:space="preserve">Después de que pasa a estas dos instancias, al instancia o comisión que fue la proponente atiende las recomendaciones de los órganos técnicos y remite la propuesta actualizada a la Secretaria General de la Corte con copia de información a estos dos: Dirección de Planificación y Dirección Jurídica para que sea remitida aquí a la Corte Plena. Entonces pasa por esas remisiones de previo antes de venir aquí a la Corte Plena. </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Ahora, propiamente el proceso de gestión estratégica como tal global. Este era el específico y ahora el global.</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Ya para poder conocer ahora si los resultados de las políticas, entonces ¿qué estamos proponiendo en este resultado final? </w:t>
      </w:r>
      <w:r>
        <w:rPr>
          <w:rFonts w:cs="Tahoma" w:ascii="Tahoma" w:hAnsi="Tahoma"/>
          <w:b/>
          <w:bCs/>
          <w:i/>
          <w:iCs/>
          <w:sz w:val="20"/>
          <w:szCs w:val="20"/>
          <w:lang w:eastAsia="es-ES_tradnl"/>
        </w:rPr>
        <w:t>1)</w:t>
      </w:r>
      <w:r>
        <w:rPr>
          <w:rFonts w:cs="Tahoma" w:ascii="Tahoma" w:hAnsi="Tahoma"/>
          <w:i/>
          <w:iCs/>
          <w:sz w:val="20"/>
          <w:szCs w:val="20"/>
          <w:lang w:eastAsia="es-ES_tradnl"/>
        </w:rPr>
        <w:t xml:space="preserve"> Elaborar un informe anual de la evaluación de los resultados de la incidencia de la ejecución de la política, este resultado como ya previamente han desarrollado indicadores debería de ser muy sencilla la evaluación ya que previamente se tuvieron que haber desarrollado esos indicadores. Eso se remite a la Dirección de Planificación, quien recoge un informe anual que elabora, el cual va a remitir de previo a este grupo, a este comité de Planeación Estratégica para su conocimiento y observaciones o valoraciones si tuviese que realizar ese comité </w:t>
      </w:r>
      <w:r>
        <w:rPr>
          <w:rFonts w:eastAsia="Calibri" w:cs="Tahoma" w:ascii="Tahoma" w:hAnsi="Tahoma"/>
          <w:i/>
          <w:iCs/>
          <w:sz w:val="20"/>
          <w:szCs w:val="20"/>
          <w:lang w:eastAsia="es-ES_tradnl"/>
        </w:rPr>
        <w:t>conoce el informe de pol</w:t>
      </w:r>
      <w:r>
        <w:rPr>
          <w:rFonts w:cs="Tahoma" w:ascii="Tahoma" w:hAnsi="Tahoma"/>
          <w:i/>
          <w:iCs/>
          <w:sz w:val="20"/>
          <w:szCs w:val="20"/>
          <w:lang w:eastAsia="es-ES_tradnl"/>
        </w:rPr>
        <w:t xml:space="preserve">íticas institucionales o de resultado de políticas institucionales.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La Dirección de Planificación una vez que tiene el informe de consulta y de revisión, lo remite a la Secretaria General de la Corte y a las instancias involucradas.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La Corte Plena conoce, aprueba y emite las recomendaciones sobre el informe remitido que considere pertinente en relación con las líneas estratégicas y políticas institucionales que ya están pautadas.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Con esto, podemos decir que se establecería el mecanismo anual de rendición de cuentas de las políticas implementadas que se nos había solicitado por el Estado de la Justicia y que también nos serviría para rendir cuentas a las diferentes oficinas.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En resumen, las recomendaciones que se plantean son las que se indicó, aprobar el modelo de gestión que se detalla en el capítulo tres de este informe. En caso de aprobarse que la Secretaria General de la Corte publique la circular que también se genere en un documento escrito con el Departamento de Impresión del diseño de los cincuenta ejemplares para uso de las diferentes oficinas y aprobar el modelo de gestión estratégica propuesto también para tema de las evaluaciones anuales.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Recordar que la propuesta que se está realizando es para la propuesta de nuevas políticas, no para las existentes, ya que las existentes han desarrollado todo proceso completamente distinto a este.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Eso sería, en resumen."</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Manifiesta la Magistrada Varela: "Me parece muy importante todo lo que nos ha venido a informar doña Nacira y está claro que está generándose una ruta clara de pasos a seguir para mejorar la gestión a nivel institucional en todos los ámbitos.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Mi preocupación radicaría básicamente con esas treinta y cuatro políticas que tenemos, treinta y cuatro creo que señaló, si ya las tenemos en curso, si ya se han invertido recursos, tiempos, recursos económicos y demás, si una revisión de esas sería conveniente o debería de hacerse para ir priorizando también cuales de esas son las que en razón de los recursos económicos que tenemos se van a implementar de primero o si tienen que hacerse simultáneamente porque son transversales según corresponda.</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De manera tal que puedan verse los resultados, los efectivos en la gestión sobre todo especialmente en el área jurisdiccional y otras áreas también son importantes por supuesto, porque esto implica esfuerzos institucionales.</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Estimo que hay que hacer una revisión de esas treinta y cuatro, si hay que hacerle un ajuste reformularlas, hacer esa reformulación y optimizar los recursos que estamos invirtiendo para su cumplimiento.</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tab/>
        <w:t xml:space="preserve">Pregunto más bien ¿podría hacerse ese ajuste con esta buena propuesta estratégica de gestión o no? </w:t>
      </w:r>
    </w:p>
    <w:p>
      <w:pPr>
        <w:pStyle w:val="Normal"/>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Estimo que es necesario desde mi punto vista, pero quisiera oír la opinión experta sobre el tema."</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ind w:firstLine="709"/>
        <w:jc w:val="both"/>
        <w:rPr>
          <w:rFonts w:ascii="Tahoma" w:hAnsi="Tahoma" w:cs="Tahoma"/>
          <w:b/>
          <w:b/>
          <w:bCs/>
          <w:i/>
          <w:i/>
          <w:iCs/>
          <w:sz w:val="20"/>
          <w:szCs w:val="20"/>
        </w:rPr>
      </w:pPr>
      <w:r>
        <w:rPr>
          <w:rFonts w:cs="Tahoma" w:ascii="Tahoma" w:hAnsi="Tahoma"/>
          <w:b/>
          <w:bCs/>
          <w:i/>
          <w:iCs/>
          <w:sz w:val="20"/>
          <w:szCs w:val="20"/>
        </w:rPr>
        <w:t>ENTRA EL MAGISTRADO AGUIRRE. SALE EL MAGISTRADO ARAYA.</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t xml:space="preserve">Señala </w:t>
      </w:r>
      <w:r>
        <w:rPr>
          <w:rFonts w:eastAsia="Calibri" w:cs="Tahoma" w:ascii="Tahoma" w:hAnsi="Tahoma"/>
          <w:i/>
          <w:iCs/>
          <w:sz w:val="20"/>
          <w:szCs w:val="20"/>
          <w:lang w:eastAsia="es-MX"/>
        </w:rPr>
        <w:t xml:space="preserve">la licenciada </w:t>
      </w:r>
      <w:r>
        <w:rPr>
          <w:rFonts w:cs="Tahoma" w:ascii="Tahoma" w:hAnsi="Tahoma"/>
          <w:i/>
          <w:iCs/>
          <w:sz w:val="20"/>
          <w:szCs w:val="20"/>
          <w:lang w:eastAsia="es-MX"/>
        </w:rPr>
        <w:t>Valverde Bermúdez</w:t>
      </w:r>
      <w:r>
        <w:rPr>
          <w:rFonts w:eastAsia="Calibri" w:cs="Tahoma" w:ascii="Tahoma" w:hAnsi="Tahoma"/>
          <w:i/>
          <w:iCs/>
          <w:sz w:val="20"/>
          <w:szCs w:val="20"/>
          <w:lang w:eastAsia="es-ES_tradnl"/>
        </w:rPr>
        <w:t>: "Sí, tal vez las treinta y cuatro políticas vigentes Magistrada Varela ya se est</w:t>
      </w:r>
      <w:r>
        <w:rPr>
          <w:rFonts w:cs="Tahoma" w:ascii="Tahoma" w:hAnsi="Tahoma"/>
          <w:i/>
          <w:iCs/>
          <w:sz w:val="20"/>
          <w:szCs w:val="20"/>
          <w:lang w:eastAsia="es-ES_tradnl"/>
        </w:rPr>
        <w:t>án aplicando en el Poder Judicial, ya se vienen trabajando en el Poder Judicial.</w:t>
      </w:r>
    </w:p>
    <w:p>
      <w:pPr>
        <w:pStyle w:val="Normal"/>
        <w:ind w:firstLine="709"/>
        <w:jc w:val="both"/>
        <w:rPr>
          <w:rFonts w:ascii="Tahoma" w:hAnsi="Tahoma" w:cs="Tahoma"/>
          <w:i/>
          <w:i/>
          <w:iCs/>
          <w:sz w:val="20"/>
          <w:szCs w:val="20"/>
          <w:lang w:eastAsia="es-ES_tradnl"/>
        </w:rPr>
      </w:pPr>
      <w:r>
        <w:rPr>
          <w:rFonts w:cs="Tahoma" w:ascii="Tahoma" w:hAnsi="Tahoma"/>
          <w:i/>
          <w:iCs/>
          <w:sz w:val="20"/>
          <w:szCs w:val="20"/>
          <w:lang w:eastAsia="es-ES_tradnl"/>
        </w:rPr>
      </w:r>
    </w:p>
    <w:p>
      <w:pPr>
        <w:pStyle w:val="Normal"/>
        <w:jc w:val="both"/>
        <w:rPr>
          <w:rFonts w:ascii="Tahoma" w:hAnsi="Tahoma" w:cs="Tahoma"/>
          <w:i/>
          <w:i/>
          <w:iCs/>
          <w:sz w:val="20"/>
          <w:szCs w:val="20"/>
          <w:lang w:eastAsia="es-MX"/>
        </w:rPr>
      </w:pPr>
      <w:r>
        <w:rPr>
          <w:rFonts w:cs="Tahoma" w:ascii="Tahoma" w:hAnsi="Tahoma"/>
          <w:i/>
          <w:iCs/>
          <w:sz w:val="20"/>
          <w:szCs w:val="20"/>
          <w:lang w:eastAsia="es-ES_tradnl"/>
        </w:rPr>
        <w:tab/>
        <w:t>Que es tal vez lo que todavía ni tenemos es ese plan de acción específico</w:t>
      </w:r>
      <w:r>
        <w:rPr>
          <w:rFonts w:eastAsia="Calibri" w:cs="Tahoma" w:ascii="Tahoma" w:hAnsi="Tahoma"/>
          <w:i/>
          <w:iCs/>
          <w:sz w:val="20"/>
          <w:szCs w:val="20"/>
          <w:lang w:eastAsia="es-ES_tradnl"/>
        </w:rPr>
        <w:t xml:space="preserve"> para poder determinar, entonces hemos estado trabajando ya con algunas oficinas para poder determinar con ellas un plan de acci</w:t>
      </w:r>
      <w:r>
        <w:rPr>
          <w:rFonts w:cs="Tahoma" w:ascii="Tahoma" w:hAnsi="Tahoma"/>
          <w:i/>
          <w:iCs/>
          <w:sz w:val="20"/>
          <w:szCs w:val="20"/>
          <w:lang w:eastAsia="es-ES_tradnl"/>
        </w:rPr>
        <w:t xml:space="preserve">ón para </w:t>
      </w:r>
      <w:r>
        <w:rPr>
          <w:rFonts w:cs="Tahoma" w:ascii="Tahoma" w:hAnsi="Tahoma"/>
          <w:i/>
          <w:iCs/>
          <w:sz w:val="20"/>
          <w:szCs w:val="20"/>
          <w:lang w:eastAsia="es-MX"/>
        </w:rPr>
        <w:t>documentar y poder más fácilmente dar el resultado hacia la gestión que estén realizando, las que son iniciativas son solamente seis, esas seis iniciativas son las que se estarían trabajando en este nuevo año a saber dependiendo de los recursos que se realicen y si son institucionales o son operativas, pero en eso todavía estamos trabajando y estas las treinta y cuatro existentes  ya nosotros estamos trabajando con ellos poco a poco con las que lo han venido solicitando a generar  un plan de acción para que sea más fácil la rendición de cuentas.</w:t>
      </w:r>
    </w:p>
    <w:p>
      <w:pPr>
        <w:pStyle w:val="Normal"/>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Lo que si se ha visto es que todos han venido realizando un trabajo bastante bueno y lo que nos falta es poder determinar la forma en cómo visibilizar los resultados finales".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ind w:firstLine="709"/>
        <w:jc w:val="both"/>
        <w:rPr>
          <w:rFonts w:ascii="Tahoma" w:hAnsi="Tahoma" w:cs="Tahoma"/>
          <w:b/>
          <w:b/>
          <w:bCs/>
          <w:i/>
          <w:i/>
          <w:iCs/>
          <w:sz w:val="20"/>
          <w:szCs w:val="20"/>
        </w:rPr>
      </w:pPr>
      <w:r>
        <w:rPr>
          <w:rFonts w:cs="Tahoma" w:ascii="Tahoma" w:hAnsi="Tahoma"/>
          <w:b/>
          <w:bCs/>
          <w:i/>
          <w:iCs/>
          <w:sz w:val="20"/>
          <w:szCs w:val="20"/>
        </w:rPr>
        <w:t>SALE EL MAGISTRADO CASTILLO.</w:t>
      </w:r>
    </w:p>
    <w:p>
      <w:pPr>
        <w:pStyle w:val="Normal"/>
        <w:ind w:firstLine="709"/>
        <w:jc w:val="both"/>
        <w:rPr>
          <w:rFonts w:ascii="Tahoma" w:hAnsi="Tahoma" w:cs="Tahoma"/>
          <w:b/>
          <w:b/>
          <w:bCs/>
          <w:i/>
          <w:i/>
          <w:iCs/>
          <w:sz w:val="20"/>
          <w:szCs w:val="20"/>
        </w:rPr>
      </w:pPr>
      <w:r>
        <w:rPr>
          <w:rFonts w:cs="Tahoma" w:ascii="Tahoma" w:hAnsi="Tahoma"/>
          <w:b/>
          <w:bCs/>
          <w:i/>
          <w:iCs/>
          <w:sz w:val="20"/>
          <w:szCs w:val="20"/>
        </w:rPr>
      </w:r>
    </w:p>
    <w:p>
      <w:pPr>
        <w:pStyle w:val="Normal"/>
        <w:widowControl w:val="false"/>
        <w:ind w:firstLine="709"/>
        <w:jc w:val="both"/>
        <w:rPr>
          <w:rFonts w:ascii="Tahoma" w:hAnsi="Tahoma" w:cs="Tahoma"/>
          <w:i/>
          <w:i/>
          <w:iCs/>
          <w:sz w:val="20"/>
          <w:szCs w:val="20"/>
          <w:lang w:eastAsia="es-MX"/>
        </w:rPr>
      </w:pPr>
      <w:r>
        <w:rPr>
          <w:rFonts w:eastAsia="Calibri" w:cs="Tahoma" w:ascii="Tahoma" w:hAnsi="Tahoma"/>
          <w:i/>
          <w:iCs/>
          <w:sz w:val="20"/>
          <w:szCs w:val="20"/>
          <w:lang w:eastAsia="es-MX"/>
        </w:rPr>
        <w:t xml:space="preserve">Prosigue la Magistrada Varela: "Precisamente cuando queremos ordenarnos, hay que ordenarse para optimizar el esfuerzo institucional, el esfuerzo personal y tener el cumplimiento de los objetivos finalmente, de manera tal, que si en el </w:t>
      </w:r>
      <w:r>
        <w:rPr>
          <w:rFonts w:cs="Tahoma" w:ascii="Tahoma" w:hAnsi="Tahoma"/>
          <w:i/>
          <w:iCs/>
          <w:sz w:val="20"/>
          <w:szCs w:val="20"/>
          <w:lang w:eastAsia="es-MX"/>
        </w:rPr>
        <w:t>área fundamental de la institución que es la jurisdiccional no hacemos esas revisiones con frecuencia para tomar decisiones oportunas y tener los resultados, al finalizar cada año, ver mejores resultados creo que por ahí habría que meterle mayor iniciativa y esfuerzo en esa área, pues eso sugeriría que le prestemos especial atención, para que no se diga que se hace mucho pero no se ven los resultados".</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Agrega la suplente Esquivel Rodriguez: "Este esquema que se presenta definitivamente es sumamente importante, si estamos en una organización que se preocupa por el buen uso y manejo de los fondos públicos al igual que la magistrada Varela me parece a mí que en las que ya tiene el Poder Judicial sí debería de generarse algún tipo de priorización de las que en mayor forma afectan lo que tiene que ver con el acceso a la Justicia y en el análisis de riesgos, que también tiene que hacer la organización yo creo que es importante determinar si en algunas de estas políticas se debe esperar hasta que finalice el año o si por la gravedad que implicaría una distorsión del cumplimiento de la política deberíamos tener una especie de avance que no sea anual necesariamente.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Estimo que definitivamente estos sistemas son fundamentales para la toma de decisiones y considero que aquí a los compañeros que están, la decisión más importante en este avance es la que se toma hoy, que el órgano superior disponga que esto sea la ruta de paso que va a seguir la organización, porque es indispensable que toda la organización conozca y sepa que hay una orden que emana del supremo para poder ejercer este tipo de actividades.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A mí me parece fundamental este sistema que se está proponiendo y al igual que la magistrada Varela creo que es indispensable que las que ya están en vigencia se vayan convirtiendo en este sistema para que en algún momento pueda toda la organización tener la claridad de que se siguieron todos los pasos aquí, en algunas será pero al revés de atrás hacia delante, pero si es importante revisar cómo se ajustan al Plan Estratégico que objetivos tiene, sobre todo los indicadores de gestión lo que no se mide no se corrige y no podemos saber si se está ajustando a lo que inicialmente proponía y me parece que es indispensable que el Poder Judicial avance hacia este escenario.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Otra pregunta que le tenía a la máster Valverde Bermúdez es si todo este esquema le genera algún costo adicional al Poder Judicial".</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 xml:space="preserve">Responde la licenciada </w:t>
      </w:r>
      <w:r>
        <w:rPr>
          <w:rFonts w:cs="Tahoma" w:ascii="Tahoma" w:hAnsi="Tahoma"/>
          <w:i/>
          <w:iCs/>
          <w:sz w:val="20"/>
          <w:szCs w:val="20"/>
          <w:lang w:eastAsia="es-MX"/>
        </w:rPr>
        <w:t>Valverde Bermúdez: "En relación a los costos lo estamos haciendo con personal interno, ha sido un trabajo sumamente laborioso en coordinación con las diferentes oficinas, pero creo que hemos estado haciendo todos en conjunto un esfuerzo por priorizar, entendiendo que la ruta correcta es la organización, es el ordenamiento para poder maximizar los recursos a la fecha, todo lo hemos estado haciendo con recursos internos".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Prosigue el magistrado Molinari: "Un poco para aportar lo que dec</w:t>
      </w:r>
      <w:r>
        <w:rPr>
          <w:rFonts w:cs="Tahoma" w:ascii="Tahoma" w:hAnsi="Tahoma"/>
          <w:i/>
          <w:iCs/>
          <w:sz w:val="20"/>
          <w:szCs w:val="20"/>
          <w:lang w:eastAsia="es-MX"/>
        </w:rPr>
        <w:t xml:space="preserve">ía la magistrada Varela, me parece ya que estamos en esto, sería muy conveniente buscar la forma de entrar en la revisión de algunas de esas políticas si ustedes lo consideran conveniente.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Supongo y eso es una pregunta que la revisión y la modificación de esas políticas si seguirían la misma metodología para venir a Corte si ustedes lo llegaran a establecer, es una pregunta.</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La otra es el período en el que ustedes van a someter a Corte los informes de los planes de acción de esas políticas, si tienen algún período definido, si eso va a depender en alguna forma del tipo de políticas que se estén revisando u algo sobre el particular tiene que ver esta nota con lo que acaba de decir la magistrada Esquivel Rodríguez, y es la posibilidad en realidad de contar con informes en momentos adecuados para poder tomar decisiones. Esas serían las dos preguntas que tienen que ver con esto, un adicional si ustedes están generando alguna metodología de gestión de riesgos que considero que se asociaría a esta propuesta y finalmente decirles que me parece magnífico lo que están haciendo realmente, es lo que deberíamos hacer para poder tener una definición adecuada de la gestión y lograr alinear toda la institución con políticas que vengan a ser definidas en este caso por este órgano.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Se asocia esto como parte de la propuesta que se hace en el grupo ocho, aunque con algunas pequeñas diferencias, aunque en realidad creo que nos acercamos bastante, tal vez el único tema un poco distinto es el órgano este al que ustedes someten muchas de estas propuestas como órgano técnico que participa de alguna forma de la administración activa que es un poquito distinto al que nosotros estábamos formulando en el grupo ocho a lo que refiere a gobierno corporativo, pero que todo está muy asociado y que me parece magnífico lo que están haciendo, con esto ya tendríamos un gran avance.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Estimo que lo único que quedaría por definir es el tema de las competencias de lo que hicimos en el grupo ocho para redefinir algunas competencias, ahí valdría la pena, pero en todo lo demás de mi parte realmente se los agradezco".</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eastAsia="Calibri" w:cs="Tahoma" w:ascii="Tahoma" w:hAnsi="Tahoma"/>
          <w:b/>
          <w:bCs/>
          <w:i/>
          <w:iCs/>
          <w:sz w:val="20"/>
          <w:szCs w:val="20"/>
          <w:lang w:eastAsia="es-MX"/>
        </w:rPr>
        <w:tab/>
      </w:r>
      <w:r>
        <w:rPr>
          <w:rFonts w:eastAsia="Calibri" w:cs="Tahoma" w:ascii="Tahoma" w:hAnsi="Tahoma"/>
          <w:i/>
          <w:iCs/>
          <w:sz w:val="20"/>
          <w:szCs w:val="20"/>
          <w:lang w:eastAsia="es-MX"/>
        </w:rPr>
        <w:t>Consulta el Presidente, magistrado Cruz: "Alguna otra observaci</w:t>
      </w:r>
      <w:r>
        <w:rPr>
          <w:rFonts w:cs="Tahoma" w:ascii="Tahoma" w:hAnsi="Tahoma"/>
          <w:i/>
          <w:iCs/>
          <w:sz w:val="20"/>
          <w:szCs w:val="20"/>
          <w:lang w:eastAsia="es-MX"/>
        </w:rPr>
        <w:t>ón, lo aprobamos".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Refiere la licenciada Valverde Bermúdez: "Tal vez nada más para contestarle a las magistradas Varela y Esquivel Rodriguez y al magistrado Molinari, la prioridad que nosotros habíamos propuesto de la evaluación es anual, sin embargo, si ustedes a bien lo consideran pues nosotros podríamos proponer que al menos sea semestral, de esa forma podría ser un análisis todavía más oportuno de esto, lo cual si usted a bien nosotros lo propondríamos.</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Con el tema de revisar las vigentes, nosotros podríamos hacer tal vez un cronograma de trabajo, porque vean que son bastantes políticas, ha sido toda una historia institucional, por eso nosotros la propuesta que hacemos es a partir de lo nuevo. Si ustedes también lo consideran, pues nosotros podríamos proponer un plan de trabajo para ir poco a poco revisando las vigentes al menos, para poder crearles el plan de acción y que ese plan de acción permita medir con indicadores más sencillo su operatividad. Entonces, podríamos proponer que solamente revisemos con las vigentes ese plan de acción y conforme a cronograma que nosotros poco a poco podríamos ir confeccionando porque también esto le genera bastante trabajo a las oficinas generar toda la metodología, entonces no nos devolveríamos solamente a un plan de acción si ustedes lo consideran prudente.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Con el tema de la metodología de riesgos, nosotros en conjunto con la Oficina de Riesgos estamos desarrollando también una propuesta para traerles a ustedes en conjunto con los compañeros un modelo también de gestión de riesgos a nivel institucional que próximamente estaríamos terminando de construir y validar para luego traer acá a esta Corte".</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tab/>
        <w:t xml:space="preserve">Señala el Presidente, magistrado Cruz: "No hay ninguna otra observación. Lo aprobamos así y me parece que hacer el esfuerzo que sea semestral es una guía muy importante. </w:t>
      </w:r>
    </w:p>
    <w:p>
      <w:pPr>
        <w:pStyle w:val="Normal"/>
        <w:widowControl w:val="false"/>
        <w:jc w:val="both"/>
        <w:rPr>
          <w:rFonts w:ascii="Tahoma" w:hAnsi="Tahoma" w:cs="Tahoma"/>
          <w:i/>
          <w:i/>
          <w:iCs/>
          <w:sz w:val="20"/>
          <w:szCs w:val="20"/>
          <w:lang w:eastAsia="es-MX"/>
        </w:rPr>
      </w:pPr>
      <w:r>
        <w:rPr>
          <w:rFonts w:cs="Tahoma" w:ascii="Tahoma" w:hAnsi="Tahoma"/>
          <w:i/>
          <w:iCs/>
          <w:sz w:val="20"/>
          <w:szCs w:val="20"/>
          <w:lang w:eastAsia="es-MX"/>
        </w:rPr>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t>Tengo la impresión de que esto nos resuelve un poco el tema de que pasa mucho tiempo y no hacemos evaluaciones y no hacemos el seguimiento, creo que esta estructura, este esquema nos permite tratar de aproximarnos mejor a una visión más eficaz.”</w:t>
      </w:r>
    </w:p>
    <w:p>
      <w:pPr>
        <w:pStyle w:val="Normal"/>
        <w:widowControl w:val="false"/>
        <w:ind w:firstLine="709"/>
        <w:jc w:val="both"/>
        <w:rPr>
          <w:rFonts w:ascii="Tahoma" w:hAnsi="Tahoma" w:cs="Tahoma"/>
          <w:i/>
          <w:i/>
          <w:iCs/>
          <w:sz w:val="20"/>
          <w:szCs w:val="20"/>
          <w:lang w:eastAsia="es-MX"/>
        </w:rPr>
      </w:pPr>
      <w:r>
        <w:rPr>
          <w:rFonts w:cs="Tahoma" w:ascii="Tahoma" w:hAnsi="Tahoma"/>
          <w:i/>
          <w:iCs/>
          <w:sz w:val="20"/>
          <w:szCs w:val="20"/>
          <w:lang w:eastAsia="es-MX"/>
        </w:rPr>
      </w:r>
    </w:p>
    <w:p>
      <w:pPr>
        <w:pStyle w:val="Normal"/>
        <w:ind w:firstLine="709"/>
        <w:jc w:val="both"/>
        <w:rPr>
          <w:rFonts w:ascii="Tahoma" w:hAnsi="Tahoma" w:cs="Tahoma"/>
          <w:i/>
          <w:i/>
          <w:iCs/>
          <w:sz w:val="20"/>
          <w:szCs w:val="20"/>
        </w:rPr>
      </w:pPr>
      <w:r>
        <w:rPr>
          <w:rFonts w:cs="Tahoma" w:ascii="Tahoma" w:hAnsi="Tahoma"/>
          <w:i/>
          <w:iCs/>
          <w:sz w:val="20"/>
          <w:szCs w:val="20"/>
        </w:rPr>
        <w:t xml:space="preserve">Sin objeción de las señoras magistradas y los señores magistrados presentes, </w:t>
      </w:r>
      <w:r>
        <w:rPr>
          <w:rFonts w:cs="Tahoma" w:ascii="Tahoma" w:hAnsi="Tahoma"/>
          <w:b/>
          <w:bCs/>
          <w:i/>
          <w:iCs/>
          <w:sz w:val="20"/>
          <w:szCs w:val="20"/>
        </w:rPr>
        <w:t>se acordó:</w:t>
      </w:r>
      <w:r>
        <w:rPr>
          <w:rFonts w:cs="Tahoma" w:ascii="Tahoma" w:hAnsi="Tahoma"/>
          <w:i/>
          <w:iCs/>
          <w:sz w:val="20"/>
          <w:szCs w:val="20"/>
        </w:rPr>
        <w:t xml:space="preserve"> Acoger el informe N° 1995-PLA-PE-2019, por ende: </w:t>
      </w:r>
      <w:r>
        <w:rPr>
          <w:rFonts w:cs="Tahoma" w:ascii="Tahoma" w:hAnsi="Tahoma"/>
          <w:b/>
          <w:bCs/>
          <w:i/>
          <w:iCs/>
          <w:sz w:val="20"/>
          <w:szCs w:val="20"/>
        </w:rPr>
        <w:t>1.)</w:t>
      </w:r>
      <w:r>
        <w:rPr>
          <w:rFonts w:cs="Tahoma" w:ascii="Tahoma" w:hAnsi="Tahoma"/>
          <w:i/>
          <w:iCs/>
          <w:sz w:val="20"/>
          <w:szCs w:val="20"/>
        </w:rPr>
        <w:t xml:space="preserve">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w:t>
      </w:r>
      <w:r>
        <w:rPr>
          <w:rFonts w:cs="Tahoma" w:ascii="Tahoma" w:hAnsi="Tahoma"/>
          <w:b/>
          <w:bCs/>
          <w:i/>
          <w:iCs/>
          <w:sz w:val="20"/>
          <w:szCs w:val="20"/>
        </w:rPr>
        <w:t xml:space="preserve">2.) </w:t>
      </w:r>
      <w:r>
        <w:rPr>
          <w:rFonts w:cs="Tahoma" w:ascii="Tahoma" w:hAnsi="Tahoma"/>
          <w:i/>
          <w:iCs/>
          <w:sz w:val="20"/>
          <w:szCs w:val="20"/>
        </w:rPr>
        <w:t xml:space="preserve">Solicitar al Departamento de Artes Gráficas del Poder Judicial se sirva realizar el diseño e impresión de al menos 50 ejemplares del documento “Modelo de Gestión (formulación, implementación, seguimiento y evaluación) de Políticas Institucionales” y lo remita a la Dirección de Planificación a fin de que los distribuya a las diferentes instancias que gestionan políticas institucionales. </w:t>
      </w:r>
      <w:r>
        <w:rPr>
          <w:rFonts w:cs="Tahoma" w:ascii="Tahoma" w:hAnsi="Tahoma"/>
          <w:b/>
          <w:bCs/>
          <w:i/>
          <w:iCs/>
          <w:sz w:val="20"/>
          <w:szCs w:val="20"/>
        </w:rPr>
        <w:t xml:space="preserve">3.) </w:t>
      </w:r>
      <w:r>
        <w:rPr>
          <w:rFonts w:cs="Tahoma" w:ascii="Tahoma" w:hAnsi="Tahoma"/>
          <w:i/>
          <w:iCs/>
          <w:sz w:val="20"/>
          <w:szCs w:val="20"/>
        </w:rPr>
        <w:t xml:space="preserve">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r>
        <w:rPr>
          <w:rFonts w:cs="Tahoma" w:ascii="Tahoma" w:hAnsi="Tahoma"/>
          <w:b/>
          <w:bCs/>
          <w:i/>
          <w:iCs/>
          <w:sz w:val="20"/>
          <w:szCs w:val="20"/>
        </w:rPr>
        <w:t xml:space="preserve">4.) </w:t>
      </w:r>
      <w:r>
        <w:rPr>
          <w:rFonts w:cs="Tahoma" w:ascii="Tahoma" w:hAnsi="Tahoma"/>
          <w:i/>
          <w:iCs/>
          <w:sz w:val="20"/>
          <w:szCs w:val="20"/>
        </w:rPr>
        <w:t>La Secretaría General de la Corte tomará nota para la publicación de la siguiente circular:</w:t>
      </w:r>
    </w:p>
    <w:p>
      <w:pPr>
        <w:pStyle w:val="Normal"/>
        <w:ind w:firstLine="709"/>
        <w:jc w:val="both"/>
        <w:rPr>
          <w:rFonts w:ascii="Tahoma" w:hAnsi="Tahoma" w:cs="Tahoma"/>
          <w:i/>
          <w:i/>
          <w:iCs/>
          <w:sz w:val="20"/>
          <w:szCs w:val="20"/>
        </w:rPr>
      </w:pPr>
      <w:r>
        <w:rPr>
          <w:rFonts w:cs="Tahoma" w:ascii="Tahoma" w:hAnsi="Tahoma"/>
          <w:i/>
          <w:iCs/>
          <w:sz w:val="20"/>
          <w:szCs w:val="20"/>
        </w:rPr>
      </w:r>
    </w:p>
    <w:p>
      <w:pPr>
        <w:pStyle w:val="Normal"/>
        <w:ind w:firstLine="567"/>
        <w:jc w:val="center"/>
        <w:rPr>
          <w:rFonts w:ascii="Tahoma" w:hAnsi="Tahoma" w:cs="Tahoma"/>
          <w:b/>
          <w:b/>
          <w:bCs/>
          <w:i/>
          <w:i/>
          <w:iCs/>
          <w:sz w:val="20"/>
          <w:szCs w:val="20"/>
          <w:u w:val="single"/>
          <w:lang w:eastAsia="es-ES"/>
        </w:rPr>
      </w:pPr>
      <w:r>
        <w:rPr>
          <w:rFonts w:cs="Tahoma" w:ascii="Tahoma" w:hAnsi="Tahoma"/>
          <w:b/>
          <w:bCs/>
          <w:i/>
          <w:iCs/>
          <w:sz w:val="20"/>
          <w:szCs w:val="20"/>
          <w:u w:val="single"/>
          <w:lang w:eastAsia="es-ES"/>
        </w:rPr>
        <w:t>CIRCULAR No. -2019</w:t>
      </w:r>
    </w:p>
    <w:p>
      <w:pPr>
        <w:pStyle w:val="Normal"/>
        <w:ind w:firstLine="567"/>
        <w:jc w:val="center"/>
        <w:rPr>
          <w:rFonts w:ascii="Tahoma" w:hAnsi="Tahoma" w:cs="Tahoma"/>
          <w:b/>
          <w:b/>
          <w:bCs/>
          <w:i/>
          <w:i/>
          <w:iCs/>
          <w:sz w:val="20"/>
          <w:szCs w:val="20"/>
          <w:u w:val="single"/>
          <w:lang w:eastAsia="es-ES"/>
        </w:rPr>
      </w:pPr>
      <w:r>
        <w:rPr>
          <w:rFonts w:cs="Tahoma" w:ascii="Tahoma" w:hAnsi="Tahoma"/>
          <w:b/>
          <w:bCs/>
          <w:i/>
          <w:iCs/>
          <w:sz w:val="20"/>
          <w:szCs w:val="20"/>
          <w:u w:val="single"/>
          <w:lang w:eastAsia="es-ES"/>
        </w:rPr>
      </w:r>
    </w:p>
    <w:p>
      <w:pPr>
        <w:pStyle w:val="Normal"/>
        <w:ind w:left="996" w:hanging="429"/>
        <w:jc w:val="both"/>
        <w:rPr>
          <w:rFonts w:ascii="Tahoma" w:hAnsi="Tahoma" w:eastAsia="Calibri" w:cs="Tahoma"/>
          <w:i/>
          <w:i/>
          <w:iCs/>
          <w:sz w:val="20"/>
          <w:szCs w:val="20"/>
          <w:lang w:eastAsia="es-CR"/>
        </w:rPr>
      </w:pPr>
      <w:r>
        <w:rPr>
          <w:rFonts w:eastAsia="Calibri" w:cs="Tahoma" w:ascii="Tahoma" w:hAnsi="Tahoma"/>
          <w:b/>
          <w:bCs/>
          <w:i/>
          <w:iCs/>
          <w:sz w:val="20"/>
          <w:szCs w:val="20"/>
          <w:u w:val="single"/>
          <w:lang w:eastAsia="es-CR"/>
        </w:rPr>
        <w:t>Asunto</w:t>
      </w:r>
      <w:r>
        <w:rPr>
          <w:rFonts w:eastAsia="Calibri" w:cs="Tahoma" w:ascii="Tahoma" w:hAnsi="Tahoma"/>
          <w:i/>
          <w:iCs/>
          <w:sz w:val="20"/>
          <w:szCs w:val="20"/>
          <w:lang w:eastAsia="es-CR"/>
        </w:rPr>
        <w:t>: Modelo de Gestión de Políticas Institucionales</w:t>
      </w:r>
    </w:p>
    <w:p>
      <w:pPr>
        <w:pStyle w:val="Normal"/>
        <w:ind w:firstLine="709"/>
        <w:jc w:val="both"/>
        <w:rPr>
          <w:rFonts w:ascii="Tahoma" w:hAnsi="Tahoma" w:eastAsia="Calibri" w:cs="Tahoma"/>
          <w:b/>
          <w:b/>
          <w:bCs/>
          <w:i/>
          <w:i/>
          <w:iCs/>
          <w:sz w:val="20"/>
          <w:szCs w:val="20"/>
          <w:lang w:eastAsia="es-CR"/>
        </w:rPr>
      </w:pPr>
      <w:r>
        <w:rPr>
          <w:rFonts w:eastAsia="Calibri" w:cs="Tahoma" w:ascii="Tahoma" w:hAnsi="Tahoma"/>
          <w:b/>
          <w:bCs/>
          <w:i/>
          <w:iCs/>
          <w:sz w:val="20"/>
          <w:szCs w:val="20"/>
          <w:lang w:eastAsia="es-CR"/>
        </w:rPr>
      </w:r>
    </w:p>
    <w:p>
      <w:pPr>
        <w:pStyle w:val="Normal"/>
        <w:ind w:firstLine="709"/>
        <w:jc w:val="center"/>
        <w:rPr>
          <w:rFonts w:ascii="Tahoma" w:hAnsi="Tahoma" w:eastAsia="Calibri" w:cs="Tahoma"/>
          <w:i/>
          <w:i/>
          <w:iCs/>
          <w:sz w:val="20"/>
          <w:szCs w:val="20"/>
          <w:lang w:eastAsia="es-CR"/>
        </w:rPr>
      </w:pPr>
      <w:r>
        <w:rPr>
          <w:rFonts w:eastAsia="Calibri" w:cs="Tahoma" w:ascii="Tahoma" w:hAnsi="Tahoma"/>
          <w:b/>
          <w:bCs/>
          <w:i/>
          <w:iCs/>
          <w:sz w:val="20"/>
          <w:szCs w:val="20"/>
          <w:lang w:eastAsia="es-CR"/>
        </w:rPr>
        <w:t>A LAS OFICINAS Y DESPACHOS JUDICIALES</w:t>
      </w:r>
    </w:p>
    <w:p>
      <w:pPr>
        <w:pStyle w:val="Normal"/>
        <w:ind w:firstLine="709"/>
        <w:jc w:val="center"/>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ind w:firstLine="709"/>
        <w:jc w:val="center"/>
        <w:rPr>
          <w:rFonts w:ascii="Tahoma" w:hAnsi="Tahoma" w:eastAsia="Calibri" w:cs="Tahoma"/>
          <w:i/>
          <w:i/>
          <w:iCs/>
          <w:sz w:val="20"/>
          <w:szCs w:val="20"/>
          <w:lang w:eastAsia="es-CR"/>
        </w:rPr>
      </w:pPr>
      <w:r>
        <w:rPr>
          <w:rFonts w:eastAsia="Calibri" w:cs="Tahoma" w:ascii="Tahoma" w:hAnsi="Tahoma"/>
          <w:b/>
          <w:bCs/>
          <w:i/>
          <w:iCs/>
          <w:sz w:val="20"/>
          <w:szCs w:val="20"/>
          <w:u w:val="single"/>
          <w:lang w:eastAsia="es-CR"/>
        </w:rPr>
        <w:t>SE LES HACE SABER QUE</w:t>
      </w:r>
      <w:r>
        <w:rPr>
          <w:rFonts w:eastAsia="Calibri" w:cs="Tahoma" w:ascii="Tahoma" w:hAnsi="Tahoma"/>
          <w:b/>
          <w:bCs/>
          <w:i/>
          <w:iCs/>
          <w:sz w:val="20"/>
          <w:szCs w:val="20"/>
          <w:lang w:eastAsia="es-CR"/>
        </w:rPr>
        <w:t>:</w:t>
      </w:r>
    </w:p>
    <w:p>
      <w:pPr>
        <w:pStyle w:val="Normal"/>
        <w:ind w:firstLine="709"/>
        <w:jc w:val="center"/>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ind w:firstLine="360"/>
        <w:jc w:val="both"/>
        <w:rPr>
          <w:rFonts w:ascii="Tahoma" w:hAnsi="Tahoma" w:eastAsia="Calibri" w:cs="Tahoma"/>
          <w:i/>
          <w:i/>
          <w:iCs/>
          <w:sz w:val="20"/>
          <w:szCs w:val="20"/>
          <w:lang w:eastAsia="es-CR"/>
        </w:rPr>
      </w:pPr>
      <w:r>
        <w:rPr>
          <w:rFonts w:eastAsia="Calibri" w:cs="Tahoma" w:ascii="Tahoma" w:hAnsi="Tahoma"/>
          <w:i/>
          <w:iCs/>
          <w:sz w:val="20"/>
          <w:szCs w:val="20"/>
          <w:lang w:eastAsia="es-CR"/>
        </w:rPr>
        <w:t xml:space="preserve">La Corte Plena del Poder Judicial en sesión No. 02-2020 celebrada el 13 de enero de 2020, artículo XXXII, aprobó el modelo de gestión de las políticas institucionales en los siguientes términos: </w:t>
      </w:r>
    </w:p>
    <w:p>
      <w:pPr>
        <w:pStyle w:val="Normal"/>
        <w:rPr>
          <w:rFonts w:ascii="Tahoma" w:hAnsi="Tahoma" w:eastAsia="Calibri" w:cs="Tahoma"/>
          <w:i/>
          <w:i/>
          <w:iCs/>
          <w:sz w:val="20"/>
          <w:szCs w:val="20"/>
          <w:lang w:eastAsia="es-CR"/>
        </w:rPr>
      </w:pPr>
      <w:r>
        <w:rPr>
          <w:rFonts w:eastAsia="Calibri" w:cs="Tahoma" w:ascii="Tahoma" w:hAnsi="Tahoma"/>
          <w:i/>
          <w:iCs/>
          <w:sz w:val="20"/>
          <w:szCs w:val="20"/>
          <w:lang w:eastAsia="es-CR"/>
        </w:rPr>
      </w:r>
    </w:p>
    <w:p>
      <w:pPr>
        <w:pStyle w:val="Normal"/>
        <w:keepNext w:val="true"/>
        <w:widowControl w:val="false"/>
        <w:numPr>
          <w:ilvl w:val="0"/>
          <w:numId w:val="7"/>
        </w:numPr>
        <w:pBdr>
          <w:top w:val="single" w:sz="4" w:space="1" w:color="365F91"/>
          <w:left w:val="single" w:sz="4" w:space="4" w:color="365F91"/>
          <w:bottom w:val="single" w:sz="4" w:space="1" w:color="365F91"/>
          <w:right w:val="single" w:sz="4" w:space="4" w:color="365F91"/>
        </w:pBdr>
        <w:shd w:val="clear" w:color="auto" w:fill="548DD4"/>
        <w:spacing w:lineRule="auto" w:line="240" w:before="0" w:after="0"/>
        <w:jc w:val="both"/>
        <w:outlineLvl w:val="0"/>
        <w:rPr>
          <w:rFonts w:ascii="Tahoma" w:hAnsi="Tahoma" w:cs="Tahoma"/>
          <w:b/>
          <w:b/>
          <w:bCs/>
          <w:i/>
          <w:i/>
          <w:iCs/>
          <w:spacing w:val="-3"/>
          <w:sz w:val="20"/>
          <w:szCs w:val="20"/>
          <w:u w:val="none" w:color="000000"/>
          <w:lang w:eastAsia="es-ES"/>
        </w:rPr>
      </w:pPr>
      <w:bookmarkStart w:id="18" w:name="_Toc24623663"/>
      <w:r>
        <w:rPr>
          <w:rFonts w:cs="Tahoma" w:ascii="Tahoma" w:hAnsi="Tahoma"/>
          <w:b/>
          <w:bCs/>
          <w:i/>
          <w:iCs/>
          <w:spacing w:val="-3"/>
          <w:sz w:val="20"/>
          <w:szCs w:val="20"/>
          <w:u w:val="none" w:color="000000"/>
          <w:lang w:eastAsia="es-ES"/>
        </w:rPr>
        <w:t>Modelo de Gestión (formulación, implementación, seguimiento y evaluación) de las Políticas Institucionales</w:t>
      </w:r>
      <w:bookmarkEnd w:id="18"/>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6"/>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Definición de política institucional y otros conceptos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La Comisión </w:t>
        <w:tab/>
        <w:t xml:space="preserve">Económica para América Latina y el Caribe (CEPAL) menciona que una política pública de excelencia corresponde a aquellos cursos de acción y flujos de información relacionados con un objetivo político definido en forma democrática; los que son desarrollados por el sector público y, frecuentemente, con la participación de la comunidad y el sector privado. Una política pública de calidad incluirá orientaciones o contenidos, instrumentos o mecanismos, definiciones o modificaciones institucionales, y la previsión de sus resultados. (2004).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Por otra parte, la Política Pública se encuentra definida por MIDEPLAN (2016) como: "Curso o línea de acción definido para orientar o alcanzar un fin, que se expresa en directrices, lineamientos, objetivos estratégicos y acciones sobre un tema y la atención o transformación de un problema de interés público. Explicitan la voluntad política traducida en decisiones y apoyo en recursos humanos, técnicos, tecnológicos y financieros y se sustenta en los mandatos, acuerdos o compromisos nacionales e internacionales.”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Al respecto, en el contexto del Poder Judicial, se procede a definir los conceptos de lo que es una política institucional para su efectiva gestión: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5"/>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 xml:space="preserve">Política institucional de impacto social y/o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360" w:hanging="0"/>
        <w:jc w:val="both"/>
        <w:rPr>
          <w:rFonts w:ascii="Tahoma" w:hAnsi="Tahoma" w:eastAsia="Calibri" w:cs="Tahoma"/>
          <w:i/>
          <w:i/>
          <w:iCs/>
          <w:sz w:val="20"/>
          <w:szCs w:val="20"/>
        </w:rPr>
      </w:pPr>
      <w:r>
        <w:rPr>
          <w:rFonts w:eastAsia="Calibri" w:cs="Tahoma" w:ascii="Tahoma" w:hAnsi="Tahoma"/>
          <w:i/>
          <w:iCs/>
          <w:sz w:val="20"/>
          <w:szCs w:val="20"/>
        </w:rPr>
        <w:t xml:space="preserve">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5"/>
        </w:numPr>
        <w:spacing w:lineRule="auto" w:line="240" w:before="0" w:after="0"/>
        <w:jc w:val="both"/>
        <w:rPr>
          <w:rFonts w:ascii="Tahoma" w:hAnsi="Tahoma" w:eastAsia="Calibri" w:cs="Tahoma"/>
          <w:i/>
          <w:i/>
          <w:iCs/>
          <w:sz w:val="20"/>
          <w:szCs w:val="20"/>
        </w:rPr>
      </w:pPr>
      <w:r>
        <w:rPr>
          <w:rFonts w:eastAsia="Calibri" w:cs="Tahoma" w:ascii="Tahoma" w:hAnsi="Tahoma"/>
          <w:b/>
          <w:i/>
          <w:iCs/>
          <w:sz w:val="20"/>
          <w:szCs w:val="20"/>
        </w:rPr>
        <w:t>Política institucional de índole operativo:</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360" w:hanging="0"/>
        <w:jc w:val="both"/>
        <w:rPr>
          <w:rFonts w:ascii="Tahoma" w:hAnsi="Tahoma" w:eastAsia="Calibri" w:cs="Tahoma"/>
          <w:i/>
          <w:i/>
          <w:iCs/>
          <w:sz w:val="20"/>
          <w:szCs w:val="20"/>
        </w:rPr>
      </w:pPr>
      <w:r>
        <w:rPr>
          <w:rFonts w:eastAsia="Calibri" w:cs="Tahoma" w:ascii="Tahoma" w:hAnsi="Tahoma"/>
          <w:i/>
          <w:iCs/>
          <w:sz w:val="20"/>
          <w:szCs w:val="20"/>
        </w:rPr>
        <w:t xml:space="preserve">Corresponde al conjunto de lineamientos, directrices, reglas prácticas, guías, procedimientos, entre otros; dirigidos al logro de una mejor administración de los recursos y procesos específicos de gestión administrativa y de control institucional; que se caracterizan por ser de índole interno y están delimitadas por su alcance.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b/>
          <w:b/>
          <w:bCs/>
          <w:i/>
          <w:i/>
          <w:iCs/>
          <w:sz w:val="20"/>
          <w:szCs w:val="20"/>
        </w:rPr>
      </w:pPr>
      <w:r>
        <w:rPr>
          <w:rFonts w:eastAsia="Calibri" w:cs="Tahoma" w:ascii="Tahoma" w:hAnsi="Tahoma"/>
          <w:b/>
          <w:bCs/>
          <w:i/>
          <w:iCs/>
          <w:sz w:val="20"/>
          <w:szCs w:val="20"/>
        </w:rPr>
        <w:t>En virtud de lo anterior, es importante aclarar que, el alcance de este modelo sólo abordará la gestión de la “política institucional de impacto social y/o institucional”, por lo que para efectos de este informe, en adelante se utilizará la frase “política institucional”, para hacer referencia a la política institucional de impacto social y/o institucional.</w:t>
      </w:r>
    </w:p>
    <w:p>
      <w:pPr>
        <w:pStyle w:val="Normal"/>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ind w:firstLine="360"/>
        <w:jc w:val="both"/>
        <w:rPr>
          <w:rFonts w:ascii="Tahoma" w:hAnsi="Tahoma" w:eastAsia="Calibri" w:cs="Tahoma"/>
          <w:b/>
          <w:b/>
          <w:bCs/>
          <w:i/>
          <w:i/>
          <w:iCs/>
          <w:sz w:val="20"/>
          <w:szCs w:val="20"/>
        </w:rPr>
      </w:pPr>
      <w:r>
        <w:rPr>
          <w:rFonts w:eastAsia="Calibri" w:cs="Tahoma" w:ascii="Tahoma" w:hAnsi="Tahoma"/>
          <w:b/>
          <w:bCs/>
          <w:i/>
          <w:iCs/>
          <w:sz w:val="20"/>
          <w:szCs w:val="20"/>
        </w:rPr>
        <w:t xml:space="preserve">Basados en los conceptos antes indicados, en el Anexo 3 se presenta la clasificación preliminar de las políticas institucionales de acuerdo a si corresponden a impacto social y/o institucional o de índole operativo.  </w:t>
      </w:r>
    </w:p>
    <w:p>
      <w:pPr>
        <w:pStyle w:val="Normal"/>
        <w:jc w:val="both"/>
        <w:rPr>
          <w:rFonts w:ascii="Tahoma" w:hAnsi="Tahoma" w:eastAsia="Calibri" w:cs="Tahoma"/>
          <w:b/>
          <w:b/>
          <w:bCs/>
          <w:i/>
          <w:i/>
          <w:iCs/>
          <w:sz w:val="20"/>
          <w:szCs w:val="20"/>
        </w:rPr>
      </w:pPr>
      <w:r>
        <w:rPr>
          <w:rFonts w:eastAsia="Calibri" w:cs="Tahoma" w:ascii="Tahoma" w:hAnsi="Tahoma"/>
          <w:b/>
          <w:bCs/>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presenta el Modelo de Gestión de Políticas Institucionales: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6"/>
        </w:numPr>
        <w:spacing w:lineRule="auto" w:line="240" w:before="0" w:after="0"/>
        <w:jc w:val="both"/>
        <w:rPr>
          <w:rFonts w:ascii="Tahoma" w:hAnsi="Tahoma" w:eastAsia="Calibri" w:cs="Tahoma"/>
          <w:b/>
          <w:b/>
          <w:i/>
          <w:i/>
          <w:iCs/>
          <w:sz w:val="20"/>
          <w:szCs w:val="20"/>
        </w:rPr>
      </w:pPr>
      <w:r>
        <w:rPr>
          <w:rFonts w:eastAsia="Calibri" w:cs="Tahoma" w:ascii="Tahoma" w:hAnsi="Tahoma"/>
          <w:b/>
          <w:i/>
          <w:iCs/>
          <w:sz w:val="20"/>
          <w:szCs w:val="20"/>
        </w:rPr>
        <w:t>Modelo de Gestión de las Políticas Institucionales.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Cuando la instancia judicial propone la elaboración de una nueva una política institucional, se debe solicitar la aprobación previa por parte de la Corte Plena.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2"/>
          <w:numId w:val="6"/>
        </w:numPr>
        <w:spacing w:lineRule="auto" w:line="240" w:before="0" w:after="0"/>
        <w:jc w:val="both"/>
        <w:rPr>
          <w:rFonts w:ascii="Tahoma" w:hAnsi="Tahoma" w:eastAsia="Calibri" w:cs="Tahoma"/>
          <w:b/>
          <w:b/>
          <w:bCs/>
          <w:i/>
          <w:i/>
          <w:iCs/>
          <w:sz w:val="20"/>
          <w:szCs w:val="20"/>
        </w:rPr>
      </w:pPr>
      <w:r>
        <w:rPr>
          <w:rFonts w:eastAsia="Calibri" w:cs="Tahoma" w:ascii="Tahoma" w:hAnsi="Tahoma"/>
          <w:b/>
          <w:bCs/>
          <w:i/>
          <w:iCs/>
          <w:sz w:val="20"/>
          <w:szCs w:val="20"/>
        </w:rPr>
        <w:t>Procedimiento</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De esta manera, se describe a continuación los pasos a seguir: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bookmarkStart w:id="19" w:name="_Toc24623664"/>
      <w:bookmarkStart w:id="20" w:name="_Toc24623611"/>
      <w:bookmarkEnd w:id="19"/>
      <w:bookmarkEnd w:id="20"/>
      <w:r>
        <w:rPr>
          <w:rFonts w:cs="Tahoma" w:ascii="Tahoma" w:hAnsi="Tahoma"/>
          <w:b/>
          <w:bCs/>
          <w:i/>
          <w:iCs/>
          <w:sz w:val="20"/>
          <w:szCs w:val="20"/>
          <w:lang w:eastAsia="es-ES"/>
        </w:rPr>
        <w:t>A partir de la definición de política institucional</w:t>
      </w:r>
      <w:r>
        <w:rPr>
          <w:rStyle w:val="Ancladenotaalpie"/>
          <w:rFonts w:cs="Tahoma" w:ascii="Tahoma" w:hAnsi="Tahoma"/>
          <w:b/>
          <w:bCs/>
          <w:i/>
          <w:iCs/>
          <w:sz w:val="20"/>
          <w:szCs w:val="20"/>
          <w:vertAlign w:val="superscript"/>
          <w:lang w:eastAsia="es-ES"/>
        </w:rPr>
        <w:footnoteReference w:id="5"/>
      </w:r>
      <w:r>
        <w:rPr>
          <w:rFonts w:cs="Tahoma" w:ascii="Tahoma" w:hAnsi="Tahoma"/>
          <w:b/>
          <w:bCs/>
          <w:i/>
          <w:iCs/>
          <w:sz w:val="20"/>
          <w:szCs w:val="20"/>
          <w:lang w:eastAsia="es-ES"/>
        </w:rPr>
        <w:t xml:space="preserve"> mencionada supra, la instancia judicial proponente de la elaboración de una nueva política institucional debe analizar los siguientes criterios</w:t>
      </w:r>
      <w:bookmarkStart w:id="21" w:name="_Toc24623665"/>
      <w:bookmarkStart w:id="22" w:name="_Toc24623612"/>
      <w:bookmarkEnd w:id="21"/>
      <w:bookmarkEnd w:id="22"/>
      <w:r>
        <w:rPr>
          <w:rFonts w:cs="Tahoma" w:ascii="Tahoma" w:hAnsi="Tahoma"/>
          <w:b/>
          <w:bCs/>
          <w:i/>
          <w:iCs/>
          <w:sz w:val="20"/>
          <w:szCs w:val="20"/>
          <w:lang w:eastAsia="es-ES"/>
        </w:rPr>
        <w:t>:</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es de interés institucional?</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¿El tema o problema a atender o resolver es de índole social (orientado a la resolución de un problema que involucra a la sociedad y/o personas usuarias)? </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tiene incidencia directa, y su atención o transformación genera valor, en las personas usuarias externas, sociedad y/o país?</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¿El tema o problema a atender o resolver responde a los mandatos de ley, acuerdos o compromisos nacionales e internacionales adquiridos por el Poder Judicial?</w:t>
      </w:r>
    </w:p>
    <w:p>
      <w:pPr>
        <w:pStyle w:val="Normal"/>
        <w:numPr>
          <w:ilvl w:val="0"/>
          <w:numId w:val="4"/>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¿La atención o resolución del tema o problema se encuentra acorde al plan estratégico institucional? </w:t>
      </w:r>
    </w:p>
    <w:p>
      <w:pPr>
        <w:pStyle w:val="Normal"/>
        <w:ind w:left="1068"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r>
        <w:rPr>
          <w:rFonts w:cs="Tahoma" w:ascii="Tahoma" w:hAnsi="Tahoma"/>
          <w:b/>
          <w:bCs/>
          <w:i/>
          <w:iCs/>
          <w:sz w:val="20"/>
          <w:szCs w:val="20"/>
          <w:lang w:eastAsia="es-ES"/>
        </w:rPr>
        <w:t>evaluación) que se detalla seguidamente.</w:t>
      </w:r>
    </w:p>
    <w:p>
      <w:pPr>
        <w:pStyle w:val="Normal"/>
        <w:keepNext w:val="true"/>
        <w:widowControl w:val="false"/>
        <w:numPr>
          <w:ilvl w:val="0"/>
          <w:numId w:val="0"/>
        </w:numPr>
        <w:jc w:val="both"/>
        <w:outlineLvl w:val="2"/>
        <w:rPr>
          <w:rFonts w:ascii="Tahoma" w:hAnsi="Tahoma" w:cs="Tahoma"/>
          <w:b/>
          <w:b/>
          <w:bCs/>
          <w:i/>
          <w:i/>
          <w:iCs/>
          <w:sz w:val="20"/>
          <w:szCs w:val="20"/>
          <w:lang w:eastAsia="es-ES"/>
        </w:rPr>
      </w:pPr>
      <w:r>
        <w:rPr>
          <w:rFonts w:cs="Tahoma" w:ascii="Tahoma" w:hAnsi="Tahoma"/>
          <w:b/>
          <w:bCs/>
          <w:i/>
          <w:iCs/>
          <w:sz w:val="20"/>
          <w:szCs w:val="20"/>
          <w:lang w:eastAsia="es-ES"/>
        </w:rPr>
      </w:r>
    </w:p>
    <w:p>
      <w:pPr>
        <w:pStyle w:val="Normal"/>
        <w:keepNext w:val="true"/>
        <w:widowControl w:val="false"/>
        <w:numPr>
          <w:ilvl w:val="3"/>
          <w:numId w:val="6"/>
        </w:numPr>
        <w:spacing w:lineRule="auto" w:line="240" w:before="0" w:after="0"/>
        <w:jc w:val="both"/>
        <w:outlineLvl w:val="2"/>
        <w:rPr>
          <w:rFonts w:ascii="Tahoma" w:hAnsi="Tahoma" w:cs="Tahoma"/>
          <w:b/>
          <w:b/>
          <w:bCs/>
          <w:i/>
          <w:i/>
          <w:iCs/>
          <w:sz w:val="20"/>
          <w:szCs w:val="20"/>
          <w:lang w:eastAsia="es-ES"/>
        </w:rPr>
      </w:pPr>
      <w:bookmarkStart w:id="23" w:name="_Toc24623673"/>
      <w:bookmarkStart w:id="24" w:name="_Toc24623620"/>
      <w:bookmarkStart w:id="25" w:name="_Toc24623672"/>
      <w:bookmarkStart w:id="26" w:name="_Toc24623619"/>
      <w:bookmarkEnd w:id="25"/>
      <w:bookmarkEnd w:id="26"/>
      <w:r>
        <w:rPr>
          <w:rFonts w:cs="Tahoma" w:ascii="Tahoma" w:hAnsi="Tahoma"/>
          <w:b/>
          <w:bCs/>
          <w:i/>
          <w:iCs/>
          <w:sz w:val="20"/>
          <w:szCs w:val="20"/>
          <w:lang w:eastAsia="es-ES"/>
        </w:rPr>
        <w:t>Una vez que se haya elaborado la política institucional deberá ser sometida a aprobación por parte de la Corte Plena.</w:t>
      </w:r>
      <w:bookmarkEnd w:id="23"/>
      <w:bookmarkEnd w:id="24"/>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2"/>
          <w:numId w:val="6"/>
        </w:numPr>
        <w:spacing w:lineRule="auto" w:line="240" w:before="0" w:after="0"/>
        <w:jc w:val="both"/>
        <w:rPr>
          <w:rFonts w:ascii="Tahoma" w:hAnsi="Tahoma" w:eastAsia="Calibri" w:cs="Tahoma"/>
          <w:b/>
          <w:b/>
          <w:bCs/>
          <w:i/>
          <w:i/>
          <w:iCs/>
          <w:sz w:val="20"/>
          <w:szCs w:val="20"/>
        </w:rPr>
      </w:pPr>
      <w:r>
        <w:rPr>
          <w:rFonts w:eastAsia="Calibri" w:cs="Tahoma" w:ascii="Tahoma" w:hAnsi="Tahoma"/>
          <w:b/>
          <w:bCs/>
          <w:i/>
          <w:iCs/>
          <w:sz w:val="20"/>
          <w:szCs w:val="20"/>
        </w:rPr>
        <w:t>Modelo de Gestión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El Modelo de Gestión de las Políticas Institucionales está conformado por las siguientes 4 fases:</w:t>
      </w:r>
    </w:p>
    <w:p>
      <w:pPr>
        <w:pStyle w:val="Normal"/>
        <w:jc w:val="center"/>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1</w:t>
      </w:r>
    </w:p>
    <w:p>
      <w:pPr>
        <w:pStyle w:val="Normal"/>
        <w:jc w:val="center"/>
        <w:rPr>
          <w:rFonts w:ascii="Tahoma" w:hAnsi="Tahoma" w:eastAsia="Calibri" w:cs="Tahoma"/>
          <w:b/>
          <w:b/>
          <w:i/>
          <w:i/>
          <w:iCs/>
          <w:sz w:val="20"/>
          <w:szCs w:val="20"/>
        </w:rPr>
      </w:pPr>
      <w:r>
        <w:rPr>
          <w:rFonts w:eastAsia="Calibri" w:cs="Tahoma" w:ascii="Tahoma" w:hAnsi="Tahoma"/>
          <w:b/>
          <w:i/>
          <w:iCs/>
          <w:sz w:val="20"/>
          <w:szCs w:val="20"/>
        </w:rPr>
        <w:t>Modelo de Gestión de Políticas Institucionales</w:t>
      </w:r>
      <w:bookmarkStart w:id="27" w:name="_Hlk10193100"/>
      <w:bookmarkEnd w:id="27"/>
    </w:p>
    <w:p>
      <w:pPr>
        <w:pStyle w:val="Normal"/>
        <w:jc w:val="center"/>
        <w:rPr>
          <w:rFonts w:ascii="Tahoma" w:hAnsi="Tahoma" w:eastAsia="Calibri" w:cs="Tahoma"/>
          <w:i/>
          <w:i/>
          <w:iCs/>
          <w:sz w:val="20"/>
          <w:szCs w:val="20"/>
        </w:rPr>
      </w:pPr>
      <w:r>
        <w:rPr/>
        <w:drawing>
          <wp:inline distT="0" distB="0" distL="0" distR="0">
            <wp:extent cx="3031490" cy="2134870"/>
            <wp:effectExtent l="0" t="0" r="0" b="0"/>
            <wp:docPr id="13" name="Imagen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6" descr=""/>
                    <pic:cNvPicPr>
                      <a:picLocks noChangeAspect="1" noChangeArrowheads="1"/>
                    </pic:cNvPicPr>
                  </pic:nvPicPr>
                  <pic:blipFill>
                    <a:blip r:embed="rId16"/>
                    <a:stretch>
                      <a:fillRect/>
                    </a:stretch>
                  </pic:blipFill>
                  <pic:spPr bwMode="auto">
                    <a:xfrm>
                      <a:off x="0" y="0"/>
                      <a:ext cx="3031490" cy="2134870"/>
                    </a:xfrm>
                    <a:prstGeom prst="rect">
                      <a:avLst/>
                    </a:prstGeom>
                  </pic:spPr>
                </pic:pic>
              </a:graphicData>
            </a:graphic>
          </wp:inline>
        </w:drawing>
      </w:r>
    </w:p>
    <w:p>
      <w:pPr>
        <w:pStyle w:val="Normal"/>
        <w:ind w:left="708"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detalla cada una de estas fases: </w:t>
      </w:r>
    </w:p>
    <w:p>
      <w:pPr>
        <w:pStyle w:val="Normal"/>
        <w:jc w:val="center"/>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outlineLvl w:val="3"/>
        <w:rPr>
          <w:rFonts w:ascii="Tahoma" w:hAnsi="Tahoma" w:cs="Tahoma"/>
          <w:b/>
          <w:b/>
          <w:i/>
          <w:i/>
          <w:iCs/>
          <w:sz w:val="20"/>
          <w:szCs w:val="20"/>
          <w:u w:val="none" w:color="000000"/>
          <w:lang w:eastAsia="es-ES"/>
        </w:rPr>
      </w:pPr>
      <w:r>
        <w:rPr>
          <w:rFonts w:cs="Tahoma" w:ascii="Tahoma" w:hAnsi="Tahoma"/>
          <w:b/>
          <w:i/>
          <w:iCs/>
          <w:sz w:val="20"/>
          <w:szCs w:val="20"/>
          <w:u w:val="none" w:color="000000"/>
          <w:lang w:eastAsia="es-ES"/>
        </w:rPr>
        <w:t>3.2.2.1 Fase I: Diagnóstico situacional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El proceso de diagnóstico “constituye un balance de situación del entorno político-social-económico-ambiental, en los ámbitos mundial, nacional o regional” (MIDEPLAN, 2016).</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El diagnóstico está compuesto por el análisis de información recabada por diferentes fuentes, como son los estudios formales realizados por instancias nacionales e internacionales, las instancias investigadoras técnicas, las entrevistas con personas expertas, las experiencias internas o externas y otras fuentes de recolección de información (talleres, foros, mesas de diálogo y encuestas); relacionadas con el tema que se desea desarrollar.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Para la construcción del diagnóstico situacional se deben considerar al menos los siguientes elementos: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2</w:t>
      </w:r>
    </w:p>
    <w:p>
      <w:pPr>
        <w:pStyle w:val="Normal"/>
        <w:jc w:val="center"/>
        <w:rPr>
          <w:rFonts w:ascii="Tahoma" w:hAnsi="Tahoma" w:eastAsia="Calibri" w:cs="Tahoma"/>
          <w:b/>
          <w:b/>
          <w:i/>
          <w:i/>
          <w:iCs/>
          <w:sz w:val="20"/>
          <w:szCs w:val="20"/>
        </w:rPr>
      </w:pPr>
      <w:r>
        <w:rPr>
          <w:rFonts w:eastAsia="Calibri" w:cs="Tahoma" w:ascii="Tahoma" w:hAnsi="Tahoma"/>
          <w:b/>
          <w:i/>
          <w:iCs/>
          <w:sz w:val="20"/>
          <w:szCs w:val="20"/>
        </w:rPr>
        <w:t>Elementos básicos del diagnóstico situacional</w:t>
      </w:r>
    </w:p>
    <w:p>
      <w:pPr>
        <w:pStyle w:val="Normal"/>
        <w:jc w:val="center"/>
        <w:rPr>
          <w:rFonts w:ascii="Tahoma" w:hAnsi="Tahoma" w:eastAsia="Calibri" w:cs="Tahoma"/>
          <w:i/>
          <w:i/>
          <w:iCs/>
          <w:sz w:val="20"/>
          <w:szCs w:val="20"/>
        </w:rPr>
      </w:pPr>
      <w:r>
        <w:rPr/>
        <w:drawing>
          <wp:inline distT="0" distB="0" distL="0" distR="0">
            <wp:extent cx="3632835" cy="2543175"/>
            <wp:effectExtent l="0" t="0" r="0" b="0"/>
            <wp:docPr id="14" name="Imagen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7" descr=""/>
                    <pic:cNvPicPr>
                      <a:picLocks noChangeAspect="1" noChangeArrowheads="1"/>
                    </pic:cNvPicPr>
                  </pic:nvPicPr>
                  <pic:blipFill>
                    <a:blip r:embed="rId17"/>
                    <a:stretch>
                      <a:fillRect/>
                    </a:stretch>
                  </pic:blipFill>
                  <pic:spPr bwMode="auto">
                    <a:xfrm>
                      <a:off x="0" y="0"/>
                      <a:ext cx="3632835" cy="2543175"/>
                    </a:xfrm>
                    <a:prstGeom prst="rect">
                      <a:avLst/>
                    </a:prstGeom>
                  </pic:spPr>
                </pic:pic>
              </a:graphicData>
            </a:graphic>
          </wp:inline>
        </w:drawing>
      </w:r>
    </w:p>
    <w:p>
      <w:pPr>
        <w:pStyle w:val="Normal"/>
        <w:ind w:left="732"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bookmarkStart w:id="28" w:name="_Hlk1395836"/>
      <w:bookmarkEnd w:id="28"/>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Definición y delimitación del tema o problema:</w:t>
      </w:r>
      <w:r>
        <w:rPr>
          <w:rFonts w:cs="Tahoma" w:ascii="Tahoma" w:hAnsi="Tahoma"/>
          <w:i/>
          <w:iCs/>
          <w:sz w:val="20"/>
          <w:szCs w:val="20"/>
          <w:u w:val="none" w:color="000000"/>
          <w:lang w:eastAsia="es-ES"/>
        </w:rPr>
        <w:t xml:space="preserve"> Consiste en la descripción del tema o problema institucional a resolver. Entre las variables a considerar se encuentran: </w:t>
      </w:r>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Identificar si el tema o problema se considera de interés institucional y social, </w:t>
      </w:r>
      <w:bookmarkStart w:id="29" w:name="_Hlk10019625"/>
      <w:r>
        <w:rPr>
          <w:rFonts w:eastAsia="Calibri" w:cs="Tahoma" w:ascii="Tahoma" w:hAnsi="Tahoma"/>
          <w:i/>
          <w:iCs/>
          <w:sz w:val="20"/>
          <w:szCs w:val="20"/>
        </w:rPr>
        <w:t>elemento que lo establece la Corte Plena con la aprobación para la elaboración de la nueva política institucional.</w:t>
      </w:r>
      <w:bookmarkEnd w:id="29"/>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Describir, de manera general, el marco normativo que lo justifica. </w:t>
      </w:r>
    </w:p>
    <w:p>
      <w:pPr>
        <w:pStyle w:val="Normal"/>
        <w:numPr>
          <w:ilvl w:val="0"/>
          <w:numId w:val="8"/>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Debe definirse la instancia rectora responsable de su gestión a nivel institucional.</w:t>
      </w:r>
      <w:bookmarkStart w:id="30" w:name="_Hlk9588504"/>
      <w:bookmarkEnd w:id="30"/>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 xml:space="preserve">Marco </w:t>
      </w:r>
      <w:bookmarkStart w:id="31" w:name="_Hlk9588601"/>
      <w:r>
        <w:rPr>
          <w:rFonts w:cs="Tahoma" w:ascii="Tahoma" w:hAnsi="Tahoma"/>
          <w:b/>
          <w:i/>
          <w:iCs/>
          <w:sz w:val="20"/>
          <w:szCs w:val="20"/>
          <w:u w:val="none" w:color="000000"/>
          <w:lang w:eastAsia="es-ES"/>
        </w:rPr>
        <w:t>legal:</w:t>
      </w:r>
      <w:r>
        <w:rPr>
          <w:rFonts w:cs="Tahoma" w:ascii="Tahoma" w:hAnsi="Tahoma"/>
          <w:i/>
          <w:iCs/>
          <w:sz w:val="20"/>
          <w:szCs w:val="20"/>
          <w:u w:val="none" w:color="000000"/>
          <w:lang w:eastAsia="es-ES"/>
        </w:rPr>
        <w:t xml:space="preserve"> Es la revisión del marco legal nacional e internacional, en la que se contempla la normativa de manera detallada relacionada con el tema o problema a resolver. Se deben considerar los tratados, leyes, decretos, directrices técnicas, entre otros documentos relacionados. Debe contemplar como mínimo el nombre del instrumento legal, la fecha de emisión y vigencia, además de los aspectos relevantes para la política (objetivos o compromisos para la institución).</w:t>
      </w:r>
      <w:bookmarkEnd w:id="31"/>
    </w:p>
    <w:p>
      <w:pPr>
        <w:pStyle w:val="Normal"/>
        <w:keepNext w:val="true"/>
        <w:widowControl w:val="false"/>
        <w:numPr>
          <w:ilvl w:val="0"/>
          <w:numId w:val="14"/>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Análisis del tema o problema:</w:t>
      </w:r>
      <w:r>
        <w:rPr>
          <w:rFonts w:cs="Tahoma" w:ascii="Tahoma" w:hAnsi="Tahoma"/>
          <w:i/>
          <w:iCs/>
          <w:sz w:val="20"/>
          <w:szCs w:val="20"/>
          <w:u w:val="none" w:color="000000"/>
          <w:lang w:eastAsia="es-ES"/>
        </w:rPr>
        <w:t xml:space="preserve"> Debe contemplar el entorno social, económico, cultural, político, ambiental, tecnológico y algún otro, que incide sobre el tema o problema a resolver; así como distinguir las fortalezas y las debilidades institucionales, las oportunidades y las amenazas del entorno, que contribuyan a definir el alcance de la política y la identificación de oportunidades de mejora.</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t>Las fuentes de información de estos datos pueden ser:</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numPr>
          <w:ilvl w:val="0"/>
          <w:numId w:val="13"/>
        </w:numPr>
        <w:spacing w:lineRule="auto" w:line="240" w:before="0" w:after="0"/>
        <w:jc w:val="both"/>
        <w:rPr>
          <w:rFonts w:ascii="Tahoma" w:hAnsi="Tahoma" w:cs="Tahoma"/>
          <w:i/>
          <w:i/>
          <w:iCs/>
          <w:sz w:val="20"/>
          <w:szCs w:val="20"/>
          <w:lang w:eastAsia="es-ES"/>
        </w:rPr>
      </w:pPr>
      <w:r>
        <w:rPr>
          <w:rFonts w:cs="Tahoma" w:ascii="Tahoma" w:hAnsi="Tahoma"/>
          <w:i/>
          <w:iCs/>
          <w:sz w:val="20"/>
          <w:szCs w:val="20"/>
          <w:lang w:eastAsia="es-ES"/>
        </w:rPr>
        <w:t>Internas, entre los que se destacan: Datos estadísticos, estructura organizacional (Relación de Puestos), presupuestos formulados y ejecutados, datos demográficos (Sistema Georeferencial), estudios técnicos de oficinas especialistas, acuerdos del Consejo Superior y Corte Plena, entre otros.</w:t>
      </w:r>
    </w:p>
    <w:p>
      <w:pPr>
        <w:pStyle w:val="Normal"/>
        <w:ind w:left="708"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numPr>
          <w:ilvl w:val="0"/>
          <w:numId w:val="13"/>
        </w:numPr>
        <w:spacing w:lineRule="auto" w:line="240" w:before="0" w:after="0"/>
        <w:jc w:val="both"/>
        <w:rPr>
          <w:rFonts w:ascii="Tahoma" w:hAnsi="Tahoma" w:cs="Tahoma"/>
          <w:i/>
          <w:i/>
          <w:iCs/>
          <w:sz w:val="20"/>
          <w:szCs w:val="20"/>
          <w:lang w:eastAsia="es-ES"/>
        </w:rPr>
      </w:pPr>
      <w:r>
        <w:rPr>
          <w:rFonts w:cs="Tahoma" w:ascii="Tahoma" w:hAnsi="Tahoma"/>
          <w:i/>
          <w:iCs/>
          <w:sz w:val="20"/>
          <w:szCs w:val="20"/>
          <w:lang w:eastAsia="es-ES"/>
        </w:rPr>
        <w:t>Externas, dependiendo del tema a abordar, se pueden tomar datos como: Estadísticas del Instituto Nacional de Estadísticas y Censos (INEC), informes específicos del Estado de la Nación, datos y estudios técnicos de órganos especializados del Gobierno o instancias internacionales reconocidas, entre otros.</w:t>
      </w:r>
    </w:p>
    <w:p>
      <w:pPr>
        <w:pStyle w:val="Normal"/>
        <w:ind w:left="708" w:hanging="0"/>
        <w:rPr>
          <w:rFonts w:ascii="Tahoma" w:hAnsi="Tahoma" w:cs="Tahoma"/>
          <w:i/>
          <w:i/>
          <w:iCs/>
          <w:sz w:val="20"/>
          <w:szCs w:val="20"/>
          <w:lang w:eastAsia="es-ES"/>
        </w:rPr>
      </w:pPr>
      <w:r>
        <w:rPr>
          <w:rFonts w:cs="Tahoma" w:ascii="Tahoma" w:hAnsi="Tahoma"/>
          <w:i/>
          <w:iCs/>
          <w:sz w:val="20"/>
          <w:szCs w:val="20"/>
          <w:lang w:eastAsia="es-ES"/>
        </w:rPr>
      </w:r>
    </w:p>
    <w:p>
      <w:pPr>
        <w:pStyle w:val="Normal"/>
        <w:ind w:left="720" w:firstLine="348"/>
        <w:jc w:val="both"/>
        <w:rPr>
          <w:rFonts w:ascii="Tahoma" w:hAnsi="Tahoma" w:eastAsia="Calibri" w:cs="Tahoma"/>
          <w:i/>
          <w:i/>
          <w:iCs/>
          <w:sz w:val="20"/>
          <w:szCs w:val="20"/>
        </w:rPr>
      </w:pPr>
      <w:r>
        <w:rPr>
          <w:rFonts w:eastAsia="Calibri" w:cs="Tahoma" w:ascii="Tahoma" w:hAnsi="Tahoma"/>
          <w:i/>
          <w:iCs/>
          <w:sz w:val="20"/>
          <w:szCs w:val="20"/>
        </w:rPr>
        <w:t xml:space="preserve">Con el análisis de la información recopilada sobre el tema, se crea un panorama del estado de situación del problema, sus causas y los factores del entorno que afectan la situación.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348"/>
        <w:jc w:val="both"/>
        <w:rPr>
          <w:rFonts w:ascii="Tahoma" w:hAnsi="Tahoma" w:eastAsia="Calibri" w:cs="Tahoma"/>
          <w:i/>
          <w:i/>
          <w:iCs/>
          <w:sz w:val="20"/>
          <w:szCs w:val="20"/>
        </w:rPr>
      </w:pPr>
      <w:r>
        <w:rPr>
          <w:rFonts w:eastAsia="Calibri" w:cs="Tahoma" w:ascii="Tahoma" w:hAnsi="Tahoma"/>
          <w:i/>
          <w:iCs/>
          <w:sz w:val="20"/>
          <w:szCs w:val="20"/>
        </w:rPr>
        <w:t xml:space="preserve">Para el análisis del problema es de relevancia la participación de los diferentes actores relacionados de manera directa e indirecta con el tema o problema. Así, la recolección y sistematización de la información obtenida mediante experiencias, entrevistas, talleres, foros, mesas de diálogo, narraciones o cualquier otro medio que aborde el tema; que constituyen mecanismos de cocreación, donde se garantiza la participación ciudadana, interinstitucional e institucional desde el inicio de la creación de la política.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bookmarkStart w:id="32" w:name="_Hlk9618463"/>
      <w:bookmarkStart w:id="33" w:name="_Hlk9588797"/>
      <w:bookmarkStart w:id="34" w:name="_Hlk9618463"/>
      <w:bookmarkStart w:id="35" w:name="_Hlk9588797"/>
      <w:bookmarkEnd w:id="34"/>
      <w:bookmarkEnd w:id="35"/>
    </w:p>
    <w:p>
      <w:pPr>
        <w:pStyle w:val="Normal"/>
        <w:ind w:left="708" w:firstLine="360"/>
        <w:jc w:val="both"/>
        <w:rPr>
          <w:rFonts w:ascii="Tahoma" w:hAnsi="Tahoma" w:eastAsia="Calibri" w:cs="Tahoma"/>
          <w:i/>
          <w:i/>
          <w:iCs/>
          <w:sz w:val="20"/>
          <w:szCs w:val="20"/>
        </w:rPr>
      </w:pPr>
      <w:r>
        <w:rPr>
          <w:rFonts w:eastAsia="Calibri" w:cs="Tahoma" w:ascii="Tahoma" w:hAnsi="Tahoma"/>
          <w:i/>
          <w:iCs/>
          <w:sz w:val="20"/>
          <w:szCs w:val="20"/>
        </w:rPr>
        <w:t xml:space="preserve">Además, se considera de relevancia la inclusión de información estadística e indicadores disponibles, que describan de manera cuantitativa el estado situacional del tema o problema a resolver.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keepNext w:val="true"/>
        <w:widowControl w:val="false"/>
        <w:numPr>
          <w:ilvl w:val="0"/>
          <w:numId w:val="0"/>
        </w:numPr>
        <w:outlineLvl w:val="3"/>
        <w:rPr>
          <w:rFonts w:ascii="Tahoma" w:hAnsi="Tahoma" w:cs="Tahoma"/>
          <w:b/>
          <w:b/>
          <w:i/>
          <w:i/>
          <w:iCs/>
          <w:sz w:val="20"/>
          <w:szCs w:val="20"/>
          <w:u w:val="none" w:color="000000"/>
          <w:lang w:eastAsia="es-ES"/>
        </w:rPr>
      </w:pPr>
      <w:r>
        <w:rPr>
          <w:rFonts w:cs="Tahoma" w:ascii="Tahoma" w:hAnsi="Tahoma"/>
          <w:b/>
          <w:i/>
          <w:iCs/>
          <w:sz w:val="20"/>
          <w:szCs w:val="20"/>
          <w:u w:val="none" w:color="000000"/>
          <w:lang w:eastAsia="es-ES"/>
        </w:rPr>
        <w:t>3.2.2.2 Fase 2: Elaboración y aprobación de la Política</w:t>
      </w:r>
    </w:p>
    <w:p>
      <w:pPr>
        <w:pStyle w:val="Normal"/>
        <w:jc w:val="both"/>
        <w:rPr>
          <w:rFonts w:ascii="Tahoma" w:hAnsi="Tahoma" w:eastAsia="Calibri" w:cs="Tahoma"/>
          <w:i/>
          <w:i/>
          <w:iCs/>
          <w:sz w:val="20"/>
          <w:szCs w:val="20"/>
          <w:u w:val="single"/>
        </w:rPr>
      </w:pPr>
      <w:r>
        <w:rPr>
          <w:rFonts w:eastAsia="Calibri" w:cs="Tahoma" w:ascii="Tahoma" w:hAnsi="Tahoma"/>
          <w:i/>
          <w:iCs/>
          <w:sz w:val="20"/>
          <w:szCs w:val="20"/>
          <w:u w:val="single"/>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En esta fase es donde se elabora la política institucional, mediante la participación de las personas actoras involucradas, donde se debe lograr el consenso, validación y aceptación de la propuesta, previo a su remisión para aprobación por parte de la Corte Plena. Para la elaboración de la Política, deben considerarse los siguientes elementos.  </w:t>
      </w:r>
    </w:p>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Figura 3</w:t>
      </w:r>
    </w:p>
    <w:p>
      <w:pPr>
        <w:pStyle w:val="Normal"/>
        <w:jc w:val="center"/>
        <w:rPr>
          <w:rFonts w:ascii="Tahoma" w:hAnsi="Tahoma" w:eastAsia="Calibri" w:cs="Tahoma"/>
          <w:b/>
          <w:b/>
          <w:i/>
          <w:i/>
          <w:iCs/>
          <w:sz w:val="20"/>
          <w:szCs w:val="20"/>
        </w:rPr>
      </w:pPr>
      <w:r>
        <w:rPr>
          <w:rFonts w:eastAsia="Calibri" w:cs="Tahoma" w:ascii="Tahoma" w:hAnsi="Tahoma"/>
          <w:b/>
          <w:i/>
          <w:iCs/>
          <w:sz w:val="20"/>
          <w:szCs w:val="20"/>
        </w:rPr>
        <w:t>Elementos para la elaboración de la Política</w:t>
      </w:r>
      <w:bookmarkStart w:id="36" w:name="_Hlk1398019"/>
      <w:bookmarkEnd w:id="36"/>
    </w:p>
    <w:p>
      <w:pPr>
        <w:pStyle w:val="Normal"/>
        <w:jc w:val="center"/>
        <w:rPr>
          <w:rFonts w:ascii="Tahoma" w:hAnsi="Tahoma" w:eastAsia="Calibri" w:cs="Tahoma"/>
          <w:i/>
          <w:i/>
          <w:iCs/>
          <w:sz w:val="20"/>
          <w:szCs w:val="20"/>
        </w:rPr>
      </w:pPr>
      <w:r>
        <w:rPr/>
        <w:drawing>
          <wp:inline distT="0" distB="0" distL="0" distR="0">
            <wp:extent cx="3585210" cy="2217420"/>
            <wp:effectExtent l="0" t="0" r="0" b="0"/>
            <wp:docPr id="15" name="Imagen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8" descr=""/>
                    <pic:cNvPicPr>
                      <a:picLocks noChangeAspect="1" noChangeArrowheads="1"/>
                    </pic:cNvPicPr>
                  </pic:nvPicPr>
                  <pic:blipFill>
                    <a:blip r:embed="rId18"/>
                    <a:stretch>
                      <a:fillRect/>
                    </a:stretch>
                  </pic:blipFill>
                  <pic:spPr bwMode="auto">
                    <a:xfrm>
                      <a:off x="0" y="0"/>
                      <a:ext cx="3585210" cy="2217420"/>
                    </a:xfrm>
                    <a:prstGeom prst="rect">
                      <a:avLst/>
                    </a:prstGeom>
                  </pic:spPr>
                </pic:pic>
              </a:graphicData>
            </a:graphic>
          </wp:inline>
        </w:drawing>
      </w:r>
    </w:p>
    <w:p>
      <w:pPr>
        <w:pStyle w:val="Normal"/>
        <w:ind w:left="732" w:firstLine="708"/>
        <w:jc w:val="center"/>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5"/>
        </w:numPr>
        <w:spacing w:lineRule="auto" w:line="240" w:before="0" w:after="0"/>
        <w:jc w:val="both"/>
        <w:outlineLvl w:val="3"/>
        <w:rPr>
          <w:rFonts w:ascii="Tahoma" w:hAnsi="Tahoma" w:cs="Tahoma"/>
          <w:bCs/>
          <w:i/>
          <w:i/>
          <w:iCs/>
          <w:sz w:val="20"/>
          <w:szCs w:val="20"/>
          <w:u w:val="none" w:color="000000"/>
          <w:lang w:eastAsia="es-ES"/>
        </w:rPr>
      </w:pPr>
      <w:r>
        <w:rPr>
          <w:rFonts w:cs="Tahoma" w:ascii="Tahoma" w:hAnsi="Tahoma"/>
          <w:b/>
          <w:i/>
          <w:iCs/>
          <w:sz w:val="20"/>
          <w:szCs w:val="20"/>
          <w:u w:val="none" w:color="000000"/>
          <w:lang w:eastAsia="es-ES"/>
        </w:rPr>
        <w:t xml:space="preserve">Metodología: </w:t>
      </w:r>
      <w:bookmarkStart w:id="37" w:name="_Hlk9589393"/>
      <w:r>
        <w:rPr>
          <w:rFonts w:cs="Tahoma" w:ascii="Tahoma" w:hAnsi="Tahoma"/>
          <w:bCs/>
          <w:i/>
          <w:iCs/>
          <w:sz w:val="20"/>
          <w:szCs w:val="20"/>
          <w:u w:val="none" w:color="000000"/>
          <w:lang w:eastAsia="es-ES"/>
        </w:rPr>
        <w:t xml:space="preserve">A partir de los elementos que debe contener la política institucional, que se detallan más adelante; se deben definir las metodologías que se emplearían para la elaboración de cada uno de estos elementos y componentes que se encuentran en la política institucional. </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20" w:firstLine="360"/>
        <w:jc w:val="both"/>
        <w:rPr>
          <w:rFonts w:ascii="Tahoma" w:hAnsi="Tahoma" w:eastAsia="Calibri" w:cs="Tahoma"/>
          <w:i/>
          <w:i/>
          <w:iCs/>
          <w:sz w:val="20"/>
          <w:szCs w:val="20"/>
        </w:rPr>
      </w:pPr>
      <w:r>
        <w:rPr>
          <w:rFonts w:eastAsia="Calibri" w:cs="Tahoma" w:ascii="Tahoma" w:hAnsi="Tahoma"/>
          <w:i/>
          <w:iCs/>
          <w:sz w:val="20"/>
          <w:szCs w:val="20"/>
        </w:rPr>
        <w:t xml:space="preserve">Para lo anterior, es importante que se contemple la participación institucional, interinstitucional y ciudadana en la creación de la política; y tomar en cuenta los mecanismos existentes en la institución sobre el tema como son: la Política de Participación Ciudadana, la Política de Justicia Abierta, entre otros. </w:t>
      </w:r>
      <w:r>
        <w:rPr>
          <w:rStyle w:val="Ancladenotaalpie"/>
          <w:rFonts w:eastAsia="Calibri" w:cs="Tahoma" w:ascii="Tahoma" w:hAnsi="Tahoma"/>
          <w:i/>
          <w:iCs/>
          <w:sz w:val="20"/>
          <w:szCs w:val="20"/>
          <w:vertAlign w:val="superscript"/>
        </w:rPr>
        <w:footnoteReference w:id="6"/>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360"/>
        <w:jc w:val="both"/>
        <w:rPr>
          <w:rFonts w:ascii="Tahoma" w:hAnsi="Tahoma" w:eastAsia="Calibri" w:cs="Tahoma"/>
          <w:i/>
          <w:i/>
          <w:iCs/>
          <w:sz w:val="20"/>
          <w:szCs w:val="20"/>
        </w:rPr>
      </w:pPr>
      <w:r>
        <w:rPr>
          <w:rFonts w:eastAsia="Calibri" w:cs="Tahoma" w:ascii="Tahoma" w:hAnsi="Tahoma"/>
          <w:i/>
          <w:iCs/>
          <w:sz w:val="20"/>
          <w:szCs w:val="20"/>
        </w:rPr>
        <w:t>En este apartado se puede adicionar un cronograma con las actividades que se tienen programadas a realizar; el detalle de las personas, instituciones e instancias involucradas en esas actividades</w:t>
      </w:r>
      <w:bookmarkStart w:id="38" w:name="_Hlk11923854"/>
      <w:r>
        <w:rPr>
          <w:rFonts w:eastAsia="Calibri" w:cs="Tahoma" w:ascii="Tahoma" w:hAnsi="Tahoma"/>
          <w:i/>
          <w:iCs/>
          <w:sz w:val="20"/>
          <w:szCs w:val="20"/>
        </w:rPr>
        <w:t>, así como los recursos ordinarios (humanos, sistemas de información, equipos, viáticos, etc.) que se requieren para desarrollar la metodología planteada.</w:t>
      </w:r>
      <w:bookmarkEnd w:id="37"/>
      <w:bookmarkEnd w:id="38"/>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15"/>
        </w:numPr>
        <w:spacing w:lineRule="auto" w:line="240" w:before="0" w:after="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Elaboración de la propuesta de la política institucional:</w:t>
      </w:r>
      <w:r>
        <w:rPr>
          <w:rFonts w:cs="Tahoma" w:ascii="Tahoma" w:hAnsi="Tahoma"/>
          <w:i/>
          <w:iCs/>
          <w:sz w:val="20"/>
          <w:szCs w:val="20"/>
          <w:u w:val="none" w:color="000000"/>
          <w:lang w:eastAsia="es-ES"/>
        </w:rPr>
        <w:t xml:space="preserve"> Los componentes básicos que debe contener una Política Institucional son: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Portada.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Introducción.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Índice. </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Diagnóstico situacional.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 xml:space="preserve">d.1. Definición y delimitación del tema o problema.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 xml:space="preserve">d.2. Marco legal. </w:t>
      </w:r>
    </w:p>
    <w:p>
      <w:pPr>
        <w:pStyle w:val="Normal"/>
        <w:ind w:left="1788" w:hanging="0"/>
        <w:jc w:val="both"/>
        <w:rPr>
          <w:rFonts w:ascii="Tahoma" w:hAnsi="Tahoma" w:eastAsia="Calibri" w:cs="Tahoma"/>
          <w:i/>
          <w:i/>
          <w:iCs/>
          <w:sz w:val="20"/>
          <w:szCs w:val="20"/>
          <w:u w:val="single"/>
        </w:rPr>
      </w:pPr>
      <w:r>
        <w:rPr>
          <w:rFonts w:eastAsia="Calibri" w:cs="Tahoma" w:ascii="Tahoma" w:hAnsi="Tahoma"/>
          <w:i/>
          <w:iCs/>
          <w:sz w:val="20"/>
          <w:szCs w:val="20"/>
        </w:rPr>
        <w:t>d.3. Análisis del tema o problema.</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Metodología.</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Definición de las poblaciones y/o grupos beneficiarios a quienes se dirige e impacta la política institucional.</w:t>
      </w:r>
    </w:p>
    <w:p>
      <w:pPr>
        <w:pStyle w:val="Normal"/>
        <w:numPr>
          <w:ilvl w:val="0"/>
          <w:numId w:val="9"/>
        </w:numPr>
        <w:spacing w:lineRule="auto" w:line="240" w:before="0" w:after="0"/>
        <w:jc w:val="both"/>
        <w:rPr>
          <w:rFonts w:ascii="Tahoma" w:hAnsi="Tahoma" w:eastAsia="Calibri" w:cs="Tahoma"/>
          <w:i/>
          <w:i/>
          <w:iCs/>
          <w:sz w:val="20"/>
          <w:szCs w:val="20"/>
          <w:u w:val="single"/>
        </w:rPr>
      </w:pPr>
      <w:r>
        <w:rPr>
          <w:rFonts w:eastAsia="Calibri" w:cs="Tahoma" w:ascii="Tahoma" w:hAnsi="Tahoma"/>
          <w:i/>
          <w:iCs/>
          <w:sz w:val="20"/>
          <w:szCs w:val="20"/>
        </w:rPr>
        <w:t xml:space="preserve">Alineamiento de la política institucional con los ejes transversales del Plan Estratégico Institucional.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Temas Prioritarios, Objetivos, Líneas de Acción, Resultados Esperados e Indicadores de Resultados.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Plan de Acción.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 xml:space="preserve">Análisis de impacto presupuestario de implementación de la política institucional.  </w:t>
      </w:r>
    </w:p>
    <w:p>
      <w:pPr>
        <w:pStyle w:val="Normal"/>
        <w:numPr>
          <w:ilvl w:val="0"/>
          <w:numId w:val="9"/>
        </w:numPr>
        <w:spacing w:lineRule="auto" w:line="240" w:before="0" w:after="0"/>
        <w:rPr>
          <w:rFonts w:ascii="Tahoma" w:hAnsi="Tahoma" w:eastAsia="Calibri" w:cs="Tahoma"/>
          <w:i/>
          <w:i/>
          <w:iCs/>
          <w:sz w:val="20"/>
          <w:szCs w:val="20"/>
        </w:rPr>
      </w:pPr>
      <w:r>
        <w:rPr>
          <w:rFonts w:eastAsia="Calibri" w:cs="Tahoma" w:ascii="Tahoma" w:hAnsi="Tahoma"/>
          <w:i/>
          <w:iCs/>
          <w:sz w:val="20"/>
          <w:szCs w:val="20"/>
        </w:rPr>
        <w:t>Definición del modelo de gestión para la implementación, seguimiento, evaluación.</w:t>
      </w:r>
    </w:p>
    <w:p>
      <w:pPr>
        <w:pStyle w:val="Normal"/>
        <w:ind w:left="568" w:hanging="0"/>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detallan cada uno de los componentes señalados anteriormente: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u w:val="single"/>
        </w:rPr>
      </w:pPr>
      <w:r>
        <w:rPr>
          <w:rFonts w:eastAsia="Calibri" w:cs="Tahoma" w:ascii="Tahoma" w:hAnsi="Tahoma"/>
          <w:b/>
          <w:i/>
          <w:iCs/>
          <w:sz w:val="20"/>
          <w:szCs w:val="20"/>
          <w:u w:val="single"/>
        </w:rPr>
        <w:t>GUÍA PARA LA FORMULACIÓN DE LAS POLÍTICAS INSTITUCIONALES</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Diagnóstico situacional</w:t>
      </w:r>
    </w:p>
    <w:p>
      <w:pPr>
        <w:pStyle w:val="Normal"/>
        <w:ind w:left="36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Definición y delimitación del tema o problema </w:t>
      </w:r>
    </w:p>
    <w:p>
      <w:pPr>
        <w:pStyle w:val="Normal"/>
        <w:ind w:left="360"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708" w:hanging="0"/>
        <w:contextualSpacing/>
        <w:jc w:val="both"/>
        <w:rPr>
          <w:rFonts w:ascii="Tahoma" w:hAnsi="Tahoma" w:cs="Tahoma"/>
          <w:i/>
          <w:i/>
          <w:iCs/>
          <w:sz w:val="20"/>
          <w:szCs w:val="20"/>
          <w:lang w:eastAsia="es-ES"/>
        </w:rPr>
      </w:pPr>
      <w:r>
        <w:rPr>
          <w:rFonts w:cs="Tahoma" w:ascii="Tahoma" w:hAnsi="Tahoma"/>
          <w:i/>
          <w:iCs/>
          <w:sz w:val="20"/>
          <w:szCs w:val="20"/>
          <w:lang w:eastAsia="es-ES"/>
        </w:rPr>
        <w:t xml:space="preserve">Consiste en la descripción del tema o problema institucional a resolver. Entre las variables a considerar se encuentran: </w:t>
      </w:r>
    </w:p>
    <w:p>
      <w:pPr>
        <w:pStyle w:val="Normal"/>
        <w:spacing w:before="0" w:after="200"/>
        <w:ind w:left="360"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Identificar</w:t>
      </w:r>
      <w:r>
        <w:rPr>
          <w:rFonts w:cs="Tahoma" w:ascii="Tahoma" w:hAnsi="Tahoma"/>
          <w:i/>
          <w:iCs/>
          <w:sz w:val="20"/>
          <w:szCs w:val="20"/>
          <w:lang w:eastAsia="es-ES"/>
        </w:rPr>
        <w:t xml:space="preserve"> si el tema o problema es de interés institucional y social. </w:t>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Señalar</w:t>
      </w:r>
      <w:r>
        <w:rPr>
          <w:rFonts w:cs="Tahoma" w:ascii="Tahoma" w:hAnsi="Tahoma"/>
          <w:i/>
          <w:iCs/>
          <w:sz w:val="20"/>
          <w:szCs w:val="20"/>
          <w:lang w:eastAsia="es-ES"/>
        </w:rPr>
        <w:t xml:space="preserve"> de manera general el marco normativo que lo justifica. </w:t>
      </w:r>
    </w:p>
    <w:p>
      <w:pPr>
        <w:pStyle w:val="Normal"/>
        <w:numPr>
          <w:ilvl w:val="2"/>
          <w:numId w:val="10"/>
        </w:numPr>
        <w:spacing w:lineRule="auto" w:line="240" w:before="0" w:after="0"/>
        <w:contextualSpacing/>
        <w:jc w:val="both"/>
        <w:rPr>
          <w:rFonts w:ascii="Tahoma" w:hAnsi="Tahoma" w:cs="Tahoma"/>
          <w:i/>
          <w:i/>
          <w:iCs/>
          <w:sz w:val="20"/>
          <w:szCs w:val="20"/>
          <w:lang w:eastAsia="es-ES"/>
        </w:rPr>
      </w:pPr>
      <w:r>
        <w:rPr>
          <w:rFonts w:eastAsia="Calibri" w:cs="Tahoma" w:ascii="Tahoma" w:hAnsi="Tahoma"/>
          <w:i/>
          <w:iCs/>
          <w:sz w:val="20"/>
          <w:szCs w:val="20"/>
        </w:rPr>
        <w:t>Debe</w:t>
      </w:r>
      <w:r>
        <w:rPr>
          <w:rFonts w:cs="Tahoma" w:ascii="Tahoma" w:hAnsi="Tahoma"/>
          <w:i/>
          <w:iCs/>
          <w:sz w:val="20"/>
          <w:szCs w:val="20"/>
          <w:lang w:eastAsia="es-ES"/>
        </w:rPr>
        <w:t xml:space="preserve"> definirse la instancia rectora responsable de su gestión a nivel institucional.</w:t>
      </w:r>
    </w:p>
    <w:p>
      <w:pPr>
        <w:pStyle w:val="Normal"/>
        <w:ind w:left="36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i/>
          <w:i/>
          <w:iCs/>
          <w:sz w:val="20"/>
          <w:szCs w:val="20"/>
          <w:lang w:eastAsia="es-ES"/>
        </w:rPr>
      </w:pPr>
      <w:r>
        <w:rPr>
          <w:rFonts w:cs="Tahoma" w:ascii="Tahoma" w:hAnsi="Tahoma"/>
          <w:b/>
          <w:i/>
          <w:iCs/>
          <w:sz w:val="20"/>
          <w:szCs w:val="20"/>
          <w:lang w:eastAsia="es-ES"/>
        </w:rPr>
        <w:t>Marco legal</w:t>
      </w:r>
    </w:p>
    <w:p>
      <w:pPr>
        <w:pStyle w:val="Normal"/>
        <w:spacing w:before="0" w:after="20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Es la revisión del marco legal nacional e internacional, en la que se contempla la normativa detallada relacionada con el tema o problema a resolver. Se deben considerar los tratados, leyes, decretos, directrices técnicas, entre otros documentos relacionados.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Debe contemplar como mínimo el nombre del instrumento legal, la fecha de emisión y vigencia, además de los aspectos relevantes para la política (objetivos o compromisos para la institución).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10"/>
        </w:numPr>
        <w:spacing w:lineRule="auto" w:line="240" w:before="0" w:after="0"/>
        <w:contextualSpacing/>
        <w:jc w:val="both"/>
        <w:rPr>
          <w:rFonts w:ascii="Tahoma" w:hAnsi="Tahoma" w:cs="Tahoma"/>
          <w:i/>
          <w:i/>
          <w:iCs/>
          <w:sz w:val="20"/>
          <w:szCs w:val="20"/>
          <w:lang w:eastAsia="es-ES"/>
        </w:rPr>
      </w:pPr>
      <w:r>
        <w:rPr>
          <w:rFonts w:cs="Tahoma" w:ascii="Tahoma" w:hAnsi="Tahoma"/>
          <w:b/>
          <w:i/>
          <w:iCs/>
          <w:sz w:val="20"/>
          <w:szCs w:val="20"/>
          <w:lang w:eastAsia="es-ES"/>
        </w:rPr>
        <w:t>Análisis del tema o problema</w:t>
      </w:r>
    </w:p>
    <w:p>
      <w:pPr>
        <w:pStyle w:val="Normal"/>
        <w:spacing w:before="0" w:after="200"/>
        <w:ind w:left="360"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Debe contemplar el entorno social, económico, cultural, político, ambiental, tecnológico y algún otro, que incide sobre el tema o problema a resolver; así como distinguir las fortalezas y las debilidades institucionales, las oportunidades y las amenazas del entorno, que contribuyan a definir el alcance de la política y la identificación de oportunidades de mejora.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Con el análisis de la información recopilada sobre el tema, se crea un panorama del estado de situación del problema, sus causas y los factores del entorno que afectan la situación.</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Para el análisis del problema es de relevancia la participación de los diferentes actores relacionados de manera directa e indirecta con el tema o problema. Así, la recolección y sistematización de la información obtenida mediante experiencias, entrevistas, talleres, foros, mesas de diálogo, narraciones o cualquier otro medio que aborde el tema; constituyen mecanismos de cocreación, donde se garantiza la participación ciudadana, interinstitucional e institucional desde el inicio de la construcción de la política.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Además, se considera de relevancia la inclusión de información estadística e indicadores disponibles, que describan de manera cuantitativa el estado situacional del tema o problema a resolver.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Metodología </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A partir de los elementos de la política institucional, se deben definir las metodologías para la elaboración de cada uno de estos los elementos y componentes que se encuentran en la política institucional, lo cual implica la definición de los pasos a seguir en cada uno de ellos.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Por tanto, es importante que exista la participación institucional, interinstitucional y ciudadana en la construcción de la política. En este apartado se puede adicionar los cronogramas, el detalle de las personas o instancias responsables, instituciones e instancias participantes, así como los recursos ordinarios (humanos, sistemas de información, equipos, viáticos, etc.) que se requieren para desarrollar la metodología planteada.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Definición de las poblaciones o grupos beneficiarios a quienes se dirige e impacta la política institucional</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jc w:val="both"/>
        <w:rPr>
          <w:rFonts w:ascii="Tahoma" w:hAnsi="Tahoma" w:eastAsia="Calibri" w:cs="Tahoma"/>
          <w:i/>
          <w:i/>
          <w:iCs/>
          <w:sz w:val="20"/>
          <w:szCs w:val="20"/>
        </w:rPr>
      </w:pPr>
      <w:r>
        <w:rPr>
          <w:rFonts w:eastAsia="Calibri" w:cs="Tahoma" w:ascii="Tahoma" w:hAnsi="Tahoma"/>
          <w:i/>
          <w:iCs/>
          <w:sz w:val="20"/>
          <w:szCs w:val="20"/>
        </w:rPr>
        <w:t>En esta etapa deberá indicarse:</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1"/>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El grupo poblacional al que va dirigido el tema o problema planteado en la Política y el cual se verá beneficiado o presentará una mejoría de la situación actual. – Enfoque externo.  </w:t>
      </w:r>
    </w:p>
    <w:p>
      <w:pPr>
        <w:pStyle w:val="Normal"/>
        <w:numPr>
          <w:ilvl w:val="0"/>
          <w:numId w:val="11"/>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Las personas e instancias que participan e intervienen en cada una de las etapas del proceso de gestión de la Política Institucional. – Enfoque interno e interinstitucional.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A continuación, se adjunta un cuadro de referencia para la definición de las poblaciones y grupos beneficiarios: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2</w:t>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de referencia para la definición de poblaciones o grupo beneficiario</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tbl>
      <w:tblPr>
        <w:tblW w:w="8494"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123"/>
        <w:gridCol w:w="2123"/>
        <w:gridCol w:w="2124"/>
        <w:gridCol w:w="2123"/>
      </w:tblGrid>
      <w:tr>
        <w:trPr/>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Población o grupo beneficiario</w:t>
            </w:r>
          </w:p>
        </w:tc>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Situación Actual</w:t>
            </w:r>
          </w:p>
        </w:tc>
        <w:tc>
          <w:tcPr>
            <w:tcW w:w="2124"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Beneficios o resultados esperados</w:t>
            </w:r>
          </w:p>
        </w:tc>
        <w:tc>
          <w:tcPr>
            <w:tcW w:w="2123" w:type="dxa"/>
            <w:tcBorders>
              <w:top w:val="single" w:sz="4" w:space="0" w:color="000000"/>
              <w:left w:val="single" w:sz="4" w:space="0" w:color="000000"/>
              <w:bottom w:val="single" w:sz="4" w:space="0" w:color="000000"/>
              <w:right w:val="single" w:sz="4" w:space="0" w:color="000000"/>
            </w:tcBorders>
            <w:shd w:color="auto" w:fill="2E74B5" w:val="clear"/>
            <w:vAlign w:val="cente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Indicador</w:t>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r>
        <w:trPr/>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c>
          <w:tcPr>
            <w:tcW w:w="212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eastAsia="Calibri" w:cs="Tahoma"/>
                <w:i/>
                <w:i/>
                <w:iCs/>
                <w:sz w:val="20"/>
                <w:szCs w:val="20"/>
              </w:rPr>
            </w:pPr>
            <w:r>
              <w:rPr>
                <w:rFonts w:eastAsia="Calibri" w:cs="Tahoma" w:ascii="Tahoma" w:hAnsi="Tahoma"/>
                <w:i/>
                <w:iCs/>
                <w:sz w:val="20"/>
                <w:szCs w:val="20"/>
              </w:rPr>
            </w:r>
          </w:p>
        </w:tc>
      </w:tr>
    </w:tbl>
    <w:p>
      <w:pPr>
        <w:pStyle w:val="Normal"/>
        <w:jc w:val="both"/>
        <w:rPr>
          <w:rFonts w:ascii="Tahoma" w:hAnsi="Tahoma" w:eastAsia="Calibri" w:cs="Tahoma"/>
          <w:i/>
          <w:i/>
          <w:iCs/>
          <w:sz w:val="20"/>
          <w:szCs w:val="20"/>
        </w:rPr>
      </w:pPr>
      <w:r>
        <w:rPr>
          <w:rFonts w:eastAsia="Calibri" w:cs="Tahoma" w:ascii="Tahoma" w:hAnsi="Tahoma"/>
          <w:b/>
          <w:i/>
          <w:iCs/>
          <w:sz w:val="20"/>
          <w:szCs w:val="20"/>
        </w:rPr>
        <w:t xml:space="preserve">Fuente: </w:t>
      </w:r>
      <w:r>
        <w:rPr>
          <w:rFonts w:eastAsia="Calibri" w:cs="Tahoma" w:ascii="Tahoma" w:hAnsi="Tahoma"/>
          <w:i/>
          <w:iCs/>
          <w:sz w:val="20"/>
          <w:szCs w:val="20"/>
        </w:rPr>
        <w:t xml:space="preserve">Elaboración propia. </w:t>
      </w:r>
    </w:p>
    <w:p>
      <w:pPr>
        <w:pStyle w:val="Normal"/>
        <w:jc w:val="both"/>
        <w:rPr>
          <w:rFonts w:ascii="Tahoma" w:hAnsi="Tahoma" w:eastAsia="Calibri" w:cs="Tahoma"/>
          <w:b/>
          <w:b/>
          <w:i/>
          <w:i/>
          <w:iCs/>
          <w:sz w:val="20"/>
          <w:szCs w:val="20"/>
        </w:rPr>
      </w:pPr>
      <w:r>
        <w:rPr>
          <w:rFonts w:eastAsia="Calibri" w:cs="Tahoma" w:ascii="Tahoma" w:hAnsi="Tahoma"/>
          <w:b/>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Alineamiento de la política con los ejes transversales del Plan Estratégico Institucional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t xml:space="preserve">En este apartado se debe señalar y justificar el eje transversal o los ejes transversales, del Plan Estratégico Institucional vigente, a los que se encuentra alineada y/o contribuye la política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Temas Prioritarios, objetivos, líneas de acción, resultados esperados e indicadores de resultados </w:t>
      </w:r>
      <w:bookmarkStart w:id="39" w:name="_Hlk9600350"/>
      <w:bookmarkEnd w:id="39"/>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En este apartado se definen los temas, los objetivos, las líneas de acción, los resultados esperados y los indicadores de la política institucional con una visión en el largo plazo.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Temas Prioritarios: </w:t>
      </w:r>
      <w:r>
        <w:rPr>
          <w:rFonts w:cs="Tahoma" w:ascii="Tahoma" w:hAnsi="Tahoma"/>
          <w:i/>
          <w:iCs/>
          <w:sz w:val="20"/>
          <w:szCs w:val="20"/>
          <w:lang w:eastAsia="es-ES"/>
        </w:rPr>
        <w:t>Son los grandes temas en que se va a concentrar la Política, que tienen el fin de guiar y asegurar los esfuerzos y recursos institucionales para resolver el problema o tema principal planteado.</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Objetivos: </w:t>
      </w:r>
      <w:r>
        <w:rPr>
          <w:rFonts w:cs="Tahoma" w:ascii="Tahoma" w:hAnsi="Tahoma"/>
          <w:i/>
          <w:iCs/>
          <w:sz w:val="20"/>
          <w:szCs w:val="20"/>
          <w:lang w:eastAsia="es-ES"/>
        </w:rPr>
        <w:t xml:space="preserve">Son los logros que espera alcanzar la Política en el largo plazo, para mejorar la situación actual de la población beneficiaria. </w:t>
      </w:r>
    </w:p>
    <w:p>
      <w:pPr>
        <w:pStyle w:val="Normal"/>
        <w:ind w:left="720"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360" w:firstLine="348"/>
        <w:contextualSpacing/>
        <w:jc w:val="both"/>
        <w:rPr>
          <w:rFonts w:ascii="Tahoma" w:hAnsi="Tahoma" w:cs="Tahoma"/>
          <w:b/>
          <w:b/>
          <w:i/>
          <w:i/>
          <w:iCs/>
          <w:sz w:val="20"/>
          <w:szCs w:val="20"/>
          <w:lang w:eastAsia="es-ES"/>
        </w:rPr>
      </w:pPr>
      <w:r>
        <w:rPr>
          <w:rFonts w:cs="Tahoma" w:ascii="Tahoma" w:hAnsi="Tahoma"/>
          <w:i/>
          <w:iCs/>
          <w:sz w:val="20"/>
          <w:szCs w:val="20"/>
          <w:lang w:eastAsia="es-ES"/>
        </w:rPr>
        <w:t>Los objetivos responden a la pregunta: ¿Qué debemos lograr en el largo plazo, para resolver el problema o temas planteados?</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Líneas de acción: </w:t>
      </w:r>
      <w:r>
        <w:rPr>
          <w:rFonts w:cs="Tahoma" w:ascii="Tahoma" w:hAnsi="Tahoma"/>
          <w:i/>
          <w:iCs/>
          <w:sz w:val="20"/>
          <w:szCs w:val="20"/>
          <w:lang w:eastAsia="es-ES"/>
        </w:rPr>
        <w:t xml:space="preserve">Son el planteamiento de las acciones dirigidas al cumplimiento de los objetivos generales de la Política. </w:t>
      </w:r>
    </w:p>
    <w:p>
      <w:pPr>
        <w:pStyle w:val="Normal"/>
        <w:ind w:firstLine="360"/>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360" w:firstLine="348"/>
        <w:jc w:val="both"/>
        <w:rPr>
          <w:rFonts w:ascii="Tahoma" w:hAnsi="Tahoma" w:cs="Tahoma"/>
          <w:b/>
          <w:b/>
          <w:i/>
          <w:i/>
          <w:iCs/>
          <w:sz w:val="20"/>
          <w:szCs w:val="20"/>
          <w:lang w:eastAsia="es-ES"/>
        </w:rPr>
      </w:pPr>
      <w:r>
        <w:rPr>
          <w:rFonts w:cs="Tahoma" w:ascii="Tahoma" w:hAnsi="Tahoma"/>
          <w:i/>
          <w:iCs/>
          <w:sz w:val="20"/>
          <w:szCs w:val="20"/>
          <w:lang w:eastAsia="es-ES"/>
        </w:rPr>
        <w:t>Las líneas de acción responden a la pregunta: ¿Cómo vamos a resolver el problema o temas planteados?</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Resultados esperados: </w:t>
      </w:r>
      <w:r>
        <w:rPr>
          <w:rFonts w:cs="Tahoma" w:ascii="Tahoma" w:hAnsi="Tahoma"/>
          <w:i/>
          <w:iCs/>
          <w:sz w:val="20"/>
          <w:szCs w:val="20"/>
          <w:lang w:eastAsia="es-ES"/>
        </w:rPr>
        <w:t>Son los resultados finales que se esperan obtener con el cumplimiento de las líneas de acción planteadas. Debe tomarse en cuenta la línea base (a partir de las estadísticas e indicadores del diagnóstico) de la situación, el comportamiento histórico de estas variables y el impacto que se espera producir con la implementación de la Política.</w:t>
      </w:r>
    </w:p>
    <w:p>
      <w:pPr>
        <w:pStyle w:val="Normal"/>
        <w:ind w:left="720" w:hanging="0"/>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1"/>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Indicadores de resultado:</w:t>
      </w:r>
      <w:r>
        <w:rPr>
          <w:rFonts w:cs="Tahoma" w:ascii="Tahoma" w:hAnsi="Tahoma"/>
          <w:i/>
          <w:iCs/>
          <w:sz w:val="20"/>
          <w:szCs w:val="20"/>
          <w:lang w:eastAsia="es-ES"/>
        </w:rPr>
        <w:t xml:space="preserve"> Son los instrumentos utilizados para medir el cumplimiento de los objetivos y líneas de acción planteadas en la Política. Además, responde a la forma de medir los resultados esperados, vinculados a los beneficiarios finales. Estos son datos de índole cuantitativo que serán monitoreados durante la implementación, el seguimiento y la evaluación de la política (este proceso se detallará más adelante). </w:t>
      </w:r>
    </w:p>
    <w:p>
      <w:pPr>
        <w:pStyle w:val="Normal"/>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0"/>
          <w:numId w:val="10"/>
        </w:numPr>
        <w:spacing w:lineRule="auto" w:line="240" w:before="0" w:after="0"/>
        <w:contextualSpacing/>
        <w:jc w:val="both"/>
        <w:rPr>
          <w:rFonts w:ascii="Tahoma" w:hAnsi="Tahoma" w:cs="Tahoma"/>
          <w:b/>
          <w:b/>
          <w:i/>
          <w:i/>
          <w:iCs/>
          <w:sz w:val="20"/>
          <w:szCs w:val="20"/>
          <w:lang w:eastAsia="es-ES"/>
        </w:rPr>
      </w:pPr>
      <w:r>
        <w:rPr>
          <w:rFonts w:cs="Tahoma" w:ascii="Tahoma" w:hAnsi="Tahoma"/>
          <w:b/>
          <w:i/>
          <w:iCs/>
          <w:sz w:val="20"/>
          <w:szCs w:val="20"/>
          <w:lang w:eastAsia="es-ES"/>
        </w:rPr>
        <w:t>Plan de Acción para la implementación de la Política Institucional</w:t>
      </w:r>
    </w:p>
    <w:p>
      <w:pPr>
        <w:pStyle w:val="Normal"/>
        <w:spacing w:before="0" w:after="200"/>
        <w:ind w:left="360"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El plan de acción está dirigido a la implementación operativa de la Política Institucional, por lo que debe contener una visión de corto y mediano plazo. Como sugerencia, se recomienda definir el plan de acción con al menos una previsión de dos años en adelante.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360"/>
        <w:jc w:val="both"/>
        <w:rPr>
          <w:rFonts w:ascii="Tahoma" w:hAnsi="Tahoma" w:eastAsia="Calibri" w:cs="Tahoma"/>
          <w:i/>
          <w:i/>
          <w:iCs/>
          <w:sz w:val="20"/>
          <w:szCs w:val="20"/>
        </w:rPr>
      </w:pPr>
      <w:r>
        <w:rPr>
          <w:rFonts w:eastAsia="Calibri" w:cs="Tahoma" w:ascii="Tahoma" w:hAnsi="Tahoma"/>
          <w:i/>
          <w:iCs/>
          <w:sz w:val="20"/>
          <w:szCs w:val="20"/>
        </w:rPr>
        <w:t xml:space="preserve">Las variables que incluye el plan de acción son los mismos utilizados para los planes anuales operativos, que se componen de los siguientes elementos: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Objetivos operativos.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Metas Operativas.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Indicadores operativos.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Responsables.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Actividades. </w:t>
      </w:r>
    </w:p>
    <w:p>
      <w:pPr>
        <w:pStyle w:val="Normal"/>
        <w:numPr>
          <w:ilvl w:val="0"/>
          <w:numId w:val="12"/>
        </w:numPr>
        <w:spacing w:lineRule="auto" w:line="240" w:before="0" w:after="0"/>
        <w:contextualSpacing/>
        <w:jc w:val="both"/>
        <w:rPr>
          <w:rFonts w:ascii="Tahoma" w:hAnsi="Tahoma" w:cs="Tahoma"/>
          <w:i/>
          <w:i/>
          <w:iCs/>
          <w:sz w:val="20"/>
          <w:szCs w:val="20"/>
          <w:lang w:eastAsia="es-ES"/>
        </w:rPr>
      </w:pPr>
      <w:r>
        <w:rPr>
          <w:rFonts w:cs="Tahoma" w:ascii="Tahoma" w:hAnsi="Tahoma"/>
          <w:i/>
          <w:iCs/>
          <w:sz w:val="20"/>
          <w:szCs w:val="20"/>
          <w:lang w:eastAsia="es-ES"/>
        </w:rPr>
        <w:t xml:space="preserve">Coordinaciones.  </w:t>
      </w:r>
    </w:p>
    <w:p>
      <w:pPr>
        <w:pStyle w:val="Normal"/>
        <w:spacing w:before="0" w:after="200"/>
        <w:ind w:left="787"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 xml:space="preserve">El plan de acción propuesto al inicio de la elaboración de la política debe ser validado, consensuado y aceptado por las instancias, oficinas y despachos que serán responsables operativos del cumplimiento de los objetivos operativos alineados a la política institucional. </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No obstante, previo a la formulación de los PAOs cada año, la instancia rectora de la política institucional deberá asegurar que el plan de acción haya sido validado, consensuado y aceptado por cada instancia involucrada nuevamente, esto por cuanto el plan de acción puede tener ajustes o actualizaciones anualmente.</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 xml:space="preserve">Posteriormente, la instancia rectora de la política deberá coordinar con la Dirección de Planificación, para que se vincule con el Plan Estratégico Institucional vía sistema, ya que los compromisos anuales propuestos se cargarían automáticamente, a través del Sistema de los Planes Anuales Operativos, a las oficinas responsables de implementar las acciones operativas de la política. </w:t>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r>
    </w:p>
    <w:p>
      <w:pPr>
        <w:pStyle w:val="Normal"/>
        <w:ind w:firstLine="427"/>
        <w:jc w:val="both"/>
        <w:rPr>
          <w:rFonts w:ascii="Tahoma" w:hAnsi="Tahoma" w:eastAsia="Calibri" w:cs="Tahoma"/>
          <w:i/>
          <w:i/>
          <w:iCs/>
          <w:sz w:val="20"/>
          <w:szCs w:val="20"/>
        </w:rPr>
      </w:pPr>
      <w:r>
        <w:rPr>
          <w:rFonts w:eastAsia="Calibri" w:cs="Tahoma" w:ascii="Tahoma" w:hAnsi="Tahoma"/>
          <w:i/>
          <w:iCs/>
          <w:sz w:val="20"/>
          <w:szCs w:val="20"/>
        </w:rPr>
        <w:t>A continuación, se presenta la plantilla que deberán de utilizar para definir el Plan de Acción de la Política Institucional:</w:t>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r>
    </w:p>
    <w:p>
      <w:pPr>
        <w:pStyle w:val="Normal"/>
        <w:jc w:val="center"/>
        <w:rPr>
          <w:rFonts w:ascii="Tahoma" w:hAnsi="Tahoma" w:eastAsia="Calibri" w:cs="Tahoma"/>
          <w:b/>
          <w:b/>
          <w:i/>
          <w:i/>
          <w:iCs/>
          <w:sz w:val="20"/>
          <w:szCs w:val="20"/>
        </w:rPr>
      </w:pPr>
      <w:r>
        <w:rPr>
          <w:rFonts w:eastAsia="Calibri" w:cs="Tahoma" w:ascii="Tahoma" w:hAnsi="Tahoma"/>
          <w:b/>
          <w:i/>
          <w:iCs/>
          <w:sz w:val="20"/>
          <w:szCs w:val="20"/>
        </w:rPr>
        <w:t>Cuadro 3</w:t>
      </w:r>
    </w:p>
    <w:p>
      <w:pPr>
        <w:pStyle w:val="Normal"/>
        <w:jc w:val="center"/>
        <w:rPr>
          <w:rFonts w:ascii="Tahoma" w:hAnsi="Tahoma" w:eastAsia="Calibri" w:cs="Tahoma"/>
          <w:b/>
          <w:b/>
          <w:i/>
          <w:i/>
          <w:iCs/>
          <w:sz w:val="20"/>
          <w:szCs w:val="20"/>
        </w:rPr>
      </w:pPr>
      <w:r>
        <w:rPr>
          <w:rFonts w:eastAsia="Calibri" w:cs="Tahoma" w:ascii="Tahoma" w:hAnsi="Tahoma"/>
          <w:b/>
          <w:i/>
          <w:iCs/>
          <w:sz w:val="20"/>
          <w:szCs w:val="20"/>
        </w:rPr>
        <w:t>Plantilla del plan de acción para la implementación de la política institucional</w:t>
      </w:r>
    </w:p>
    <w:p>
      <w:pPr>
        <w:pStyle w:val="Normal"/>
        <w:jc w:val="center"/>
        <w:rPr>
          <w:rFonts w:ascii="Tahoma" w:hAnsi="Tahoma" w:eastAsia="Calibri" w:cs="Tahoma"/>
          <w:i/>
          <w:i/>
          <w:iCs/>
          <w:sz w:val="20"/>
          <w:szCs w:val="20"/>
        </w:rPr>
      </w:pPr>
      <w:r>
        <w:rPr>
          <w:rFonts w:eastAsia="Calibri" w:cs="Tahoma" w:ascii="Tahoma" w:hAnsi="Tahoma"/>
          <w:i/>
          <w:iCs/>
          <w:sz w:val="20"/>
          <w:szCs w:val="20"/>
        </w:rPr>
        <w:t>“</w:t>
      </w:r>
      <w:r>
        <w:rPr>
          <w:rFonts w:eastAsia="Calibri" w:cs="Tahoma" w:ascii="Tahoma" w:hAnsi="Tahoma"/>
          <w:i/>
          <w:iCs/>
          <w:sz w:val="20"/>
          <w:szCs w:val="20"/>
        </w:rPr>
        <w:t>Nombre de la Política”</w:t>
      </w:r>
    </w:p>
    <w:tbl>
      <w:tblPr>
        <w:tblW w:w="9945" w:type="dxa"/>
        <w:jc w:val="left"/>
        <w:tblInd w:w="-856" w:type="dxa"/>
        <w:tblLayout w:type="fixed"/>
        <w:tblCellMar>
          <w:top w:w="0" w:type="dxa"/>
          <w:left w:w="108" w:type="dxa"/>
          <w:bottom w:w="0" w:type="dxa"/>
          <w:right w:w="108" w:type="dxa"/>
        </w:tblCellMar>
        <w:tblLook w:firstRow="1" w:noVBand="1" w:lastRow="0" w:firstColumn="1" w:lastColumn="0" w:noHBand="0" w:val="04a0"/>
      </w:tblPr>
      <w:tblGrid>
        <w:gridCol w:w="662"/>
        <w:gridCol w:w="1458"/>
        <w:gridCol w:w="965"/>
        <w:gridCol w:w="1437"/>
        <w:gridCol w:w="1689"/>
        <w:gridCol w:w="1853"/>
        <w:gridCol w:w="1880"/>
      </w:tblGrid>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AÑO</w:t>
            </w:r>
          </w:p>
        </w:tc>
        <w:tc>
          <w:tcPr>
            <w:tcW w:w="1458"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OBJETIVO OPERATIVO</w:t>
            </w:r>
          </w:p>
        </w:tc>
        <w:tc>
          <w:tcPr>
            <w:tcW w:w="965"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META</w:t>
            </w:r>
          </w:p>
        </w:tc>
        <w:tc>
          <w:tcPr>
            <w:tcW w:w="1437"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INDICADOR</w:t>
            </w:r>
          </w:p>
        </w:tc>
        <w:tc>
          <w:tcPr>
            <w:tcW w:w="1689"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RESPONSABLE</w:t>
            </w:r>
          </w:p>
        </w:tc>
        <w:tc>
          <w:tcPr>
            <w:tcW w:w="1853"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ACTIVIDADES</w:t>
            </w:r>
          </w:p>
        </w:tc>
        <w:tc>
          <w:tcPr>
            <w:tcW w:w="1880" w:type="dxa"/>
            <w:tcBorders>
              <w:top w:val="single" w:sz="4" w:space="0" w:color="000000"/>
              <w:left w:val="single" w:sz="4" w:space="0" w:color="000000"/>
              <w:bottom w:val="single" w:sz="4" w:space="0" w:color="000000"/>
              <w:right w:val="single" w:sz="4" w:space="0" w:color="000000"/>
            </w:tcBorders>
            <w:shd w:color="auto" w:fill="D9E2F3" w:val="clear"/>
          </w:tcPr>
          <w:p>
            <w:pPr>
              <w:pStyle w:val="Normal"/>
              <w:widowControl w:val="false"/>
              <w:spacing w:before="0" w:after="200"/>
              <w:jc w:val="center"/>
              <w:rPr>
                <w:rFonts w:ascii="Tahoma" w:hAnsi="Tahoma" w:eastAsia="Calibri" w:cs="Tahoma"/>
                <w:b/>
                <w:b/>
                <w:i/>
                <w:i/>
                <w:iCs/>
                <w:sz w:val="20"/>
                <w:szCs w:val="20"/>
              </w:rPr>
            </w:pPr>
            <w:r>
              <w:rPr>
                <w:rFonts w:eastAsia="Calibri" w:cs="Tahoma" w:ascii="Tahoma" w:hAnsi="Tahoma"/>
                <w:b/>
                <w:i/>
                <w:iCs/>
                <w:sz w:val="20"/>
                <w:szCs w:val="20"/>
              </w:rPr>
              <w:t>COORDINACIÓN</w:t>
            </w:r>
          </w:p>
        </w:tc>
      </w:tr>
      <w:tr>
        <w:trPr>
          <w:trHeight w:val="55"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2019</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bookmarkStart w:id="40" w:name="_Hlk9490936"/>
            <w:bookmarkStart w:id="41" w:name="_Hlk9490936"/>
            <w:bookmarkEnd w:id="41"/>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2020</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2021</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7"/>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7"/>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2022</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8"/>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8"/>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2023</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9"/>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9"/>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bookmarkStart w:id="42" w:name="_Hlk24553052"/>
            <w:bookmarkStart w:id="43" w:name="_Hlk24553052"/>
            <w:bookmarkEnd w:id="43"/>
          </w:p>
        </w:tc>
      </w:tr>
      <w:tr>
        <w:trPr>
          <w:trHeight w:val="396"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t>2024</w:t>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1.1.1.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r>
        <w:trPr>
          <w:trHeight w:val="407" w:hRule="atLeast"/>
        </w:trPr>
        <w:tc>
          <w:tcPr>
            <w:tcW w:w="66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eastAsia="Calibri" w:cs="Tahoma"/>
                <w:i/>
                <w:i/>
                <w:iCs/>
                <w:sz w:val="20"/>
                <w:szCs w:val="20"/>
              </w:rPr>
            </w:pPr>
            <w:r>
              <w:rPr>
                <w:rFonts w:eastAsia="Calibri" w:cs="Tahoma" w:ascii="Tahoma" w:hAnsi="Tahoma"/>
                <w:i/>
                <w:iCs/>
                <w:sz w:val="20"/>
                <w:szCs w:val="20"/>
              </w:rPr>
            </w:r>
          </w:p>
        </w:tc>
        <w:tc>
          <w:tcPr>
            <w:tcW w:w="145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w:t>
            </w:r>
          </w:p>
        </w:tc>
        <w:tc>
          <w:tcPr>
            <w:tcW w:w="96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w:t>
            </w:r>
          </w:p>
        </w:tc>
        <w:tc>
          <w:tcPr>
            <w:tcW w:w="14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t>2.1.1.</w:t>
            </w:r>
          </w:p>
        </w:tc>
        <w:tc>
          <w:tcPr>
            <w:tcW w:w="168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c>
          <w:tcPr>
            <w:tcW w:w="185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numPr>
                <w:ilvl w:val="0"/>
                <w:numId w:val="16"/>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numPr>
                <w:ilvl w:val="0"/>
                <w:numId w:val="20"/>
              </w:numPr>
              <w:spacing w:lineRule="auto" w:line="240" w:before="0" w:after="0"/>
              <w:contextualSpacing/>
              <w:rPr>
                <w:rFonts w:ascii="Tahoma" w:hAnsi="Tahoma" w:cs="Tahoma"/>
                <w:i/>
                <w:i/>
                <w:iCs/>
                <w:sz w:val="20"/>
                <w:szCs w:val="20"/>
                <w:lang w:eastAsia="es-ES"/>
              </w:rPr>
            </w:pPr>
            <w:r>
              <w:rPr>
                <w:rFonts w:cs="Tahoma" w:ascii="Tahoma" w:hAnsi="Tahoma"/>
                <w:i/>
                <w:iCs/>
                <w:sz w:val="20"/>
                <w:szCs w:val="20"/>
                <w:lang w:eastAsia="es-ES"/>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rPr>
                <w:rFonts w:ascii="Tahoma" w:hAnsi="Tahoma" w:eastAsia="Calibri" w:cs="Tahoma"/>
                <w:i/>
                <w:i/>
                <w:iCs/>
                <w:sz w:val="20"/>
                <w:szCs w:val="20"/>
              </w:rPr>
            </w:pPr>
            <w:r>
              <w:rPr>
                <w:rFonts w:eastAsia="Calibri" w:cs="Tahoma" w:ascii="Tahoma" w:hAnsi="Tahoma"/>
                <w:i/>
                <w:iCs/>
                <w:sz w:val="20"/>
                <w:szCs w:val="20"/>
              </w:rPr>
            </w:r>
          </w:p>
        </w:tc>
      </w:tr>
    </w:tbl>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rPr>
          <w:rFonts w:ascii="Tahoma" w:hAnsi="Tahoma" w:eastAsia="Calibri" w:cs="Tahoma"/>
          <w:i/>
          <w:i/>
          <w:iCs/>
          <w:sz w:val="20"/>
          <w:szCs w:val="20"/>
        </w:rPr>
      </w:pPr>
      <w:r>
        <w:rPr>
          <w:rFonts w:eastAsia="Calibri" w:cs="Tahoma" w:ascii="Tahoma" w:hAnsi="Tahoma"/>
          <w:b/>
          <w:i/>
          <w:iCs/>
          <w:sz w:val="20"/>
          <w:szCs w:val="20"/>
        </w:rPr>
        <w:t xml:space="preserve">Fuente: </w:t>
      </w:r>
      <w:r>
        <w:rPr>
          <w:rFonts w:eastAsia="Calibri" w:cs="Tahoma" w:ascii="Tahoma" w:hAnsi="Tahoma"/>
          <w:i/>
          <w:iCs/>
          <w:sz w:val="20"/>
          <w:szCs w:val="20"/>
        </w:rPr>
        <w:t xml:space="preserve">Elaboración propia. </w:t>
      </w:r>
    </w:p>
    <w:p>
      <w:pPr>
        <w:pStyle w:val="Normal"/>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Análisis de impacto presupuestario de implementación de la política institucional.  </w:t>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spacing w:before="0" w:after="200"/>
        <w:ind w:left="633" w:right="618" w:hanging="0"/>
        <w:contextualSpacing/>
        <w:jc w:val="both"/>
        <w:rPr>
          <w:rFonts w:ascii="Tahoma" w:hAnsi="Tahoma" w:cs="Tahoma"/>
          <w:i/>
          <w:i/>
          <w:iCs/>
          <w:sz w:val="20"/>
          <w:szCs w:val="20"/>
          <w:lang w:eastAsia="es-ES"/>
        </w:rPr>
      </w:pPr>
      <w:r>
        <w:rPr>
          <w:rFonts w:cs="Tahoma" w:ascii="Tahoma" w:hAnsi="Tahoma"/>
          <w:i/>
          <w:iCs/>
          <w:sz w:val="20"/>
          <w:szCs w:val="20"/>
          <w:lang w:eastAsia="es-ES"/>
        </w:rPr>
        <w:t xml:space="preserve">La instancia rectora de la política deberá presentar la estimación presupuestaria por año requerida para la implementación de la política institucional, acorde al plan de acción definido y a las directrices de formulación presupuestaria. </w:t>
      </w:r>
    </w:p>
    <w:p>
      <w:pPr>
        <w:pStyle w:val="Normal"/>
        <w:spacing w:before="0" w:after="200"/>
        <w:ind w:right="618" w:hanging="0"/>
        <w:contextualSpacing/>
        <w:jc w:val="both"/>
        <w:rPr>
          <w:rFonts w:ascii="Tahoma" w:hAnsi="Tahoma" w:cs="Tahoma"/>
          <w:i/>
          <w:i/>
          <w:iCs/>
          <w:sz w:val="20"/>
          <w:szCs w:val="20"/>
          <w:lang w:eastAsia="es-ES"/>
        </w:rPr>
      </w:pPr>
      <w:r>
        <w:rPr>
          <w:rFonts w:cs="Tahoma" w:ascii="Tahoma" w:hAnsi="Tahoma"/>
          <w:i/>
          <w:iCs/>
          <w:sz w:val="20"/>
          <w:szCs w:val="20"/>
          <w:lang w:eastAsia="es-ES"/>
        </w:rPr>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i/>
          <w:iCs/>
          <w:sz w:val="20"/>
          <w:szCs w:val="20"/>
          <w:lang w:eastAsia="es-ES"/>
        </w:rPr>
        <w:t xml:space="preserve">Deberán incluirse los recursos necesarios, tanto ordinarios como extraordinarios, tales como: recurso humano, equipo y mobiliario, suministros, recursos tecnológicos, viáticos, etc; que garanticen la sostenibilidad de la Política. Además, debe considerar las limitaciones presupuestarias por las que se enfrenta la Institución. </w:t>
      </w:r>
    </w:p>
    <w:p>
      <w:pPr>
        <w:pStyle w:val="Normal"/>
        <w:spacing w:before="0" w:after="200"/>
        <w:ind w:left="567" w:right="618"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Definición del modelo de gestión para la implementación, seguimiento y evaluación. </w:t>
      </w:r>
      <w:bookmarkStart w:id="44" w:name="_Hlk9600380"/>
      <w:bookmarkEnd w:id="44"/>
    </w:p>
    <w:p>
      <w:pPr>
        <w:pStyle w:val="Normal"/>
        <w:ind w:left="567" w:right="618" w:hanging="0"/>
        <w:jc w:val="both"/>
        <w:rPr>
          <w:rFonts w:ascii="Tahoma" w:hAnsi="Tahoma" w:cs="Tahoma"/>
          <w:i/>
          <w:i/>
          <w:iCs/>
          <w:sz w:val="20"/>
          <w:szCs w:val="20"/>
          <w:lang w:eastAsia="es-ES"/>
        </w:rPr>
      </w:pPr>
      <w:r>
        <w:rPr>
          <w:rFonts w:cs="Tahoma" w:ascii="Tahoma" w:hAnsi="Tahoma"/>
          <w:i/>
          <w:iCs/>
          <w:sz w:val="20"/>
          <w:szCs w:val="20"/>
          <w:lang w:eastAsia="es-ES"/>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Este modelo tiene como fin garantizar la implementación efectiva de la Política Institucional; por lo tanto, lo que se proponga realizar en cada una de estas etapas deberá ser incorporado en el plan de acción, que permite operativizar su cumplimiento.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Es de relevancia que se defina con claridad los roles y responsabilidades de cada instancia involucrada en la implementación, seguimiento y evaluación de la política.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t xml:space="preserve">En el apartado Fase III: Implementación y Fase IV: Seguimiento y Evaluación, se detallarán los aspectos a considerar en la definición de este modelo de gestión para la implementación, seguimiento y evaluación de la política. </w:t>
      </w:r>
    </w:p>
    <w:p>
      <w:pPr>
        <w:pStyle w:val="Normal"/>
        <w:ind w:left="567"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10"/>
        </w:numPr>
        <w:spacing w:lineRule="auto" w:line="240" w:before="0" w:after="0"/>
        <w:ind w:left="993" w:hanging="360"/>
        <w:contextualSpacing/>
        <w:jc w:val="both"/>
        <w:rPr>
          <w:rFonts w:ascii="Tahoma" w:hAnsi="Tahoma" w:cs="Tahoma"/>
          <w:b/>
          <w:b/>
          <w:i/>
          <w:i/>
          <w:iCs/>
          <w:sz w:val="20"/>
          <w:szCs w:val="20"/>
          <w:lang w:eastAsia="es-ES"/>
        </w:rPr>
      </w:pPr>
      <w:r>
        <w:rPr>
          <w:rFonts w:cs="Tahoma" w:ascii="Tahoma" w:hAnsi="Tahoma"/>
          <w:b/>
          <w:i/>
          <w:iCs/>
          <w:sz w:val="20"/>
          <w:szCs w:val="20"/>
          <w:lang w:eastAsia="es-ES"/>
        </w:rPr>
        <w:t xml:space="preserve">Validación y aprobación de la política institucional: </w:t>
      </w:r>
    </w:p>
    <w:p>
      <w:pPr>
        <w:pStyle w:val="Normal"/>
        <w:spacing w:before="0" w:after="200"/>
        <w:ind w:left="633" w:hanging="0"/>
        <w:contextualSpacing/>
        <w:jc w:val="both"/>
        <w:rPr>
          <w:rFonts w:ascii="Tahoma" w:hAnsi="Tahoma" w:cs="Tahoma"/>
          <w:b/>
          <w:b/>
          <w:i/>
          <w:i/>
          <w:iCs/>
          <w:sz w:val="20"/>
          <w:szCs w:val="20"/>
          <w:lang w:eastAsia="es-ES"/>
        </w:rPr>
      </w:pPr>
      <w:r>
        <w:rPr>
          <w:rFonts w:cs="Tahoma" w:ascii="Tahoma" w:hAnsi="Tahoma"/>
          <w:b/>
          <w:i/>
          <w:iCs/>
          <w:sz w:val="20"/>
          <w:szCs w:val="20"/>
          <w:lang w:eastAsia="es-ES"/>
        </w:rPr>
      </w:r>
    </w:p>
    <w:p>
      <w:pPr>
        <w:pStyle w:val="Normal"/>
        <w:spacing w:before="0" w:after="200"/>
        <w:ind w:left="633" w:hanging="0"/>
        <w:contextualSpacing/>
        <w:jc w:val="both"/>
        <w:rPr>
          <w:rFonts w:ascii="Tahoma" w:hAnsi="Tahoma" w:cs="Tahoma"/>
          <w:i/>
          <w:i/>
          <w:iCs/>
          <w:sz w:val="20"/>
          <w:szCs w:val="20"/>
          <w:lang w:eastAsia="es-ES"/>
        </w:rPr>
      </w:pPr>
      <w:r>
        <w:rPr>
          <w:rFonts w:cs="Tahoma" w:ascii="Tahoma" w:hAnsi="Tahoma"/>
          <w:i/>
          <w:iCs/>
          <w:sz w:val="20"/>
          <w:szCs w:val="20"/>
          <w:lang w:eastAsia="es-ES"/>
        </w:rPr>
        <w:t>Para realizar la validación y aprobación de la Política, se debe realizar los siguientes pasos.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center"/>
        <w:rPr>
          <w:rFonts w:ascii="Tahoma" w:hAnsi="Tahoma" w:eastAsia="Calibri" w:cs="Tahoma"/>
          <w:b/>
          <w:b/>
          <w:i/>
          <w:i/>
          <w:iCs/>
          <w:sz w:val="20"/>
          <w:szCs w:val="20"/>
        </w:rPr>
      </w:pPr>
      <w:bookmarkStart w:id="45" w:name="_Hlk9328369"/>
      <w:r>
        <w:rPr>
          <w:rFonts w:eastAsia="Calibri" w:cs="Tahoma" w:ascii="Tahoma" w:hAnsi="Tahoma"/>
          <w:b/>
          <w:i/>
          <w:iCs/>
          <w:sz w:val="20"/>
          <w:szCs w:val="20"/>
        </w:rPr>
        <w:t>Figura 4</w:t>
      </w:r>
    </w:p>
    <w:p>
      <w:pPr>
        <w:pStyle w:val="Normal"/>
        <w:jc w:val="center"/>
        <w:rPr>
          <w:rFonts w:ascii="Tahoma" w:hAnsi="Tahoma" w:eastAsia="Calibri" w:cs="Tahoma"/>
          <w:b/>
          <w:b/>
          <w:i/>
          <w:i/>
          <w:iCs/>
          <w:sz w:val="20"/>
          <w:szCs w:val="20"/>
        </w:rPr>
      </w:pPr>
      <w:r>
        <w:rPr>
          <w:rFonts w:eastAsia="Calibri" w:cs="Tahoma" w:ascii="Tahoma" w:hAnsi="Tahoma"/>
          <w:b/>
          <w:i/>
          <w:iCs/>
          <w:sz w:val="20"/>
          <w:szCs w:val="20"/>
        </w:rPr>
        <w:t>Proceso de aprobación de las políticas institucionales</w:t>
      </w:r>
    </w:p>
    <w:p>
      <w:pPr>
        <w:pStyle w:val="Normal"/>
        <w:jc w:val="both"/>
        <w:rPr>
          <w:rFonts w:ascii="Tahoma" w:hAnsi="Tahoma" w:eastAsia="Calibri" w:cs="Tahoma"/>
          <w:i/>
          <w:i/>
          <w:iCs/>
          <w:sz w:val="20"/>
          <w:szCs w:val="20"/>
        </w:rPr>
      </w:pPr>
      <w:r>
        <w:rPr/>
        <w:drawing>
          <wp:inline distT="0" distB="0" distL="0" distR="0">
            <wp:extent cx="5400040" cy="2306320"/>
            <wp:effectExtent l="0" t="0" r="0" b="0"/>
            <wp:docPr id="16" name="Imagen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9" descr=""/>
                    <pic:cNvPicPr>
                      <a:picLocks noChangeAspect="1" noChangeArrowheads="1"/>
                    </pic:cNvPicPr>
                  </pic:nvPicPr>
                  <pic:blipFill>
                    <a:blip r:embed="rId19"/>
                    <a:stretch>
                      <a:fillRect/>
                    </a:stretch>
                  </pic:blipFill>
                  <pic:spPr bwMode="auto">
                    <a:xfrm>
                      <a:off x="0" y="0"/>
                      <a:ext cx="5400040" cy="2306320"/>
                    </a:xfrm>
                    <a:prstGeom prst="rect">
                      <a:avLst/>
                    </a:prstGeom>
                  </pic:spPr>
                </pic:pic>
              </a:graphicData>
            </a:graphic>
          </wp:inline>
        </w:drawing>
      </w:r>
    </w:p>
    <w:p>
      <w:pPr>
        <w:pStyle w:val="Normal"/>
        <w:jc w:val="both"/>
        <w:rPr>
          <w:rFonts w:ascii="Tahoma" w:hAnsi="Tahoma" w:eastAsia="Calibri" w:cs="Tahoma"/>
          <w:i/>
          <w:i/>
          <w:iCs/>
          <w:sz w:val="20"/>
          <w:szCs w:val="20"/>
        </w:rPr>
      </w:pPr>
      <w:r>
        <w:rPr>
          <w:rFonts w:eastAsia="Calibri" w:cs="Tahoma" w:ascii="Tahoma" w:hAnsi="Tahoma"/>
          <w:b/>
          <w:i/>
          <w:iCs/>
          <w:sz w:val="20"/>
          <w:szCs w:val="20"/>
        </w:rPr>
        <w:t>Fuente:</w:t>
      </w:r>
      <w:r>
        <w:rPr>
          <w:rFonts w:eastAsia="Calibri" w:cs="Tahoma" w:ascii="Tahoma" w:hAnsi="Tahoma"/>
          <w:i/>
          <w:iCs/>
          <w:sz w:val="20"/>
          <w:szCs w:val="20"/>
        </w:rPr>
        <w:t xml:space="preserve"> Elaboración propia.</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Cabe indicar, que el paso 4 se realiza paralelamente, con el fin de no causar retrocesos del proceso. En este caso, la Instancia o Comisión Institucional deberá poner en conocimiento de la Dirección de Planificación y la Dirección Jurídica, para que estas se manifiesten sobre los aspectos técnicos que a cada una le competen, con un plazo prudencial.</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ind w:left="720" w:hanging="720"/>
        <w:outlineLvl w:val="2"/>
        <w:rPr>
          <w:rFonts w:ascii="Tahoma" w:hAnsi="Tahoma" w:cs="Tahoma"/>
          <w:b/>
          <w:b/>
          <w:bCs/>
          <w:i/>
          <w:i/>
          <w:iCs/>
          <w:sz w:val="20"/>
          <w:szCs w:val="20"/>
          <w:lang w:eastAsia="es-ES"/>
        </w:rPr>
      </w:pPr>
      <w:bookmarkStart w:id="46" w:name="_Hlk9328369"/>
      <w:bookmarkStart w:id="47" w:name="_Toc24623674"/>
      <w:bookmarkStart w:id="48" w:name="_Toc24623621"/>
      <w:r>
        <w:rPr>
          <w:rFonts w:cs="Tahoma" w:ascii="Tahoma" w:hAnsi="Tahoma"/>
          <w:b/>
          <w:bCs/>
          <w:i/>
          <w:iCs/>
          <w:sz w:val="20"/>
          <w:szCs w:val="20"/>
          <w:lang w:eastAsia="es-ES"/>
        </w:rPr>
        <w:t xml:space="preserve">3.2.2.3 </w:t>
      </w:r>
      <w:bookmarkEnd w:id="46"/>
      <w:r>
        <w:rPr>
          <w:rFonts w:cs="Tahoma" w:ascii="Tahoma" w:hAnsi="Tahoma"/>
          <w:b/>
          <w:bCs/>
          <w:i/>
          <w:iCs/>
          <w:sz w:val="20"/>
          <w:szCs w:val="20"/>
          <w:lang w:eastAsia="es-ES"/>
        </w:rPr>
        <w:t>Fase 3: Implementación de la política institucional</w:t>
      </w:r>
      <w:bookmarkEnd w:id="47"/>
      <w:bookmarkEnd w:id="48"/>
    </w:p>
    <w:p>
      <w:pPr>
        <w:pStyle w:val="Normal"/>
        <w:rPr>
          <w:rFonts w:ascii="Tahoma" w:hAnsi="Tahoma" w:eastAsia="Calibri" w:cs="Tahoma"/>
          <w:b/>
          <w:b/>
          <w:i/>
          <w:i/>
          <w:iCs/>
          <w:sz w:val="20"/>
          <w:szCs w:val="20"/>
        </w:rPr>
      </w:pPr>
      <w:r>
        <w:rPr>
          <w:rFonts w:eastAsia="Calibri" w:cs="Tahoma" w:ascii="Tahoma" w:hAnsi="Tahoma"/>
          <w:b/>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 xml:space="preserve">Una vez aprobada la política institucional por la Corte Plena se deberá iniciar su implementación. Esta fase se caracteriza por dar pase a la ejecución de lo definido en el plan de acción, cuyos compromisos se verán reflejados de manera automatizada a través del Sistema de formulación y seguimiento de los Planes Anuales Operativos (Sistema PAO). </w:t>
      </w:r>
    </w:p>
    <w:p>
      <w:pPr>
        <w:pStyle w:val="Normal"/>
        <w:ind w:right="51"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Tal cual se mencionó supra, el plan de acción de la política institucional deberá ser validado, consensuado y aceptado por las instancias, oficinas y despachos que serán responsables operativos del cumplimiento de los objetivos operativos alineados a la política institucional.</w:t>
      </w:r>
    </w:p>
    <w:p>
      <w:pPr>
        <w:pStyle w:val="Normal"/>
        <w:ind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Asimismo, la instancia rectora de la política institucional, previo a la formulación de los PAOs cada año, deberá asegurar que el plan de acción haya sido validado, consensuado y aceptado por cada instancia involucrada, esto por cuanto el plan de acción puede tener ajustes o actualizaciones anuales.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firstLine="708"/>
        <w:jc w:val="both"/>
        <w:rPr>
          <w:rFonts w:ascii="Tahoma" w:hAnsi="Tahoma" w:eastAsia="Calibri" w:cs="Tahoma"/>
          <w:i/>
          <w:i/>
          <w:iCs/>
          <w:sz w:val="20"/>
          <w:szCs w:val="20"/>
        </w:rPr>
      </w:pPr>
      <w:r>
        <w:rPr>
          <w:rFonts w:eastAsia="Calibri" w:cs="Tahoma" w:ascii="Tahoma" w:hAnsi="Tahoma"/>
          <w:i/>
          <w:iCs/>
          <w:sz w:val="20"/>
          <w:szCs w:val="20"/>
        </w:rPr>
        <w:t xml:space="preserve">Posteriormente, la instancia rectora de la política deberá coordinar con la Dirección de Planificación, para que se vincule con el Plan Estratégico Institucional, por medio del Sistema PEI, ya que los compromisos anuales propuestos se cargarían automáticamente, a través del Sistema de los Planes Anuales Operativos, a las oficinas responsables de implementar las acciones operativas de la política. </w:t>
      </w:r>
    </w:p>
    <w:p>
      <w:pPr>
        <w:pStyle w:val="Normal"/>
        <w:ind w:right="618" w:hanging="0"/>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0"/>
          <w:numId w:val="0"/>
        </w:numPr>
        <w:ind w:left="720" w:hanging="720"/>
        <w:outlineLvl w:val="2"/>
        <w:rPr>
          <w:rFonts w:ascii="Tahoma" w:hAnsi="Tahoma" w:cs="Tahoma"/>
          <w:b/>
          <w:b/>
          <w:i/>
          <w:i/>
          <w:iCs/>
          <w:sz w:val="20"/>
          <w:szCs w:val="20"/>
          <w:lang w:eastAsia="es-ES"/>
        </w:rPr>
      </w:pPr>
      <w:bookmarkStart w:id="49" w:name="_Toc24623675"/>
      <w:bookmarkStart w:id="50" w:name="_Toc24623622"/>
      <w:r>
        <w:rPr>
          <w:rFonts w:cs="Tahoma" w:ascii="Tahoma" w:hAnsi="Tahoma"/>
          <w:b/>
          <w:i/>
          <w:iCs/>
          <w:sz w:val="20"/>
          <w:szCs w:val="20"/>
          <w:lang w:eastAsia="es-ES"/>
        </w:rPr>
        <w:t>3.2.2.4 Fase 4: Seguimiento y evaluación</w:t>
      </w:r>
      <w:bookmarkEnd w:id="49"/>
      <w:bookmarkEnd w:id="50"/>
    </w:p>
    <w:p>
      <w:pPr>
        <w:pStyle w:val="Normal"/>
        <w:ind w:right="51"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t xml:space="preserve">Las instancias responsables, de lo definido en el plan de acción de la política, deberán velar por su cumplimiento acorde a las directrices institucionales sobre el seguimiento y evaluación de los PAOs. </w:t>
      </w:r>
    </w:p>
    <w:p>
      <w:pPr>
        <w:pStyle w:val="Normal"/>
        <w:ind w:right="51" w:firstLine="708"/>
        <w:jc w:val="both"/>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15"/>
        </w:numPr>
        <w:spacing w:lineRule="auto" w:line="240" w:before="0" w:after="0"/>
        <w:ind w:left="1134" w:hanging="360"/>
        <w:jc w:val="both"/>
        <w:outlineLvl w:val="3"/>
        <w:rPr>
          <w:rFonts w:ascii="Tahoma" w:hAnsi="Tahoma" w:cs="Tahoma"/>
          <w:i/>
          <w:i/>
          <w:iCs/>
          <w:sz w:val="20"/>
          <w:szCs w:val="20"/>
          <w:u w:val="none" w:color="000000"/>
          <w:lang w:eastAsia="es-ES"/>
        </w:rPr>
      </w:pPr>
      <w:r>
        <w:rPr>
          <w:rFonts w:cs="Tahoma" w:ascii="Tahoma" w:hAnsi="Tahoma"/>
          <w:b/>
          <w:bCs/>
          <w:i/>
          <w:iCs/>
          <w:sz w:val="20"/>
          <w:szCs w:val="20"/>
          <w:u w:val="none" w:color="000000"/>
          <w:lang w:eastAsia="es-ES"/>
        </w:rPr>
        <w:t>Seguimiento:</w:t>
      </w:r>
      <w:r>
        <w:rPr>
          <w:rFonts w:cs="Tahoma" w:ascii="Tahoma" w:hAnsi="Tahoma"/>
          <w:i/>
          <w:iCs/>
          <w:sz w:val="20"/>
          <w:szCs w:val="20"/>
          <w:u w:val="none" w:color="000000"/>
          <w:lang w:eastAsia="es-ES"/>
        </w:rPr>
        <w:t xml:space="preserve"> Corresponde a la forma en que se dará seguimiento a los compromisos establecidos en el plan de acción. En este caso, las oficinas destacadas como responsables de compromisos establecidos en el plan de acción deberán completar los avances en el cumplimiento de las metas planteadas en el Sistema de los Planes Anuales Operativos (Sistema PAO). </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Asimismo, la instancia rectora de la Política verificará la información proporcionada y tomará las medidas necesarias para que se lleve a cabo la efectiva implementación de la Política Institucional.</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Por medio de los sistemas informatizados (Sistema PAO y Sistema PEI), se podrá llevar a cabo el seguimiento en periodos estratégicos de las políticas institucionales, donde se podrá determinar el nivel de avance de una Política de acuerdo con sus metas asociadas.</w:t>
      </w:r>
    </w:p>
    <w:p>
      <w:pPr>
        <w:pStyle w:val="Normal"/>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A su vez, se podrá desagregar cada una de las políticas institucionales y determinar quiénes son responsables en el cumplimiento, cuáles actividades están asociadas, cuántas metas reportan avances, así como su cumplimiento porcentual, entre otros.</w:t>
      </w:r>
    </w:p>
    <w:p>
      <w:pPr>
        <w:pStyle w:val="Normal"/>
        <w:ind w:left="720" w:hanging="0"/>
        <w:rPr>
          <w:rFonts w:ascii="Tahoma" w:hAnsi="Tahoma" w:eastAsia="Calibri" w:cs="Tahoma"/>
          <w:i/>
          <w:i/>
          <w:iCs/>
          <w:sz w:val="20"/>
          <w:szCs w:val="20"/>
        </w:rPr>
      </w:pPr>
      <w:r>
        <w:rPr>
          <w:rFonts w:eastAsia="Calibri" w:cs="Tahoma" w:ascii="Tahoma" w:hAnsi="Tahoma"/>
          <w:i/>
          <w:iCs/>
          <w:sz w:val="20"/>
          <w:szCs w:val="20"/>
        </w:rPr>
      </w:r>
    </w:p>
    <w:p>
      <w:pPr>
        <w:pStyle w:val="Normal"/>
        <w:keepNext w:val="true"/>
        <w:widowControl w:val="false"/>
        <w:numPr>
          <w:ilvl w:val="3"/>
          <w:numId w:val="15"/>
        </w:numPr>
        <w:spacing w:lineRule="auto" w:line="240" w:before="0" w:after="0"/>
        <w:ind w:left="1134" w:hanging="360"/>
        <w:jc w:val="both"/>
        <w:outlineLvl w:val="3"/>
        <w:rPr>
          <w:rFonts w:ascii="Tahoma" w:hAnsi="Tahoma" w:cs="Tahoma"/>
          <w:b/>
          <w:b/>
          <w:bCs/>
          <w:i/>
          <w:i/>
          <w:iCs/>
          <w:sz w:val="20"/>
          <w:szCs w:val="20"/>
          <w:u w:val="none" w:color="000000"/>
          <w:lang w:eastAsia="es-ES"/>
        </w:rPr>
      </w:pPr>
      <w:r>
        <w:rPr>
          <w:rFonts w:cs="Tahoma" w:ascii="Tahoma" w:hAnsi="Tahoma"/>
          <w:b/>
          <w:i/>
          <w:iCs/>
          <w:sz w:val="20"/>
          <w:szCs w:val="20"/>
          <w:u w:val="none" w:color="000000"/>
          <w:lang w:eastAsia="es-ES"/>
        </w:rPr>
        <w:t>Evaluación:</w:t>
      </w:r>
      <w:r>
        <w:rPr>
          <w:rFonts w:cs="Tahoma" w:ascii="Tahoma" w:hAnsi="Tahoma"/>
          <w:i/>
          <w:iCs/>
          <w:sz w:val="20"/>
          <w:szCs w:val="20"/>
          <w:u w:val="none" w:color="000000"/>
          <w:lang w:eastAsia="es-ES"/>
        </w:rPr>
        <w:t xml:space="preserve"> La instancia rectora de la política debe definir la periodicidad y la frecuencia de las evaluaciones a realizar para medir los resultados e impacto esperados producto de la implementación de la Política Institucional.</w:t>
      </w:r>
    </w:p>
    <w:p>
      <w:pPr>
        <w:pStyle w:val="Normal"/>
        <w:ind w:left="720" w:hanging="0"/>
        <w:jc w:val="both"/>
        <w:rPr>
          <w:rFonts w:ascii="Tahoma" w:hAnsi="Tahoma" w:eastAsia="Calibri" w:cs="Tahoma"/>
          <w:b/>
          <w:b/>
          <w:i/>
          <w:i/>
          <w:iCs/>
          <w:sz w:val="20"/>
          <w:szCs w:val="20"/>
        </w:rPr>
      </w:pPr>
      <w:r>
        <w:rPr>
          <w:rFonts w:eastAsia="Calibri" w:cs="Tahoma" w:ascii="Tahoma" w:hAnsi="Tahoma"/>
          <w:b/>
          <w:i/>
          <w:iCs/>
          <w:sz w:val="20"/>
          <w:szCs w:val="20"/>
        </w:rPr>
      </w:r>
    </w:p>
    <w:p>
      <w:pPr>
        <w:pStyle w:val="Normal"/>
        <w:ind w:left="708" w:firstLine="708"/>
        <w:jc w:val="both"/>
        <w:rPr>
          <w:rFonts w:ascii="Tahoma" w:hAnsi="Tahoma" w:eastAsia="Calibri" w:cs="Tahoma"/>
          <w:i/>
          <w:i/>
          <w:iCs/>
          <w:sz w:val="20"/>
          <w:szCs w:val="20"/>
        </w:rPr>
      </w:pPr>
      <w:r>
        <w:rPr>
          <w:rFonts w:eastAsia="Calibri" w:cs="Tahoma" w:ascii="Tahoma" w:hAnsi="Tahoma"/>
          <w:i/>
          <w:iCs/>
          <w:sz w:val="20"/>
          <w:szCs w:val="20"/>
        </w:rPr>
        <w:t xml:space="preserve">Como resultado de las evaluaciones, la instancia rectora de la política deberá emitir las recomendaciones correspondientes en cuanto a la implementación de esta, hasta el cierre o cumplimiento total de sus objetivos.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 xml:space="preserve">No obstante, deberá presentar un informe de seguimiento y evaluación anual a la Dirección de Planificación, en el plazo que lo indique esta instancia, con el fin de velar por la rendición de cuentas y alineamiento con el Plan Estratégico Institucional de las Políticas Institucionales vigentes.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Lo anterior, conforme la sesión de Corte Plena 47-18, del 08 de octubre de 2018, artículo XXXII</w:t>
      </w:r>
      <w:r>
        <w:rPr>
          <w:rStyle w:val="Ancladenotaalpie"/>
          <w:rFonts w:eastAsia="Calibri" w:cs="Tahoma" w:ascii="Tahoma" w:hAnsi="Tahoma"/>
          <w:i/>
          <w:iCs/>
          <w:sz w:val="20"/>
          <w:szCs w:val="20"/>
          <w:vertAlign w:val="superscript"/>
        </w:rPr>
        <w:footnoteReference w:id="7"/>
      </w:r>
      <w:r>
        <w:rPr>
          <w:rFonts w:eastAsia="Calibri" w:cs="Tahoma" w:ascii="Tahoma" w:hAnsi="Tahoma"/>
          <w:i/>
          <w:iCs/>
          <w:sz w:val="20"/>
          <w:szCs w:val="20"/>
        </w:rPr>
        <w:t xml:space="preserve"> (Ver Anexo 4), donde se establece dar seguimiento al indicador que se sugiere en el Segundo Informe de la Justicia, que consiste en establecer los “mecanismos de seguimiento de las políticas institucionales”. Esto a partir del Dictamen emitido en este informe que señaló: “En la creación y desarrollo de políticas, mecanismos, proyectos y campañas se ha mantenido como prioridad el acceso a la justicia, con especial énfasis en poblaciones vulnerables. Aunque la cobertura territorial es amplia, no existen informes de evaluación sobre el impacto de estas acciones”.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El enfoque de evaluación debe estar orientado a verificar los resultados de las políticas e identificar lecciones aprendidas para las políticas presentes y futuras, de manera que su marco metodológico debe estar orientado a cumplir estos objetivos, que puedan ser interpretados de una forma clara y concisa, dirigida a la población interna y externa.</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 xml:space="preserve">La evaluación será entonces un proceso de observación, medición, análisis e interpretación de los resultados alcanzados por la implementación de la política institucional, y su utilidad se basa en generar insumos para la toma de decisiones de los órganos jerárquicos. </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ind w:left="720" w:firstLine="696"/>
        <w:jc w:val="both"/>
        <w:rPr>
          <w:rFonts w:ascii="Tahoma" w:hAnsi="Tahoma" w:eastAsia="Calibri" w:cs="Tahoma"/>
          <w:i/>
          <w:i/>
          <w:iCs/>
          <w:sz w:val="20"/>
          <w:szCs w:val="20"/>
        </w:rPr>
      </w:pPr>
      <w:r>
        <w:rPr>
          <w:rFonts w:eastAsia="Calibri" w:cs="Tahoma" w:ascii="Tahoma" w:hAnsi="Tahoma"/>
          <w:i/>
          <w:iCs/>
          <w:sz w:val="20"/>
          <w:szCs w:val="20"/>
        </w:rPr>
        <w:t>La metodología de evaluación deberá ir orientada a la verificación de los resultados alcanzados a partir del cumplimiento de acciones de la política, que estarán al alcance a partir del seguimiento por medio del PEI y los PAO. A partir de lo anterior, se deberá generar una evaluación enfocada en los principios de pertinencia, eficiencia, eficacia y sostenibilidad, que deberá desarrollar los siguientes aspectos:</w:t>
      </w:r>
    </w:p>
    <w:p>
      <w:pPr>
        <w:pStyle w:val="Normal"/>
        <w:ind w:left="720" w:hanging="0"/>
        <w:jc w:val="both"/>
        <w:rPr>
          <w:rFonts w:ascii="Tahoma" w:hAnsi="Tahoma" w:eastAsia="Calibri" w:cs="Tahoma"/>
          <w:i/>
          <w:i/>
          <w:iCs/>
          <w:sz w:val="20"/>
          <w:szCs w:val="20"/>
        </w:rPr>
      </w:pPr>
      <w:r>
        <w:rPr>
          <w:rFonts w:eastAsia="Calibri" w:cs="Tahoma" w:ascii="Tahoma" w:hAnsi="Tahoma"/>
          <w:i/>
          <w:iCs/>
          <w:sz w:val="20"/>
          <w:szCs w:val="20"/>
        </w:rPr>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Descripción del objetivo inicial.</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Descripción del cumplimiento de las acciones planificadas de los involucrados.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lang w:eastAsia="es-CR"/>
        </w:rPr>
        <w:t>Totalidad de recursos, incluidos (recursos humanos y presupuestarios).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Resultados obtenidos a partir de los indicadores establecidos.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Nivel de cumplimiento en relación con el objetivo planteado.</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Riesgos y cambios materializados en el proceso de ejecución.</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 xml:space="preserve">Percepción de los resultados alcanzados por la población meta. </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Hallazgos.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Conclusiones.</w:t>
      </w:r>
    </w:p>
    <w:p>
      <w:pPr>
        <w:pStyle w:val="Normal"/>
        <w:numPr>
          <w:ilvl w:val="0"/>
          <w:numId w:val="21"/>
        </w:numPr>
        <w:spacing w:lineRule="auto" w:line="240" w:before="0" w:after="0"/>
        <w:jc w:val="both"/>
        <w:rPr>
          <w:rFonts w:ascii="Tahoma" w:hAnsi="Tahoma" w:eastAsia="Calibri" w:cs="Tahoma"/>
          <w:i/>
          <w:i/>
          <w:iCs/>
          <w:sz w:val="20"/>
          <w:szCs w:val="20"/>
        </w:rPr>
      </w:pPr>
      <w:r>
        <w:rPr>
          <w:rFonts w:eastAsia="Calibri" w:cs="Tahoma" w:ascii="Tahoma" w:hAnsi="Tahoma"/>
          <w:i/>
          <w:iCs/>
          <w:sz w:val="20"/>
          <w:szCs w:val="20"/>
        </w:rPr>
        <w:t>Recomendaciones.</w:t>
      </w:r>
    </w:p>
    <w:p>
      <w:pPr>
        <w:pStyle w:val="Normal"/>
        <w:rPr>
          <w:rFonts w:ascii="Tahoma" w:hAnsi="Tahoma" w:eastAsia="Calibri" w:cs="Tahoma"/>
          <w:i/>
          <w:i/>
          <w:iCs/>
          <w:sz w:val="20"/>
          <w:szCs w:val="20"/>
        </w:rPr>
      </w:pPr>
      <w:r>
        <w:rPr>
          <w:rFonts w:eastAsia="Calibri" w:cs="Tahoma" w:ascii="Tahoma" w:hAnsi="Tahoma"/>
          <w:i/>
          <w:iCs/>
          <w:sz w:val="20"/>
          <w:szCs w:val="20"/>
        </w:rPr>
      </w:r>
    </w:p>
    <w:p>
      <w:pPr>
        <w:pStyle w:val="Normal"/>
        <w:ind w:firstLine="708"/>
        <w:jc w:val="center"/>
        <w:rPr>
          <w:rFonts w:ascii="Tahoma" w:hAnsi="Tahoma" w:cs="Tahoma"/>
          <w:i/>
          <w:i/>
          <w:iCs/>
          <w:sz w:val="20"/>
          <w:szCs w:val="20"/>
        </w:rPr>
      </w:pPr>
      <w:r>
        <w:rPr>
          <w:rFonts w:cs="Tahoma" w:ascii="Tahoma" w:hAnsi="Tahoma"/>
          <w:i/>
          <w:iCs/>
          <w:sz w:val="20"/>
          <w:szCs w:val="20"/>
        </w:rPr>
        <w:t>-0-</w:t>
      </w:r>
    </w:p>
    <w:p>
      <w:pPr>
        <w:pStyle w:val="Normal"/>
        <w:ind w:firstLine="708"/>
        <w:jc w:val="center"/>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t>San José, …. de….. de 2019</w:t>
      </w:r>
    </w:p>
    <w:p>
      <w:pPr>
        <w:pStyle w:val="Normal"/>
        <w:ind w:firstLine="709"/>
        <w:jc w:val="both"/>
        <w:rPr>
          <w:rFonts w:ascii="Tahoma" w:hAnsi="Tahoma" w:cs="Tahoma"/>
          <w:i/>
          <w:i/>
          <w:iCs/>
          <w:sz w:val="20"/>
          <w:szCs w:val="20"/>
          <w:lang w:eastAsia="es-ES"/>
        </w:rPr>
      </w:pPr>
      <w:r>
        <w:rPr>
          <w:rFonts w:cs="Tahoma" w:ascii="Tahoma" w:hAnsi="Tahoma"/>
          <w:i/>
          <w:iCs/>
          <w:sz w:val="20"/>
          <w:szCs w:val="20"/>
          <w:lang w:eastAsia="es-ES"/>
        </w:rPr>
      </w:r>
    </w:p>
    <w:p>
      <w:pPr>
        <w:pStyle w:val="Normal"/>
        <w:widowControl w:val="false"/>
        <w:shd w:val="clear" w:color="auto" w:fill="FFFFFF"/>
        <w:tabs>
          <w:tab w:val="clear" w:pos="708"/>
          <w:tab w:val="left" w:pos="720" w:leader="none"/>
        </w:tabs>
        <w:jc w:val="center"/>
        <w:rPr>
          <w:rFonts w:ascii="Tahoma" w:hAnsi="Tahoma" w:cs="Tahoma"/>
          <w:b/>
          <w:b/>
          <w:bCs/>
          <w:i/>
          <w:i/>
          <w:iCs/>
          <w:sz w:val="20"/>
          <w:szCs w:val="20"/>
        </w:rPr>
      </w:pPr>
      <w:r>
        <w:rPr>
          <w:rFonts w:cs="Tahoma" w:ascii="Tahoma" w:hAnsi="Tahoma"/>
          <w:b/>
          <w:bCs/>
          <w:i/>
          <w:iCs/>
          <w:sz w:val="20"/>
          <w:szCs w:val="20"/>
        </w:rPr>
        <w:t>Licda. Silvia Navarro Romanini</w:t>
      </w:r>
    </w:p>
    <w:p>
      <w:pPr>
        <w:pStyle w:val="Normal"/>
        <w:widowControl w:val="false"/>
        <w:shd w:val="clear" w:color="auto" w:fill="FFFFFF"/>
        <w:tabs>
          <w:tab w:val="clear" w:pos="708"/>
          <w:tab w:val="left" w:pos="720" w:leader="none"/>
        </w:tabs>
        <w:jc w:val="center"/>
        <w:rPr>
          <w:rFonts w:ascii="Tahoma" w:hAnsi="Tahoma" w:cs="Tahoma"/>
          <w:b/>
          <w:b/>
          <w:bCs/>
          <w:i/>
          <w:i/>
          <w:iCs/>
          <w:sz w:val="20"/>
          <w:szCs w:val="20"/>
        </w:rPr>
      </w:pPr>
      <w:r>
        <w:rPr>
          <w:rFonts w:cs="Tahoma" w:ascii="Tahoma" w:hAnsi="Tahoma"/>
          <w:b/>
          <w:bCs/>
          <w:i/>
          <w:iCs/>
          <w:sz w:val="20"/>
          <w:szCs w:val="20"/>
        </w:rPr>
        <w:t>Secretaria General</w:t>
      </w:r>
    </w:p>
    <w:p>
      <w:pPr>
        <w:pStyle w:val="Normal"/>
        <w:widowControl w:val="false"/>
        <w:jc w:val="center"/>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t>Corte Suprema de Justicia</w:t>
      </w:r>
    </w:p>
    <w:p>
      <w:pPr>
        <w:pStyle w:val="Normal"/>
        <w:widowControl w:val="false"/>
        <w:ind w:firstLine="567"/>
        <w:jc w:val="center"/>
        <w:rPr>
          <w:rFonts w:ascii="Tahoma" w:hAnsi="Tahoma" w:eastAsia="Arial Unicode MS" w:cs="Tahoma"/>
          <w:b/>
          <w:b/>
          <w:bCs/>
          <w:i/>
          <w:i/>
          <w:iCs/>
          <w:kern w:val="2"/>
          <w:sz w:val="20"/>
          <w:szCs w:val="20"/>
        </w:rPr>
      </w:pPr>
      <w:r>
        <w:rPr>
          <w:rFonts w:eastAsia="Arial Unicode MS" w:cs="Tahoma" w:ascii="Tahoma" w:hAnsi="Tahoma"/>
          <w:b/>
          <w:bCs/>
          <w:i/>
          <w:iCs/>
          <w:kern w:val="2"/>
          <w:sz w:val="20"/>
          <w:szCs w:val="20"/>
        </w:rPr>
      </w:r>
    </w:p>
    <w:p>
      <w:pPr>
        <w:pStyle w:val="Normal"/>
        <w:ind w:firstLine="708"/>
        <w:jc w:val="center"/>
        <w:rPr>
          <w:rFonts w:ascii="Tahoma" w:hAnsi="Tahoma" w:cs="Tahoma"/>
          <w:i/>
          <w:i/>
          <w:iCs/>
          <w:sz w:val="20"/>
          <w:szCs w:val="20"/>
        </w:rPr>
      </w:pPr>
      <w:r>
        <w:rPr>
          <w:rFonts w:cs="Tahoma" w:ascii="Tahoma" w:hAnsi="Tahoma"/>
          <w:i/>
          <w:iCs/>
          <w:sz w:val="20"/>
          <w:szCs w:val="20"/>
        </w:rPr>
        <w:t>-0-</w:t>
      </w:r>
    </w:p>
    <w:p>
      <w:pPr>
        <w:pStyle w:val="Normal"/>
        <w:ind w:firstLine="708"/>
        <w:jc w:val="center"/>
        <w:rPr>
          <w:rFonts w:ascii="Tahoma" w:hAnsi="Tahoma" w:cs="Tahoma"/>
          <w:i/>
          <w:i/>
          <w:iCs/>
          <w:sz w:val="20"/>
          <w:szCs w:val="20"/>
        </w:rPr>
      </w:pPr>
      <w:r>
        <w:rPr>
          <w:rFonts w:cs="Tahoma" w:ascii="Tahoma" w:hAnsi="Tahoma"/>
          <w:i/>
          <w:iCs/>
          <w:sz w:val="20"/>
          <w:szCs w:val="20"/>
        </w:rPr>
      </w:r>
    </w:p>
    <w:p>
      <w:pPr>
        <w:pStyle w:val="Normal"/>
        <w:ind w:firstLine="709"/>
        <w:jc w:val="both"/>
        <w:rPr>
          <w:rFonts w:ascii="Tahoma" w:hAnsi="Tahoma" w:cs="Tahoma"/>
          <w:b/>
          <w:b/>
          <w:bCs/>
          <w:i/>
          <w:i/>
          <w:iCs/>
          <w:sz w:val="20"/>
          <w:szCs w:val="20"/>
        </w:rPr>
      </w:pPr>
      <w:r>
        <w:rPr>
          <w:rFonts w:cs="Tahoma" w:ascii="Tahoma" w:hAnsi="Tahoma"/>
          <w:i/>
          <w:iCs/>
          <w:sz w:val="20"/>
          <w:szCs w:val="20"/>
        </w:rPr>
        <w:t>El magistrado Salazar Alvarado se abstiene de votar.”</w:t>
      </w:r>
    </w:p>
    <w:p>
      <w:pPr>
        <w:pStyle w:val="Normal"/>
        <w:widowControl w:val="false"/>
        <w:ind w:right="851" w:hanging="0"/>
        <w:jc w:val="both"/>
        <w:rPr>
          <w:rFonts w:ascii="Tahoma" w:hAnsi="Tahoma" w:cs="Tahoma"/>
          <w:i/>
          <w:i/>
          <w:iCs/>
          <w:sz w:val="20"/>
          <w:szCs w:val="20"/>
        </w:rPr>
      </w:pPr>
      <w:r>
        <w:rPr>
          <w:rFonts w:cs="Tahoma" w:ascii="Tahoma" w:hAnsi="Tahoma"/>
          <w:i/>
          <w:iCs/>
          <w:sz w:val="20"/>
          <w:szCs w:val="20"/>
        </w:rPr>
      </w:r>
    </w:p>
    <w:p>
      <w:pPr>
        <w:pStyle w:val="Normal"/>
        <w:tabs>
          <w:tab w:val="clear" w:pos="708"/>
          <w:tab w:val="left" w:pos="4295" w:leader="none"/>
        </w:tabs>
        <w:ind w:left="4248" w:hanging="0"/>
        <w:jc w:val="both"/>
        <w:rPr>
          <w:rFonts w:ascii="Tahoma" w:hAnsi="Tahoma" w:cs="Tahoma"/>
          <w:b/>
          <w:b/>
          <w:bCs/>
          <w:i/>
          <w:i/>
          <w:iCs/>
          <w:sz w:val="20"/>
          <w:szCs w:val="20"/>
        </w:rPr>
      </w:pPr>
      <w:r>
        <w:rPr>
          <w:rFonts w:cs="Tahoma" w:ascii="Tahoma" w:hAnsi="Tahoma"/>
          <w:b/>
          <w:bCs/>
          <w:i/>
          <w:iCs/>
          <w:sz w:val="20"/>
          <w:szCs w:val="20"/>
        </w:rPr>
        <w:t xml:space="preserve">Atentamente, </w:t>
      </w:r>
    </w:p>
    <w:p>
      <w:pPr>
        <w:pStyle w:val="Normal"/>
        <w:ind w:left="-708" w:hanging="0"/>
        <w:jc w:val="both"/>
        <w:rPr>
          <w:rFonts w:ascii="Tahoma" w:hAnsi="Tahoma" w:cs="Tahoma"/>
          <w:b/>
          <w:b/>
          <w:bCs/>
          <w:i/>
          <w:i/>
          <w:iCs/>
          <w:sz w:val="20"/>
          <w:szCs w:val="20"/>
        </w:rPr>
      </w:pPr>
      <w:r>
        <w:rPr>
          <w:rFonts w:cs="Tahoma" w:ascii="Tahoma" w:hAnsi="Tahoma"/>
          <w:b/>
          <w:bCs/>
          <w:i/>
          <w:iCs/>
          <w:sz w:val="20"/>
          <w:szCs w:val="20"/>
        </w:rPr>
      </w:r>
    </w:p>
    <w:p>
      <w:pPr>
        <w:pStyle w:val="Normal"/>
        <w:ind w:left="-708" w:hanging="0"/>
        <w:jc w:val="both"/>
        <w:rPr>
          <w:rFonts w:ascii="Tahoma" w:hAnsi="Tahoma" w:cs="Tahoma"/>
          <w:b/>
          <w:b/>
          <w:bCs/>
          <w:i/>
          <w:i/>
          <w:iCs/>
          <w:sz w:val="20"/>
          <w:szCs w:val="20"/>
        </w:rPr>
      </w:pPr>
      <w:r>
        <w:rPr>
          <w:rFonts w:cs="Tahoma" w:ascii="Tahoma" w:hAnsi="Tahoma"/>
          <w:b/>
          <w:bCs/>
          <w:i/>
          <w:iCs/>
          <w:sz w:val="20"/>
          <w:szCs w:val="20"/>
        </w:rPr>
      </w:r>
    </w:p>
    <w:p>
      <w:pPr>
        <w:pStyle w:val="Normal"/>
        <w:ind w:left="708" w:hanging="0"/>
        <w:jc w:val="both"/>
        <w:rPr>
          <w:rFonts w:ascii="Tahoma" w:hAnsi="Tahoma" w:cs="Tahoma"/>
          <w:b/>
          <w:b/>
          <w:bCs/>
          <w:i/>
          <w:i/>
          <w:iCs/>
          <w:sz w:val="20"/>
          <w:szCs w:val="20"/>
          <w:lang w:val="es-ES_tradnl"/>
        </w:rPr>
      </w:pPr>
      <w:r>
        <w:rPr>
          <w:rFonts w:cs="Tahoma" w:ascii="Tahoma" w:hAnsi="Tahoma"/>
          <w:b/>
          <w:bCs/>
          <w:i/>
          <w:iCs/>
          <w:sz w:val="20"/>
          <w:szCs w:val="20"/>
          <w:lang w:val="es-ES_tradnl"/>
        </w:rPr>
      </w:r>
    </w:p>
    <w:p>
      <w:pPr>
        <w:pStyle w:val="Normal"/>
        <w:ind w:left="708" w:hanging="0"/>
        <w:jc w:val="both"/>
        <w:rPr>
          <w:rFonts w:ascii="Tahoma" w:hAnsi="Tahoma" w:cs="Tahoma"/>
          <w:b/>
          <w:b/>
          <w:bCs/>
          <w:i/>
          <w:i/>
          <w:iCs/>
          <w:sz w:val="20"/>
          <w:szCs w:val="20"/>
          <w:lang w:val="es-ES_tradnl"/>
        </w:rPr>
      </w:pPr>
      <w:r>
        <w:rPr>
          <w:rFonts w:cs="Tahoma" w:ascii="Tahoma" w:hAnsi="Tahoma"/>
          <w:b/>
          <w:bCs/>
          <w:i/>
          <w:iCs/>
          <w:sz w:val="20"/>
          <w:szCs w:val="20"/>
          <w:lang w:val="es-ES_tradnl"/>
        </w:rPr>
      </w:r>
    </w:p>
    <w:p>
      <w:pPr>
        <w:pStyle w:val="Ttulo54"/>
        <w:keepNext w:val="false"/>
        <w:tabs>
          <w:tab w:val="clear" w:pos="0"/>
        </w:tabs>
        <w:ind w:left="4248" w:hanging="0"/>
        <w:jc w:val="left"/>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Licda. Silvia Navarro Romanini</w:t>
      </w:r>
    </w:p>
    <w:p>
      <w:pPr>
        <w:pStyle w:val="Ttulo54"/>
        <w:keepNext w:val="false"/>
        <w:tabs>
          <w:tab w:val="clear" w:pos="0"/>
        </w:tabs>
        <w:ind w:left="4248" w:hanging="0"/>
        <w:jc w:val="left"/>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Secretaria General</w:t>
      </w:r>
    </w:p>
    <w:p>
      <w:pPr>
        <w:pStyle w:val="Normal"/>
        <w:rPr>
          <w:rFonts w:ascii="Tahoma" w:hAnsi="Tahoma" w:cs="Tahoma"/>
          <w:b/>
          <w:b/>
          <w:bCs/>
          <w:i/>
          <w:i/>
          <w:iCs/>
          <w:sz w:val="20"/>
          <w:szCs w:val="20"/>
        </w:rPr>
      </w:pPr>
      <w:r>
        <w:rPr>
          <w:rFonts w:cs="Tahoma" w:ascii="Tahoma" w:hAnsi="Tahoma"/>
          <w:i/>
          <w:iCs/>
          <w:sz w:val="20"/>
          <w:szCs w:val="20"/>
        </w:rPr>
        <w:tab/>
        <w:tab/>
        <w:tab/>
        <w:tab/>
        <w:tab/>
        <w:tab/>
      </w:r>
      <w:r>
        <w:rPr>
          <w:rFonts w:cs="Tahoma" w:ascii="Tahoma" w:hAnsi="Tahoma"/>
          <w:b/>
          <w:bCs/>
          <w:i/>
          <w:iCs/>
          <w:sz w:val="20"/>
          <w:szCs w:val="20"/>
        </w:rPr>
        <w:t>Corte Suprema de Justicia</w:t>
      </w:r>
    </w:p>
    <w:p>
      <w:pPr>
        <w:pStyle w:val="Ttulo51"/>
        <w:keepNext w:val="false"/>
        <w:tabs>
          <w:tab w:val="clear" w:pos="0"/>
        </w:tabs>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r>
    </w:p>
    <w:p>
      <w:pPr>
        <w:pStyle w:val="Ttulo51"/>
        <w:keepNext w:val="false"/>
        <w:tabs>
          <w:tab w:val="clear" w:pos="0"/>
        </w:tabs>
        <w:ind w:left="4248" w:hanging="0"/>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r>
    </w:p>
    <w:p>
      <w:pPr>
        <w:pStyle w:val="Ttulo51"/>
        <w:keepNext w:val="false"/>
        <w:tabs>
          <w:tab w:val="clear" w:pos="0"/>
        </w:tabs>
        <w:ind w:left="4248" w:hanging="0"/>
        <w:jc w:val="both"/>
        <w:rPr>
          <w:rFonts w:ascii="Tahoma" w:hAnsi="Tahoma" w:eastAsia="Times New Roman" w:cs="Tahoma"/>
          <w:sz w:val="20"/>
          <w:szCs w:val="20"/>
          <w:u w:val="none"/>
          <w:shd w:fill="auto" w:val="clear"/>
          <w:lang w:val="es-CR"/>
        </w:rPr>
      </w:pPr>
      <w:r>
        <w:rPr>
          <w:rFonts w:eastAsia="Times New Roman" w:cs="Tahoma" w:ascii="Tahoma" w:hAnsi="Tahoma"/>
          <w:sz w:val="20"/>
          <w:szCs w:val="20"/>
          <w:u w:val="none"/>
          <w:shd w:fill="auto" w:val="clear"/>
          <w:lang w:val="es-CR"/>
        </w:rPr>
        <w:t xml:space="preserve"> </w:t>
      </w:r>
    </w:p>
    <w:p>
      <w:pPr>
        <w:pStyle w:val="Normal"/>
        <w:jc w:val="both"/>
        <w:rPr>
          <w:rFonts w:ascii="Tahoma" w:hAnsi="Tahoma" w:cs="Tahoma"/>
          <w:i/>
          <w:i/>
          <w:iCs/>
          <w:sz w:val="20"/>
          <w:szCs w:val="20"/>
        </w:rPr>
      </w:pPr>
      <w:r>
        <w:rPr>
          <w:rFonts w:cs="Tahoma" w:ascii="Tahoma" w:hAnsi="Tahoma"/>
          <w:i/>
          <w:iCs/>
          <w:sz w:val="20"/>
          <w:szCs w:val="20"/>
        </w:rPr>
        <w:t xml:space="preserve">c: </w:t>
        <w:tab/>
        <w:t>Diligencias / Refs: (</w:t>
      </w:r>
      <w:r>
        <w:rPr>
          <w:rFonts w:cs="Tahoma" w:ascii="Tahoma" w:hAnsi="Tahoma"/>
          <w:b/>
          <w:i/>
          <w:iCs/>
          <w:sz w:val="20"/>
          <w:szCs w:val="20"/>
        </w:rPr>
        <w:t>10405-17/15762-19</w:t>
      </w:r>
      <w:r>
        <w:rPr>
          <w:rFonts w:cs="Tahoma" w:ascii="Tahoma" w:hAnsi="Tahoma"/>
          <w:i/>
          <w:iCs/>
          <w:sz w:val="20"/>
          <w:szCs w:val="20"/>
        </w:rPr>
        <w:t xml:space="preserve">) </w:t>
      </w:r>
    </w:p>
    <w:p>
      <w:pPr>
        <w:pStyle w:val="Normal"/>
        <w:jc w:val="center"/>
        <w:rPr>
          <w:rFonts w:ascii="Tahoma" w:hAnsi="Tahoma" w:cs="Tahoma"/>
          <w:b/>
          <w:b/>
          <w:i/>
          <w:i/>
          <w:iCs/>
          <w:sz w:val="20"/>
          <w:szCs w:val="20"/>
          <w:shd w:fill="FFFFFF" w:val="clear"/>
          <w:lang w:val="es-ES_tradnl"/>
        </w:rPr>
      </w:pPr>
      <w:r>
        <w:rPr>
          <w:rFonts w:cs="Tahoma" w:ascii="Tahoma" w:hAnsi="Tahoma"/>
          <w:b/>
          <w:i/>
          <w:iCs/>
          <w:sz w:val="20"/>
          <w:szCs w:val="20"/>
          <w:shd w:fill="FFFFFF" w:val="clear"/>
          <w:lang w:val="es-ES_tradnl"/>
        </w:rPr>
      </w:r>
    </w:p>
    <w:p>
      <w:pPr>
        <w:pStyle w:val="Normal"/>
        <w:ind w:left="1068" w:hanging="0"/>
        <w:jc w:val="center"/>
        <w:rPr>
          <w:rFonts w:ascii="Tahoma" w:hAnsi="Tahoma" w:eastAsia="Calibri" w:cs="Tahoma"/>
          <w:i/>
          <w:i/>
          <w:iCs/>
          <w:sz w:val="20"/>
          <w:szCs w:val="20"/>
          <w:lang w:val="es-ES_tradnl"/>
        </w:rPr>
      </w:pPr>
      <w:r>
        <w:fldChar w:fldCharType="begin"/>
      </w:r>
      <w:r>
        <w:rPr>
          <w:sz w:val="20"/>
          <w:szCs w:val="20"/>
          <w:rFonts w:ascii="Tahoma" w:hAnsi="Tahoma"/>
        </w:rPr>
        <w:instrText>LINK Word.Document.12 "C:\\Users\\KSALAZARD\\Desktop\\indígenas\\1095-2020.docx" "" \a \p \f 0 \* MERGEFORMAT</w:instrText>
      </w:r>
      <w:r>
        <w:rPr>
          <w:rFonts w:ascii="Tahoma" w:hAnsi="Tahoma"/>
          <w:sz w:val="20"/>
          <w:szCs w:val="20"/>
        </w:rPr>
      </w:r>
      <w:r>
        <w:rPr>
          <w:sz w:val="20"/>
          <w:szCs w:val="20"/>
          <w:rFonts w:ascii="Tahoma" w:hAnsi="Tahoma"/>
        </w:rPr>
        <w:fldChar w:fldCharType="separate"/>
      </w:r>
      <w:r>
        <w:rPr>
          <w:rFonts w:ascii="Tahoma" w:hAnsi="Tahoma"/>
          <w:sz w:val="20"/>
          <w:szCs w:val="20"/>
        </w:rPr>
      </w:r>
      <w:r>
        <w:rPr/>
        <w:drawing>
          <wp:inline distT="0" distB="0" distL="0" distR="0">
            <wp:extent cx="972820" cy="640715"/>
            <wp:effectExtent l="0" t="0" r="0" b="0"/>
            <wp:docPr id="17" name="Objeto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jeto 5" descr=""/>
                    <pic:cNvPicPr>
                      <a:picLocks noChangeAspect="1" noChangeArrowheads="1"/>
                    </pic:cNvPicPr>
                  </pic:nvPicPr>
                  <pic:blipFill>
                    <a:blip r:embed="rId20"/>
                    <a:stretch>
                      <a:fillRect/>
                    </a:stretch>
                  </pic:blipFill>
                  <pic:spPr bwMode="auto">
                    <a:xfrm>
                      <a:off x="0" y="0"/>
                      <a:ext cx="972820" cy="640715"/>
                    </a:xfrm>
                    <a:prstGeom prst="rect">
                      <a:avLst/>
                    </a:prstGeom>
                  </pic:spPr>
                </pic:pic>
              </a:graphicData>
            </a:graphic>
          </wp:inline>
        </w:drawing>
      </w:r>
      <w:r>
        <w:rPr>
          <w:rFonts w:ascii="Tahoma" w:hAnsi="Tahoma"/>
          <w:sz w:val="20"/>
          <w:szCs w:val="20"/>
        </w:rPr>
      </w:r>
      <w:r>
        <w:rPr>
          <w:sz w:val="20"/>
          <w:szCs w:val="20"/>
          <w:rFonts w:ascii="Tahoma" w:hAnsi="Tahoma"/>
        </w:rPr>
        <w:fldChar w:fldCharType="end"/>
      </w:r>
    </w:p>
    <w:p>
      <w:pPr>
        <w:pStyle w:val="Normal"/>
        <w:spacing w:lineRule="auto" w:line="360"/>
        <w:rPr>
          <w:rFonts w:ascii="Tahoma" w:hAnsi="Tahoma" w:cs="Tahoma"/>
          <w:color w:val="000009"/>
          <w:sz w:val="20"/>
          <w:szCs w:val="20"/>
        </w:rPr>
      </w:pPr>
      <w:r>
        <w:rPr>
          <w:rFonts w:cs="Tahoma" w:ascii="Tahoma" w:hAnsi="Tahoma"/>
          <w:color w:val="000009"/>
          <w:sz w:val="20"/>
          <w:szCs w:val="20"/>
        </w:rPr>
      </w:r>
      <w:bookmarkStart w:id="51" w:name="_Toc24623666"/>
      <w:bookmarkStart w:id="52" w:name="_Toc24623613"/>
      <w:bookmarkStart w:id="53" w:name="_Toc24623666"/>
      <w:bookmarkStart w:id="54" w:name="_Toc24623613"/>
      <w:bookmarkEnd w:id="53"/>
      <w:bookmarkEnd w:id="54"/>
    </w:p>
    <w:p>
      <w:pPr>
        <w:pStyle w:val="Normal"/>
        <w:spacing w:lineRule="auto" w:line="360"/>
        <w:rPr>
          <w:rFonts w:ascii="Tahoma" w:hAnsi="Tahoma" w:cs="Tahoma"/>
          <w:color w:val="000009"/>
          <w:sz w:val="20"/>
          <w:szCs w:val="20"/>
        </w:rPr>
      </w:pPr>
      <w:r>
        <w:rPr>
          <w:rFonts w:cs="Tahoma" w:ascii="Tahoma" w:hAnsi="Tahoma"/>
          <w:color w:val="000009"/>
          <w:sz w:val="20"/>
          <w:szCs w:val="20"/>
        </w:rPr>
      </w:r>
    </w:p>
    <w:p>
      <w:pPr>
        <w:pStyle w:val="Normal"/>
        <w:jc w:val="both"/>
        <w:rPr>
          <w:rFonts w:ascii="Tahoma" w:hAnsi="Tahoma" w:cs="Tahoma"/>
          <w:bCs/>
          <w:color w:val="000009"/>
          <w:sz w:val="20"/>
          <w:szCs w:val="20"/>
        </w:rPr>
      </w:pPr>
      <w:r>
        <w:rPr>
          <w:rFonts w:cs="Tahoma" w:ascii="Tahoma" w:hAnsi="Tahoma"/>
          <w:b/>
          <w:color w:val="000009"/>
          <w:sz w:val="20"/>
          <w:szCs w:val="20"/>
          <w:u w:val="single"/>
        </w:rPr>
        <w:t>SE ACUERDA</w:t>
      </w:r>
      <w:r>
        <w:rPr>
          <w:rFonts w:cs="Tahoma" w:ascii="Tahoma" w:hAnsi="Tahoma"/>
          <w:bCs/>
          <w:color w:val="000009"/>
          <w:sz w:val="20"/>
          <w:szCs w:val="20"/>
        </w:rPr>
        <w:t xml:space="preserve">: </w:t>
      </w:r>
    </w:p>
    <w:p>
      <w:pPr>
        <w:pStyle w:val="Normal"/>
        <w:jc w:val="both"/>
        <w:rPr>
          <w:rFonts w:ascii="Tahoma" w:hAnsi="Tahoma" w:cs="Tahoma"/>
          <w:i/>
          <w:i/>
          <w:iCs/>
          <w:sz w:val="20"/>
          <w:szCs w:val="20"/>
        </w:rPr>
      </w:pPr>
      <w:r>
        <w:rPr>
          <w:rFonts w:cs="Tahoma" w:ascii="Tahoma" w:hAnsi="Tahoma"/>
          <w:b/>
          <w:color w:val="000009"/>
          <w:sz w:val="20"/>
          <w:szCs w:val="20"/>
        </w:rPr>
        <w:t>1°</w:t>
      </w:r>
      <w:r>
        <w:rPr>
          <w:rFonts w:cs="Tahoma" w:ascii="Tahoma" w:hAnsi="Tahoma"/>
          <w:bCs/>
          <w:color w:val="000009"/>
          <w:sz w:val="20"/>
          <w:szCs w:val="20"/>
        </w:rPr>
        <w:t xml:space="preserve"> Se toma nota del Oficio N° 1095-2020 de </w:t>
      </w:r>
      <w:r>
        <w:rPr>
          <w:rFonts w:cs="Tahoma" w:ascii="Tahoma" w:hAnsi="Tahoma"/>
          <w:sz w:val="20"/>
          <w:szCs w:val="20"/>
          <w:lang w:val="es-ES_tradnl"/>
        </w:rPr>
        <w:t>4 de febrero de 2020, en el que se</w:t>
      </w:r>
      <w:r>
        <w:rPr>
          <w:rFonts w:cs="Tahoma" w:ascii="Tahoma" w:hAnsi="Tahoma"/>
          <w:sz w:val="20"/>
          <w:szCs w:val="20"/>
        </w:rPr>
        <w:t xml:space="preserve"> transcribe el acuerdo tomado por la Corte Plena, en sesión </w:t>
      </w:r>
      <w:r>
        <w:rPr>
          <w:rFonts w:cs="Tahoma" w:ascii="Tahoma" w:hAnsi="Tahoma"/>
          <w:b/>
          <w:bCs/>
          <w:sz w:val="20"/>
          <w:szCs w:val="20"/>
        </w:rPr>
        <w:t xml:space="preserve">N° 02-2020 </w:t>
      </w:r>
      <w:r>
        <w:rPr>
          <w:rFonts w:cs="Tahoma" w:ascii="Tahoma" w:hAnsi="Tahoma"/>
          <w:bCs/>
          <w:sz w:val="20"/>
          <w:szCs w:val="20"/>
        </w:rPr>
        <w:t>c</w:t>
      </w:r>
      <w:r>
        <w:rPr>
          <w:rFonts w:cs="Tahoma" w:ascii="Tahoma" w:hAnsi="Tahoma"/>
          <w:sz w:val="20"/>
          <w:szCs w:val="20"/>
        </w:rPr>
        <w:t xml:space="preserve">elebrada el </w:t>
      </w:r>
      <w:r>
        <w:rPr>
          <w:rFonts w:cs="Tahoma" w:ascii="Tahoma" w:hAnsi="Tahoma"/>
          <w:b/>
          <w:sz w:val="20"/>
          <w:szCs w:val="20"/>
        </w:rPr>
        <w:t>13 de enero</w:t>
      </w:r>
      <w:r>
        <w:rPr>
          <w:rFonts w:cs="Tahoma" w:ascii="Tahoma" w:hAnsi="Tahoma"/>
          <w:b/>
          <w:bCs/>
          <w:sz w:val="20"/>
          <w:szCs w:val="20"/>
        </w:rPr>
        <w:t xml:space="preserve"> del 2020,</w:t>
      </w:r>
      <w:r>
        <w:rPr>
          <w:rFonts w:cs="Tahoma" w:ascii="Tahoma" w:hAnsi="Tahoma"/>
          <w:sz w:val="20"/>
          <w:szCs w:val="20"/>
        </w:rPr>
        <w:t xml:space="preserve"> Artículo XXXII, en el que se acogió</w:t>
      </w:r>
      <w:r>
        <w:rPr>
          <w:rFonts w:cs="Tahoma" w:ascii="Tahoma" w:hAnsi="Tahoma"/>
          <w:i/>
          <w:iCs/>
          <w:sz w:val="20"/>
          <w:szCs w:val="20"/>
        </w:rPr>
        <w:t xml:space="preserve"> el informe N° 1995-PLA-PE-2019, y se acordó: “</w:t>
      </w:r>
      <w:r>
        <w:rPr>
          <w:rFonts w:cs="Tahoma" w:ascii="Tahoma" w:hAnsi="Tahoma"/>
          <w:b/>
          <w:bCs/>
          <w:i/>
          <w:iCs/>
          <w:sz w:val="20"/>
          <w:szCs w:val="20"/>
        </w:rPr>
        <w:t>1.)</w:t>
      </w:r>
      <w:r>
        <w:rPr>
          <w:rFonts w:cs="Tahoma" w:ascii="Tahoma" w:hAnsi="Tahoma"/>
          <w:i/>
          <w:iCs/>
          <w:sz w:val="20"/>
          <w:szCs w:val="20"/>
        </w:rPr>
        <w:t xml:space="preserve"> Aprobar el “Modelo de Gestión (formulación, implementación, seguimiento y evaluación) de Políticas Institucionales” en los términos señalados en el apartado III del citado informe y con las observaciones señaladas por la licenciada Nacira Valverde Bermúdez, Directora de ese despacho. </w:t>
      </w:r>
      <w:r>
        <w:rPr>
          <w:rFonts w:cs="Tahoma" w:ascii="Tahoma" w:hAnsi="Tahoma"/>
          <w:b/>
          <w:bCs/>
          <w:i/>
          <w:iCs/>
          <w:sz w:val="20"/>
          <w:szCs w:val="20"/>
        </w:rPr>
        <w:t xml:space="preserve">2.) </w:t>
      </w:r>
      <w:r>
        <w:rPr>
          <w:rFonts w:cs="Tahoma" w:ascii="Tahoma" w:hAnsi="Tahoma"/>
          <w:i/>
          <w:iCs/>
          <w:sz w:val="20"/>
          <w:szCs w:val="20"/>
        </w:rPr>
        <w:t xml:space="preserve">Solicitar al Departamento de Artes Gráficas del Poder Judicial se sirva realizar el diseño e impresión de al menos 50 ejemplares del documento “Modelo de Gestión (formulación, implementación, seguimiento y evaluación) de Políticas Institucionales” y lo remita a la Dirección de Planificación a fin de que los distribuya a las diferentes instancias que gestionan políticas institucionales. </w:t>
      </w:r>
      <w:r>
        <w:rPr>
          <w:rFonts w:cs="Tahoma" w:ascii="Tahoma" w:hAnsi="Tahoma"/>
          <w:b/>
          <w:bCs/>
          <w:i/>
          <w:iCs/>
          <w:sz w:val="20"/>
          <w:szCs w:val="20"/>
        </w:rPr>
        <w:t xml:space="preserve">3.) </w:t>
      </w:r>
      <w:r>
        <w:rPr>
          <w:rFonts w:cs="Tahoma" w:ascii="Tahoma" w:hAnsi="Tahoma"/>
          <w:i/>
          <w:iCs/>
          <w:sz w:val="20"/>
          <w:szCs w:val="20"/>
        </w:rPr>
        <w:t xml:space="preserve">Aprobar el “Proceso de Gestión Estratégica de Políticas Institucionales (Alineación Estratégica)”, contenido en el apartado IV de este informe, que incluye la elaboración de un informe semestral de seguimiento y evaluación de los resultados obtenidos de la gestión de las políticas institucionales, a cargo del Subproceso de Evaluación de la Dirección de Planificación, con el fin de que sea conocido por esta Corte para la toma de decisiones correspondiente.” </w:t>
      </w:r>
      <w:r>
        <w:rPr>
          <w:rFonts w:cs="Tahoma" w:ascii="Tahoma" w:hAnsi="Tahoma"/>
          <w:b/>
          <w:bCs/>
          <w:i/>
          <w:iCs/>
          <w:sz w:val="20"/>
          <w:szCs w:val="20"/>
        </w:rPr>
        <w:t xml:space="preserve">4.) </w:t>
      </w:r>
      <w:r>
        <w:rPr>
          <w:rFonts w:cs="Tahoma" w:ascii="Tahoma" w:hAnsi="Tahoma"/>
          <w:i/>
          <w:iCs/>
          <w:sz w:val="20"/>
          <w:szCs w:val="20"/>
        </w:rPr>
        <w:t xml:space="preserve">La Secretaría General de la Corte tomará nota para la publicación de la siguiente circular:…”. </w:t>
      </w:r>
    </w:p>
    <w:p>
      <w:pPr>
        <w:pStyle w:val="Normal"/>
        <w:jc w:val="both"/>
        <w:rPr>
          <w:rFonts w:ascii="Tahoma" w:hAnsi="Tahoma" w:cs="Tahoma"/>
          <w:sz w:val="20"/>
          <w:szCs w:val="20"/>
        </w:rPr>
      </w:pPr>
      <w:r>
        <w:rPr>
          <w:rFonts w:cs="Tahoma" w:ascii="Tahoma" w:hAnsi="Tahoma"/>
          <w:b/>
          <w:bCs/>
          <w:sz w:val="20"/>
          <w:szCs w:val="20"/>
        </w:rPr>
        <w:t xml:space="preserve">2° </w:t>
      </w:r>
      <w:r>
        <w:rPr>
          <w:rFonts w:cs="Tahoma" w:ascii="Tahoma" w:hAnsi="Tahoma"/>
          <w:sz w:val="20"/>
          <w:szCs w:val="20"/>
        </w:rPr>
        <w:t>Trasladar a las y los integrantes de la Subcomisión el acuerdo en referencia a efecto de que conozca integralmente Modelo de Gestión de Políticas Institucionales para implementarlo en la construcción de la Política Indígena del Poder Judicial.</w:t>
      </w:r>
    </w:p>
    <w:p>
      <w:pPr>
        <w:pStyle w:val="Normal"/>
        <w:jc w:val="both"/>
        <w:rPr>
          <w:rFonts w:ascii="Tahoma" w:hAnsi="Tahoma" w:cs="Tahoma"/>
          <w:sz w:val="20"/>
          <w:szCs w:val="20"/>
        </w:rPr>
      </w:pPr>
      <w:r>
        <w:rPr>
          <w:rFonts w:cs="Tahoma" w:ascii="Tahoma" w:hAnsi="Tahoma"/>
          <w:b/>
          <w:bCs/>
          <w:sz w:val="20"/>
          <w:szCs w:val="20"/>
        </w:rPr>
        <w:t xml:space="preserve">3° </w:t>
      </w:r>
      <w:r>
        <w:rPr>
          <w:rFonts w:cs="Tahoma" w:ascii="Tahoma" w:hAnsi="Tahoma"/>
          <w:sz w:val="20"/>
          <w:szCs w:val="20"/>
        </w:rPr>
        <w:t>Comunicar este acuerdo a las personas designadas por MIDEPLAN como asesoras al Poder Judicial para la construcción de la Política Indígena a fin de que, en coordinación con la Dirección de Planificación, den el acompañamiento respectivo a la Subcomisión y a la Comisión de Acceso a la Justicia para la construcción de la Política, bajo un modelo de participación activa de la población indígena desde un primer momento de su construcción.</w:t>
      </w:r>
    </w:p>
    <w:p>
      <w:pPr>
        <w:pStyle w:val="Normal"/>
        <w:jc w:val="both"/>
        <w:rPr>
          <w:rFonts w:ascii="Tahoma" w:hAnsi="Tahoma" w:cs="Tahoma"/>
          <w:sz w:val="20"/>
          <w:szCs w:val="20"/>
        </w:rPr>
      </w:pPr>
      <w:r>
        <w:rPr>
          <w:rFonts w:cs="Tahoma" w:ascii="Tahoma" w:hAnsi="Tahoma"/>
          <w:sz w:val="20"/>
          <w:szCs w:val="20"/>
        </w:rPr>
        <w:t>4° Consultar a MIDEPLAN las fechas programadas para la capacitación en construcción de políticas públicas a las personas integrantes de la Subcomisión, a efecto de gestionar los permisos respectivos con la colaboración de la Unidad de Acceso a la Justicia.</w:t>
      </w:r>
    </w:p>
    <w:p>
      <w:pPr>
        <w:pStyle w:val="Normal"/>
        <w:jc w:val="both"/>
        <w:rPr>
          <w:rFonts w:ascii="Tahoma" w:hAnsi="Tahoma" w:cs="Tahoma"/>
          <w:sz w:val="20"/>
          <w:szCs w:val="20"/>
        </w:rPr>
      </w:pPr>
      <w:r>
        <w:rPr>
          <w:rFonts w:cs="Tahoma" w:ascii="Tahoma" w:hAnsi="Tahoma"/>
          <w:sz w:val="20"/>
          <w:szCs w:val="20"/>
        </w:rPr>
        <w:t xml:space="preserve">5° Se declaran firmes estos acuerdos por unanimidad. Comuníquese a la Dirección de Planificación, personas responsables de MIDEPLAN e integrantes de la Subcomisión, para lo de su cargo, por medio de la Unidad de Acceso a la Justicia. </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VII:</w:t>
      </w:r>
    </w:p>
    <w:p>
      <w:pPr>
        <w:pStyle w:val="Normal"/>
        <w:spacing w:lineRule="auto" w:line="360"/>
        <w:jc w:val="both"/>
        <w:rPr>
          <w:rFonts w:ascii="Tahoma" w:hAnsi="Tahoma" w:cs="Tahoma"/>
          <w:b/>
          <w:b/>
          <w:sz w:val="20"/>
          <w:szCs w:val="20"/>
        </w:rPr>
      </w:pPr>
      <w:r>
        <w:rPr>
          <w:rFonts w:cs="Tahoma" w:ascii="Tahoma" w:hAnsi="Tahoma"/>
          <w:b/>
          <w:sz w:val="20"/>
          <w:szCs w:val="20"/>
        </w:rPr>
        <w:t xml:space="preserve">TEMA: DESIGNACIÓN DEL SEÑOR JORGE DAVID MORALES RAMIREZ COMO INTEGRANTE DE LA SUBCOMISIÓN DE ACCESO A LA JUSTICIA DE PUEBLOS INDÍGENAS EN REPRESENTACION DEL DESPACHO DE LA PRESIDENCIA </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CACC-34-2020</w:t>
      </w:r>
      <w:r>
        <w:rPr>
          <w:rFonts w:cs="Tahoma" w:ascii="Tahoma" w:hAnsi="Tahoma"/>
          <w:sz w:val="20"/>
          <w:szCs w:val="20"/>
          <w:lang w:val="es-ES"/>
        </w:rPr>
        <w:t xml:space="preserve"> al Despacho de la Presidencia, el acuerdo estipulado en el Artículo II del Acta 01-2020 el cual se transcribe literalmente: </w:t>
      </w:r>
    </w:p>
    <w:p>
      <w:pPr>
        <w:pStyle w:val="Gmailm4214538879123250192default"/>
        <w:spacing w:before="280" w:after="280"/>
        <w:jc w:val="both"/>
        <w:rPr>
          <w:rFonts w:ascii="Tahoma" w:hAnsi="Tahoma" w:cs="Tahoma"/>
          <w:i/>
          <w:i/>
          <w:sz w:val="20"/>
          <w:szCs w:val="20"/>
        </w:rPr>
      </w:pPr>
      <w:r>
        <w:rPr>
          <w:rFonts w:cs="Tahoma" w:ascii="Tahoma" w:hAnsi="Tahoma"/>
          <w:i/>
          <w:sz w:val="20"/>
          <w:szCs w:val="20"/>
        </w:rPr>
        <w:t xml:space="preserve">3°. Informar a la Presidencia de la Corte, Despacho de la Presidencia y Comisión de Acceso a la Justicia los avances realizados en la construcción de la propuesta de la Política Indígena del Poder Judicial y la importancia de poder contar con su colaboración en el proceso pues es un proceso que requiere la coordinación interinstitucional y además, la participación activa de la población indígena en cumplimiento de los derechos de dicha población regulados en la normativa nacional e internacional que les rige, y el mandato de construcción de dicha Política establecidos en la Ley de Acceso a la Justicia de Pueblos Indígenas y la Circular 188-2019 de Corte Plena. </w:t>
      </w:r>
    </w:p>
    <w:p>
      <w:pPr>
        <w:pStyle w:val="Normal"/>
        <w:spacing w:lineRule="auto" w:line="360"/>
        <w:jc w:val="both"/>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i/>
          <w:i/>
          <w:iCs/>
          <w:sz w:val="20"/>
          <w:szCs w:val="20"/>
        </w:rPr>
      </w:pPr>
      <w:r>
        <w:rPr>
          <w:rFonts w:cs="Tahoma" w:ascii="Tahoma" w:hAnsi="Tahoma"/>
          <w:i/>
          <w:iCs/>
          <w:sz w:val="20"/>
          <w:szCs w:val="20"/>
        </w:rPr>
        <w:t>El Despacho de la Presidencia comunicó vía correo electrónico, lo siguiente:</w:t>
      </w:r>
    </w:p>
    <w:p>
      <w:pPr>
        <w:pStyle w:val="Normal"/>
        <w:numPr>
          <w:ilvl w:val="0"/>
          <w:numId w:val="0"/>
        </w:numPr>
        <w:jc w:val="both"/>
        <w:outlineLvl w:val="0"/>
        <w:rPr>
          <w:rFonts w:ascii="Tahoma" w:hAnsi="Tahoma" w:cs="Tahoma"/>
          <w:i/>
          <w:i/>
          <w:iCs/>
          <w:sz w:val="20"/>
          <w:szCs w:val="20"/>
          <w:lang w:val="es-ES"/>
        </w:rPr>
      </w:pPr>
      <w:r>
        <w:rPr>
          <w:rFonts w:cs="Tahoma" w:ascii="Tahoma" w:hAnsi="Tahoma"/>
          <w:b/>
          <w:bCs/>
          <w:i/>
          <w:iCs/>
          <w:sz w:val="20"/>
          <w:szCs w:val="20"/>
          <w:lang w:val="es-ES"/>
        </w:rPr>
        <w:t>De:</w:t>
      </w:r>
      <w:r>
        <w:rPr>
          <w:rFonts w:cs="Tahoma" w:ascii="Tahoma" w:hAnsi="Tahoma"/>
          <w:i/>
          <w:iCs/>
          <w:sz w:val="20"/>
          <w:szCs w:val="20"/>
          <w:lang w:val="es-ES"/>
        </w:rPr>
        <w:t xml:space="preserve"> Despacho de la Presidencia de la Corte </w:t>
        <w:br/>
      </w:r>
      <w:r>
        <w:rPr>
          <w:rFonts w:cs="Tahoma" w:ascii="Tahoma" w:hAnsi="Tahoma"/>
          <w:b/>
          <w:bCs/>
          <w:i/>
          <w:iCs/>
          <w:sz w:val="20"/>
          <w:szCs w:val="20"/>
          <w:lang w:val="es-ES"/>
        </w:rPr>
        <w:t>Enviado el:</w:t>
      </w:r>
      <w:r>
        <w:rPr>
          <w:rFonts w:cs="Tahoma" w:ascii="Tahoma" w:hAnsi="Tahoma"/>
          <w:i/>
          <w:iCs/>
          <w:sz w:val="20"/>
          <w:szCs w:val="20"/>
          <w:lang w:val="es-ES"/>
        </w:rPr>
        <w:t xml:space="preserve"> viernes, 24 de enero de 2020 11:54 a.m.</w:t>
        <w:br/>
      </w:r>
      <w:r>
        <w:rPr>
          <w:rFonts w:cs="Tahoma" w:ascii="Tahoma" w:hAnsi="Tahoma"/>
          <w:b/>
          <w:bCs/>
          <w:i/>
          <w:iCs/>
          <w:sz w:val="20"/>
          <w:szCs w:val="20"/>
          <w:lang w:val="es-ES"/>
        </w:rPr>
        <w:t>Para:</w:t>
      </w:r>
      <w:r>
        <w:rPr>
          <w:rFonts w:cs="Tahoma" w:ascii="Tahoma" w:hAnsi="Tahoma"/>
          <w:i/>
          <w:iCs/>
          <w:sz w:val="20"/>
          <w:szCs w:val="20"/>
          <w:lang w:val="es-ES"/>
        </w:rPr>
        <w:t xml:space="preserve"> Melissa Benavides Víquez</w:t>
        <w:br/>
      </w:r>
      <w:r>
        <w:rPr>
          <w:rFonts w:cs="Tahoma" w:ascii="Tahoma" w:hAnsi="Tahoma"/>
          <w:b/>
          <w:bCs/>
          <w:i/>
          <w:iCs/>
          <w:sz w:val="20"/>
          <w:szCs w:val="20"/>
          <w:lang w:val="es-ES"/>
        </w:rPr>
        <w:t>CC:</w:t>
      </w:r>
      <w:r>
        <w:rPr>
          <w:rFonts w:cs="Tahoma" w:ascii="Tahoma" w:hAnsi="Tahoma"/>
          <w:i/>
          <w:iCs/>
          <w:sz w:val="20"/>
          <w:szCs w:val="20"/>
          <w:lang w:val="es-ES"/>
        </w:rPr>
        <w:t xml:space="preserve"> Roger Mata Brenes; Damaris Vargas Vásquez; Presidencia de la Corte; Katherine Salazar Duarte; Jorge David Morales Ramírez</w:t>
        <w:br/>
      </w:r>
      <w:r>
        <w:rPr>
          <w:rFonts w:cs="Tahoma" w:ascii="Tahoma" w:hAnsi="Tahoma"/>
          <w:b/>
          <w:bCs/>
          <w:i/>
          <w:iCs/>
          <w:sz w:val="20"/>
          <w:szCs w:val="20"/>
          <w:lang w:val="es-ES"/>
        </w:rPr>
        <w:t>Asunto:</w:t>
      </w:r>
      <w:r>
        <w:rPr>
          <w:rFonts w:cs="Tahoma" w:ascii="Tahoma" w:hAnsi="Tahoma"/>
          <w:i/>
          <w:iCs/>
          <w:sz w:val="20"/>
          <w:szCs w:val="20"/>
          <w:lang w:val="es-ES"/>
        </w:rPr>
        <w:t xml:space="preserve"> RE: Oficio CACC-34-2020 Mag. Fernando Cruz Castro y Sr. Roger Mata Brenes Acuerdo Subcomisión de Acceso a la Justicia de Pueblos Indígenas 07 de enero</w:t>
      </w:r>
    </w:p>
    <w:p>
      <w:pPr>
        <w:pStyle w:val="Normal"/>
        <w:numPr>
          <w:ilvl w:val="0"/>
          <w:numId w:val="0"/>
        </w:numPr>
        <w:jc w:val="both"/>
        <w:outlineLvl w:val="0"/>
        <w:rPr>
          <w:rFonts w:ascii="Tahoma" w:hAnsi="Tahoma" w:cs="Tahoma"/>
          <w:i/>
          <w:i/>
          <w:iCs/>
          <w:sz w:val="20"/>
          <w:szCs w:val="20"/>
          <w:lang w:val="es-ES"/>
        </w:rPr>
      </w:pPr>
      <w:r>
        <w:rPr>
          <w:rFonts w:cs="Tahoma" w:ascii="Tahoma" w:hAnsi="Tahoma"/>
          <w:i/>
          <w:iCs/>
          <w:sz w:val="20"/>
          <w:szCs w:val="20"/>
          <w:lang w:val="es-ES"/>
        </w:rPr>
      </w:r>
    </w:p>
    <w:p>
      <w:pPr>
        <w:pStyle w:val="Normal"/>
        <w:jc w:val="both"/>
        <w:rPr>
          <w:rFonts w:ascii="Tahoma" w:hAnsi="Tahoma" w:cs="Tahoma"/>
          <w:i/>
          <w:i/>
          <w:iCs/>
          <w:sz w:val="20"/>
          <w:szCs w:val="20"/>
        </w:rPr>
      </w:pPr>
      <w:r>
        <w:rPr>
          <w:rFonts w:cs="Tahoma" w:ascii="Tahoma" w:hAnsi="Tahoma"/>
          <w:i/>
          <w:iCs/>
          <w:sz w:val="20"/>
          <w:szCs w:val="20"/>
        </w:rPr>
        <w:t>Máster Melissa Benavides Víquez</w:t>
      </w:r>
    </w:p>
    <w:p>
      <w:pPr>
        <w:pStyle w:val="Normal"/>
        <w:jc w:val="both"/>
        <w:rPr>
          <w:rFonts w:ascii="Tahoma" w:hAnsi="Tahoma" w:cs="Tahoma"/>
          <w:i/>
          <w:i/>
          <w:iCs/>
          <w:sz w:val="20"/>
          <w:szCs w:val="20"/>
        </w:rPr>
      </w:pPr>
      <w:r>
        <w:rPr>
          <w:rFonts w:cs="Tahoma" w:ascii="Tahoma" w:hAnsi="Tahoma"/>
          <w:i/>
          <w:iCs/>
          <w:sz w:val="20"/>
          <w:szCs w:val="20"/>
        </w:rPr>
        <w:t>Coordinadora</w:t>
      </w:r>
    </w:p>
    <w:p>
      <w:pPr>
        <w:pStyle w:val="Normal"/>
        <w:jc w:val="both"/>
        <w:rPr>
          <w:rFonts w:ascii="Tahoma" w:hAnsi="Tahoma" w:cs="Tahoma"/>
          <w:i/>
          <w:i/>
          <w:iCs/>
          <w:sz w:val="20"/>
          <w:szCs w:val="20"/>
        </w:rPr>
      </w:pPr>
      <w:r>
        <w:rPr>
          <w:rFonts w:cs="Tahoma" w:ascii="Tahoma" w:hAnsi="Tahoma"/>
          <w:i/>
          <w:iCs/>
          <w:sz w:val="20"/>
          <w:szCs w:val="20"/>
        </w:rPr>
        <w:t>Unidad de Acceso a la Justicia</w:t>
      </w:r>
    </w:p>
    <w:p>
      <w:pPr>
        <w:pStyle w:val="Normal"/>
        <w:jc w:val="both"/>
        <w:rPr>
          <w:rFonts w:ascii="Tahoma" w:hAnsi="Tahoma" w:cs="Tahoma"/>
          <w:i/>
          <w:i/>
          <w:iCs/>
          <w:sz w:val="20"/>
          <w:szCs w:val="20"/>
        </w:rPr>
      </w:pPr>
      <w:r>
        <w:rPr>
          <w:rFonts w:cs="Tahoma" w:ascii="Tahoma" w:hAnsi="Tahoma"/>
          <w:i/>
          <w:iCs/>
          <w:sz w:val="20"/>
          <w:szCs w:val="20"/>
        </w:rPr>
      </w:r>
    </w:p>
    <w:p>
      <w:pPr>
        <w:pStyle w:val="Normal"/>
        <w:jc w:val="both"/>
        <w:rPr>
          <w:rFonts w:ascii="Tahoma" w:hAnsi="Tahoma" w:cs="Tahoma"/>
          <w:i/>
          <w:i/>
          <w:iCs/>
          <w:sz w:val="20"/>
          <w:szCs w:val="20"/>
        </w:rPr>
      </w:pPr>
      <w:r>
        <w:rPr>
          <w:rFonts w:cs="Tahoma" w:ascii="Tahoma" w:hAnsi="Tahoma"/>
          <w:i/>
          <w:iCs/>
          <w:sz w:val="20"/>
          <w:szCs w:val="20"/>
        </w:rPr>
        <w:t xml:space="preserve">Estimada señora: </w:t>
      </w:r>
    </w:p>
    <w:p>
      <w:pPr>
        <w:pStyle w:val="Normal"/>
        <w:jc w:val="both"/>
        <w:rPr>
          <w:rFonts w:ascii="Tahoma" w:hAnsi="Tahoma" w:cs="Tahoma"/>
          <w:i/>
          <w:i/>
          <w:iCs/>
          <w:sz w:val="20"/>
          <w:szCs w:val="20"/>
        </w:rPr>
      </w:pPr>
      <w:r>
        <w:rPr>
          <w:rFonts w:cs="Tahoma" w:ascii="Tahoma" w:hAnsi="Tahoma"/>
          <w:i/>
          <w:iCs/>
          <w:sz w:val="20"/>
          <w:szCs w:val="20"/>
        </w:rPr>
        <w:t>Es un gusto saludarla. En atención al Oficio CACC-34-2020 y con instrucciones del Director Róger Mata Brenes, respetuosamente, me permito informar que se designa al señor Jorge Morales Ramírez, como enlace entre el Despacho de la Presidencia y la Comisión de Acceso a la Justicia, a fin de definir la colaboración que requerirán de la Presidencia de la Corte.</w:t>
      </w:r>
    </w:p>
    <w:p>
      <w:pPr>
        <w:pStyle w:val="Normal"/>
        <w:jc w:val="both"/>
        <w:rPr>
          <w:rFonts w:ascii="Tahoma" w:hAnsi="Tahoma" w:cs="Tahoma"/>
          <w:i/>
          <w:i/>
          <w:iCs/>
          <w:sz w:val="20"/>
          <w:szCs w:val="20"/>
        </w:rPr>
      </w:pPr>
      <w:r>
        <w:rPr>
          <w:rFonts w:cs="Tahoma" w:ascii="Tahoma" w:hAnsi="Tahoma"/>
          <w:i/>
          <w:iCs/>
          <w:sz w:val="20"/>
          <w:szCs w:val="20"/>
        </w:rPr>
        <w:t xml:space="preserve">Cordialmente, </w:t>
      </w:r>
    </w:p>
    <w:p>
      <w:pPr>
        <w:pStyle w:val="Normal"/>
        <w:rPr>
          <w:rFonts w:ascii="Tahoma" w:hAnsi="Tahoma" w:cs="Tahoma"/>
          <w:sz w:val="20"/>
          <w:szCs w:val="20"/>
        </w:rPr>
      </w:pPr>
      <w:r>
        <w:rPr>
          <w:rFonts w:cs="Tahoma" w:ascii="Tahoma" w:hAnsi="Tahoma"/>
          <w:sz w:val="20"/>
          <w:szCs w:val="20"/>
        </w:rPr>
      </w:r>
    </w:p>
    <w:p>
      <w:pPr>
        <w:pStyle w:val="Normal"/>
        <w:spacing w:lineRule="auto" w:line="360"/>
        <w:jc w:val="both"/>
        <w:rPr>
          <w:rFonts w:ascii="Tahoma" w:hAnsi="Tahoma" w:cs="Tahoma"/>
          <w:sz w:val="20"/>
          <w:szCs w:val="20"/>
          <w:lang w:val="es-ES"/>
        </w:rPr>
      </w:pPr>
      <w:r>
        <w:rPr/>
        <w:drawing>
          <wp:inline distT="0" distB="0" distL="0" distR="0">
            <wp:extent cx="4020185" cy="1066800"/>
            <wp:effectExtent l="0" t="0" r="0" b="0"/>
            <wp:docPr id="18" name="Imagen11" descr="Yuliana Mairena Presid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11" descr="Yuliana Mairena Presidencia"/>
                    <pic:cNvPicPr>
                      <a:picLocks noChangeAspect="1" noChangeArrowheads="1"/>
                    </pic:cNvPicPr>
                  </pic:nvPicPr>
                  <pic:blipFill>
                    <a:blip r:embed="rId21"/>
                    <a:stretch>
                      <a:fillRect/>
                    </a:stretch>
                  </pic:blipFill>
                  <pic:spPr bwMode="auto">
                    <a:xfrm>
                      <a:off x="0" y="0"/>
                      <a:ext cx="4020185" cy="1066800"/>
                    </a:xfrm>
                    <a:prstGeom prst="rect">
                      <a:avLst/>
                    </a:prstGeom>
                  </pic:spPr>
                </pic:pic>
              </a:graphicData>
            </a:graphic>
          </wp:inline>
        </w:drawing>
      </w:r>
    </w:p>
    <w:p>
      <w:pPr>
        <w:pStyle w:val="Normal"/>
        <w:spacing w:lineRule="auto" w:line="360"/>
        <w:jc w:val="both"/>
        <w:rPr>
          <w:rFonts w:ascii="Tahoma" w:hAnsi="Tahoma" w:cs="Tahoma"/>
          <w:bCs/>
          <w:sz w:val="20"/>
          <w:szCs w:val="20"/>
        </w:rPr>
      </w:pPr>
      <w:r>
        <w:rPr>
          <w:rFonts w:cs="Tahoma" w:ascii="Tahoma" w:hAnsi="Tahoma"/>
          <w:b/>
          <w:sz w:val="20"/>
          <w:szCs w:val="20"/>
          <w:u w:val="single"/>
        </w:rPr>
        <w:t xml:space="preserve">SE ACUERDA: </w:t>
      </w:r>
      <w:r>
        <w:rPr>
          <w:rFonts w:cs="Tahoma" w:ascii="Tahoma" w:hAnsi="Tahoma"/>
          <w:bCs/>
          <w:sz w:val="20"/>
          <w:szCs w:val="20"/>
        </w:rPr>
        <w:t>Se toma nota de la designación del señor Jorge Morales Ramírez como integrante de la Subcomisión en representación del Despacho de la Presidencia de la Corte Suprema de Justicia. Comuníquese al citado Despacho y al señor Morales por medio de la Unidad de Acceso a la Justicia con indicación a este último de las fechas programadas para las sesiones ordinarias de la Subcomisión de Acceso a la Justicia de Pueblos Indígenas.</w:t>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VIII:</w:t>
      </w:r>
    </w:p>
    <w:p>
      <w:pPr>
        <w:pStyle w:val="Normal"/>
        <w:spacing w:lineRule="auto" w:line="360"/>
        <w:jc w:val="both"/>
        <w:rPr>
          <w:rFonts w:ascii="Tahoma" w:hAnsi="Tahoma" w:cs="Tahoma"/>
          <w:b/>
          <w:b/>
          <w:sz w:val="20"/>
          <w:szCs w:val="20"/>
        </w:rPr>
      </w:pPr>
      <w:r>
        <w:rPr>
          <w:rFonts w:cs="Tahoma" w:ascii="Tahoma" w:hAnsi="Tahoma"/>
          <w:b/>
          <w:sz w:val="20"/>
          <w:szCs w:val="20"/>
        </w:rPr>
        <w:t>TEMA: SOLICITUD DE PUEBLO MALECU A LA PRESIDENCIA DE LA CORTE SUPREMA DE JUSTICIA A EFECTO DE QUE LES CAPACITEN EN TEMÁTICA INDÍGENA Y TRASLADO A UNIDADES DE CAPACITACION Y ESCUELA JUDICIAL</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CACC-36-2020</w:t>
      </w:r>
      <w:r>
        <w:rPr>
          <w:rFonts w:cs="Tahoma" w:ascii="Tahoma" w:hAnsi="Tahoma"/>
          <w:sz w:val="20"/>
          <w:szCs w:val="20"/>
          <w:lang w:val="es-ES"/>
        </w:rPr>
        <w:t xml:space="preserve"> a las diferentes Unidades de Capacitación, el acuerdo estipulado en el Artículo II del Acta 01-2020 el cual se transcribe literalmente: </w:t>
      </w:r>
    </w:p>
    <w:p>
      <w:pPr>
        <w:pStyle w:val="Normal"/>
        <w:jc w:val="both"/>
        <w:rPr>
          <w:rFonts w:ascii="Tahoma" w:hAnsi="Tahoma" w:cs="Tahoma"/>
          <w:b/>
          <w:b/>
          <w:sz w:val="20"/>
          <w:szCs w:val="20"/>
          <w:u w:val="single"/>
        </w:rPr>
      </w:pPr>
      <w:r>
        <w:rPr>
          <w:rFonts w:cs="Tahoma" w:ascii="Tahoma" w:hAnsi="Tahoma"/>
          <w:b/>
          <w:sz w:val="20"/>
          <w:szCs w:val="20"/>
          <w:u w:val="single"/>
        </w:rPr>
        <w:t xml:space="preserve">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 </w:t>
      </w:r>
    </w:p>
    <w:p>
      <w:pPr>
        <w:pStyle w:val="Normal"/>
        <w:jc w:val="both"/>
        <w:rPr>
          <w:rFonts w:ascii="Tahoma" w:hAnsi="Tahoma" w:cs="Tahoma"/>
          <w:sz w:val="20"/>
          <w:szCs w:val="20"/>
        </w:rPr>
      </w:pPr>
      <w:r>
        <w:rPr>
          <w:rFonts w:cs="Tahoma" w:ascii="Tahoma" w:hAnsi="Tahoma"/>
          <w:sz w:val="20"/>
          <w:szCs w:val="20"/>
        </w:rPr>
        <w:t xml:space="preserve">La Unidad de Capacitación del Organismo de Investigación Judicial comunicó mediante el Oficio </w:t>
      </w:r>
      <w:r>
        <w:rPr>
          <w:rFonts w:cs="Tahoma" w:ascii="Tahoma" w:hAnsi="Tahoma"/>
          <w:b/>
          <w:sz w:val="20"/>
          <w:szCs w:val="20"/>
        </w:rPr>
        <w:t xml:space="preserve">EJ-CAP-OIJ-063-2020 RESPUESTA OFICIO CACC-36-2020 </w:t>
      </w:r>
      <w:r>
        <w:rPr>
          <w:rFonts w:cs="Tahoma" w:ascii="Tahoma" w:hAnsi="Tahoma"/>
          <w:sz w:val="20"/>
          <w:szCs w:val="20"/>
        </w:rPr>
        <w:t>remitido el miércoles 12 de febrero, lo siguiente:</w:t>
      </w:r>
    </w:p>
    <w:p>
      <w:pPr>
        <w:pStyle w:val="Normal"/>
        <w:rPr>
          <w:rFonts w:ascii="Tahoma" w:hAnsi="Tahoma" w:cs="Tahoma"/>
          <w:sz w:val="20"/>
          <w:szCs w:val="20"/>
          <w:lang w:val="es-ES"/>
        </w:rPr>
      </w:pPr>
      <w:r>
        <w:rPr>
          <w:rFonts w:cs="Tahoma" w:ascii="Tahoma" w:hAnsi="Tahoma"/>
          <w:sz w:val="20"/>
          <w:szCs w:val="20"/>
          <w:lang w:val="es-ES"/>
        </w:rPr>
      </w:r>
    </w:p>
    <w:p>
      <w:pPr>
        <w:pStyle w:val="Normal"/>
        <w:rPr>
          <w:rFonts w:ascii="Tahoma" w:hAnsi="Tahoma" w:cs="Tahoma"/>
          <w:sz w:val="20"/>
          <w:szCs w:val="20"/>
          <w:lang w:val="es-ES"/>
        </w:rPr>
      </w:pPr>
      <w:r>
        <w:rPr/>
        <w:drawing>
          <wp:inline distT="0" distB="0" distL="0" distR="0">
            <wp:extent cx="5257800" cy="6848475"/>
            <wp:effectExtent l="0" t="0" r="0" b="0"/>
            <wp:docPr id="19" name="Imagen 28" descr="C:\Users\KSALAZARD\Desktop\Unidad de Acceso Justicia  2020\Imágenes\indigen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28" descr="C:\Users\KSALAZARD\Desktop\Unidad de Acceso Justicia  2020\Imágenes\indigenas 1.JPG"/>
                    <pic:cNvPicPr>
                      <a:picLocks noChangeAspect="1" noChangeArrowheads="1"/>
                    </pic:cNvPicPr>
                  </pic:nvPicPr>
                  <pic:blipFill>
                    <a:blip r:embed="rId22"/>
                    <a:stretch>
                      <a:fillRect/>
                    </a:stretch>
                  </pic:blipFill>
                  <pic:spPr bwMode="auto">
                    <a:xfrm>
                      <a:off x="0" y="0"/>
                      <a:ext cx="5257800" cy="6848475"/>
                    </a:xfrm>
                    <a:prstGeom prst="rect">
                      <a:avLst/>
                    </a:prstGeom>
                  </pic:spPr>
                </pic:pic>
              </a:graphicData>
            </a:graphic>
          </wp:inline>
        </w:drawing>
      </w:r>
    </w:p>
    <w:p>
      <w:pPr>
        <w:pStyle w:val="Normal"/>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rFonts w:cs="Tahoma" w:ascii="Tahoma" w:hAnsi="Tahoma"/>
          <w:sz w:val="20"/>
          <w:szCs w:val="20"/>
        </w:rPr>
      </w:r>
    </w:p>
    <w:p>
      <w:pPr>
        <w:pStyle w:val="Normal"/>
        <w:jc w:val="center"/>
        <w:rPr>
          <w:rFonts w:ascii="Tahoma" w:hAnsi="Tahoma" w:cs="Tahoma"/>
          <w:sz w:val="20"/>
          <w:szCs w:val="20"/>
        </w:rPr>
      </w:pPr>
      <w:r>
        <w:rPr/>
        <w:drawing>
          <wp:inline distT="0" distB="0" distL="0" distR="0">
            <wp:extent cx="4829175" cy="6381750"/>
            <wp:effectExtent l="0" t="0" r="0" b="0"/>
            <wp:docPr id="20" name="Imagen 29" descr="C:\Users\KSALAZARD\Desktop\Unidad de Acceso Justicia  2020\Imágenes\Indígen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9" descr="C:\Users\KSALAZARD\Desktop\Unidad de Acceso Justicia  2020\Imágenes\Indígenas 2.JPG"/>
                    <pic:cNvPicPr>
                      <a:picLocks noChangeAspect="1" noChangeArrowheads="1"/>
                    </pic:cNvPicPr>
                  </pic:nvPicPr>
                  <pic:blipFill>
                    <a:blip r:embed="rId23"/>
                    <a:stretch>
                      <a:fillRect/>
                    </a:stretch>
                  </pic:blipFill>
                  <pic:spPr bwMode="auto">
                    <a:xfrm>
                      <a:off x="0" y="0"/>
                      <a:ext cx="4829175" cy="6381750"/>
                    </a:xfrm>
                    <a:prstGeom prst="rect">
                      <a:avLst/>
                    </a:prstGeom>
                  </pic:spPr>
                </pic:pic>
              </a:graphicData>
            </a:graphic>
          </wp:inline>
        </w:drawing>
      </w:r>
    </w:p>
    <w:p>
      <w:pPr>
        <w:pStyle w:val="Normal"/>
        <w:jc w:val="both"/>
        <w:rPr>
          <w:rFonts w:ascii="Tahoma" w:hAnsi="Tahoma" w:cs="Tahoma"/>
          <w:sz w:val="20"/>
          <w:szCs w:val="20"/>
        </w:rPr>
      </w:pPr>
      <w:r>
        <w:rPr>
          <w:rFonts w:cs="Tahoma" w:ascii="Tahoma" w:hAnsi="Tahoma"/>
          <w:sz w:val="20"/>
          <w:szCs w:val="20"/>
        </w:rPr>
        <w:t xml:space="preserve">La Dirección de la Defensa Pública comunicó mediante el Oficio </w:t>
      </w:r>
      <w:r>
        <w:rPr>
          <w:rFonts w:cs="Tahoma" w:ascii="Tahoma" w:hAnsi="Tahoma"/>
          <w:b/>
          <w:sz w:val="20"/>
          <w:szCs w:val="20"/>
        </w:rPr>
        <w:t xml:space="preserve">JEFDP-145-2020 </w:t>
      </w:r>
      <w:r>
        <w:rPr>
          <w:rFonts w:cs="Tahoma" w:ascii="Tahoma" w:hAnsi="Tahoma"/>
          <w:sz w:val="20"/>
          <w:szCs w:val="20"/>
        </w:rPr>
        <w:t>remitido el jueves 20 de febrero, lo siguiente:</w:t>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r>
    </w:p>
    <w:p>
      <w:pPr>
        <w:pStyle w:val="Standard"/>
        <w:suppressAutoHyphens w:val="false"/>
        <w:jc w:val="right"/>
        <w:rPr>
          <w:rFonts w:ascii="Tahoma" w:hAnsi="Tahoma" w:eastAsia="Calibri" w:cs="Tahoma"/>
          <w:b/>
          <w:b/>
          <w:bCs/>
          <w:color w:val="000000"/>
          <w:sz w:val="20"/>
          <w:szCs w:val="20"/>
          <w:lang w:eastAsia="en-US"/>
        </w:rPr>
      </w:pPr>
      <w:r>
        <w:rPr>
          <w:rFonts w:eastAsia="Calibri" w:cs="Tahoma" w:ascii="Tahoma" w:hAnsi="Tahoma"/>
          <w:b/>
          <w:bCs/>
          <w:color w:val="000000"/>
          <w:sz w:val="20"/>
          <w:szCs w:val="20"/>
          <w:lang w:eastAsia="en-US"/>
        </w:rPr>
        <w:t>JEFDP-145-2020</w:t>
      </w:r>
      <w:r>
        <w:rPr>
          <w:rFonts w:eastAsia="Arial" w:cs="Tahoma" w:ascii="Tahoma" w:hAnsi="Tahoma"/>
          <w:b/>
          <w:color w:val="000000"/>
          <w:sz w:val="20"/>
          <w:szCs w:val="20"/>
        </w:rPr>
        <w:t xml:space="preserve">                                    </w:t>
      </w:r>
    </w:p>
    <w:p>
      <w:pPr>
        <w:pStyle w:val="Standard"/>
        <w:suppressAutoHyphens w:val="false"/>
        <w:jc w:val="right"/>
        <w:rPr>
          <w:rFonts w:ascii="Tahoma" w:hAnsi="Tahoma" w:eastAsia="Calibri" w:cs="Tahoma"/>
          <w:bCs/>
          <w:color w:val="000000"/>
          <w:sz w:val="20"/>
          <w:szCs w:val="20"/>
          <w:lang w:eastAsia="en-US"/>
        </w:rPr>
      </w:pPr>
      <w:r>
        <w:rPr>
          <w:rFonts w:eastAsia="Arial" w:cs="Tahoma" w:ascii="Tahoma" w:hAnsi="Tahoma"/>
          <w:color w:val="000000"/>
          <w:sz w:val="20"/>
          <w:szCs w:val="20"/>
        </w:rPr>
        <w:t xml:space="preserve">  </w:t>
      </w:r>
      <w:r>
        <w:rPr>
          <w:rFonts w:eastAsia="Calibri" w:cs="Tahoma" w:ascii="Tahoma" w:hAnsi="Tahoma"/>
          <w:bCs/>
          <w:color w:val="000000"/>
          <w:sz w:val="20"/>
          <w:szCs w:val="20"/>
          <w:lang w:eastAsia="en-US"/>
        </w:rPr>
        <w:t>San José, 20 de febrero del 2020</w:t>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Señora</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M.Sc. Melissa Benavides Víquez</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Coordinadora a.i.</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Unidad de Acceso a la Justicia</w:t>
      </w:r>
    </w:p>
    <w:p>
      <w:pPr>
        <w:pStyle w:val="NormalWeb"/>
        <w:spacing w:before="280" w:after="280"/>
        <w:jc w:val="both"/>
        <w:rPr>
          <w:rFonts w:ascii="Tahoma" w:hAnsi="Tahoma" w:cs="Tahoma"/>
          <w:b/>
          <w:b/>
          <w:bCs/>
          <w:color w:val="000000"/>
          <w:kern w:val="2"/>
          <w:sz w:val="20"/>
          <w:szCs w:val="20"/>
          <w:lang w:eastAsia="en-US" w:bidi="hi-IN"/>
        </w:rPr>
      </w:pPr>
      <w:r>
        <w:rPr>
          <w:rFonts w:cs="Tahoma" w:ascii="Tahoma" w:hAnsi="Tahoma"/>
          <w:b/>
          <w:bCs/>
          <w:color w:val="000000"/>
          <w:kern w:val="2"/>
          <w:sz w:val="20"/>
          <w:szCs w:val="20"/>
          <w:lang w:eastAsia="en-US" w:bidi="hi-IN"/>
        </w:rPr>
        <w:t>Poder Judicial</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t>Estimada señora:</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
        <w:spacing w:lineRule="auto" w:line="360"/>
        <w:ind w:firstLine="708"/>
        <w:jc w:val="both"/>
        <w:rPr>
          <w:rFonts w:ascii="Tahoma" w:hAnsi="Tahoma" w:cs="Tahoma"/>
          <w:sz w:val="20"/>
          <w:szCs w:val="20"/>
        </w:rPr>
      </w:pPr>
      <w:r>
        <w:rPr>
          <w:rFonts w:cs="Tahoma" w:ascii="Tahoma" w:hAnsi="Tahoma"/>
          <w:bCs/>
          <w:color w:val="000000"/>
          <w:kern w:val="2"/>
          <w:sz w:val="20"/>
          <w:szCs w:val="20"/>
          <w:lang w:bidi="hi-IN"/>
        </w:rPr>
        <w:t xml:space="preserve">Reciba un atento saludo. </w:t>
      </w:r>
      <w:r>
        <w:rPr>
          <w:rFonts w:cs="Tahoma" w:ascii="Tahoma" w:hAnsi="Tahoma"/>
          <w:sz w:val="20"/>
          <w:szCs w:val="20"/>
        </w:rPr>
        <w:t>En atención al Oficio CACC-39-2020, remitido en fecha del 06 de febrero de 2020, en el cual se indica:</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left="709" w:right="616" w:firstLine="567"/>
        <w:jc w:val="both"/>
        <w:rPr>
          <w:rFonts w:ascii="Tahoma" w:hAnsi="Tahoma" w:cs="Tahoma"/>
          <w:b/>
          <w:b/>
          <w:i/>
          <w:i/>
          <w:sz w:val="20"/>
          <w:szCs w:val="20"/>
          <w:u w:val="single"/>
        </w:rPr>
      </w:pPr>
      <w:r>
        <w:rPr>
          <w:rFonts w:cs="Tahoma" w:ascii="Tahoma" w:hAnsi="Tahoma"/>
          <w:sz w:val="20"/>
          <w:szCs w:val="20"/>
        </w:rPr>
        <w:t xml:space="preserve"> “</w:t>
      </w:r>
      <w:r>
        <w:rPr>
          <w:rFonts w:cs="Tahoma" w:ascii="Tahoma" w:hAnsi="Tahoma"/>
          <w:b/>
          <w:i/>
          <w:sz w:val="20"/>
          <w:szCs w:val="20"/>
          <w:u w:val="single"/>
        </w:rPr>
        <w:t>5°. Trasladar a la Escuela Judicial, Dirección de Gestión Humana y demás Unidades de Capacitación de la Defensa Pública, Ministerio Público y OIJ, la solicitud de “capacitación y asesoramiento” planteada por el señor Emigdio Cruz, presidente de la Asociación de Desarrollo Integral de la Reserva Indígena Guatuso (Territorio Malecu), para su atención. En lo referente a la solicitud de asesoramiento que plantea el Pueblo Malecu, trasladar la petición a la Dirección de la Defensa Pública. “</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firstLine="708"/>
        <w:jc w:val="both"/>
        <w:rPr>
          <w:rFonts w:ascii="Tahoma" w:hAnsi="Tahoma" w:cs="Tahoma"/>
          <w:sz w:val="20"/>
          <w:szCs w:val="20"/>
        </w:rPr>
      </w:pPr>
      <w:r>
        <w:rPr>
          <w:rFonts w:cs="Tahoma" w:ascii="Tahoma" w:hAnsi="Tahoma"/>
          <w:sz w:val="20"/>
          <w:szCs w:val="20"/>
        </w:rPr>
        <w:t>De manera respetuosa proceso a manifestar que en fecha 15 de noviembre de 2019 se realizó un taller sobre acceso a la justicia de pueblos indígenas en el Rancho Croku-y-u en el palenque Margarita con personas malekus. En el cual tuvieron participación 15 personas de los tres palenques: Margarita, Tonjibe y del Sol, así como funcionarios de la Defensa Pública de Guatuso, Upala y la Fortuna, con el fin de brindar abordaje en penal, penalización, agrario, contenciosos administrativo, pensiones, familia y constitucional. Resulta importante señalar que se inició a las 9:15 a.m. y se extendió hasta las 12:30 p.m., pues a pesar de llegar pocas personas hubo una gran participación. Los temas fueron: La ley de Aceeso a la Justicia de Pueblos Indígenas, la Ley de Relaciones Impropias, delitos relacionados con temas culturales, procesos agrarios en la zona de Guatuso; explicación de procesos contenciosos; pensiones y familia como novedad de la ley. Participaron  por parte de la Defensa Pública  la Supervisora Ligia Jiménez Zamora y  los licenciados Dennis Paniagua Navarro; Javier Gamboa Jiménez, Raquel Núñez Mejías, Craig Jiménez Porras  quienes evacuaron las consultas planteadas sobre estos temas. Además, se contó con la presencia de  la compañera Bernardita Quirós Barrantes de la Administración de San Carlos.</w:t>
      </w:r>
    </w:p>
    <w:p>
      <w:pPr>
        <w:pStyle w:val="Normal"/>
        <w:spacing w:lineRule="auto" w:line="360"/>
        <w:ind w:firstLine="708"/>
        <w:jc w:val="both"/>
        <w:rPr>
          <w:rFonts w:ascii="Tahoma" w:hAnsi="Tahoma" w:cs="Tahoma"/>
          <w:sz w:val="20"/>
          <w:szCs w:val="20"/>
        </w:rPr>
      </w:pPr>
      <w:r>
        <w:rPr>
          <w:rFonts w:cs="Tahoma" w:ascii="Tahoma" w:hAnsi="Tahoma"/>
          <w:sz w:val="20"/>
          <w:szCs w:val="20"/>
        </w:rPr>
        <w:br/>
        <w:tab/>
        <w:t>Por otra parte,  se ha programado un  nuevo taller intercultural, en el cual tendrán participación personas indígenas de los tres palenques, para el día 28 de marzo de 2020.  Nuevamente se contará con la participación de personas defensoras públicas en materia de pensiones, familia, agrario, contencioso administrativo, penal y laboral para que puedan informar a la población indígena de sus derechos en estos temas así como la forma de coordinar las gestiones y acciones necesarias para su respeto y vigencia.</w:t>
      </w:r>
    </w:p>
    <w:p>
      <w:pPr>
        <w:pStyle w:val="Normal"/>
        <w:spacing w:lineRule="auto" w:line="360"/>
        <w:ind w:firstLine="708"/>
        <w:jc w:val="both"/>
        <w:rPr>
          <w:rFonts w:ascii="Tahoma" w:hAnsi="Tahoma" w:cs="Tahoma"/>
          <w:sz w:val="20"/>
          <w:szCs w:val="20"/>
        </w:rPr>
      </w:pPr>
      <w:r>
        <w:rPr>
          <w:rFonts w:cs="Tahoma" w:ascii="Tahoma" w:hAnsi="Tahoma"/>
          <w:sz w:val="20"/>
          <w:szCs w:val="20"/>
        </w:rPr>
      </w:r>
    </w:p>
    <w:p>
      <w:pPr>
        <w:pStyle w:val="Normal"/>
        <w:spacing w:lineRule="auto" w:line="360"/>
        <w:ind w:firstLine="708"/>
        <w:jc w:val="both"/>
        <w:rPr>
          <w:rFonts w:ascii="Tahoma" w:hAnsi="Tahoma" w:cs="Tahoma"/>
          <w:sz w:val="20"/>
          <w:szCs w:val="20"/>
        </w:rPr>
      </w:pPr>
      <w:r>
        <w:rPr>
          <w:rFonts w:cs="Tahoma" w:ascii="Tahoma" w:hAnsi="Tahoma"/>
          <w:sz w:val="20"/>
          <w:szCs w:val="20"/>
        </w:rPr>
        <w:t>Dejo así informado sobre las acciones tomadas por parte de la Defensa Pública de conformidad con la petición planteada por los líderes indígenas y en cumplimiento de la garantía de acceso a la justicia para esta población.</w:t>
      </w:r>
    </w:p>
    <w:p>
      <w:pPr>
        <w:pStyle w:val="NormalWeb"/>
        <w:spacing w:before="280" w:after="280"/>
        <w:ind w:firstLine="708"/>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Web"/>
        <w:spacing w:lineRule="auto" w:line="360"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t xml:space="preserve">           </w:t>
      </w:r>
      <w:r>
        <w:rPr>
          <w:rFonts w:cs="Tahoma" w:ascii="Tahoma" w:hAnsi="Tahoma"/>
          <w:bCs/>
          <w:color w:val="000000"/>
          <w:kern w:val="2"/>
          <w:sz w:val="20"/>
          <w:szCs w:val="20"/>
          <w:lang w:eastAsia="en-US" w:bidi="hi-IN"/>
        </w:rPr>
        <w:t>Con muestras de mi mayor consideración y estima,</w:t>
      </w:r>
    </w:p>
    <w:p>
      <w:pPr>
        <w:pStyle w:val="NormalWeb"/>
        <w:spacing w:before="280" w:after="280"/>
        <w:jc w:val="both"/>
        <w:rPr>
          <w:rFonts w:ascii="Tahoma" w:hAnsi="Tahoma" w:cs="Tahoma"/>
          <w:b/>
          <w:b/>
          <w:bCs/>
          <w:i/>
          <w:i/>
          <w:color w:val="000000"/>
          <w:kern w:val="2"/>
          <w:sz w:val="20"/>
          <w:szCs w:val="20"/>
          <w:lang w:eastAsia="en-US" w:bidi="hi-IN"/>
        </w:rPr>
      </w:pPr>
      <w:r>
        <w:rPr>
          <w:rFonts w:cs="Tahoma" w:ascii="Tahoma" w:hAnsi="Tahoma"/>
          <w:b/>
          <w:bCs/>
          <w:i/>
          <w:color w:val="000000"/>
          <w:kern w:val="2"/>
          <w:sz w:val="20"/>
          <w:szCs w:val="20"/>
          <w:lang w:eastAsia="en-US" w:bidi="hi-IN"/>
        </w:rPr>
      </w:r>
    </w:p>
    <w:p>
      <w:pPr>
        <w:pStyle w:val="Normal"/>
        <w:rPr>
          <w:rFonts w:ascii="Tahoma" w:hAnsi="Tahoma" w:cs="Tahoma"/>
          <w:b/>
          <w:b/>
          <w:i/>
          <w:i/>
          <w:sz w:val="20"/>
          <w:szCs w:val="20"/>
          <w:lang w:val="es-ES"/>
        </w:rPr>
      </w:pPr>
      <w:r>
        <w:rPr>
          <w:rFonts w:cs="Tahoma" w:ascii="Tahoma" w:hAnsi="Tahoma"/>
          <w:sz w:val="20"/>
          <w:szCs w:val="20"/>
          <w:lang w:bidi="hi-IN"/>
        </w:rPr>
        <w:tab/>
      </w:r>
      <w:r>
        <w:rPr>
          <w:rFonts w:cs="Tahoma" w:ascii="Tahoma" w:hAnsi="Tahoma"/>
          <w:b/>
          <w:i/>
          <w:sz w:val="20"/>
          <w:szCs w:val="20"/>
          <w:lang w:val="es-ES"/>
        </w:rPr>
        <w:t xml:space="preserve">M. Sc. Diana Montero Montero                        </w:t>
      </w:r>
    </w:p>
    <w:p>
      <w:pPr>
        <w:pStyle w:val="Normal"/>
        <w:rPr>
          <w:rFonts w:ascii="Tahoma" w:hAnsi="Tahoma" w:cs="Tahoma"/>
          <w:b/>
          <w:b/>
          <w:i/>
          <w:i/>
          <w:sz w:val="20"/>
          <w:szCs w:val="20"/>
          <w:lang w:val="es-ES"/>
        </w:rPr>
      </w:pPr>
      <w:r>
        <w:rPr>
          <w:rFonts w:cs="Tahoma" w:ascii="Tahoma" w:hAnsi="Tahoma"/>
          <w:b/>
          <w:i/>
          <w:sz w:val="20"/>
          <w:szCs w:val="20"/>
          <w:lang w:val="es-ES"/>
        </w:rPr>
        <w:t xml:space="preserve">Jefa a.i                                                                   </w:t>
      </w:r>
    </w:p>
    <w:p>
      <w:pPr>
        <w:pStyle w:val="Normal"/>
        <w:rPr>
          <w:rFonts w:ascii="Tahoma" w:hAnsi="Tahoma" w:cs="Tahoma"/>
          <w:b/>
          <w:b/>
          <w:i/>
          <w:i/>
          <w:sz w:val="20"/>
          <w:szCs w:val="20"/>
          <w:lang w:val="es-ES"/>
        </w:rPr>
      </w:pPr>
      <w:r>
        <w:rPr>
          <w:rFonts w:cs="Tahoma" w:ascii="Tahoma" w:hAnsi="Tahoma"/>
          <w:b/>
          <w:i/>
          <w:sz w:val="20"/>
          <w:szCs w:val="20"/>
          <w:lang w:val="es-ES"/>
        </w:rPr>
        <w:t xml:space="preserve">Defensa Pública     </w:t>
      </w:r>
    </w:p>
    <w:p>
      <w:pPr>
        <w:pStyle w:val="Normal"/>
        <w:rPr>
          <w:rFonts w:ascii="Tahoma" w:hAnsi="Tahoma" w:cs="Tahoma"/>
          <w:b/>
          <w:b/>
          <w:sz w:val="20"/>
          <w:szCs w:val="20"/>
          <w:lang w:val="es-ES"/>
        </w:rPr>
      </w:pPr>
      <w:r>
        <w:rPr>
          <w:rFonts w:cs="Tahoma" w:ascii="Tahoma" w:hAnsi="Tahoma"/>
          <w:b/>
          <w:sz w:val="20"/>
          <w:szCs w:val="20"/>
          <w:lang w:val="es-ES"/>
        </w:rPr>
      </w:r>
    </w:p>
    <w:p>
      <w:pPr>
        <w:pStyle w:val="Normal"/>
        <w:rPr>
          <w:rFonts w:ascii="Tahoma" w:hAnsi="Tahoma" w:eastAsia="Calibri" w:cs="Tahoma"/>
          <w:bCs/>
          <w:color w:val="000000"/>
          <w:sz w:val="20"/>
          <w:szCs w:val="20"/>
        </w:rPr>
      </w:pPr>
      <w:r>
        <w:rPr>
          <w:rFonts w:cs="Tahoma" w:ascii="Tahoma" w:hAnsi="Tahoma"/>
          <w:b/>
          <w:sz w:val="20"/>
          <w:szCs w:val="20"/>
          <w:lang w:val="es-ES"/>
        </w:rPr>
        <w:t xml:space="preserve">SE ACUERDA: 1° </w:t>
      </w:r>
      <w:r>
        <w:rPr>
          <w:rFonts w:cs="Tahoma" w:ascii="Tahoma" w:hAnsi="Tahoma"/>
          <w:sz w:val="20"/>
          <w:szCs w:val="20"/>
        </w:rPr>
        <w:t xml:space="preserve">Se toma nota del Oficio </w:t>
      </w:r>
      <w:r>
        <w:rPr>
          <w:rFonts w:eastAsia="Calibri" w:cs="Tahoma" w:ascii="Tahoma" w:hAnsi="Tahoma"/>
          <w:b/>
          <w:bCs/>
          <w:color w:val="000000"/>
          <w:sz w:val="20"/>
          <w:szCs w:val="20"/>
        </w:rPr>
        <w:t xml:space="preserve">JEFDP-145-2020 de </w:t>
      </w:r>
      <w:r>
        <w:rPr>
          <w:rFonts w:eastAsia="Calibri" w:cs="Tahoma" w:ascii="Tahoma" w:hAnsi="Tahoma"/>
          <w:bCs/>
          <w:color w:val="000000"/>
          <w:sz w:val="20"/>
          <w:szCs w:val="20"/>
        </w:rPr>
        <w:t>20 de febrero del 2020 remitido por la Defensa Pública y se dispone comunicarlo al señor Emigdio Cruz en la condición citada, y al Despacho de la Presidencia, por medio de la Unidad de Acceso a la Justicia. 2° Solicitar remisión de los demás informes pendientes.</w:t>
      </w:r>
    </w:p>
    <w:p>
      <w:pPr>
        <w:pStyle w:val="NormalWeb"/>
        <w:spacing w:before="280" w:after="280"/>
        <w:jc w:val="both"/>
        <w:rPr>
          <w:rFonts w:ascii="Tahoma" w:hAnsi="Tahoma" w:cs="Tahoma"/>
          <w:bCs/>
          <w:color w:val="000000"/>
          <w:kern w:val="2"/>
          <w:sz w:val="20"/>
          <w:szCs w:val="20"/>
          <w:lang w:eastAsia="en-US" w:bidi="hi-IN"/>
        </w:rPr>
      </w:pPr>
      <w:r>
        <w:rPr>
          <w:rFonts w:cs="Tahoma" w:ascii="Tahoma" w:hAnsi="Tahoma"/>
          <w:bCs/>
          <w:color w:val="000000"/>
          <w:kern w:val="2"/>
          <w:sz w:val="20"/>
          <w:szCs w:val="20"/>
          <w:lang w:eastAsia="en-US" w:bidi="hi-IN"/>
        </w:rPr>
      </w:r>
    </w:p>
    <w:p>
      <w:pPr>
        <w:pStyle w:val="Normal"/>
        <w:spacing w:lineRule="auto" w:line="360"/>
        <w:jc w:val="center"/>
        <w:rPr>
          <w:rFonts w:ascii="Tahoma" w:hAnsi="Tahoma" w:cs="Tahoma"/>
          <w:b/>
          <w:b/>
          <w:sz w:val="20"/>
          <w:szCs w:val="20"/>
          <w:u w:val="single"/>
        </w:rPr>
      </w:pPr>
      <w:r>
        <w:rPr>
          <w:rFonts w:cs="Tahoma" w:ascii="Tahoma" w:hAnsi="Tahoma"/>
          <w:b/>
          <w:sz w:val="20"/>
          <w:szCs w:val="20"/>
          <w:u w:val="single"/>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IX</w:t>
      </w:r>
    </w:p>
    <w:p>
      <w:pPr>
        <w:pStyle w:val="Normal"/>
        <w:spacing w:lineRule="auto" w:line="360"/>
        <w:jc w:val="both"/>
        <w:rPr>
          <w:rFonts w:ascii="Tahoma" w:hAnsi="Tahoma" w:cs="Tahoma"/>
          <w:b/>
          <w:b/>
          <w:sz w:val="20"/>
          <w:szCs w:val="20"/>
        </w:rPr>
      </w:pPr>
      <w:r>
        <w:rPr>
          <w:rFonts w:cs="Tahoma" w:ascii="Tahoma" w:hAnsi="Tahoma"/>
          <w:b/>
          <w:sz w:val="20"/>
          <w:szCs w:val="20"/>
        </w:rPr>
        <w:t xml:space="preserve">TEMA: CASO QUEJA DE ATRASO EN EL PAGO A INTÉRPRETE INDIGENA FLORENCIA SOSIMO GARCÍA </w:t>
      </w:r>
    </w:p>
    <w:p>
      <w:pPr>
        <w:pStyle w:val="Normal"/>
        <w:jc w:val="both"/>
        <w:rPr>
          <w:rFonts w:ascii="Tahoma" w:hAnsi="Tahoma" w:cs="Tahoma"/>
          <w:sz w:val="20"/>
          <w:szCs w:val="20"/>
          <w:lang w:val="es-ES"/>
        </w:rPr>
      </w:pPr>
      <w:r>
        <w:rPr>
          <w:rFonts w:cs="Tahoma" w:ascii="Tahoma" w:hAnsi="Tahoma"/>
          <w:sz w:val="20"/>
          <w:szCs w:val="20"/>
          <w:lang w:val="es-ES"/>
        </w:rPr>
        <w:t>La Unidad de Acceso a la Justicia comunicó mediante el</w:t>
      </w:r>
      <w:r>
        <w:rPr>
          <w:rFonts w:cs="Tahoma" w:ascii="Tahoma" w:hAnsi="Tahoma"/>
          <w:b/>
          <w:sz w:val="20"/>
          <w:szCs w:val="20"/>
          <w:lang w:val="es-ES"/>
        </w:rPr>
        <w:t xml:space="preserve"> Oficio CACC-387-2019, remitido el 09 de diciembre de 2019</w:t>
      </w:r>
      <w:r>
        <w:rPr>
          <w:rFonts w:cs="Tahoma" w:ascii="Tahoma" w:hAnsi="Tahoma"/>
          <w:sz w:val="20"/>
          <w:szCs w:val="20"/>
          <w:lang w:val="es-ES"/>
        </w:rPr>
        <w:t xml:space="preserve"> a la Contraloría de Servicios y Dirección Ejecutiva el acuerdo estipulado en el Artículo II del Acta 09-19 el cual se transcribe literalmente: </w:t>
      </w:r>
    </w:p>
    <w:p>
      <w:pPr>
        <w:pStyle w:val="Normal"/>
        <w:jc w:val="both"/>
        <w:rPr>
          <w:rFonts w:ascii="Tahoma" w:hAnsi="Tahoma" w:cs="Tahoma"/>
          <w:b/>
          <w:b/>
          <w:bCs/>
          <w:sz w:val="20"/>
          <w:szCs w:val="20"/>
          <w:u w:val="single"/>
        </w:rPr>
      </w:pPr>
      <w:r>
        <w:rPr>
          <w:rFonts w:cs="Tahoma" w:ascii="Tahoma" w:hAnsi="Tahoma"/>
          <w:b/>
          <w:bCs/>
          <w:sz w:val="20"/>
          <w:szCs w:val="20"/>
          <w:u w:val="single"/>
        </w:rPr>
        <w:t xml:space="preserve">2°. Solicitar a la Contraloría de Servicios informe de los avances. </w:t>
      </w:r>
    </w:p>
    <w:p>
      <w:pPr>
        <w:pStyle w:val="Normal"/>
        <w:jc w:val="both"/>
        <w:rPr>
          <w:rFonts w:ascii="Tahoma" w:hAnsi="Tahoma" w:cs="Tahoma"/>
          <w:b/>
          <w:b/>
          <w:bCs/>
          <w:sz w:val="20"/>
          <w:szCs w:val="20"/>
          <w:u w:val="single"/>
        </w:rPr>
      </w:pPr>
      <w:r>
        <w:rPr>
          <w:rFonts w:cs="Tahoma" w:ascii="Tahoma" w:hAnsi="Tahoma"/>
          <w:b/>
          <w:bCs/>
          <w:sz w:val="20"/>
          <w:szCs w:val="20"/>
          <w:u w:val="single"/>
        </w:rPr>
        <w:t xml:space="preserve">3°. Comunicar a la Dirección Ejecutiva con el objetivo de analicen lo expuesto por la persona usuaria para valorar oportunidades de mejora en el servicio en coordinación con la Contraloría de Servicios y la Subcomisión de Acceso a la Justicia de Pueblos indígenas. </w:t>
      </w:r>
    </w:p>
    <w:p>
      <w:pPr>
        <w:pStyle w:val="Normal"/>
        <w:jc w:val="both"/>
        <w:rPr>
          <w:rFonts w:ascii="Tahoma" w:hAnsi="Tahoma" w:cs="Tahoma"/>
          <w:b/>
          <w:b/>
          <w:bCs/>
          <w:sz w:val="20"/>
          <w:szCs w:val="20"/>
          <w:u w:val="single"/>
        </w:rPr>
      </w:pPr>
      <w:r>
        <w:rPr>
          <w:rFonts w:cs="Tahoma" w:ascii="Tahoma" w:hAnsi="Tahoma"/>
          <w:b/>
          <w:bCs/>
          <w:sz w:val="20"/>
          <w:szCs w:val="20"/>
          <w:u w:val="single"/>
        </w:rPr>
      </w:r>
    </w:p>
    <w:p>
      <w:pPr>
        <w:pStyle w:val="Normal"/>
        <w:jc w:val="both"/>
        <w:rPr>
          <w:rFonts w:ascii="Tahoma" w:hAnsi="Tahoma" w:cs="Tahoma"/>
          <w:sz w:val="20"/>
          <w:szCs w:val="20"/>
        </w:rPr>
      </w:pPr>
      <w:r>
        <w:rPr>
          <w:rFonts w:cs="Tahoma" w:ascii="Tahoma" w:hAnsi="Tahoma"/>
          <w:sz w:val="20"/>
          <w:szCs w:val="20"/>
        </w:rPr>
        <w:t xml:space="preserve">La Contraloría de Servicios comunico mediante </w:t>
      </w:r>
      <w:r>
        <w:rPr>
          <w:rFonts w:cs="Tahoma" w:ascii="Tahoma" w:hAnsi="Tahoma"/>
          <w:b/>
          <w:sz w:val="20"/>
          <w:szCs w:val="20"/>
        </w:rPr>
        <w:t>el Oficio CSJ-163-2020</w:t>
      </w:r>
      <w:r>
        <w:rPr>
          <w:rFonts w:cs="Tahoma" w:ascii="Tahoma" w:hAnsi="Tahoma"/>
          <w:sz w:val="20"/>
          <w:szCs w:val="20"/>
        </w:rPr>
        <w:t>, lo siguiente:</w:t>
      </w:r>
    </w:p>
    <w:p>
      <w:pPr>
        <w:pStyle w:val="Normal"/>
        <w:jc w:val="both"/>
        <w:rPr>
          <w:rFonts w:ascii="Tahoma" w:hAnsi="Tahoma" w:cs="Tahoma"/>
          <w:b/>
          <w:b/>
          <w:bCs/>
          <w:sz w:val="20"/>
          <w:szCs w:val="20"/>
          <w:u w:val="single"/>
        </w:rPr>
      </w:pPr>
      <w:r>
        <w:rPr>
          <w:rFonts w:cs="Tahoma" w:ascii="Tahoma" w:hAnsi="Tahoma"/>
          <w:b/>
          <w:bCs/>
          <w:sz w:val="20"/>
          <w:szCs w:val="20"/>
          <w:u w:val="single"/>
        </w:rPr>
      </w:r>
    </w:p>
    <w:p>
      <w:pPr>
        <w:pStyle w:val="Normal"/>
        <w:jc w:val="right"/>
        <w:rPr>
          <w:rFonts w:ascii="Tahoma" w:hAnsi="Tahoma" w:cs="Tahoma"/>
          <w:b/>
          <w:b/>
          <w:bCs/>
          <w:sz w:val="20"/>
          <w:szCs w:val="20"/>
          <w:lang w:eastAsia="es-CR"/>
        </w:rPr>
      </w:pPr>
      <w:r>
        <w:rPr>
          <w:rFonts w:cs="Tahoma" w:ascii="Tahoma" w:hAnsi="Tahoma"/>
          <w:b/>
          <w:bCs/>
          <w:sz w:val="20"/>
          <w:szCs w:val="20"/>
          <w:lang w:eastAsia="es-CR"/>
        </w:rPr>
        <w:t>31 de enero de 2020</w:t>
      </w:r>
    </w:p>
    <w:p>
      <w:pPr>
        <w:pStyle w:val="Normal"/>
        <w:jc w:val="right"/>
        <w:rPr>
          <w:rFonts w:ascii="Tahoma" w:hAnsi="Tahoma" w:cs="Tahoma"/>
          <w:b/>
          <w:b/>
          <w:bCs/>
          <w:sz w:val="20"/>
          <w:szCs w:val="20"/>
          <w:lang w:eastAsia="es-CR"/>
        </w:rPr>
      </w:pPr>
      <w:r>
        <w:rPr>
          <w:rFonts w:cs="Tahoma" w:ascii="Tahoma" w:hAnsi="Tahoma"/>
          <w:b/>
          <w:bCs/>
          <w:sz w:val="20"/>
          <w:szCs w:val="20"/>
          <w:lang w:eastAsia="es-CR"/>
        </w:rPr>
        <w:t>CSJ-163-2020</w:t>
      </w:r>
    </w:p>
    <w:p>
      <w:pPr>
        <w:pStyle w:val="Normal"/>
        <w:jc w:val="both"/>
        <w:rPr>
          <w:rFonts w:ascii="Tahoma" w:hAnsi="Tahoma" w:cs="Tahoma"/>
          <w:b/>
          <w:b/>
          <w:bCs/>
          <w:sz w:val="20"/>
          <w:szCs w:val="20"/>
        </w:rPr>
      </w:pPr>
      <w:r>
        <w:rPr>
          <w:rFonts w:cs="Tahoma" w:ascii="Tahoma" w:hAnsi="Tahoma"/>
          <w:b/>
          <w:bCs/>
          <w:sz w:val="20"/>
          <w:szCs w:val="20"/>
        </w:rPr>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 xml:space="preserve">Máster </w:t>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Melissa Benavides Víquez, Coordinadora</w:t>
      </w:r>
    </w:p>
    <w:p>
      <w:pPr>
        <w:pStyle w:val="Normal"/>
        <w:tabs>
          <w:tab w:val="clear" w:pos="708"/>
          <w:tab w:val="left" w:pos="720" w:leader="none"/>
        </w:tabs>
        <w:spacing w:before="0" w:after="200"/>
        <w:contextualSpacing/>
        <w:jc w:val="both"/>
        <w:rPr>
          <w:rFonts w:ascii="Tahoma" w:hAnsi="Tahoma" w:cs="Tahoma"/>
          <w:b/>
          <w:b/>
          <w:sz w:val="20"/>
          <w:szCs w:val="20"/>
        </w:rPr>
      </w:pPr>
      <w:r>
        <w:rPr>
          <w:rFonts w:cs="Tahoma" w:ascii="Tahoma" w:hAnsi="Tahoma"/>
          <w:b/>
          <w:sz w:val="20"/>
          <w:szCs w:val="20"/>
        </w:rPr>
        <w:t>Unidad de Acceso a la Justicia</w:t>
      </w:r>
    </w:p>
    <w:p>
      <w:pPr>
        <w:pStyle w:val="Normal"/>
        <w:ind w:left="3686" w:hanging="0"/>
        <w:jc w:val="both"/>
        <w:rPr>
          <w:rFonts w:ascii="Tahoma" w:hAnsi="Tahoma" w:cs="Tahoma"/>
          <w:b/>
          <w:b/>
          <w:sz w:val="20"/>
          <w:szCs w:val="20"/>
          <w:lang w:val="es-MX"/>
        </w:rPr>
      </w:pPr>
      <w:r>
        <w:rPr>
          <w:rFonts w:cs="Tahoma" w:ascii="Tahoma" w:hAnsi="Tahoma"/>
          <w:b/>
          <w:sz w:val="20"/>
          <w:szCs w:val="20"/>
          <w:lang w:val="es-MX"/>
        </w:rPr>
        <w:t xml:space="preserve">         </w:t>
      </w:r>
    </w:p>
    <w:p>
      <w:pPr>
        <w:pStyle w:val="Normal"/>
        <w:spacing w:before="0" w:after="200"/>
        <w:contextualSpacing/>
        <w:jc w:val="right"/>
        <w:rPr>
          <w:rFonts w:ascii="Tahoma" w:hAnsi="Tahoma" w:cs="Tahoma"/>
          <w:b/>
          <w:b/>
          <w:sz w:val="20"/>
          <w:szCs w:val="20"/>
        </w:rPr>
      </w:pPr>
      <w:r>
        <w:rPr>
          <w:rFonts w:cs="Tahoma" w:ascii="Tahoma" w:hAnsi="Tahoma"/>
          <w:b/>
          <w:sz w:val="20"/>
          <w:szCs w:val="20"/>
        </w:rPr>
      </w:r>
    </w:p>
    <w:p>
      <w:pPr>
        <w:pStyle w:val="Normal"/>
        <w:spacing w:before="0" w:after="200"/>
        <w:contextualSpacing/>
        <w:jc w:val="right"/>
        <w:rPr>
          <w:rFonts w:ascii="Tahoma" w:hAnsi="Tahoma" w:cs="Tahoma"/>
          <w:sz w:val="20"/>
          <w:szCs w:val="20"/>
        </w:rPr>
      </w:pPr>
      <w:r>
        <w:rPr>
          <w:rFonts w:cs="Tahoma" w:ascii="Tahoma" w:hAnsi="Tahoma"/>
          <w:b/>
          <w:sz w:val="20"/>
          <w:szCs w:val="20"/>
        </w:rPr>
        <w:t>Asunto:</w:t>
      </w:r>
      <w:r>
        <w:rPr>
          <w:rFonts w:cs="Tahoma" w:ascii="Tahoma" w:hAnsi="Tahoma"/>
          <w:sz w:val="20"/>
          <w:szCs w:val="20"/>
        </w:rPr>
        <w:t xml:space="preserve"> Atención de oficio CACC-387-2019</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Estimada señora: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Doy respuesta al oficio CACC-387-2019 atinente a los acuerdos tomados por la </w:t>
      </w:r>
      <w:r>
        <w:rPr>
          <w:rStyle w:val="Strong"/>
          <w:rFonts w:eastAsia="Batang" w:cs="Tahoma" w:ascii="Tahoma" w:hAnsi="Tahoma"/>
          <w:sz w:val="20"/>
          <w:szCs w:val="20"/>
        </w:rPr>
        <w:t xml:space="preserve">Subcomisión de Acceso a la Justicia de Pueblos Indígenas en relación con un supuesto atraso en el pago a la señorita </w:t>
      </w:r>
      <w:r>
        <w:rPr>
          <w:rFonts w:cs="Tahoma" w:ascii="Tahoma" w:hAnsi="Tahoma"/>
          <w:sz w:val="20"/>
          <w:szCs w:val="20"/>
        </w:rPr>
        <w:t xml:space="preserve">Florencia Sosimo García, quien fue nombrada por la Fiscalía de Desamparados, el 6 de junio de 2019, para realizar una interpretación simultánea en el idioma Cabecar, en la sumaria N°17-000586-0276- PE.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Al respecto, deseamos informar que por parte de esta Contraloría se realizaron las consultas tanto a la Fiscalía de Desamparados, como a la Unidad Administrativa del Ministerio Público (encargados de la aprobación de gastos) lo cual nos permitió evidenciar que, pese a que la traducción se llevó a cabo en la fecha de cita, el pago fue realizado hasta el 20 de diciembre de 2019, esto precisamente como consecuencia del trámite de la inconformidad presentada ante esa Subcomisión. </w:t>
      </w:r>
    </w:p>
    <w:p>
      <w:pPr>
        <w:pStyle w:val="Normal"/>
        <w:jc w:val="both"/>
        <w:rPr>
          <w:rFonts w:ascii="Tahoma" w:hAnsi="Tahoma" w:cs="Tahoma"/>
          <w:sz w:val="20"/>
          <w:szCs w:val="20"/>
        </w:rPr>
      </w:pPr>
      <w:r>
        <w:rPr>
          <w:rFonts w:cs="Tahoma" w:ascii="Tahoma" w:hAnsi="Tahoma"/>
          <w:sz w:val="20"/>
          <w:szCs w:val="20"/>
        </w:rPr>
      </w:r>
    </w:p>
    <w:p>
      <w:pPr>
        <w:pStyle w:val="Xmsonormal"/>
        <w:shd w:val="clear" w:color="auto" w:fill="FFFFFF"/>
        <w:jc w:val="both"/>
        <w:textAlignment w:val="baseline"/>
        <w:rPr>
          <w:rFonts w:ascii="Tahoma" w:hAnsi="Tahoma" w:cs="Tahoma"/>
          <w:sz w:val="20"/>
          <w:szCs w:val="20"/>
        </w:rPr>
      </w:pPr>
      <w:r>
        <w:rPr>
          <w:rFonts w:cs="Tahoma" w:ascii="Tahoma" w:hAnsi="Tahoma"/>
          <w:sz w:val="20"/>
          <w:szCs w:val="20"/>
        </w:rPr>
        <w:t xml:space="preserve">Como justificación, ambas las dependencias involucradas alegaron que hubo diferencias entre el cobro presentado y los rubros que se podrían aprobar, así como la coordinación para que la interesada hiciera las respectivas correcciones, además de que no contaba con factura electrónica. </w:t>
      </w:r>
    </w:p>
    <w:p>
      <w:pPr>
        <w:pStyle w:val="Xmsonormal"/>
        <w:shd w:val="clear" w:color="auto" w:fill="FFFFFF"/>
        <w:jc w:val="both"/>
        <w:textAlignment w:val="baseline"/>
        <w:rPr>
          <w:rFonts w:ascii="Tahoma" w:hAnsi="Tahoma" w:cs="Tahoma"/>
          <w:sz w:val="20"/>
          <w:szCs w:val="20"/>
        </w:rPr>
      </w:pPr>
      <w:r>
        <w:rPr>
          <w:rFonts w:cs="Tahoma" w:ascii="Tahoma" w:hAnsi="Tahoma"/>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sz w:val="20"/>
          <w:szCs w:val="20"/>
        </w:rPr>
        <w:t xml:space="preserve">Uno de los aspectos relevantes y que generó molestia en la </w:t>
      </w:r>
      <w:r>
        <w:rPr>
          <w:rStyle w:val="Strong"/>
          <w:rFonts w:eastAsia="Batang" w:cs="Tahoma" w:ascii="Tahoma" w:hAnsi="Tahoma"/>
          <w:sz w:val="20"/>
          <w:szCs w:val="20"/>
        </w:rPr>
        <w:t xml:space="preserve">señorita </w:t>
      </w:r>
      <w:r>
        <w:rPr>
          <w:rFonts w:cs="Tahoma" w:ascii="Tahoma" w:hAnsi="Tahoma"/>
          <w:sz w:val="20"/>
          <w:szCs w:val="20"/>
        </w:rPr>
        <w:t>Sosimo García, es que ella realizó un cobro de transporte privado por 12 mil colones debido a que el personal de la Fiscalía le indicó que la requerían con urgencia y no tomó autobús para llegar oportunamente, sin embargo, el gasto le fue aprobado únicamente por el costo del pasaje del servicio público que cubría la ruta (1550 colones). “</w:t>
      </w:r>
      <w:r>
        <w:rPr>
          <w:rFonts w:cs="Tahoma" w:ascii="Tahoma" w:hAnsi="Tahoma"/>
          <w:i/>
          <w:color w:val="201F1E"/>
          <w:sz w:val="20"/>
          <w:szCs w:val="20"/>
        </w:rPr>
        <w:t>Me queda una gran lección</w:t>
      </w:r>
      <w:r>
        <w:rPr>
          <w:rFonts w:cs="Tahoma" w:ascii="Tahoma" w:hAnsi="Tahoma"/>
          <w:color w:val="201F1E"/>
          <w:sz w:val="20"/>
          <w:szCs w:val="20"/>
        </w:rPr>
        <w:t xml:space="preserve">” refirió. </w:t>
      </w:r>
    </w:p>
    <w:p>
      <w:pPr>
        <w:pStyle w:val="Xmsonormal"/>
        <w:shd w:val="clear" w:color="auto" w:fill="FFFFFF"/>
        <w:jc w:val="both"/>
        <w:textAlignment w:val="baseline"/>
        <w:rPr>
          <w:rFonts w:ascii="Tahoma" w:hAnsi="Tahoma" w:cs="Tahoma"/>
          <w:color w:val="201F1E"/>
          <w:sz w:val="20"/>
          <w:szCs w:val="20"/>
        </w:rPr>
      </w:pPr>
      <w:r>
        <w:rPr>
          <w:rFonts w:cs="Tahoma" w:ascii="Tahoma" w:hAnsi="Tahoma"/>
          <w:color w:val="201F1E"/>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color w:val="201F1E"/>
          <w:sz w:val="20"/>
          <w:szCs w:val="20"/>
        </w:rPr>
      </w:r>
    </w:p>
    <w:p>
      <w:pPr>
        <w:pStyle w:val="Xmsonormal"/>
        <w:shd w:val="clear" w:color="auto" w:fill="FFFFFF"/>
        <w:jc w:val="both"/>
        <w:textAlignment w:val="baseline"/>
        <w:rPr>
          <w:rFonts w:ascii="Tahoma" w:hAnsi="Tahoma" w:cs="Tahoma"/>
          <w:color w:val="201F1E"/>
          <w:sz w:val="20"/>
          <w:szCs w:val="20"/>
        </w:rPr>
      </w:pPr>
      <w:r>
        <w:rPr>
          <w:rFonts w:cs="Tahoma" w:ascii="Tahoma" w:hAnsi="Tahoma"/>
          <w:sz w:val="20"/>
          <w:szCs w:val="20"/>
        </w:rPr>
        <w:t xml:space="preserve">Resulta importante tomar en consideración que la señorita Sosimo García fue nombrada por inopia, lo que justifica su desconocimiento sobre la manera correcta de presentar la documentación necesaria para pago oportuno, teniendo que enfrentarse a un trámite que, en su caso, no fue sencillo.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Siendo que evidenciamos una debilidad en el trámite y carencia de información hacia quienes brindan el servicio de traducción por inopia, esta Contraloría recomienda hacer una valoración del procedimiento que actualmente se utiliza en estos casos, y si merece ser adecuado a las expectativas de las personas que ofrecieron su colaboración, delegando mayor responsabilidad a las dependencias involucradas. Por ejemplo, que sea la dependencia que requiere el servicio quien se encargue de, una vez finalizada la diligencia, realizar  inmediatamente el trámite que asegure la retribución oportuna del servicio requerido, evitando que esto se postergue en plazos que resulten excesivos.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Vale la pena cuestionarse cuál puede ser la percepción de una persona que atendió un llamado inesperado para colaborar con la justicia, que no recuperó la inversión realizada y que además su labor haya sido retribuida más me seis meses después.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bCs/>
          <w:sz w:val="20"/>
          <w:szCs w:val="20"/>
        </w:rPr>
      </w:pPr>
      <w:r>
        <w:rPr>
          <w:rFonts w:cs="Tahoma" w:ascii="Tahoma" w:hAnsi="Tahoma"/>
          <w:sz w:val="20"/>
          <w:szCs w:val="20"/>
        </w:rPr>
        <w:t xml:space="preserve">Siendo que se acordó comunicar a la </w:t>
      </w:r>
      <w:r>
        <w:rPr>
          <w:rFonts w:cs="Tahoma" w:ascii="Tahoma" w:hAnsi="Tahoma"/>
          <w:bCs/>
          <w:sz w:val="20"/>
          <w:szCs w:val="20"/>
        </w:rPr>
        <w:t xml:space="preserve">Dirección Ejecutiva lo expuesto por la persona usuaria a fin de valorar oportunidades de mejora en el servicio, en coordinación con la Contraloría de Servicios y la Subcomisión de Acceso a la Justicia de Pueblos indígenas, nos ponemos a su disposición para lo que estimen necesario.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sz w:val="20"/>
          <w:szCs w:val="20"/>
        </w:rPr>
      </w:pPr>
      <w:r>
        <w:rPr>
          <w:rFonts w:cs="Tahoma" w:ascii="Tahoma" w:hAnsi="Tahoma"/>
          <w:sz w:val="20"/>
          <w:szCs w:val="20"/>
        </w:rPr>
        <w:t xml:space="preserve">Atentamente, </w:t>
      </w:r>
    </w:p>
    <w:p>
      <w:pPr>
        <w:pStyle w:val="Normal"/>
        <w:jc w:val="both"/>
        <w:rPr>
          <w:rFonts w:ascii="Tahoma" w:hAnsi="Tahoma" w:cs="Tahoma"/>
          <w:sz w:val="20"/>
          <w:szCs w:val="20"/>
        </w:rPr>
      </w:pPr>
      <w:r>
        <w:rPr>
          <w:rFonts w:cs="Tahoma" w:ascii="Tahoma" w:hAnsi="Tahoma"/>
          <w:sz w:val="20"/>
          <w:szCs w:val="20"/>
        </w:rPr>
      </w:r>
    </w:p>
    <w:p>
      <w:pPr>
        <w:pStyle w:val="Normal"/>
        <w:jc w:val="both"/>
        <w:rPr>
          <w:rFonts w:ascii="Tahoma" w:hAnsi="Tahoma" w:cs="Tahoma"/>
          <w:b/>
          <w:b/>
          <w:sz w:val="20"/>
          <w:szCs w:val="20"/>
        </w:rPr>
      </w:pPr>
      <w:r>
        <w:rPr>
          <w:rFonts w:cs="Tahoma" w:ascii="Tahoma" w:hAnsi="Tahoma"/>
          <w:b/>
          <w:sz w:val="20"/>
          <w:szCs w:val="20"/>
        </w:rPr>
        <w:t>Erick Alfaro Romero</w:t>
      </w:r>
    </w:p>
    <w:p>
      <w:pPr>
        <w:pStyle w:val="Normal"/>
        <w:jc w:val="both"/>
        <w:rPr>
          <w:rFonts w:ascii="Tahoma" w:hAnsi="Tahoma" w:cs="Tahoma"/>
          <w:b/>
          <w:b/>
          <w:sz w:val="20"/>
          <w:szCs w:val="20"/>
        </w:rPr>
      </w:pPr>
      <w:r>
        <w:rPr>
          <w:rFonts w:cs="Tahoma" w:ascii="Tahoma" w:hAnsi="Tahoma"/>
          <w:b/>
          <w:sz w:val="20"/>
          <w:szCs w:val="20"/>
        </w:rPr>
        <w:t>Contralor de Servicios a.i</w:t>
      </w:r>
    </w:p>
    <w:p>
      <w:pPr>
        <w:pStyle w:val="Normal"/>
        <w:rPr>
          <w:rFonts w:ascii="Tahoma" w:hAnsi="Tahoma" w:cs="Tahoma"/>
          <w:b/>
          <w:b/>
          <w:sz w:val="20"/>
          <w:szCs w:val="20"/>
        </w:rPr>
      </w:pPr>
      <w:r>
        <w:rPr>
          <w:rFonts w:cs="Tahoma" w:ascii="Tahoma" w:hAnsi="Tahoma"/>
          <w:b/>
          <w:sz w:val="20"/>
          <w:szCs w:val="20"/>
        </w:rPr>
      </w:r>
    </w:p>
    <w:p>
      <w:pPr>
        <w:pStyle w:val="Cuerpodetexto"/>
        <w:ind w:right="115" w:hanging="0"/>
        <w:rPr>
          <w:rFonts w:ascii="Tahoma" w:hAnsi="Tahoma" w:cs="Tahoma"/>
          <w:sz w:val="20"/>
          <w:szCs w:val="20"/>
        </w:rPr>
      </w:pPr>
      <w:r>
        <w:rPr>
          <w:rFonts w:cs="Tahoma" w:ascii="Tahoma" w:hAnsi="Tahoma"/>
          <w:sz w:val="20"/>
          <w:szCs w:val="20"/>
        </w:rPr>
        <w:t xml:space="preserve">La Dirección Ejecutiva comunico mediante </w:t>
      </w:r>
      <w:r>
        <w:rPr>
          <w:rFonts w:cs="Tahoma" w:ascii="Tahoma" w:hAnsi="Tahoma"/>
          <w:b/>
          <w:sz w:val="20"/>
          <w:szCs w:val="20"/>
        </w:rPr>
        <w:t xml:space="preserve">el Oficio </w:t>
      </w:r>
      <w:r>
        <w:rPr>
          <w:rFonts w:cs="Tahoma" w:ascii="Tahoma" w:hAnsi="Tahoma"/>
          <w:b/>
          <w:spacing w:val="-1"/>
          <w:sz w:val="20"/>
          <w:szCs w:val="20"/>
        </w:rPr>
        <w:t>N°539-DE-2020</w:t>
      </w:r>
      <w:r>
        <w:rPr>
          <w:rFonts w:cs="Tahoma" w:ascii="Tahoma" w:hAnsi="Tahoma"/>
          <w:spacing w:val="-1"/>
          <w:sz w:val="20"/>
          <w:szCs w:val="20"/>
        </w:rPr>
        <w:t xml:space="preserve">, </w:t>
      </w:r>
      <w:r>
        <w:rPr>
          <w:rFonts w:cs="Tahoma" w:ascii="Tahoma" w:hAnsi="Tahoma"/>
          <w:sz w:val="20"/>
          <w:szCs w:val="20"/>
        </w:rPr>
        <w:t xml:space="preserve"> lo siguiente:</w:t>
      </w:r>
    </w:p>
    <w:p>
      <w:pPr>
        <w:pStyle w:val="Normal"/>
        <w:rPr>
          <w:rFonts w:ascii="Tahoma" w:hAnsi="Tahoma" w:cs="Tahoma"/>
          <w:b/>
          <w:b/>
          <w:sz w:val="20"/>
          <w:szCs w:val="20"/>
        </w:rPr>
      </w:pPr>
      <w:r>
        <w:rPr>
          <w:rFonts w:cs="Tahoma" w:ascii="Tahoma" w:hAnsi="Tahoma"/>
          <w:b/>
          <w:sz w:val="20"/>
          <w:szCs w:val="20"/>
        </w:rPr>
      </w:r>
    </w:p>
    <w:p>
      <w:pPr>
        <w:pStyle w:val="Normal"/>
        <w:rPr>
          <w:rFonts w:ascii="Tahoma" w:hAnsi="Tahoma" w:cs="Tahoma"/>
          <w:b/>
          <w:b/>
          <w:sz w:val="20"/>
          <w:szCs w:val="20"/>
        </w:rPr>
      </w:pPr>
      <w:r>
        <w:rPr>
          <w:rFonts w:cs="Tahoma" w:ascii="Tahoma" w:hAnsi="Tahoma"/>
          <w:b/>
          <w:sz w:val="20"/>
          <w:szCs w:val="20"/>
        </w:rPr>
      </w:r>
    </w:p>
    <w:p>
      <w:pPr>
        <w:pStyle w:val="Cuerpodetexto"/>
        <w:ind w:right="115" w:hanging="0"/>
        <w:jc w:val="right"/>
        <w:rPr>
          <w:rFonts w:ascii="Tahoma" w:hAnsi="Tahoma" w:cs="Tahoma"/>
          <w:sz w:val="20"/>
          <w:szCs w:val="20"/>
        </w:rPr>
      </w:pPr>
      <w:r>
        <w:rPr>
          <w:rFonts w:cs="Tahoma" w:ascii="Tahoma" w:hAnsi="Tahoma"/>
          <w:spacing w:val="-1"/>
          <w:sz w:val="20"/>
          <w:szCs w:val="20"/>
        </w:rPr>
        <w:t>N°539-DE-2020</w:t>
      </w:r>
    </w:p>
    <w:p>
      <w:pPr>
        <w:pStyle w:val="Cuerpodetexto"/>
        <w:ind w:right="117" w:hanging="0"/>
        <w:jc w:val="right"/>
        <w:rPr>
          <w:rFonts w:ascii="Tahoma" w:hAnsi="Tahoma" w:cs="Tahoma"/>
          <w:sz w:val="20"/>
          <w:szCs w:val="20"/>
        </w:rPr>
      </w:pPr>
      <w:r>
        <w:rPr>
          <w:rFonts w:cs="Tahoma" w:ascii="Tahoma" w:hAnsi="Tahoma"/>
          <w:sz w:val="20"/>
          <w:szCs w:val="20"/>
        </w:rPr>
        <w:t>10 de febrero de</w:t>
      </w:r>
      <w:r>
        <w:rPr>
          <w:rFonts w:cs="Tahoma" w:ascii="Tahoma" w:hAnsi="Tahoma"/>
          <w:spacing w:val="-10"/>
          <w:sz w:val="20"/>
          <w:szCs w:val="20"/>
        </w:rPr>
        <w:t xml:space="preserve"> </w:t>
      </w:r>
      <w:r>
        <w:rPr>
          <w:rFonts w:cs="Tahoma" w:ascii="Tahoma" w:hAnsi="Tahoma"/>
          <w:sz w:val="20"/>
          <w:szCs w:val="20"/>
        </w:rPr>
        <w:t>2020</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Cuerpodetexto"/>
        <w:spacing w:before="11" w:after="0"/>
        <w:rPr>
          <w:rFonts w:ascii="Tahoma" w:hAnsi="Tahoma" w:cs="Tahoma"/>
          <w:sz w:val="20"/>
          <w:szCs w:val="20"/>
        </w:rPr>
      </w:pPr>
      <w:r>
        <w:rPr>
          <w:rFonts w:cs="Tahoma" w:ascii="Tahoma" w:hAnsi="Tahoma"/>
          <w:sz w:val="20"/>
          <w:szCs w:val="20"/>
        </w:rPr>
      </w:r>
    </w:p>
    <w:p>
      <w:pPr>
        <w:pStyle w:val="Cuerpodetexto"/>
        <w:spacing w:before="92" w:after="0"/>
        <w:ind w:left="102" w:hanging="0"/>
        <w:rPr>
          <w:rFonts w:ascii="Tahoma" w:hAnsi="Tahoma" w:cs="Tahoma"/>
          <w:sz w:val="20"/>
          <w:szCs w:val="20"/>
        </w:rPr>
      </w:pPr>
      <w:r>
        <w:rPr>
          <w:rFonts w:cs="Tahoma" w:ascii="Tahoma" w:hAnsi="Tahoma"/>
          <w:sz w:val="20"/>
          <w:szCs w:val="20"/>
        </w:rPr>
        <w:t>Máster</w:t>
      </w:r>
    </w:p>
    <w:p>
      <w:pPr>
        <w:pStyle w:val="Cuerpodetexto"/>
        <w:ind w:left="102" w:right="4535" w:hanging="0"/>
        <w:rPr>
          <w:rFonts w:ascii="Tahoma" w:hAnsi="Tahoma" w:cs="Tahoma"/>
          <w:sz w:val="20"/>
          <w:szCs w:val="20"/>
        </w:rPr>
      </w:pPr>
      <w:r>
        <w:rPr>
          <w:rFonts w:cs="Tahoma" w:ascii="Tahoma" w:hAnsi="Tahoma"/>
          <w:sz w:val="20"/>
          <w:szCs w:val="20"/>
        </w:rPr>
        <w:t>Melissa Benavides Víquez, Coordinadora Unidad de Acceso a la Justicia</w:t>
      </w:r>
    </w:p>
    <w:p>
      <w:pPr>
        <w:pStyle w:val="Cuerpodetexto"/>
        <w:ind w:left="102" w:hanging="0"/>
        <w:rPr>
          <w:rFonts w:ascii="Tahoma" w:hAnsi="Tahoma" w:cs="Tahoma"/>
          <w:sz w:val="20"/>
          <w:szCs w:val="20"/>
        </w:rPr>
      </w:pPr>
      <w:r>
        <w:rPr>
          <w:rFonts w:cs="Tahoma" w:ascii="Tahoma" w:hAnsi="Tahoma"/>
          <w:sz w:val="20"/>
          <w:szCs w:val="20"/>
        </w:rPr>
        <w:t>Poder Judicial</w:t>
      </w:r>
    </w:p>
    <w:p>
      <w:pPr>
        <w:pStyle w:val="Cuerpodetexto"/>
        <w:spacing w:lineRule="auto" w:line="480" w:before="1" w:after="0"/>
        <w:ind w:left="102" w:right="7086" w:hanging="0"/>
        <w:jc w:val="both"/>
        <w:rPr>
          <w:rFonts w:ascii="Tahoma" w:hAnsi="Tahoma" w:cs="Tahoma"/>
          <w:sz w:val="20"/>
          <w:szCs w:val="20"/>
        </w:rPr>
      </w:pPr>
      <w:r>
        <w:rPr>
          <w:rFonts w:cs="Tahoma" w:ascii="Tahoma" w:hAnsi="Tahoma"/>
          <w:sz w:val="20"/>
          <w:szCs w:val="20"/>
        </w:rPr>
        <w:t>S.     O. Estimada</w:t>
      </w:r>
      <w:r>
        <w:rPr>
          <w:rFonts w:cs="Tahoma" w:ascii="Tahoma" w:hAnsi="Tahoma"/>
          <w:spacing w:val="4"/>
          <w:sz w:val="20"/>
          <w:szCs w:val="20"/>
        </w:rPr>
        <w:t xml:space="preserve"> </w:t>
      </w:r>
      <w:r>
        <w:rPr>
          <w:rFonts w:cs="Tahoma" w:ascii="Tahoma" w:hAnsi="Tahoma"/>
          <w:spacing w:val="-3"/>
          <w:sz w:val="20"/>
          <w:szCs w:val="20"/>
        </w:rPr>
        <w:t>señora:</w:t>
      </w:r>
    </w:p>
    <w:p>
      <w:pPr>
        <w:pStyle w:val="Cuerpodetexto"/>
        <w:ind w:left="102" w:right="112" w:firstLine="359"/>
        <w:jc w:val="both"/>
        <w:rPr>
          <w:rFonts w:ascii="Tahoma" w:hAnsi="Tahoma" w:cs="Tahoma"/>
          <w:sz w:val="20"/>
          <w:szCs w:val="20"/>
        </w:rPr>
      </w:pPr>
      <w:r>
        <w:rPr>
          <w:rFonts w:cs="Tahoma" w:ascii="Tahoma" w:hAnsi="Tahoma"/>
          <w:sz w:val="20"/>
          <w:szCs w:val="20"/>
        </w:rPr>
        <w:t>En relación con el acuerdo tomado por la Subcomisión de Acceso a la Justicia de Pueblos Indígenas, celebrada el 5 de noviembre de 2019, artículo XXIV y a instancias de esta Dirección Ejecutiva, el 6 de enero del año en curso se recibió respuesta, por correo electrónico, por parte de la Licenciada Johan Vallecillo Canales, Coordinadora de la Sección Presupuestaria de la Unidad Administrativa del Ministerio Público, mediante el cual comunicó que los honorarios por el monto de Ȼ25.283,00, que se adeudaban a la señorita Florencia Sosimo García por los servicios prestados como intérprete en idioma Cabécar, en la causa N°17-000583- 0276-PE, así solicitado por la Fiscalía de Desamparados, fueron cancelados el 20 de diciembre de 2019.</w:t>
      </w:r>
    </w:p>
    <w:p>
      <w:pPr>
        <w:pStyle w:val="Cuerpodetexto"/>
        <w:spacing w:before="1" w:after="0"/>
        <w:rPr>
          <w:rFonts w:ascii="Tahoma" w:hAnsi="Tahoma" w:cs="Tahoma"/>
          <w:sz w:val="20"/>
          <w:szCs w:val="20"/>
        </w:rPr>
      </w:pPr>
      <w:r>
        <w:rPr>
          <w:rFonts w:cs="Tahoma" w:ascii="Tahoma" w:hAnsi="Tahoma"/>
          <w:sz w:val="20"/>
          <w:szCs w:val="20"/>
        </w:rPr>
      </w:r>
    </w:p>
    <w:p>
      <w:pPr>
        <w:pStyle w:val="Cuerpodetexto"/>
        <w:ind w:left="102" w:right="112" w:firstLine="359"/>
        <w:jc w:val="both"/>
        <w:rPr>
          <w:rFonts w:ascii="Tahoma" w:hAnsi="Tahoma" w:cs="Tahoma"/>
          <w:sz w:val="20"/>
          <w:szCs w:val="20"/>
        </w:rPr>
      </w:pPr>
      <w:r>
        <w:rPr>
          <w:rFonts w:cs="Tahoma" w:ascii="Tahoma" w:hAnsi="Tahoma"/>
          <w:sz w:val="20"/>
          <w:szCs w:val="20"/>
        </w:rPr>
        <w:t>Por otra parte, quienes suscribimos, en oficio N°530-DE-2020 de fecha 10 febrero del año en curso, dirigido al Licenciado David Brown Sharpe,</w:t>
      </w:r>
      <w:r>
        <w:rPr>
          <w:rFonts w:cs="Tahoma" w:ascii="Tahoma" w:hAnsi="Tahoma"/>
          <w:spacing w:val="-47"/>
          <w:sz w:val="20"/>
          <w:szCs w:val="20"/>
        </w:rPr>
        <w:t xml:space="preserve"> </w:t>
      </w:r>
      <w:r>
        <w:rPr>
          <w:rFonts w:cs="Tahoma" w:ascii="Tahoma" w:hAnsi="Tahoma"/>
          <w:sz w:val="20"/>
          <w:szCs w:val="20"/>
        </w:rPr>
        <w:t>Administrador de la Unidad Administrativa del Ministerio Público, le exhortamos a aplicar la normativa vigente para que este tipo de situaciones no se vuelvan a presentar y a su vez, se le reiteró lo comunicado por la institución referente a este tema, específicamente: Circular N°002-2015, del 19 de febrero de 2015 de la Secretaría de la Corte, Modificación del “Reglamento para regular la función de las y los intérpretes, traductores, peritos y ejecutores en el Poder Judicial”; Circular N°23- 2017 del 17 de febrero de 2017, “Manual de Autorizaciones del Sistema de Mantenimiento de Autorización de Gastos de la Dirección Ejecutiva”; Circular</w:t>
      </w:r>
      <w:r>
        <w:rPr>
          <w:rFonts w:cs="Tahoma" w:ascii="Tahoma" w:hAnsi="Tahoma"/>
          <w:spacing w:val="-48"/>
          <w:sz w:val="20"/>
          <w:szCs w:val="20"/>
        </w:rPr>
        <w:t xml:space="preserve"> </w:t>
      </w:r>
      <w:r>
        <w:rPr>
          <w:rFonts w:cs="Tahoma" w:ascii="Tahoma" w:hAnsi="Tahoma"/>
          <w:sz w:val="20"/>
          <w:szCs w:val="20"/>
        </w:rPr>
        <w:t>N°30- 2017 del 28 de marzo de 2017, “Adición a la circular Nº23-2017, acerca del</w:t>
      </w:r>
      <w:r>
        <w:rPr>
          <w:rFonts w:cs="Tahoma" w:ascii="Tahoma" w:hAnsi="Tahoma"/>
          <w:spacing w:val="-44"/>
          <w:sz w:val="20"/>
          <w:szCs w:val="20"/>
        </w:rPr>
        <w:t xml:space="preserve"> </w:t>
      </w:r>
      <w:r>
        <w:rPr>
          <w:rFonts w:cs="Tahoma" w:ascii="Tahoma" w:hAnsi="Tahoma"/>
          <w:sz w:val="20"/>
          <w:szCs w:val="20"/>
        </w:rPr>
        <w:t>Manual del Sistema de Autorización de Gastos (SAG), para el pago de peritajes en el caso de que el Estado asuma los gasto (Principio de Gratuidad)”; Circular N°171-2017 del 11 de diciembre de 2017, “Verificación del contenido presupuestario previo a realizar una Solicitud de Autorización de Gasto (AG)”; y por último, comunicado de esta oficina con fecha 19 de marzo de 2019, “Sobre uso de la factura electrónica por parte de personas traductoras en lenguas indígenas en localidades donde no se</w:t>
      </w:r>
      <w:r>
        <w:rPr>
          <w:rFonts w:cs="Tahoma" w:ascii="Tahoma" w:hAnsi="Tahoma"/>
          <w:spacing w:val="13"/>
          <w:sz w:val="20"/>
          <w:szCs w:val="20"/>
        </w:rPr>
        <w:t xml:space="preserve"> </w:t>
      </w:r>
      <w:r>
        <w:rPr>
          <w:rFonts w:cs="Tahoma" w:ascii="Tahoma" w:hAnsi="Tahoma"/>
          <w:sz w:val="20"/>
          <w:szCs w:val="20"/>
        </w:rPr>
        <w:t>cuenta</w:t>
      </w:r>
      <w:r>
        <w:rPr>
          <w:rFonts w:cs="Tahoma" w:ascii="Tahoma" w:hAnsi="Tahoma"/>
          <w:spacing w:val="14"/>
          <w:sz w:val="20"/>
          <w:szCs w:val="20"/>
        </w:rPr>
        <w:t xml:space="preserve"> </w:t>
      </w:r>
      <w:r>
        <w:rPr>
          <w:rFonts w:cs="Tahoma" w:ascii="Tahoma" w:hAnsi="Tahoma"/>
          <w:sz w:val="20"/>
          <w:szCs w:val="20"/>
        </w:rPr>
        <w:t>con</w:t>
      </w:r>
      <w:r>
        <w:rPr>
          <w:rFonts w:cs="Tahoma" w:ascii="Tahoma" w:hAnsi="Tahoma"/>
          <w:spacing w:val="14"/>
          <w:sz w:val="20"/>
          <w:szCs w:val="20"/>
        </w:rPr>
        <w:t xml:space="preserve"> </w:t>
      </w:r>
      <w:r>
        <w:rPr>
          <w:rFonts w:cs="Tahoma" w:ascii="Tahoma" w:hAnsi="Tahoma"/>
          <w:sz w:val="20"/>
          <w:szCs w:val="20"/>
        </w:rPr>
        <w:t>servicio</w:t>
      </w:r>
      <w:r>
        <w:rPr>
          <w:rFonts w:cs="Tahoma" w:ascii="Tahoma" w:hAnsi="Tahoma"/>
          <w:spacing w:val="13"/>
          <w:sz w:val="20"/>
          <w:szCs w:val="20"/>
        </w:rPr>
        <w:t xml:space="preserve"> </w:t>
      </w:r>
      <w:r>
        <w:rPr>
          <w:rFonts w:cs="Tahoma" w:ascii="Tahoma" w:hAnsi="Tahoma"/>
          <w:sz w:val="20"/>
          <w:szCs w:val="20"/>
        </w:rPr>
        <w:t>de</w:t>
      </w:r>
      <w:r>
        <w:rPr>
          <w:rFonts w:cs="Tahoma" w:ascii="Tahoma" w:hAnsi="Tahoma"/>
          <w:spacing w:val="14"/>
          <w:sz w:val="20"/>
          <w:szCs w:val="20"/>
        </w:rPr>
        <w:t xml:space="preserve"> </w:t>
      </w:r>
      <w:r>
        <w:rPr>
          <w:rFonts w:cs="Tahoma" w:ascii="Tahoma" w:hAnsi="Tahoma"/>
          <w:sz w:val="20"/>
          <w:szCs w:val="20"/>
        </w:rPr>
        <w:t>internet”;</w:t>
      </w:r>
      <w:r>
        <w:rPr>
          <w:rFonts w:cs="Tahoma" w:ascii="Tahoma" w:hAnsi="Tahoma"/>
          <w:spacing w:val="14"/>
          <w:sz w:val="20"/>
          <w:szCs w:val="20"/>
        </w:rPr>
        <w:t xml:space="preserve"> </w:t>
      </w:r>
      <w:r>
        <w:rPr>
          <w:rFonts w:cs="Tahoma" w:ascii="Tahoma" w:hAnsi="Tahoma"/>
          <w:sz w:val="20"/>
          <w:szCs w:val="20"/>
        </w:rPr>
        <w:t>de</w:t>
      </w:r>
      <w:r>
        <w:rPr>
          <w:rFonts w:cs="Tahoma" w:ascii="Tahoma" w:hAnsi="Tahoma"/>
          <w:spacing w:val="13"/>
          <w:sz w:val="20"/>
          <w:szCs w:val="20"/>
        </w:rPr>
        <w:t xml:space="preserve"> </w:t>
      </w:r>
      <w:r>
        <w:rPr>
          <w:rFonts w:cs="Tahoma" w:ascii="Tahoma" w:hAnsi="Tahoma"/>
          <w:sz w:val="20"/>
          <w:szCs w:val="20"/>
        </w:rPr>
        <w:t>las</w:t>
      </w:r>
      <w:r>
        <w:rPr>
          <w:rFonts w:cs="Tahoma" w:ascii="Tahoma" w:hAnsi="Tahoma"/>
          <w:spacing w:val="14"/>
          <w:sz w:val="20"/>
          <w:szCs w:val="20"/>
        </w:rPr>
        <w:t xml:space="preserve"> </w:t>
      </w:r>
      <w:r>
        <w:rPr>
          <w:rFonts w:cs="Tahoma" w:ascii="Tahoma" w:hAnsi="Tahoma"/>
          <w:sz w:val="20"/>
          <w:szCs w:val="20"/>
        </w:rPr>
        <w:t>cuales</w:t>
      </w:r>
      <w:r>
        <w:rPr>
          <w:rFonts w:cs="Tahoma" w:ascii="Tahoma" w:hAnsi="Tahoma"/>
          <w:spacing w:val="14"/>
          <w:sz w:val="20"/>
          <w:szCs w:val="20"/>
        </w:rPr>
        <w:t xml:space="preserve"> </w:t>
      </w:r>
      <w:r>
        <w:rPr>
          <w:rFonts w:cs="Tahoma" w:ascii="Tahoma" w:hAnsi="Tahoma"/>
          <w:sz w:val="20"/>
          <w:szCs w:val="20"/>
        </w:rPr>
        <w:t>se</w:t>
      </w:r>
      <w:r>
        <w:rPr>
          <w:rFonts w:cs="Tahoma" w:ascii="Tahoma" w:hAnsi="Tahoma"/>
          <w:spacing w:val="13"/>
          <w:sz w:val="20"/>
          <w:szCs w:val="20"/>
        </w:rPr>
        <w:t xml:space="preserve"> </w:t>
      </w:r>
      <w:r>
        <w:rPr>
          <w:rFonts w:cs="Tahoma" w:ascii="Tahoma" w:hAnsi="Tahoma"/>
          <w:sz w:val="20"/>
          <w:szCs w:val="20"/>
        </w:rPr>
        <w:t>adjuntaron</w:t>
      </w:r>
      <w:r>
        <w:rPr>
          <w:rFonts w:cs="Tahoma" w:ascii="Tahoma" w:hAnsi="Tahoma"/>
          <w:spacing w:val="14"/>
          <w:sz w:val="20"/>
          <w:szCs w:val="20"/>
        </w:rPr>
        <w:t xml:space="preserve"> </w:t>
      </w:r>
      <w:r>
        <w:rPr>
          <w:rFonts w:cs="Tahoma" w:ascii="Tahoma" w:hAnsi="Tahoma"/>
          <w:sz w:val="20"/>
          <w:szCs w:val="20"/>
        </w:rPr>
        <w:t>las</w:t>
      </w:r>
      <w:r>
        <w:rPr>
          <w:rFonts w:cs="Tahoma" w:ascii="Tahoma" w:hAnsi="Tahoma"/>
          <w:spacing w:val="14"/>
          <w:sz w:val="20"/>
          <w:szCs w:val="20"/>
        </w:rPr>
        <w:t xml:space="preserve"> </w:t>
      </w:r>
      <w:r>
        <w:rPr>
          <w:rFonts w:cs="Tahoma" w:ascii="Tahoma" w:hAnsi="Tahoma"/>
          <w:sz w:val="20"/>
          <w:szCs w:val="20"/>
        </w:rPr>
        <w:t>copias</w:t>
      </w:r>
    </w:p>
    <w:p>
      <w:pPr>
        <w:pStyle w:val="Normal"/>
        <w:rPr>
          <w:rFonts w:ascii="Tahoma" w:hAnsi="Tahoma" w:cs="Tahoma"/>
          <w:b/>
          <w:b/>
          <w:sz w:val="20"/>
          <w:szCs w:val="20"/>
          <w:lang w:val="es-ES"/>
        </w:rPr>
      </w:pPr>
      <w:r>
        <w:rPr>
          <w:rFonts w:cs="Tahoma" w:ascii="Tahoma" w:hAnsi="Tahoma"/>
          <w:b/>
          <w:sz w:val="20"/>
          <w:szCs w:val="20"/>
          <w:lang w:val="es-ES"/>
        </w:rPr>
      </w:r>
    </w:p>
    <w:p>
      <w:pPr>
        <w:pStyle w:val="Cuerpodetexto"/>
        <w:ind w:left="461" w:hanging="0"/>
        <w:rPr>
          <w:rFonts w:ascii="Tahoma" w:hAnsi="Tahoma" w:cs="Tahoma"/>
          <w:sz w:val="20"/>
          <w:szCs w:val="20"/>
        </w:rPr>
      </w:pPr>
      <w:r>
        <w:rPr>
          <w:rFonts w:cs="Tahoma" w:ascii="Tahoma" w:hAnsi="Tahoma"/>
          <w:sz w:val="20"/>
          <w:szCs w:val="20"/>
        </w:rPr>
        <w:t>Atentamente,</w:t>
      </w:r>
    </w:p>
    <w:p>
      <w:pPr>
        <w:pStyle w:val="Cuerpodetexto"/>
        <w:rPr>
          <w:rFonts w:ascii="Tahoma" w:hAnsi="Tahoma" w:cs="Tahoma"/>
          <w:sz w:val="20"/>
          <w:szCs w:val="20"/>
        </w:rPr>
      </w:pPr>
      <w:r>
        <w:rPr>
          <w:rFonts w:cs="Tahoma" w:ascii="Tahoma" w:hAnsi="Tahoma"/>
          <w:sz w:val="20"/>
          <w:szCs w:val="20"/>
        </w:rPr>
      </w:r>
    </w:p>
    <w:p>
      <w:pPr>
        <w:pStyle w:val="Normal"/>
        <w:rPr>
          <w:rFonts w:ascii="Tahoma" w:hAnsi="Tahoma" w:cs="Tahoma"/>
          <w:b/>
          <w:b/>
          <w:sz w:val="20"/>
          <w:szCs w:val="20"/>
        </w:rPr>
      </w:pPr>
      <w:r>
        <w:rPr>
          <w:rFonts w:cs="Tahoma" w:ascii="Tahoma" w:hAnsi="Tahoma"/>
          <w:b/>
          <w:sz w:val="20"/>
          <w:szCs w:val="20"/>
        </w:rPr>
      </w:r>
    </w:p>
    <w:p>
      <w:pPr>
        <w:pStyle w:val="Cuerpodetexto"/>
        <w:tabs>
          <w:tab w:val="clear" w:pos="708"/>
          <w:tab w:val="left" w:pos="5327" w:leader="none"/>
          <w:tab w:val="left" w:pos="5834" w:leader="none"/>
        </w:tabs>
        <w:spacing w:before="135" w:after="0"/>
        <w:ind w:left="836" w:right="557" w:firstLine="2"/>
        <w:rPr>
          <w:rFonts w:ascii="Tahoma" w:hAnsi="Tahoma" w:cs="Tahoma"/>
          <w:sz w:val="20"/>
          <w:szCs w:val="20"/>
        </w:rPr>
      </w:pPr>
      <w:r>
        <w:rPr>
          <w:rFonts w:cs="Tahoma" w:ascii="Tahoma" w:hAnsi="Tahoma"/>
          <w:sz w:val="20"/>
          <w:szCs w:val="20"/>
        </w:rPr>
        <w:t>Dinorah</w:t>
      </w:r>
      <w:r>
        <w:rPr>
          <w:rFonts w:cs="Tahoma" w:ascii="Tahoma" w:hAnsi="Tahoma"/>
          <w:spacing w:val="-2"/>
          <w:sz w:val="20"/>
          <w:szCs w:val="20"/>
        </w:rPr>
        <w:t xml:space="preserve"> </w:t>
      </w:r>
      <w:r>
        <w:rPr>
          <w:rFonts w:cs="Tahoma" w:ascii="Tahoma" w:hAnsi="Tahoma"/>
          <w:sz w:val="20"/>
          <w:szCs w:val="20"/>
        </w:rPr>
        <w:t>Álvarez</w:t>
      </w:r>
      <w:r>
        <w:rPr>
          <w:rFonts w:cs="Tahoma" w:ascii="Tahoma" w:hAnsi="Tahoma"/>
          <w:spacing w:val="-4"/>
          <w:sz w:val="20"/>
          <w:szCs w:val="20"/>
        </w:rPr>
        <w:t xml:space="preserve"> </w:t>
      </w:r>
      <w:r>
        <w:rPr>
          <w:rFonts w:cs="Tahoma" w:ascii="Tahoma" w:hAnsi="Tahoma"/>
          <w:sz w:val="20"/>
          <w:szCs w:val="20"/>
        </w:rPr>
        <w:t>Acosta</w:t>
        <w:tab/>
        <w:t>Ana Eugenia Romero</w:t>
      </w:r>
      <w:r>
        <w:rPr>
          <w:rFonts w:cs="Tahoma" w:ascii="Tahoma" w:hAnsi="Tahoma"/>
          <w:spacing w:val="-11"/>
          <w:sz w:val="20"/>
          <w:szCs w:val="20"/>
        </w:rPr>
        <w:t xml:space="preserve"> </w:t>
      </w:r>
      <w:r>
        <w:rPr>
          <w:rFonts w:cs="Tahoma" w:ascii="Tahoma" w:hAnsi="Tahoma"/>
          <w:sz w:val="20"/>
          <w:szCs w:val="20"/>
        </w:rPr>
        <w:t>Jenkins Subdirectora</w:t>
      </w:r>
      <w:r>
        <w:rPr>
          <w:rFonts w:cs="Tahoma" w:ascii="Tahoma" w:hAnsi="Tahoma"/>
          <w:spacing w:val="-6"/>
          <w:sz w:val="20"/>
          <w:szCs w:val="20"/>
        </w:rPr>
        <w:t xml:space="preserve"> </w:t>
      </w:r>
      <w:r>
        <w:rPr>
          <w:rFonts w:cs="Tahoma" w:ascii="Tahoma" w:hAnsi="Tahoma"/>
          <w:sz w:val="20"/>
          <w:szCs w:val="20"/>
        </w:rPr>
        <w:t>Ejecutiva</w:t>
        <w:tab/>
        <w:tab/>
        <w:t>Directora Ejecutiva</w:t>
      </w:r>
    </w:p>
    <w:p>
      <w:pPr>
        <w:pStyle w:val="Normal"/>
        <w:spacing w:lineRule="auto" w:line="360"/>
        <w:rPr>
          <w:rFonts w:ascii="Tahoma" w:hAnsi="Tahoma" w:cs="Tahoma"/>
          <w:b/>
          <w:b/>
          <w:sz w:val="20"/>
          <w:szCs w:val="20"/>
          <w:u w:val="single"/>
          <w:lang w:val="es-ES"/>
        </w:rPr>
      </w:pPr>
      <w:r>
        <w:rPr>
          <w:rFonts w:cs="Tahoma" w:ascii="Tahoma" w:hAnsi="Tahoma"/>
          <w:b/>
          <w:sz w:val="20"/>
          <w:szCs w:val="20"/>
          <w:u w:val="single"/>
          <w:lang w:val="es-ES"/>
        </w:rPr>
      </w:r>
    </w:p>
    <w:p>
      <w:pPr>
        <w:pStyle w:val="Normal"/>
        <w:rPr>
          <w:rFonts w:ascii="Tahoma" w:hAnsi="Tahoma" w:cs="Tahoma"/>
          <w:b/>
          <w:b/>
          <w:sz w:val="20"/>
          <w:szCs w:val="20"/>
          <w:lang w:val="es-ES" w:bidi="hi-IN"/>
        </w:rPr>
      </w:pPr>
      <w:r>
        <w:rPr>
          <w:rFonts w:cs="Tahoma" w:ascii="Tahoma" w:hAnsi="Tahoma"/>
          <w:b/>
          <w:sz w:val="20"/>
          <w:szCs w:val="20"/>
          <w:lang w:val="es-ES" w:bidi="hi-IN"/>
        </w:rPr>
      </w:r>
    </w:p>
    <w:p>
      <w:pPr>
        <w:pStyle w:val="Normal"/>
        <w:rPr>
          <w:rFonts w:ascii="Tahoma" w:hAnsi="Tahoma" w:cs="Tahoma"/>
          <w:bCs/>
          <w:sz w:val="20"/>
          <w:szCs w:val="20"/>
          <w:lang w:val="es-ES" w:bidi="hi-IN"/>
        </w:rPr>
      </w:pPr>
      <w:r>
        <w:rPr>
          <w:rFonts w:cs="Tahoma" w:ascii="Tahoma" w:hAnsi="Tahoma"/>
          <w:b/>
          <w:sz w:val="20"/>
          <w:szCs w:val="20"/>
          <w:lang w:val="es-ES" w:bidi="hi-IN"/>
        </w:rPr>
        <w:t>SE ACUERDA:</w:t>
      </w:r>
      <w:r>
        <w:rPr>
          <w:rFonts w:cs="Tahoma" w:ascii="Tahoma" w:hAnsi="Tahoma"/>
          <w:bCs/>
          <w:sz w:val="20"/>
          <w:szCs w:val="20"/>
          <w:lang w:val="es-ES" w:bidi="hi-IN"/>
        </w:rPr>
        <w:t xml:space="preserve"> Se toma nota de los Oficios CSJ-163-2020 y 539-DE-2020 y se dispone hacerlos de conocimiento de la persona usuaria gestionante por medio de la Unidad de Acceso a la Justicia.</w:t>
      </w:r>
    </w:p>
    <w:p>
      <w:pPr>
        <w:pStyle w:val="Normal"/>
        <w:rPr>
          <w:rFonts w:ascii="Tahoma" w:hAnsi="Tahoma" w:cs="Tahoma"/>
          <w:b/>
          <w:b/>
          <w:sz w:val="20"/>
          <w:szCs w:val="20"/>
          <w:lang w:val="es-ES" w:bidi="hi-IN"/>
        </w:rPr>
      </w:pPr>
      <w:r>
        <w:rPr>
          <w:rFonts w:cs="Tahoma" w:ascii="Tahoma" w:hAnsi="Tahoma"/>
          <w:b/>
          <w:sz w:val="20"/>
          <w:szCs w:val="20"/>
          <w:lang w:val="es-ES" w:bidi="hi-IN"/>
        </w:rPr>
      </w:r>
    </w:p>
    <w:p>
      <w:pPr>
        <w:pStyle w:val="Normal"/>
        <w:spacing w:lineRule="auto" w:line="360"/>
        <w:jc w:val="center"/>
        <w:rPr>
          <w:rFonts w:ascii="Tahoma" w:hAnsi="Tahoma" w:cs="Tahoma"/>
          <w:b/>
          <w:b/>
          <w:sz w:val="20"/>
          <w:szCs w:val="20"/>
          <w:highlight w:val="yellow"/>
          <w:u w:val="single"/>
        </w:rPr>
      </w:pPr>
      <w:r>
        <w:rPr>
          <w:rFonts w:cs="Tahoma" w:ascii="Tahoma" w:hAnsi="Tahoma"/>
          <w:b/>
          <w:sz w:val="20"/>
          <w:szCs w:val="20"/>
          <w:highlight w:val="yellow"/>
          <w:u w:val="single"/>
        </w:rPr>
        <w:t>ARTÍCULO X</w:t>
      </w:r>
    </w:p>
    <w:p>
      <w:pPr>
        <w:pStyle w:val="Normal"/>
        <w:spacing w:lineRule="auto" w:line="360"/>
        <w:rPr>
          <w:rFonts w:ascii="Tahoma" w:hAnsi="Tahoma" w:cs="Tahoma"/>
          <w:b/>
          <w:b/>
          <w:sz w:val="20"/>
          <w:szCs w:val="20"/>
        </w:rPr>
      </w:pPr>
      <w:r>
        <w:rPr>
          <w:rFonts w:cs="Tahoma" w:ascii="Tahoma" w:hAnsi="Tahoma"/>
          <w:b/>
          <w:sz w:val="20"/>
          <w:szCs w:val="20"/>
        </w:rPr>
        <w:t xml:space="preserve">TEMA: INFORME DE AVANCE DEL CUMPLIMIENTO DE LA CIRCULAR 188-19, DENOMINADA </w:t>
      </w:r>
      <w:r>
        <w:rPr>
          <w:rFonts w:cs="Tahoma" w:ascii="Tahoma" w:hAnsi="Tahoma"/>
          <w:b/>
          <w:i/>
          <w:sz w:val="20"/>
          <w:szCs w:val="20"/>
        </w:rPr>
        <w:t>“20 EJES DE ACCIÓN.</w:t>
      </w:r>
    </w:p>
    <w:p>
      <w:pPr>
        <w:pStyle w:val="Normal"/>
        <w:ind w:right="118" w:hanging="0"/>
        <w:jc w:val="both"/>
        <w:rPr>
          <w:rFonts w:ascii="Tahoma" w:hAnsi="Tahoma" w:cs="Tahoma"/>
          <w:sz w:val="20"/>
          <w:szCs w:val="20"/>
        </w:rPr>
      </w:pPr>
      <w:r>
        <w:rPr>
          <w:rFonts w:cs="Tahoma" w:ascii="Tahoma" w:hAnsi="Tahoma"/>
          <w:sz w:val="20"/>
          <w:szCs w:val="20"/>
        </w:rPr>
        <w:t>La señora Damaris Vargas Vásquez, Coordinadora de la Subcomisión de Acceso a la Justicia de Pueblos Indígenas, comunico mediante el Oficio N°</w:t>
      </w:r>
      <w:r>
        <w:rPr>
          <w:rFonts w:cs="Tahoma" w:ascii="Tahoma" w:hAnsi="Tahoma"/>
          <w:spacing w:val="-7"/>
          <w:sz w:val="20"/>
          <w:szCs w:val="20"/>
        </w:rPr>
        <w:t xml:space="preserve"> </w:t>
      </w:r>
      <w:r>
        <w:rPr>
          <w:rFonts w:cs="Tahoma" w:ascii="Tahoma" w:hAnsi="Tahoma"/>
          <w:sz w:val="20"/>
          <w:szCs w:val="20"/>
        </w:rPr>
        <w:t>DVV-S1-019-2020 a la Dirección de la Escuela Judicial y al Consejo Directivo, lo siguiente:</w:t>
      </w:r>
    </w:p>
    <w:p>
      <w:pPr>
        <w:pStyle w:val="Normal"/>
        <w:spacing w:lineRule="auto" w:line="360"/>
        <w:rPr>
          <w:rFonts w:ascii="Tahoma" w:hAnsi="Tahoma" w:cs="Tahoma"/>
          <w:sz w:val="20"/>
          <w:szCs w:val="20"/>
        </w:rPr>
      </w:pPr>
      <w:r>
        <w:rPr>
          <w:rFonts w:cs="Tahoma" w:ascii="Tahoma" w:hAnsi="Tahoma"/>
          <w:sz w:val="20"/>
          <w:szCs w:val="20"/>
        </w:rPr>
      </w:r>
    </w:p>
    <w:p>
      <w:pPr>
        <w:pStyle w:val="Ttulo11"/>
        <w:spacing w:before="92" w:after="0"/>
        <w:ind w:left="0" w:right="118" w:hanging="0"/>
        <w:jc w:val="right"/>
        <w:rPr>
          <w:rFonts w:ascii="Tahoma" w:hAnsi="Tahoma" w:cs="Tahoma"/>
          <w:sz w:val="20"/>
          <w:szCs w:val="20"/>
        </w:rPr>
      </w:pPr>
      <w:r>
        <w:rPr>
          <w:rFonts w:cs="Tahoma" w:ascii="Tahoma" w:hAnsi="Tahoma"/>
          <w:sz w:val="20"/>
          <w:szCs w:val="20"/>
        </w:rPr>
        <w:t>San José, 26 de febrero de</w:t>
      </w:r>
      <w:r>
        <w:rPr>
          <w:rFonts w:cs="Tahoma" w:ascii="Tahoma" w:hAnsi="Tahoma"/>
          <w:spacing w:val="-8"/>
          <w:sz w:val="20"/>
          <w:szCs w:val="20"/>
        </w:rPr>
        <w:t xml:space="preserve"> </w:t>
      </w:r>
      <w:r>
        <w:rPr>
          <w:rFonts w:cs="Tahoma" w:ascii="Tahoma" w:hAnsi="Tahoma"/>
          <w:sz w:val="20"/>
          <w:szCs w:val="20"/>
        </w:rPr>
        <w:t>2020</w:t>
      </w:r>
    </w:p>
    <w:p>
      <w:pPr>
        <w:pStyle w:val="Normal"/>
        <w:ind w:right="118" w:hanging="0"/>
        <w:jc w:val="right"/>
        <w:rPr>
          <w:rFonts w:ascii="Tahoma" w:hAnsi="Tahoma" w:cs="Tahoma"/>
          <w:b/>
          <w:b/>
          <w:sz w:val="20"/>
          <w:szCs w:val="20"/>
          <w:lang w:val="en-US"/>
        </w:rPr>
      </w:pPr>
      <w:r>
        <w:rPr>
          <w:rFonts w:cs="Tahoma" w:ascii="Tahoma" w:hAnsi="Tahoma"/>
          <w:b/>
          <w:sz w:val="20"/>
          <w:szCs w:val="20"/>
          <w:lang w:val="en-US"/>
        </w:rPr>
        <w:t>N°</w:t>
      </w:r>
      <w:r>
        <w:rPr>
          <w:rFonts w:cs="Tahoma" w:ascii="Tahoma" w:hAnsi="Tahoma"/>
          <w:b/>
          <w:spacing w:val="-7"/>
          <w:sz w:val="20"/>
          <w:szCs w:val="20"/>
          <w:lang w:val="en-US"/>
        </w:rPr>
        <w:t xml:space="preserve"> </w:t>
      </w:r>
      <w:r>
        <w:rPr>
          <w:rFonts w:cs="Tahoma" w:ascii="Tahoma" w:hAnsi="Tahoma"/>
          <w:b/>
          <w:sz w:val="20"/>
          <w:szCs w:val="20"/>
          <w:lang w:val="en-US"/>
        </w:rPr>
        <w:t>DVV-S1-019-2020</w:t>
      </w:r>
    </w:p>
    <w:p>
      <w:pPr>
        <w:pStyle w:val="Cuerpodetexto"/>
        <w:rPr>
          <w:rFonts w:ascii="Tahoma" w:hAnsi="Tahoma" w:cs="Tahoma"/>
          <w:b/>
          <w:b/>
          <w:i/>
          <w:i/>
          <w:sz w:val="20"/>
          <w:szCs w:val="20"/>
          <w:lang w:val="en-US"/>
        </w:rPr>
      </w:pPr>
      <w:r>
        <w:rPr>
          <w:rFonts w:cs="Tahoma" w:ascii="Tahoma" w:hAnsi="Tahoma"/>
          <w:b/>
          <w:i/>
          <w:sz w:val="20"/>
          <w:szCs w:val="20"/>
          <w:lang w:val="en-US"/>
        </w:rPr>
      </w:r>
    </w:p>
    <w:p>
      <w:pPr>
        <w:pStyle w:val="Cuerpodetexto"/>
        <w:rPr>
          <w:rFonts w:ascii="Tahoma" w:hAnsi="Tahoma" w:cs="Tahoma"/>
          <w:b/>
          <w:b/>
          <w:i/>
          <w:i/>
          <w:sz w:val="20"/>
          <w:szCs w:val="20"/>
          <w:lang w:val="en-US"/>
        </w:rPr>
      </w:pPr>
      <w:r>
        <w:rPr>
          <w:rFonts w:cs="Tahoma" w:ascii="Tahoma" w:hAnsi="Tahoma"/>
          <w:b/>
          <w:i/>
          <w:sz w:val="20"/>
          <w:szCs w:val="20"/>
          <w:lang w:val="en-US"/>
        </w:rPr>
      </w:r>
    </w:p>
    <w:p>
      <w:pPr>
        <w:pStyle w:val="Normal"/>
        <w:spacing w:before="92" w:after="200"/>
        <w:ind w:left="117" w:hanging="0"/>
        <w:rPr>
          <w:rFonts w:ascii="Tahoma" w:hAnsi="Tahoma" w:cs="Tahoma"/>
          <w:b/>
          <w:b/>
          <w:sz w:val="20"/>
          <w:szCs w:val="20"/>
          <w:lang w:val="en-US"/>
        </w:rPr>
      </w:pPr>
      <w:r>
        <w:rPr>
          <w:rFonts w:cs="Tahoma" w:ascii="Tahoma" w:hAnsi="Tahoma"/>
          <w:b/>
          <w:sz w:val="20"/>
          <w:szCs w:val="20"/>
          <w:lang w:val="en-US"/>
        </w:rPr>
        <w:t>Señor</w:t>
      </w:r>
    </w:p>
    <w:p>
      <w:pPr>
        <w:pStyle w:val="Normal"/>
        <w:ind w:left="117" w:right="6162" w:hanging="0"/>
        <w:rPr>
          <w:rFonts w:ascii="Tahoma" w:hAnsi="Tahoma" w:cs="Tahoma"/>
          <w:b/>
          <w:b/>
          <w:sz w:val="20"/>
          <w:szCs w:val="20"/>
          <w:lang w:val="en-US"/>
        </w:rPr>
      </w:pPr>
      <w:r>
        <w:rPr>
          <w:rFonts w:cs="Tahoma" w:ascii="Tahoma" w:hAnsi="Tahoma"/>
          <w:b/>
          <w:sz w:val="20"/>
          <w:szCs w:val="20"/>
          <w:lang w:val="en-US"/>
        </w:rPr>
        <w:t>Dr. William Molinari Vílchez Presidente</w:t>
      </w:r>
    </w:p>
    <w:p>
      <w:pPr>
        <w:pStyle w:val="Normal"/>
        <w:ind w:left="117" w:hanging="0"/>
        <w:rPr>
          <w:rFonts w:ascii="Tahoma" w:hAnsi="Tahoma" w:cs="Tahoma"/>
          <w:b/>
          <w:b/>
          <w:sz w:val="20"/>
          <w:szCs w:val="20"/>
        </w:rPr>
      </w:pPr>
      <w:r>
        <w:rPr>
          <w:rFonts w:cs="Tahoma" w:ascii="Tahoma" w:hAnsi="Tahoma"/>
          <w:b/>
          <w:sz w:val="20"/>
          <w:szCs w:val="20"/>
        </w:rPr>
        <w:t>Consejo Directivo de la Escuela Judicial</w:t>
      </w:r>
    </w:p>
    <w:p>
      <w:pPr>
        <w:pStyle w:val="Cuerpodetexto"/>
        <w:spacing w:before="1" w:after="0"/>
        <w:rPr>
          <w:rFonts w:ascii="Tahoma" w:hAnsi="Tahoma" w:cs="Tahoma"/>
          <w:b/>
          <w:b/>
          <w:i/>
          <w:i/>
          <w:sz w:val="20"/>
          <w:szCs w:val="20"/>
        </w:rPr>
      </w:pPr>
      <w:r>
        <w:rPr>
          <w:rFonts w:cs="Tahoma" w:ascii="Tahoma" w:hAnsi="Tahoma"/>
          <w:b/>
          <w:i/>
          <w:sz w:val="20"/>
          <w:szCs w:val="20"/>
        </w:rPr>
      </w:r>
    </w:p>
    <w:p>
      <w:pPr>
        <w:pStyle w:val="Normal"/>
        <w:ind w:left="117" w:hanging="0"/>
        <w:rPr>
          <w:rFonts w:ascii="Tahoma" w:hAnsi="Tahoma" w:cs="Tahoma"/>
          <w:b/>
          <w:b/>
          <w:sz w:val="20"/>
          <w:szCs w:val="20"/>
        </w:rPr>
      </w:pPr>
      <w:r>
        <w:rPr>
          <w:rFonts w:cs="Tahoma" w:ascii="Tahoma" w:hAnsi="Tahoma"/>
          <w:b/>
          <w:sz w:val="20"/>
          <w:szCs w:val="20"/>
        </w:rPr>
        <w:t>Señora</w:t>
      </w:r>
    </w:p>
    <w:p>
      <w:pPr>
        <w:pStyle w:val="Normal"/>
        <w:ind w:left="117" w:right="5641" w:hanging="0"/>
        <w:rPr>
          <w:rFonts w:ascii="Tahoma" w:hAnsi="Tahoma" w:cs="Tahoma"/>
          <w:b/>
          <w:b/>
          <w:sz w:val="20"/>
          <w:szCs w:val="20"/>
        </w:rPr>
      </w:pPr>
      <w:r>
        <w:rPr>
          <w:rFonts w:cs="Tahoma" w:ascii="Tahoma" w:hAnsi="Tahoma"/>
          <w:b/>
          <w:sz w:val="20"/>
          <w:szCs w:val="20"/>
        </w:rPr>
        <w:t>Máster Rebeca Guardia Morales Directora</w:t>
      </w:r>
    </w:p>
    <w:p>
      <w:pPr>
        <w:pStyle w:val="Normal"/>
        <w:spacing w:lineRule="auto" w:line="480"/>
        <w:ind w:left="117" w:right="6177" w:hanging="0"/>
        <w:rPr>
          <w:rFonts w:ascii="Tahoma" w:hAnsi="Tahoma" w:cs="Tahoma"/>
          <w:b/>
          <w:b/>
          <w:sz w:val="20"/>
          <w:szCs w:val="20"/>
        </w:rPr>
      </w:pPr>
      <w:r>
        <w:rPr>
          <w:rFonts w:cs="Tahoma" w:ascii="Tahoma" w:hAnsi="Tahoma"/>
          <w:b/>
          <w:sz w:val="20"/>
          <w:szCs w:val="20"/>
        </w:rPr>
        <w:t>Escuela Judicial Estimados Señor y</w:t>
      </w:r>
      <w:r>
        <w:rPr>
          <w:rFonts w:cs="Tahoma" w:ascii="Tahoma" w:hAnsi="Tahoma"/>
          <w:b/>
          <w:spacing w:val="-5"/>
          <w:sz w:val="20"/>
          <w:szCs w:val="20"/>
        </w:rPr>
        <w:t xml:space="preserve"> </w:t>
      </w:r>
      <w:r>
        <w:rPr>
          <w:rFonts w:cs="Tahoma" w:ascii="Tahoma" w:hAnsi="Tahoma"/>
          <w:b/>
          <w:sz w:val="20"/>
          <w:szCs w:val="20"/>
        </w:rPr>
        <w:t>Señora:</w:t>
      </w:r>
    </w:p>
    <w:p>
      <w:pPr>
        <w:pStyle w:val="Normal"/>
        <w:ind w:left="117" w:right="116" w:hanging="0"/>
        <w:jc w:val="both"/>
        <w:rPr>
          <w:rFonts w:ascii="Tahoma" w:hAnsi="Tahoma" w:cs="Tahoma"/>
          <w:sz w:val="20"/>
          <w:szCs w:val="20"/>
        </w:rPr>
      </w:pPr>
      <w:r>
        <w:rPr>
          <w:rFonts w:cs="Tahoma" w:ascii="Tahoma" w:hAnsi="Tahoma"/>
          <w:sz w:val="20"/>
          <w:szCs w:val="20"/>
        </w:rPr>
        <w:t xml:space="preserve">Reciban un atento saludo. Tengo el honor de dirigirme a ustedes en mi condición de Coordinadora de la Subcomisión de Acceso a la Justicia de Pueblos Indígenas, con el objetivo de solicitarles respetuosamente un informe de avance del cumplimiento de la Circular 188-19, denominada </w:t>
      </w:r>
      <w:r>
        <w:rPr>
          <w:rFonts w:cs="Tahoma" w:ascii="Tahoma" w:hAnsi="Tahoma"/>
          <w:i/>
          <w:sz w:val="20"/>
          <w:szCs w:val="20"/>
        </w:rPr>
        <w:t xml:space="preserve">“20 ejes de acción, recomendados por la Comisión de Acceso a la Justicia, con ocasión del cumplimiento de las Medidas Cautelares N° 321- 12 del 30 de abril de 2015, establecidas por la Comisión Interamericana de Derechos Humanos (CIDH) contra Costa Rica”, </w:t>
      </w:r>
      <w:r>
        <w:rPr>
          <w:rFonts w:cs="Tahoma" w:ascii="Tahoma" w:hAnsi="Tahoma"/>
          <w:sz w:val="20"/>
          <w:szCs w:val="20"/>
        </w:rPr>
        <w:t>concretamente los ejes 9 a 13</w:t>
      </w:r>
      <w:r>
        <w:rPr>
          <w:rFonts w:cs="Tahoma" w:ascii="Tahoma" w:hAnsi="Tahoma"/>
          <w:i/>
          <w:sz w:val="20"/>
          <w:szCs w:val="20"/>
        </w:rPr>
        <w:t xml:space="preserve">. </w:t>
      </w:r>
      <w:r>
        <w:rPr>
          <w:rFonts w:cs="Tahoma" w:ascii="Tahoma" w:hAnsi="Tahoma"/>
          <w:sz w:val="20"/>
          <w:szCs w:val="20"/>
        </w:rPr>
        <w:t>En esa Circular, se señala literalmente:</w:t>
      </w:r>
    </w:p>
    <w:p>
      <w:pPr>
        <w:pStyle w:val="Normal"/>
        <w:ind w:left="117" w:right="116" w:hanging="0"/>
        <w:jc w:val="both"/>
        <w:rPr>
          <w:rFonts w:ascii="Tahoma" w:hAnsi="Tahoma" w:cs="Tahoma"/>
          <w:sz w:val="20"/>
          <w:szCs w:val="20"/>
        </w:rPr>
      </w:pPr>
      <w:r>
        <w:rPr>
          <w:rFonts w:cs="Tahoma" w:ascii="Tahoma" w:hAnsi="Tahoma"/>
          <w:sz w:val="20"/>
          <w:szCs w:val="20"/>
        </w:rPr>
      </w:r>
    </w:p>
    <w:p>
      <w:pPr>
        <w:pStyle w:val="Normal"/>
        <w:ind w:left="117" w:right="116" w:hanging="0"/>
        <w:jc w:val="both"/>
        <w:rPr>
          <w:rFonts w:ascii="Tahoma" w:hAnsi="Tahoma" w:cs="Tahoma"/>
          <w:sz w:val="20"/>
          <w:szCs w:val="20"/>
        </w:rPr>
      </w:pPr>
      <w:r>
        <w:rPr>
          <w:rFonts w:cs="Tahoma" w:ascii="Tahoma" w:hAnsi="Tahoma"/>
          <w:sz w:val="20"/>
          <w:szCs w:val="20"/>
        </w:rPr>
      </w:r>
    </w:p>
    <w:p>
      <w:pPr>
        <w:pStyle w:val="Cuerpodetexto"/>
        <w:spacing w:before="8" w:after="0"/>
        <w:rPr>
          <w:rFonts w:ascii="Tahoma" w:hAnsi="Tahoma" w:cs="Tahoma"/>
          <w:i/>
          <w:i/>
          <w:sz w:val="20"/>
          <w:szCs w:val="20"/>
        </w:rPr>
      </w:pPr>
      <w:r>
        <w:rPr>
          <w:rFonts w:cs="Tahoma" w:ascii="Tahoma" w:hAnsi="Tahoma"/>
          <w:i/>
          <w:sz w:val="20"/>
          <w:szCs w:val="20"/>
        </w:rPr>
      </w:r>
    </w:p>
    <w:p>
      <w:pPr>
        <w:pStyle w:val="Ttulo21"/>
        <w:rPr>
          <w:rFonts w:ascii="Tahoma" w:hAnsi="Tahoma" w:cs="Tahoma"/>
          <w:sz w:val="20"/>
          <w:szCs w:val="20"/>
        </w:rPr>
      </w:pPr>
      <w:r>
        <w:rPr>
          <w:rFonts w:cs="Tahoma" w:ascii="Tahoma" w:hAnsi="Tahoma"/>
          <w:b w:val="false"/>
          <w:i w:val="false"/>
          <w:spacing w:val="-60"/>
          <w:sz w:val="20"/>
          <w:szCs w:val="20"/>
          <w:u w:val="thick"/>
        </w:rPr>
        <w:t xml:space="preserve"> </w:t>
      </w:r>
      <w:r>
        <w:rPr>
          <w:rFonts w:cs="Tahoma" w:ascii="Tahoma" w:hAnsi="Tahoma"/>
          <w:sz w:val="20"/>
          <w:szCs w:val="20"/>
          <w:u w:val="thick"/>
        </w:rPr>
        <w:t>“</w:t>
      </w:r>
      <w:r>
        <w:rPr>
          <w:rFonts w:cs="Tahoma" w:ascii="Tahoma" w:hAnsi="Tahoma"/>
          <w:sz w:val="20"/>
          <w:szCs w:val="20"/>
          <w:u w:val="thick"/>
        </w:rPr>
        <w:t>CIRCULAR No. 188-2019</w:t>
      </w:r>
    </w:p>
    <w:p>
      <w:pPr>
        <w:pStyle w:val="Cuerpodetexto"/>
        <w:spacing w:before="2" w:after="0"/>
        <w:rPr>
          <w:rFonts w:ascii="Tahoma" w:hAnsi="Tahoma" w:cs="Tahoma"/>
          <w:b/>
          <w:b/>
          <w:sz w:val="20"/>
          <w:szCs w:val="20"/>
        </w:rPr>
      </w:pPr>
      <w:r>
        <w:rPr>
          <w:rFonts w:cs="Tahoma" w:ascii="Tahoma" w:hAnsi="Tahoma"/>
          <w:b/>
          <w:sz w:val="20"/>
          <w:szCs w:val="20"/>
        </w:rPr>
      </w:r>
    </w:p>
    <w:p>
      <w:pPr>
        <w:pStyle w:val="Cuerpodetexto"/>
        <w:spacing w:before="90" w:after="0"/>
        <w:ind w:left="117" w:right="120" w:firstLine="707"/>
        <w:jc w:val="both"/>
        <w:rPr>
          <w:rFonts w:ascii="Tahoma" w:hAnsi="Tahoma" w:cs="Tahoma"/>
          <w:sz w:val="20"/>
          <w:szCs w:val="20"/>
        </w:rPr>
      </w:pPr>
      <w:r>
        <w:rPr>
          <w:rFonts w:cs="Tahoma" w:ascii="Tahoma" w:hAnsi="Tahoma"/>
          <w:spacing w:val="-60"/>
          <w:sz w:val="20"/>
          <w:szCs w:val="20"/>
          <w:u w:val="thick"/>
        </w:rPr>
        <w:t xml:space="preserve"> </w:t>
      </w:r>
      <w:r>
        <w:rPr>
          <w:rFonts w:cs="Tahoma" w:ascii="Tahoma" w:hAnsi="Tahoma"/>
          <w:b/>
          <w:i/>
          <w:sz w:val="20"/>
          <w:szCs w:val="20"/>
          <w:u w:val="thick"/>
        </w:rPr>
        <w:t>Asunto</w:t>
      </w:r>
      <w:r>
        <w:rPr>
          <w:rFonts w:cs="Tahoma" w:ascii="Tahoma" w:hAnsi="Tahoma"/>
          <w:i/>
          <w:sz w:val="20"/>
          <w:szCs w:val="20"/>
        </w:rPr>
        <w:t xml:space="preserve">: Modificación a la Circular N° 123-2019 Sobre los 20 ejes de acción, </w:t>
      </w:r>
      <w:r>
        <w:rPr>
          <w:rFonts w:cs="Tahoma" w:ascii="Tahoma" w:hAnsi="Tahoma"/>
          <w:sz w:val="20"/>
          <w:szCs w:val="20"/>
        </w:rPr>
        <w:t>recomendados por la Comisión de Acceso a la Justicia, con ocasión del cumplimiento de las Medidas Cautelares N° 321-12 del 30 de abril de 2015, establecidas por la Comisión Interamericana de Derechos Humanos (CIDH) contra Costa Rica.</w:t>
      </w:r>
    </w:p>
    <w:p>
      <w:pPr>
        <w:pStyle w:val="Cuerpodetexto"/>
        <w:rPr>
          <w:rFonts w:ascii="Tahoma" w:hAnsi="Tahoma" w:cs="Tahoma"/>
          <w:sz w:val="20"/>
          <w:szCs w:val="20"/>
        </w:rPr>
      </w:pPr>
      <w:r>
        <w:rPr>
          <w:rFonts w:cs="Tahoma" w:ascii="Tahoma" w:hAnsi="Tahoma"/>
          <w:sz w:val="20"/>
          <w:szCs w:val="20"/>
        </w:rPr>
      </w:r>
    </w:p>
    <w:p>
      <w:pPr>
        <w:pStyle w:val="Ttulo21"/>
        <w:ind w:left="2726" w:right="0" w:hanging="0"/>
        <w:rPr>
          <w:rFonts w:ascii="Tahoma" w:hAnsi="Tahoma" w:cs="Tahoma"/>
          <w:sz w:val="20"/>
          <w:szCs w:val="20"/>
        </w:rPr>
      </w:pPr>
      <w:r>
        <w:rPr>
          <w:rFonts w:cs="Tahoma" w:ascii="Tahoma" w:hAnsi="Tahoma"/>
          <w:b w:val="false"/>
          <w:i w:val="false"/>
          <w:spacing w:val="-60"/>
          <w:sz w:val="20"/>
          <w:szCs w:val="20"/>
          <w:u w:val="thick"/>
        </w:rPr>
        <w:t xml:space="preserve"> </w:t>
      </w:r>
      <w:r>
        <w:rPr>
          <w:rFonts w:cs="Tahoma" w:ascii="Tahoma" w:hAnsi="Tahoma"/>
          <w:sz w:val="20"/>
          <w:szCs w:val="20"/>
          <w:u w:val="thick"/>
        </w:rPr>
        <w:t>AL MINISTERIO PÚBLICO, DEFENSA PÚBLICA, DIRECCIONES GENERAL DEL</w:t>
      </w:r>
    </w:p>
    <w:p>
      <w:pPr>
        <w:pStyle w:val="Normal"/>
        <w:spacing w:before="1" w:after="200"/>
        <w:ind w:right="4" w:hanging="0"/>
        <w:jc w:val="center"/>
        <w:rPr>
          <w:rFonts w:ascii="Tahoma" w:hAnsi="Tahoma" w:cs="Tahoma"/>
          <w:b/>
          <w:b/>
          <w:i/>
          <w:i/>
          <w:sz w:val="20"/>
          <w:szCs w:val="20"/>
        </w:rPr>
      </w:pPr>
      <w:r>
        <w:rPr>
          <w:rFonts w:cs="Tahoma" w:ascii="Tahoma" w:hAnsi="Tahoma"/>
          <w:spacing w:val="-60"/>
          <w:sz w:val="20"/>
          <w:szCs w:val="20"/>
          <w:u w:val="thick"/>
        </w:rPr>
        <w:t xml:space="preserve"> </w:t>
      </w:r>
      <w:r>
        <w:rPr>
          <w:rFonts w:cs="Tahoma" w:ascii="Tahoma" w:hAnsi="Tahoma"/>
          <w:b/>
          <w:i/>
          <w:sz w:val="20"/>
          <w:szCs w:val="20"/>
          <w:u w:val="thick"/>
        </w:rPr>
        <w:t>ORGANISMO DE INVESTIGACIÓN JUDICIAL, GESTIÓN HUMANA,</w:t>
      </w:r>
    </w:p>
    <w:p>
      <w:pPr>
        <w:pStyle w:val="Normal"/>
        <w:ind w:right="4" w:hanging="0"/>
        <w:jc w:val="center"/>
        <w:rPr>
          <w:rFonts w:ascii="Tahoma" w:hAnsi="Tahoma" w:cs="Tahoma"/>
          <w:b/>
          <w:b/>
          <w:i/>
          <w:i/>
          <w:sz w:val="20"/>
          <w:szCs w:val="20"/>
        </w:rPr>
      </w:pPr>
      <w:r>
        <w:rPr>
          <w:rFonts w:cs="Tahoma" w:ascii="Tahoma" w:hAnsi="Tahoma"/>
          <w:spacing w:val="-60"/>
          <w:sz w:val="20"/>
          <w:szCs w:val="20"/>
          <w:u w:val="thick"/>
        </w:rPr>
        <w:t xml:space="preserve"> </w:t>
      </w:r>
      <w:r>
        <w:rPr>
          <w:rFonts w:cs="Tahoma" w:ascii="Tahoma" w:hAnsi="Tahoma"/>
          <w:b/>
          <w:i/>
          <w:sz w:val="20"/>
          <w:szCs w:val="20"/>
          <w:u w:val="thick"/>
        </w:rPr>
        <w:t>PLANIFICACIÓN,</w:t>
      </w:r>
      <w:r>
        <w:rPr>
          <w:rFonts w:cs="Tahoma" w:ascii="Tahoma" w:hAnsi="Tahoma"/>
          <w:b/>
          <w:i/>
          <w:spacing w:val="-4"/>
          <w:sz w:val="20"/>
          <w:szCs w:val="20"/>
          <w:u w:val="thick"/>
        </w:rPr>
        <w:t xml:space="preserve"> </w:t>
      </w:r>
      <w:r>
        <w:rPr>
          <w:rFonts w:cs="Tahoma" w:ascii="Tahoma" w:hAnsi="Tahoma"/>
          <w:b/>
          <w:i/>
          <w:sz w:val="20"/>
          <w:szCs w:val="20"/>
          <w:u w:val="thick"/>
        </w:rPr>
        <w:t>DE</w:t>
      </w:r>
      <w:r>
        <w:rPr>
          <w:rFonts w:cs="Tahoma" w:ascii="Tahoma" w:hAnsi="Tahoma"/>
          <w:b/>
          <w:i/>
          <w:spacing w:val="-6"/>
          <w:sz w:val="20"/>
          <w:szCs w:val="20"/>
          <w:u w:val="thick"/>
        </w:rPr>
        <w:t xml:space="preserve"> </w:t>
      </w:r>
      <w:r>
        <w:rPr>
          <w:rFonts w:cs="Tahoma" w:ascii="Tahoma" w:hAnsi="Tahoma"/>
          <w:b/>
          <w:i/>
          <w:sz w:val="20"/>
          <w:szCs w:val="20"/>
          <w:u w:val="thick"/>
        </w:rPr>
        <w:t>TECNOLOGÍA</w:t>
      </w:r>
      <w:r>
        <w:rPr>
          <w:rFonts w:cs="Tahoma" w:ascii="Tahoma" w:hAnsi="Tahoma"/>
          <w:b/>
          <w:i/>
          <w:spacing w:val="-17"/>
          <w:sz w:val="20"/>
          <w:szCs w:val="20"/>
          <w:u w:val="thick"/>
        </w:rPr>
        <w:t xml:space="preserve"> </w:t>
      </w:r>
      <w:r>
        <w:rPr>
          <w:rFonts w:cs="Tahoma" w:ascii="Tahoma" w:hAnsi="Tahoma"/>
          <w:b/>
          <w:i/>
          <w:sz w:val="20"/>
          <w:szCs w:val="20"/>
          <w:u w:val="thick"/>
        </w:rPr>
        <w:t>DE</w:t>
      </w:r>
      <w:r>
        <w:rPr>
          <w:rFonts w:cs="Tahoma" w:ascii="Tahoma" w:hAnsi="Tahoma"/>
          <w:b/>
          <w:i/>
          <w:spacing w:val="-4"/>
          <w:sz w:val="20"/>
          <w:szCs w:val="20"/>
          <w:u w:val="thick"/>
        </w:rPr>
        <w:t xml:space="preserve"> </w:t>
      </w:r>
      <w:r>
        <w:rPr>
          <w:rFonts w:cs="Tahoma" w:ascii="Tahoma" w:hAnsi="Tahoma"/>
          <w:b/>
          <w:i/>
          <w:sz w:val="20"/>
          <w:szCs w:val="20"/>
          <w:u w:val="thick"/>
        </w:rPr>
        <w:t>LA</w:t>
      </w:r>
      <w:r>
        <w:rPr>
          <w:rFonts w:cs="Tahoma" w:ascii="Tahoma" w:hAnsi="Tahoma"/>
          <w:b/>
          <w:i/>
          <w:spacing w:val="-17"/>
          <w:sz w:val="20"/>
          <w:szCs w:val="20"/>
          <w:u w:val="thick"/>
        </w:rPr>
        <w:t xml:space="preserve"> </w:t>
      </w:r>
      <w:r>
        <w:rPr>
          <w:rFonts w:cs="Tahoma" w:ascii="Tahoma" w:hAnsi="Tahoma"/>
          <w:b/>
          <w:i/>
          <w:sz w:val="20"/>
          <w:szCs w:val="20"/>
          <w:u w:val="thick"/>
        </w:rPr>
        <w:t>INFORMACIÓN,</w:t>
      </w:r>
      <w:r>
        <w:rPr>
          <w:rFonts w:cs="Tahoma" w:ascii="Tahoma" w:hAnsi="Tahoma"/>
          <w:b/>
          <w:i/>
          <w:spacing w:val="-3"/>
          <w:sz w:val="20"/>
          <w:szCs w:val="20"/>
          <w:u w:val="thick"/>
        </w:rPr>
        <w:t xml:space="preserve"> </w:t>
      </w:r>
      <w:r>
        <w:rPr>
          <w:rFonts w:cs="Tahoma" w:ascii="Tahoma" w:hAnsi="Tahoma"/>
          <w:b/>
          <w:i/>
          <w:sz w:val="20"/>
          <w:szCs w:val="20"/>
          <w:u w:val="thick"/>
        </w:rPr>
        <w:t>DIRECCIÓN</w:t>
      </w:r>
    </w:p>
    <w:p>
      <w:pPr>
        <w:pStyle w:val="Normal"/>
        <w:ind w:right="2" w:hanging="0"/>
        <w:jc w:val="center"/>
        <w:rPr>
          <w:rFonts w:ascii="Tahoma" w:hAnsi="Tahoma" w:cs="Tahoma"/>
          <w:b/>
          <w:b/>
          <w:i/>
          <w:i/>
          <w:spacing w:val="-4"/>
          <w:sz w:val="20"/>
          <w:szCs w:val="20"/>
          <w:u w:val="thick"/>
        </w:rPr>
      </w:pPr>
      <w:r>
        <w:rPr>
          <w:rFonts w:cs="Tahoma" w:ascii="Tahoma" w:hAnsi="Tahoma"/>
          <w:spacing w:val="-60"/>
          <w:sz w:val="20"/>
          <w:szCs w:val="20"/>
          <w:u w:val="thick"/>
        </w:rPr>
        <w:t xml:space="preserve"> </w:t>
      </w:r>
      <w:r>
        <w:rPr>
          <w:rFonts w:cs="Tahoma" w:ascii="Tahoma" w:hAnsi="Tahoma"/>
          <w:b/>
          <w:i/>
          <w:spacing w:val="-3"/>
          <w:sz w:val="20"/>
          <w:szCs w:val="20"/>
          <w:u w:val="thick"/>
        </w:rPr>
        <w:t xml:space="preserve">EJECUTIVA, </w:t>
      </w:r>
      <w:r>
        <w:rPr>
          <w:rFonts w:cs="Tahoma" w:ascii="Tahoma" w:hAnsi="Tahoma"/>
          <w:b/>
          <w:i/>
          <w:sz w:val="20"/>
          <w:szCs w:val="20"/>
          <w:u w:val="thick"/>
        </w:rPr>
        <w:t xml:space="preserve">ESCUELA JUDICIAL Y </w:t>
      </w:r>
      <w:r>
        <w:rPr>
          <w:rFonts w:cs="Tahoma" w:ascii="Tahoma" w:hAnsi="Tahoma"/>
          <w:b/>
          <w:i/>
          <w:spacing w:val="-3"/>
          <w:sz w:val="20"/>
          <w:szCs w:val="20"/>
          <w:u w:val="thick"/>
        </w:rPr>
        <w:t xml:space="preserve">DESPACHOS </w:t>
      </w:r>
      <w:r>
        <w:rPr>
          <w:rFonts w:cs="Tahoma" w:ascii="Tahoma" w:hAnsi="Tahoma"/>
          <w:b/>
          <w:i/>
          <w:sz w:val="20"/>
          <w:szCs w:val="20"/>
          <w:u w:val="thick"/>
        </w:rPr>
        <w:t>JUDICIALES DEL</w:t>
      </w:r>
      <w:r>
        <w:rPr>
          <w:rFonts w:cs="Tahoma" w:ascii="Tahoma" w:hAnsi="Tahoma"/>
          <w:b/>
          <w:i/>
          <w:spacing w:val="-42"/>
          <w:sz w:val="20"/>
          <w:szCs w:val="20"/>
          <w:u w:val="thick"/>
        </w:rPr>
        <w:t xml:space="preserve"> </w:t>
      </w:r>
      <w:r>
        <w:rPr>
          <w:rFonts w:cs="Tahoma" w:ascii="Tahoma" w:hAnsi="Tahoma"/>
          <w:b/>
          <w:i/>
          <w:spacing w:val="-4"/>
          <w:sz w:val="20"/>
          <w:szCs w:val="20"/>
          <w:u w:val="thick"/>
        </w:rPr>
        <w:t>PAÍS</w:t>
      </w:r>
    </w:p>
    <w:p>
      <w:pPr>
        <w:pStyle w:val="Normal"/>
        <w:ind w:right="2" w:hanging="0"/>
        <w:jc w:val="center"/>
        <w:rPr>
          <w:rFonts w:ascii="Tahoma" w:hAnsi="Tahoma" w:cs="Tahoma"/>
          <w:b/>
          <w:b/>
          <w:i/>
          <w:i/>
          <w:spacing w:val="-4"/>
          <w:sz w:val="20"/>
          <w:szCs w:val="20"/>
          <w:u w:val="thick"/>
        </w:rPr>
      </w:pPr>
      <w:r>
        <w:rPr>
          <w:rFonts w:cs="Tahoma" w:ascii="Tahoma" w:hAnsi="Tahoma"/>
          <w:b/>
          <w:i/>
          <w:spacing w:val="-4"/>
          <w:sz w:val="20"/>
          <w:szCs w:val="20"/>
          <w:u w:val="thick"/>
        </w:rPr>
      </w:r>
    </w:p>
    <w:p>
      <w:pPr>
        <w:pStyle w:val="Normal"/>
        <w:spacing w:before="90" w:after="200"/>
        <w:ind w:right="3" w:hanging="0"/>
        <w:jc w:val="center"/>
        <w:rPr>
          <w:rFonts w:ascii="Tahoma" w:hAnsi="Tahoma" w:cs="Tahoma"/>
          <w:b/>
          <w:b/>
          <w:i/>
          <w:i/>
          <w:sz w:val="20"/>
          <w:szCs w:val="20"/>
        </w:rPr>
      </w:pPr>
      <w:r>
        <w:rPr>
          <w:rFonts w:cs="Tahoma" w:ascii="Tahoma" w:hAnsi="Tahoma"/>
          <w:b/>
          <w:i/>
          <w:sz w:val="20"/>
          <w:szCs w:val="20"/>
          <w:u w:val="thick"/>
        </w:rPr>
        <w:t>SE LES HACE SABER QUE</w:t>
      </w:r>
      <w:r>
        <w:rPr>
          <w:rFonts w:cs="Tahoma" w:ascii="Tahoma" w:hAnsi="Tahoma"/>
          <w:b/>
          <w:i/>
          <w:sz w:val="20"/>
          <w:szCs w:val="20"/>
        </w:rPr>
        <w:t>:</w:t>
      </w:r>
    </w:p>
    <w:p>
      <w:pPr>
        <w:pStyle w:val="Cuerpodetexto"/>
        <w:spacing w:before="2" w:after="0"/>
        <w:rPr>
          <w:rFonts w:ascii="Tahoma" w:hAnsi="Tahoma" w:cs="Tahoma"/>
          <w:b/>
          <w:b/>
          <w:sz w:val="20"/>
          <w:szCs w:val="20"/>
        </w:rPr>
      </w:pPr>
      <w:r>
        <w:rPr>
          <w:rFonts w:cs="Tahoma" w:ascii="Tahoma" w:hAnsi="Tahoma"/>
          <w:b/>
          <w:sz w:val="20"/>
          <w:szCs w:val="20"/>
        </w:rPr>
      </w:r>
    </w:p>
    <w:p>
      <w:pPr>
        <w:pStyle w:val="Cuerpodetexto"/>
        <w:spacing w:before="90" w:after="0"/>
        <w:ind w:left="117" w:firstLine="707"/>
        <w:jc w:val="both"/>
        <w:rPr>
          <w:rFonts w:ascii="Tahoma" w:hAnsi="Tahoma" w:cs="Tahoma"/>
          <w:sz w:val="20"/>
          <w:szCs w:val="20"/>
        </w:rPr>
      </w:pPr>
      <w:r>
        <w:rPr>
          <w:rFonts w:cs="Tahoma" w:ascii="Tahoma" w:hAnsi="Tahoma"/>
          <w:i/>
          <w:sz w:val="20"/>
          <w:szCs w:val="20"/>
        </w:rPr>
        <w:t xml:space="preserve">La Corte Plena, en sesión Nº 20-19 celebrada el 27 de mayo de 2019, artículo XIX, </w:t>
      </w:r>
      <w:r>
        <w:rPr>
          <w:rFonts w:cs="Tahoma" w:ascii="Tahoma" w:hAnsi="Tahoma"/>
          <w:sz w:val="20"/>
          <w:szCs w:val="20"/>
        </w:rPr>
        <w:t>dispuso aprobar los 21 ejes de acción, recomendados por la Comisión de Acceso a la</w:t>
      </w:r>
      <w:r>
        <w:rPr>
          <w:rFonts w:cs="Tahoma" w:ascii="Tahoma" w:hAnsi="Tahoma"/>
          <w:spacing w:val="58"/>
          <w:sz w:val="20"/>
          <w:szCs w:val="20"/>
        </w:rPr>
        <w:t xml:space="preserve"> </w:t>
      </w:r>
      <w:r>
        <w:rPr>
          <w:rFonts w:cs="Tahoma" w:ascii="Tahoma" w:hAnsi="Tahoma"/>
          <w:sz w:val="20"/>
          <w:szCs w:val="20"/>
        </w:rPr>
        <w:t>Justicia,</w:t>
      </w:r>
      <w:r>
        <w:rPr>
          <w:rFonts w:cs="Tahoma" w:ascii="Tahoma" w:hAnsi="Tahoma"/>
          <w:i/>
          <w:sz w:val="20"/>
          <w:szCs w:val="20"/>
        </w:rPr>
        <w:t>que</w:t>
      </w:r>
      <w:r>
        <w:rPr>
          <w:rFonts w:cs="Tahoma" w:ascii="Tahoma" w:hAnsi="Tahoma"/>
          <w:i/>
          <w:spacing w:val="23"/>
          <w:sz w:val="20"/>
          <w:szCs w:val="20"/>
        </w:rPr>
        <w:t xml:space="preserve"> </w:t>
      </w:r>
      <w:r>
        <w:rPr>
          <w:rFonts w:cs="Tahoma" w:ascii="Tahoma" w:hAnsi="Tahoma"/>
          <w:i/>
          <w:sz w:val="20"/>
          <w:szCs w:val="20"/>
        </w:rPr>
        <w:t>deberán</w:t>
      </w:r>
      <w:r>
        <w:rPr>
          <w:rFonts w:cs="Tahoma" w:ascii="Tahoma" w:hAnsi="Tahoma"/>
          <w:i/>
          <w:spacing w:val="24"/>
          <w:sz w:val="20"/>
          <w:szCs w:val="20"/>
        </w:rPr>
        <w:t xml:space="preserve"> </w:t>
      </w:r>
      <w:r>
        <w:rPr>
          <w:rFonts w:cs="Tahoma" w:ascii="Tahoma" w:hAnsi="Tahoma"/>
          <w:i/>
          <w:sz w:val="20"/>
          <w:szCs w:val="20"/>
        </w:rPr>
        <w:t>ser</w:t>
      </w:r>
      <w:r>
        <w:rPr>
          <w:rFonts w:cs="Tahoma" w:ascii="Tahoma" w:hAnsi="Tahoma"/>
          <w:i/>
          <w:spacing w:val="24"/>
          <w:sz w:val="20"/>
          <w:szCs w:val="20"/>
        </w:rPr>
        <w:t xml:space="preserve"> </w:t>
      </w:r>
      <w:r>
        <w:rPr>
          <w:rFonts w:cs="Tahoma" w:ascii="Tahoma" w:hAnsi="Tahoma"/>
          <w:i/>
          <w:sz w:val="20"/>
          <w:szCs w:val="20"/>
        </w:rPr>
        <w:t>desarrollados</w:t>
      </w:r>
      <w:r>
        <w:rPr>
          <w:rFonts w:cs="Tahoma" w:ascii="Tahoma" w:hAnsi="Tahoma"/>
          <w:i/>
          <w:spacing w:val="24"/>
          <w:sz w:val="20"/>
          <w:szCs w:val="20"/>
        </w:rPr>
        <w:t xml:space="preserve"> </w:t>
      </w:r>
      <w:r>
        <w:rPr>
          <w:rFonts w:cs="Tahoma" w:ascii="Tahoma" w:hAnsi="Tahoma"/>
          <w:i/>
          <w:sz w:val="20"/>
          <w:szCs w:val="20"/>
        </w:rPr>
        <w:t>por</w:t>
      </w:r>
      <w:r>
        <w:rPr>
          <w:rFonts w:cs="Tahoma" w:ascii="Tahoma" w:hAnsi="Tahoma"/>
          <w:i/>
          <w:spacing w:val="24"/>
          <w:sz w:val="20"/>
          <w:szCs w:val="20"/>
        </w:rPr>
        <w:t xml:space="preserve"> </w:t>
      </w:r>
      <w:r>
        <w:rPr>
          <w:rFonts w:cs="Tahoma" w:ascii="Tahoma" w:hAnsi="Tahoma"/>
          <w:i/>
          <w:sz w:val="20"/>
          <w:szCs w:val="20"/>
        </w:rPr>
        <w:t>las</w:t>
      </w:r>
      <w:r>
        <w:rPr>
          <w:rFonts w:cs="Tahoma" w:ascii="Tahoma" w:hAnsi="Tahoma"/>
          <w:i/>
          <w:spacing w:val="25"/>
          <w:sz w:val="20"/>
          <w:szCs w:val="20"/>
        </w:rPr>
        <w:t xml:space="preserve"> </w:t>
      </w:r>
      <w:r>
        <w:rPr>
          <w:rFonts w:cs="Tahoma" w:ascii="Tahoma" w:hAnsi="Tahoma"/>
          <w:i/>
          <w:sz w:val="20"/>
          <w:szCs w:val="20"/>
        </w:rPr>
        <w:t>Direcciones</w:t>
      </w:r>
      <w:r>
        <w:rPr>
          <w:rFonts w:cs="Tahoma" w:ascii="Tahoma" w:hAnsi="Tahoma"/>
          <w:i/>
          <w:spacing w:val="24"/>
          <w:sz w:val="20"/>
          <w:szCs w:val="20"/>
        </w:rPr>
        <w:t xml:space="preserve"> </w:t>
      </w:r>
      <w:r>
        <w:rPr>
          <w:rFonts w:cs="Tahoma" w:ascii="Tahoma" w:hAnsi="Tahoma"/>
          <w:i/>
          <w:sz w:val="20"/>
          <w:szCs w:val="20"/>
        </w:rPr>
        <w:t>del</w:t>
      </w:r>
      <w:r>
        <w:rPr>
          <w:rFonts w:cs="Tahoma" w:ascii="Tahoma" w:hAnsi="Tahoma"/>
          <w:i/>
          <w:spacing w:val="24"/>
          <w:sz w:val="20"/>
          <w:szCs w:val="20"/>
        </w:rPr>
        <w:t xml:space="preserve"> </w:t>
      </w:r>
      <w:r>
        <w:rPr>
          <w:rFonts w:cs="Tahoma" w:ascii="Tahoma" w:hAnsi="Tahoma"/>
          <w:i/>
          <w:sz w:val="20"/>
          <w:szCs w:val="20"/>
        </w:rPr>
        <w:t>Ministerio</w:t>
      </w:r>
      <w:r>
        <w:rPr>
          <w:rFonts w:cs="Tahoma" w:ascii="Tahoma" w:hAnsi="Tahoma"/>
          <w:i/>
          <w:spacing w:val="25"/>
          <w:sz w:val="20"/>
          <w:szCs w:val="20"/>
        </w:rPr>
        <w:t xml:space="preserve"> </w:t>
      </w:r>
      <w:r>
        <w:rPr>
          <w:rFonts w:cs="Tahoma" w:ascii="Tahoma" w:hAnsi="Tahoma"/>
          <w:i/>
          <w:sz w:val="20"/>
          <w:szCs w:val="20"/>
        </w:rPr>
        <w:t>Público,</w:t>
      </w:r>
      <w:r>
        <w:rPr>
          <w:rFonts w:cs="Tahoma" w:ascii="Tahoma" w:hAnsi="Tahoma"/>
          <w:i/>
          <w:spacing w:val="24"/>
          <w:sz w:val="20"/>
          <w:szCs w:val="20"/>
        </w:rPr>
        <w:t xml:space="preserve"> </w:t>
      </w:r>
      <w:r>
        <w:rPr>
          <w:rFonts w:cs="Tahoma" w:ascii="Tahoma" w:hAnsi="Tahoma"/>
          <w:i/>
          <w:sz w:val="20"/>
          <w:szCs w:val="20"/>
        </w:rPr>
        <w:t>Defensa</w:t>
      </w:r>
      <w:r>
        <w:rPr>
          <w:rFonts w:cs="Tahoma" w:ascii="Tahoma" w:hAnsi="Tahoma"/>
          <w:i/>
          <w:spacing w:val="24"/>
          <w:sz w:val="20"/>
          <w:szCs w:val="20"/>
        </w:rPr>
        <w:t xml:space="preserve"> </w:t>
      </w:r>
      <w:r>
        <w:rPr>
          <w:rFonts w:cs="Tahoma" w:ascii="Tahoma" w:hAnsi="Tahoma"/>
          <w:i/>
          <w:sz w:val="20"/>
          <w:szCs w:val="20"/>
        </w:rPr>
        <w:t>Pública,</w:t>
      </w:r>
      <w:r>
        <w:rPr>
          <w:rFonts w:cs="Tahoma" w:ascii="Tahoma" w:hAnsi="Tahoma"/>
          <w:sz w:val="20"/>
          <w:szCs w:val="20"/>
        </w:rPr>
        <w:t xml:space="preserve"> Organismo</w:t>
      </w:r>
      <w:r>
        <w:rPr>
          <w:rFonts w:cs="Tahoma" w:ascii="Tahoma" w:hAnsi="Tahoma"/>
          <w:spacing w:val="39"/>
          <w:sz w:val="20"/>
          <w:szCs w:val="20"/>
        </w:rPr>
        <w:t xml:space="preserve"> </w:t>
      </w:r>
      <w:r>
        <w:rPr>
          <w:rFonts w:cs="Tahoma" w:ascii="Tahoma" w:hAnsi="Tahoma"/>
          <w:sz w:val="20"/>
          <w:szCs w:val="20"/>
        </w:rPr>
        <w:t>de</w:t>
      </w:r>
      <w:r>
        <w:rPr>
          <w:rFonts w:cs="Tahoma" w:ascii="Tahoma" w:hAnsi="Tahoma"/>
          <w:spacing w:val="41"/>
          <w:sz w:val="20"/>
          <w:szCs w:val="20"/>
        </w:rPr>
        <w:t xml:space="preserve"> </w:t>
      </w:r>
      <w:r>
        <w:rPr>
          <w:rFonts w:cs="Tahoma" w:ascii="Tahoma" w:hAnsi="Tahoma"/>
          <w:sz w:val="20"/>
          <w:szCs w:val="20"/>
        </w:rPr>
        <w:t>Investigación</w:t>
      </w:r>
      <w:r>
        <w:rPr>
          <w:rFonts w:cs="Tahoma" w:ascii="Tahoma" w:hAnsi="Tahoma"/>
          <w:spacing w:val="40"/>
          <w:sz w:val="20"/>
          <w:szCs w:val="20"/>
        </w:rPr>
        <w:t xml:space="preserve"> </w:t>
      </w:r>
      <w:r>
        <w:rPr>
          <w:rFonts w:cs="Tahoma" w:ascii="Tahoma" w:hAnsi="Tahoma"/>
          <w:sz w:val="20"/>
          <w:szCs w:val="20"/>
        </w:rPr>
        <w:t>Judicial,</w:t>
      </w:r>
      <w:r>
        <w:rPr>
          <w:rFonts w:cs="Tahoma" w:ascii="Tahoma" w:hAnsi="Tahoma"/>
          <w:spacing w:val="41"/>
          <w:sz w:val="20"/>
          <w:szCs w:val="20"/>
        </w:rPr>
        <w:t xml:space="preserve"> </w:t>
      </w:r>
      <w:r>
        <w:rPr>
          <w:rFonts w:cs="Tahoma" w:ascii="Tahoma" w:hAnsi="Tahoma"/>
          <w:sz w:val="20"/>
          <w:szCs w:val="20"/>
        </w:rPr>
        <w:t>Gestión</w:t>
      </w:r>
      <w:r>
        <w:rPr>
          <w:rFonts w:cs="Tahoma" w:ascii="Tahoma" w:hAnsi="Tahoma"/>
          <w:spacing w:val="42"/>
          <w:sz w:val="20"/>
          <w:szCs w:val="20"/>
        </w:rPr>
        <w:t xml:space="preserve"> </w:t>
      </w:r>
      <w:r>
        <w:rPr>
          <w:rFonts w:cs="Tahoma" w:ascii="Tahoma" w:hAnsi="Tahoma"/>
          <w:sz w:val="20"/>
          <w:szCs w:val="20"/>
        </w:rPr>
        <w:t>Humana,</w:t>
      </w:r>
      <w:r>
        <w:rPr>
          <w:rFonts w:cs="Tahoma" w:ascii="Tahoma" w:hAnsi="Tahoma"/>
          <w:spacing w:val="40"/>
          <w:sz w:val="20"/>
          <w:szCs w:val="20"/>
        </w:rPr>
        <w:t xml:space="preserve"> </w:t>
      </w:r>
      <w:r>
        <w:rPr>
          <w:rFonts w:cs="Tahoma" w:ascii="Tahoma" w:hAnsi="Tahoma"/>
          <w:sz w:val="20"/>
          <w:szCs w:val="20"/>
        </w:rPr>
        <w:t>Planificación,</w:t>
      </w:r>
      <w:r>
        <w:rPr>
          <w:rFonts w:cs="Tahoma" w:ascii="Tahoma" w:hAnsi="Tahoma"/>
          <w:spacing w:val="43"/>
          <w:sz w:val="20"/>
          <w:szCs w:val="20"/>
        </w:rPr>
        <w:t xml:space="preserve"> </w:t>
      </w:r>
      <w:r>
        <w:rPr>
          <w:rFonts w:cs="Tahoma" w:ascii="Tahoma" w:hAnsi="Tahoma"/>
          <w:sz w:val="20"/>
          <w:szCs w:val="20"/>
        </w:rPr>
        <w:t>Dirección</w:t>
      </w:r>
      <w:r>
        <w:rPr>
          <w:rFonts w:cs="Tahoma" w:ascii="Tahoma" w:hAnsi="Tahoma"/>
          <w:spacing w:val="44"/>
          <w:sz w:val="20"/>
          <w:szCs w:val="20"/>
        </w:rPr>
        <w:t xml:space="preserve"> </w:t>
      </w:r>
      <w:r>
        <w:rPr>
          <w:rFonts w:cs="Tahoma" w:ascii="Tahoma" w:hAnsi="Tahoma"/>
          <w:sz w:val="20"/>
          <w:szCs w:val="20"/>
        </w:rPr>
        <w:t xml:space="preserve">Ejecutiva, </w:t>
      </w:r>
      <w:r>
        <w:rPr>
          <w:rFonts w:cs="Tahoma" w:ascii="Tahoma" w:hAnsi="Tahoma"/>
          <w:spacing w:val="-3"/>
          <w:sz w:val="20"/>
          <w:szCs w:val="20"/>
        </w:rPr>
        <w:t>Tecnología</w:t>
      </w:r>
      <w:r>
        <w:rPr>
          <w:rFonts w:cs="Tahoma" w:ascii="Tahoma" w:hAnsi="Tahoma"/>
          <w:spacing w:val="39"/>
          <w:sz w:val="20"/>
          <w:szCs w:val="20"/>
        </w:rPr>
        <w:t xml:space="preserve"> </w:t>
      </w:r>
      <w:r>
        <w:rPr>
          <w:rFonts w:cs="Tahoma" w:ascii="Tahoma" w:hAnsi="Tahoma"/>
          <w:sz w:val="20"/>
          <w:szCs w:val="20"/>
        </w:rPr>
        <w:t>de</w:t>
      </w:r>
      <w:r>
        <w:rPr>
          <w:rFonts w:cs="Tahoma" w:ascii="Tahoma" w:hAnsi="Tahoma"/>
          <w:spacing w:val="41"/>
          <w:sz w:val="20"/>
          <w:szCs w:val="20"/>
        </w:rPr>
        <w:t xml:space="preserve"> </w:t>
      </w:r>
      <w:r>
        <w:rPr>
          <w:rFonts w:cs="Tahoma" w:ascii="Tahoma" w:hAnsi="Tahoma"/>
          <w:sz w:val="20"/>
          <w:szCs w:val="20"/>
        </w:rPr>
        <w:t>la</w:t>
      </w:r>
      <w:r>
        <w:rPr>
          <w:rFonts w:cs="Tahoma" w:ascii="Tahoma" w:hAnsi="Tahoma"/>
          <w:spacing w:val="41"/>
          <w:sz w:val="20"/>
          <w:szCs w:val="20"/>
        </w:rPr>
        <w:t xml:space="preserve"> </w:t>
      </w:r>
      <w:r>
        <w:rPr>
          <w:rFonts w:cs="Tahoma" w:ascii="Tahoma" w:hAnsi="Tahoma"/>
          <w:sz w:val="20"/>
          <w:szCs w:val="20"/>
        </w:rPr>
        <w:t>Información,</w:t>
      </w:r>
      <w:r>
        <w:rPr>
          <w:rFonts w:cs="Tahoma" w:ascii="Tahoma" w:hAnsi="Tahoma"/>
          <w:spacing w:val="40"/>
          <w:sz w:val="20"/>
          <w:szCs w:val="20"/>
        </w:rPr>
        <w:t xml:space="preserve"> </w:t>
      </w:r>
      <w:r>
        <w:rPr>
          <w:rFonts w:cs="Tahoma" w:ascii="Tahoma" w:hAnsi="Tahoma"/>
          <w:sz w:val="20"/>
          <w:szCs w:val="20"/>
        </w:rPr>
        <w:t>Escuela</w:t>
      </w:r>
      <w:r>
        <w:rPr>
          <w:rFonts w:cs="Tahoma" w:ascii="Tahoma" w:hAnsi="Tahoma"/>
          <w:spacing w:val="43"/>
          <w:sz w:val="20"/>
          <w:szCs w:val="20"/>
        </w:rPr>
        <w:t xml:space="preserve"> </w:t>
      </w:r>
      <w:r>
        <w:rPr>
          <w:rFonts w:cs="Tahoma" w:ascii="Tahoma" w:hAnsi="Tahoma"/>
          <w:sz w:val="20"/>
          <w:szCs w:val="20"/>
        </w:rPr>
        <w:t>Judicial</w:t>
      </w:r>
      <w:r>
        <w:rPr>
          <w:rFonts w:cs="Tahoma" w:ascii="Tahoma" w:hAnsi="Tahoma"/>
          <w:spacing w:val="43"/>
          <w:sz w:val="20"/>
          <w:szCs w:val="20"/>
        </w:rPr>
        <w:t xml:space="preserve"> </w:t>
      </w:r>
      <w:r>
        <w:rPr>
          <w:rFonts w:cs="Tahoma" w:ascii="Tahoma" w:hAnsi="Tahoma"/>
          <w:sz w:val="20"/>
          <w:szCs w:val="20"/>
        </w:rPr>
        <w:t>y</w:t>
      </w:r>
      <w:r>
        <w:rPr>
          <w:rFonts w:cs="Tahoma" w:ascii="Tahoma" w:hAnsi="Tahoma"/>
          <w:spacing w:val="38"/>
          <w:sz w:val="20"/>
          <w:szCs w:val="20"/>
        </w:rPr>
        <w:t xml:space="preserve"> </w:t>
      </w:r>
      <w:r>
        <w:rPr>
          <w:rFonts w:cs="Tahoma" w:ascii="Tahoma" w:hAnsi="Tahoma"/>
          <w:sz w:val="20"/>
          <w:szCs w:val="20"/>
        </w:rPr>
        <w:t>el</w:t>
      </w:r>
      <w:r>
        <w:rPr>
          <w:rFonts w:cs="Tahoma" w:ascii="Tahoma" w:hAnsi="Tahoma"/>
          <w:spacing w:val="41"/>
          <w:sz w:val="20"/>
          <w:szCs w:val="20"/>
        </w:rPr>
        <w:t xml:space="preserve"> </w:t>
      </w:r>
      <w:r>
        <w:rPr>
          <w:rFonts w:cs="Tahoma" w:ascii="Tahoma" w:hAnsi="Tahoma"/>
          <w:sz w:val="20"/>
          <w:szCs w:val="20"/>
        </w:rPr>
        <w:t>Sector</w:t>
      </w:r>
      <w:r>
        <w:rPr>
          <w:rFonts w:cs="Tahoma" w:ascii="Tahoma" w:hAnsi="Tahoma"/>
          <w:spacing w:val="41"/>
          <w:sz w:val="20"/>
          <w:szCs w:val="20"/>
        </w:rPr>
        <w:t xml:space="preserve"> </w:t>
      </w:r>
      <w:r>
        <w:rPr>
          <w:rFonts w:cs="Tahoma" w:ascii="Tahoma" w:hAnsi="Tahoma"/>
          <w:sz w:val="20"/>
          <w:szCs w:val="20"/>
        </w:rPr>
        <w:t>Jurisdiccional,</w:t>
      </w:r>
      <w:r>
        <w:rPr>
          <w:rFonts w:cs="Tahoma" w:ascii="Tahoma" w:hAnsi="Tahoma"/>
          <w:spacing w:val="40"/>
          <w:sz w:val="20"/>
          <w:szCs w:val="20"/>
        </w:rPr>
        <w:t xml:space="preserve"> </w:t>
      </w:r>
      <w:r>
        <w:rPr>
          <w:rFonts w:cs="Tahoma" w:ascii="Tahoma" w:hAnsi="Tahoma"/>
          <w:sz w:val="20"/>
          <w:szCs w:val="20"/>
        </w:rPr>
        <w:t>con</w:t>
      </w:r>
      <w:r>
        <w:rPr>
          <w:rFonts w:cs="Tahoma" w:ascii="Tahoma" w:hAnsi="Tahoma"/>
          <w:spacing w:val="40"/>
          <w:sz w:val="20"/>
          <w:szCs w:val="20"/>
        </w:rPr>
        <w:t xml:space="preserve"> </w:t>
      </w:r>
      <w:r>
        <w:rPr>
          <w:rFonts w:cs="Tahoma" w:ascii="Tahoma" w:hAnsi="Tahoma"/>
          <w:sz w:val="20"/>
          <w:szCs w:val="20"/>
        </w:rPr>
        <w:t>ocasión</w:t>
      </w:r>
      <w:r>
        <w:rPr>
          <w:rFonts w:cs="Tahoma" w:ascii="Tahoma" w:hAnsi="Tahoma"/>
          <w:spacing w:val="41"/>
          <w:sz w:val="20"/>
          <w:szCs w:val="20"/>
        </w:rPr>
        <w:t xml:space="preserve"> </w:t>
      </w:r>
      <w:r>
        <w:rPr>
          <w:rFonts w:cs="Tahoma" w:ascii="Tahoma" w:hAnsi="Tahoma"/>
          <w:sz w:val="20"/>
          <w:szCs w:val="20"/>
        </w:rPr>
        <w:t>del encuentro</w:t>
      </w:r>
      <w:r>
        <w:rPr>
          <w:rFonts w:cs="Tahoma" w:ascii="Tahoma" w:hAnsi="Tahoma"/>
          <w:spacing w:val="16"/>
          <w:sz w:val="20"/>
          <w:szCs w:val="20"/>
        </w:rPr>
        <w:t xml:space="preserve"> </w:t>
      </w:r>
      <w:r>
        <w:rPr>
          <w:rFonts w:cs="Tahoma" w:ascii="Tahoma" w:hAnsi="Tahoma"/>
          <w:sz w:val="20"/>
          <w:szCs w:val="20"/>
        </w:rPr>
        <w:t>realizado</w:t>
      </w:r>
      <w:r>
        <w:rPr>
          <w:rFonts w:cs="Tahoma" w:ascii="Tahoma" w:hAnsi="Tahoma"/>
          <w:spacing w:val="16"/>
          <w:sz w:val="20"/>
          <w:szCs w:val="20"/>
        </w:rPr>
        <w:t xml:space="preserve"> </w:t>
      </w:r>
      <w:r>
        <w:rPr>
          <w:rFonts w:cs="Tahoma" w:ascii="Tahoma" w:hAnsi="Tahoma"/>
          <w:sz w:val="20"/>
          <w:szCs w:val="20"/>
        </w:rPr>
        <w:t>entre</w:t>
      </w:r>
      <w:r>
        <w:rPr>
          <w:rFonts w:cs="Tahoma" w:ascii="Tahoma" w:hAnsi="Tahoma"/>
          <w:spacing w:val="16"/>
          <w:sz w:val="20"/>
          <w:szCs w:val="20"/>
        </w:rPr>
        <w:t xml:space="preserve"> </w:t>
      </w:r>
      <w:r>
        <w:rPr>
          <w:rFonts w:cs="Tahoma" w:ascii="Tahoma" w:hAnsi="Tahoma"/>
          <w:sz w:val="20"/>
          <w:szCs w:val="20"/>
        </w:rPr>
        <w:t>representantes</w:t>
      </w:r>
      <w:r>
        <w:rPr>
          <w:rFonts w:cs="Tahoma" w:ascii="Tahoma" w:hAnsi="Tahoma"/>
          <w:spacing w:val="17"/>
          <w:sz w:val="20"/>
          <w:szCs w:val="20"/>
        </w:rPr>
        <w:t xml:space="preserve"> </w:t>
      </w:r>
      <w:r>
        <w:rPr>
          <w:rFonts w:cs="Tahoma" w:ascii="Tahoma" w:hAnsi="Tahoma"/>
          <w:sz w:val="20"/>
          <w:szCs w:val="20"/>
        </w:rPr>
        <w:t>del</w:t>
      </w:r>
      <w:r>
        <w:rPr>
          <w:rFonts w:cs="Tahoma" w:ascii="Tahoma" w:hAnsi="Tahoma"/>
          <w:spacing w:val="17"/>
          <w:sz w:val="20"/>
          <w:szCs w:val="20"/>
        </w:rPr>
        <w:t xml:space="preserve"> </w:t>
      </w:r>
      <w:r>
        <w:rPr>
          <w:rFonts w:cs="Tahoma" w:ascii="Tahoma" w:hAnsi="Tahoma"/>
          <w:sz w:val="20"/>
          <w:szCs w:val="20"/>
        </w:rPr>
        <w:t>Estado</w:t>
      </w:r>
      <w:r>
        <w:rPr>
          <w:rFonts w:cs="Tahoma" w:ascii="Tahoma" w:hAnsi="Tahoma"/>
          <w:spacing w:val="17"/>
          <w:sz w:val="20"/>
          <w:szCs w:val="20"/>
        </w:rPr>
        <w:t xml:space="preserve"> </w:t>
      </w:r>
      <w:r>
        <w:rPr>
          <w:rFonts w:cs="Tahoma" w:ascii="Tahoma" w:hAnsi="Tahoma"/>
          <w:sz w:val="20"/>
          <w:szCs w:val="20"/>
        </w:rPr>
        <w:t>y</w:t>
      </w:r>
      <w:r>
        <w:rPr>
          <w:rFonts w:cs="Tahoma" w:ascii="Tahoma" w:hAnsi="Tahoma"/>
          <w:spacing w:val="16"/>
          <w:sz w:val="20"/>
          <w:szCs w:val="20"/>
        </w:rPr>
        <w:t xml:space="preserve"> </w:t>
      </w:r>
      <w:r>
        <w:rPr>
          <w:rFonts w:cs="Tahoma" w:ascii="Tahoma" w:hAnsi="Tahoma"/>
          <w:sz w:val="20"/>
          <w:szCs w:val="20"/>
        </w:rPr>
        <w:t>Personas</w:t>
      </w:r>
      <w:r>
        <w:rPr>
          <w:rFonts w:cs="Tahoma" w:ascii="Tahoma" w:hAnsi="Tahoma"/>
          <w:spacing w:val="17"/>
          <w:sz w:val="20"/>
          <w:szCs w:val="20"/>
        </w:rPr>
        <w:t xml:space="preserve"> </w:t>
      </w:r>
      <w:r>
        <w:rPr>
          <w:rFonts w:cs="Tahoma" w:ascii="Tahoma" w:hAnsi="Tahoma"/>
          <w:sz w:val="20"/>
          <w:szCs w:val="20"/>
        </w:rPr>
        <w:t>Indígenas</w:t>
      </w:r>
      <w:r>
        <w:rPr>
          <w:rFonts w:cs="Tahoma" w:ascii="Tahoma" w:hAnsi="Tahoma"/>
          <w:spacing w:val="18"/>
          <w:sz w:val="20"/>
          <w:szCs w:val="20"/>
        </w:rPr>
        <w:t xml:space="preserve"> </w:t>
      </w:r>
      <w:r>
        <w:rPr>
          <w:rFonts w:cs="Tahoma" w:ascii="Tahoma" w:hAnsi="Tahoma"/>
          <w:sz w:val="20"/>
          <w:szCs w:val="20"/>
        </w:rPr>
        <w:t>Bribri</w:t>
      </w:r>
      <w:r>
        <w:rPr>
          <w:rFonts w:cs="Tahoma" w:ascii="Tahoma" w:hAnsi="Tahoma"/>
          <w:spacing w:val="14"/>
          <w:sz w:val="20"/>
          <w:szCs w:val="20"/>
        </w:rPr>
        <w:t xml:space="preserve"> </w:t>
      </w:r>
      <w:r>
        <w:rPr>
          <w:rFonts w:cs="Tahoma" w:ascii="Tahoma" w:hAnsi="Tahoma"/>
          <w:sz w:val="20"/>
          <w:szCs w:val="20"/>
        </w:rPr>
        <w:t>de</w:t>
      </w:r>
      <w:r>
        <w:rPr>
          <w:rFonts w:cs="Tahoma" w:ascii="Tahoma" w:hAnsi="Tahoma"/>
          <w:spacing w:val="16"/>
          <w:sz w:val="20"/>
          <w:szCs w:val="20"/>
        </w:rPr>
        <w:t xml:space="preserve"> </w:t>
      </w:r>
      <w:r>
        <w:rPr>
          <w:rFonts w:cs="Tahoma" w:ascii="Tahoma" w:hAnsi="Tahoma"/>
          <w:sz w:val="20"/>
          <w:szCs w:val="20"/>
        </w:rPr>
        <w:t>Salitre</w:t>
      </w:r>
      <w:r>
        <w:rPr>
          <w:rFonts w:cs="Tahoma" w:ascii="Tahoma" w:hAnsi="Tahoma"/>
          <w:spacing w:val="16"/>
          <w:sz w:val="20"/>
          <w:szCs w:val="20"/>
        </w:rPr>
        <w:t xml:space="preserve"> </w:t>
      </w:r>
      <w:r>
        <w:rPr>
          <w:rFonts w:cs="Tahoma" w:ascii="Tahoma" w:hAnsi="Tahoma"/>
          <w:sz w:val="20"/>
          <w:szCs w:val="20"/>
        </w:rPr>
        <w:t>y Térraba,</w:t>
      </w:r>
      <w:r>
        <w:rPr>
          <w:rFonts w:cs="Tahoma" w:ascii="Tahoma" w:hAnsi="Tahoma"/>
          <w:spacing w:val="44"/>
          <w:sz w:val="20"/>
          <w:szCs w:val="20"/>
        </w:rPr>
        <w:t xml:space="preserve"> </w:t>
      </w:r>
      <w:r>
        <w:rPr>
          <w:rFonts w:cs="Tahoma" w:ascii="Tahoma" w:hAnsi="Tahoma"/>
          <w:sz w:val="20"/>
          <w:szCs w:val="20"/>
        </w:rPr>
        <w:t>en</w:t>
      </w:r>
      <w:r>
        <w:rPr>
          <w:rFonts w:cs="Tahoma" w:ascii="Tahoma" w:hAnsi="Tahoma"/>
          <w:spacing w:val="46"/>
          <w:sz w:val="20"/>
          <w:szCs w:val="20"/>
        </w:rPr>
        <w:t xml:space="preserve"> </w:t>
      </w:r>
      <w:r>
        <w:rPr>
          <w:rFonts w:cs="Tahoma" w:ascii="Tahoma" w:hAnsi="Tahoma"/>
          <w:sz w:val="20"/>
          <w:szCs w:val="20"/>
        </w:rPr>
        <w:t>cumplimiento</w:t>
      </w:r>
      <w:r>
        <w:rPr>
          <w:rFonts w:cs="Tahoma" w:ascii="Tahoma" w:hAnsi="Tahoma"/>
          <w:spacing w:val="45"/>
          <w:sz w:val="20"/>
          <w:szCs w:val="20"/>
        </w:rPr>
        <w:t xml:space="preserve"> </w:t>
      </w:r>
      <w:r>
        <w:rPr>
          <w:rFonts w:cs="Tahoma" w:ascii="Tahoma" w:hAnsi="Tahoma"/>
          <w:sz w:val="20"/>
          <w:szCs w:val="20"/>
        </w:rPr>
        <w:t>de</w:t>
      </w:r>
      <w:r>
        <w:rPr>
          <w:rFonts w:cs="Tahoma" w:ascii="Tahoma" w:hAnsi="Tahoma"/>
          <w:spacing w:val="43"/>
          <w:sz w:val="20"/>
          <w:szCs w:val="20"/>
        </w:rPr>
        <w:t xml:space="preserve"> </w:t>
      </w:r>
      <w:r>
        <w:rPr>
          <w:rFonts w:cs="Tahoma" w:ascii="Tahoma" w:hAnsi="Tahoma"/>
          <w:sz w:val="20"/>
          <w:szCs w:val="20"/>
        </w:rPr>
        <w:t>las</w:t>
      </w:r>
      <w:r>
        <w:rPr>
          <w:rFonts w:cs="Tahoma" w:ascii="Tahoma" w:hAnsi="Tahoma"/>
          <w:spacing w:val="46"/>
          <w:sz w:val="20"/>
          <w:szCs w:val="20"/>
        </w:rPr>
        <w:t xml:space="preserve"> </w:t>
      </w:r>
      <w:r>
        <w:rPr>
          <w:rFonts w:cs="Tahoma" w:ascii="Tahoma" w:hAnsi="Tahoma"/>
          <w:sz w:val="20"/>
          <w:szCs w:val="20"/>
        </w:rPr>
        <w:t>Medidas</w:t>
      </w:r>
      <w:r>
        <w:rPr>
          <w:rFonts w:cs="Tahoma" w:ascii="Tahoma" w:hAnsi="Tahoma"/>
          <w:spacing w:val="44"/>
          <w:sz w:val="20"/>
          <w:szCs w:val="20"/>
        </w:rPr>
        <w:t xml:space="preserve"> </w:t>
      </w:r>
      <w:r>
        <w:rPr>
          <w:rFonts w:cs="Tahoma" w:ascii="Tahoma" w:hAnsi="Tahoma"/>
          <w:sz w:val="20"/>
          <w:szCs w:val="20"/>
        </w:rPr>
        <w:t>Cautelares</w:t>
      </w:r>
      <w:r>
        <w:rPr>
          <w:rFonts w:cs="Tahoma" w:ascii="Tahoma" w:hAnsi="Tahoma"/>
          <w:spacing w:val="45"/>
          <w:sz w:val="20"/>
          <w:szCs w:val="20"/>
        </w:rPr>
        <w:t xml:space="preserve"> </w:t>
      </w:r>
      <w:r>
        <w:rPr>
          <w:rFonts w:cs="Tahoma" w:ascii="Tahoma" w:hAnsi="Tahoma"/>
          <w:sz w:val="20"/>
          <w:szCs w:val="20"/>
        </w:rPr>
        <w:t>N°</w:t>
      </w:r>
      <w:r>
        <w:rPr>
          <w:rFonts w:cs="Tahoma" w:ascii="Tahoma" w:hAnsi="Tahoma"/>
          <w:spacing w:val="44"/>
          <w:sz w:val="20"/>
          <w:szCs w:val="20"/>
        </w:rPr>
        <w:t xml:space="preserve"> </w:t>
      </w:r>
      <w:r>
        <w:rPr>
          <w:rFonts w:cs="Tahoma" w:ascii="Tahoma" w:hAnsi="Tahoma"/>
          <w:sz w:val="20"/>
          <w:szCs w:val="20"/>
        </w:rPr>
        <w:t>321-12</w:t>
      </w:r>
      <w:r>
        <w:rPr>
          <w:rFonts w:cs="Tahoma" w:ascii="Tahoma" w:hAnsi="Tahoma"/>
          <w:spacing w:val="44"/>
          <w:sz w:val="20"/>
          <w:szCs w:val="20"/>
        </w:rPr>
        <w:t xml:space="preserve"> </w:t>
      </w:r>
      <w:r>
        <w:rPr>
          <w:rFonts w:cs="Tahoma" w:ascii="Tahoma" w:hAnsi="Tahoma"/>
          <w:sz w:val="20"/>
          <w:szCs w:val="20"/>
        </w:rPr>
        <w:t>del</w:t>
      </w:r>
      <w:r>
        <w:rPr>
          <w:rFonts w:cs="Tahoma" w:ascii="Tahoma" w:hAnsi="Tahoma"/>
          <w:spacing w:val="48"/>
          <w:sz w:val="20"/>
          <w:szCs w:val="20"/>
        </w:rPr>
        <w:t xml:space="preserve"> </w:t>
      </w:r>
      <w:r>
        <w:rPr>
          <w:rFonts w:cs="Tahoma" w:ascii="Tahoma" w:hAnsi="Tahoma"/>
          <w:sz w:val="20"/>
          <w:szCs w:val="20"/>
        </w:rPr>
        <w:t>30</w:t>
      </w:r>
      <w:r>
        <w:rPr>
          <w:rFonts w:cs="Tahoma" w:ascii="Tahoma" w:hAnsi="Tahoma"/>
          <w:spacing w:val="44"/>
          <w:sz w:val="20"/>
          <w:szCs w:val="20"/>
        </w:rPr>
        <w:t xml:space="preserve"> </w:t>
      </w:r>
      <w:r>
        <w:rPr>
          <w:rFonts w:cs="Tahoma" w:ascii="Tahoma" w:hAnsi="Tahoma"/>
          <w:sz w:val="20"/>
          <w:szCs w:val="20"/>
        </w:rPr>
        <w:t>de</w:t>
      </w:r>
      <w:r>
        <w:rPr>
          <w:rFonts w:cs="Tahoma" w:ascii="Tahoma" w:hAnsi="Tahoma"/>
          <w:spacing w:val="44"/>
          <w:sz w:val="20"/>
          <w:szCs w:val="20"/>
        </w:rPr>
        <w:t xml:space="preserve"> </w:t>
      </w:r>
      <w:r>
        <w:rPr>
          <w:rFonts w:cs="Tahoma" w:ascii="Tahoma" w:hAnsi="Tahoma"/>
          <w:sz w:val="20"/>
          <w:szCs w:val="20"/>
        </w:rPr>
        <w:t>abril</w:t>
      </w:r>
      <w:r>
        <w:rPr>
          <w:rFonts w:cs="Tahoma" w:ascii="Tahoma" w:hAnsi="Tahoma"/>
          <w:spacing w:val="44"/>
          <w:sz w:val="20"/>
          <w:szCs w:val="20"/>
        </w:rPr>
        <w:t xml:space="preserve"> </w:t>
      </w:r>
      <w:r>
        <w:rPr>
          <w:rFonts w:cs="Tahoma" w:ascii="Tahoma" w:hAnsi="Tahoma"/>
          <w:sz w:val="20"/>
          <w:szCs w:val="20"/>
        </w:rPr>
        <w:t>de</w:t>
      </w:r>
      <w:r>
        <w:rPr>
          <w:rFonts w:cs="Tahoma" w:ascii="Tahoma" w:hAnsi="Tahoma"/>
          <w:spacing w:val="44"/>
          <w:sz w:val="20"/>
          <w:szCs w:val="20"/>
        </w:rPr>
        <w:t xml:space="preserve"> </w:t>
      </w:r>
      <w:r>
        <w:rPr>
          <w:rFonts w:cs="Tahoma" w:ascii="Tahoma" w:hAnsi="Tahoma"/>
          <w:sz w:val="20"/>
          <w:szCs w:val="20"/>
        </w:rPr>
        <w:t>2015, establecidas</w:t>
      </w:r>
      <w:r>
        <w:rPr>
          <w:rFonts w:cs="Tahoma" w:ascii="Tahoma" w:hAnsi="Tahoma"/>
          <w:spacing w:val="-12"/>
          <w:sz w:val="20"/>
          <w:szCs w:val="20"/>
        </w:rPr>
        <w:t xml:space="preserve"> </w:t>
      </w:r>
      <w:r>
        <w:rPr>
          <w:rFonts w:cs="Tahoma" w:ascii="Tahoma" w:hAnsi="Tahoma"/>
          <w:sz w:val="20"/>
          <w:szCs w:val="20"/>
        </w:rPr>
        <w:t>por</w:t>
      </w:r>
      <w:r>
        <w:rPr>
          <w:rFonts w:cs="Tahoma" w:ascii="Tahoma" w:hAnsi="Tahoma"/>
          <w:spacing w:val="-11"/>
          <w:sz w:val="20"/>
          <w:szCs w:val="20"/>
        </w:rPr>
        <w:t xml:space="preserve"> </w:t>
      </w:r>
      <w:r>
        <w:rPr>
          <w:rFonts w:cs="Tahoma" w:ascii="Tahoma" w:hAnsi="Tahoma"/>
          <w:sz w:val="20"/>
          <w:szCs w:val="20"/>
        </w:rPr>
        <w:t>la</w:t>
      </w:r>
      <w:r>
        <w:rPr>
          <w:rFonts w:cs="Tahoma" w:ascii="Tahoma" w:hAnsi="Tahoma"/>
          <w:spacing w:val="-13"/>
          <w:sz w:val="20"/>
          <w:szCs w:val="20"/>
        </w:rPr>
        <w:t xml:space="preserve"> </w:t>
      </w:r>
      <w:r>
        <w:rPr>
          <w:rFonts w:cs="Tahoma" w:ascii="Tahoma" w:hAnsi="Tahoma"/>
          <w:sz w:val="20"/>
          <w:szCs w:val="20"/>
        </w:rPr>
        <w:t>Comisión</w:t>
      </w:r>
      <w:r>
        <w:rPr>
          <w:rFonts w:cs="Tahoma" w:ascii="Tahoma" w:hAnsi="Tahoma"/>
          <w:spacing w:val="-12"/>
          <w:sz w:val="20"/>
          <w:szCs w:val="20"/>
        </w:rPr>
        <w:t xml:space="preserve"> </w:t>
      </w:r>
      <w:r>
        <w:rPr>
          <w:rFonts w:cs="Tahoma" w:ascii="Tahoma" w:hAnsi="Tahoma"/>
          <w:sz w:val="20"/>
          <w:szCs w:val="20"/>
        </w:rPr>
        <w:t>Interamericana</w:t>
      </w:r>
      <w:r>
        <w:rPr>
          <w:rFonts w:cs="Tahoma" w:ascii="Tahoma" w:hAnsi="Tahoma"/>
          <w:spacing w:val="-11"/>
          <w:sz w:val="20"/>
          <w:szCs w:val="20"/>
        </w:rPr>
        <w:t xml:space="preserve"> </w:t>
      </w:r>
      <w:r>
        <w:rPr>
          <w:rFonts w:cs="Tahoma" w:ascii="Tahoma" w:hAnsi="Tahoma"/>
          <w:sz w:val="20"/>
          <w:szCs w:val="20"/>
        </w:rPr>
        <w:t>de</w:t>
      </w:r>
      <w:r>
        <w:rPr>
          <w:rFonts w:cs="Tahoma" w:ascii="Tahoma" w:hAnsi="Tahoma"/>
          <w:spacing w:val="-13"/>
          <w:sz w:val="20"/>
          <w:szCs w:val="20"/>
        </w:rPr>
        <w:t xml:space="preserve"> </w:t>
      </w:r>
      <w:r>
        <w:rPr>
          <w:rFonts w:cs="Tahoma" w:ascii="Tahoma" w:hAnsi="Tahoma"/>
          <w:sz w:val="20"/>
          <w:szCs w:val="20"/>
        </w:rPr>
        <w:t>Derechos</w:t>
      </w:r>
      <w:r>
        <w:rPr>
          <w:rFonts w:cs="Tahoma" w:ascii="Tahoma" w:hAnsi="Tahoma"/>
          <w:spacing w:val="-11"/>
          <w:sz w:val="20"/>
          <w:szCs w:val="20"/>
        </w:rPr>
        <w:t xml:space="preserve"> </w:t>
      </w:r>
      <w:r>
        <w:rPr>
          <w:rFonts w:cs="Tahoma" w:ascii="Tahoma" w:hAnsi="Tahoma"/>
          <w:sz w:val="20"/>
          <w:szCs w:val="20"/>
        </w:rPr>
        <w:t>Humanos</w:t>
      </w:r>
      <w:r>
        <w:rPr>
          <w:rFonts w:cs="Tahoma" w:ascii="Tahoma" w:hAnsi="Tahoma"/>
          <w:spacing w:val="-12"/>
          <w:sz w:val="20"/>
          <w:szCs w:val="20"/>
        </w:rPr>
        <w:t xml:space="preserve"> </w:t>
      </w:r>
      <w:r>
        <w:rPr>
          <w:rFonts w:cs="Tahoma" w:ascii="Tahoma" w:hAnsi="Tahoma"/>
          <w:sz w:val="20"/>
          <w:szCs w:val="20"/>
        </w:rPr>
        <w:t>(CIDH)</w:t>
      </w:r>
      <w:r>
        <w:rPr>
          <w:rFonts w:cs="Tahoma" w:ascii="Tahoma" w:hAnsi="Tahoma"/>
          <w:spacing w:val="-12"/>
          <w:sz w:val="20"/>
          <w:szCs w:val="20"/>
        </w:rPr>
        <w:t xml:space="preserve"> </w:t>
      </w:r>
      <w:r>
        <w:rPr>
          <w:rFonts w:cs="Tahoma" w:ascii="Tahoma" w:hAnsi="Tahoma"/>
          <w:sz w:val="20"/>
          <w:szCs w:val="20"/>
        </w:rPr>
        <w:t>contra</w:t>
      </w:r>
      <w:r>
        <w:rPr>
          <w:rFonts w:cs="Tahoma" w:ascii="Tahoma" w:hAnsi="Tahoma"/>
          <w:spacing w:val="-11"/>
          <w:sz w:val="20"/>
          <w:szCs w:val="20"/>
        </w:rPr>
        <w:t xml:space="preserve"> </w:t>
      </w:r>
      <w:r>
        <w:rPr>
          <w:rFonts w:cs="Tahoma" w:ascii="Tahoma" w:hAnsi="Tahoma"/>
          <w:sz w:val="20"/>
          <w:szCs w:val="20"/>
        </w:rPr>
        <w:t>Costa</w:t>
      </w:r>
      <w:r>
        <w:rPr>
          <w:rFonts w:cs="Tahoma" w:ascii="Tahoma" w:hAnsi="Tahoma"/>
          <w:spacing w:val="-12"/>
          <w:sz w:val="20"/>
          <w:szCs w:val="20"/>
        </w:rPr>
        <w:t xml:space="preserve"> </w:t>
      </w:r>
      <w:r>
        <w:rPr>
          <w:rFonts w:cs="Tahoma" w:ascii="Tahoma" w:hAnsi="Tahoma"/>
          <w:sz w:val="20"/>
          <w:szCs w:val="20"/>
        </w:rPr>
        <w:t>Rica.</w:t>
      </w:r>
    </w:p>
    <w:p>
      <w:pPr>
        <w:pStyle w:val="Cuerpodetexto"/>
        <w:ind w:left="117" w:right="121" w:firstLine="707"/>
        <w:jc w:val="both"/>
        <w:rPr>
          <w:rFonts w:ascii="Tahoma" w:hAnsi="Tahoma" w:cs="Tahoma"/>
          <w:sz w:val="20"/>
          <w:szCs w:val="20"/>
        </w:rPr>
      </w:pPr>
      <w:r>
        <w:rPr>
          <w:rFonts w:cs="Tahoma" w:ascii="Tahoma" w:hAnsi="Tahoma"/>
          <w:i/>
          <w:sz w:val="20"/>
          <w:szCs w:val="20"/>
        </w:rPr>
        <w:t xml:space="preserve">En sesión N° 42-19 celebrada el 7 de octubre en curso, artículo VII, se dispuso realizar </w:t>
      </w:r>
      <w:r>
        <w:rPr>
          <w:rFonts w:cs="Tahoma" w:ascii="Tahoma" w:hAnsi="Tahoma"/>
          <w:sz w:val="20"/>
          <w:szCs w:val="20"/>
        </w:rPr>
        <w:t>la publicación nuevamente de la Circular 123-2019 correspondiente a los ejes de acción recomendados por la Comisión de Acceso a la Justicia, eliminando el eje número 20 por encontrarse repetido.</w:t>
      </w:r>
    </w:p>
    <w:p>
      <w:pPr>
        <w:pStyle w:val="Cuerpodetexto"/>
        <w:rPr>
          <w:rFonts w:ascii="Tahoma" w:hAnsi="Tahoma" w:cs="Tahoma"/>
          <w:i/>
          <w:i/>
          <w:sz w:val="20"/>
          <w:szCs w:val="20"/>
        </w:rPr>
      </w:pPr>
      <w:r>
        <w:rPr>
          <w:rFonts w:cs="Tahoma" w:ascii="Tahoma" w:hAnsi="Tahoma"/>
          <w:i/>
          <w:sz w:val="20"/>
          <w:szCs w:val="20"/>
        </w:rPr>
      </w:r>
    </w:p>
    <w:p>
      <w:pPr>
        <w:pStyle w:val="Cuerpodetexto"/>
        <w:ind w:left="825" w:hanging="0"/>
        <w:rPr>
          <w:rFonts w:ascii="Tahoma" w:hAnsi="Tahoma" w:cs="Tahoma"/>
          <w:i/>
          <w:i/>
          <w:sz w:val="20"/>
          <w:szCs w:val="20"/>
        </w:rPr>
      </w:pPr>
      <w:r>
        <w:rPr>
          <w:rFonts w:cs="Tahoma" w:ascii="Tahoma" w:hAnsi="Tahoma"/>
          <w:i/>
          <w:sz w:val="20"/>
          <w:szCs w:val="20"/>
        </w:rPr>
      </w:r>
    </w:p>
    <w:p>
      <w:pPr>
        <w:pStyle w:val="Cuerpodetexto"/>
        <w:ind w:left="825" w:hanging="0"/>
        <w:rPr>
          <w:rFonts w:ascii="Tahoma" w:hAnsi="Tahoma" w:cs="Tahoma"/>
          <w:sz w:val="20"/>
          <w:szCs w:val="20"/>
        </w:rPr>
      </w:pPr>
      <w:r>
        <w:rPr>
          <w:rFonts w:cs="Tahoma" w:ascii="Tahoma" w:hAnsi="Tahoma"/>
          <w:i/>
          <w:sz w:val="20"/>
          <w:szCs w:val="20"/>
        </w:rPr>
        <w:t>Los citados ejes son los siguientes: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22" w:leader="none"/>
        </w:tabs>
        <w:spacing w:before="1" w:after="0"/>
        <w:ind w:left="969" w:right="970" w:firstLine="708"/>
        <w:jc w:val="both"/>
        <w:rPr>
          <w:rFonts w:ascii="Tahoma" w:hAnsi="Tahoma" w:cs="Tahoma"/>
          <w:i/>
          <w:i/>
          <w:sz w:val="20"/>
        </w:rPr>
      </w:pPr>
      <w:r>
        <w:rPr>
          <w:rFonts w:cs="Tahoma" w:ascii="Tahoma" w:hAnsi="Tahoma"/>
          <w:i/>
          <w:sz w:val="20"/>
        </w:rPr>
        <w:t xml:space="preserve">Concertar con las personas indígenas beneficiarias de las Medidas Cautelares N° 321-12 emitidas por la CIDH contra Costa Rica, las acciones a seguir para garantizar la vida y seguridad personal de los miembros del pueblo indígena </w:t>
      </w:r>
      <w:r>
        <w:rPr>
          <w:rFonts w:cs="Tahoma" w:ascii="Tahoma" w:hAnsi="Tahoma"/>
          <w:i/>
          <w:spacing w:val="-5"/>
          <w:sz w:val="20"/>
        </w:rPr>
        <w:t xml:space="preserve">Teribe </w:t>
      </w:r>
      <w:r>
        <w:rPr>
          <w:rFonts w:cs="Tahoma" w:ascii="Tahoma" w:hAnsi="Tahoma"/>
          <w:i/>
          <w:sz w:val="20"/>
        </w:rPr>
        <w:t xml:space="preserve">y Bribri de Salitre; e informarles las que ya se han adoptado para investigar los presuntos hechos que dieron lugar a tales medidas para evitar su repetición. Lo </w:t>
      </w:r>
      <w:r>
        <w:rPr>
          <w:rFonts w:cs="Tahoma" w:ascii="Tahoma" w:hAnsi="Tahoma"/>
          <w:i/>
          <w:spacing w:val="-3"/>
          <w:sz w:val="20"/>
        </w:rPr>
        <w:t xml:space="preserve">anterior, </w:t>
      </w:r>
      <w:r>
        <w:rPr>
          <w:rFonts w:cs="Tahoma" w:ascii="Tahoma" w:hAnsi="Tahoma"/>
          <w:i/>
          <w:sz w:val="20"/>
        </w:rPr>
        <w:t xml:space="preserve">con el objetivo de dar cumplimiento a los mandatos de la CIDH y construir confianza y diálogo intercultural. En la medida de lo posible, realizar las sesiones de trabajo en los territorios indígenas involucrados, con la colaboración de personas traductoras que faciliten la comunicación efectiva y transparente. Se sugiere valorar sean las principales jefaturas institucionales quienes ejecuten esta </w:t>
      </w:r>
      <w:r>
        <w:rPr>
          <w:rFonts w:cs="Tahoma" w:ascii="Tahoma" w:hAnsi="Tahoma"/>
          <w:i/>
          <w:spacing w:val="-5"/>
          <w:sz w:val="20"/>
        </w:rPr>
        <w:t>labor.</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08" w:leader="none"/>
        </w:tabs>
        <w:spacing w:before="0" w:after="0"/>
        <w:ind w:left="969" w:right="969" w:firstLine="708"/>
        <w:jc w:val="both"/>
        <w:rPr>
          <w:rFonts w:ascii="Tahoma" w:hAnsi="Tahoma" w:cs="Tahoma"/>
          <w:i/>
          <w:i/>
          <w:sz w:val="20"/>
        </w:rPr>
      </w:pPr>
      <w:r>
        <w:rPr>
          <w:rFonts w:cs="Tahoma" w:ascii="Tahoma" w:hAnsi="Tahoma"/>
          <w:i/>
          <w:sz w:val="20"/>
        </w:rPr>
        <w:t>Identificar</w:t>
      </w:r>
      <w:r>
        <w:rPr>
          <w:rFonts w:cs="Tahoma" w:ascii="Tahoma" w:hAnsi="Tahoma"/>
          <w:i/>
          <w:spacing w:val="-14"/>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analizar</w:t>
      </w:r>
      <w:r>
        <w:rPr>
          <w:rFonts w:cs="Tahoma" w:ascii="Tahoma" w:hAnsi="Tahoma"/>
          <w:i/>
          <w:spacing w:val="-13"/>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riesgos</w:t>
      </w:r>
      <w:r>
        <w:rPr>
          <w:rFonts w:cs="Tahoma" w:ascii="Tahoma" w:hAnsi="Tahoma"/>
          <w:i/>
          <w:spacing w:val="-13"/>
          <w:sz w:val="20"/>
        </w:rPr>
        <w:t xml:space="preserve"> </w:t>
      </w:r>
      <w:r>
        <w:rPr>
          <w:rFonts w:cs="Tahoma" w:ascii="Tahoma" w:hAnsi="Tahoma"/>
          <w:i/>
          <w:sz w:val="20"/>
        </w:rPr>
        <w:t>relevantes</w:t>
      </w:r>
      <w:r>
        <w:rPr>
          <w:rFonts w:cs="Tahoma" w:ascii="Tahoma" w:hAnsi="Tahoma"/>
          <w:i/>
          <w:spacing w:val="-13"/>
          <w:sz w:val="20"/>
        </w:rPr>
        <w:t xml:space="preserve"> </w:t>
      </w:r>
      <w:r>
        <w:rPr>
          <w:rFonts w:cs="Tahoma" w:ascii="Tahoma" w:hAnsi="Tahoma"/>
          <w:i/>
          <w:sz w:val="20"/>
        </w:rPr>
        <w:t>asociados</w:t>
      </w:r>
      <w:r>
        <w:rPr>
          <w:rFonts w:cs="Tahoma" w:ascii="Tahoma" w:hAnsi="Tahoma"/>
          <w:i/>
          <w:spacing w:val="-13"/>
          <w:sz w:val="20"/>
        </w:rPr>
        <w:t xml:space="preserve"> </w:t>
      </w:r>
      <w:r>
        <w:rPr>
          <w:rFonts w:cs="Tahoma" w:ascii="Tahoma" w:hAnsi="Tahoma"/>
          <w:i/>
          <w:sz w:val="20"/>
        </w:rPr>
        <w:t>al</w:t>
      </w:r>
      <w:r>
        <w:rPr>
          <w:rFonts w:cs="Tahoma" w:ascii="Tahoma" w:hAnsi="Tahoma"/>
          <w:i/>
          <w:spacing w:val="-13"/>
          <w:sz w:val="20"/>
        </w:rPr>
        <w:t xml:space="preserve"> </w:t>
      </w:r>
      <w:r>
        <w:rPr>
          <w:rFonts w:cs="Tahoma" w:ascii="Tahoma" w:hAnsi="Tahoma"/>
          <w:i/>
          <w:sz w:val="20"/>
        </w:rPr>
        <w:t>logro</w:t>
      </w:r>
      <w:r>
        <w:rPr>
          <w:rFonts w:cs="Tahoma" w:ascii="Tahoma" w:hAnsi="Tahoma"/>
          <w:i/>
          <w:spacing w:val="-13"/>
          <w:sz w:val="20"/>
        </w:rPr>
        <w:t xml:space="preserve"> </w:t>
      </w:r>
      <w:r>
        <w:rPr>
          <w:rFonts w:cs="Tahoma" w:ascii="Tahoma" w:hAnsi="Tahoma"/>
          <w:i/>
          <w:sz w:val="20"/>
        </w:rPr>
        <w:t>de</w:t>
      </w:r>
      <w:r>
        <w:rPr>
          <w:rFonts w:cs="Tahoma" w:ascii="Tahoma" w:hAnsi="Tahoma"/>
          <w:i/>
          <w:spacing w:val="-14"/>
          <w:sz w:val="20"/>
        </w:rPr>
        <w:t xml:space="preserve"> </w:t>
      </w:r>
      <w:r>
        <w:rPr>
          <w:rFonts w:cs="Tahoma" w:ascii="Tahoma" w:hAnsi="Tahoma"/>
          <w:i/>
          <w:sz w:val="20"/>
        </w:rPr>
        <w:t>los objetivos y las metas institucionales vinculadas con la población indígena, establecidas en el Plan Estratégico Institucional 2019/2024 (ejes transversales acceso a la justicia y justicia abierta, entre otros); el efecto posible de tales riesgos, su importancia y la probabilidad de que ocurran, y decidir las acciones que se tomarán para administrarlos a fin de continuar con la adopción de las medidas necesarias para ubicarse por lo menos en un nivel de riesgo organizacional aceptable. Además, establecer los mecanismos operativos que minimicen el riesgo en las acciones por ejecutar en relación con</w:t>
      </w:r>
      <w:r>
        <w:rPr>
          <w:rFonts w:cs="Tahoma" w:ascii="Tahoma" w:hAnsi="Tahoma"/>
          <w:i/>
          <w:spacing w:val="-15"/>
          <w:sz w:val="20"/>
        </w:rPr>
        <w:t xml:space="preserve"> </w:t>
      </w:r>
      <w:r>
        <w:rPr>
          <w:rFonts w:cs="Tahoma" w:ascii="Tahoma" w:hAnsi="Tahoma"/>
          <w:i/>
          <w:sz w:val="20"/>
        </w:rPr>
        <w:t>la</w:t>
      </w:r>
      <w:r>
        <w:rPr>
          <w:rFonts w:cs="Tahoma" w:ascii="Tahoma" w:hAnsi="Tahoma"/>
          <w:i/>
          <w:spacing w:val="-14"/>
          <w:sz w:val="20"/>
        </w:rPr>
        <w:t xml:space="preserve"> </w:t>
      </w:r>
      <w:r>
        <w:rPr>
          <w:rFonts w:cs="Tahoma" w:ascii="Tahoma" w:hAnsi="Tahoma"/>
          <w:i/>
          <w:sz w:val="20"/>
        </w:rPr>
        <w:t>tramitación</w:t>
      </w:r>
      <w:r>
        <w:rPr>
          <w:rFonts w:cs="Tahoma" w:ascii="Tahoma" w:hAnsi="Tahoma"/>
          <w:i/>
          <w:spacing w:val="-14"/>
          <w:sz w:val="20"/>
        </w:rPr>
        <w:t xml:space="preserve"> </w:t>
      </w:r>
      <w:r>
        <w:rPr>
          <w:rFonts w:cs="Tahoma" w:ascii="Tahoma" w:hAnsi="Tahoma"/>
          <w:i/>
          <w:sz w:val="20"/>
        </w:rPr>
        <w:t>y</w:t>
      </w:r>
      <w:r>
        <w:rPr>
          <w:rFonts w:cs="Tahoma" w:ascii="Tahoma" w:hAnsi="Tahoma"/>
          <w:i/>
          <w:spacing w:val="-15"/>
          <w:sz w:val="20"/>
        </w:rPr>
        <w:t xml:space="preserve"> </w:t>
      </w:r>
      <w:r>
        <w:rPr>
          <w:rFonts w:cs="Tahoma" w:ascii="Tahoma" w:hAnsi="Tahoma"/>
          <w:i/>
          <w:sz w:val="20"/>
        </w:rPr>
        <w:t>resolución</w:t>
      </w:r>
      <w:r>
        <w:rPr>
          <w:rFonts w:cs="Tahoma" w:ascii="Tahoma" w:hAnsi="Tahoma"/>
          <w:i/>
          <w:spacing w:val="-14"/>
          <w:sz w:val="20"/>
        </w:rPr>
        <w:t xml:space="preserve"> </w:t>
      </w:r>
      <w:r>
        <w:rPr>
          <w:rFonts w:cs="Tahoma" w:ascii="Tahoma" w:hAnsi="Tahoma"/>
          <w:i/>
          <w:sz w:val="20"/>
        </w:rPr>
        <w:t>de</w:t>
      </w:r>
      <w:r>
        <w:rPr>
          <w:rFonts w:cs="Tahoma" w:ascii="Tahoma" w:hAnsi="Tahoma"/>
          <w:i/>
          <w:spacing w:val="-14"/>
          <w:sz w:val="20"/>
        </w:rPr>
        <w:t xml:space="preserve"> </w:t>
      </w:r>
      <w:r>
        <w:rPr>
          <w:rFonts w:cs="Tahoma" w:ascii="Tahoma" w:hAnsi="Tahoma"/>
          <w:i/>
          <w:sz w:val="20"/>
        </w:rPr>
        <w:t>los</w:t>
      </w:r>
      <w:r>
        <w:rPr>
          <w:rFonts w:cs="Tahoma" w:ascii="Tahoma" w:hAnsi="Tahoma"/>
          <w:i/>
          <w:spacing w:val="-15"/>
          <w:sz w:val="20"/>
        </w:rPr>
        <w:t xml:space="preserve"> </w:t>
      </w:r>
      <w:r>
        <w:rPr>
          <w:rFonts w:cs="Tahoma" w:ascii="Tahoma" w:hAnsi="Tahoma"/>
          <w:i/>
          <w:sz w:val="20"/>
        </w:rPr>
        <w:t>procesos</w:t>
      </w:r>
      <w:r>
        <w:rPr>
          <w:rFonts w:cs="Tahoma" w:ascii="Tahoma" w:hAnsi="Tahoma"/>
          <w:i/>
          <w:spacing w:val="-14"/>
          <w:sz w:val="20"/>
        </w:rPr>
        <w:t xml:space="preserve"> </w:t>
      </w:r>
      <w:r>
        <w:rPr>
          <w:rFonts w:cs="Tahoma" w:ascii="Tahoma" w:hAnsi="Tahoma"/>
          <w:i/>
          <w:sz w:val="20"/>
        </w:rPr>
        <w:t>judiciales</w:t>
      </w:r>
      <w:r>
        <w:rPr>
          <w:rFonts w:cs="Tahoma" w:ascii="Tahoma" w:hAnsi="Tahoma"/>
          <w:i/>
          <w:spacing w:val="-14"/>
          <w:sz w:val="20"/>
        </w:rPr>
        <w:t xml:space="preserve"> </w:t>
      </w:r>
      <w:r>
        <w:rPr>
          <w:rFonts w:cs="Tahoma" w:ascii="Tahoma" w:hAnsi="Tahoma"/>
          <w:i/>
          <w:sz w:val="20"/>
        </w:rPr>
        <w:t>en</w:t>
      </w:r>
      <w:r>
        <w:rPr>
          <w:rFonts w:cs="Tahoma" w:ascii="Tahoma" w:hAnsi="Tahoma"/>
          <w:i/>
          <w:spacing w:val="-14"/>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que</w:t>
      </w:r>
      <w:r>
        <w:rPr>
          <w:rFonts w:cs="Tahoma" w:ascii="Tahoma" w:hAnsi="Tahoma"/>
          <w:i/>
          <w:spacing w:val="-15"/>
          <w:sz w:val="20"/>
        </w:rPr>
        <w:t xml:space="preserve"> </w:t>
      </w:r>
      <w:r>
        <w:rPr>
          <w:rFonts w:cs="Tahoma" w:ascii="Tahoma" w:hAnsi="Tahoma"/>
          <w:i/>
          <w:sz w:val="20"/>
        </w:rPr>
        <w:t>sean</w:t>
      </w:r>
      <w:r>
        <w:rPr>
          <w:rFonts w:cs="Tahoma" w:ascii="Tahoma" w:hAnsi="Tahoma"/>
          <w:i/>
          <w:spacing w:val="-14"/>
          <w:sz w:val="20"/>
        </w:rPr>
        <w:t xml:space="preserve"> </w:t>
      </w:r>
      <w:r>
        <w:rPr>
          <w:rFonts w:cs="Tahoma" w:ascii="Tahoma" w:hAnsi="Tahoma"/>
          <w:i/>
          <w:sz w:val="20"/>
        </w:rPr>
        <w:t xml:space="preserve">parte pueblos indígenas, priorizando aquellos en los que 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4"/>
          <w:sz w:val="20"/>
        </w:rPr>
        <w:t xml:space="preserve"> </w:t>
      </w:r>
      <w:r>
        <w:rPr>
          <w:rFonts w:cs="Tahoma" w:ascii="Tahoma" w:hAnsi="Tahoma"/>
          <w:i/>
          <w:sz w:val="20"/>
        </w:rPr>
        <w:t>Salitre.</w:t>
      </w:r>
    </w:p>
    <w:p>
      <w:pPr>
        <w:pStyle w:val="ListParagraph"/>
        <w:widowControl w:val="false"/>
        <w:numPr>
          <w:ilvl w:val="0"/>
          <w:numId w:val="23"/>
        </w:numPr>
        <w:tabs>
          <w:tab w:val="clear" w:pos="708"/>
          <w:tab w:val="left" w:pos="1958" w:leader="none"/>
        </w:tabs>
        <w:spacing w:before="0" w:after="0"/>
        <w:ind w:left="969" w:right="970" w:firstLine="708"/>
        <w:jc w:val="both"/>
        <w:rPr>
          <w:rFonts w:ascii="Tahoma" w:hAnsi="Tahoma" w:cs="Tahoma"/>
          <w:i/>
          <w:i/>
          <w:sz w:val="20"/>
        </w:rPr>
      </w:pPr>
      <w:r>
        <w:rPr>
          <w:rFonts w:cs="Tahoma" w:ascii="Tahoma" w:hAnsi="Tahoma"/>
          <w:i/>
          <w:spacing w:val="-3"/>
          <w:sz w:val="20"/>
        </w:rPr>
        <w:t xml:space="preserve">Documentar, </w:t>
      </w:r>
      <w:r>
        <w:rPr>
          <w:rFonts w:cs="Tahoma" w:ascii="Tahoma" w:hAnsi="Tahoma"/>
          <w:i/>
          <w:sz w:val="20"/>
        </w:rPr>
        <w:t>mantener actualizados y divulgar internamente, las políticas,</w:t>
      </w:r>
      <w:r>
        <w:rPr>
          <w:rFonts w:cs="Tahoma" w:ascii="Tahoma" w:hAnsi="Tahoma"/>
          <w:i/>
          <w:spacing w:val="-6"/>
          <w:sz w:val="20"/>
        </w:rPr>
        <w:t xml:space="preserve"> </w:t>
      </w:r>
      <w:r>
        <w:rPr>
          <w:rFonts w:cs="Tahoma" w:ascii="Tahoma" w:hAnsi="Tahoma"/>
          <w:i/>
          <w:sz w:val="20"/>
        </w:rPr>
        <w:t>normas</w:t>
      </w:r>
      <w:r>
        <w:rPr>
          <w:rFonts w:cs="Tahoma" w:ascii="Tahoma" w:hAnsi="Tahoma"/>
          <w:i/>
          <w:spacing w:val="-5"/>
          <w:sz w:val="20"/>
        </w:rPr>
        <w:t xml:space="preserve"> </w:t>
      </w:r>
      <w:r>
        <w:rPr>
          <w:rFonts w:cs="Tahoma" w:ascii="Tahoma" w:hAnsi="Tahoma"/>
          <w:i/>
          <w:sz w:val="20"/>
        </w:rPr>
        <w:t>y</w:t>
      </w:r>
      <w:r>
        <w:rPr>
          <w:rFonts w:cs="Tahoma" w:ascii="Tahoma" w:hAnsi="Tahoma"/>
          <w:i/>
          <w:spacing w:val="-7"/>
          <w:sz w:val="20"/>
        </w:rPr>
        <w:t xml:space="preserve"> </w:t>
      </w:r>
      <w:r>
        <w:rPr>
          <w:rFonts w:cs="Tahoma" w:ascii="Tahoma" w:hAnsi="Tahoma"/>
          <w:i/>
          <w:sz w:val="20"/>
        </w:rPr>
        <w:t>procedimientos</w:t>
      </w:r>
      <w:r>
        <w:rPr>
          <w:rFonts w:cs="Tahoma" w:ascii="Tahoma" w:hAnsi="Tahoma"/>
          <w:i/>
          <w:spacing w:val="-5"/>
          <w:sz w:val="20"/>
        </w:rPr>
        <w:t xml:space="preserve"> </w:t>
      </w:r>
      <w:r>
        <w:rPr>
          <w:rFonts w:cs="Tahoma" w:ascii="Tahoma" w:hAnsi="Tahoma"/>
          <w:i/>
          <w:sz w:val="20"/>
        </w:rPr>
        <w:t>de</w:t>
      </w:r>
      <w:r>
        <w:rPr>
          <w:rFonts w:cs="Tahoma" w:ascii="Tahoma" w:hAnsi="Tahoma"/>
          <w:i/>
          <w:spacing w:val="-7"/>
          <w:sz w:val="20"/>
        </w:rPr>
        <w:t xml:space="preserve"> </w:t>
      </w:r>
      <w:r>
        <w:rPr>
          <w:rFonts w:cs="Tahoma" w:ascii="Tahoma" w:hAnsi="Tahoma"/>
          <w:i/>
          <w:sz w:val="20"/>
        </w:rPr>
        <w:t>control</w:t>
      </w:r>
      <w:r>
        <w:rPr>
          <w:rFonts w:cs="Tahoma" w:ascii="Tahoma" w:hAnsi="Tahoma"/>
          <w:i/>
          <w:spacing w:val="-4"/>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garanticen</w:t>
      </w:r>
      <w:r>
        <w:rPr>
          <w:rFonts w:cs="Tahoma" w:ascii="Tahoma" w:hAnsi="Tahoma"/>
          <w:i/>
          <w:spacing w:val="-5"/>
          <w:sz w:val="20"/>
        </w:rPr>
        <w:t xml:space="preserve"> </w:t>
      </w:r>
      <w:r>
        <w:rPr>
          <w:rFonts w:cs="Tahoma" w:ascii="Tahoma" w:hAnsi="Tahoma"/>
          <w:i/>
          <w:sz w:val="20"/>
        </w:rPr>
        <w:t>el</w:t>
      </w:r>
      <w:r>
        <w:rPr>
          <w:rFonts w:cs="Tahoma" w:ascii="Tahoma" w:hAnsi="Tahoma"/>
          <w:i/>
          <w:spacing w:val="-5"/>
          <w:sz w:val="20"/>
        </w:rPr>
        <w:t xml:space="preserve"> </w:t>
      </w:r>
      <w:r>
        <w:rPr>
          <w:rFonts w:cs="Tahoma" w:ascii="Tahoma" w:hAnsi="Tahoma"/>
          <w:i/>
          <w:sz w:val="20"/>
        </w:rPr>
        <w:t xml:space="preserve">cumplimientodel sistema de control interno institucional y la prevención de todo aspecto </w:t>
      </w:r>
      <w:r>
        <w:rPr>
          <w:rFonts w:cs="Tahoma" w:ascii="Tahoma" w:hAnsi="Tahoma"/>
          <w:sz w:val="20"/>
        </w:rPr>
        <w:t xml:space="preserve">que conlleve a desviar los objetivos y las metas trazados por la institución en el desempeño de sus funciones vinculadas con los procesos judiciales en los que intervengan personas indígenas, priorizando aquellos en los que sean parte miembros del pueblo indígena </w:t>
      </w:r>
      <w:r>
        <w:rPr>
          <w:rFonts w:cs="Tahoma" w:ascii="Tahoma" w:hAnsi="Tahoma"/>
          <w:spacing w:val="-5"/>
          <w:sz w:val="20"/>
        </w:rPr>
        <w:t xml:space="preserve">Teribe </w:t>
      </w:r>
      <w:r>
        <w:rPr>
          <w:rFonts w:cs="Tahoma" w:ascii="Tahoma" w:hAnsi="Tahoma"/>
          <w:sz w:val="20"/>
        </w:rPr>
        <w:t>y Bribri de</w:t>
      </w:r>
      <w:r>
        <w:rPr>
          <w:rFonts w:cs="Tahoma" w:ascii="Tahoma" w:hAnsi="Tahoma"/>
          <w:spacing w:val="-3"/>
          <w:sz w:val="20"/>
        </w:rPr>
        <w:t xml:space="preserve"> </w:t>
      </w:r>
      <w:r>
        <w:rPr>
          <w:rFonts w:cs="Tahoma" w:ascii="Tahoma" w:hAnsi="Tahoma"/>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13" w:leader="none"/>
        </w:tabs>
        <w:spacing w:before="0" w:after="0"/>
        <w:ind w:left="969" w:right="972" w:firstLine="708"/>
        <w:jc w:val="both"/>
        <w:rPr>
          <w:rFonts w:ascii="Tahoma" w:hAnsi="Tahoma" w:cs="Tahoma"/>
          <w:i/>
          <w:i/>
          <w:sz w:val="20"/>
        </w:rPr>
      </w:pPr>
      <w:r>
        <w:rPr>
          <w:rFonts w:cs="Tahoma" w:ascii="Tahoma" w:hAnsi="Tahoma"/>
          <w:i/>
          <w:sz w:val="20"/>
        </w:rPr>
        <w:t>Establecer</w:t>
      </w:r>
      <w:r>
        <w:rPr>
          <w:rFonts w:cs="Tahoma" w:ascii="Tahoma" w:hAnsi="Tahoma"/>
          <w:i/>
          <w:spacing w:val="-4"/>
          <w:sz w:val="20"/>
        </w:rPr>
        <w:t xml:space="preserve"> </w:t>
      </w:r>
      <w:r>
        <w:rPr>
          <w:rFonts w:cs="Tahoma" w:ascii="Tahoma" w:hAnsi="Tahoma"/>
          <w:i/>
          <w:sz w:val="20"/>
        </w:rPr>
        <w:t>un</w:t>
      </w:r>
      <w:r>
        <w:rPr>
          <w:rFonts w:cs="Tahoma" w:ascii="Tahoma" w:hAnsi="Tahoma"/>
          <w:i/>
          <w:spacing w:val="-6"/>
          <w:sz w:val="20"/>
        </w:rPr>
        <w:t xml:space="preserve"> </w:t>
      </w:r>
      <w:r>
        <w:rPr>
          <w:rFonts w:cs="Tahoma" w:ascii="Tahoma" w:hAnsi="Tahoma"/>
          <w:i/>
          <w:sz w:val="20"/>
        </w:rPr>
        <w:t>sistema</w:t>
      </w:r>
      <w:r>
        <w:rPr>
          <w:rFonts w:cs="Tahoma" w:ascii="Tahoma" w:hAnsi="Tahoma"/>
          <w:i/>
          <w:spacing w:val="-4"/>
          <w:sz w:val="20"/>
        </w:rPr>
        <w:t xml:space="preserve"> </w:t>
      </w:r>
      <w:r>
        <w:rPr>
          <w:rFonts w:cs="Tahoma" w:ascii="Tahoma" w:hAnsi="Tahoma"/>
          <w:i/>
          <w:sz w:val="20"/>
        </w:rPr>
        <w:t>de</w:t>
      </w:r>
      <w:r>
        <w:rPr>
          <w:rFonts w:cs="Tahoma" w:ascii="Tahoma" w:hAnsi="Tahoma"/>
          <w:i/>
          <w:spacing w:val="-7"/>
          <w:sz w:val="20"/>
        </w:rPr>
        <w:t xml:space="preserve"> </w:t>
      </w:r>
      <w:r>
        <w:rPr>
          <w:rFonts w:cs="Tahoma" w:ascii="Tahoma" w:hAnsi="Tahoma"/>
          <w:i/>
          <w:sz w:val="20"/>
        </w:rPr>
        <w:t>información</w:t>
      </w:r>
      <w:r>
        <w:rPr>
          <w:rFonts w:cs="Tahoma" w:ascii="Tahoma" w:hAnsi="Tahoma"/>
          <w:i/>
          <w:spacing w:val="-5"/>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permita</w:t>
      </w:r>
      <w:r>
        <w:rPr>
          <w:rFonts w:cs="Tahoma" w:ascii="Tahoma" w:hAnsi="Tahoma"/>
          <w:i/>
          <w:spacing w:val="-6"/>
          <w:sz w:val="20"/>
        </w:rPr>
        <w:t xml:space="preserve"> </w:t>
      </w:r>
      <w:r>
        <w:rPr>
          <w:rFonts w:cs="Tahoma" w:ascii="Tahoma" w:hAnsi="Tahoma"/>
          <w:i/>
          <w:sz w:val="20"/>
        </w:rPr>
        <w:t>tener</w:t>
      </w:r>
      <w:r>
        <w:rPr>
          <w:rFonts w:cs="Tahoma" w:ascii="Tahoma" w:hAnsi="Tahoma"/>
          <w:i/>
          <w:spacing w:val="-5"/>
          <w:sz w:val="20"/>
        </w:rPr>
        <w:t xml:space="preserve"> </w:t>
      </w:r>
      <w:r>
        <w:rPr>
          <w:rFonts w:cs="Tahoma" w:ascii="Tahoma" w:hAnsi="Tahoma"/>
          <w:i/>
          <w:sz w:val="20"/>
        </w:rPr>
        <w:t>una</w:t>
      </w:r>
      <w:r>
        <w:rPr>
          <w:rFonts w:cs="Tahoma" w:ascii="Tahoma" w:hAnsi="Tahoma"/>
          <w:i/>
          <w:spacing w:val="-6"/>
          <w:sz w:val="20"/>
        </w:rPr>
        <w:t xml:space="preserve"> </w:t>
      </w:r>
      <w:r>
        <w:rPr>
          <w:rFonts w:cs="Tahoma" w:ascii="Tahoma" w:hAnsi="Tahoma"/>
          <w:i/>
          <w:sz w:val="20"/>
        </w:rPr>
        <w:t>gestión documental institucional en el desarrollo de las actividades, con el fin de prevenir cualquier desvío en los objetivos trazados en relación con la tramitación</w:t>
      </w:r>
      <w:r>
        <w:rPr>
          <w:rFonts w:cs="Tahoma" w:ascii="Tahoma" w:hAnsi="Tahoma"/>
          <w:i/>
          <w:spacing w:val="-6"/>
          <w:sz w:val="20"/>
        </w:rPr>
        <w:t xml:space="preserve"> </w:t>
      </w:r>
      <w:r>
        <w:rPr>
          <w:rFonts w:cs="Tahoma" w:ascii="Tahoma" w:hAnsi="Tahoma"/>
          <w:i/>
          <w:sz w:val="20"/>
        </w:rPr>
        <w:t>y</w:t>
      </w:r>
      <w:r>
        <w:rPr>
          <w:rFonts w:cs="Tahoma" w:ascii="Tahoma" w:hAnsi="Tahoma"/>
          <w:i/>
          <w:spacing w:val="-7"/>
          <w:sz w:val="20"/>
        </w:rPr>
        <w:t xml:space="preserve"> </w:t>
      </w:r>
      <w:r>
        <w:rPr>
          <w:rFonts w:cs="Tahoma" w:ascii="Tahoma" w:hAnsi="Tahoma"/>
          <w:i/>
          <w:sz w:val="20"/>
        </w:rPr>
        <w:t>resolución</w:t>
      </w:r>
      <w:r>
        <w:rPr>
          <w:rFonts w:cs="Tahoma" w:ascii="Tahoma" w:hAnsi="Tahoma"/>
          <w:i/>
          <w:spacing w:val="-6"/>
          <w:sz w:val="20"/>
        </w:rPr>
        <w:t xml:space="preserve"> </w:t>
      </w:r>
      <w:r>
        <w:rPr>
          <w:rFonts w:cs="Tahoma" w:ascii="Tahoma" w:hAnsi="Tahoma"/>
          <w:i/>
          <w:sz w:val="20"/>
        </w:rPr>
        <w:t>de</w:t>
      </w:r>
      <w:r>
        <w:rPr>
          <w:rFonts w:cs="Tahoma" w:ascii="Tahoma" w:hAnsi="Tahoma"/>
          <w:i/>
          <w:spacing w:val="-8"/>
          <w:sz w:val="20"/>
        </w:rPr>
        <w:t xml:space="preserve"> </w:t>
      </w:r>
      <w:r>
        <w:rPr>
          <w:rFonts w:cs="Tahoma" w:ascii="Tahoma" w:hAnsi="Tahoma"/>
          <w:i/>
          <w:sz w:val="20"/>
        </w:rPr>
        <w:t>los</w:t>
      </w:r>
      <w:r>
        <w:rPr>
          <w:rFonts w:cs="Tahoma" w:ascii="Tahoma" w:hAnsi="Tahoma"/>
          <w:i/>
          <w:spacing w:val="-5"/>
          <w:sz w:val="20"/>
        </w:rPr>
        <w:t xml:space="preserve"> </w:t>
      </w:r>
      <w:r>
        <w:rPr>
          <w:rFonts w:cs="Tahoma" w:ascii="Tahoma" w:hAnsi="Tahoma"/>
          <w:i/>
          <w:sz w:val="20"/>
        </w:rPr>
        <w:t>procesos</w:t>
      </w:r>
      <w:r>
        <w:rPr>
          <w:rFonts w:cs="Tahoma" w:ascii="Tahoma" w:hAnsi="Tahoma"/>
          <w:i/>
          <w:spacing w:val="-5"/>
          <w:sz w:val="20"/>
        </w:rPr>
        <w:t xml:space="preserve"> </w:t>
      </w:r>
      <w:r>
        <w:rPr>
          <w:rFonts w:cs="Tahoma" w:ascii="Tahoma" w:hAnsi="Tahoma"/>
          <w:i/>
          <w:sz w:val="20"/>
        </w:rPr>
        <w:t>judiciales</w:t>
      </w:r>
      <w:r>
        <w:rPr>
          <w:rFonts w:cs="Tahoma" w:ascii="Tahoma" w:hAnsi="Tahoma"/>
          <w:i/>
          <w:spacing w:val="-7"/>
          <w:sz w:val="20"/>
        </w:rPr>
        <w:t xml:space="preserve"> </w:t>
      </w:r>
      <w:r>
        <w:rPr>
          <w:rFonts w:cs="Tahoma" w:ascii="Tahoma" w:hAnsi="Tahoma"/>
          <w:i/>
          <w:sz w:val="20"/>
        </w:rPr>
        <w:t>vinculados</w:t>
      </w:r>
      <w:r>
        <w:rPr>
          <w:rFonts w:cs="Tahoma" w:ascii="Tahoma" w:hAnsi="Tahoma"/>
          <w:i/>
          <w:spacing w:val="-6"/>
          <w:sz w:val="20"/>
        </w:rPr>
        <w:t xml:space="preserve"> </w:t>
      </w:r>
      <w:r>
        <w:rPr>
          <w:rFonts w:cs="Tahoma" w:ascii="Tahoma" w:hAnsi="Tahoma"/>
          <w:i/>
          <w:sz w:val="20"/>
        </w:rPr>
        <w:t>en</w:t>
      </w:r>
      <w:r>
        <w:rPr>
          <w:rFonts w:cs="Tahoma" w:ascii="Tahoma" w:hAnsi="Tahoma"/>
          <w:i/>
          <w:spacing w:val="-6"/>
          <w:sz w:val="20"/>
        </w:rPr>
        <w:t xml:space="preserve"> </w:t>
      </w:r>
      <w:r>
        <w:rPr>
          <w:rFonts w:cs="Tahoma" w:ascii="Tahoma" w:hAnsi="Tahoma"/>
          <w:i/>
          <w:sz w:val="20"/>
        </w:rPr>
        <w:t>los</w:t>
      </w:r>
      <w:r>
        <w:rPr>
          <w:rFonts w:cs="Tahoma" w:ascii="Tahoma" w:hAnsi="Tahoma"/>
          <w:i/>
          <w:spacing w:val="-6"/>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 xml:space="preserve">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3"/>
          <w:sz w:val="20"/>
        </w:rPr>
        <w:t xml:space="preserve"> </w:t>
      </w:r>
      <w:r>
        <w:rPr>
          <w:rFonts w:cs="Tahoma" w:ascii="Tahoma" w:hAnsi="Tahoma"/>
          <w:i/>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13" w:leader="none"/>
        </w:tabs>
        <w:spacing w:before="1" w:after="0"/>
        <w:ind w:left="969" w:right="971" w:firstLine="708"/>
        <w:jc w:val="both"/>
        <w:rPr>
          <w:rFonts w:ascii="Tahoma" w:hAnsi="Tahoma" w:cs="Tahoma"/>
          <w:i/>
          <w:i/>
          <w:sz w:val="20"/>
        </w:rPr>
      </w:pPr>
      <w:r>
        <w:rPr>
          <w:rFonts w:cs="Tahoma" w:ascii="Tahoma" w:hAnsi="Tahoma"/>
          <w:i/>
          <w:sz w:val="20"/>
        </w:rPr>
        <w:t>Incluir</w:t>
      </w:r>
      <w:r>
        <w:rPr>
          <w:rFonts w:cs="Tahoma" w:ascii="Tahoma" w:hAnsi="Tahoma"/>
          <w:i/>
          <w:spacing w:val="-7"/>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las</w:t>
      </w:r>
      <w:r>
        <w:rPr>
          <w:rFonts w:cs="Tahoma" w:ascii="Tahoma" w:hAnsi="Tahoma"/>
          <w:i/>
          <w:spacing w:val="-5"/>
          <w:sz w:val="20"/>
        </w:rPr>
        <w:t xml:space="preserve"> </w:t>
      </w:r>
      <w:r>
        <w:rPr>
          <w:rFonts w:cs="Tahoma" w:ascii="Tahoma" w:hAnsi="Tahoma"/>
          <w:i/>
          <w:sz w:val="20"/>
        </w:rPr>
        <w:t>estadísticas</w:t>
      </w:r>
      <w:r>
        <w:rPr>
          <w:rFonts w:cs="Tahoma" w:ascii="Tahoma" w:hAnsi="Tahoma"/>
          <w:i/>
          <w:spacing w:val="-8"/>
          <w:sz w:val="20"/>
        </w:rPr>
        <w:t xml:space="preserve"> </w:t>
      </w:r>
      <w:r>
        <w:rPr>
          <w:rFonts w:cs="Tahoma" w:ascii="Tahoma" w:hAnsi="Tahoma"/>
          <w:i/>
          <w:sz w:val="20"/>
        </w:rPr>
        <w:t>institucionales</w:t>
      </w:r>
      <w:r>
        <w:rPr>
          <w:rFonts w:cs="Tahoma" w:ascii="Tahoma" w:hAnsi="Tahoma"/>
          <w:i/>
          <w:spacing w:val="-9"/>
          <w:sz w:val="20"/>
        </w:rPr>
        <w:t xml:space="preserve"> </w:t>
      </w:r>
      <w:r>
        <w:rPr>
          <w:rFonts w:cs="Tahoma" w:ascii="Tahoma" w:hAnsi="Tahoma"/>
          <w:i/>
          <w:sz w:val="20"/>
        </w:rPr>
        <w:t>indicadores</w:t>
      </w:r>
      <w:r>
        <w:rPr>
          <w:rFonts w:cs="Tahoma" w:ascii="Tahoma" w:hAnsi="Tahoma"/>
          <w:i/>
          <w:spacing w:val="-8"/>
          <w:sz w:val="20"/>
        </w:rPr>
        <w:t xml:space="preserve"> </w:t>
      </w:r>
      <w:r>
        <w:rPr>
          <w:rFonts w:cs="Tahoma" w:ascii="Tahoma" w:hAnsi="Tahoma"/>
          <w:i/>
          <w:sz w:val="20"/>
        </w:rPr>
        <w:t>que</w:t>
      </w:r>
      <w:r>
        <w:rPr>
          <w:rFonts w:cs="Tahoma" w:ascii="Tahoma" w:hAnsi="Tahoma"/>
          <w:i/>
          <w:spacing w:val="-7"/>
          <w:sz w:val="20"/>
        </w:rPr>
        <w:t xml:space="preserve"> </w:t>
      </w:r>
      <w:r>
        <w:rPr>
          <w:rFonts w:cs="Tahoma" w:ascii="Tahoma" w:hAnsi="Tahoma"/>
          <w:i/>
          <w:sz w:val="20"/>
        </w:rPr>
        <w:t>visibilicen los procesos judiciales que estén vinculados con personas indígenas, incorporando además información relativa a los pueblos relacionados, los territorios, entre otros datos de interés para la toma de</w:t>
      </w:r>
      <w:r>
        <w:rPr>
          <w:rFonts w:cs="Tahoma" w:ascii="Tahoma" w:hAnsi="Tahoma"/>
          <w:i/>
          <w:spacing w:val="-12"/>
          <w:sz w:val="20"/>
        </w:rPr>
        <w:t xml:space="preserve"> </w:t>
      </w:r>
      <w:r>
        <w:rPr>
          <w:rFonts w:cs="Tahoma" w:ascii="Tahoma" w:hAnsi="Tahoma"/>
          <w:i/>
          <w:sz w:val="20"/>
        </w:rPr>
        <w:t>decisiones.</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23"/>
        </w:numPr>
        <w:tabs>
          <w:tab w:val="clear" w:pos="708"/>
          <w:tab w:val="left" w:pos="1925" w:leader="none"/>
        </w:tabs>
        <w:spacing w:before="90" w:after="0"/>
        <w:ind w:left="969" w:right="972" w:firstLine="708"/>
        <w:jc w:val="both"/>
        <w:rPr>
          <w:rFonts w:ascii="Tahoma" w:hAnsi="Tahoma" w:cs="Tahoma"/>
          <w:sz w:val="20"/>
        </w:rPr>
      </w:pPr>
      <w:r>
        <w:rPr>
          <w:rFonts w:cs="Tahoma" w:ascii="Tahoma" w:hAnsi="Tahoma"/>
          <w:i/>
          <w:sz w:val="20"/>
        </w:rPr>
        <w:t xml:space="preserve">Con absoluto respeto al principio de independencia judicial, emitir </w:t>
      </w:r>
      <w:r>
        <w:rPr>
          <w:rFonts w:cs="Tahoma" w:ascii="Tahoma" w:hAnsi="Tahoma"/>
          <w:i/>
          <w:spacing w:val="-3"/>
          <w:sz w:val="20"/>
        </w:rPr>
        <w:t xml:space="preserve">circulares </w:t>
      </w:r>
      <w:r>
        <w:rPr>
          <w:rFonts w:cs="Tahoma" w:ascii="Tahoma" w:hAnsi="Tahoma"/>
          <w:i/>
          <w:sz w:val="20"/>
        </w:rPr>
        <w:t xml:space="preserve">dirigidas a todas las personas servidoras judiciales en las que se les </w:t>
      </w:r>
      <w:r>
        <w:rPr>
          <w:rFonts w:cs="Tahoma" w:ascii="Tahoma" w:hAnsi="Tahoma"/>
          <w:i/>
          <w:spacing w:val="-3"/>
          <w:sz w:val="20"/>
        </w:rPr>
        <w:t xml:space="preserve">reitere </w:t>
      </w:r>
      <w:r>
        <w:rPr>
          <w:rFonts w:cs="Tahoma" w:ascii="Tahoma" w:hAnsi="Tahoma"/>
          <w:i/>
          <w:sz w:val="20"/>
        </w:rPr>
        <w:t>su deber de ser garantes del acceso efectivo a la justicia de los pueblos</w:t>
      </w:r>
      <w:r>
        <w:rPr>
          <w:rFonts w:cs="Tahoma" w:ascii="Tahoma" w:hAnsi="Tahoma"/>
          <w:i/>
          <w:spacing w:val="-5"/>
          <w:sz w:val="20"/>
        </w:rPr>
        <w:t xml:space="preserve"> </w:t>
      </w:r>
      <w:r>
        <w:rPr>
          <w:rFonts w:cs="Tahoma" w:ascii="Tahoma" w:hAnsi="Tahoma"/>
          <w:i/>
          <w:sz w:val="20"/>
        </w:rPr>
        <w:t>indígenas,</w:t>
      </w:r>
      <w:r>
        <w:rPr>
          <w:rFonts w:cs="Tahoma" w:ascii="Tahoma" w:hAnsi="Tahoma"/>
          <w:i/>
          <w:spacing w:val="-5"/>
          <w:sz w:val="20"/>
        </w:rPr>
        <w:t xml:space="preserve"> </w:t>
      </w:r>
      <w:r>
        <w:rPr>
          <w:rFonts w:cs="Tahoma" w:ascii="Tahoma" w:hAnsi="Tahoma"/>
          <w:i/>
          <w:sz w:val="20"/>
        </w:rPr>
        <w:t>la</w:t>
      </w:r>
      <w:r>
        <w:rPr>
          <w:rFonts w:cs="Tahoma" w:ascii="Tahoma" w:hAnsi="Tahoma"/>
          <w:i/>
          <w:spacing w:val="-4"/>
          <w:sz w:val="20"/>
        </w:rPr>
        <w:t xml:space="preserve"> </w:t>
      </w:r>
      <w:r>
        <w:rPr>
          <w:rFonts w:cs="Tahoma" w:ascii="Tahoma" w:hAnsi="Tahoma"/>
          <w:i/>
          <w:sz w:val="20"/>
        </w:rPr>
        <w:t>no</w:t>
      </w:r>
      <w:r>
        <w:rPr>
          <w:rFonts w:cs="Tahoma" w:ascii="Tahoma" w:hAnsi="Tahoma"/>
          <w:i/>
          <w:spacing w:val="-5"/>
          <w:sz w:val="20"/>
        </w:rPr>
        <w:t xml:space="preserve"> </w:t>
      </w:r>
      <w:r>
        <w:rPr>
          <w:rFonts w:cs="Tahoma" w:ascii="Tahoma" w:hAnsi="Tahoma"/>
          <w:i/>
          <w:sz w:val="20"/>
        </w:rPr>
        <w:t>discriminación</w:t>
      </w:r>
      <w:r>
        <w:rPr>
          <w:rFonts w:cs="Tahoma" w:ascii="Tahoma" w:hAnsi="Tahoma"/>
          <w:i/>
          <w:spacing w:val="-5"/>
          <w:sz w:val="20"/>
        </w:rPr>
        <w:t xml:space="preserve"> </w:t>
      </w:r>
      <w:r>
        <w:rPr>
          <w:rFonts w:cs="Tahoma" w:ascii="Tahoma" w:hAnsi="Tahoma"/>
          <w:i/>
          <w:sz w:val="20"/>
        </w:rPr>
        <w:t>y</w:t>
      </w:r>
      <w:r>
        <w:rPr>
          <w:rFonts w:cs="Tahoma" w:ascii="Tahoma" w:hAnsi="Tahoma"/>
          <w:i/>
          <w:spacing w:val="-6"/>
          <w:sz w:val="20"/>
        </w:rPr>
        <w:t xml:space="preserve"> </w:t>
      </w:r>
      <w:r>
        <w:rPr>
          <w:rFonts w:cs="Tahoma" w:ascii="Tahoma" w:hAnsi="Tahoma"/>
          <w:i/>
          <w:sz w:val="20"/>
        </w:rPr>
        <w:t>eliminación</w:t>
      </w:r>
      <w:r>
        <w:rPr>
          <w:rFonts w:cs="Tahoma" w:ascii="Tahoma" w:hAnsi="Tahoma"/>
          <w:i/>
          <w:spacing w:val="-4"/>
          <w:sz w:val="20"/>
        </w:rPr>
        <w:t xml:space="preserve"> </w:t>
      </w:r>
      <w:r>
        <w:rPr>
          <w:rFonts w:cs="Tahoma" w:ascii="Tahoma" w:hAnsi="Tahoma"/>
          <w:i/>
          <w:sz w:val="20"/>
        </w:rPr>
        <w:t>de</w:t>
      </w:r>
      <w:r>
        <w:rPr>
          <w:rFonts w:cs="Tahoma" w:ascii="Tahoma" w:hAnsi="Tahoma"/>
          <w:i/>
          <w:spacing w:val="-6"/>
          <w:sz w:val="20"/>
        </w:rPr>
        <w:t xml:space="preserve"> </w:t>
      </w:r>
      <w:r>
        <w:rPr>
          <w:rFonts w:cs="Tahoma" w:ascii="Tahoma" w:hAnsi="Tahoma"/>
          <w:i/>
          <w:sz w:val="20"/>
        </w:rPr>
        <w:t>barreras,</w:t>
      </w:r>
      <w:r>
        <w:rPr>
          <w:rFonts w:cs="Tahoma" w:ascii="Tahoma" w:hAnsi="Tahoma"/>
          <w:i/>
          <w:spacing w:val="-4"/>
          <w:sz w:val="20"/>
        </w:rPr>
        <w:t xml:space="preserve"> </w:t>
      </w:r>
      <w:r>
        <w:rPr>
          <w:rFonts w:cs="Tahoma" w:ascii="Tahoma" w:hAnsi="Tahoma"/>
          <w:i/>
          <w:sz w:val="20"/>
        </w:rPr>
        <w:t>a</w:t>
      </w:r>
      <w:r>
        <w:rPr>
          <w:rFonts w:cs="Tahoma" w:ascii="Tahoma" w:hAnsi="Tahoma"/>
          <w:i/>
          <w:spacing w:val="-5"/>
          <w:sz w:val="20"/>
        </w:rPr>
        <w:t xml:space="preserve"> </w:t>
      </w:r>
      <w:r>
        <w:rPr>
          <w:rFonts w:cs="Tahoma" w:ascii="Tahoma" w:hAnsi="Tahoma"/>
          <w:i/>
          <w:sz w:val="20"/>
        </w:rPr>
        <w:t>saber:</w:t>
      </w:r>
      <w:r>
        <w:rPr>
          <w:rFonts w:cs="Tahoma" w:ascii="Tahoma" w:hAnsi="Tahoma"/>
          <w:i/>
          <w:spacing w:val="-4"/>
          <w:sz w:val="20"/>
        </w:rPr>
        <w:t xml:space="preserve"> </w:t>
      </w:r>
      <w:r>
        <w:rPr>
          <w:rFonts w:cs="Tahoma" w:ascii="Tahoma" w:hAnsi="Tahoma"/>
          <w:b/>
          <w:i/>
          <w:sz w:val="20"/>
        </w:rPr>
        <w:t xml:space="preserve">i) </w:t>
      </w:r>
      <w:r>
        <w:rPr>
          <w:rFonts w:cs="Tahoma" w:ascii="Tahoma" w:hAnsi="Tahoma"/>
          <w:i/>
          <w:sz w:val="20"/>
        </w:rPr>
        <w:t>asegurar que los miembros de la comunidad puedan comprender y hacerse comprender</w:t>
      </w:r>
      <w:r>
        <w:rPr>
          <w:rFonts w:cs="Tahoma" w:ascii="Tahoma" w:hAnsi="Tahoma"/>
          <w:i/>
          <w:spacing w:val="-10"/>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los</w:t>
      </w:r>
      <w:r>
        <w:rPr>
          <w:rFonts w:cs="Tahoma" w:ascii="Tahoma" w:hAnsi="Tahoma"/>
          <w:i/>
          <w:spacing w:val="-9"/>
          <w:sz w:val="20"/>
        </w:rPr>
        <w:t xml:space="preserve"> </w:t>
      </w:r>
      <w:r>
        <w:rPr>
          <w:rFonts w:cs="Tahoma" w:ascii="Tahoma" w:hAnsi="Tahoma"/>
          <w:i/>
          <w:sz w:val="20"/>
        </w:rPr>
        <w:t>procedimientos</w:t>
      </w:r>
      <w:r>
        <w:rPr>
          <w:rFonts w:cs="Tahoma" w:ascii="Tahoma" w:hAnsi="Tahoma"/>
          <w:i/>
          <w:spacing w:val="-10"/>
          <w:sz w:val="20"/>
        </w:rPr>
        <w:t xml:space="preserve"> </w:t>
      </w:r>
      <w:r>
        <w:rPr>
          <w:rFonts w:cs="Tahoma" w:ascii="Tahoma" w:hAnsi="Tahoma"/>
          <w:i/>
          <w:sz w:val="20"/>
        </w:rPr>
        <w:t>legales</w:t>
      </w:r>
      <w:r>
        <w:rPr>
          <w:rFonts w:cs="Tahoma" w:ascii="Tahoma" w:hAnsi="Tahoma"/>
          <w:i/>
          <w:spacing w:val="-10"/>
          <w:sz w:val="20"/>
        </w:rPr>
        <w:t xml:space="preserve"> </w:t>
      </w:r>
      <w:r>
        <w:rPr>
          <w:rFonts w:cs="Tahoma" w:ascii="Tahoma" w:hAnsi="Tahoma"/>
          <w:i/>
          <w:sz w:val="20"/>
        </w:rPr>
        <w:t>iniciados,</w:t>
      </w:r>
      <w:r>
        <w:rPr>
          <w:rFonts w:cs="Tahoma" w:ascii="Tahoma" w:hAnsi="Tahoma"/>
          <w:i/>
          <w:spacing w:val="-9"/>
          <w:sz w:val="20"/>
        </w:rPr>
        <w:t xml:space="preserve"> </w:t>
      </w:r>
      <w:r>
        <w:rPr>
          <w:rFonts w:cs="Tahoma" w:ascii="Tahoma" w:hAnsi="Tahoma"/>
          <w:i/>
          <w:sz w:val="20"/>
        </w:rPr>
        <w:t>facilitándoles</w:t>
      </w:r>
      <w:r>
        <w:rPr>
          <w:rFonts w:cs="Tahoma" w:ascii="Tahoma" w:hAnsi="Tahoma"/>
          <w:i/>
          <w:spacing w:val="-10"/>
          <w:sz w:val="20"/>
        </w:rPr>
        <w:t xml:space="preserve"> </w:t>
      </w:r>
      <w:r>
        <w:rPr>
          <w:rFonts w:cs="Tahoma" w:ascii="Tahoma" w:hAnsi="Tahoma"/>
          <w:i/>
          <w:sz w:val="20"/>
        </w:rPr>
        <w:t xml:space="preserve">intérpretes u otros medios eficaces para tal fin; </w:t>
      </w:r>
      <w:r>
        <w:rPr>
          <w:rFonts w:cs="Tahoma" w:ascii="Tahoma" w:hAnsi="Tahoma"/>
          <w:b/>
          <w:i/>
          <w:sz w:val="20"/>
        </w:rPr>
        <w:t xml:space="preserve">ii) </w:t>
      </w:r>
      <w:r>
        <w:rPr>
          <w:rFonts w:cs="Tahoma" w:ascii="Tahoma" w:hAnsi="Tahoma"/>
          <w:i/>
          <w:sz w:val="20"/>
        </w:rPr>
        <w:t xml:space="preserve">proporcionar el acceso a los pueblos indígenas y tribales a asistencia técnica y legal en relación con su derecho a la propiedad colectiva, en el supuesto de que estos se encontrasen en una situación de vulnerabilidad que les impediría conseguirla, y </w:t>
      </w:r>
      <w:r>
        <w:rPr>
          <w:rFonts w:cs="Tahoma" w:ascii="Tahoma" w:hAnsi="Tahoma"/>
          <w:b/>
          <w:i/>
          <w:sz w:val="20"/>
        </w:rPr>
        <w:t xml:space="preserve">iii) </w:t>
      </w:r>
      <w:r>
        <w:rPr>
          <w:rFonts w:cs="Tahoma" w:ascii="Tahoma" w:hAnsi="Tahoma"/>
          <w:i/>
          <w:sz w:val="20"/>
        </w:rPr>
        <w:t>facilitar el acceso físico a las instituciones administrativas y judiciales, o a los organismos encargados de garantizar el derecho a la propiedad colectiva de los pueblos indígenas y tribales, así como facilitar la participación de los pueblos en el desarrollo de los procesos judiciales, administrativos o de cualquier otra índole, sin que ello les implique hacer esfuerzos desmedidos o exagerados, ya sea debido a las distancias o a las vías de acceso a dichas instituciones, o a los altos costos en virtud de los procedimientos. Además, el otorgamiento de una protección efectiva que tome en cuenta las particularidades propias que los diferencian de la población en general y</w:t>
      </w:r>
      <w:r>
        <w:rPr>
          <w:rFonts w:cs="Tahoma" w:ascii="Tahoma" w:hAnsi="Tahoma"/>
          <w:i/>
          <w:spacing w:val="-33"/>
          <w:sz w:val="20"/>
        </w:rPr>
        <w:t xml:space="preserve"> </w:t>
      </w:r>
      <w:r>
        <w:rPr>
          <w:rFonts w:cs="Tahoma" w:ascii="Tahoma" w:hAnsi="Tahoma"/>
          <w:i/>
          <w:sz w:val="20"/>
        </w:rPr>
        <w:t>que conforman</w:t>
      </w:r>
      <w:r>
        <w:rPr>
          <w:rFonts w:cs="Tahoma" w:ascii="Tahoma" w:hAnsi="Tahoma"/>
          <w:i/>
          <w:spacing w:val="-10"/>
          <w:sz w:val="20"/>
        </w:rPr>
        <w:t xml:space="preserve"> </w:t>
      </w:r>
      <w:r>
        <w:rPr>
          <w:rFonts w:cs="Tahoma" w:ascii="Tahoma" w:hAnsi="Tahoma"/>
          <w:i/>
          <w:sz w:val="20"/>
        </w:rPr>
        <w:t>su</w:t>
      </w:r>
      <w:r>
        <w:rPr>
          <w:rFonts w:cs="Tahoma" w:ascii="Tahoma" w:hAnsi="Tahoma"/>
          <w:i/>
          <w:spacing w:val="-10"/>
          <w:sz w:val="20"/>
        </w:rPr>
        <w:t xml:space="preserve"> </w:t>
      </w:r>
      <w:r>
        <w:rPr>
          <w:rFonts w:cs="Tahoma" w:ascii="Tahoma" w:hAnsi="Tahoma"/>
          <w:i/>
          <w:sz w:val="20"/>
        </w:rPr>
        <w:t>identidad</w:t>
      </w:r>
      <w:r>
        <w:rPr>
          <w:rFonts w:cs="Tahoma" w:ascii="Tahoma" w:hAnsi="Tahoma"/>
          <w:i/>
          <w:spacing w:val="-8"/>
          <w:sz w:val="20"/>
        </w:rPr>
        <w:t xml:space="preserve"> </w:t>
      </w:r>
      <w:r>
        <w:rPr>
          <w:rFonts w:cs="Tahoma" w:ascii="Tahoma" w:hAnsi="Tahoma"/>
          <w:i/>
          <w:sz w:val="20"/>
        </w:rPr>
        <w:t>cultural,</w:t>
      </w:r>
      <w:r>
        <w:rPr>
          <w:rFonts w:cs="Tahoma" w:ascii="Tahoma" w:hAnsi="Tahoma"/>
          <w:i/>
          <w:spacing w:val="-10"/>
          <w:sz w:val="20"/>
        </w:rPr>
        <w:t xml:space="preserve"> </w:t>
      </w:r>
      <w:r>
        <w:rPr>
          <w:rFonts w:cs="Tahoma" w:ascii="Tahoma" w:hAnsi="Tahoma"/>
          <w:i/>
          <w:sz w:val="20"/>
        </w:rPr>
        <w:t>sus</w:t>
      </w:r>
      <w:r>
        <w:rPr>
          <w:rFonts w:cs="Tahoma" w:ascii="Tahoma" w:hAnsi="Tahoma"/>
          <w:i/>
          <w:spacing w:val="-8"/>
          <w:sz w:val="20"/>
        </w:rPr>
        <w:t xml:space="preserve"> </w:t>
      </w:r>
      <w:r>
        <w:rPr>
          <w:rFonts w:cs="Tahoma" w:ascii="Tahoma" w:hAnsi="Tahoma"/>
          <w:i/>
          <w:sz w:val="20"/>
        </w:rPr>
        <w:t>características</w:t>
      </w:r>
      <w:r>
        <w:rPr>
          <w:rFonts w:cs="Tahoma" w:ascii="Tahoma" w:hAnsi="Tahoma"/>
          <w:i/>
          <w:spacing w:val="-10"/>
          <w:sz w:val="20"/>
        </w:rPr>
        <w:t xml:space="preserve"> </w:t>
      </w:r>
      <w:r>
        <w:rPr>
          <w:rFonts w:cs="Tahoma" w:ascii="Tahoma" w:hAnsi="Tahoma"/>
          <w:i/>
          <w:sz w:val="20"/>
        </w:rPr>
        <w:t>económicas</w:t>
      </w:r>
      <w:r>
        <w:rPr>
          <w:rFonts w:cs="Tahoma" w:ascii="Tahoma" w:hAnsi="Tahoma"/>
          <w:i/>
          <w:spacing w:val="-7"/>
          <w:sz w:val="20"/>
        </w:rPr>
        <w:t xml:space="preserve"> </w:t>
      </w:r>
      <w:r>
        <w:rPr>
          <w:rFonts w:cs="Tahoma" w:ascii="Tahoma" w:hAnsi="Tahoma"/>
          <w:i/>
          <w:sz w:val="20"/>
        </w:rPr>
        <w:t>y</w:t>
      </w:r>
      <w:r>
        <w:rPr>
          <w:rFonts w:cs="Tahoma" w:ascii="Tahoma" w:hAnsi="Tahoma"/>
          <w:i/>
          <w:spacing w:val="-10"/>
          <w:sz w:val="20"/>
        </w:rPr>
        <w:t xml:space="preserve"> </w:t>
      </w:r>
      <w:r>
        <w:rPr>
          <w:rFonts w:cs="Tahoma" w:ascii="Tahoma" w:hAnsi="Tahoma"/>
          <w:i/>
          <w:sz w:val="20"/>
        </w:rPr>
        <w:t>sociales,</w:t>
      </w:r>
      <w:r>
        <w:rPr>
          <w:rFonts w:cs="Tahoma" w:ascii="Tahoma" w:hAnsi="Tahoma"/>
          <w:i/>
          <w:spacing w:val="-7"/>
          <w:sz w:val="20"/>
        </w:rPr>
        <w:t xml:space="preserve"> </w:t>
      </w:r>
      <w:r>
        <w:rPr>
          <w:rFonts w:cs="Tahoma" w:ascii="Tahoma" w:hAnsi="Tahoma"/>
          <w:i/>
          <w:sz w:val="20"/>
        </w:rPr>
        <w:t>su posible</w:t>
      </w:r>
      <w:r>
        <w:rPr>
          <w:rFonts w:cs="Tahoma" w:ascii="Tahoma" w:hAnsi="Tahoma"/>
          <w:i/>
          <w:spacing w:val="-12"/>
          <w:sz w:val="20"/>
        </w:rPr>
        <w:t xml:space="preserve"> </w:t>
      </w:r>
      <w:r>
        <w:rPr>
          <w:rFonts w:cs="Tahoma" w:ascii="Tahoma" w:hAnsi="Tahoma"/>
          <w:i/>
          <w:sz w:val="20"/>
        </w:rPr>
        <w:t>situación</w:t>
      </w:r>
      <w:r>
        <w:rPr>
          <w:rFonts w:cs="Tahoma" w:ascii="Tahoma" w:hAnsi="Tahoma"/>
          <w:i/>
          <w:spacing w:val="-11"/>
          <w:sz w:val="20"/>
        </w:rPr>
        <w:t xml:space="preserve"> </w:t>
      </w:r>
      <w:r>
        <w:rPr>
          <w:rFonts w:cs="Tahoma" w:ascii="Tahoma" w:hAnsi="Tahoma"/>
          <w:i/>
          <w:sz w:val="20"/>
        </w:rPr>
        <w:t>de</w:t>
      </w:r>
      <w:r>
        <w:rPr>
          <w:rFonts w:cs="Tahoma" w:ascii="Tahoma" w:hAnsi="Tahoma"/>
          <w:i/>
          <w:spacing w:val="-12"/>
          <w:sz w:val="20"/>
        </w:rPr>
        <w:t xml:space="preserve"> </w:t>
      </w:r>
      <w:r>
        <w:rPr>
          <w:rFonts w:cs="Tahoma" w:ascii="Tahoma" w:hAnsi="Tahoma"/>
          <w:i/>
          <w:sz w:val="20"/>
        </w:rPr>
        <w:t>vulnerabilidad,</w:t>
      </w:r>
      <w:r>
        <w:rPr>
          <w:rFonts w:cs="Tahoma" w:ascii="Tahoma" w:hAnsi="Tahoma"/>
          <w:i/>
          <w:spacing w:val="-11"/>
          <w:sz w:val="20"/>
        </w:rPr>
        <w:t xml:space="preserve"> </w:t>
      </w:r>
      <w:r>
        <w:rPr>
          <w:rFonts w:cs="Tahoma" w:ascii="Tahoma" w:hAnsi="Tahoma"/>
          <w:i/>
          <w:sz w:val="20"/>
        </w:rPr>
        <w:t>su</w:t>
      </w:r>
      <w:r>
        <w:rPr>
          <w:rFonts w:cs="Tahoma" w:ascii="Tahoma" w:hAnsi="Tahoma"/>
          <w:i/>
          <w:spacing w:val="-11"/>
          <w:sz w:val="20"/>
        </w:rPr>
        <w:t xml:space="preserve"> </w:t>
      </w:r>
      <w:r>
        <w:rPr>
          <w:rFonts w:cs="Tahoma" w:ascii="Tahoma" w:hAnsi="Tahoma"/>
          <w:i/>
          <w:sz w:val="20"/>
        </w:rPr>
        <w:t>derecho</w:t>
      </w:r>
      <w:r>
        <w:rPr>
          <w:rFonts w:cs="Tahoma" w:ascii="Tahoma" w:hAnsi="Tahoma"/>
          <w:i/>
          <w:spacing w:val="-12"/>
          <w:sz w:val="20"/>
        </w:rPr>
        <w:t xml:space="preserve"> </w:t>
      </w:r>
      <w:r>
        <w:rPr>
          <w:rFonts w:cs="Tahoma" w:ascii="Tahoma" w:hAnsi="Tahoma"/>
          <w:i/>
          <w:sz w:val="20"/>
        </w:rPr>
        <w:t>consuetudinario,</w:t>
      </w:r>
      <w:r>
        <w:rPr>
          <w:rFonts w:cs="Tahoma" w:ascii="Tahoma" w:hAnsi="Tahoma"/>
          <w:i/>
          <w:spacing w:val="-11"/>
          <w:sz w:val="20"/>
        </w:rPr>
        <w:t xml:space="preserve"> </w:t>
      </w:r>
      <w:r>
        <w:rPr>
          <w:rFonts w:cs="Tahoma" w:ascii="Tahoma" w:hAnsi="Tahoma"/>
          <w:i/>
          <w:sz w:val="20"/>
        </w:rPr>
        <w:t>valores,</w:t>
      </w:r>
      <w:r>
        <w:rPr>
          <w:rFonts w:cs="Tahoma" w:ascii="Tahoma" w:hAnsi="Tahoma"/>
          <w:i/>
          <w:spacing w:val="-12"/>
          <w:sz w:val="20"/>
        </w:rPr>
        <w:t xml:space="preserve"> </w:t>
      </w:r>
      <w:r>
        <w:rPr>
          <w:rFonts w:cs="Tahoma" w:ascii="Tahoma" w:hAnsi="Tahoma"/>
          <w:i/>
          <w:sz w:val="20"/>
        </w:rPr>
        <w:t>usos y costumbres, así como su especial relación con la tierra, y respeto de los mecanismos internos de decisión de controversias en materia indígena, los cuales</w:t>
      </w:r>
      <w:r>
        <w:rPr>
          <w:rFonts w:cs="Tahoma" w:ascii="Tahoma" w:hAnsi="Tahoma"/>
          <w:i/>
          <w:spacing w:val="8"/>
          <w:sz w:val="20"/>
        </w:rPr>
        <w:t xml:space="preserve"> </w:t>
      </w:r>
      <w:r>
        <w:rPr>
          <w:rFonts w:cs="Tahoma" w:ascii="Tahoma" w:hAnsi="Tahoma"/>
          <w:i/>
          <w:sz w:val="20"/>
        </w:rPr>
        <w:t>se</w:t>
      </w:r>
      <w:r>
        <w:rPr>
          <w:rFonts w:cs="Tahoma" w:ascii="Tahoma" w:hAnsi="Tahoma"/>
          <w:i/>
          <w:spacing w:val="8"/>
          <w:sz w:val="20"/>
        </w:rPr>
        <w:t xml:space="preserve"> </w:t>
      </w:r>
      <w:r>
        <w:rPr>
          <w:rFonts w:cs="Tahoma" w:ascii="Tahoma" w:hAnsi="Tahoma"/>
          <w:i/>
          <w:sz w:val="20"/>
        </w:rPr>
        <w:t>encuentren</w:t>
      </w:r>
      <w:r>
        <w:rPr>
          <w:rFonts w:cs="Tahoma" w:ascii="Tahoma" w:hAnsi="Tahoma"/>
          <w:i/>
          <w:spacing w:val="9"/>
          <w:sz w:val="20"/>
        </w:rPr>
        <w:t xml:space="preserve"> </w:t>
      </w:r>
      <w:r>
        <w:rPr>
          <w:rFonts w:cs="Tahoma" w:ascii="Tahoma" w:hAnsi="Tahoma"/>
          <w:i/>
          <w:sz w:val="20"/>
        </w:rPr>
        <w:t>en</w:t>
      </w:r>
      <w:r>
        <w:rPr>
          <w:rFonts w:cs="Tahoma" w:ascii="Tahoma" w:hAnsi="Tahoma"/>
          <w:i/>
          <w:spacing w:val="8"/>
          <w:sz w:val="20"/>
        </w:rPr>
        <w:t xml:space="preserve"> </w:t>
      </w:r>
      <w:r>
        <w:rPr>
          <w:rFonts w:cs="Tahoma" w:ascii="Tahoma" w:hAnsi="Tahoma"/>
          <w:i/>
          <w:sz w:val="20"/>
        </w:rPr>
        <w:t>armonía</w:t>
      </w:r>
      <w:r>
        <w:rPr>
          <w:rFonts w:cs="Tahoma" w:ascii="Tahoma" w:hAnsi="Tahoma"/>
          <w:i/>
          <w:spacing w:val="9"/>
          <w:sz w:val="20"/>
        </w:rPr>
        <w:t xml:space="preserve"> </w:t>
      </w:r>
      <w:r>
        <w:rPr>
          <w:rFonts w:cs="Tahoma" w:ascii="Tahoma" w:hAnsi="Tahoma"/>
          <w:i/>
          <w:sz w:val="20"/>
        </w:rPr>
        <w:t>con</w:t>
      </w:r>
      <w:r>
        <w:rPr>
          <w:rFonts w:cs="Tahoma" w:ascii="Tahoma" w:hAnsi="Tahoma"/>
          <w:i/>
          <w:spacing w:val="9"/>
          <w:sz w:val="20"/>
        </w:rPr>
        <w:t xml:space="preserve"> </w:t>
      </w:r>
      <w:r>
        <w:rPr>
          <w:rFonts w:cs="Tahoma" w:ascii="Tahoma" w:hAnsi="Tahoma"/>
          <w:i/>
          <w:sz w:val="20"/>
        </w:rPr>
        <w:t>los</w:t>
      </w:r>
      <w:r>
        <w:rPr>
          <w:rFonts w:cs="Tahoma" w:ascii="Tahoma" w:hAnsi="Tahoma"/>
          <w:i/>
          <w:spacing w:val="9"/>
          <w:sz w:val="20"/>
        </w:rPr>
        <w:t xml:space="preserve"> </w:t>
      </w:r>
      <w:r>
        <w:rPr>
          <w:rFonts w:cs="Tahoma" w:ascii="Tahoma" w:hAnsi="Tahoma"/>
          <w:i/>
          <w:sz w:val="20"/>
        </w:rPr>
        <w:t>derechos</w:t>
      </w:r>
      <w:r>
        <w:rPr>
          <w:rFonts w:cs="Tahoma" w:ascii="Tahoma" w:hAnsi="Tahoma"/>
          <w:i/>
          <w:spacing w:val="9"/>
          <w:sz w:val="20"/>
        </w:rPr>
        <w:t xml:space="preserve"> </w:t>
      </w:r>
      <w:r>
        <w:rPr>
          <w:rFonts w:cs="Tahoma" w:ascii="Tahoma" w:hAnsi="Tahoma"/>
          <w:i/>
          <w:sz w:val="20"/>
        </w:rPr>
        <w:t>humanos,</w:t>
      </w:r>
      <w:r>
        <w:rPr>
          <w:rFonts w:cs="Tahoma" w:ascii="Tahoma" w:hAnsi="Tahoma"/>
          <w:i/>
          <w:spacing w:val="9"/>
          <w:sz w:val="20"/>
        </w:rPr>
        <w:t xml:space="preserve"> </w:t>
      </w:r>
      <w:r>
        <w:rPr>
          <w:rFonts w:cs="Tahoma" w:ascii="Tahoma" w:hAnsi="Tahoma"/>
          <w:i/>
          <w:sz w:val="20"/>
        </w:rPr>
        <w:t>según</w:t>
      </w:r>
      <w:r>
        <w:rPr>
          <w:rFonts w:cs="Tahoma" w:ascii="Tahoma" w:hAnsi="Tahoma"/>
          <w:i/>
          <w:spacing w:val="11"/>
          <w:sz w:val="20"/>
        </w:rPr>
        <w:t xml:space="preserve"> </w:t>
      </w:r>
      <w:r>
        <w:rPr>
          <w:rFonts w:cs="Tahoma" w:ascii="Tahoma" w:hAnsi="Tahoma"/>
          <w:i/>
          <w:sz w:val="20"/>
        </w:rPr>
        <w:t xml:space="preserve">los estándares internacionales establecidos por la Corte Interamericana de </w:t>
      </w:r>
      <w:r>
        <w:rPr>
          <w:rFonts w:cs="Tahoma" w:ascii="Tahoma" w:hAnsi="Tahoma"/>
          <w:sz w:val="20"/>
        </w:rPr>
        <w:t>Derechos Humanos en el caso Pueblos Kaliña y Lokono versus Surinam, sentencia de 25 de noviembre de 2015 y las disposiciones de la Ley de</w:t>
      </w:r>
      <w:r>
        <w:rPr>
          <w:rFonts w:cs="Tahoma" w:ascii="Tahoma" w:hAnsi="Tahoma"/>
          <w:spacing w:val="-44"/>
          <w:sz w:val="20"/>
        </w:rPr>
        <w:t xml:space="preserve"> </w:t>
      </w:r>
      <w:r>
        <w:rPr>
          <w:rFonts w:cs="Tahoma" w:ascii="Tahoma" w:hAnsi="Tahoma"/>
          <w:sz w:val="20"/>
        </w:rPr>
        <w:t>Acceso a la Justicia de los Pueblos Indígenas de Costa</w:t>
      </w:r>
      <w:r>
        <w:rPr>
          <w:rFonts w:cs="Tahoma" w:ascii="Tahoma" w:hAnsi="Tahoma"/>
          <w:spacing w:val="-3"/>
          <w:sz w:val="20"/>
        </w:rPr>
        <w:t xml:space="preserve"> </w:t>
      </w:r>
      <w:r>
        <w:rPr>
          <w:rFonts w:cs="Tahoma" w:ascii="Tahoma" w:hAnsi="Tahoma"/>
          <w:sz w:val="20"/>
        </w:rPr>
        <w:t>Rica.</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42" w:leader="none"/>
        </w:tabs>
        <w:spacing w:before="0" w:after="0"/>
        <w:ind w:left="387" w:right="970" w:hanging="245"/>
        <w:jc w:val="both"/>
        <w:rPr>
          <w:rFonts w:ascii="Tahoma" w:hAnsi="Tahoma" w:cs="Tahoma"/>
          <w:i/>
          <w:i/>
          <w:sz w:val="20"/>
        </w:rPr>
      </w:pPr>
      <w:r>
        <w:rPr>
          <w:rFonts w:cs="Tahoma" w:ascii="Tahoma" w:hAnsi="Tahoma"/>
          <w:i/>
          <w:sz w:val="20"/>
        </w:rPr>
        <w:t xml:space="preserve">Con absoluto respeto al principio de independencia judicial y los principios de Bangalore </w:t>
      </w:r>
      <w:r>
        <w:rPr>
          <w:rFonts w:cs="Tahoma" w:ascii="Tahoma" w:hAnsi="Tahoma"/>
          <w:i/>
          <w:spacing w:val="-3"/>
          <w:sz w:val="20"/>
        </w:rPr>
        <w:t xml:space="preserve">sobre </w:t>
      </w:r>
      <w:r>
        <w:rPr>
          <w:rFonts w:cs="Tahoma" w:ascii="Tahoma" w:hAnsi="Tahoma"/>
          <w:i/>
          <w:sz w:val="20"/>
        </w:rPr>
        <w:t>la conducta judicial, entre otros, establecer políticas y prácticas de gestión de recursos humanos apropiadas, principalmente en cuanto a contratación, vinculación, entrenamiento, evaluación, promoción y acciones disciplinarias; todo de conformidad con el ordenamiento</w:t>
      </w:r>
      <w:r>
        <w:rPr>
          <w:rFonts w:cs="Tahoma" w:ascii="Tahoma" w:hAnsi="Tahoma"/>
          <w:i/>
          <w:spacing w:val="-10"/>
          <w:sz w:val="20"/>
        </w:rPr>
        <w:t xml:space="preserve"> </w:t>
      </w:r>
      <w:r>
        <w:rPr>
          <w:rFonts w:cs="Tahoma" w:ascii="Tahoma" w:hAnsi="Tahoma"/>
          <w:i/>
          <w:sz w:val="20"/>
        </w:rPr>
        <w:t>jurídico</w:t>
      </w:r>
      <w:r>
        <w:rPr>
          <w:rFonts w:cs="Tahoma" w:ascii="Tahoma" w:hAnsi="Tahoma"/>
          <w:i/>
          <w:spacing w:val="-10"/>
          <w:sz w:val="20"/>
        </w:rPr>
        <w:t xml:space="preserve"> </w:t>
      </w:r>
      <w:r>
        <w:rPr>
          <w:rFonts w:cs="Tahoma" w:ascii="Tahoma" w:hAnsi="Tahoma"/>
          <w:i/>
          <w:sz w:val="20"/>
        </w:rPr>
        <w:t>y</w:t>
      </w:r>
      <w:r>
        <w:rPr>
          <w:rFonts w:cs="Tahoma" w:ascii="Tahoma" w:hAnsi="Tahoma"/>
          <w:i/>
          <w:spacing w:val="-11"/>
          <w:sz w:val="20"/>
        </w:rPr>
        <w:t xml:space="preserve"> </w:t>
      </w:r>
      <w:r>
        <w:rPr>
          <w:rFonts w:cs="Tahoma" w:ascii="Tahoma" w:hAnsi="Tahoma"/>
          <w:i/>
          <w:sz w:val="20"/>
        </w:rPr>
        <w:t>técnico</w:t>
      </w:r>
      <w:r>
        <w:rPr>
          <w:rFonts w:cs="Tahoma" w:ascii="Tahoma" w:hAnsi="Tahoma"/>
          <w:i/>
          <w:spacing w:val="-10"/>
          <w:sz w:val="20"/>
        </w:rPr>
        <w:t xml:space="preserve"> </w:t>
      </w:r>
      <w:r>
        <w:rPr>
          <w:rFonts w:cs="Tahoma" w:ascii="Tahoma" w:hAnsi="Tahoma"/>
          <w:i/>
          <w:sz w:val="20"/>
        </w:rPr>
        <w:t>aplicable,</w:t>
      </w:r>
      <w:r>
        <w:rPr>
          <w:rFonts w:cs="Tahoma" w:ascii="Tahoma" w:hAnsi="Tahoma"/>
          <w:i/>
          <w:spacing w:val="-9"/>
          <w:sz w:val="20"/>
        </w:rPr>
        <w:t xml:space="preserve"> </w:t>
      </w:r>
      <w:r>
        <w:rPr>
          <w:rFonts w:cs="Tahoma" w:ascii="Tahoma" w:hAnsi="Tahoma"/>
          <w:i/>
          <w:sz w:val="20"/>
        </w:rPr>
        <w:t>en</w:t>
      </w:r>
      <w:r>
        <w:rPr>
          <w:rFonts w:cs="Tahoma" w:ascii="Tahoma" w:hAnsi="Tahoma"/>
          <w:i/>
          <w:spacing w:val="-10"/>
          <w:sz w:val="20"/>
        </w:rPr>
        <w:t xml:space="preserve"> </w:t>
      </w:r>
      <w:r>
        <w:rPr>
          <w:rFonts w:cs="Tahoma" w:ascii="Tahoma" w:hAnsi="Tahoma"/>
          <w:i/>
          <w:sz w:val="20"/>
        </w:rPr>
        <w:t>lo</w:t>
      </w:r>
      <w:r>
        <w:rPr>
          <w:rFonts w:cs="Tahoma" w:ascii="Tahoma" w:hAnsi="Tahoma"/>
          <w:i/>
          <w:spacing w:val="-9"/>
          <w:sz w:val="20"/>
        </w:rPr>
        <w:t xml:space="preserve"> </w:t>
      </w:r>
      <w:r>
        <w:rPr>
          <w:rFonts w:cs="Tahoma" w:ascii="Tahoma" w:hAnsi="Tahoma"/>
          <w:i/>
          <w:sz w:val="20"/>
        </w:rPr>
        <w:t>relacionado</w:t>
      </w:r>
      <w:r>
        <w:rPr>
          <w:rFonts w:cs="Tahoma" w:ascii="Tahoma" w:hAnsi="Tahoma"/>
          <w:i/>
          <w:spacing w:val="-10"/>
          <w:sz w:val="20"/>
        </w:rPr>
        <w:t xml:space="preserve"> </w:t>
      </w:r>
      <w:r>
        <w:rPr>
          <w:rFonts w:cs="Tahoma" w:ascii="Tahoma" w:hAnsi="Tahoma"/>
          <w:i/>
          <w:sz w:val="20"/>
        </w:rPr>
        <w:t>con</w:t>
      </w:r>
      <w:r>
        <w:rPr>
          <w:rFonts w:cs="Tahoma" w:ascii="Tahoma" w:hAnsi="Tahoma"/>
          <w:i/>
          <w:spacing w:val="-11"/>
          <w:sz w:val="20"/>
        </w:rPr>
        <w:t xml:space="preserve"> </w:t>
      </w:r>
      <w:r>
        <w:rPr>
          <w:rFonts w:cs="Tahoma" w:ascii="Tahoma" w:hAnsi="Tahoma"/>
          <w:i/>
          <w:sz w:val="20"/>
        </w:rPr>
        <w:t>la</w:t>
      </w:r>
      <w:r>
        <w:rPr>
          <w:rFonts w:cs="Tahoma" w:ascii="Tahoma" w:hAnsi="Tahoma"/>
          <w:i/>
          <w:spacing w:val="-9"/>
          <w:sz w:val="20"/>
        </w:rPr>
        <w:t xml:space="preserve"> </w:t>
      </w:r>
      <w:r>
        <w:rPr>
          <w:rFonts w:cs="Tahoma" w:ascii="Tahoma" w:hAnsi="Tahoma"/>
          <w:i/>
          <w:sz w:val="20"/>
        </w:rPr>
        <w:t xml:space="preserve">aplicación del Derecho Indígena, con el objetivo de ofrecer a las personas usuarias indígenas una justicia pronta, cumplida, sin denegación y accesible; priorizando lo vinculado con los procesos judiciales en los que sean parte miembros del pueblo indígena </w:t>
      </w:r>
      <w:r>
        <w:rPr>
          <w:rFonts w:cs="Tahoma" w:ascii="Tahoma" w:hAnsi="Tahoma"/>
          <w:i/>
          <w:spacing w:val="-5"/>
          <w:sz w:val="20"/>
        </w:rPr>
        <w:t xml:space="preserve">Teribe </w:t>
      </w:r>
      <w:r>
        <w:rPr>
          <w:rFonts w:cs="Tahoma" w:ascii="Tahoma" w:hAnsi="Tahoma"/>
          <w:i/>
          <w:sz w:val="20"/>
        </w:rPr>
        <w:t>y Bribri de</w:t>
      </w:r>
      <w:r>
        <w:rPr>
          <w:rFonts w:cs="Tahoma" w:ascii="Tahoma" w:hAnsi="Tahoma"/>
          <w:i/>
          <w:spacing w:val="1"/>
          <w:sz w:val="20"/>
        </w:rPr>
        <w:t xml:space="preserve"> </w:t>
      </w:r>
      <w:r>
        <w:rPr>
          <w:rFonts w:cs="Tahoma" w:ascii="Tahoma" w:hAnsi="Tahoma"/>
          <w:i/>
          <w:sz w:val="20"/>
        </w:rPr>
        <w:t>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63" w:leader="none"/>
        </w:tabs>
        <w:spacing w:before="1" w:after="0"/>
        <w:ind w:left="387" w:right="971" w:firstLine="708"/>
        <w:jc w:val="both"/>
        <w:rPr>
          <w:rFonts w:ascii="Tahoma" w:hAnsi="Tahoma" w:cs="Tahoma"/>
          <w:i/>
          <w:i/>
          <w:sz w:val="20"/>
        </w:rPr>
      </w:pPr>
      <w:r>
        <w:rPr>
          <w:rFonts w:cs="Tahoma" w:ascii="Tahoma" w:hAnsi="Tahoma"/>
          <w:i/>
          <w:sz w:val="20"/>
        </w:rPr>
        <w:t xml:space="preserve">Realizar encuentros entre el pueblo indígena </w:t>
      </w:r>
      <w:r>
        <w:rPr>
          <w:rFonts w:cs="Tahoma" w:ascii="Tahoma" w:hAnsi="Tahoma"/>
          <w:i/>
          <w:spacing w:val="-5"/>
          <w:sz w:val="20"/>
        </w:rPr>
        <w:t xml:space="preserve">Teribe </w:t>
      </w:r>
      <w:r>
        <w:rPr>
          <w:rFonts w:cs="Tahoma" w:ascii="Tahoma" w:hAnsi="Tahoma"/>
          <w:i/>
          <w:sz w:val="20"/>
        </w:rPr>
        <w:t>y Bribri de Salitre con personas funcionarias judiciales de la Contraloría de Servicios, Comisión de Acceso a la Justicia y la Subcomisión de Acceso a la Justicia de los Pueblos Indígenas, a efecto de que estas últimas les expongan el funcionamiento del Poder Judicial en sus diferentes ámbitos. En forma</w:t>
      </w:r>
      <w:r>
        <w:rPr>
          <w:rFonts w:cs="Tahoma" w:ascii="Tahoma" w:hAnsi="Tahoma"/>
          <w:i/>
          <w:spacing w:val="-20"/>
          <w:sz w:val="20"/>
        </w:rPr>
        <w:t xml:space="preserve"> </w:t>
      </w:r>
      <w:r>
        <w:rPr>
          <w:rFonts w:cs="Tahoma" w:ascii="Tahoma" w:hAnsi="Tahoma"/>
          <w:i/>
          <w:spacing w:val="-2"/>
          <w:sz w:val="20"/>
        </w:rPr>
        <w:t xml:space="preserve">previa </w:t>
      </w:r>
      <w:r>
        <w:rPr>
          <w:rFonts w:cs="Tahoma" w:ascii="Tahoma" w:hAnsi="Tahoma"/>
          <w:i/>
          <w:sz w:val="20"/>
        </w:rPr>
        <w:t>a su ejecución se concertará con las personas indígenas la identificación de los</w:t>
      </w:r>
      <w:r>
        <w:rPr>
          <w:rFonts w:cs="Tahoma" w:ascii="Tahoma" w:hAnsi="Tahoma"/>
          <w:i/>
          <w:spacing w:val="-13"/>
          <w:sz w:val="20"/>
        </w:rPr>
        <w:t xml:space="preserve"> </w:t>
      </w:r>
      <w:r>
        <w:rPr>
          <w:rFonts w:cs="Tahoma" w:ascii="Tahoma" w:hAnsi="Tahoma"/>
          <w:i/>
          <w:sz w:val="20"/>
        </w:rPr>
        <w:t>contenidos</w:t>
      </w:r>
      <w:r>
        <w:rPr>
          <w:rFonts w:cs="Tahoma" w:ascii="Tahoma" w:hAnsi="Tahoma"/>
          <w:i/>
          <w:spacing w:val="-12"/>
          <w:sz w:val="20"/>
        </w:rPr>
        <w:t xml:space="preserve"> </w:t>
      </w:r>
      <w:r>
        <w:rPr>
          <w:rFonts w:cs="Tahoma" w:ascii="Tahoma" w:hAnsi="Tahoma"/>
          <w:i/>
          <w:sz w:val="20"/>
        </w:rPr>
        <w:t>mínimos</w:t>
      </w:r>
      <w:r>
        <w:rPr>
          <w:rFonts w:cs="Tahoma" w:ascii="Tahoma" w:hAnsi="Tahoma"/>
          <w:i/>
          <w:spacing w:val="-13"/>
          <w:sz w:val="20"/>
        </w:rPr>
        <w:t xml:space="preserve"> </w:t>
      </w:r>
      <w:r>
        <w:rPr>
          <w:rFonts w:cs="Tahoma" w:ascii="Tahoma" w:hAnsi="Tahoma"/>
          <w:i/>
          <w:sz w:val="20"/>
        </w:rPr>
        <w:t>de</w:t>
      </w:r>
      <w:r>
        <w:rPr>
          <w:rFonts w:cs="Tahoma" w:ascii="Tahoma" w:hAnsi="Tahoma"/>
          <w:i/>
          <w:spacing w:val="-13"/>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aspectos</w:t>
      </w:r>
      <w:r>
        <w:rPr>
          <w:rFonts w:cs="Tahoma" w:ascii="Tahoma" w:hAnsi="Tahoma"/>
          <w:i/>
          <w:spacing w:val="-13"/>
          <w:sz w:val="20"/>
        </w:rPr>
        <w:t xml:space="preserve"> </w:t>
      </w:r>
      <w:r>
        <w:rPr>
          <w:rFonts w:cs="Tahoma" w:ascii="Tahoma" w:hAnsi="Tahoma"/>
          <w:i/>
          <w:spacing w:val="-3"/>
          <w:sz w:val="20"/>
        </w:rPr>
        <w:t>sobre</w:t>
      </w:r>
      <w:r>
        <w:rPr>
          <w:rFonts w:cs="Tahoma" w:ascii="Tahoma" w:hAnsi="Tahoma"/>
          <w:i/>
          <w:spacing w:val="-11"/>
          <w:sz w:val="20"/>
        </w:rPr>
        <w:t xml:space="preserve"> </w:t>
      </w:r>
      <w:r>
        <w:rPr>
          <w:rFonts w:cs="Tahoma" w:ascii="Tahoma" w:hAnsi="Tahoma"/>
          <w:i/>
          <w:sz w:val="20"/>
        </w:rPr>
        <w:t>los</w:t>
      </w:r>
      <w:r>
        <w:rPr>
          <w:rFonts w:cs="Tahoma" w:ascii="Tahoma" w:hAnsi="Tahoma"/>
          <w:i/>
          <w:spacing w:val="-12"/>
          <w:sz w:val="20"/>
        </w:rPr>
        <w:t xml:space="preserve"> </w:t>
      </w:r>
      <w:r>
        <w:rPr>
          <w:rFonts w:cs="Tahoma" w:ascii="Tahoma" w:hAnsi="Tahoma"/>
          <w:i/>
          <w:sz w:val="20"/>
        </w:rPr>
        <w:t>cuales</w:t>
      </w:r>
      <w:r>
        <w:rPr>
          <w:rFonts w:cs="Tahoma" w:ascii="Tahoma" w:hAnsi="Tahoma"/>
          <w:i/>
          <w:spacing w:val="-14"/>
          <w:sz w:val="20"/>
        </w:rPr>
        <w:t xml:space="preserve"> </w:t>
      </w:r>
      <w:r>
        <w:rPr>
          <w:rFonts w:cs="Tahoma" w:ascii="Tahoma" w:hAnsi="Tahoma"/>
          <w:i/>
          <w:sz w:val="20"/>
        </w:rPr>
        <w:t>desean</w:t>
      </w:r>
      <w:r>
        <w:rPr>
          <w:rFonts w:cs="Tahoma" w:ascii="Tahoma" w:hAnsi="Tahoma"/>
          <w:i/>
          <w:spacing w:val="-10"/>
          <w:sz w:val="20"/>
        </w:rPr>
        <w:t xml:space="preserve"> </w:t>
      </w:r>
      <w:r>
        <w:rPr>
          <w:rFonts w:cs="Tahoma" w:ascii="Tahoma" w:hAnsi="Tahoma"/>
          <w:i/>
          <w:sz w:val="20"/>
        </w:rPr>
        <w:t>ser</w:t>
      </w:r>
      <w:r>
        <w:rPr>
          <w:rFonts w:cs="Tahoma" w:ascii="Tahoma" w:hAnsi="Tahoma"/>
          <w:i/>
          <w:spacing w:val="-12"/>
          <w:sz w:val="20"/>
        </w:rPr>
        <w:t xml:space="preserve"> </w:t>
      </w:r>
      <w:r>
        <w:rPr>
          <w:rFonts w:cs="Tahoma" w:ascii="Tahoma" w:hAnsi="Tahoma"/>
          <w:i/>
          <w:sz w:val="20"/>
        </w:rPr>
        <w:t>informados y los mecanismos que ofrece el Poder Judicial para el acceso a la</w:t>
      </w:r>
      <w:r>
        <w:rPr>
          <w:rFonts w:cs="Tahoma" w:ascii="Tahoma" w:hAnsi="Tahoma"/>
          <w:i/>
          <w:spacing w:val="-14"/>
          <w:sz w:val="20"/>
        </w:rPr>
        <w:t xml:space="preserve"> </w:t>
      </w:r>
      <w:r>
        <w:rPr>
          <w:rFonts w:cs="Tahoma" w:ascii="Tahoma" w:hAnsi="Tahoma"/>
          <w:i/>
          <w:sz w:val="20"/>
        </w:rPr>
        <w:t>justicia.</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1915" w:leader="none"/>
        </w:tabs>
        <w:spacing w:before="0" w:after="0"/>
        <w:ind w:left="387" w:right="969" w:firstLine="708"/>
        <w:jc w:val="both"/>
        <w:rPr>
          <w:rFonts w:ascii="Tahoma" w:hAnsi="Tahoma" w:cs="Tahoma"/>
          <w:i/>
          <w:i/>
          <w:sz w:val="20"/>
        </w:rPr>
      </w:pPr>
      <w:r>
        <w:rPr>
          <w:rFonts w:cs="Tahoma" w:ascii="Tahoma" w:hAnsi="Tahoma"/>
          <w:i/>
          <w:sz w:val="20"/>
        </w:rPr>
        <w:t>Realizar</w:t>
      </w:r>
      <w:r>
        <w:rPr>
          <w:rFonts w:cs="Tahoma" w:ascii="Tahoma" w:hAnsi="Tahoma"/>
          <w:i/>
          <w:spacing w:val="-9"/>
          <w:sz w:val="20"/>
        </w:rPr>
        <w:t xml:space="preserve"> </w:t>
      </w:r>
      <w:r>
        <w:rPr>
          <w:rFonts w:cs="Tahoma" w:ascii="Tahoma" w:hAnsi="Tahoma"/>
          <w:i/>
          <w:sz w:val="20"/>
        </w:rPr>
        <w:t>encuentros</w:t>
      </w:r>
      <w:r>
        <w:rPr>
          <w:rFonts w:cs="Tahoma" w:ascii="Tahoma" w:hAnsi="Tahoma"/>
          <w:i/>
          <w:spacing w:val="-9"/>
          <w:sz w:val="20"/>
        </w:rPr>
        <w:t xml:space="preserve"> </w:t>
      </w:r>
      <w:r>
        <w:rPr>
          <w:rFonts w:cs="Tahoma" w:ascii="Tahoma" w:hAnsi="Tahoma"/>
          <w:i/>
          <w:sz w:val="20"/>
        </w:rPr>
        <w:t>entre</w:t>
      </w:r>
      <w:r>
        <w:rPr>
          <w:rFonts w:cs="Tahoma" w:ascii="Tahoma" w:hAnsi="Tahoma"/>
          <w:i/>
          <w:spacing w:val="-10"/>
          <w:sz w:val="20"/>
        </w:rPr>
        <w:t xml:space="preserve"> </w:t>
      </w:r>
      <w:r>
        <w:rPr>
          <w:rFonts w:cs="Tahoma" w:ascii="Tahoma" w:hAnsi="Tahoma"/>
          <w:i/>
          <w:sz w:val="20"/>
        </w:rPr>
        <w:t>representantes</w:t>
      </w:r>
      <w:r>
        <w:rPr>
          <w:rFonts w:cs="Tahoma" w:ascii="Tahoma" w:hAnsi="Tahoma"/>
          <w:i/>
          <w:spacing w:val="-9"/>
          <w:sz w:val="20"/>
        </w:rPr>
        <w:t xml:space="preserve"> </w:t>
      </w:r>
      <w:r>
        <w:rPr>
          <w:rFonts w:cs="Tahoma" w:ascii="Tahoma" w:hAnsi="Tahoma"/>
          <w:i/>
          <w:sz w:val="20"/>
        </w:rPr>
        <w:t>del</w:t>
      </w:r>
      <w:r>
        <w:rPr>
          <w:rFonts w:cs="Tahoma" w:ascii="Tahoma" w:hAnsi="Tahoma"/>
          <w:i/>
          <w:spacing w:val="-8"/>
          <w:sz w:val="20"/>
        </w:rPr>
        <w:t xml:space="preserve"> </w:t>
      </w:r>
      <w:r>
        <w:rPr>
          <w:rFonts w:cs="Tahoma" w:ascii="Tahoma" w:hAnsi="Tahoma"/>
          <w:i/>
          <w:sz w:val="20"/>
        </w:rPr>
        <w:t>pueblo</w:t>
      </w:r>
      <w:r>
        <w:rPr>
          <w:rFonts w:cs="Tahoma" w:ascii="Tahoma" w:hAnsi="Tahoma"/>
          <w:i/>
          <w:spacing w:val="-8"/>
          <w:sz w:val="20"/>
        </w:rPr>
        <w:t xml:space="preserve"> </w:t>
      </w:r>
      <w:r>
        <w:rPr>
          <w:rFonts w:cs="Tahoma" w:ascii="Tahoma" w:hAnsi="Tahoma"/>
          <w:i/>
          <w:sz w:val="20"/>
        </w:rPr>
        <w:t>indígena</w:t>
      </w:r>
      <w:r>
        <w:rPr>
          <w:rFonts w:cs="Tahoma" w:ascii="Tahoma" w:hAnsi="Tahoma"/>
          <w:i/>
          <w:spacing w:val="-10"/>
          <w:sz w:val="20"/>
        </w:rPr>
        <w:t xml:space="preserve"> </w:t>
      </w:r>
      <w:r>
        <w:rPr>
          <w:rFonts w:cs="Tahoma" w:ascii="Tahoma" w:hAnsi="Tahoma"/>
          <w:i/>
          <w:spacing w:val="-5"/>
          <w:sz w:val="20"/>
        </w:rPr>
        <w:t xml:space="preserve">Teribe </w:t>
      </w:r>
      <w:r>
        <w:rPr>
          <w:rFonts w:cs="Tahoma" w:ascii="Tahoma" w:hAnsi="Tahoma"/>
          <w:i/>
          <w:sz w:val="20"/>
        </w:rPr>
        <w:t>y Bribri de Salitre y personas funcionarias judiciales con competencia para conocer procesos judiciales vinculados con esa población, a efecto de que</w:t>
      </w:r>
      <w:r>
        <w:rPr>
          <w:rFonts w:cs="Tahoma" w:ascii="Tahoma" w:hAnsi="Tahoma"/>
          <w:i/>
          <w:spacing w:val="-28"/>
          <w:sz w:val="20"/>
        </w:rPr>
        <w:t xml:space="preserve"> </w:t>
      </w:r>
      <w:r>
        <w:rPr>
          <w:rFonts w:cs="Tahoma" w:ascii="Tahoma" w:hAnsi="Tahoma"/>
          <w:i/>
          <w:sz w:val="20"/>
        </w:rPr>
        <w:t>las personas</w:t>
      </w:r>
      <w:r>
        <w:rPr>
          <w:rFonts w:cs="Tahoma" w:ascii="Tahoma" w:hAnsi="Tahoma"/>
          <w:i/>
          <w:spacing w:val="-15"/>
          <w:sz w:val="20"/>
        </w:rPr>
        <w:t xml:space="preserve"> </w:t>
      </w:r>
      <w:r>
        <w:rPr>
          <w:rFonts w:cs="Tahoma" w:ascii="Tahoma" w:hAnsi="Tahoma"/>
          <w:i/>
          <w:sz w:val="20"/>
        </w:rPr>
        <w:t>indígenas</w:t>
      </w:r>
      <w:r>
        <w:rPr>
          <w:rFonts w:cs="Tahoma" w:ascii="Tahoma" w:hAnsi="Tahoma"/>
          <w:i/>
          <w:spacing w:val="-15"/>
          <w:sz w:val="20"/>
        </w:rPr>
        <w:t xml:space="preserve"> </w:t>
      </w:r>
      <w:r>
        <w:rPr>
          <w:rFonts w:cs="Tahoma" w:ascii="Tahoma" w:hAnsi="Tahoma"/>
          <w:i/>
          <w:sz w:val="20"/>
        </w:rPr>
        <w:t>capaciten</w:t>
      </w:r>
      <w:r>
        <w:rPr>
          <w:rFonts w:cs="Tahoma" w:ascii="Tahoma" w:hAnsi="Tahoma"/>
          <w:i/>
          <w:spacing w:val="-15"/>
          <w:sz w:val="20"/>
        </w:rPr>
        <w:t xml:space="preserve"> </w:t>
      </w:r>
      <w:r>
        <w:rPr>
          <w:rFonts w:cs="Tahoma" w:ascii="Tahoma" w:hAnsi="Tahoma"/>
          <w:i/>
          <w:sz w:val="20"/>
        </w:rPr>
        <w:t>a</w:t>
      </w:r>
      <w:r>
        <w:rPr>
          <w:rFonts w:cs="Tahoma" w:ascii="Tahoma" w:hAnsi="Tahoma"/>
          <w:i/>
          <w:spacing w:val="-14"/>
          <w:sz w:val="20"/>
        </w:rPr>
        <w:t xml:space="preserve"> </w:t>
      </w:r>
      <w:r>
        <w:rPr>
          <w:rFonts w:cs="Tahoma" w:ascii="Tahoma" w:hAnsi="Tahoma"/>
          <w:i/>
          <w:sz w:val="20"/>
        </w:rPr>
        <w:t>las</w:t>
      </w:r>
      <w:r>
        <w:rPr>
          <w:rFonts w:cs="Tahoma" w:ascii="Tahoma" w:hAnsi="Tahoma"/>
          <w:i/>
          <w:spacing w:val="-15"/>
          <w:sz w:val="20"/>
        </w:rPr>
        <w:t xml:space="preserve"> </w:t>
      </w:r>
      <w:r>
        <w:rPr>
          <w:rFonts w:cs="Tahoma" w:ascii="Tahoma" w:hAnsi="Tahoma"/>
          <w:i/>
          <w:sz w:val="20"/>
        </w:rPr>
        <w:t>y</w:t>
      </w:r>
      <w:r>
        <w:rPr>
          <w:rFonts w:cs="Tahoma" w:ascii="Tahoma" w:hAnsi="Tahoma"/>
          <w:i/>
          <w:spacing w:val="-19"/>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servidores</w:t>
      </w:r>
      <w:r>
        <w:rPr>
          <w:rFonts w:cs="Tahoma" w:ascii="Tahoma" w:hAnsi="Tahoma"/>
          <w:i/>
          <w:spacing w:val="-15"/>
          <w:sz w:val="20"/>
        </w:rPr>
        <w:t xml:space="preserve"> </w:t>
      </w:r>
      <w:r>
        <w:rPr>
          <w:rFonts w:cs="Tahoma" w:ascii="Tahoma" w:hAnsi="Tahoma"/>
          <w:i/>
          <w:sz w:val="20"/>
        </w:rPr>
        <w:t>judiciales</w:t>
      </w:r>
      <w:r>
        <w:rPr>
          <w:rFonts w:cs="Tahoma" w:ascii="Tahoma" w:hAnsi="Tahoma"/>
          <w:i/>
          <w:spacing w:val="-15"/>
          <w:sz w:val="20"/>
        </w:rPr>
        <w:t xml:space="preserve"> </w:t>
      </w:r>
      <w:r>
        <w:rPr>
          <w:rFonts w:cs="Tahoma" w:ascii="Tahoma" w:hAnsi="Tahoma"/>
          <w:i/>
          <w:spacing w:val="-3"/>
          <w:sz w:val="20"/>
        </w:rPr>
        <w:t>sobre</w:t>
      </w:r>
      <w:r>
        <w:rPr>
          <w:rFonts w:cs="Tahoma" w:ascii="Tahoma" w:hAnsi="Tahoma"/>
          <w:i/>
          <w:spacing w:val="-15"/>
          <w:sz w:val="20"/>
        </w:rPr>
        <w:t xml:space="preserve"> </w:t>
      </w:r>
      <w:r>
        <w:rPr>
          <w:rFonts w:cs="Tahoma" w:ascii="Tahoma" w:hAnsi="Tahoma"/>
          <w:i/>
          <w:sz w:val="20"/>
        </w:rPr>
        <w:t>la</w:t>
      </w:r>
      <w:r>
        <w:rPr>
          <w:rFonts w:cs="Tahoma" w:ascii="Tahoma" w:hAnsi="Tahoma"/>
          <w:i/>
          <w:spacing w:val="-17"/>
          <w:sz w:val="20"/>
        </w:rPr>
        <w:t xml:space="preserve"> </w:t>
      </w:r>
      <w:r>
        <w:rPr>
          <w:rFonts w:cs="Tahoma" w:ascii="Tahoma" w:hAnsi="Tahoma"/>
          <w:i/>
          <w:sz w:val="20"/>
        </w:rPr>
        <w:t xml:space="preserve">historia, cosmovisión, costumbres, formas de tenencia y de transmisión de la tierra, entre otros datos de interés, que incidan en la solución de los conflictos indígenas; priorizándose a quienes laboren en las oficinas judiciales con competencia material y territorial para conocer de procesos vinculados con personas indígenas de Buenos </w:t>
      </w:r>
      <w:r>
        <w:rPr>
          <w:rFonts w:cs="Tahoma" w:ascii="Tahoma" w:hAnsi="Tahoma"/>
          <w:i/>
          <w:spacing w:val="-3"/>
          <w:sz w:val="20"/>
        </w:rPr>
        <w:t xml:space="preserve">Aires </w:t>
      </w:r>
      <w:r>
        <w:rPr>
          <w:rFonts w:cs="Tahoma" w:ascii="Tahoma" w:hAnsi="Tahoma"/>
          <w:i/>
          <w:sz w:val="20"/>
        </w:rPr>
        <w:t>de Puntarenas, incluyendo a personas juzgadoras,</w:t>
      </w:r>
      <w:r>
        <w:rPr>
          <w:rFonts w:cs="Tahoma" w:ascii="Tahoma" w:hAnsi="Tahoma"/>
          <w:i/>
          <w:spacing w:val="-13"/>
          <w:sz w:val="20"/>
        </w:rPr>
        <w:t xml:space="preserve"> </w:t>
      </w:r>
      <w:r>
        <w:rPr>
          <w:rFonts w:cs="Tahoma" w:ascii="Tahoma" w:hAnsi="Tahoma"/>
          <w:i/>
          <w:sz w:val="20"/>
        </w:rPr>
        <w:t>técnicas</w:t>
      </w:r>
      <w:r>
        <w:rPr>
          <w:rFonts w:cs="Tahoma" w:ascii="Tahoma" w:hAnsi="Tahoma"/>
          <w:i/>
          <w:spacing w:val="-12"/>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coordinadoras</w:t>
      </w:r>
      <w:r>
        <w:rPr>
          <w:rFonts w:cs="Tahoma" w:ascii="Tahoma" w:hAnsi="Tahoma"/>
          <w:i/>
          <w:spacing w:val="-12"/>
          <w:sz w:val="20"/>
        </w:rPr>
        <w:t xml:space="preserve"> </w:t>
      </w:r>
      <w:r>
        <w:rPr>
          <w:rFonts w:cs="Tahoma" w:ascii="Tahoma" w:hAnsi="Tahoma"/>
          <w:i/>
          <w:sz w:val="20"/>
        </w:rPr>
        <w:t>judiciales,</w:t>
      </w:r>
      <w:r>
        <w:rPr>
          <w:rFonts w:cs="Tahoma" w:ascii="Tahoma" w:hAnsi="Tahoma"/>
          <w:i/>
          <w:spacing w:val="-13"/>
          <w:sz w:val="20"/>
        </w:rPr>
        <w:t xml:space="preserve"> </w:t>
      </w:r>
      <w:r>
        <w:rPr>
          <w:rFonts w:cs="Tahoma" w:ascii="Tahoma" w:hAnsi="Tahoma"/>
          <w:i/>
          <w:sz w:val="20"/>
        </w:rPr>
        <w:t>defensoras</w:t>
      </w:r>
      <w:r>
        <w:rPr>
          <w:rFonts w:cs="Tahoma" w:ascii="Tahoma" w:hAnsi="Tahoma"/>
          <w:i/>
          <w:spacing w:val="-12"/>
          <w:sz w:val="20"/>
        </w:rPr>
        <w:t xml:space="preserve"> </w:t>
      </w:r>
      <w:r>
        <w:rPr>
          <w:rFonts w:cs="Tahoma" w:ascii="Tahoma" w:hAnsi="Tahoma"/>
          <w:i/>
          <w:sz w:val="20"/>
        </w:rPr>
        <w:t>públicas,</w:t>
      </w:r>
      <w:r>
        <w:rPr>
          <w:rFonts w:cs="Tahoma" w:ascii="Tahoma" w:hAnsi="Tahoma"/>
          <w:i/>
          <w:spacing w:val="-13"/>
          <w:sz w:val="20"/>
        </w:rPr>
        <w:t xml:space="preserve"> </w:t>
      </w:r>
      <w:r>
        <w:rPr>
          <w:rFonts w:cs="Tahoma" w:ascii="Tahoma" w:hAnsi="Tahoma"/>
          <w:i/>
          <w:sz w:val="20"/>
        </w:rPr>
        <w:t>fiscalas, personal</w:t>
      </w:r>
      <w:r>
        <w:rPr>
          <w:rFonts w:cs="Tahoma" w:ascii="Tahoma" w:hAnsi="Tahoma"/>
          <w:i/>
          <w:spacing w:val="-12"/>
          <w:sz w:val="20"/>
        </w:rPr>
        <w:t xml:space="preserve"> </w:t>
      </w:r>
      <w:r>
        <w:rPr>
          <w:rFonts w:cs="Tahoma" w:ascii="Tahoma" w:hAnsi="Tahoma"/>
          <w:i/>
          <w:sz w:val="20"/>
        </w:rPr>
        <w:t>administrativo,</w:t>
      </w:r>
      <w:r>
        <w:rPr>
          <w:rFonts w:cs="Tahoma" w:ascii="Tahoma" w:hAnsi="Tahoma"/>
          <w:i/>
          <w:spacing w:val="-12"/>
          <w:sz w:val="20"/>
        </w:rPr>
        <w:t xml:space="preserve"> </w:t>
      </w:r>
      <w:r>
        <w:rPr>
          <w:rFonts w:cs="Tahoma" w:ascii="Tahoma" w:hAnsi="Tahoma"/>
          <w:i/>
          <w:sz w:val="20"/>
        </w:rPr>
        <w:t>del</w:t>
      </w:r>
      <w:r>
        <w:rPr>
          <w:rFonts w:cs="Tahoma" w:ascii="Tahoma" w:hAnsi="Tahoma"/>
          <w:i/>
          <w:spacing w:val="-12"/>
          <w:sz w:val="20"/>
        </w:rPr>
        <w:t xml:space="preserve"> </w:t>
      </w:r>
      <w:r>
        <w:rPr>
          <w:rFonts w:cs="Tahoma" w:ascii="Tahoma" w:hAnsi="Tahoma"/>
          <w:i/>
          <w:sz w:val="20"/>
        </w:rPr>
        <w:t>Organismo</w:t>
      </w:r>
      <w:r>
        <w:rPr>
          <w:rFonts w:cs="Tahoma" w:ascii="Tahoma" w:hAnsi="Tahoma"/>
          <w:i/>
          <w:spacing w:val="-12"/>
          <w:sz w:val="20"/>
        </w:rPr>
        <w:t xml:space="preserve"> </w:t>
      </w:r>
      <w:r>
        <w:rPr>
          <w:rFonts w:cs="Tahoma" w:ascii="Tahoma" w:hAnsi="Tahoma"/>
          <w:i/>
          <w:sz w:val="20"/>
        </w:rPr>
        <w:t>de</w:t>
      </w:r>
      <w:r>
        <w:rPr>
          <w:rFonts w:cs="Tahoma" w:ascii="Tahoma" w:hAnsi="Tahoma"/>
          <w:i/>
          <w:spacing w:val="-10"/>
          <w:sz w:val="20"/>
        </w:rPr>
        <w:t xml:space="preserve"> </w:t>
      </w:r>
      <w:r>
        <w:rPr>
          <w:rFonts w:cs="Tahoma" w:ascii="Tahoma" w:hAnsi="Tahoma"/>
          <w:i/>
          <w:sz w:val="20"/>
        </w:rPr>
        <w:t>Investigación</w:t>
      </w:r>
      <w:r>
        <w:rPr>
          <w:rFonts w:cs="Tahoma" w:ascii="Tahoma" w:hAnsi="Tahoma"/>
          <w:i/>
          <w:spacing w:val="-12"/>
          <w:sz w:val="20"/>
        </w:rPr>
        <w:t xml:space="preserve"> </w:t>
      </w:r>
      <w:r>
        <w:rPr>
          <w:rFonts w:cs="Tahoma" w:ascii="Tahoma" w:hAnsi="Tahoma"/>
          <w:i/>
          <w:sz w:val="20"/>
        </w:rPr>
        <w:t>Judicial,</w:t>
      </w:r>
      <w:r>
        <w:rPr>
          <w:rFonts w:cs="Tahoma" w:ascii="Tahoma" w:hAnsi="Tahoma"/>
          <w:i/>
          <w:spacing w:val="-9"/>
          <w:sz w:val="20"/>
        </w:rPr>
        <w:t xml:space="preserve"> </w:t>
      </w:r>
      <w:r>
        <w:rPr>
          <w:rFonts w:cs="Tahoma" w:ascii="Tahoma" w:hAnsi="Tahoma"/>
          <w:i/>
          <w:sz w:val="20"/>
        </w:rPr>
        <w:t>entre</w:t>
      </w:r>
      <w:r>
        <w:rPr>
          <w:rFonts w:cs="Tahoma" w:ascii="Tahoma" w:hAnsi="Tahoma"/>
          <w:i/>
          <w:spacing w:val="-14"/>
          <w:sz w:val="20"/>
        </w:rPr>
        <w:t xml:space="preserve"> </w:t>
      </w:r>
      <w:r>
        <w:rPr>
          <w:rFonts w:cs="Tahoma" w:ascii="Tahoma" w:hAnsi="Tahoma"/>
          <w:i/>
          <w:sz w:val="20"/>
        </w:rPr>
        <w:t>otros. Iniciar el proceso de capacitación con personas servidoras judiciales de las Jurisdicciones Penal, Agrario y Contencioso Administrativo, de todas las instancias; y luego se continuará con las</w:t>
      </w:r>
      <w:r>
        <w:rPr>
          <w:rFonts w:cs="Tahoma" w:ascii="Tahoma" w:hAnsi="Tahoma"/>
          <w:i/>
          <w:spacing w:val="-4"/>
          <w:sz w:val="20"/>
        </w:rPr>
        <w:t xml:space="preserve"> </w:t>
      </w:r>
      <w:r>
        <w:rPr>
          <w:rFonts w:cs="Tahoma" w:ascii="Tahoma" w:hAnsi="Tahoma"/>
          <w:i/>
          <w:sz w:val="20"/>
        </w:rPr>
        <w:t>demás.</w:t>
      </w:r>
    </w:p>
    <w:p>
      <w:pPr>
        <w:sectPr>
          <w:headerReference w:type="default" r:id="rId24"/>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ListParagraph"/>
        <w:rPr>
          <w:rFonts w:ascii="Tahoma" w:hAnsi="Tahoma" w:cs="Tahoma"/>
          <w:i/>
          <w:i/>
          <w:sz w:val="20"/>
        </w:rPr>
      </w:pPr>
      <w:r>
        <w:rPr>
          <w:rFonts w:cs="Tahoma" w:ascii="Tahoma" w:hAnsi="Tahoma"/>
          <w:i/>
          <w:sz w:val="20"/>
        </w:rPr>
      </w:r>
    </w:p>
    <w:p>
      <w:pPr>
        <w:pStyle w:val="ListParagraph"/>
        <w:widowControl w:val="false"/>
        <w:numPr>
          <w:ilvl w:val="0"/>
          <w:numId w:val="30"/>
        </w:numPr>
        <w:tabs>
          <w:tab w:val="clear" w:pos="708"/>
          <w:tab w:val="left" w:pos="2023" w:leader="none"/>
        </w:tabs>
        <w:spacing w:before="0" w:after="0"/>
        <w:ind w:left="2022" w:hanging="346"/>
        <w:rPr>
          <w:rFonts w:ascii="Tahoma" w:hAnsi="Tahoma" w:cs="Tahoma"/>
          <w:i/>
          <w:i/>
          <w:sz w:val="20"/>
        </w:rPr>
      </w:pPr>
      <w:r>
        <w:rPr>
          <w:rFonts w:cs="Tahoma" w:ascii="Tahoma" w:hAnsi="Tahoma"/>
          <w:i/>
          <w:spacing w:val="-4"/>
          <w:sz w:val="20"/>
        </w:rPr>
        <w:t>Verificar</w:t>
      </w:r>
      <w:r>
        <w:rPr>
          <w:rFonts w:cs="Tahoma" w:ascii="Tahoma" w:hAnsi="Tahoma"/>
          <w:i/>
          <w:spacing w:val="-14"/>
          <w:sz w:val="20"/>
        </w:rPr>
        <w:t xml:space="preserve"> </w:t>
      </w:r>
      <w:r>
        <w:rPr>
          <w:rFonts w:cs="Tahoma" w:ascii="Tahoma" w:hAnsi="Tahoma"/>
          <w:i/>
          <w:sz w:val="20"/>
        </w:rPr>
        <w:t>que,</w:t>
      </w:r>
      <w:r>
        <w:rPr>
          <w:rFonts w:cs="Tahoma" w:ascii="Tahoma" w:hAnsi="Tahoma"/>
          <w:i/>
          <w:spacing w:val="-15"/>
          <w:sz w:val="20"/>
        </w:rPr>
        <w:t xml:space="preserve"> </w:t>
      </w:r>
      <w:r>
        <w:rPr>
          <w:rFonts w:cs="Tahoma" w:ascii="Tahoma" w:hAnsi="Tahoma"/>
          <w:i/>
          <w:sz w:val="20"/>
        </w:rPr>
        <w:t>en</w:t>
      </w:r>
      <w:r>
        <w:rPr>
          <w:rFonts w:cs="Tahoma" w:ascii="Tahoma" w:hAnsi="Tahoma"/>
          <w:i/>
          <w:spacing w:val="-15"/>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contenidos</w:t>
      </w:r>
      <w:r>
        <w:rPr>
          <w:rFonts w:cs="Tahoma" w:ascii="Tahoma" w:hAnsi="Tahoma"/>
          <w:i/>
          <w:spacing w:val="-15"/>
          <w:sz w:val="20"/>
        </w:rPr>
        <w:t xml:space="preserve"> </w:t>
      </w:r>
      <w:r>
        <w:rPr>
          <w:rFonts w:cs="Tahoma" w:ascii="Tahoma" w:hAnsi="Tahoma"/>
          <w:i/>
          <w:sz w:val="20"/>
        </w:rPr>
        <w:t>de</w:t>
      </w:r>
      <w:r>
        <w:rPr>
          <w:rFonts w:cs="Tahoma" w:ascii="Tahoma" w:hAnsi="Tahoma"/>
          <w:i/>
          <w:spacing w:val="-16"/>
          <w:sz w:val="20"/>
        </w:rPr>
        <w:t xml:space="preserve"> </w:t>
      </w:r>
      <w:r>
        <w:rPr>
          <w:rFonts w:cs="Tahoma" w:ascii="Tahoma" w:hAnsi="Tahoma"/>
          <w:i/>
          <w:sz w:val="20"/>
        </w:rPr>
        <w:t>los</w:t>
      </w:r>
      <w:r>
        <w:rPr>
          <w:rFonts w:cs="Tahoma" w:ascii="Tahoma" w:hAnsi="Tahoma"/>
          <w:i/>
          <w:spacing w:val="-14"/>
          <w:sz w:val="20"/>
        </w:rPr>
        <w:t xml:space="preserve"> </w:t>
      </w:r>
      <w:r>
        <w:rPr>
          <w:rFonts w:cs="Tahoma" w:ascii="Tahoma" w:hAnsi="Tahoma"/>
          <w:i/>
          <w:sz w:val="20"/>
        </w:rPr>
        <w:t>diseños</w:t>
      </w:r>
      <w:r>
        <w:rPr>
          <w:rFonts w:cs="Tahoma" w:ascii="Tahoma" w:hAnsi="Tahoma"/>
          <w:i/>
          <w:spacing w:val="-15"/>
          <w:sz w:val="20"/>
        </w:rPr>
        <w:t xml:space="preserve"> </w:t>
      </w:r>
      <w:r>
        <w:rPr>
          <w:rFonts w:cs="Tahoma" w:ascii="Tahoma" w:hAnsi="Tahoma"/>
          <w:i/>
          <w:sz w:val="20"/>
        </w:rPr>
        <w:t>de</w:t>
      </w:r>
      <w:r>
        <w:rPr>
          <w:rFonts w:cs="Tahoma" w:ascii="Tahoma" w:hAnsi="Tahoma"/>
          <w:i/>
          <w:spacing w:val="-16"/>
          <w:sz w:val="20"/>
        </w:rPr>
        <w:t xml:space="preserve"> </w:t>
      </w:r>
      <w:r>
        <w:rPr>
          <w:rFonts w:cs="Tahoma" w:ascii="Tahoma" w:hAnsi="Tahoma"/>
          <w:i/>
          <w:sz w:val="20"/>
        </w:rPr>
        <w:t>las</w:t>
      </w:r>
      <w:r>
        <w:rPr>
          <w:rFonts w:cs="Tahoma" w:ascii="Tahoma" w:hAnsi="Tahoma"/>
          <w:i/>
          <w:spacing w:val="-14"/>
          <w:sz w:val="20"/>
        </w:rPr>
        <w:t xml:space="preserve"> </w:t>
      </w:r>
      <w:r>
        <w:rPr>
          <w:rFonts w:cs="Tahoma" w:ascii="Tahoma" w:hAnsi="Tahoma"/>
          <w:i/>
          <w:sz w:val="20"/>
        </w:rPr>
        <w:t>capacitaciones</w:t>
      </w:r>
    </w:p>
    <w:p>
      <w:pPr>
        <w:pStyle w:val="Cuerpodetexto"/>
        <w:spacing w:before="90" w:after="0"/>
        <w:ind w:left="969" w:hanging="0"/>
        <w:jc w:val="both"/>
        <w:rPr>
          <w:rFonts w:ascii="Tahoma" w:hAnsi="Tahoma" w:cs="Tahoma"/>
          <w:sz w:val="20"/>
          <w:szCs w:val="20"/>
        </w:rPr>
      </w:pPr>
      <w:r>
        <w:rPr>
          <w:rFonts w:cs="Tahoma" w:ascii="Tahoma" w:hAnsi="Tahoma"/>
          <w:i/>
          <w:sz w:val="20"/>
          <w:szCs w:val="20"/>
        </w:rPr>
        <w:t>en Derecho Indígena, se incluya al menos:</w:t>
      </w:r>
    </w:p>
    <w:p>
      <w:pPr>
        <w:pStyle w:val="ListParagraph"/>
        <w:widowControl w:val="false"/>
        <w:numPr>
          <w:ilvl w:val="0"/>
          <w:numId w:val="22"/>
        </w:numPr>
        <w:tabs>
          <w:tab w:val="clear" w:pos="708"/>
          <w:tab w:val="left" w:pos="2242" w:leader="none"/>
        </w:tabs>
        <w:spacing w:before="0" w:after="0"/>
        <w:ind w:left="969" w:right="972" w:firstLine="708"/>
        <w:jc w:val="both"/>
        <w:rPr>
          <w:rFonts w:ascii="Tahoma" w:hAnsi="Tahoma" w:cs="Tahoma"/>
          <w:i/>
          <w:i/>
          <w:sz w:val="20"/>
        </w:rPr>
      </w:pPr>
      <w:r>
        <w:rPr>
          <w:rFonts w:cs="Tahoma" w:ascii="Tahoma" w:hAnsi="Tahoma"/>
          <w:i/>
          <w:sz w:val="20"/>
        </w:rPr>
        <w:t>Normativa internacional referida a los derechos de las</w:t>
      </w:r>
      <w:r>
        <w:rPr>
          <w:rFonts w:cs="Tahoma" w:ascii="Tahoma" w:hAnsi="Tahoma"/>
          <w:i/>
          <w:spacing w:val="-26"/>
          <w:sz w:val="20"/>
        </w:rPr>
        <w:t xml:space="preserve"> </w:t>
      </w:r>
      <w:r>
        <w:rPr>
          <w:rFonts w:cs="Tahoma" w:ascii="Tahoma" w:hAnsi="Tahoma"/>
          <w:i/>
          <w:sz w:val="20"/>
        </w:rPr>
        <w:t>personas indígenas,</w:t>
      </w:r>
      <w:r>
        <w:rPr>
          <w:rFonts w:cs="Tahoma" w:ascii="Tahoma" w:hAnsi="Tahoma"/>
          <w:i/>
          <w:spacing w:val="-13"/>
          <w:sz w:val="20"/>
        </w:rPr>
        <w:t xml:space="preserve"> </w:t>
      </w:r>
      <w:r>
        <w:rPr>
          <w:rFonts w:cs="Tahoma" w:ascii="Tahoma" w:hAnsi="Tahoma"/>
          <w:i/>
          <w:sz w:val="20"/>
        </w:rPr>
        <w:t>entre</w:t>
      </w:r>
      <w:r>
        <w:rPr>
          <w:rFonts w:cs="Tahoma" w:ascii="Tahoma" w:hAnsi="Tahoma"/>
          <w:i/>
          <w:spacing w:val="-12"/>
          <w:sz w:val="20"/>
        </w:rPr>
        <w:t xml:space="preserve"> </w:t>
      </w:r>
      <w:r>
        <w:rPr>
          <w:rFonts w:cs="Tahoma" w:ascii="Tahoma" w:hAnsi="Tahoma"/>
          <w:i/>
          <w:sz w:val="20"/>
        </w:rPr>
        <w:t>ellos,</w:t>
      </w:r>
      <w:r>
        <w:rPr>
          <w:rFonts w:cs="Tahoma" w:ascii="Tahoma" w:hAnsi="Tahoma"/>
          <w:i/>
          <w:spacing w:val="-13"/>
          <w:sz w:val="20"/>
        </w:rPr>
        <w:t xml:space="preserve"> </w:t>
      </w:r>
      <w:r>
        <w:rPr>
          <w:rFonts w:cs="Tahoma" w:ascii="Tahoma" w:hAnsi="Tahoma"/>
          <w:i/>
          <w:sz w:val="20"/>
        </w:rPr>
        <w:t>el</w:t>
      </w:r>
      <w:r>
        <w:rPr>
          <w:rFonts w:cs="Tahoma" w:ascii="Tahoma" w:hAnsi="Tahoma"/>
          <w:i/>
          <w:spacing w:val="-10"/>
          <w:sz w:val="20"/>
        </w:rPr>
        <w:t xml:space="preserve"> </w:t>
      </w:r>
      <w:r>
        <w:rPr>
          <w:rFonts w:cs="Tahoma" w:ascii="Tahoma" w:hAnsi="Tahoma"/>
          <w:i/>
          <w:sz w:val="20"/>
        </w:rPr>
        <w:t>Convenio</w:t>
      </w:r>
      <w:r>
        <w:rPr>
          <w:rFonts w:cs="Tahoma" w:ascii="Tahoma" w:hAnsi="Tahoma"/>
          <w:i/>
          <w:spacing w:val="-13"/>
          <w:sz w:val="20"/>
        </w:rPr>
        <w:t xml:space="preserve"> </w:t>
      </w:r>
      <w:r>
        <w:rPr>
          <w:rFonts w:cs="Tahoma" w:ascii="Tahoma" w:hAnsi="Tahoma"/>
          <w:i/>
          <w:sz w:val="20"/>
        </w:rPr>
        <w:t>relativo</w:t>
      </w:r>
      <w:r>
        <w:rPr>
          <w:rFonts w:cs="Tahoma" w:ascii="Tahoma" w:hAnsi="Tahoma"/>
          <w:i/>
          <w:spacing w:val="-13"/>
          <w:sz w:val="20"/>
        </w:rPr>
        <w:t xml:space="preserve"> </w:t>
      </w:r>
      <w:r>
        <w:rPr>
          <w:rFonts w:cs="Tahoma" w:ascii="Tahoma" w:hAnsi="Tahoma"/>
          <w:i/>
          <w:sz w:val="20"/>
        </w:rPr>
        <w:t>a</w:t>
      </w:r>
      <w:r>
        <w:rPr>
          <w:rFonts w:cs="Tahoma" w:ascii="Tahoma" w:hAnsi="Tahoma"/>
          <w:i/>
          <w:spacing w:val="-13"/>
          <w:sz w:val="20"/>
        </w:rPr>
        <w:t xml:space="preserve"> </w:t>
      </w:r>
      <w:r>
        <w:rPr>
          <w:rFonts w:cs="Tahoma" w:ascii="Tahoma" w:hAnsi="Tahoma"/>
          <w:i/>
          <w:sz w:val="20"/>
        </w:rPr>
        <w:t>la</w:t>
      </w:r>
      <w:r>
        <w:rPr>
          <w:rFonts w:cs="Tahoma" w:ascii="Tahoma" w:hAnsi="Tahoma"/>
          <w:i/>
          <w:spacing w:val="-13"/>
          <w:sz w:val="20"/>
        </w:rPr>
        <w:t xml:space="preserve"> </w:t>
      </w:r>
      <w:r>
        <w:rPr>
          <w:rFonts w:cs="Tahoma" w:ascii="Tahoma" w:hAnsi="Tahoma"/>
          <w:i/>
          <w:sz w:val="20"/>
        </w:rPr>
        <w:t>protección</w:t>
      </w:r>
      <w:r>
        <w:rPr>
          <w:rFonts w:cs="Tahoma" w:ascii="Tahoma" w:hAnsi="Tahoma"/>
          <w:i/>
          <w:spacing w:val="-13"/>
          <w:sz w:val="20"/>
        </w:rPr>
        <w:t xml:space="preserve"> </w:t>
      </w:r>
      <w:r>
        <w:rPr>
          <w:rFonts w:cs="Tahoma" w:ascii="Tahoma" w:hAnsi="Tahoma"/>
          <w:i/>
          <w:sz w:val="20"/>
        </w:rPr>
        <w:t>e</w:t>
      </w:r>
      <w:r>
        <w:rPr>
          <w:rFonts w:cs="Tahoma" w:ascii="Tahoma" w:hAnsi="Tahoma"/>
          <w:i/>
          <w:spacing w:val="-12"/>
          <w:sz w:val="20"/>
        </w:rPr>
        <w:t xml:space="preserve"> </w:t>
      </w:r>
      <w:r>
        <w:rPr>
          <w:rFonts w:cs="Tahoma" w:ascii="Tahoma" w:hAnsi="Tahoma"/>
          <w:i/>
          <w:sz w:val="20"/>
        </w:rPr>
        <w:t>integración</w:t>
      </w:r>
      <w:r>
        <w:rPr>
          <w:rFonts w:cs="Tahoma" w:ascii="Tahoma" w:hAnsi="Tahoma"/>
          <w:i/>
          <w:spacing w:val="-13"/>
          <w:sz w:val="20"/>
        </w:rPr>
        <w:t xml:space="preserve"> </w:t>
      </w:r>
      <w:r>
        <w:rPr>
          <w:rFonts w:cs="Tahoma" w:ascii="Tahoma" w:hAnsi="Tahoma"/>
          <w:i/>
          <w:sz w:val="20"/>
        </w:rPr>
        <w:t>de</w:t>
      </w:r>
      <w:r>
        <w:rPr>
          <w:rFonts w:cs="Tahoma" w:ascii="Tahoma" w:hAnsi="Tahoma"/>
          <w:i/>
          <w:spacing w:val="-11"/>
          <w:sz w:val="20"/>
        </w:rPr>
        <w:t xml:space="preserve"> </w:t>
      </w:r>
      <w:r>
        <w:rPr>
          <w:rFonts w:cs="Tahoma" w:ascii="Tahoma" w:hAnsi="Tahoma"/>
          <w:i/>
          <w:sz w:val="20"/>
        </w:rPr>
        <w:t>las poblaciones indígenas y de otras poblaciones tribales y semitribales en los países</w:t>
      </w:r>
      <w:r>
        <w:rPr>
          <w:rFonts w:cs="Tahoma" w:ascii="Tahoma" w:hAnsi="Tahoma"/>
          <w:i/>
          <w:spacing w:val="-16"/>
          <w:sz w:val="20"/>
        </w:rPr>
        <w:t xml:space="preserve"> </w:t>
      </w:r>
      <w:r>
        <w:rPr>
          <w:rFonts w:cs="Tahoma" w:ascii="Tahoma" w:hAnsi="Tahoma"/>
          <w:i/>
          <w:sz w:val="20"/>
        </w:rPr>
        <w:t>1957</w:t>
      </w:r>
      <w:r>
        <w:rPr>
          <w:rFonts w:cs="Tahoma" w:ascii="Tahoma" w:hAnsi="Tahoma"/>
          <w:i/>
          <w:spacing w:val="-15"/>
          <w:sz w:val="20"/>
        </w:rPr>
        <w:t xml:space="preserve"> </w:t>
      </w:r>
      <w:r>
        <w:rPr>
          <w:rFonts w:cs="Tahoma" w:ascii="Tahoma" w:hAnsi="Tahoma"/>
          <w:i/>
          <w:sz w:val="20"/>
        </w:rPr>
        <w:t>(Convenio</w:t>
      </w:r>
      <w:r>
        <w:rPr>
          <w:rFonts w:cs="Tahoma" w:ascii="Tahoma" w:hAnsi="Tahoma"/>
          <w:i/>
          <w:spacing w:val="-14"/>
          <w:sz w:val="20"/>
        </w:rPr>
        <w:t xml:space="preserve"> </w:t>
      </w:r>
      <w:r>
        <w:rPr>
          <w:rFonts w:cs="Tahoma" w:ascii="Tahoma" w:hAnsi="Tahoma"/>
          <w:i/>
          <w:sz w:val="20"/>
        </w:rPr>
        <w:t>107</w:t>
      </w:r>
      <w:r>
        <w:rPr>
          <w:rFonts w:cs="Tahoma" w:ascii="Tahoma" w:hAnsi="Tahoma"/>
          <w:i/>
          <w:spacing w:val="-15"/>
          <w:sz w:val="20"/>
        </w:rPr>
        <w:t xml:space="preserve"> </w:t>
      </w:r>
      <w:r>
        <w:rPr>
          <w:rFonts w:cs="Tahoma" w:ascii="Tahoma" w:hAnsi="Tahoma"/>
          <w:i/>
          <w:sz w:val="20"/>
        </w:rPr>
        <w:t>OIT),</w:t>
      </w:r>
      <w:r>
        <w:rPr>
          <w:rFonts w:cs="Tahoma" w:ascii="Tahoma" w:hAnsi="Tahoma"/>
          <w:i/>
          <w:spacing w:val="-16"/>
          <w:sz w:val="20"/>
        </w:rPr>
        <w:t xml:space="preserve"> </w:t>
      </w:r>
      <w:r>
        <w:rPr>
          <w:rFonts w:cs="Tahoma" w:ascii="Tahoma" w:hAnsi="Tahoma"/>
          <w:i/>
          <w:sz w:val="20"/>
        </w:rPr>
        <w:t>Convenio</w:t>
      </w:r>
      <w:r>
        <w:rPr>
          <w:rFonts w:cs="Tahoma" w:ascii="Tahoma" w:hAnsi="Tahoma"/>
          <w:i/>
          <w:spacing w:val="-15"/>
          <w:sz w:val="20"/>
        </w:rPr>
        <w:t xml:space="preserve"> </w:t>
      </w:r>
      <w:r>
        <w:rPr>
          <w:rFonts w:cs="Tahoma" w:ascii="Tahoma" w:hAnsi="Tahoma"/>
          <w:i/>
          <w:spacing w:val="-3"/>
          <w:sz w:val="20"/>
        </w:rPr>
        <w:t>sobre</w:t>
      </w:r>
      <w:r>
        <w:rPr>
          <w:rFonts w:cs="Tahoma" w:ascii="Tahoma" w:hAnsi="Tahoma"/>
          <w:i/>
          <w:spacing w:val="-16"/>
          <w:sz w:val="20"/>
        </w:rPr>
        <w:t xml:space="preserve"> </w:t>
      </w:r>
      <w:r>
        <w:rPr>
          <w:rFonts w:cs="Tahoma" w:ascii="Tahoma" w:hAnsi="Tahoma"/>
          <w:i/>
          <w:sz w:val="20"/>
        </w:rPr>
        <w:t>Pueblos</w:t>
      </w:r>
      <w:r>
        <w:rPr>
          <w:rFonts w:cs="Tahoma" w:ascii="Tahoma" w:hAnsi="Tahoma"/>
          <w:i/>
          <w:spacing w:val="-14"/>
          <w:sz w:val="20"/>
        </w:rPr>
        <w:t xml:space="preserve"> </w:t>
      </w:r>
      <w:r>
        <w:rPr>
          <w:rFonts w:cs="Tahoma" w:ascii="Tahoma" w:hAnsi="Tahoma"/>
          <w:i/>
          <w:sz w:val="20"/>
        </w:rPr>
        <w:t>Indígenas</w:t>
      </w:r>
      <w:r>
        <w:rPr>
          <w:rFonts w:cs="Tahoma" w:ascii="Tahoma" w:hAnsi="Tahoma"/>
          <w:i/>
          <w:spacing w:val="-13"/>
          <w:sz w:val="20"/>
        </w:rPr>
        <w:t xml:space="preserve"> </w:t>
      </w:r>
      <w:r>
        <w:rPr>
          <w:rFonts w:cs="Tahoma" w:ascii="Tahoma" w:hAnsi="Tahoma"/>
          <w:i/>
          <w:sz w:val="20"/>
        </w:rPr>
        <w:t>y</w:t>
      </w:r>
      <w:r>
        <w:rPr>
          <w:rFonts w:cs="Tahoma" w:ascii="Tahoma" w:hAnsi="Tahoma"/>
          <w:i/>
          <w:spacing w:val="-16"/>
          <w:sz w:val="20"/>
        </w:rPr>
        <w:t xml:space="preserve"> </w:t>
      </w:r>
      <w:r>
        <w:rPr>
          <w:rFonts w:cs="Tahoma" w:ascii="Tahoma" w:hAnsi="Tahoma"/>
          <w:i/>
          <w:spacing w:val="-3"/>
          <w:sz w:val="20"/>
        </w:rPr>
        <w:t xml:space="preserve">Tribales </w:t>
      </w:r>
      <w:r>
        <w:rPr>
          <w:rFonts w:cs="Tahoma" w:ascii="Tahoma" w:hAnsi="Tahoma"/>
          <w:i/>
          <w:sz w:val="20"/>
        </w:rPr>
        <w:t xml:space="preserve">1989 (Convenio 169 OIT), Declaración de las Naciones Unidas </w:t>
      </w:r>
      <w:r>
        <w:rPr>
          <w:rFonts w:cs="Tahoma" w:ascii="Tahoma" w:hAnsi="Tahoma"/>
          <w:i/>
          <w:spacing w:val="-3"/>
          <w:sz w:val="20"/>
        </w:rPr>
        <w:t xml:space="preserve">sobre </w:t>
      </w:r>
      <w:r>
        <w:rPr>
          <w:rFonts w:cs="Tahoma" w:ascii="Tahoma" w:hAnsi="Tahoma"/>
          <w:i/>
          <w:sz w:val="20"/>
        </w:rPr>
        <w:t>los derechos de los Pueblos Indígenas 2007, Declaración Americana sobre Derechos de los Pueblos Indígenas OEA</w:t>
      </w:r>
      <w:r>
        <w:rPr>
          <w:rFonts w:cs="Tahoma" w:ascii="Tahoma" w:hAnsi="Tahoma"/>
          <w:i/>
          <w:spacing w:val="-7"/>
          <w:sz w:val="20"/>
        </w:rPr>
        <w:t xml:space="preserve"> </w:t>
      </w:r>
      <w:r>
        <w:rPr>
          <w:rFonts w:cs="Tahoma" w:ascii="Tahoma" w:hAnsi="Tahoma"/>
          <w:i/>
          <w:sz w:val="20"/>
        </w:rPr>
        <w:t>2016;</w:t>
      </w:r>
    </w:p>
    <w:p>
      <w:pPr>
        <w:pStyle w:val="ListParagraph"/>
        <w:widowControl w:val="false"/>
        <w:numPr>
          <w:ilvl w:val="0"/>
          <w:numId w:val="22"/>
        </w:numPr>
        <w:tabs>
          <w:tab w:val="clear" w:pos="708"/>
          <w:tab w:val="left" w:pos="2242" w:leader="none"/>
        </w:tabs>
        <w:spacing w:before="0" w:after="0"/>
        <w:ind w:left="969" w:right="975" w:firstLine="708"/>
        <w:jc w:val="both"/>
        <w:rPr>
          <w:rFonts w:ascii="Tahoma" w:hAnsi="Tahoma" w:cs="Tahoma"/>
          <w:i/>
          <w:i/>
          <w:sz w:val="20"/>
        </w:rPr>
      </w:pPr>
      <w:r>
        <w:rPr>
          <w:rFonts w:cs="Tahoma" w:ascii="Tahoma" w:hAnsi="Tahoma"/>
          <w:i/>
          <w:sz w:val="20"/>
        </w:rPr>
        <w:t>Jurisprudencia de la Corte Interamericana de Derechos Humanos vinculada con pueblos Indígenas incluyendo la Opinión Consultiva 23-2017,</w:t>
      </w:r>
    </w:p>
    <w:p>
      <w:pPr>
        <w:pStyle w:val="ListParagraph"/>
        <w:widowControl w:val="false"/>
        <w:numPr>
          <w:ilvl w:val="0"/>
          <w:numId w:val="22"/>
        </w:numPr>
        <w:tabs>
          <w:tab w:val="clear" w:pos="708"/>
          <w:tab w:val="left" w:pos="2242" w:leader="none"/>
        </w:tabs>
        <w:spacing w:before="0" w:after="0"/>
        <w:ind w:left="969" w:right="974" w:firstLine="708"/>
        <w:jc w:val="both"/>
        <w:rPr>
          <w:rFonts w:ascii="Tahoma" w:hAnsi="Tahoma" w:cs="Tahoma"/>
          <w:i/>
          <w:i/>
          <w:sz w:val="20"/>
        </w:rPr>
      </w:pPr>
      <w:r>
        <w:rPr>
          <w:rFonts w:cs="Tahoma" w:ascii="Tahoma" w:hAnsi="Tahoma"/>
          <w:i/>
          <w:sz w:val="20"/>
        </w:rPr>
        <w:t>Constitución Política, Ley Indígena, Ley de Acceso a la Justicia de los Pueblos Indígenas, entre</w:t>
      </w:r>
      <w:r>
        <w:rPr>
          <w:rFonts w:cs="Tahoma" w:ascii="Tahoma" w:hAnsi="Tahoma"/>
          <w:i/>
          <w:spacing w:val="-3"/>
          <w:sz w:val="20"/>
        </w:rPr>
        <w:t xml:space="preserve"> </w:t>
      </w:r>
      <w:r>
        <w:rPr>
          <w:rFonts w:cs="Tahoma" w:ascii="Tahoma" w:hAnsi="Tahoma"/>
          <w:i/>
          <w:sz w:val="20"/>
        </w:rPr>
        <w:t>otras</w:t>
      </w:r>
    </w:p>
    <w:p>
      <w:pPr>
        <w:pStyle w:val="ListParagraph"/>
        <w:widowControl w:val="false"/>
        <w:numPr>
          <w:ilvl w:val="0"/>
          <w:numId w:val="22"/>
        </w:numPr>
        <w:tabs>
          <w:tab w:val="clear" w:pos="708"/>
          <w:tab w:val="left" w:pos="2242" w:leader="none"/>
        </w:tabs>
        <w:spacing w:before="1" w:after="0"/>
        <w:ind w:left="969" w:right="978" w:firstLine="708"/>
        <w:jc w:val="both"/>
        <w:rPr>
          <w:rFonts w:ascii="Tahoma" w:hAnsi="Tahoma" w:cs="Tahoma"/>
          <w:i/>
          <w:i/>
          <w:sz w:val="20"/>
        </w:rPr>
      </w:pPr>
      <w:r>
        <w:rPr>
          <w:rFonts w:cs="Tahoma" w:ascii="Tahoma" w:hAnsi="Tahoma"/>
          <w:i/>
          <w:sz w:val="20"/>
        </w:rPr>
        <w:t xml:space="preserve">Jurisprudencia de las Salas de Casación y de la </w:t>
      </w:r>
      <w:r>
        <w:rPr>
          <w:rFonts w:cs="Tahoma" w:ascii="Tahoma" w:hAnsi="Tahoma"/>
          <w:i/>
          <w:spacing w:val="-3"/>
          <w:sz w:val="20"/>
        </w:rPr>
        <w:t xml:space="preserve">Sala </w:t>
      </w:r>
      <w:r>
        <w:rPr>
          <w:rFonts w:cs="Tahoma" w:ascii="Tahoma" w:hAnsi="Tahoma"/>
          <w:i/>
          <w:sz w:val="20"/>
        </w:rPr>
        <w:t>Constitucional de la Corte Suprema de</w:t>
      </w:r>
      <w:r>
        <w:rPr>
          <w:rFonts w:cs="Tahoma" w:ascii="Tahoma" w:hAnsi="Tahoma"/>
          <w:i/>
          <w:spacing w:val="-5"/>
          <w:sz w:val="20"/>
        </w:rPr>
        <w:t xml:space="preserve"> </w:t>
      </w:r>
      <w:r>
        <w:rPr>
          <w:rFonts w:cs="Tahoma" w:ascii="Tahoma" w:hAnsi="Tahoma"/>
          <w:i/>
          <w:sz w:val="20"/>
        </w:rPr>
        <w:t>Justicia.</w:t>
      </w:r>
    </w:p>
    <w:p>
      <w:pPr>
        <w:pStyle w:val="ListParagraph"/>
        <w:widowControl w:val="false"/>
        <w:numPr>
          <w:ilvl w:val="0"/>
          <w:numId w:val="22"/>
        </w:numPr>
        <w:tabs>
          <w:tab w:val="clear" w:pos="708"/>
          <w:tab w:val="left" w:pos="2242" w:leader="none"/>
        </w:tabs>
        <w:spacing w:before="0" w:after="0"/>
        <w:ind w:left="969" w:right="971" w:firstLine="708"/>
        <w:jc w:val="both"/>
        <w:rPr>
          <w:rFonts w:ascii="Tahoma" w:hAnsi="Tahoma" w:cs="Tahoma"/>
          <w:i/>
          <w:i/>
          <w:sz w:val="20"/>
        </w:rPr>
      </w:pPr>
      <w:r>
        <w:rPr>
          <w:rFonts w:cs="Tahoma" w:ascii="Tahoma" w:hAnsi="Tahoma"/>
          <w:i/>
          <w:sz w:val="20"/>
        </w:rPr>
        <w:t>Lineamientos</w:t>
      </w:r>
      <w:r>
        <w:rPr>
          <w:rFonts w:cs="Tahoma" w:ascii="Tahoma" w:hAnsi="Tahoma"/>
          <w:i/>
          <w:spacing w:val="-9"/>
          <w:sz w:val="20"/>
        </w:rPr>
        <w:t xml:space="preserve"> </w:t>
      </w:r>
      <w:r>
        <w:rPr>
          <w:rFonts w:cs="Tahoma" w:ascii="Tahoma" w:hAnsi="Tahoma"/>
          <w:i/>
          <w:sz w:val="20"/>
        </w:rPr>
        <w:t>y</w:t>
      </w:r>
      <w:r>
        <w:rPr>
          <w:rFonts w:cs="Tahoma" w:ascii="Tahoma" w:hAnsi="Tahoma"/>
          <w:i/>
          <w:spacing w:val="-9"/>
          <w:sz w:val="20"/>
        </w:rPr>
        <w:t xml:space="preserve"> </w:t>
      </w:r>
      <w:r>
        <w:rPr>
          <w:rFonts w:cs="Tahoma" w:ascii="Tahoma" w:hAnsi="Tahoma"/>
          <w:i/>
          <w:sz w:val="20"/>
        </w:rPr>
        <w:t>circulares</w:t>
      </w:r>
      <w:r>
        <w:rPr>
          <w:rFonts w:cs="Tahoma" w:ascii="Tahoma" w:hAnsi="Tahoma"/>
          <w:i/>
          <w:spacing w:val="-9"/>
          <w:sz w:val="20"/>
        </w:rPr>
        <w:t xml:space="preserve"> </w:t>
      </w:r>
      <w:r>
        <w:rPr>
          <w:rFonts w:cs="Tahoma" w:ascii="Tahoma" w:hAnsi="Tahoma"/>
          <w:i/>
          <w:sz w:val="20"/>
        </w:rPr>
        <w:t>de</w:t>
      </w:r>
      <w:r>
        <w:rPr>
          <w:rFonts w:cs="Tahoma" w:ascii="Tahoma" w:hAnsi="Tahoma"/>
          <w:i/>
          <w:spacing w:val="-9"/>
          <w:sz w:val="20"/>
        </w:rPr>
        <w:t xml:space="preserve"> </w:t>
      </w:r>
      <w:r>
        <w:rPr>
          <w:rFonts w:cs="Tahoma" w:ascii="Tahoma" w:hAnsi="Tahoma"/>
          <w:i/>
          <w:sz w:val="20"/>
        </w:rPr>
        <w:t>Corte</w:t>
      </w:r>
      <w:r>
        <w:rPr>
          <w:rFonts w:cs="Tahoma" w:ascii="Tahoma" w:hAnsi="Tahoma"/>
          <w:i/>
          <w:spacing w:val="-9"/>
          <w:sz w:val="20"/>
        </w:rPr>
        <w:t xml:space="preserve"> </w:t>
      </w:r>
      <w:r>
        <w:rPr>
          <w:rFonts w:cs="Tahoma" w:ascii="Tahoma" w:hAnsi="Tahoma"/>
          <w:i/>
          <w:sz w:val="20"/>
        </w:rPr>
        <w:t>Plena</w:t>
      </w:r>
      <w:r>
        <w:rPr>
          <w:rFonts w:cs="Tahoma" w:ascii="Tahoma" w:hAnsi="Tahoma"/>
          <w:i/>
          <w:spacing w:val="-8"/>
          <w:sz w:val="20"/>
        </w:rPr>
        <w:t xml:space="preserve"> </w:t>
      </w:r>
      <w:r>
        <w:rPr>
          <w:rFonts w:cs="Tahoma" w:ascii="Tahoma" w:hAnsi="Tahoma"/>
          <w:i/>
          <w:sz w:val="20"/>
        </w:rPr>
        <w:t>y</w:t>
      </w:r>
      <w:r>
        <w:rPr>
          <w:rFonts w:cs="Tahoma" w:ascii="Tahoma" w:hAnsi="Tahoma"/>
          <w:i/>
          <w:spacing w:val="-10"/>
          <w:sz w:val="20"/>
        </w:rPr>
        <w:t xml:space="preserve"> </w:t>
      </w:r>
      <w:r>
        <w:rPr>
          <w:rFonts w:cs="Tahoma" w:ascii="Tahoma" w:hAnsi="Tahoma"/>
          <w:i/>
          <w:sz w:val="20"/>
        </w:rPr>
        <w:t>del</w:t>
      </w:r>
      <w:r>
        <w:rPr>
          <w:rFonts w:cs="Tahoma" w:ascii="Tahoma" w:hAnsi="Tahoma"/>
          <w:i/>
          <w:spacing w:val="-8"/>
          <w:sz w:val="20"/>
        </w:rPr>
        <w:t xml:space="preserve"> </w:t>
      </w:r>
      <w:r>
        <w:rPr>
          <w:rFonts w:cs="Tahoma" w:ascii="Tahoma" w:hAnsi="Tahoma"/>
          <w:i/>
          <w:sz w:val="20"/>
        </w:rPr>
        <w:t>Consejo</w:t>
      </w:r>
      <w:r>
        <w:rPr>
          <w:rFonts w:cs="Tahoma" w:ascii="Tahoma" w:hAnsi="Tahoma"/>
          <w:i/>
          <w:spacing w:val="-9"/>
          <w:sz w:val="20"/>
        </w:rPr>
        <w:t xml:space="preserve"> </w:t>
      </w:r>
      <w:r>
        <w:rPr>
          <w:rFonts w:cs="Tahoma" w:ascii="Tahoma" w:hAnsi="Tahoma"/>
          <w:i/>
          <w:sz w:val="20"/>
        </w:rPr>
        <w:t>Superior vinculados con las reglas para los procesos en los que estén involucradas personas</w:t>
      </w:r>
      <w:r>
        <w:rPr>
          <w:rFonts w:cs="Tahoma" w:ascii="Tahoma" w:hAnsi="Tahoma"/>
          <w:i/>
          <w:spacing w:val="-14"/>
          <w:sz w:val="20"/>
        </w:rPr>
        <w:t xml:space="preserve"> </w:t>
      </w:r>
      <w:r>
        <w:rPr>
          <w:rFonts w:cs="Tahoma" w:ascii="Tahoma" w:hAnsi="Tahoma"/>
          <w:i/>
          <w:sz w:val="20"/>
        </w:rPr>
        <w:t>indígenas;</w:t>
      </w:r>
      <w:r>
        <w:rPr>
          <w:rFonts w:cs="Tahoma" w:ascii="Tahoma" w:hAnsi="Tahoma"/>
          <w:i/>
          <w:spacing w:val="-15"/>
          <w:sz w:val="20"/>
        </w:rPr>
        <w:t xml:space="preserve"> </w:t>
      </w:r>
      <w:r>
        <w:rPr>
          <w:rFonts w:cs="Tahoma" w:ascii="Tahoma" w:hAnsi="Tahoma"/>
          <w:i/>
          <w:sz w:val="20"/>
        </w:rPr>
        <w:t>además,</w:t>
      </w:r>
      <w:r>
        <w:rPr>
          <w:rFonts w:cs="Tahoma" w:ascii="Tahoma" w:hAnsi="Tahoma"/>
          <w:i/>
          <w:spacing w:val="-13"/>
          <w:sz w:val="20"/>
        </w:rPr>
        <w:t xml:space="preserve"> </w:t>
      </w:r>
      <w:r>
        <w:rPr>
          <w:rFonts w:cs="Tahoma" w:ascii="Tahoma" w:hAnsi="Tahoma"/>
          <w:i/>
          <w:sz w:val="20"/>
        </w:rPr>
        <w:t>los</w:t>
      </w:r>
      <w:r>
        <w:rPr>
          <w:rFonts w:cs="Tahoma" w:ascii="Tahoma" w:hAnsi="Tahoma"/>
          <w:i/>
          <w:spacing w:val="-13"/>
          <w:sz w:val="20"/>
        </w:rPr>
        <w:t xml:space="preserve"> </w:t>
      </w:r>
      <w:r>
        <w:rPr>
          <w:rFonts w:cs="Tahoma" w:ascii="Tahoma" w:hAnsi="Tahoma"/>
          <w:i/>
          <w:sz w:val="20"/>
        </w:rPr>
        <w:t>alcances</w:t>
      </w:r>
      <w:r>
        <w:rPr>
          <w:rFonts w:cs="Tahoma" w:ascii="Tahoma" w:hAnsi="Tahoma"/>
          <w:i/>
          <w:spacing w:val="-14"/>
          <w:sz w:val="20"/>
        </w:rPr>
        <w:t xml:space="preserve"> </w:t>
      </w:r>
      <w:r>
        <w:rPr>
          <w:rFonts w:cs="Tahoma" w:ascii="Tahoma" w:hAnsi="Tahoma"/>
          <w:i/>
          <w:sz w:val="20"/>
        </w:rPr>
        <w:t>y</w:t>
      </w:r>
      <w:r>
        <w:rPr>
          <w:rFonts w:cs="Tahoma" w:ascii="Tahoma" w:hAnsi="Tahoma"/>
          <w:i/>
          <w:spacing w:val="-14"/>
          <w:sz w:val="20"/>
        </w:rPr>
        <w:t xml:space="preserve"> </w:t>
      </w:r>
      <w:r>
        <w:rPr>
          <w:rFonts w:cs="Tahoma" w:ascii="Tahoma" w:hAnsi="Tahoma"/>
          <w:i/>
          <w:sz w:val="20"/>
        </w:rPr>
        <w:t>distinción</w:t>
      </w:r>
      <w:r>
        <w:rPr>
          <w:rFonts w:cs="Tahoma" w:ascii="Tahoma" w:hAnsi="Tahoma"/>
          <w:i/>
          <w:spacing w:val="-14"/>
          <w:sz w:val="20"/>
        </w:rPr>
        <w:t xml:space="preserve"> </w:t>
      </w:r>
      <w:r>
        <w:rPr>
          <w:rFonts w:cs="Tahoma" w:ascii="Tahoma" w:hAnsi="Tahoma"/>
          <w:i/>
          <w:sz w:val="20"/>
        </w:rPr>
        <w:t>entre</w:t>
      </w:r>
      <w:r>
        <w:rPr>
          <w:rFonts w:cs="Tahoma" w:ascii="Tahoma" w:hAnsi="Tahoma"/>
          <w:i/>
          <w:spacing w:val="-14"/>
          <w:sz w:val="20"/>
        </w:rPr>
        <w:t xml:space="preserve"> </w:t>
      </w:r>
      <w:r>
        <w:rPr>
          <w:rFonts w:cs="Tahoma" w:ascii="Tahoma" w:hAnsi="Tahoma"/>
          <w:i/>
          <w:sz w:val="20"/>
        </w:rPr>
        <w:t>el</w:t>
      </w:r>
      <w:r>
        <w:rPr>
          <w:rFonts w:cs="Tahoma" w:ascii="Tahoma" w:hAnsi="Tahoma"/>
          <w:i/>
          <w:spacing w:val="-14"/>
          <w:sz w:val="20"/>
        </w:rPr>
        <w:t xml:space="preserve"> </w:t>
      </w:r>
      <w:r>
        <w:rPr>
          <w:rFonts w:cs="Tahoma" w:ascii="Tahoma" w:hAnsi="Tahoma"/>
          <w:i/>
          <w:sz w:val="20"/>
        </w:rPr>
        <w:t>sistema</w:t>
      </w:r>
      <w:r>
        <w:rPr>
          <w:rFonts w:cs="Tahoma" w:ascii="Tahoma" w:hAnsi="Tahoma"/>
          <w:i/>
          <w:spacing w:val="-13"/>
          <w:sz w:val="20"/>
        </w:rPr>
        <w:t xml:space="preserve"> </w:t>
      </w:r>
      <w:r>
        <w:rPr>
          <w:rFonts w:cs="Tahoma" w:ascii="Tahoma" w:hAnsi="Tahoma"/>
          <w:i/>
          <w:sz w:val="20"/>
        </w:rPr>
        <w:t>monista y el pluralismo</w:t>
      </w:r>
      <w:r>
        <w:rPr>
          <w:rFonts w:cs="Tahoma" w:ascii="Tahoma" w:hAnsi="Tahoma"/>
          <w:i/>
          <w:spacing w:val="-2"/>
          <w:sz w:val="20"/>
        </w:rPr>
        <w:t xml:space="preserve"> </w:t>
      </w:r>
      <w:r>
        <w:rPr>
          <w:rFonts w:cs="Tahoma" w:ascii="Tahoma" w:hAnsi="Tahoma"/>
          <w:i/>
          <w:sz w:val="20"/>
        </w:rPr>
        <w:t>jurídico.</w:t>
      </w:r>
    </w:p>
    <w:p>
      <w:pPr>
        <w:pStyle w:val="Cuerpodetexto"/>
        <w:spacing w:before="9"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7" w:leader="none"/>
        </w:tabs>
        <w:spacing w:before="0" w:after="0"/>
        <w:ind w:left="387" w:right="973" w:firstLine="708"/>
        <w:jc w:val="both"/>
        <w:rPr>
          <w:rFonts w:ascii="Tahoma" w:hAnsi="Tahoma" w:cs="Tahoma"/>
          <w:i/>
          <w:i/>
          <w:sz w:val="20"/>
        </w:rPr>
      </w:pPr>
      <w:r>
        <w:rPr>
          <w:rFonts w:cs="Tahoma" w:ascii="Tahoma" w:hAnsi="Tahoma"/>
          <w:i/>
          <w:sz w:val="20"/>
        </w:rPr>
        <w:t>Establecer un modelo de control y seguimiento a fin de medir el impacto de esas capacitaciones en el fortalecimiento de las competencias de las personas servidoras judiciales que asistan y su concreción en las resoluciones –incluyendo las sentencias- que emitan en los procesos propios de</w:t>
      </w:r>
      <w:r>
        <w:rPr>
          <w:rFonts w:cs="Tahoma" w:ascii="Tahoma" w:hAnsi="Tahoma"/>
          <w:i/>
          <w:spacing w:val="-18"/>
          <w:sz w:val="20"/>
        </w:rPr>
        <w:t xml:space="preserve"> </w:t>
      </w:r>
      <w:r>
        <w:rPr>
          <w:rFonts w:cs="Tahoma" w:ascii="Tahoma" w:hAnsi="Tahoma"/>
          <w:i/>
          <w:sz w:val="20"/>
        </w:rPr>
        <w:t>su</w:t>
      </w:r>
      <w:r>
        <w:rPr>
          <w:rFonts w:cs="Tahoma" w:ascii="Tahoma" w:hAnsi="Tahoma"/>
          <w:i/>
          <w:spacing w:val="-13"/>
          <w:sz w:val="20"/>
        </w:rPr>
        <w:t xml:space="preserve"> </w:t>
      </w:r>
      <w:r>
        <w:rPr>
          <w:rFonts w:cs="Tahoma" w:ascii="Tahoma" w:hAnsi="Tahoma"/>
          <w:i/>
          <w:sz w:val="20"/>
        </w:rPr>
        <w:t>competencia,</w:t>
      </w:r>
      <w:r>
        <w:rPr>
          <w:rFonts w:cs="Tahoma" w:ascii="Tahoma" w:hAnsi="Tahoma"/>
          <w:i/>
          <w:spacing w:val="-14"/>
          <w:sz w:val="20"/>
        </w:rPr>
        <w:t xml:space="preserve"> </w:t>
      </w:r>
      <w:r>
        <w:rPr>
          <w:rFonts w:cs="Tahoma" w:ascii="Tahoma" w:hAnsi="Tahoma"/>
          <w:i/>
          <w:sz w:val="20"/>
        </w:rPr>
        <w:t>con</w:t>
      </w:r>
      <w:r>
        <w:rPr>
          <w:rFonts w:cs="Tahoma" w:ascii="Tahoma" w:hAnsi="Tahoma"/>
          <w:i/>
          <w:spacing w:val="-16"/>
          <w:sz w:val="20"/>
        </w:rPr>
        <w:t xml:space="preserve"> </w:t>
      </w:r>
      <w:r>
        <w:rPr>
          <w:rFonts w:cs="Tahoma" w:ascii="Tahoma" w:hAnsi="Tahoma"/>
          <w:i/>
          <w:sz w:val="20"/>
        </w:rPr>
        <w:t>absoluto</w:t>
      </w:r>
      <w:r>
        <w:rPr>
          <w:rFonts w:cs="Tahoma" w:ascii="Tahoma" w:hAnsi="Tahoma"/>
          <w:i/>
          <w:spacing w:val="-16"/>
          <w:sz w:val="20"/>
        </w:rPr>
        <w:t xml:space="preserve"> </w:t>
      </w:r>
      <w:r>
        <w:rPr>
          <w:rFonts w:cs="Tahoma" w:ascii="Tahoma" w:hAnsi="Tahoma"/>
          <w:i/>
          <w:sz w:val="20"/>
        </w:rPr>
        <w:t>respeto</w:t>
      </w:r>
      <w:r>
        <w:rPr>
          <w:rFonts w:cs="Tahoma" w:ascii="Tahoma" w:hAnsi="Tahoma"/>
          <w:i/>
          <w:spacing w:val="-15"/>
          <w:sz w:val="20"/>
        </w:rPr>
        <w:t xml:space="preserve"> </w:t>
      </w:r>
      <w:r>
        <w:rPr>
          <w:rFonts w:cs="Tahoma" w:ascii="Tahoma" w:hAnsi="Tahoma"/>
          <w:i/>
          <w:sz w:val="20"/>
        </w:rPr>
        <w:t>al</w:t>
      </w:r>
      <w:r>
        <w:rPr>
          <w:rFonts w:cs="Tahoma" w:ascii="Tahoma" w:hAnsi="Tahoma"/>
          <w:i/>
          <w:spacing w:val="-16"/>
          <w:sz w:val="20"/>
        </w:rPr>
        <w:t xml:space="preserve"> </w:t>
      </w:r>
      <w:r>
        <w:rPr>
          <w:rFonts w:cs="Tahoma" w:ascii="Tahoma" w:hAnsi="Tahoma"/>
          <w:i/>
          <w:sz w:val="20"/>
        </w:rPr>
        <w:t>principio</w:t>
      </w:r>
      <w:r>
        <w:rPr>
          <w:rFonts w:cs="Tahoma" w:ascii="Tahoma" w:hAnsi="Tahoma"/>
          <w:i/>
          <w:spacing w:val="-16"/>
          <w:sz w:val="20"/>
        </w:rPr>
        <w:t xml:space="preserve"> </w:t>
      </w:r>
      <w:r>
        <w:rPr>
          <w:rFonts w:cs="Tahoma" w:ascii="Tahoma" w:hAnsi="Tahoma"/>
          <w:i/>
          <w:sz w:val="20"/>
        </w:rPr>
        <w:t>de</w:t>
      </w:r>
      <w:r>
        <w:rPr>
          <w:rFonts w:cs="Tahoma" w:ascii="Tahoma" w:hAnsi="Tahoma"/>
          <w:i/>
          <w:spacing w:val="-18"/>
          <w:sz w:val="20"/>
        </w:rPr>
        <w:t xml:space="preserve"> </w:t>
      </w:r>
      <w:r>
        <w:rPr>
          <w:rFonts w:cs="Tahoma" w:ascii="Tahoma" w:hAnsi="Tahoma"/>
          <w:i/>
          <w:sz w:val="20"/>
        </w:rPr>
        <w:t>independencia</w:t>
      </w:r>
      <w:r>
        <w:rPr>
          <w:rFonts w:cs="Tahoma" w:ascii="Tahoma" w:hAnsi="Tahoma"/>
          <w:i/>
          <w:spacing w:val="-15"/>
          <w:sz w:val="20"/>
        </w:rPr>
        <w:t xml:space="preserve"> </w:t>
      </w:r>
      <w:r>
        <w:rPr>
          <w:rFonts w:cs="Tahoma" w:ascii="Tahoma" w:hAnsi="Tahoma"/>
          <w:i/>
          <w:sz w:val="20"/>
        </w:rPr>
        <w:t xml:space="preserve">judicial y los principios de Bangalore </w:t>
      </w:r>
      <w:r>
        <w:rPr>
          <w:rFonts w:cs="Tahoma" w:ascii="Tahoma" w:hAnsi="Tahoma"/>
          <w:i/>
          <w:spacing w:val="-3"/>
          <w:sz w:val="20"/>
        </w:rPr>
        <w:t xml:space="preserve">sobre </w:t>
      </w:r>
      <w:r>
        <w:rPr>
          <w:rFonts w:cs="Tahoma" w:ascii="Tahoma" w:hAnsi="Tahoma"/>
          <w:i/>
          <w:sz w:val="20"/>
        </w:rPr>
        <w:t>la conducta judicial, entre otros. Al respecto, la Institución tiene experiencia pues para tal seguimiento del impacto</w:t>
      </w:r>
      <w:r>
        <w:rPr>
          <w:rFonts w:cs="Tahoma" w:ascii="Tahoma" w:hAnsi="Tahoma"/>
          <w:i/>
          <w:spacing w:val="-12"/>
          <w:sz w:val="20"/>
        </w:rPr>
        <w:t xml:space="preserve"> </w:t>
      </w:r>
      <w:r>
        <w:rPr>
          <w:rFonts w:cs="Tahoma" w:ascii="Tahoma" w:hAnsi="Tahoma"/>
          <w:i/>
          <w:sz w:val="20"/>
        </w:rPr>
        <w:t>de</w:t>
      </w:r>
      <w:r>
        <w:rPr>
          <w:rFonts w:cs="Tahoma" w:ascii="Tahoma" w:hAnsi="Tahoma"/>
          <w:i/>
          <w:spacing w:val="-10"/>
          <w:sz w:val="20"/>
        </w:rPr>
        <w:t xml:space="preserve"> </w:t>
      </w:r>
      <w:r>
        <w:rPr>
          <w:rFonts w:cs="Tahoma" w:ascii="Tahoma" w:hAnsi="Tahoma"/>
          <w:i/>
          <w:sz w:val="20"/>
        </w:rPr>
        <w:t>la</w:t>
      </w:r>
      <w:r>
        <w:rPr>
          <w:rFonts w:cs="Tahoma" w:ascii="Tahoma" w:hAnsi="Tahoma"/>
          <w:i/>
          <w:spacing w:val="-11"/>
          <w:sz w:val="20"/>
        </w:rPr>
        <w:t xml:space="preserve"> </w:t>
      </w:r>
      <w:r>
        <w:rPr>
          <w:rFonts w:cs="Tahoma" w:ascii="Tahoma" w:hAnsi="Tahoma"/>
          <w:i/>
          <w:sz w:val="20"/>
        </w:rPr>
        <w:t>capacitación</w:t>
      </w:r>
      <w:r>
        <w:rPr>
          <w:rFonts w:cs="Tahoma" w:ascii="Tahoma" w:hAnsi="Tahoma"/>
          <w:i/>
          <w:spacing w:val="-12"/>
          <w:sz w:val="20"/>
        </w:rPr>
        <w:t xml:space="preserve"> </w:t>
      </w:r>
      <w:r>
        <w:rPr>
          <w:rFonts w:cs="Tahoma" w:ascii="Tahoma" w:hAnsi="Tahoma"/>
          <w:i/>
          <w:sz w:val="20"/>
        </w:rPr>
        <w:t>se</w:t>
      </w:r>
      <w:r>
        <w:rPr>
          <w:rFonts w:cs="Tahoma" w:ascii="Tahoma" w:hAnsi="Tahoma"/>
          <w:i/>
          <w:spacing w:val="-12"/>
          <w:sz w:val="20"/>
        </w:rPr>
        <w:t xml:space="preserve"> </w:t>
      </w:r>
      <w:r>
        <w:rPr>
          <w:rFonts w:cs="Tahoma" w:ascii="Tahoma" w:hAnsi="Tahoma"/>
          <w:i/>
          <w:sz w:val="20"/>
        </w:rPr>
        <w:t>diseñó</w:t>
      </w:r>
      <w:r>
        <w:rPr>
          <w:rFonts w:cs="Tahoma" w:ascii="Tahoma" w:hAnsi="Tahoma"/>
          <w:i/>
          <w:spacing w:val="-9"/>
          <w:sz w:val="20"/>
        </w:rPr>
        <w:t xml:space="preserve"> </w:t>
      </w:r>
      <w:r>
        <w:rPr>
          <w:rFonts w:cs="Tahoma" w:ascii="Tahoma" w:hAnsi="Tahoma"/>
          <w:i/>
          <w:sz w:val="20"/>
        </w:rPr>
        <w:t>el</w:t>
      </w:r>
      <w:r>
        <w:rPr>
          <w:rFonts w:cs="Tahoma" w:ascii="Tahoma" w:hAnsi="Tahoma"/>
          <w:i/>
          <w:spacing w:val="-9"/>
          <w:sz w:val="20"/>
        </w:rPr>
        <w:t xml:space="preserve"> </w:t>
      </w:r>
      <w:r>
        <w:rPr>
          <w:rFonts w:cs="Tahoma" w:ascii="Tahoma" w:hAnsi="Tahoma"/>
          <w:i/>
          <w:sz w:val="20"/>
        </w:rPr>
        <w:t>Manual</w:t>
      </w:r>
      <w:r>
        <w:rPr>
          <w:rFonts w:cs="Tahoma" w:ascii="Tahoma" w:hAnsi="Tahoma"/>
          <w:i/>
          <w:spacing w:val="-11"/>
          <w:sz w:val="20"/>
        </w:rPr>
        <w:t xml:space="preserve"> </w:t>
      </w:r>
      <w:r>
        <w:rPr>
          <w:rFonts w:cs="Tahoma" w:ascii="Tahoma" w:hAnsi="Tahoma"/>
          <w:i/>
          <w:sz w:val="20"/>
        </w:rPr>
        <w:t>para</w:t>
      </w:r>
      <w:r>
        <w:rPr>
          <w:rFonts w:cs="Tahoma" w:ascii="Tahoma" w:hAnsi="Tahoma"/>
          <w:i/>
          <w:spacing w:val="-11"/>
          <w:sz w:val="20"/>
        </w:rPr>
        <w:t xml:space="preserve"> </w:t>
      </w:r>
      <w:r>
        <w:rPr>
          <w:rFonts w:cs="Tahoma" w:ascii="Tahoma" w:hAnsi="Tahoma"/>
          <w:i/>
          <w:sz w:val="20"/>
        </w:rPr>
        <w:t>realizar</w:t>
      </w:r>
      <w:r>
        <w:rPr>
          <w:rFonts w:cs="Tahoma" w:ascii="Tahoma" w:hAnsi="Tahoma"/>
          <w:i/>
          <w:spacing w:val="-12"/>
          <w:sz w:val="20"/>
        </w:rPr>
        <w:t xml:space="preserve"> </w:t>
      </w:r>
      <w:r>
        <w:rPr>
          <w:rFonts w:cs="Tahoma" w:ascii="Tahoma" w:hAnsi="Tahoma"/>
          <w:i/>
          <w:sz w:val="20"/>
        </w:rPr>
        <w:t>las</w:t>
      </w:r>
      <w:r>
        <w:rPr>
          <w:rFonts w:cs="Tahoma" w:ascii="Tahoma" w:hAnsi="Tahoma"/>
          <w:i/>
          <w:spacing w:val="-10"/>
          <w:sz w:val="20"/>
        </w:rPr>
        <w:t xml:space="preserve"> </w:t>
      </w:r>
      <w:r>
        <w:rPr>
          <w:rFonts w:cs="Tahoma" w:ascii="Tahoma" w:hAnsi="Tahoma"/>
          <w:i/>
          <w:sz w:val="20"/>
        </w:rPr>
        <w:t>evaluaciones de</w:t>
      </w:r>
      <w:r>
        <w:rPr>
          <w:rFonts w:cs="Tahoma" w:ascii="Tahoma" w:hAnsi="Tahoma"/>
          <w:i/>
          <w:spacing w:val="-11"/>
          <w:sz w:val="20"/>
        </w:rPr>
        <w:t xml:space="preserve"> </w:t>
      </w:r>
      <w:r>
        <w:rPr>
          <w:rFonts w:cs="Tahoma" w:ascii="Tahoma" w:hAnsi="Tahoma"/>
          <w:i/>
          <w:sz w:val="20"/>
        </w:rPr>
        <w:t>resultados</w:t>
      </w:r>
      <w:r>
        <w:rPr>
          <w:rFonts w:cs="Tahoma" w:ascii="Tahoma" w:hAnsi="Tahoma"/>
          <w:i/>
          <w:spacing w:val="-9"/>
          <w:sz w:val="20"/>
        </w:rPr>
        <w:t xml:space="preserve"> </w:t>
      </w:r>
      <w:r>
        <w:rPr>
          <w:rFonts w:cs="Tahoma" w:ascii="Tahoma" w:hAnsi="Tahoma"/>
          <w:i/>
          <w:sz w:val="20"/>
        </w:rPr>
        <w:t>de</w:t>
      </w:r>
      <w:r>
        <w:rPr>
          <w:rFonts w:cs="Tahoma" w:ascii="Tahoma" w:hAnsi="Tahoma"/>
          <w:i/>
          <w:spacing w:val="-11"/>
          <w:sz w:val="20"/>
        </w:rPr>
        <w:t xml:space="preserve"> </w:t>
      </w:r>
      <w:r>
        <w:rPr>
          <w:rFonts w:cs="Tahoma" w:ascii="Tahoma" w:hAnsi="Tahoma"/>
          <w:i/>
          <w:sz w:val="20"/>
        </w:rPr>
        <w:t>la</w:t>
      </w:r>
      <w:r>
        <w:rPr>
          <w:rFonts w:cs="Tahoma" w:ascii="Tahoma" w:hAnsi="Tahoma"/>
          <w:i/>
          <w:spacing w:val="-9"/>
          <w:sz w:val="20"/>
        </w:rPr>
        <w:t xml:space="preserve"> </w:t>
      </w:r>
      <w:r>
        <w:rPr>
          <w:rFonts w:cs="Tahoma" w:ascii="Tahoma" w:hAnsi="Tahoma"/>
          <w:i/>
          <w:sz w:val="20"/>
        </w:rPr>
        <w:t>capacitación</w:t>
      </w:r>
      <w:r>
        <w:rPr>
          <w:rFonts w:cs="Tahoma" w:ascii="Tahoma" w:hAnsi="Tahoma"/>
          <w:i/>
          <w:spacing w:val="-9"/>
          <w:sz w:val="20"/>
        </w:rPr>
        <w:t xml:space="preserve"> </w:t>
      </w:r>
      <w:r>
        <w:rPr>
          <w:rFonts w:cs="Tahoma" w:ascii="Tahoma" w:hAnsi="Tahoma"/>
          <w:i/>
          <w:sz w:val="20"/>
        </w:rPr>
        <w:t>judicial</w:t>
      </w:r>
      <w:r>
        <w:rPr>
          <w:rFonts w:cs="Tahoma" w:ascii="Tahoma" w:hAnsi="Tahoma"/>
          <w:i/>
          <w:spacing w:val="-9"/>
          <w:sz w:val="20"/>
        </w:rPr>
        <w:t xml:space="preserve"> </w:t>
      </w:r>
      <w:r>
        <w:rPr>
          <w:rFonts w:cs="Tahoma" w:ascii="Tahoma" w:hAnsi="Tahoma"/>
          <w:i/>
          <w:sz w:val="20"/>
        </w:rPr>
        <w:t>en</w:t>
      </w:r>
      <w:r>
        <w:rPr>
          <w:rFonts w:cs="Tahoma" w:ascii="Tahoma" w:hAnsi="Tahoma"/>
          <w:i/>
          <w:spacing w:val="-9"/>
          <w:sz w:val="20"/>
        </w:rPr>
        <w:t xml:space="preserve"> </w:t>
      </w:r>
      <w:r>
        <w:rPr>
          <w:rFonts w:cs="Tahoma" w:ascii="Tahoma" w:hAnsi="Tahoma"/>
          <w:i/>
          <w:sz w:val="20"/>
        </w:rPr>
        <w:t>el</w:t>
      </w:r>
      <w:r>
        <w:rPr>
          <w:rFonts w:cs="Tahoma" w:ascii="Tahoma" w:hAnsi="Tahoma"/>
          <w:i/>
          <w:spacing w:val="-9"/>
          <w:sz w:val="20"/>
        </w:rPr>
        <w:t xml:space="preserve"> </w:t>
      </w:r>
      <w:r>
        <w:rPr>
          <w:rFonts w:cs="Tahoma" w:ascii="Tahoma" w:hAnsi="Tahoma"/>
          <w:i/>
          <w:sz w:val="20"/>
        </w:rPr>
        <w:t>desempeño</w:t>
      </w:r>
      <w:r>
        <w:rPr>
          <w:rFonts w:cs="Tahoma" w:ascii="Tahoma" w:hAnsi="Tahoma"/>
          <w:i/>
          <w:spacing w:val="-10"/>
          <w:sz w:val="20"/>
        </w:rPr>
        <w:t xml:space="preserve"> </w:t>
      </w:r>
      <w:r>
        <w:rPr>
          <w:rFonts w:cs="Tahoma" w:ascii="Tahoma" w:hAnsi="Tahoma"/>
          <w:i/>
          <w:sz w:val="20"/>
        </w:rPr>
        <w:t>laboral</w:t>
      </w:r>
      <w:r>
        <w:rPr>
          <w:rFonts w:cs="Tahoma" w:ascii="Tahoma" w:hAnsi="Tahoma"/>
          <w:i/>
          <w:spacing w:val="-9"/>
          <w:sz w:val="20"/>
        </w:rPr>
        <w:t xml:space="preserve"> </w:t>
      </w:r>
      <w:r>
        <w:rPr>
          <w:rFonts w:cs="Tahoma" w:ascii="Tahoma" w:hAnsi="Tahoma"/>
          <w:i/>
          <w:sz w:val="20"/>
        </w:rPr>
        <w:t>por</w:t>
      </w:r>
      <w:r>
        <w:rPr>
          <w:rFonts w:cs="Tahoma" w:ascii="Tahoma" w:hAnsi="Tahoma"/>
          <w:i/>
          <w:spacing w:val="-9"/>
          <w:sz w:val="20"/>
        </w:rPr>
        <w:t xml:space="preserve"> </w:t>
      </w:r>
      <w:r>
        <w:rPr>
          <w:rFonts w:cs="Tahoma" w:ascii="Tahoma" w:hAnsi="Tahoma"/>
          <w:i/>
          <w:sz w:val="20"/>
        </w:rPr>
        <w:t>parte</w:t>
      </w:r>
      <w:r>
        <w:rPr>
          <w:rFonts w:cs="Tahoma" w:ascii="Tahoma" w:hAnsi="Tahoma"/>
          <w:i/>
          <w:spacing w:val="-11"/>
          <w:sz w:val="20"/>
        </w:rPr>
        <w:t xml:space="preserve"> </w:t>
      </w:r>
      <w:r>
        <w:rPr>
          <w:rFonts w:cs="Tahoma" w:ascii="Tahoma" w:hAnsi="Tahoma"/>
          <w:i/>
          <w:sz w:val="20"/>
        </w:rPr>
        <w:t>de la Escuela</w:t>
      </w:r>
      <w:r>
        <w:rPr>
          <w:rFonts w:cs="Tahoma" w:ascii="Tahoma" w:hAnsi="Tahoma"/>
          <w:i/>
          <w:spacing w:val="-1"/>
          <w:sz w:val="20"/>
        </w:rPr>
        <w:t xml:space="preserve"> </w:t>
      </w:r>
      <w:r>
        <w:rPr>
          <w:rFonts w:cs="Tahoma" w:ascii="Tahoma" w:hAnsi="Tahoma"/>
          <w:i/>
          <w:sz w:val="20"/>
        </w:rPr>
        <w:t>Judicial.</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69" w:leader="none"/>
        </w:tabs>
        <w:spacing w:before="0" w:after="0"/>
        <w:ind w:left="387" w:right="970" w:firstLine="708"/>
        <w:jc w:val="both"/>
        <w:rPr>
          <w:rFonts w:ascii="Tahoma" w:hAnsi="Tahoma" w:cs="Tahoma"/>
          <w:i/>
          <w:i/>
          <w:sz w:val="20"/>
        </w:rPr>
      </w:pPr>
      <w:r>
        <w:rPr>
          <w:rFonts w:cs="Tahoma" w:ascii="Tahoma" w:hAnsi="Tahoma"/>
          <w:i/>
          <w:sz w:val="20"/>
        </w:rPr>
        <w:t>Gestionar ante el Consejo Directivo de la Escuela Judicial y el Consejo Superior para declarar obligatoria la participación de las personas servidoras judiciales en las capacitaciones sobre Derecho Indígena, en cumplimiento de la Ley de Acceso a la Justicia de Pueblos Indígenas, especialmente</w:t>
      </w:r>
      <w:r>
        <w:rPr>
          <w:rFonts w:cs="Tahoma" w:ascii="Tahoma" w:hAnsi="Tahoma"/>
          <w:i/>
          <w:spacing w:val="-10"/>
          <w:sz w:val="20"/>
        </w:rPr>
        <w:t xml:space="preserve"> </w:t>
      </w:r>
      <w:r>
        <w:rPr>
          <w:rFonts w:cs="Tahoma" w:ascii="Tahoma" w:hAnsi="Tahoma"/>
          <w:i/>
          <w:sz w:val="20"/>
        </w:rPr>
        <w:t>quienes</w:t>
      </w:r>
      <w:r>
        <w:rPr>
          <w:rFonts w:cs="Tahoma" w:ascii="Tahoma" w:hAnsi="Tahoma"/>
          <w:i/>
          <w:spacing w:val="-10"/>
          <w:sz w:val="20"/>
        </w:rPr>
        <w:t xml:space="preserve"> </w:t>
      </w:r>
      <w:r>
        <w:rPr>
          <w:rFonts w:cs="Tahoma" w:ascii="Tahoma" w:hAnsi="Tahoma"/>
          <w:i/>
          <w:sz w:val="20"/>
        </w:rPr>
        <w:t>tengan</w:t>
      </w:r>
      <w:r>
        <w:rPr>
          <w:rFonts w:cs="Tahoma" w:ascii="Tahoma" w:hAnsi="Tahoma"/>
          <w:i/>
          <w:spacing w:val="-12"/>
          <w:sz w:val="20"/>
        </w:rPr>
        <w:t xml:space="preserve"> </w:t>
      </w:r>
      <w:r>
        <w:rPr>
          <w:rFonts w:cs="Tahoma" w:ascii="Tahoma" w:hAnsi="Tahoma"/>
          <w:i/>
          <w:sz w:val="20"/>
        </w:rPr>
        <w:t>competencia</w:t>
      </w:r>
      <w:r>
        <w:rPr>
          <w:rFonts w:cs="Tahoma" w:ascii="Tahoma" w:hAnsi="Tahoma"/>
          <w:i/>
          <w:spacing w:val="-9"/>
          <w:sz w:val="20"/>
        </w:rPr>
        <w:t xml:space="preserve"> </w:t>
      </w:r>
      <w:r>
        <w:rPr>
          <w:rFonts w:cs="Tahoma" w:ascii="Tahoma" w:hAnsi="Tahoma"/>
          <w:i/>
          <w:sz w:val="20"/>
        </w:rPr>
        <w:t>material</w:t>
      </w:r>
      <w:r>
        <w:rPr>
          <w:rFonts w:cs="Tahoma" w:ascii="Tahoma" w:hAnsi="Tahoma"/>
          <w:i/>
          <w:spacing w:val="-12"/>
          <w:sz w:val="20"/>
        </w:rPr>
        <w:t xml:space="preserve"> </w:t>
      </w:r>
      <w:r>
        <w:rPr>
          <w:rFonts w:cs="Tahoma" w:ascii="Tahoma" w:hAnsi="Tahoma"/>
          <w:i/>
          <w:sz w:val="20"/>
        </w:rPr>
        <w:t>y</w:t>
      </w:r>
      <w:r>
        <w:rPr>
          <w:rFonts w:cs="Tahoma" w:ascii="Tahoma" w:hAnsi="Tahoma"/>
          <w:i/>
          <w:spacing w:val="-13"/>
          <w:sz w:val="20"/>
        </w:rPr>
        <w:t xml:space="preserve"> </w:t>
      </w:r>
      <w:r>
        <w:rPr>
          <w:rFonts w:cs="Tahoma" w:ascii="Tahoma" w:hAnsi="Tahoma"/>
          <w:i/>
          <w:sz w:val="20"/>
        </w:rPr>
        <w:t>territorial</w:t>
      </w:r>
      <w:r>
        <w:rPr>
          <w:rFonts w:cs="Tahoma" w:ascii="Tahoma" w:hAnsi="Tahoma"/>
          <w:i/>
          <w:spacing w:val="-11"/>
          <w:sz w:val="20"/>
        </w:rPr>
        <w:t xml:space="preserve"> </w:t>
      </w:r>
      <w:r>
        <w:rPr>
          <w:rFonts w:cs="Tahoma" w:ascii="Tahoma" w:hAnsi="Tahoma"/>
          <w:i/>
          <w:sz w:val="20"/>
        </w:rPr>
        <w:t>para</w:t>
      </w:r>
      <w:r>
        <w:rPr>
          <w:rFonts w:cs="Tahoma" w:ascii="Tahoma" w:hAnsi="Tahoma"/>
          <w:i/>
          <w:spacing w:val="-12"/>
          <w:sz w:val="20"/>
        </w:rPr>
        <w:t xml:space="preserve"> </w:t>
      </w:r>
      <w:r>
        <w:rPr>
          <w:rFonts w:cs="Tahoma" w:ascii="Tahoma" w:hAnsi="Tahoma"/>
          <w:i/>
          <w:sz w:val="20"/>
        </w:rPr>
        <w:t xml:space="preserve">conocer de procesos judiciales vinculados con el pueblo indígena </w:t>
      </w:r>
      <w:r>
        <w:rPr>
          <w:rFonts w:cs="Tahoma" w:ascii="Tahoma" w:hAnsi="Tahoma"/>
          <w:i/>
          <w:spacing w:val="-5"/>
          <w:sz w:val="20"/>
        </w:rPr>
        <w:t xml:space="preserve">Teribe </w:t>
      </w:r>
      <w:r>
        <w:rPr>
          <w:rFonts w:cs="Tahoma" w:ascii="Tahoma" w:hAnsi="Tahoma"/>
          <w:i/>
          <w:sz w:val="20"/>
        </w:rPr>
        <w:t>y Bribri de Salitre.</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35" w:leader="none"/>
        </w:tabs>
        <w:spacing w:before="0" w:after="0"/>
        <w:ind w:left="387" w:right="969" w:firstLine="708"/>
        <w:jc w:val="both"/>
        <w:rPr>
          <w:rFonts w:ascii="Tahoma" w:hAnsi="Tahoma" w:cs="Tahoma"/>
          <w:i/>
          <w:i/>
          <w:sz w:val="20"/>
        </w:rPr>
      </w:pPr>
      <w:r>
        <w:rPr>
          <w:rFonts w:cs="Tahoma" w:ascii="Tahoma" w:hAnsi="Tahoma"/>
          <w:i/>
          <w:sz w:val="20"/>
        </w:rPr>
        <w:t>Llevar un control de las personas que hayan sido capacitadas y</w:t>
      </w:r>
      <w:r>
        <w:rPr>
          <w:rFonts w:cs="Tahoma" w:ascii="Tahoma" w:hAnsi="Tahoma"/>
          <w:i/>
          <w:spacing w:val="-43"/>
          <w:sz w:val="20"/>
        </w:rPr>
        <w:t xml:space="preserve"> </w:t>
      </w:r>
      <w:r>
        <w:rPr>
          <w:rFonts w:cs="Tahoma" w:ascii="Tahoma" w:hAnsi="Tahoma"/>
          <w:i/>
          <w:sz w:val="20"/>
        </w:rPr>
        <w:t>un seguimiento</w:t>
      </w:r>
      <w:r>
        <w:rPr>
          <w:rFonts w:cs="Tahoma" w:ascii="Tahoma" w:hAnsi="Tahoma"/>
          <w:i/>
          <w:spacing w:val="-5"/>
          <w:sz w:val="20"/>
        </w:rPr>
        <w:t xml:space="preserve"> </w:t>
      </w:r>
      <w:r>
        <w:rPr>
          <w:rFonts w:cs="Tahoma" w:ascii="Tahoma" w:hAnsi="Tahoma"/>
          <w:i/>
          <w:sz w:val="20"/>
        </w:rPr>
        <w:t>para</w:t>
      </w:r>
      <w:r>
        <w:rPr>
          <w:rFonts w:cs="Tahoma" w:ascii="Tahoma" w:hAnsi="Tahoma"/>
          <w:i/>
          <w:spacing w:val="-4"/>
          <w:sz w:val="20"/>
        </w:rPr>
        <w:t xml:space="preserve"> </w:t>
      </w:r>
      <w:r>
        <w:rPr>
          <w:rFonts w:cs="Tahoma" w:ascii="Tahoma" w:hAnsi="Tahoma"/>
          <w:i/>
          <w:sz w:val="20"/>
        </w:rPr>
        <w:t>medir</w:t>
      </w:r>
      <w:r>
        <w:rPr>
          <w:rFonts w:cs="Tahoma" w:ascii="Tahoma" w:hAnsi="Tahoma"/>
          <w:i/>
          <w:spacing w:val="-3"/>
          <w:sz w:val="20"/>
        </w:rPr>
        <w:t xml:space="preserve"> </w:t>
      </w:r>
      <w:r>
        <w:rPr>
          <w:rFonts w:cs="Tahoma" w:ascii="Tahoma" w:hAnsi="Tahoma"/>
          <w:i/>
          <w:sz w:val="20"/>
        </w:rPr>
        <w:t>el</w:t>
      </w:r>
      <w:r>
        <w:rPr>
          <w:rFonts w:cs="Tahoma" w:ascii="Tahoma" w:hAnsi="Tahoma"/>
          <w:i/>
          <w:spacing w:val="-4"/>
          <w:sz w:val="20"/>
        </w:rPr>
        <w:t xml:space="preserve"> </w:t>
      </w:r>
      <w:r>
        <w:rPr>
          <w:rFonts w:cs="Tahoma" w:ascii="Tahoma" w:hAnsi="Tahoma"/>
          <w:i/>
          <w:sz w:val="20"/>
        </w:rPr>
        <w:t>impacto</w:t>
      </w:r>
      <w:r>
        <w:rPr>
          <w:rFonts w:cs="Tahoma" w:ascii="Tahoma" w:hAnsi="Tahoma"/>
          <w:i/>
          <w:spacing w:val="-3"/>
          <w:sz w:val="20"/>
        </w:rPr>
        <w:t xml:space="preserve"> </w:t>
      </w:r>
      <w:r>
        <w:rPr>
          <w:rFonts w:cs="Tahoma" w:ascii="Tahoma" w:hAnsi="Tahoma"/>
          <w:i/>
          <w:sz w:val="20"/>
        </w:rPr>
        <w:t>en</w:t>
      </w:r>
      <w:r>
        <w:rPr>
          <w:rFonts w:cs="Tahoma" w:ascii="Tahoma" w:hAnsi="Tahoma"/>
          <w:i/>
          <w:spacing w:val="-4"/>
          <w:sz w:val="20"/>
        </w:rPr>
        <w:t xml:space="preserve"> </w:t>
      </w:r>
      <w:r>
        <w:rPr>
          <w:rFonts w:cs="Tahoma" w:ascii="Tahoma" w:hAnsi="Tahoma"/>
          <w:i/>
          <w:sz w:val="20"/>
        </w:rPr>
        <w:t>su</w:t>
      </w:r>
      <w:r>
        <w:rPr>
          <w:rFonts w:cs="Tahoma" w:ascii="Tahoma" w:hAnsi="Tahoma"/>
          <w:i/>
          <w:spacing w:val="-4"/>
          <w:sz w:val="20"/>
        </w:rPr>
        <w:t xml:space="preserve"> </w:t>
      </w:r>
      <w:r>
        <w:rPr>
          <w:rFonts w:cs="Tahoma" w:ascii="Tahoma" w:hAnsi="Tahoma"/>
          <w:i/>
          <w:sz w:val="20"/>
        </w:rPr>
        <w:t>gestión,</w:t>
      </w:r>
      <w:r>
        <w:rPr>
          <w:rFonts w:cs="Tahoma" w:ascii="Tahoma" w:hAnsi="Tahoma"/>
          <w:i/>
          <w:spacing w:val="-7"/>
          <w:sz w:val="20"/>
        </w:rPr>
        <w:t xml:space="preserve"> </w:t>
      </w:r>
      <w:r>
        <w:rPr>
          <w:rFonts w:cs="Tahoma" w:ascii="Tahoma" w:hAnsi="Tahoma"/>
          <w:i/>
          <w:sz w:val="20"/>
        </w:rPr>
        <w:t>y</w:t>
      </w:r>
      <w:r>
        <w:rPr>
          <w:rFonts w:cs="Tahoma" w:ascii="Tahoma" w:hAnsi="Tahoma"/>
          <w:i/>
          <w:spacing w:val="-5"/>
          <w:sz w:val="20"/>
        </w:rPr>
        <w:t xml:space="preserve"> </w:t>
      </w:r>
      <w:r>
        <w:rPr>
          <w:rFonts w:cs="Tahoma" w:ascii="Tahoma" w:hAnsi="Tahoma"/>
          <w:i/>
          <w:sz w:val="20"/>
        </w:rPr>
        <w:t>valorar</w:t>
      </w:r>
      <w:r>
        <w:rPr>
          <w:rFonts w:cs="Tahoma" w:ascii="Tahoma" w:hAnsi="Tahoma"/>
          <w:i/>
          <w:spacing w:val="-4"/>
          <w:sz w:val="20"/>
        </w:rPr>
        <w:t xml:space="preserve"> </w:t>
      </w:r>
      <w:r>
        <w:rPr>
          <w:rFonts w:cs="Tahoma" w:ascii="Tahoma" w:hAnsi="Tahoma"/>
          <w:i/>
          <w:sz w:val="20"/>
        </w:rPr>
        <w:t>su</w:t>
      </w:r>
      <w:r>
        <w:rPr>
          <w:rFonts w:cs="Tahoma" w:ascii="Tahoma" w:hAnsi="Tahoma"/>
          <w:i/>
          <w:spacing w:val="-5"/>
          <w:sz w:val="20"/>
        </w:rPr>
        <w:t xml:space="preserve"> </w:t>
      </w:r>
      <w:r>
        <w:rPr>
          <w:rFonts w:cs="Tahoma" w:ascii="Tahoma" w:hAnsi="Tahoma"/>
          <w:i/>
          <w:sz w:val="20"/>
        </w:rPr>
        <w:t>inclusión</w:t>
      </w:r>
      <w:r>
        <w:rPr>
          <w:rFonts w:cs="Tahoma" w:ascii="Tahoma" w:hAnsi="Tahoma"/>
          <w:i/>
          <w:spacing w:val="-4"/>
          <w:sz w:val="20"/>
        </w:rPr>
        <w:t xml:space="preserve"> </w:t>
      </w:r>
      <w:r>
        <w:rPr>
          <w:rFonts w:cs="Tahoma" w:ascii="Tahoma" w:hAnsi="Tahoma"/>
          <w:i/>
          <w:sz w:val="20"/>
        </w:rPr>
        <w:t>en</w:t>
      </w:r>
      <w:r>
        <w:rPr>
          <w:rFonts w:cs="Tahoma" w:ascii="Tahoma" w:hAnsi="Tahoma"/>
          <w:i/>
          <w:spacing w:val="-4"/>
          <w:sz w:val="20"/>
        </w:rPr>
        <w:t xml:space="preserve"> </w:t>
      </w:r>
      <w:r>
        <w:rPr>
          <w:rFonts w:cs="Tahoma" w:ascii="Tahoma" w:hAnsi="Tahoma"/>
          <w:i/>
          <w:sz w:val="20"/>
        </w:rPr>
        <w:t xml:space="preserve">losindicadores de evaluación de desempeño y los procesos de reclutamiento, ya </w:t>
      </w:r>
      <w:r>
        <w:rPr>
          <w:rFonts w:cs="Tahoma" w:ascii="Tahoma" w:hAnsi="Tahoma"/>
          <w:sz w:val="20"/>
        </w:rPr>
        <w:t>sea para nombramientos o ascensos en puestos vinculados con el conocimiento de procesos asociados a personas indígenas.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54" w:leader="none"/>
        </w:tabs>
        <w:spacing w:before="0" w:after="0"/>
        <w:ind w:left="387" w:right="970" w:firstLine="708"/>
        <w:jc w:val="both"/>
        <w:rPr>
          <w:rFonts w:ascii="Tahoma" w:hAnsi="Tahoma" w:cs="Tahoma"/>
          <w:i/>
          <w:i/>
          <w:sz w:val="20"/>
        </w:rPr>
      </w:pPr>
      <w:r>
        <w:rPr>
          <w:rFonts w:cs="Tahoma" w:ascii="Tahoma" w:hAnsi="Tahoma"/>
          <w:i/>
          <w:spacing w:val="-4"/>
          <w:sz w:val="20"/>
        </w:rPr>
        <w:t xml:space="preserve">Valorar </w:t>
      </w:r>
      <w:r>
        <w:rPr>
          <w:rFonts w:cs="Tahoma" w:ascii="Tahoma" w:hAnsi="Tahoma"/>
          <w:i/>
          <w:sz w:val="20"/>
        </w:rPr>
        <w:t>la posibilidad de establecer acuerdos interinstitucionales entre el Poder Judicial, el Poder Ejecutivo (y sus instituciones) y el Poder Legislativo, así como las Universidades estatales, a fin de que las acciones que se ejecuten vinculadas con personas indígenas, especialmente las relacionadas con las medidas cautelares de la CIDH, estén previamente coordinadas y sean consultadas a las personas</w:t>
      </w:r>
      <w:r>
        <w:rPr>
          <w:rFonts w:cs="Tahoma" w:ascii="Tahoma" w:hAnsi="Tahoma"/>
          <w:i/>
          <w:spacing w:val="-5"/>
          <w:sz w:val="20"/>
        </w:rPr>
        <w:t xml:space="preserve"> </w:t>
      </w:r>
      <w:r>
        <w:rPr>
          <w:rFonts w:cs="Tahoma" w:ascii="Tahoma" w:hAnsi="Tahoma"/>
          <w:i/>
          <w:sz w:val="20"/>
        </w:rPr>
        <w:t>indígenas.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38" w:leader="none"/>
        </w:tabs>
        <w:spacing w:before="0" w:after="0"/>
        <w:ind w:left="387" w:right="967" w:firstLine="708"/>
        <w:jc w:val="both"/>
        <w:rPr>
          <w:rFonts w:ascii="Tahoma" w:hAnsi="Tahoma" w:cs="Tahoma"/>
          <w:i/>
          <w:i/>
          <w:sz w:val="20"/>
        </w:rPr>
      </w:pPr>
      <w:r>
        <w:rPr>
          <w:rFonts w:cs="Tahoma" w:ascii="Tahoma" w:hAnsi="Tahoma"/>
          <w:i/>
          <w:sz w:val="20"/>
        </w:rPr>
        <w:t>Instar al Instituto de Desarrollo Rural y al Ministerio de Justicia</w:t>
      </w:r>
      <w:r>
        <w:rPr>
          <w:rFonts w:cs="Tahoma" w:ascii="Tahoma" w:hAnsi="Tahoma"/>
          <w:i/>
          <w:spacing w:val="-25"/>
          <w:sz w:val="20"/>
        </w:rPr>
        <w:t xml:space="preserve"> </w:t>
      </w:r>
      <w:r>
        <w:rPr>
          <w:rFonts w:cs="Tahoma" w:ascii="Tahoma" w:hAnsi="Tahoma"/>
          <w:i/>
          <w:sz w:val="20"/>
        </w:rPr>
        <w:t xml:space="preserve">y Paz para que valoren la posibilidad de capacitar a las personas juzgadoras, defensoras públicas y fiscalas con competencia para conocer procesos en los que intervengan personas indígenas del pueblo indígena </w:t>
      </w:r>
      <w:r>
        <w:rPr>
          <w:rFonts w:cs="Tahoma" w:ascii="Tahoma" w:hAnsi="Tahoma"/>
          <w:i/>
          <w:spacing w:val="-5"/>
          <w:sz w:val="20"/>
        </w:rPr>
        <w:t xml:space="preserve">Teribe </w:t>
      </w:r>
      <w:r>
        <w:rPr>
          <w:rFonts w:cs="Tahoma" w:ascii="Tahoma" w:hAnsi="Tahoma"/>
          <w:i/>
          <w:sz w:val="20"/>
        </w:rPr>
        <w:t>y Bribri de Salitre,</w:t>
      </w:r>
      <w:r>
        <w:rPr>
          <w:rFonts w:cs="Tahoma" w:ascii="Tahoma" w:hAnsi="Tahoma"/>
          <w:i/>
          <w:spacing w:val="-12"/>
          <w:sz w:val="20"/>
        </w:rPr>
        <w:t xml:space="preserve"> </w:t>
      </w:r>
      <w:r>
        <w:rPr>
          <w:rFonts w:cs="Tahoma" w:ascii="Tahoma" w:hAnsi="Tahoma"/>
          <w:i/>
          <w:spacing w:val="-3"/>
          <w:sz w:val="20"/>
        </w:rPr>
        <w:t>sobre</w:t>
      </w:r>
      <w:r>
        <w:rPr>
          <w:rFonts w:cs="Tahoma" w:ascii="Tahoma" w:hAnsi="Tahoma"/>
          <w:i/>
          <w:spacing w:val="-13"/>
          <w:sz w:val="20"/>
        </w:rPr>
        <w:t xml:space="preserve"> </w:t>
      </w:r>
      <w:r>
        <w:rPr>
          <w:rFonts w:cs="Tahoma" w:ascii="Tahoma" w:hAnsi="Tahoma"/>
          <w:i/>
          <w:sz w:val="20"/>
        </w:rPr>
        <w:t>las</w:t>
      </w:r>
      <w:r>
        <w:rPr>
          <w:rFonts w:cs="Tahoma" w:ascii="Tahoma" w:hAnsi="Tahoma"/>
          <w:i/>
          <w:spacing w:val="-10"/>
          <w:sz w:val="20"/>
        </w:rPr>
        <w:t xml:space="preserve"> </w:t>
      </w:r>
      <w:r>
        <w:rPr>
          <w:rFonts w:cs="Tahoma" w:ascii="Tahoma" w:hAnsi="Tahoma"/>
          <w:i/>
          <w:sz w:val="20"/>
        </w:rPr>
        <w:t>acciones</w:t>
      </w:r>
      <w:r>
        <w:rPr>
          <w:rFonts w:cs="Tahoma" w:ascii="Tahoma" w:hAnsi="Tahoma"/>
          <w:i/>
          <w:spacing w:val="-12"/>
          <w:sz w:val="20"/>
        </w:rPr>
        <w:t xml:space="preserve"> </w:t>
      </w:r>
      <w:r>
        <w:rPr>
          <w:rFonts w:cs="Tahoma" w:ascii="Tahoma" w:hAnsi="Tahoma"/>
          <w:i/>
          <w:sz w:val="20"/>
        </w:rPr>
        <w:t>emprendidas</w:t>
      </w:r>
      <w:r>
        <w:rPr>
          <w:rFonts w:cs="Tahoma" w:ascii="Tahoma" w:hAnsi="Tahoma"/>
          <w:i/>
          <w:spacing w:val="-11"/>
          <w:sz w:val="20"/>
        </w:rPr>
        <w:t xml:space="preserve"> </w:t>
      </w:r>
      <w:r>
        <w:rPr>
          <w:rFonts w:cs="Tahoma" w:ascii="Tahoma" w:hAnsi="Tahoma"/>
          <w:i/>
          <w:sz w:val="20"/>
        </w:rPr>
        <w:t>en</w:t>
      </w:r>
      <w:r>
        <w:rPr>
          <w:rFonts w:cs="Tahoma" w:ascii="Tahoma" w:hAnsi="Tahoma"/>
          <w:i/>
          <w:spacing w:val="-11"/>
          <w:sz w:val="20"/>
        </w:rPr>
        <w:t xml:space="preserve"> </w:t>
      </w:r>
      <w:r>
        <w:rPr>
          <w:rFonts w:cs="Tahoma" w:ascii="Tahoma" w:hAnsi="Tahoma"/>
          <w:i/>
          <w:sz w:val="20"/>
        </w:rPr>
        <w:t>el</w:t>
      </w:r>
      <w:r>
        <w:rPr>
          <w:rFonts w:cs="Tahoma" w:ascii="Tahoma" w:hAnsi="Tahoma"/>
          <w:i/>
          <w:spacing w:val="-11"/>
          <w:sz w:val="20"/>
        </w:rPr>
        <w:t xml:space="preserve"> </w:t>
      </w:r>
      <w:r>
        <w:rPr>
          <w:rFonts w:cs="Tahoma" w:ascii="Tahoma" w:hAnsi="Tahoma"/>
          <w:i/>
          <w:sz w:val="20"/>
        </w:rPr>
        <w:t>Plan</w:t>
      </w:r>
      <w:r>
        <w:rPr>
          <w:rFonts w:cs="Tahoma" w:ascii="Tahoma" w:hAnsi="Tahoma"/>
          <w:i/>
          <w:spacing w:val="-9"/>
          <w:sz w:val="20"/>
        </w:rPr>
        <w:t xml:space="preserve"> </w:t>
      </w:r>
      <w:r>
        <w:rPr>
          <w:rFonts w:cs="Tahoma" w:ascii="Tahoma" w:hAnsi="Tahoma"/>
          <w:i/>
          <w:sz w:val="20"/>
        </w:rPr>
        <w:t>de</w:t>
      </w:r>
      <w:r>
        <w:rPr>
          <w:rFonts w:cs="Tahoma" w:ascii="Tahoma" w:hAnsi="Tahoma"/>
          <w:i/>
          <w:spacing w:val="-12"/>
          <w:sz w:val="20"/>
        </w:rPr>
        <w:t xml:space="preserve"> </w:t>
      </w:r>
      <w:r>
        <w:rPr>
          <w:rFonts w:cs="Tahoma" w:ascii="Tahoma" w:hAnsi="Tahoma"/>
          <w:i/>
          <w:sz w:val="20"/>
        </w:rPr>
        <w:t>Recuperación</w:t>
      </w:r>
      <w:r>
        <w:rPr>
          <w:rFonts w:cs="Tahoma" w:ascii="Tahoma" w:hAnsi="Tahoma"/>
          <w:i/>
          <w:spacing w:val="-11"/>
          <w:sz w:val="20"/>
        </w:rPr>
        <w:t xml:space="preserve"> </w:t>
      </w:r>
      <w:r>
        <w:rPr>
          <w:rFonts w:cs="Tahoma" w:ascii="Tahoma" w:hAnsi="Tahoma"/>
          <w:i/>
          <w:sz w:val="20"/>
        </w:rPr>
        <w:t>de</w:t>
      </w:r>
      <w:r>
        <w:rPr>
          <w:rFonts w:cs="Tahoma" w:ascii="Tahoma" w:hAnsi="Tahoma"/>
          <w:i/>
          <w:spacing w:val="-13"/>
          <w:sz w:val="20"/>
        </w:rPr>
        <w:t xml:space="preserve"> </w:t>
      </w:r>
      <w:r>
        <w:rPr>
          <w:rFonts w:cs="Tahoma" w:ascii="Tahoma" w:hAnsi="Tahoma"/>
          <w:i/>
          <w:sz w:val="20"/>
        </w:rPr>
        <w:t>Tierras Indígenas y sistemas catastrales y registrales</w:t>
      </w:r>
      <w:r>
        <w:rPr>
          <w:rFonts w:cs="Tahoma" w:ascii="Tahoma" w:hAnsi="Tahoma"/>
          <w:i/>
          <w:spacing w:val="-7"/>
          <w:sz w:val="20"/>
        </w:rPr>
        <w:t xml:space="preserve"> </w:t>
      </w:r>
      <w:r>
        <w:rPr>
          <w:rFonts w:cs="Tahoma" w:ascii="Tahoma" w:hAnsi="Tahoma"/>
          <w:i/>
          <w:sz w:val="20"/>
        </w:rPr>
        <w:t>vinculados.</w:t>
      </w:r>
    </w:p>
    <w:p>
      <w:pPr>
        <w:pStyle w:val="Cuerpodetexto"/>
        <w:spacing w:before="10"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95" w:leader="none"/>
        </w:tabs>
        <w:spacing w:before="0" w:after="0"/>
        <w:ind w:left="387" w:right="975" w:firstLine="708"/>
        <w:jc w:val="both"/>
        <w:rPr>
          <w:rFonts w:ascii="Tahoma" w:hAnsi="Tahoma" w:cs="Tahoma"/>
          <w:i/>
          <w:i/>
          <w:sz w:val="20"/>
        </w:rPr>
      </w:pPr>
      <w:r>
        <w:rPr>
          <w:rFonts w:cs="Tahoma" w:ascii="Tahoma" w:hAnsi="Tahoma"/>
          <w:i/>
          <w:sz w:val="20"/>
        </w:rPr>
        <w:t>Analizar opciones para brindar protección y seguridad a las personas indígenas beneficiarias de las medidas cautelares, dentro de sus territorios y acordes a sus</w:t>
      </w:r>
      <w:r>
        <w:rPr>
          <w:rFonts w:cs="Tahoma" w:ascii="Tahoma" w:hAnsi="Tahoma"/>
          <w:i/>
          <w:spacing w:val="-5"/>
          <w:sz w:val="20"/>
        </w:rPr>
        <w:t xml:space="preserve"> </w:t>
      </w:r>
      <w:r>
        <w:rPr>
          <w:rFonts w:cs="Tahoma" w:ascii="Tahoma" w:hAnsi="Tahoma"/>
          <w:i/>
          <w:sz w:val="20"/>
        </w:rPr>
        <w:t>costumbres.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0" w:leader="none"/>
        </w:tabs>
        <w:spacing w:before="0" w:after="0"/>
        <w:ind w:left="387" w:right="972" w:firstLine="708"/>
        <w:jc w:val="both"/>
        <w:rPr>
          <w:rFonts w:ascii="Tahoma" w:hAnsi="Tahoma" w:cs="Tahoma"/>
          <w:i/>
          <w:i/>
          <w:sz w:val="20"/>
        </w:rPr>
      </w:pPr>
      <w:r>
        <w:rPr>
          <w:rFonts w:cs="Tahoma" w:ascii="Tahoma" w:hAnsi="Tahoma"/>
          <w:i/>
          <w:sz w:val="20"/>
        </w:rPr>
        <w:t xml:space="preserve">Realizar sesiones periódicas en las que se informe a miembros del pueblo indígena </w:t>
      </w:r>
      <w:r>
        <w:rPr>
          <w:rFonts w:cs="Tahoma" w:ascii="Tahoma" w:hAnsi="Tahoma"/>
          <w:i/>
          <w:spacing w:val="-5"/>
          <w:sz w:val="20"/>
        </w:rPr>
        <w:t xml:space="preserve">Teribe </w:t>
      </w:r>
      <w:r>
        <w:rPr>
          <w:rFonts w:cs="Tahoma" w:ascii="Tahoma" w:hAnsi="Tahoma"/>
          <w:i/>
          <w:sz w:val="20"/>
        </w:rPr>
        <w:t xml:space="preserve">y Bribri de Salitre beneficiarias de las medidas cautelares de la CIDH </w:t>
      </w:r>
      <w:r>
        <w:rPr>
          <w:rFonts w:cs="Tahoma" w:ascii="Tahoma" w:hAnsi="Tahoma"/>
          <w:i/>
          <w:spacing w:val="-3"/>
          <w:sz w:val="20"/>
        </w:rPr>
        <w:t xml:space="preserve">sobre </w:t>
      </w:r>
      <w:r>
        <w:rPr>
          <w:rFonts w:cs="Tahoma" w:ascii="Tahoma" w:hAnsi="Tahoma"/>
          <w:i/>
          <w:sz w:val="20"/>
        </w:rPr>
        <w:t>los avances</w:t>
      </w:r>
      <w:r>
        <w:rPr>
          <w:rFonts w:cs="Tahoma" w:ascii="Tahoma" w:hAnsi="Tahoma"/>
          <w:i/>
          <w:spacing w:val="-4"/>
          <w:sz w:val="20"/>
        </w:rPr>
        <w:t xml:space="preserve"> </w:t>
      </w:r>
      <w:r>
        <w:rPr>
          <w:rFonts w:cs="Tahoma" w:ascii="Tahoma" w:hAnsi="Tahoma"/>
          <w:i/>
          <w:sz w:val="20"/>
        </w:rPr>
        <w:t>alcanzados.</w:t>
      </w:r>
    </w:p>
    <w:p>
      <w:pPr>
        <w:pStyle w:val="Cuerpodetexto"/>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5" w:leader="none"/>
        </w:tabs>
        <w:spacing w:before="0" w:after="0"/>
        <w:ind w:left="387" w:right="969" w:firstLine="708"/>
        <w:jc w:val="both"/>
        <w:rPr>
          <w:rFonts w:ascii="Tahoma" w:hAnsi="Tahoma" w:cs="Tahoma"/>
          <w:i/>
          <w:i/>
          <w:sz w:val="20"/>
        </w:rPr>
      </w:pPr>
      <w:r>
        <w:rPr>
          <w:rFonts w:cs="Tahoma" w:ascii="Tahoma" w:hAnsi="Tahoma"/>
          <w:i/>
          <w:sz w:val="20"/>
        </w:rPr>
        <w:t>Actualizar el convenio interinstitucional entre el Poder Judicial y la Universidad de Costa Rica con el objetivo de que incluya la Facultad de Derecho</w:t>
      </w:r>
      <w:r>
        <w:rPr>
          <w:rFonts w:cs="Tahoma" w:ascii="Tahoma" w:hAnsi="Tahoma"/>
          <w:i/>
          <w:spacing w:val="-16"/>
          <w:sz w:val="20"/>
        </w:rPr>
        <w:t xml:space="preserve"> </w:t>
      </w:r>
      <w:r>
        <w:rPr>
          <w:rFonts w:cs="Tahoma" w:ascii="Tahoma" w:hAnsi="Tahoma"/>
          <w:i/>
          <w:sz w:val="20"/>
        </w:rPr>
        <w:t>y</w:t>
      </w:r>
      <w:r>
        <w:rPr>
          <w:rFonts w:cs="Tahoma" w:ascii="Tahoma" w:hAnsi="Tahoma"/>
          <w:i/>
          <w:spacing w:val="-17"/>
          <w:sz w:val="20"/>
        </w:rPr>
        <w:t xml:space="preserve"> </w:t>
      </w:r>
      <w:r>
        <w:rPr>
          <w:rFonts w:cs="Tahoma" w:ascii="Tahoma" w:hAnsi="Tahoma"/>
          <w:i/>
          <w:sz w:val="20"/>
        </w:rPr>
        <w:t>la</w:t>
      </w:r>
      <w:r>
        <w:rPr>
          <w:rFonts w:cs="Tahoma" w:ascii="Tahoma" w:hAnsi="Tahoma"/>
          <w:i/>
          <w:spacing w:val="-16"/>
          <w:sz w:val="20"/>
        </w:rPr>
        <w:t xml:space="preserve"> </w:t>
      </w:r>
      <w:r>
        <w:rPr>
          <w:rFonts w:cs="Tahoma" w:ascii="Tahoma" w:hAnsi="Tahoma"/>
          <w:i/>
          <w:sz w:val="20"/>
        </w:rPr>
        <w:t>Escuela</w:t>
      </w:r>
      <w:r>
        <w:rPr>
          <w:rFonts w:cs="Tahoma" w:ascii="Tahoma" w:hAnsi="Tahoma"/>
          <w:i/>
          <w:spacing w:val="-16"/>
          <w:sz w:val="20"/>
        </w:rPr>
        <w:t xml:space="preserve"> </w:t>
      </w:r>
      <w:r>
        <w:rPr>
          <w:rFonts w:cs="Tahoma" w:ascii="Tahoma" w:hAnsi="Tahoma"/>
          <w:i/>
          <w:sz w:val="20"/>
        </w:rPr>
        <w:t>de</w:t>
      </w:r>
      <w:r>
        <w:rPr>
          <w:rFonts w:cs="Tahoma" w:ascii="Tahoma" w:hAnsi="Tahoma"/>
          <w:i/>
          <w:spacing w:val="-19"/>
          <w:sz w:val="20"/>
        </w:rPr>
        <w:t xml:space="preserve"> </w:t>
      </w:r>
      <w:r>
        <w:rPr>
          <w:rFonts w:cs="Tahoma" w:ascii="Tahoma" w:hAnsi="Tahoma"/>
          <w:i/>
          <w:sz w:val="20"/>
        </w:rPr>
        <w:t>Antropología</w:t>
      </w:r>
      <w:r>
        <w:rPr>
          <w:rFonts w:cs="Tahoma" w:ascii="Tahoma" w:hAnsi="Tahoma"/>
          <w:i/>
          <w:spacing w:val="-16"/>
          <w:sz w:val="20"/>
        </w:rPr>
        <w:t xml:space="preserve"> </w:t>
      </w:r>
      <w:r>
        <w:rPr>
          <w:rFonts w:cs="Tahoma" w:ascii="Tahoma" w:hAnsi="Tahoma"/>
          <w:i/>
          <w:sz w:val="20"/>
        </w:rPr>
        <w:t>para</w:t>
      </w:r>
      <w:r>
        <w:rPr>
          <w:rFonts w:cs="Tahoma" w:ascii="Tahoma" w:hAnsi="Tahoma"/>
          <w:i/>
          <w:spacing w:val="-16"/>
          <w:sz w:val="20"/>
        </w:rPr>
        <w:t xml:space="preserve"> </w:t>
      </w:r>
      <w:r>
        <w:rPr>
          <w:rFonts w:cs="Tahoma" w:ascii="Tahoma" w:hAnsi="Tahoma"/>
          <w:i/>
          <w:sz w:val="20"/>
        </w:rPr>
        <w:t>fortalecer</w:t>
      </w:r>
      <w:r>
        <w:rPr>
          <w:rFonts w:cs="Tahoma" w:ascii="Tahoma" w:hAnsi="Tahoma"/>
          <w:i/>
          <w:spacing w:val="-16"/>
          <w:sz w:val="20"/>
        </w:rPr>
        <w:t xml:space="preserve"> </w:t>
      </w:r>
      <w:r>
        <w:rPr>
          <w:rFonts w:cs="Tahoma" w:ascii="Tahoma" w:hAnsi="Tahoma"/>
          <w:i/>
          <w:sz w:val="20"/>
        </w:rPr>
        <w:t>el</w:t>
      </w:r>
      <w:r>
        <w:rPr>
          <w:rFonts w:cs="Tahoma" w:ascii="Tahoma" w:hAnsi="Tahoma"/>
          <w:i/>
          <w:spacing w:val="-16"/>
          <w:sz w:val="20"/>
        </w:rPr>
        <w:t xml:space="preserve"> </w:t>
      </w:r>
      <w:r>
        <w:rPr>
          <w:rFonts w:cs="Tahoma" w:ascii="Tahoma" w:hAnsi="Tahoma"/>
          <w:i/>
          <w:sz w:val="20"/>
        </w:rPr>
        <w:t>programa</w:t>
      </w:r>
      <w:r>
        <w:rPr>
          <w:rFonts w:cs="Tahoma" w:ascii="Tahoma" w:hAnsi="Tahoma"/>
          <w:i/>
          <w:spacing w:val="-16"/>
          <w:sz w:val="20"/>
        </w:rPr>
        <w:t xml:space="preserve"> </w:t>
      </w:r>
      <w:r>
        <w:rPr>
          <w:rFonts w:cs="Tahoma" w:ascii="Tahoma" w:hAnsi="Tahoma"/>
          <w:i/>
          <w:sz w:val="20"/>
        </w:rPr>
        <w:t>de</w:t>
      </w:r>
      <w:r>
        <w:rPr>
          <w:rFonts w:cs="Tahoma" w:ascii="Tahoma" w:hAnsi="Tahoma"/>
          <w:i/>
          <w:spacing w:val="-17"/>
          <w:sz w:val="20"/>
        </w:rPr>
        <w:t xml:space="preserve"> </w:t>
      </w:r>
      <w:r>
        <w:rPr>
          <w:rFonts w:cs="Tahoma" w:ascii="Tahoma" w:hAnsi="Tahoma"/>
          <w:i/>
          <w:sz w:val="20"/>
        </w:rPr>
        <w:t>peritajes culturales y de capacitaciones a las personas servidoras judiciales, con posibilidades de establecer acciones conjuntas con otras Escuelas de la UCR que podrían ofrecer insumos importantes en los peritajes</w:t>
      </w:r>
      <w:r>
        <w:rPr>
          <w:rFonts w:cs="Tahoma" w:ascii="Tahoma" w:hAnsi="Tahoma"/>
          <w:i/>
          <w:spacing w:val="-12"/>
          <w:sz w:val="20"/>
        </w:rPr>
        <w:t xml:space="preserve"> </w:t>
      </w:r>
      <w:r>
        <w:rPr>
          <w:rFonts w:cs="Tahoma" w:ascii="Tahoma" w:hAnsi="Tahoma"/>
          <w:i/>
          <w:sz w:val="20"/>
        </w:rPr>
        <w:t>culturales.</w:t>
      </w:r>
    </w:p>
    <w:p>
      <w:pPr>
        <w:pStyle w:val="Cuerpodetexto"/>
        <w:spacing w:before="1" w:after="0"/>
        <w:rPr>
          <w:rFonts w:ascii="Tahoma" w:hAnsi="Tahoma" w:cs="Tahoma"/>
          <w:sz w:val="20"/>
          <w:szCs w:val="20"/>
        </w:rPr>
      </w:pPr>
      <w:r>
        <w:rPr>
          <w:rFonts w:cs="Tahoma" w:ascii="Tahoma" w:hAnsi="Tahoma"/>
          <w:sz w:val="20"/>
          <w:szCs w:val="20"/>
        </w:rPr>
      </w:r>
    </w:p>
    <w:p>
      <w:pPr>
        <w:pStyle w:val="ListParagraph"/>
        <w:widowControl w:val="false"/>
        <w:numPr>
          <w:ilvl w:val="0"/>
          <w:numId w:val="30"/>
        </w:numPr>
        <w:tabs>
          <w:tab w:val="clear" w:pos="708"/>
          <w:tab w:val="left" w:pos="2040" w:leader="none"/>
        </w:tabs>
        <w:spacing w:before="0" w:after="0"/>
        <w:ind w:left="387" w:right="973" w:firstLine="708"/>
        <w:jc w:val="both"/>
        <w:rPr>
          <w:rFonts w:ascii="Tahoma" w:hAnsi="Tahoma" w:cs="Tahoma"/>
          <w:i/>
          <w:i/>
          <w:sz w:val="20"/>
        </w:rPr>
      </w:pPr>
      <w:r>
        <w:rPr>
          <w:rFonts w:cs="Tahoma" w:ascii="Tahoma" w:hAnsi="Tahoma"/>
          <w:i/>
          <w:sz w:val="20"/>
        </w:rPr>
        <w:t>Diseñar una Política de Acceso a la Justicia de Pueblos Indígenas del Poder Judicial conforme a los lineamientos de MIDEPLAN que sea construida y consultada con las personas indígenas, así como un Plan de Acción de acuerdo a la metodología de la Dirección de Planificación, que contribuya con su ejecución, en seguimiento de la Ley de Acceso a la Justicia de Pueblos Indígenas de Costa</w:t>
      </w:r>
      <w:r>
        <w:rPr>
          <w:rFonts w:cs="Tahoma" w:ascii="Tahoma" w:hAnsi="Tahoma"/>
          <w:i/>
          <w:spacing w:val="-2"/>
          <w:sz w:val="20"/>
        </w:rPr>
        <w:t xml:space="preserve"> </w:t>
      </w:r>
      <w:r>
        <w:rPr>
          <w:rFonts w:cs="Tahoma" w:ascii="Tahoma" w:hAnsi="Tahoma"/>
          <w:i/>
          <w:sz w:val="20"/>
        </w:rPr>
        <w:t>Rica.</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sectPr>
          <w:headerReference w:type="default" r:id="rId25"/>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Cuerpodetexto"/>
        <w:spacing w:before="11" w:after="0"/>
        <w:rPr>
          <w:rFonts w:ascii="Tahoma" w:hAnsi="Tahoma" w:cs="Tahoma"/>
          <w:sz w:val="20"/>
          <w:szCs w:val="20"/>
        </w:rPr>
      </w:pPr>
      <w:r>
        <w:rPr>
          <w:rFonts w:cs="Tahoma" w:ascii="Tahoma" w:hAnsi="Tahoma"/>
          <w:sz w:val="20"/>
          <w:szCs w:val="20"/>
        </w:rPr>
      </w:r>
    </w:p>
    <w:p>
      <w:pPr>
        <w:pStyle w:val="ListParagraph"/>
        <w:widowControl w:val="false"/>
        <w:numPr>
          <w:ilvl w:val="0"/>
          <w:numId w:val="31"/>
        </w:numPr>
        <w:tabs>
          <w:tab w:val="clear" w:pos="708"/>
          <w:tab w:val="left" w:pos="2088" w:leader="none"/>
        </w:tabs>
        <w:spacing w:before="0" w:after="0"/>
        <w:rPr>
          <w:rFonts w:ascii="Tahoma" w:hAnsi="Tahoma" w:cs="Tahoma"/>
          <w:i/>
          <w:i/>
          <w:sz w:val="20"/>
        </w:rPr>
      </w:pPr>
      <w:r>
        <w:rPr>
          <w:rFonts w:cs="Tahoma" w:ascii="Tahoma" w:hAnsi="Tahoma"/>
          <w:i/>
          <w:sz w:val="20"/>
        </w:rPr>
        <w:t>Participar</w:t>
      </w:r>
      <w:r>
        <w:rPr>
          <w:rFonts w:cs="Tahoma" w:ascii="Tahoma" w:hAnsi="Tahoma"/>
          <w:i/>
          <w:spacing w:val="-11"/>
          <w:sz w:val="20"/>
        </w:rPr>
        <w:t xml:space="preserve"> </w:t>
      </w:r>
      <w:r>
        <w:rPr>
          <w:rFonts w:cs="Tahoma" w:ascii="Tahoma" w:hAnsi="Tahoma"/>
          <w:i/>
          <w:sz w:val="20"/>
        </w:rPr>
        <w:t>como</w:t>
      </w:r>
      <w:r>
        <w:rPr>
          <w:rFonts w:cs="Tahoma" w:ascii="Tahoma" w:hAnsi="Tahoma"/>
          <w:i/>
          <w:spacing w:val="-12"/>
          <w:sz w:val="20"/>
        </w:rPr>
        <w:t xml:space="preserve"> </w:t>
      </w:r>
      <w:r>
        <w:rPr>
          <w:rFonts w:cs="Tahoma" w:ascii="Tahoma" w:hAnsi="Tahoma"/>
          <w:i/>
          <w:sz w:val="20"/>
        </w:rPr>
        <w:t>parte</w:t>
      </w:r>
      <w:r>
        <w:rPr>
          <w:rFonts w:cs="Tahoma" w:ascii="Tahoma" w:hAnsi="Tahoma"/>
          <w:i/>
          <w:spacing w:val="-12"/>
          <w:sz w:val="20"/>
        </w:rPr>
        <w:t xml:space="preserve"> </w:t>
      </w:r>
      <w:r>
        <w:rPr>
          <w:rFonts w:cs="Tahoma" w:ascii="Tahoma" w:hAnsi="Tahoma"/>
          <w:i/>
          <w:sz w:val="20"/>
        </w:rPr>
        <w:t>del</w:t>
      </w:r>
      <w:r>
        <w:rPr>
          <w:rFonts w:cs="Tahoma" w:ascii="Tahoma" w:hAnsi="Tahoma"/>
          <w:i/>
          <w:spacing w:val="-11"/>
          <w:sz w:val="20"/>
        </w:rPr>
        <w:t xml:space="preserve"> </w:t>
      </w:r>
      <w:r>
        <w:rPr>
          <w:rFonts w:cs="Tahoma" w:ascii="Tahoma" w:hAnsi="Tahoma"/>
          <w:i/>
          <w:sz w:val="20"/>
        </w:rPr>
        <w:t>Estado</w:t>
      </w:r>
      <w:r>
        <w:rPr>
          <w:rFonts w:cs="Tahoma" w:ascii="Tahoma" w:hAnsi="Tahoma"/>
          <w:i/>
          <w:spacing w:val="-11"/>
          <w:sz w:val="20"/>
        </w:rPr>
        <w:t xml:space="preserve"> </w:t>
      </w:r>
      <w:r>
        <w:rPr>
          <w:rFonts w:cs="Tahoma" w:ascii="Tahoma" w:hAnsi="Tahoma"/>
          <w:i/>
          <w:sz w:val="20"/>
        </w:rPr>
        <w:t>en</w:t>
      </w:r>
      <w:r>
        <w:rPr>
          <w:rFonts w:cs="Tahoma" w:ascii="Tahoma" w:hAnsi="Tahoma"/>
          <w:i/>
          <w:spacing w:val="-11"/>
          <w:sz w:val="20"/>
        </w:rPr>
        <w:t xml:space="preserve"> </w:t>
      </w:r>
      <w:r>
        <w:rPr>
          <w:rFonts w:cs="Tahoma" w:ascii="Tahoma" w:hAnsi="Tahoma"/>
          <w:i/>
          <w:sz w:val="20"/>
        </w:rPr>
        <w:t>los</w:t>
      </w:r>
      <w:r>
        <w:rPr>
          <w:rFonts w:cs="Tahoma" w:ascii="Tahoma" w:hAnsi="Tahoma"/>
          <w:i/>
          <w:spacing w:val="-10"/>
          <w:sz w:val="20"/>
        </w:rPr>
        <w:t xml:space="preserve"> </w:t>
      </w:r>
      <w:r>
        <w:rPr>
          <w:rFonts w:cs="Tahoma" w:ascii="Tahoma" w:hAnsi="Tahoma"/>
          <w:i/>
          <w:sz w:val="20"/>
        </w:rPr>
        <w:t>encuentros</w:t>
      </w:r>
      <w:r>
        <w:rPr>
          <w:rFonts w:cs="Tahoma" w:ascii="Tahoma" w:hAnsi="Tahoma"/>
          <w:i/>
          <w:spacing w:val="-11"/>
          <w:sz w:val="20"/>
        </w:rPr>
        <w:t xml:space="preserve"> </w:t>
      </w:r>
      <w:r>
        <w:rPr>
          <w:rFonts w:cs="Tahoma" w:ascii="Tahoma" w:hAnsi="Tahoma"/>
          <w:i/>
          <w:sz w:val="20"/>
        </w:rPr>
        <w:t>que</w:t>
      </w:r>
      <w:r>
        <w:rPr>
          <w:rFonts w:cs="Tahoma" w:ascii="Tahoma" w:hAnsi="Tahoma"/>
          <w:i/>
          <w:spacing w:val="-12"/>
          <w:sz w:val="20"/>
        </w:rPr>
        <w:t xml:space="preserve"> </w:t>
      </w:r>
      <w:r>
        <w:rPr>
          <w:rFonts w:cs="Tahoma" w:ascii="Tahoma" w:hAnsi="Tahoma"/>
          <w:i/>
          <w:sz w:val="20"/>
        </w:rPr>
        <w:t>se</w:t>
      </w:r>
      <w:r>
        <w:rPr>
          <w:rFonts w:cs="Tahoma" w:ascii="Tahoma" w:hAnsi="Tahoma"/>
          <w:i/>
          <w:spacing w:val="-12"/>
          <w:sz w:val="20"/>
        </w:rPr>
        <w:t xml:space="preserve"> </w:t>
      </w:r>
      <w:r>
        <w:rPr>
          <w:rFonts w:cs="Tahoma" w:ascii="Tahoma" w:hAnsi="Tahoma"/>
          <w:i/>
          <w:sz w:val="20"/>
        </w:rPr>
        <w:t>realicen</w:t>
      </w:r>
    </w:p>
    <w:p>
      <w:pPr>
        <w:pStyle w:val="Cuerpodetexto"/>
        <w:spacing w:before="90" w:after="0"/>
        <w:ind w:left="969" w:right="884" w:hanging="0"/>
        <w:rPr>
          <w:rFonts w:ascii="Tahoma" w:hAnsi="Tahoma" w:cs="Tahoma"/>
          <w:sz w:val="20"/>
          <w:szCs w:val="20"/>
        </w:rPr>
      </w:pPr>
      <w:r>
        <w:rPr>
          <w:rFonts w:cs="Tahoma" w:ascii="Tahoma" w:hAnsi="Tahoma"/>
          <w:i/>
          <w:sz w:val="20"/>
          <w:szCs w:val="20"/>
        </w:rPr>
        <w:t xml:space="preserve">entre las personas indígenas beneficiarias de las medidas y otras instituciones </w:t>
      </w:r>
      <w:r>
        <w:rPr>
          <w:rFonts w:cs="Tahoma" w:ascii="Tahoma" w:hAnsi="Tahoma"/>
          <w:sz w:val="20"/>
          <w:szCs w:val="20"/>
        </w:rPr>
        <w:t>del Estado.”</w: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Ttulo21"/>
        <w:ind w:left="969" w:right="0" w:hanging="0"/>
        <w:jc w:val="left"/>
        <w:rPr>
          <w:rFonts w:ascii="Tahoma" w:hAnsi="Tahoma" w:cs="Tahoma"/>
          <w:sz w:val="20"/>
          <w:szCs w:val="20"/>
        </w:rPr>
      </w:pPr>
      <w:r>
        <w:rPr>
          <w:rFonts w:cs="Tahoma" w:ascii="Tahoma" w:hAnsi="Tahoma"/>
          <w:sz w:val="20"/>
          <w:szCs w:val="20"/>
        </w:rPr>
        <w:t>San José, 17 de octubre de 2019</w:t>
      </w:r>
    </w:p>
    <w:p>
      <w:pPr>
        <w:pStyle w:val="Cuerpodetexto"/>
        <w:rPr>
          <w:rFonts w:ascii="Tahoma" w:hAnsi="Tahoma" w:cs="Tahoma"/>
          <w:b/>
          <w:b/>
          <w:sz w:val="20"/>
          <w:szCs w:val="20"/>
        </w:rPr>
      </w:pPr>
      <w:r>
        <w:rPr>
          <w:rFonts w:cs="Tahoma" w:ascii="Tahoma" w:hAnsi="Tahoma"/>
          <w:b/>
          <w:sz w:val="20"/>
          <w:szCs w:val="20"/>
        </w:rPr>
      </w:r>
    </w:p>
    <w:p>
      <w:pPr>
        <w:pStyle w:val="Cuerpodetexto"/>
        <w:rPr>
          <w:rFonts w:ascii="Tahoma" w:hAnsi="Tahoma" w:cs="Tahoma"/>
          <w:b/>
          <w:b/>
          <w:sz w:val="20"/>
          <w:szCs w:val="20"/>
        </w:rPr>
      </w:pPr>
      <w:r>
        <w:rPr>
          <w:rFonts w:cs="Tahoma" w:ascii="Tahoma" w:hAnsi="Tahoma"/>
          <w:b/>
          <w:sz w:val="20"/>
          <w:szCs w:val="20"/>
        </w:rPr>
      </w:r>
    </w:p>
    <w:p>
      <w:pPr>
        <w:pStyle w:val="Normal"/>
        <w:spacing w:before="230" w:after="200"/>
        <w:ind w:left="3544" w:right="2697" w:hanging="0"/>
        <w:jc w:val="center"/>
        <w:rPr>
          <w:rFonts w:ascii="Tahoma" w:hAnsi="Tahoma" w:cs="Tahoma"/>
          <w:b/>
          <w:b/>
          <w:i/>
          <w:i/>
          <w:sz w:val="20"/>
          <w:szCs w:val="20"/>
        </w:rPr>
      </w:pPr>
      <w:r>
        <w:rPr>
          <w:rFonts w:cs="Tahoma" w:ascii="Tahoma" w:hAnsi="Tahoma"/>
          <w:b/>
          <w:i/>
          <w:sz w:val="20"/>
          <w:szCs w:val="20"/>
        </w:rPr>
        <w:t>Licda. Silvia Navarro Romanini Secretaria General</w:t>
      </w:r>
    </w:p>
    <w:p>
      <w:pPr>
        <w:pStyle w:val="Normal"/>
        <w:ind w:left="852" w:right="4" w:hanging="0"/>
        <w:jc w:val="center"/>
        <w:rPr>
          <w:rFonts w:ascii="Tahoma" w:hAnsi="Tahoma" w:cs="Tahoma"/>
          <w:b/>
          <w:b/>
          <w:i/>
          <w:i/>
          <w:sz w:val="20"/>
          <w:szCs w:val="20"/>
        </w:rPr>
      </w:pPr>
      <w:r>
        <w:rPr>
          <w:rFonts w:cs="Tahoma" w:ascii="Tahoma" w:hAnsi="Tahoma"/>
          <w:b/>
          <w:i/>
          <w:sz w:val="20"/>
          <w:szCs w:val="20"/>
        </w:rPr>
        <w:t>Corte Suprema de Justicia”</w:t>
      </w:r>
    </w:p>
    <w:p>
      <w:pPr>
        <w:pStyle w:val="Cuerpodetexto"/>
        <w:rPr>
          <w:rFonts w:ascii="Tahoma" w:hAnsi="Tahoma" w:cs="Tahoma"/>
          <w:sz w:val="20"/>
          <w:szCs w:val="20"/>
        </w:rPr>
      </w:pPr>
      <w:r>
        <w:rPr>
          <w:rFonts w:cs="Tahoma" w:ascii="Tahoma" w:hAnsi="Tahoma"/>
          <w:sz w:val="20"/>
          <w:szCs w:val="20"/>
        </w:rPr>
      </w:r>
    </w:p>
    <w:p>
      <w:pPr>
        <w:pStyle w:val="Cuerpodetexto"/>
        <w:spacing w:before="11" w:after="0"/>
        <w:rPr>
          <w:rFonts w:ascii="Tahoma" w:hAnsi="Tahoma" w:cs="Tahoma"/>
          <w:sz w:val="20"/>
          <w:szCs w:val="20"/>
        </w:rPr>
      </w:pPr>
      <w:r>
        <w:rPr>
          <w:rFonts w:cs="Tahoma" w:ascii="Tahoma" w:hAnsi="Tahoma"/>
          <w:sz w:val="20"/>
          <w:szCs w:val="20"/>
        </w:rPr>
      </w:r>
    </w:p>
    <w:p>
      <w:pPr>
        <w:pStyle w:val="Normal"/>
        <w:spacing w:before="232" w:after="200"/>
        <w:ind w:left="117" w:right="118" w:hanging="0"/>
        <w:jc w:val="both"/>
        <w:rPr>
          <w:rFonts w:ascii="Tahoma" w:hAnsi="Tahoma" w:cs="Tahoma"/>
          <w:sz w:val="20"/>
          <w:szCs w:val="20"/>
        </w:rPr>
      </w:pPr>
      <w:r>
        <w:rPr>
          <w:rFonts w:cs="Tahoma" w:ascii="Tahoma" w:hAnsi="Tahoma"/>
          <w:sz w:val="20"/>
          <w:szCs w:val="20"/>
        </w:rPr>
        <w:t>De los acuerdos de Corte Plena que dieron origen a la Circular se desprende que la mayoría de los ejes de acción están vinculados con la necesidad de fortalecer las actividades de capacitación en forma concertada con la población indígena. Desde su emisión</w:t>
      </w:r>
      <w:r>
        <w:rPr>
          <w:rFonts w:cs="Tahoma" w:ascii="Tahoma" w:hAnsi="Tahoma"/>
          <w:spacing w:val="-18"/>
          <w:sz w:val="20"/>
          <w:szCs w:val="20"/>
        </w:rPr>
        <w:t xml:space="preserve"> </w:t>
      </w:r>
      <w:r>
        <w:rPr>
          <w:rFonts w:cs="Tahoma" w:ascii="Tahoma" w:hAnsi="Tahoma"/>
          <w:sz w:val="20"/>
          <w:szCs w:val="20"/>
        </w:rPr>
        <w:t>y</w:t>
      </w:r>
      <w:r>
        <w:rPr>
          <w:rFonts w:cs="Tahoma" w:ascii="Tahoma" w:hAnsi="Tahoma"/>
          <w:spacing w:val="-19"/>
          <w:sz w:val="20"/>
          <w:szCs w:val="20"/>
        </w:rPr>
        <w:t xml:space="preserve"> </w:t>
      </w:r>
      <w:r>
        <w:rPr>
          <w:rFonts w:cs="Tahoma" w:ascii="Tahoma" w:hAnsi="Tahoma"/>
          <w:sz w:val="20"/>
          <w:szCs w:val="20"/>
        </w:rPr>
        <w:t>aún</w:t>
      </w:r>
      <w:r>
        <w:rPr>
          <w:rFonts w:cs="Tahoma" w:ascii="Tahoma" w:hAnsi="Tahoma"/>
          <w:spacing w:val="-18"/>
          <w:sz w:val="20"/>
          <w:szCs w:val="20"/>
        </w:rPr>
        <w:t xml:space="preserve"> </w:t>
      </w:r>
      <w:r>
        <w:rPr>
          <w:rFonts w:cs="Tahoma" w:ascii="Tahoma" w:hAnsi="Tahoma"/>
          <w:sz w:val="20"/>
          <w:szCs w:val="20"/>
        </w:rPr>
        <w:t>antes</w:t>
      </w:r>
      <w:r>
        <w:rPr>
          <w:rFonts w:cs="Tahoma" w:ascii="Tahoma" w:hAnsi="Tahoma"/>
          <w:spacing w:val="-19"/>
          <w:sz w:val="20"/>
          <w:szCs w:val="20"/>
        </w:rPr>
        <w:t xml:space="preserve"> </w:t>
      </w:r>
      <w:r>
        <w:rPr>
          <w:rFonts w:cs="Tahoma" w:ascii="Tahoma" w:hAnsi="Tahoma"/>
          <w:sz w:val="20"/>
          <w:szCs w:val="20"/>
        </w:rPr>
        <w:t>de</w:t>
      </w:r>
      <w:r>
        <w:rPr>
          <w:rFonts w:cs="Tahoma" w:ascii="Tahoma" w:hAnsi="Tahoma"/>
          <w:spacing w:val="-18"/>
          <w:sz w:val="20"/>
          <w:szCs w:val="20"/>
        </w:rPr>
        <w:t xml:space="preserve"> </w:t>
      </w:r>
      <w:r>
        <w:rPr>
          <w:rFonts w:cs="Tahoma" w:ascii="Tahoma" w:hAnsi="Tahoma"/>
          <w:sz w:val="20"/>
          <w:szCs w:val="20"/>
        </w:rPr>
        <w:t>ésta,</w:t>
      </w:r>
      <w:r>
        <w:rPr>
          <w:rFonts w:cs="Tahoma" w:ascii="Tahoma" w:hAnsi="Tahoma"/>
          <w:spacing w:val="-18"/>
          <w:sz w:val="20"/>
          <w:szCs w:val="20"/>
        </w:rPr>
        <w:t xml:space="preserve"> </w:t>
      </w:r>
      <w:r>
        <w:rPr>
          <w:rFonts w:cs="Tahoma" w:ascii="Tahoma" w:hAnsi="Tahoma"/>
          <w:sz w:val="20"/>
          <w:szCs w:val="20"/>
        </w:rPr>
        <w:t>estamos</w:t>
      </w:r>
      <w:r>
        <w:rPr>
          <w:rFonts w:cs="Tahoma" w:ascii="Tahoma" w:hAnsi="Tahoma"/>
          <w:spacing w:val="-18"/>
          <w:sz w:val="20"/>
          <w:szCs w:val="20"/>
        </w:rPr>
        <w:t xml:space="preserve"> </w:t>
      </w:r>
      <w:r>
        <w:rPr>
          <w:rFonts w:cs="Tahoma" w:ascii="Tahoma" w:hAnsi="Tahoma"/>
          <w:sz w:val="20"/>
          <w:szCs w:val="20"/>
        </w:rPr>
        <w:t>trabajando</w:t>
      </w:r>
      <w:r>
        <w:rPr>
          <w:rFonts w:cs="Tahoma" w:ascii="Tahoma" w:hAnsi="Tahoma"/>
          <w:spacing w:val="-18"/>
          <w:sz w:val="20"/>
          <w:szCs w:val="20"/>
        </w:rPr>
        <w:t xml:space="preserve"> </w:t>
      </w:r>
      <w:r>
        <w:rPr>
          <w:rFonts w:cs="Tahoma" w:ascii="Tahoma" w:hAnsi="Tahoma"/>
          <w:sz w:val="20"/>
          <w:szCs w:val="20"/>
        </w:rPr>
        <w:t>en</w:t>
      </w:r>
      <w:r>
        <w:rPr>
          <w:rFonts w:cs="Tahoma" w:ascii="Tahoma" w:hAnsi="Tahoma"/>
          <w:spacing w:val="-18"/>
          <w:sz w:val="20"/>
          <w:szCs w:val="20"/>
        </w:rPr>
        <w:t xml:space="preserve"> </w:t>
      </w:r>
      <w:r>
        <w:rPr>
          <w:rFonts w:cs="Tahoma" w:ascii="Tahoma" w:hAnsi="Tahoma"/>
          <w:sz w:val="20"/>
          <w:szCs w:val="20"/>
        </w:rPr>
        <w:t>esa</w:t>
      </w:r>
      <w:r>
        <w:rPr>
          <w:rFonts w:cs="Tahoma" w:ascii="Tahoma" w:hAnsi="Tahoma"/>
          <w:spacing w:val="-16"/>
          <w:sz w:val="20"/>
          <w:szCs w:val="20"/>
        </w:rPr>
        <w:t xml:space="preserve"> </w:t>
      </w:r>
      <w:r>
        <w:rPr>
          <w:rFonts w:cs="Tahoma" w:ascii="Tahoma" w:hAnsi="Tahoma"/>
          <w:sz w:val="20"/>
          <w:szCs w:val="20"/>
        </w:rPr>
        <w:t>línea</w:t>
      </w:r>
      <w:r>
        <w:rPr>
          <w:rFonts w:cs="Tahoma" w:ascii="Tahoma" w:hAnsi="Tahoma"/>
          <w:spacing w:val="-18"/>
          <w:sz w:val="20"/>
          <w:szCs w:val="20"/>
        </w:rPr>
        <w:t xml:space="preserve"> </w:t>
      </w:r>
      <w:r>
        <w:rPr>
          <w:rFonts w:cs="Tahoma" w:ascii="Tahoma" w:hAnsi="Tahoma"/>
          <w:sz w:val="20"/>
          <w:szCs w:val="20"/>
        </w:rPr>
        <w:t>de</w:t>
      </w:r>
      <w:r>
        <w:rPr>
          <w:rFonts w:cs="Tahoma" w:ascii="Tahoma" w:hAnsi="Tahoma"/>
          <w:spacing w:val="-18"/>
          <w:sz w:val="20"/>
          <w:szCs w:val="20"/>
        </w:rPr>
        <w:t xml:space="preserve"> </w:t>
      </w:r>
      <w:r>
        <w:rPr>
          <w:rFonts w:cs="Tahoma" w:ascii="Tahoma" w:hAnsi="Tahoma"/>
          <w:sz w:val="20"/>
          <w:szCs w:val="20"/>
        </w:rPr>
        <w:t>acción,</w:t>
      </w:r>
      <w:r>
        <w:rPr>
          <w:rFonts w:cs="Tahoma" w:ascii="Tahoma" w:hAnsi="Tahoma"/>
          <w:spacing w:val="-11"/>
          <w:sz w:val="20"/>
          <w:szCs w:val="20"/>
        </w:rPr>
        <w:t xml:space="preserve"> </w:t>
      </w:r>
      <w:r>
        <w:rPr>
          <w:rFonts w:cs="Tahoma" w:ascii="Tahoma" w:hAnsi="Tahoma"/>
          <w:sz w:val="20"/>
          <w:szCs w:val="20"/>
        </w:rPr>
        <w:t>especialmente en cumplimiento de los lineamientos de la Ley de Acceso a la Justicia de Pueblos Indígenas de Costa Rica que establecen la obligatoriedad de tener un Plan Anual de Capacitación en la temática indígena por parte de la Escuela Judicial, por lo que oportunamente se les remitió una propuesta de capacitación integral que incluía actividades de diversa índole y un listado de personas facilitadoras que incluía a personas indígenas, especialistas de las Universidades estatales y del Poder</w:t>
      </w:r>
      <w:r>
        <w:rPr>
          <w:rFonts w:cs="Tahoma" w:ascii="Tahoma" w:hAnsi="Tahoma"/>
          <w:spacing w:val="-29"/>
          <w:sz w:val="20"/>
          <w:szCs w:val="20"/>
        </w:rPr>
        <w:t xml:space="preserve"> </w:t>
      </w:r>
      <w:r>
        <w:rPr>
          <w:rFonts w:cs="Tahoma" w:ascii="Tahoma" w:hAnsi="Tahoma"/>
          <w:sz w:val="20"/>
          <w:szCs w:val="20"/>
        </w:rPr>
        <w:t>Judicial.</w:t>
      </w:r>
    </w:p>
    <w:p>
      <w:pPr>
        <w:pStyle w:val="Cuerpodetexto"/>
        <w:spacing w:before="9" w:after="0"/>
        <w:rPr>
          <w:rFonts w:ascii="Tahoma" w:hAnsi="Tahoma" w:cs="Tahoma"/>
          <w:i/>
          <w:i/>
          <w:sz w:val="20"/>
          <w:szCs w:val="20"/>
        </w:rPr>
      </w:pPr>
      <w:r>
        <w:rPr>
          <w:rFonts w:cs="Tahoma" w:ascii="Tahoma" w:hAnsi="Tahoma"/>
          <w:i/>
          <w:sz w:val="20"/>
          <w:szCs w:val="20"/>
        </w:rPr>
      </w:r>
    </w:p>
    <w:p>
      <w:pPr>
        <w:pStyle w:val="Normal"/>
        <w:spacing w:before="1" w:after="200"/>
        <w:ind w:left="117" w:right="117" w:hanging="0"/>
        <w:jc w:val="both"/>
        <w:rPr>
          <w:rFonts w:ascii="Tahoma" w:hAnsi="Tahoma" w:cs="Tahoma"/>
          <w:sz w:val="20"/>
          <w:szCs w:val="20"/>
        </w:rPr>
      </w:pPr>
      <w:r>
        <w:rPr>
          <w:rFonts w:cs="Tahoma" w:ascii="Tahoma" w:hAnsi="Tahoma"/>
          <w:sz w:val="20"/>
          <w:szCs w:val="20"/>
        </w:rPr>
        <w:t>Con ocasión de lo anterior, consulto también sobre los avances de dicha gestión al estar directamente vinculada con la necesidad de fortalecer competencias de las personas servidoras judiciales que atienden los procesos vinculados con las personas indígenas</w:t>
      </w:r>
      <w:r>
        <w:rPr>
          <w:rFonts w:cs="Tahoma" w:ascii="Tahoma" w:hAnsi="Tahoma"/>
          <w:spacing w:val="-13"/>
          <w:sz w:val="20"/>
          <w:szCs w:val="20"/>
        </w:rPr>
        <w:t xml:space="preserve"> </w:t>
      </w:r>
      <w:r>
        <w:rPr>
          <w:rFonts w:cs="Tahoma" w:ascii="Tahoma" w:hAnsi="Tahoma"/>
          <w:sz w:val="20"/>
          <w:szCs w:val="20"/>
        </w:rPr>
        <w:t>beneficiarias</w:t>
      </w:r>
      <w:r>
        <w:rPr>
          <w:rFonts w:cs="Tahoma" w:ascii="Tahoma" w:hAnsi="Tahoma"/>
          <w:spacing w:val="-13"/>
          <w:sz w:val="20"/>
          <w:szCs w:val="20"/>
        </w:rPr>
        <w:t xml:space="preserve"> </w:t>
      </w:r>
      <w:r>
        <w:rPr>
          <w:rFonts w:cs="Tahoma" w:ascii="Tahoma" w:hAnsi="Tahoma"/>
          <w:sz w:val="20"/>
          <w:szCs w:val="20"/>
        </w:rPr>
        <w:t>de</w:t>
      </w:r>
      <w:r>
        <w:rPr>
          <w:rFonts w:cs="Tahoma" w:ascii="Tahoma" w:hAnsi="Tahoma"/>
          <w:spacing w:val="-10"/>
          <w:sz w:val="20"/>
          <w:szCs w:val="20"/>
        </w:rPr>
        <w:t xml:space="preserve"> </w:t>
      </w:r>
      <w:r>
        <w:rPr>
          <w:rFonts w:cs="Tahoma" w:ascii="Tahoma" w:hAnsi="Tahoma"/>
          <w:sz w:val="20"/>
          <w:szCs w:val="20"/>
        </w:rPr>
        <w:t>las</w:t>
      </w:r>
      <w:r>
        <w:rPr>
          <w:rFonts w:cs="Tahoma" w:ascii="Tahoma" w:hAnsi="Tahoma"/>
          <w:spacing w:val="-10"/>
          <w:sz w:val="20"/>
          <w:szCs w:val="20"/>
        </w:rPr>
        <w:t xml:space="preserve"> </w:t>
      </w:r>
      <w:r>
        <w:rPr>
          <w:rFonts w:cs="Tahoma" w:ascii="Tahoma" w:hAnsi="Tahoma"/>
          <w:sz w:val="20"/>
          <w:szCs w:val="20"/>
        </w:rPr>
        <w:t>Medidas</w:t>
      </w:r>
      <w:r>
        <w:rPr>
          <w:rFonts w:cs="Tahoma" w:ascii="Tahoma" w:hAnsi="Tahoma"/>
          <w:spacing w:val="-10"/>
          <w:sz w:val="20"/>
          <w:szCs w:val="20"/>
        </w:rPr>
        <w:t xml:space="preserve"> </w:t>
      </w:r>
      <w:r>
        <w:rPr>
          <w:rFonts w:cs="Tahoma" w:ascii="Tahoma" w:hAnsi="Tahoma"/>
          <w:sz w:val="20"/>
          <w:szCs w:val="20"/>
        </w:rPr>
        <w:t>Cautelares</w:t>
      </w:r>
      <w:r>
        <w:rPr>
          <w:rFonts w:cs="Tahoma" w:ascii="Tahoma" w:hAnsi="Tahoma"/>
          <w:spacing w:val="-11"/>
          <w:sz w:val="20"/>
          <w:szCs w:val="20"/>
        </w:rPr>
        <w:t xml:space="preserve"> </w:t>
      </w:r>
      <w:r>
        <w:rPr>
          <w:rFonts w:cs="Tahoma" w:ascii="Tahoma" w:hAnsi="Tahoma"/>
          <w:sz w:val="20"/>
          <w:szCs w:val="20"/>
        </w:rPr>
        <w:t>321-12</w:t>
      </w:r>
      <w:r>
        <w:rPr>
          <w:rFonts w:cs="Tahoma" w:ascii="Tahoma" w:hAnsi="Tahoma"/>
          <w:spacing w:val="-10"/>
          <w:sz w:val="20"/>
          <w:szCs w:val="20"/>
        </w:rPr>
        <w:t xml:space="preserve"> </w:t>
      </w:r>
      <w:r>
        <w:rPr>
          <w:rFonts w:cs="Tahoma" w:ascii="Tahoma" w:hAnsi="Tahoma"/>
          <w:sz w:val="20"/>
          <w:szCs w:val="20"/>
        </w:rPr>
        <w:t>de</w:t>
      </w:r>
      <w:r>
        <w:rPr>
          <w:rFonts w:cs="Tahoma" w:ascii="Tahoma" w:hAnsi="Tahoma"/>
          <w:spacing w:val="-10"/>
          <w:sz w:val="20"/>
          <w:szCs w:val="20"/>
        </w:rPr>
        <w:t xml:space="preserve"> </w:t>
      </w:r>
      <w:r>
        <w:rPr>
          <w:rFonts w:cs="Tahoma" w:ascii="Tahoma" w:hAnsi="Tahoma"/>
          <w:sz w:val="20"/>
          <w:szCs w:val="20"/>
        </w:rPr>
        <w:t>la</w:t>
      </w:r>
      <w:r>
        <w:rPr>
          <w:rFonts w:cs="Tahoma" w:ascii="Tahoma" w:hAnsi="Tahoma"/>
          <w:spacing w:val="-9"/>
          <w:sz w:val="20"/>
          <w:szCs w:val="20"/>
        </w:rPr>
        <w:t xml:space="preserve"> </w:t>
      </w:r>
      <w:r>
        <w:rPr>
          <w:rFonts w:cs="Tahoma" w:ascii="Tahoma" w:hAnsi="Tahoma"/>
          <w:sz w:val="20"/>
          <w:szCs w:val="20"/>
        </w:rPr>
        <w:t>CIDH</w:t>
      </w:r>
      <w:r>
        <w:rPr>
          <w:rFonts w:cs="Tahoma" w:ascii="Tahoma" w:hAnsi="Tahoma"/>
          <w:spacing w:val="-12"/>
          <w:sz w:val="20"/>
          <w:szCs w:val="20"/>
        </w:rPr>
        <w:t xml:space="preserve"> </w:t>
      </w:r>
      <w:r>
        <w:rPr>
          <w:rFonts w:cs="Tahoma" w:ascii="Tahoma" w:hAnsi="Tahoma"/>
          <w:sz w:val="20"/>
          <w:szCs w:val="20"/>
        </w:rPr>
        <w:t>contra</w:t>
      </w:r>
      <w:r>
        <w:rPr>
          <w:rFonts w:cs="Tahoma" w:ascii="Tahoma" w:hAnsi="Tahoma"/>
          <w:spacing w:val="-10"/>
          <w:sz w:val="20"/>
          <w:szCs w:val="20"/>
        </w:rPr>
        <w:t xml:space="preserve"> </w:t>
      </w:r>
      <w:r>
        <w:rPr>
          <w:rFonts w:cs="Tahoma" w:ascii="Tahoma" w:hAnsi="Tahoma"/>
          <w:sz w:val="20"/>
          <w:szCs w:val="20"/>
        </w:rPr>
        <w:t>el</w:t>
      </w:r>
      <w:r>
        <w:rPr>
          <w:rFonts w:cs="Tahoma" w:ascii="Tahoma" w:hAnsi="Tahoma"/>
          <w:spacing w:val="-11"/>
          <w:sz w:val="20"/>
          <w:szCs w:val="20"/>
        </w:rPr>
        <w:t xml:space="preserve"> </w:t>
      </w:r>
      <w:r>
        <w:rPr>
          <w:rFonts w:cs="Tahoma" w:ascii="Tahoma" w:hAnsi="Tahoma"/>
          <w:sz w:val="20"/>
          <w:szCs w:val="20"/>
        </w:rPr>
        <w:t>Estado, con el objetivo de que esa atención sea</w:t>
      </w:r>
      <w:r>
        <w:rPr>
          <w:rFonts w:cs="Tahoma" w:ascii="Tahoma" w:hAnsi="Tahoma"/>
          <w:spacing w:val="-7"/>
          <w:sz w:val="20"/>
          <w:szCs w:val="20"/>
        </w:rPr>
        <w:t xml:space="preserve"> </w:t>
      </w:r>
      <w:r>
        <w:rPr>
          <w:rFonts w:cs="Tahoma" w:ascii="Tahoma" w:hAnsi="Tahoma"/>
          <w:sz w:val="20"/>
          <w:szCs w:val="20"/>
        </w:rPr>
        <w:t>idónea.</w:t>
      </w:r>
    </w:p>
    <w:p>
      <w:pPr>
        <w:pStyle w:val="Normal"/>
        <w:ind w:left="117" w:right="118" w:hanging="0"/>
        <w:jc w:val="both"/>
        <w:rPr>
          <w:rFonts w:ascii="Tahoma" w:hAnsi="Tahoma" w:cs="Tahoma"/>
          <w:sz w:val="20"/>
          <w:szCs w:val="20"/>
        </w:rPr>
      </w:pPr>
      <w:r>
        <w:rPr>
          <w:rFonts w:cs="Tahoma" w:ascii="Tahoma" w:hAnsi="Tahoma"/>
          <w:sz w:val="20"/>
          <w:szCs w:val="20"/>
        </w:rPr>
        <w:t>Finalmente, aprovecho para consultar los avances sobre las gestiones planteadas por el</w:t>
      </w:r>
      <w:r>
        <w:rPr>
          <w:rFonts w:cs="Tahoma" w:ascii="Tahoma" w:hAnsi="Tahoma"/>
          <w:spacing w:val="-11"/>
          <w:sz w:val="20"/>
          <w:szCs w:val="20"/>
        </w:rPr>
        <w:t xml:space="preserve"> </w:t>
      </w:r>
      <w:r>
        <w:rPr>
          <w:rFonts w:cs="Tahoma" w:ascii="Tahoma" w:hAnsi="Tahoma"/>
          <w:sz w:val="20"/>
          <w:szCs w:val="20"/>
        </w:rPr>
        <w:t>pueblo</w:t>
      </w:r>
      <w:r>
        <w:rPr>
          <w:rFonts w:cs="Tahoma" w:ascii="Tahoma" w:hAnsi="Tahoma"/>
          <w:spacing w:val="-9"/>
          <w:sz w:val="20"/>
          <w:szCs w:val="20"/>
        </w:rPr>
        <w:t xml:space="preserve"> </w:t>
      </w:r>
      <w:r>
        <w:rPr>
          <w:rFonts w:cs="Tahoma" w:ascii="Tahoma" w:hAnsi="Tahoma"/>
          <w:sz w:val="20"/>
          <w:szCs w:val="20"/>
        </w:rPr>
        <w:t>indígena</w:t>
      </w:r>
      <w:r>
        <w:rPr>
          <w:rFonts w:cs="Tahoma" w:ascii="Tahoma" w:hAnsi="Tahoma"/>
          <w:spacing w:val="-8"/>
          <w:sz w:val="20"/>
          <w:szCs w:val="20"/>
        </w:rPr>
        <w:t xml:space="preserve"> </w:t>
      </w:r>
      <w:r>
        <w:rPr>
          <w:rFonts w:cs="Tahoma" w:ascii="Tahoma" w:hAnsi="Tahoma"/>
          <w:sz w:val="20"/>
          <w:szCs w:val="20"/>
        </w:rPr>
        <w:t>Malecu</w:t>
      </w:r>
      <w:r>
        <w:rPr>
          <w:rFonts w:cs="Tahoma" w:ascii="Tahoma" w:hAnsi="Tahoma"/>
          <w:spacing w:val="-6"/>
          <w:sz w:val="20"/>
          <w:szCs w:val="20"/>
        </w:rPr>
        <w:t xml:space="preserve"> </w:t>
      </w:r>
      <w:r>
        <w:rPr>
          <w:rFonts w:cs="Tahoma" w:ascii="Tahoma" w:hAnsi="Tahoma"/>
          <w:sz w:val="20"/>
          <w:szCs w:val="20"/>
        </w:rPr>
        <w:t>durante</w:t>
      </w:r>
      <w:r>
        <w:rPr>
          <w:rFonts w:cs="Tahoma" w:ascii="Tahoma" w:hAnsi="Tahoma"/>
          <w:spacing w:val="-8"/>
          <w:sz w:val="20"/>
          <w:szCs w:val="20"/>
        </w:rPr>
        <w:t xml:space="preserve"> </w:t>
      </w:r>
      <w:r>
        <w:rPr>
          <w:rFonts w:cs="Tahoma" w:ascii="Tahoma" w:hAnsi="Tahoma"/>
          <w:sz w:val="20"/>
          <w:szCs w:val="20"/>
        </w:rPr>
        <w:t>la</w:t>
      </w:r>
      <w:r>
        <w:rPr>
          <w:rFonts w:cs="Tahoma" w:ascii="Tahoma" w:hAnsi="Tahoma"/>
          <w:spacing w:val="-9"/>
          <w:sz w:val="20"/>
          <w:szCs w:val="20"/>
        </w:rPr>
        <w:t xml:space="preserve"> </w:t>
      </w:r>
      <w:r>
        <w:rPr>
          <w:rFonts w:cs="Tahoma" w:ascii="Tahoma" w:hAnsi="Tahoma"/>
          <w:sz w:val="20"/>
          <w:szCs w:val="20"/>
        </w:rPr>
        <w:t>audiencia</w:t>
      </w:r>
      <w:r>
        <w:rPr>
          <w:rFonts w:cs="Tahoma" w:ascii="Tahoma" w:hAnsi="Tahoma"/>
          <w:spacing w:val="-9"/>
          <w:sz w:val="20"/>
          <w:szCs w:val="20"/>
        </w:rPr>
        <w:t xml:space="preserve"> </w:t>
      </w:r>
      <w:r>
        <w:rPr>
          <w:rFonts w:cs="Tahoma" w:ascii="Tahoma" w:hAnsi="Tahoma"/>
          <w:sz w:val="20"/>
          <w:szCs w:val="20"/>
        </w:rPr>
        <w:t>que</w:t>
      </w:r>
      <w:r>
        <w:rPr>
          <w:rFonts w:cs="Tahoma" w:ascii="Tahoma" w:hAnsi="Tahoma"/>
          <w:spacing w:val="-9"/>
          <w:sz w:val="20"/>
          <w:szCs w:val="20"/>
        </w:rPr>
        <w:t xml:space="preserve"> </w:t>
      </w:r>
      <w:r>
        <w:rPr>
          <w:rFonts w:cs="Tahoma" w:ascii="Tahoma" w:hAnsi="Tahoma"/>
          <w:sz w:val="20"/>
          <w:szCs w:val="20"/>
        </w:rPr>
        <w:t>se</w:t>
      </w:r>
      <w:r>
        <w:rPr>
          <w:rFonts w:cs="Tahoma" w:ascii="Tahoma" w:hAnsi="Tahoma"/>
          <w:spacing w:val="-8"/>
          <w:sz w:val="20"/>
          <w:szCs w:val="20"/>
        </w:rPr>
        <w:t xml:space="preserve"> </w:t>
      </w:r>
      <w:r>
        <w:rPr>
          <w:rFonts w:cs="Tahoma" w:ascii="Tahoma" w:hAnsi="Tahoma"/>
          <w:sz w:val="20"/>
          <w:szCs w:val="20"/>
        </w:rPr>
        <w:t>les</w:t>
      </w:r>
      <w:r>
        <w:rPr>
          <w:rFonts w:cs="Tahoma" w:ascii="Tahoma" w:hAnsi="Tahoma"/>
          <w:spacing w:val="-9"/>
          <w:sz w:val="20"/>
          <w:szCs w:val="20"/>
        </w:rPr>
        <w:t xml:space="preserve"> </w:t>
      </w:r>
      <w:r>
        <w:rPr>
          <w:rFonts w:cs="Tahoma" w:ascii="Tahoma" w:hAnsi="Tahoma"/>
          <w:sz w:val="20"/>
          <w:szCs w:val="20"/>
        </w:rPr>
        <w:t>confirió</w:t>
      </w:r>
      <w:r>
        <w:rPr>
          <w:rFonts w:cs="Tahoma" w:ascii="Tahoma" w:hAnsi="Tahoma"/>
          <w:spacing w:val="-8"/>
          <w:sz w:val="20"/>
          <w:szCs w:val="20"/>
        </w:rPr>
        <w:t xml:space="preserve"> </w:t>
      </w:r>
      <w:r>
        <w:rPr>
          <w:rFonts w:cs="Tahoma" w:ascii="Tahoma" w:hAnsi="Tahoma"/>
          <w:sz w:val="20"/>
          <w:szCs w:val="20"/>
        </w:rPr>
        <w:t>en</w:t>
      </w:r>
      <w:r>
        <w:rPr>
          <w:rFonts w:cs="Tahoma" w:ascii="Tahoma" w:hAnsi="Tahoma"/>
          <w:spacing w:val="-8"/>
          <w:sz w:val="20"/>
          <w:szCs w:val="20"/>
        </w:rPr>
        <w:t xml:space="preserve"> </w:t>
      </w:r>
      <w:r>
        <w:rPr>
          <w:rFonts w:cs="Tahoma" w:ascii="Tahoma" w:hAnsi="Tahoma"/>
          <w:sz w:val="20"/>
          <w:szCs w:val="20"/>
        </w:rPr>
        <w:t>la</w:t>
      </w:r>
      <w:r>
        <w:rPr>
          <w:rFonts w:cs="Tahoma" w:ascii="Tahoma" w:hAnsi="Tahoma"/>
          <w:spacing w:val="-5"/>
          <w:sz w:val="20"/>
          <w:szCs w:val="20"/>
        </w:rPr>
        <w:t xml:space="preserve"> </w:t>
      </w:r>
      <w:r>
        <w:rPr>
          <w:rFonts w:cs="Tahoma" w:ascii="Tahoma" w:hAnsi="Tahoma"/>
          <w:sz w:val="20"/>
          <w:szCs w:val="20"/>
        </w:rPr>
        <w:t>visita</w:t>
      </w:r>
      <w:r>
        <w:rPr>
          <w:rFonts w:cs="Tahoma" w:ascii="Tahoma" w:hAnsi="Tahoma"/>
          <w:spacing w:val="-9"/>
          <w:sz w:val="20"/>
          <w:szCs w:val="20"/>
        </w:rPr>
        <w:t xml:space="preserve"> </w:t>
      </w:r>
      <w:r>
        <w:rPr>
          <w:rFonts w:cs="Tahoma" w:ascii="Tahoma" w:hAnsi="Tahoma"/>
          <w:sz w:val="20"/>
          <w:szCs w:val="20"/>
        </w:rPr>
        <w:t>realizada por la Presidencia de la Corte Suprema de Justicia e integrantes de Corte Plena, Consejo Superior y jerarcas de algunas oficinas administrativas a la actividad de Inauguración del Edificio de Los Chiles, la cual les fuera remitida oportunamente. La idea</w:t>
      </w:r>
      <w:r>
        <w:rPr>
          <w:rFonts w:cs="Tahoma" w:ascii="Tahoma" w:hAnsi="Tahoma"/>
          <w:spacing w:val="-6"/>
          <w:sz w:val="20"/>
          <w:szCs w:val="20"/>
        </w:rPr>
        <w:t xml:space="preserve"> </w:t>
      </w:r>
      <w:r>
        <w:rPr>
          <w:rFonts w:cs="Tahoma" w:ascii="Tahoma" w:hAnsi="Tahoma"/>
          <w:sz w:val="20"/>
          <w:szCs w:val="20"/>
        </w:rPr>
        <w:t>es</w:t>
      </w:r>
      <w:r>
        <w:rPr>
          <w:rFonts w:cs="Tahoma" w:ascii="Tahoma" w:hAnsi="Tahoma"/>
          <w:spacing w:val="-3"/>
          <w:sz w:val="20"/>
          <w:szCs w:val="20"/>
        </w:rPr>
        <w:t xml:space="preserve"> </w:t>
      </w:r>
      <w:r>
        <w:rPr>
          <w:rFonts w:cs="Tahoma" w:ascii="Tahoma" w:hAnsi="Tahoma"/>
          <w:sz w:val="20"/>
          <w:szCs w:val="20"/>
        </w:rPr>
        <w:t>poder</w:t>
      </w:r>
      <w:r>
        <w:rPr>
          <w:rFonts w:cs="Tahoma" w:ascii="Tahoma" w:hAnsi="Tahoma"/>
          <w:spacing w:val="-7"/>
          <w:sz w:val="20"/>
          <w:szCs w:val="20"/>
        </w:rPr>
        <w:t xml:space="preserve"> </w:t>
      </w:r>
      <w:r>
        <w:rPr>
          <w:rFonts w:cs="Tahoma" w:ascii="Tahoma" w:hAnsi="Tahoma"/>
          <w:sz w:val="20"/>
          <w:szCs w:val="20"/>
        </w:rPr>
        <w:t>dar</w:t>
      </w:r>
      <w:r>
        <w:rPr>
          <w:rFonts w:cs="Tahoma" w:ascii="Tahoma" w:hAnsi="Tahoma"/>
          <w:spacing w:val="-6"/>
          <w:sz w:val="20"/>
          <w:szCs w:val="20"/>
        </w:rPr>
        <w:t xml:space="preserve"> </w:t>
      </w:r>
      <w:r>
        <w:rPr>
          <w:rFonts w:cs="Tahoma" w:ascii="Tahoma" w:hAnsi="Tahoma"/>
          <w:sz w:val="20"/>
          <w:szCs w:val="20"/>
        </w:rPr>
        <w:t>una</w:t>
      </w:r>
      <w:r>
        <w:rPr>
          <w:rFonts w:cs="Tahoma" w:ascii="Tahoma" w:hAnsi="Tahoma"/>
          <w:spacing w:val="-7"/>
          <w:sz w:val="20"/>
          <w:szCs w:val="20"/>
        </w:rPr>
        <w:t xml:space="preserve"> </w:t>
      </w:r>
      <w:r>
        <w:rPr>
          <w:rFonts w:cs="Tahoma" w:ascii="Tahoma" w:hAnsi="Tahoma"/>
          <w:sz w:val="20"/>
          <w:szCs w:val="20"/>
        </w:rPr>
        <w:t>respuesta</w:t>
      </w:r>
      <w:r>
        <w:rPr>
          <w:rFonts w:cs="Tahoma" w:ascii="Tahoma" w:hAnsi="Tahoma"/>
          <w:spacing w:val="-6"/>
          <w:sz w:val="20"/>
          <w:szCs w:val="20"/>
        </w:rPr>
        <w:t xml:space="preserve"> </w:t>
      </w:r>
      <w:r>
        <w:rPr>
          <w:rFonts w:cs="Tahoma" w:ascii="Tahoma" w:hAnsi="Tahoma"/>
          <w:sz w:val="20"/>
          <w:szCs w:val="20"/>
        </w:rPr>
        <w:t>a</w:t>
      </w:r>
      <w:r>
        <w:rPr>
          <w:rFonts w:cs="Tahoma" w:ascii="Tahoma" w:hAnsi="Tahoma"/>
          <w:spacing w:val="-3"/>
          <w:sz w:val="20"/>
          <w:szCs w:val="20"/>
        </w:rPr>
        <w:t xml:space="preserve"> </w:t>
      </w:r>
      <w:r>
        <w:rPr>
          <w:rFonts w:cs="Tahoma" w:ascii="Tahoma" w:hAnsi="Tahoma"/>
          <w:sz w:val="20"/>
          <w:szCs w:val="20"/>
        </w:rPr>
        <w:t>las</w:t>
      </w:r>
      <w:r>
        <w:rPr>
          <w:rFonts w:cs="Tahoma" w:ascii="Tahoma" w:hAnsi="Tahoma"/>
          <w:spacing w:val="-5"/>
          <w:sz w:val="20"/>
          <w:szCs w:val="20"/>
        </w:rPr>
        <w:t xml:space="preserve"> </w:t>
      </w:r>
      <w:r>
        <w:rPr>
          <w:rFonts w:cs="Tahoma" w:ascii="Tahoma" w:hAnsi="Tahoma"/>
          <w:sz w:val="20"/>
          <w:szCs w:val="20"/>
        </w:rPr>
        <w:t>personas</w:t>
      </w:r>
      <w:r>
        <w:rPr>
          <w:rFonts w:cs="Tahoma" w:ascii="Tahoma" w:hAnsi="Tahoma"/>
          <w:spacing w:val="-4"/>
          <w:sz w:val="20"/>
          <w:szCs w:val="20"/>
        </w:rPr>
        <w:t xml:space="preserve"> </w:t>
      </w:r>
      <w:r>
        <w:rPr>
          <w:rFonts w:cs="Tahoma" w:ascii="Tahoma" w:hAnsi="Tahoma"/>
          <w:sz w:val="20"/>
          <w:szCs w:val="20"/>
        </w:rPr>
        <w:t>indígenas</w:t>
      </w:r>
      <w:r>
        <w:rPr>
          <w:rFonts w:cs="Tahoma" w:ascii="Tahoma" w:hAnsi="Tahoma"/>
          <w:spacing w:val="-3"/>
          <w:sz w:val="20"/>
          <w:szCs w:val="20"/>
        </w:rPr>
        <w:t xml:space="preserve"> </w:t>
      </w:r>
      <w:r>
        <w:rPr>
          <w:rFonts w:cs="Tahoma" w:ascii="Tahoma" w:hAnsi="Tahoma"/>
          <w:sz w:val="20"/>
          <w:szCs w:val="20"/>
        </w:rPr>
        <w:t>Malecu</w:t>
      </w:r>
      <w:r>
        <w:rPr>
          <w:rFonts w:cs="Tahoma" w:ascii="Tahoma" w:hAnsi="Tahoma"/>
          <w:spacing w:val="-6"/>
          <w:sz w:val="20"/>
          <w:szCs w:val="20"/>
        </w:rPr>
        <w:t xml:space="preserve"> </w:t>
      </w:r>
      <w:r>
        <w:rPr>
          <w:rFonts w:cs="Tahoma" w:ascii="Tahoma" w:hAnsi="Tahoma"/>
          <w:sz w:val="20"/>
          <w:szCs w:val="20"/>
        </w:rPr>
        <w:t>en</w:t>
      </w:r>
      <w:r>
        <w:rPr>
          <w:rFonts w:cs="Tahoma" w:ascii="Tahoma" w:hAnsi="Tahoma"/>
          <w:spacing w:val="-3"/>
          <w:sz w:val="20"/>
          <w:szCs w:val="20"/>
        </w:rPr>
        <w:t xml:space="preserve"> </w:t>
      </w:r>
      <w:r>
        <w:rPr>
          <w:rFonts w:cs="Tahoma" w:ascii="Tahoma" w:hAnsi="Tahoma"/>
          <w:sz w:val="20"/>
          <w:szCs w:val="20"/>
        </w:rPr>
        <w:t>la</w:t>
      </w:r>
      <w:r>
        <w:rPr>
          <w:rFonts w:cs="Tahoma" w:ascii="Tahoma" w:hAnsi="Tahoma"/>
          <w:spacing w:val="-4"/>
          <w:sz w:val="20"/>
          <w:szCs w:val="20"/>
        </w:rPr>
        <w:t xml:space="preserve"> </w:t>
      </w:r>
      <w:r>
        <w:rPr>
          <w:rFonts w:cs="Tahoma" w:ascii="Tahoma" w:hAnsi="Tahoma"/>
          <w:sz w:val="20"/>
          <w:szCs w:val="20"/>
        </w:rPr>
        <w:t>visita</w:t>
      </w:r>
      <w:r>
        <w:rPr>
          <w:rFonts w:cs="Tahoma" w:ascii="Tahoma" w:hAnsi="Tahoma"/>
          <w:spacing w:val="-4"/>
          <w:sz w:val="20"/>
          <w:szCs w:val="20"/>
        </w:rPr>
        <w:t xml:space="preserve"> </w:t>
      </w:r>
      <w:r>
        <w:rPr>
          <w:rFonts w:cs="Tahoma" w:ascii="Tahoma" w:hAnsi="Tahoma"/>
          <w:sz w:val="20"/>
          <w:szCs w:val="20"/>
        </w:rPr>
        <w:t>que</w:t>
      </w:r>
      <w:r>
        <w:rPr>
          <w:rFonts w:cs="Tahoma" w:ascii="Tahoma" w:hAnsi="Tahoma"/>
          <w:spacing w:val="-5"/>
          <w:sz w:val="20"/>
          <w:szCs w:val="20"/>
        </w:rPr>
        <w:t xml:space="preserve"> </w:t>
      </w:r>
      <w:r>
        <w:rPr>
          <w:rFonts w:cs="Tahoma" w:ascii="Tahoma" w:hAnsi="Tahoma"/>
          <w:sz w:val="20"/>
          <w:szCs w:val="20"/>
        </w:rPr>
        <w:t>está programando la Comisión de Acceso a la Justicia y la</w:t>
      </w:r>
      <w:r>
        <w:rPr>
          <w:rFonts w:cs="Tahoma" w:ascii="Tahoma" w:hAnsi="Tahoma"/>
          <w:spacing w:val="-7"/>
          <w:sz w:val="20"/>
          <w:szCs w:val="20"/>
        </w:rPr>
        <w:t xml:space="preserve"> </w:t>
      </w:r>
      <w:r>
        <w:rPr>
          <w:rFonts w:cs="Tahoma" w:ascii="Tahoma" w:hAnsi="Tahoma"/>
          <w:sz w:val="20"/>
          <w:szCs w:val="20"/>
        </w:rPr>
        <w:t>Subcomisión.</w:t>
      </w:r>
    </w:p>
    <w:p>
      <w:pPr>
        <w:pStyle w:val="Normal"/>
        <w:jc w:val="both"/>
        <w:rPr>
          <w:rFonts w:ascii="Tahoma" w:hAnsi="Tahoma" w:cs="Tahoma"/>
          <w:sz w:val="20"/>
          <w:szCs w:val="20"/>
        </w:rPr>
      </w:pPr>
      <w:r>
        <w:rPr>
          <w:rFonts w:cs="Tahoma" w:ascii="Tahoma" w:hAnsi="Tahoma"/>
          <w:sz w:val="20"/>
          <w:szCs w:val="20"/>
        </w:rPr>
      </w:r>
    </w:p>
    <w:p>
      <w:pPr>
        <w:pStyle w:val="Normal"/>
        <w:spacing w:before="92" w:after="200"/>
        <w:ind w:left="117" w:right="118" w:hanging="0"/>
        <w:jc w:val="both"/>
        <w:rPr>
          <w:rFonts w:ascii="Tahoma" w:hAnsi="Tahoma" w:cs="Tahoma"/>
          <w:sz w:val="20"/>
          <w:szCs w:val="20"/>
        </w:rPr>
      </w:pPr>
      <w:r>
        <w:rPr>
          <w:rFonts w:cs="Tahoma" w:ascii="Tahoma" w:hAnsi="Tahoma"/>
          <w:sz w:val="20"/>
          <w:szCs w:val="20"/>
        </w:rPr>
        <w:t>Sin más por el momento, me pongo a su disposición en lo que este a mi alcance para la articulación y coordinación de acciones, enmarcadas en las funciones asignadas a la Subcomisión de Acceso a la Justicia de Pueblos Indígenas y agradezco la colaboración brindada.</w:t>
      </w:r>
    </w:p>
    <w:p>
      <w:pPr>
        <w:pStyle w:val="Normal"/>
        <w:spacing w:lineRule="auto" w:line="415" w:before="199" w:after="200"/>
        <w:ind w:left="117" w:right="5461" w:hanging="0"/>
        <w:jc w:val="both"/>
        <w:rPr>
          <w:rFonts w:ascii="Tahoma" w:hAnsi="Tahoma" w:cs="Tahoma"/>
          <w:sz w:val="20"/>
          <w:szCs w:val="20"/>
        </w:rPr>
      </w:pPr>
      <w:r>
        <w:rPr>
          <w:rFonts w:cs="Tahoma" w:ascii="Tahoma" w:hAnsi="Tahoma"/>
          <w:sz w:val="20"/>
          <w:szCs w:val="20"/>
        </w:rPr>
        <w:t>Se adjuntan documentos de</w:t>
      </w:r>
      <w:r>
        <w:rPr>
          <w:rFonts w:cs="Tahoma" w:ascii="Tahoma" w:hAnsi="Tahoma"/>
          <w:spacing w:val="-14"/>
          <w:sz w:val="20"/>
          <w:szCs w:val="20"/>
        </w:rPr>
        <w:t xml:space="preserve"> </w:t>
      </w:r>
      <w:r>
        <w:rPr>
          <w:rFonts w:cs="Tahoma" w:ascii="Tahoma" w:hAnsi="Tahoma"/>
          <w:sz w:val="20"/>
          <w:szCs w:val="20"/>
        </w:rPr>
        <w:t>interés. Atentamente,</w:t>
      </w:r>
    </w:p>
    <w:p>
      <w:pPr>
        <w:pStyle w:val="Cuerpodetexto"/>
        <w:rPr>
          <w:rFonts w:ascii="Tahoma" w:hAnsi="Tahoma" w:cs="Tahoma"/>
          <w:i/>
          <w:i/>
          <w:sz w:val="20"/>
          <w:szCs w:val="20"/>
        </w:rPr>
      </w:pPr>
      <w:r>
        <w:rPr>
          <w:rFonts w:cs="Tahoma" w:ascii="Tahoma" w:hAnsi="Tahoma"/>
          <w:i/>
          <w:sz w:val="20"/>
          <w:szCs w:val="20"/>
        </w:rPr>
      </w:r>
    </w:p>
    <w:p>
      <w:pPr>
        <w:pStyle w:val="Normal"/>
        <w:spacing w:before="175" w:after="200"/>
        <w:ind w:right="6" w:hanging="0"/>
        <w:jc w:val="center"/>
        <w:rPr>
          <w:rFonts w:ascii="Tahoma" w:hAnsi="Tahoma" w:cs="Tahoma"/>
          <w:b/>
          <w:b/>
          <w:i/>
          <w:i/>
          <w:sz w:val="20"/>
          <w:szCs w:val="20"/>
        </w:rPr>
      </w:pPr>
      <w:r>
        <w:rPr>
          <w:rFonts w:cs="Tahoma" w:ascii="Tahoma" w:hAnsi="Tahoma"/>
          <w:b/>
          <w:i/>
          <w:sz w:val="20"/>
          <w:szCs w:val="20"/>
        </w:rPr>
        <w:t>Damaris Vargas Vásquez</w:t>
      </w:r>
    </w:p>
    <w:p>
      <w:pPr>
        <w:pStyle w:val="Normal"/>
        <w:spacing w:lineRule="auto" w:line="410" w:before="202" w:after="200"/>
        <w:ind w:left="690" w:right="699" w:hanging="0"/>
        <w:jc w:val="center"/>
        <w:rPr>
          <w:rFonts w:ascii="Tahoma" w:hAnsi="Tahoma" w:cs="Tahoma"/>
          <w:b/>
          <w:b/>
          <w:i/>
          <w:i/>
          <w:sz w:val="20"/>
          <w:szCs w:val="20"/>
        </w:rPr>
      </w:pPr>
      <w:r>
        <w:rPr>
          <w:rFonts w:cs="Tahoma" w:ascii="Tahoma" w:hAnsi="Tahoma"/>
          <w:b/>
          <w:i/>
          <w:sz w:val="20"/>
          <w:szCs w:val="20"/>
        </w:rPr>
        <w:t>Coordinadora Subcomisión Acceso a la Justicia de Pueblos Indígenas Magistrada Sala Primera de la Corte Suprema de Justicia</w:t>
      </w:r>
    </w:p>
    <w:p>
      <w:pPr>
        <w:pStyle w:val="Normal"/>
        <w:spacing w:before="1" w:after="200"/>
        <w:ind w:right="4" w:hanging="0"/>
        <w:jc w:val="center"/>
        <w:rPr>
          <w:rFonts w:ascii="Tahoma" w:hAnsi="Tahoma" w:cs="Tahoma"/>
          <w:b/>
          <w:b/>
          <w:i/>
          <w:i/>
          <w:sz w:val="20"/>
          <w:szCs w:val="20"/>
        </w:rPr>
      </w:pPr>
      <w:r>
        <w:rPr>
          <w:rFonts w:cs="Tahoma" w:ascii="Tahoma" w:hAnsi="Tahoma"/>
          <w:b/>
          <w:i/>
          <w:sz w:val="20"/>
          <w:szCs w:val="20"/>
        </w:rPr>
        <w:t>Poder Judicial</w:t>
      </w:r>
    </w:p>
    <w:p>
      <w:pPr>
        <w:pStyle w:val="Cuerpodetexto"/>
        <w:rPr>
          <w:rFonts w:ascii="Tahoma" w:hAnsi="Tahoma" w:cs="Tahoma"/>
          <w:b/>
          <w:b/>
          <w:sz w:val="20"/>
          <w:szCs w:val="20"/>
        </w:rPr>
      </w:pPr>
      <w:r>
        <w:rPr>
          <w:rFonts w:cs="Tahoma" w:ascii="Tahoma" w:hAnsi="Tahoma"/>
          <w:b/>
          <w:sz w:val="20"/>
          <w:szCs w:val="20"/>
        </w:rPr>
      </w:r>
    </w:p>
    <w:p>
      <w:pPr>
        <w:pStyle w:val="Cuerpodetexto"/>
        <w:spacing w:before="11" w:after="0"/>
        <w:rPr>
          <w:rFonts w:ascii="Tahoma" w:hAnsi="Tahoma" w:cs="Tahoma"/>
          <w:b/>
          <w:b/>
          <w:sz w:val="20"/>
          <w:szCs w:val="20"/>
        </w:rPr>
      </w:pPr>
      <w:r>
        <w:rPr>
          <w:rFonts w:cs="Tahoma" w:ascii="Tahoma" w:hAnsi="Tahoma"/>
          <w:b/>
          <w:sz w:val="20"/>
          <w:szCs w:val="20"/>
        </w:rPr>
      </w:r>
    </w:p>
    <w:p>
      <w:pPr>
        <w:pStyle w:val="Normal"/>
        <w:ind w:left="117" w:hanging="0"/>
        <w:rPr>
          <w:rFonts w:ascii="Tahoma" w:hAnsi="Tahoma" w:cs="Tahoma"/>
          <w:i/>
          <w:i/>
          <w:sz w:val="20"/>
          <w:szCs w:val="20"/>
        </w:rPr>
      </w:pPr>
      <w:r>
        <w:rPr>
          <w:rFonts w:cs="Tahoma" w:ascii="Tahoma" w:hAnsi="Tahoma"/>
          <w:i/>
          <w:sz w:val="20"/>
          <w:szCs w:val="20"/>
        </w:rPr>
        <w:t>Copias:</w:t>
      </w:r>
    </w:p>
    <w:p>
      <w:pPr>
        <w:pStyle w:val="Cuerpodetexto"/>
        <w:spacing w:before="4" w:after="0"/>
        <w:rPr>
          <w:rFonts w:ascii="Tahoma" w:hAnsi="Tahoma" w:cs="Tahoma"/>
          <w:sz w:val="20"/>
          <w:szCs w:val="20"/>
        </w:rPr>
      </w:pPr>
      <w:r>
        <w:rPr>
          <w:rFonts w:cs="Tahoma" w:ascii="Tahoma" w:hAnsi="Tahoma"/>
          <w:sz w:val="20"/>
          <w:szCs w:val="20"/>
        </w:rPr>
      </w:r>
    </w:p>
    <w:p>
      <w:pPr>
        <w:pStyle w:val="Normal"/>
        <w:spacing w:lineRule="auto" w:line="499" w:before="1" w:after="200"/>
        <w:ind w:left="117" w:right="6517" w:hanging="0"/>
        <w:rPr>
          <w:rFonts w:ascii="Tahoma" w:hAnsi="Tahoma" w:cs="Tahoma"/>
          <w:i/>
          <w:i/>
          <w:sz w:val="20"/>
          <w:szCs w:val="20"/>
        </w:rPr>
      </w:pPr>
      <w:r>
        <w:rPr>
          <w:rFonts w:cs="Tahoma" w:ascii="Tahoma" w:hAnsi="Tahoma"/>
          <w:i/>
          <w:sz w:val="20"/>
          <w:szCs w:val="20"/>
        </w:rPr>
        <w:t>Presidencia Corte Suprema de Justicia Despacho de la Presidencia</w:t>
      </w:r>
    </w:p>
    <w:p>
      <w:pPr>
        <w:sectPr>
          <w:headerReference w:type="default" r:id="rId26"/>
          <w:footnotePr>
            <w:numFmt w:val="decimal"/>
          </w:footnotePr>
          <w:type w:val="nextPage"/>
          <w:pgSz w:w="12240" w:h="15840"/>
          <w:pgMar w:left="1640" w:right="1180" w:header="574" w:top="1560" w:footer="0" w:bottom="280" w:gutter="0"/>
          <w:pgNumType w:fmt="decimal"/>
          <w:formProt w:val="false"/>
          <w:textDirection w:val="lrTb"/>
          <w:docGrid w:type="default" w:linePitch="100" w:charSpace="4096"/>
        </w:sectPr>
        <w:pStyle w:val="Normal"/>
        <w:spacing w:lineRule="exact" w:line="183"/>
        <w:ind w:left="117" w:hanging="0"/>
        <w:rPr>
          <w:rFonts w:ascii="Tahoma" w:hAnsi="Tahoma" w:cs="Tahoma"/>
          <w:i/>
          <w:i/>
          <w:sz w:val="20"/>
          <w:szCs w:val="20"/>
        </w:rPr>
      </w:pPr>
      <w:r>
        <w:rPr>
          <w:rFonts w:cs="Tahoma" w:ascii="Tahoma" w:hAnsi="Tahoma"/>
          <w:i/>
          <w:sz w:val="20"/>
          <w:szCs w:val="20"/>
        </w:rPr>
        <w:t>Comisión de Acceso a la Justicia</w:t>
      </w:r>
    </w:p>
    <w:p>
      <w:pPr>
        <w:pStyle w:val="Cuerpodetexto"/>
        <w:rPr>
          <w:rFonts w:ascii="Tahoma" w:hAnsi="Tahoma" w:cs="Tahoma"/>
          <w:i/>
          <w:i/>
          <w:sz w:val="20"/>
          <w:szCs w:val="20"/>
        </w:rPr>
      </w:pPr>
      <w:r>
        <w:rPr>
          <w:rFonts w:cs="Tahoma" w:ascii="Tahoma" w:hAnsi="Tahoma"/>
          <w:i/>
          <w:sz w:val="20"/>
          <w:szCs w:val="20"/>
        </w:rPr>
      </w:r>
    </w:p>
    <w:p>
      <w:pPr>
        <w:pStyle w:val="Cuerpodetexto"/>
        <w:rPr>
          <w:rFonts w:ascii="Tahoma" w:hAnsi="Tahoma" w:cs="Tahoma"/>
          <w:i/>
          <w:i/>
          <w:sz w:val="20"/>
          <w:szCs w:val="20"/>
        </w:rPr>
      </w:pPr>
      <w:r>
        <w:rPr>
          <w:rFonts w:cs="Tahoma" w:ascii="Tahoma" w:hAnsi="Tahoma"/>
          <w:i/>
          <w:sz w:val="20"/>
          <w:szCs w:val="20"/>
        </w:rPr>
      </w:r>
    </w:p>
    <w:p>
      <w:pPr>
        <w:pStyle w:val="Cuerpodetexto"/>
        <w:jc w:val="center"/>
        <w:rPr>
          <w:rFonts w:ascii="Tahoma" w:hAnsi="Tahoma" w:cs="Tahoma"/>
          <w:sz w:val="20"/>
          <w:szCs w:val="20"/>
        </w:rPr>
      </w:pPr>
      <w:r>
        <w:rPr>
          <w:rFonts w:cs="Tahoma" w:ascii="Tahoma" w:hAnsi="Tahoma"/>
          <w:sz w:val="20"/>
          <w:szCs w:val="20"/>
        </w:rPr>
        <w:t>-0-</w:t>
      </w:r>
    </w:p>
    <w:p>
      <w:pPr>
        <w:pStyle w:val="Cuerpodetexto"/>
        <w:rPr>
          <w:rFonts w:ascii="Tahoma" w:hAnsi="Tahoma" w:cs="Tahoma"/>
          <w:sz w:val="20"/>
          <w:szCs w:val="20"/>
        </w:rPr>
      </w:pPr>
      <w:r>
        <w:rPr>
          <w:rFonts w:cs="Tahoma" w:ascii="Tahoma" w:hAnsi="Tahoma"/>
          <w:sz w:val="20"/>
          <w:szCs w:val="20"/>
        </w:rPr>
      </w:r>
    </w:p>
    <w:p>
      <w:pPr>
        <w:pStyle w:val="Normal"/>
        <w:rPr>
          <w:rFonts w:ascii="Tahoma" w:hAnsi="Tahoma" w:cs="Tahoma"/>
          <w:b/>
          <w:b/>
          <w:i/>
          <w:i/>
          <w:sz w:val="20"/>
          <w:szCs w:val="20"/>
          <w:lang w:val="es-ES"/>
        </w:rPr>
      </w:pPr>
      <w:r>
        <w:rPr>
          <w:rFonts w:cs="Tahoma" w:ascii="Tahoma" w:hAnsi="Tahoma"/>
          <w:b/>
          <w:i/>
          <w:sz w:val="20"/>
          <w:szCs w:val="20"/>
          <w:lang w:val="es-ES"/>
        </w:rPr>
      </w:r>
    </w:p>
    <w:p>
      <w:pPr>
        <w:pStyle w:val="Normal"/>
        <w:shd w:val="clear" w:color="auto" w:fill="FFFF00"/>
        <w:jc w:val="center"/>
        <w:rPr>
          <w:rFonts w:ascii="Tahoma" w:hAnsi="Tahoma" w:cs="Tahoma"/>
          <w:b/>
          <w:b/>
          <w:i/>
          <w:i/>
          <w:sz w:val="20"/>
          <w:szCs w:val="20"/>
          <w:lang w:val="es-ES"/>
        </w:rPr>
      </w:pPr>
      <w:r>
        <w:rPr>
          <w:rFonts w:cs="Tahoma" w:ascii="Tahoma" w:hAnsi="Tahoma"/>
          <w:b/>
          <w:i/>
          <w:sz w:val="20"/>
          <w:szCs w:val="20"/>
          <w:highlight w:val="yellow"/>
          <w:lang w:val="es-ES"/>
        </w:rPr>
        <w:t>Informes de la Escuela Judicial</w:t>
      </w:r>
    </w:p>
    <w:p>
      <w:pPr>
        <w:pStyle w:val="Normal"/>
        <w:spacing w:lineRule="auto" w:line="240" w:before="0" w:after="0"/>
        <w:ind w:right="-518" w:hanging="0"/>
        <w:rPr>
          <w:rFonts w:ascii="Tahoma" w:hAnsi="Tahoma" w:cs="Tahoma"/>
          <w:sz w:val="20"/>
          <w:szCs w:val="20"/>
        </w:rPr>
      </w:pPr>
      <w:r>
        <w:rPr>
          <w:rFonts w:cs="Tahoma" w:ascii="Tahoma" w:hAnsi="Tahoma"/>
          <w:b/>
          <w:sz w:val="20"/>
          <w:szCs w:val="20"/>
        </w:rPr>
        <w:t>EJ-DIR-026-2020</w:t>
      </w:r>
    </w:p>
    <w:p>
      <w:pPr>
        <w:pStyle w:val="Sinespaciado2"/>
        <w:ind w:right="27" w:hanging="0"/>
        <w:rPr>
          <w:rFonts w:ascii="Tahoma" w:hAnsi="Tahoma" w:cs="Tahoma"/>
          <w:bCs/>
          <w:sz w:val="20"/>
          <w:szCs w:val="20"/>
        </w:rPr>
      </w:pPr>
      <w:r>
        <w:rPr>
          <w:rFonts w:cs="Tahoma" w:ascii="Tahoma" w:hAnsi="Tahoma"/>
          <w:bCs/>
          <w:sz w:val="20"/>
          <w:szCs w:val="20"/>
        </w:rPr>
        <w:t>27 de febrero de 2020</w:t>
      </w:r>
    </w:p>
    <w:p>
      <w:pPr>
        <w:pStyle w:val="Sinespaciado2"/>
        <w:ind w:left="7200" w:right="27" w:firstLine="720"/>
        <w:rPr>
          <w:rFonts w:ascii="Tahoma" w:hAnsi="Tahoma" w:cs="Tahoma"/>
          <w:bCs/>
          <w:sz w:val="20"/>
          <w:szCs w:val="20"/>
        </w:rPr>
      </w:pPr>
      <w:r>
        <w:rPr>
          <w:rFonts w:cs="Tahoma" w:ascii="Tahoma" w:hAnsi="Tahoma"/>
          <w:bCs/>
          <w:sz w:val="20"/>
          <w:szCs w:val="20"/>
        </w:rPr>
      </w:r>
    </w:p>
    <w:p>
      <w:pPr>
        <w:pStyle w:val="Sinespaciado2"/>
        <w:ind w:left="7200" w:right="27" w:firstLine="720"/>
        <w:rPr>
          <w:rFonts w:ascii="Tahoma" w:hAnsi="Tahoma" w:cs="Tahoma"/>
          <w:bCs/>
          <w:sz w:val="20"/>
          <w:szCs w:val="20"/>
        </w:rPr>
      </w:pPr>
      <w:r>
        <w:rPr>
          <w:rFonts w:cs="Tahoma" w:ascii="Tahoma" w:hAnsi="Tahoma"/>
          <w:bCs/>
          <w:sz w:val="20"/>
          <w:szCs w:val="20"/>
        </w:rPr>
      </w:r>
    </w:p>
    <w:p>
      <w:pPr>
        <w:pStyle w:val="Cuerpodetexto"/>
        <w:rPr>
          <w:rFonts w:ascii="Tahoma" w:hAnsi="Tahoma" w:cs="Tahoma"/>
          <w:sz w:val="20"/>
          <w:szCs w:val="20"/>
        </w:rPr>
      </w:pPr>
      <w:r>
        <w:rPr>
          <w:rStyle w:val="EnlacedeInternet"/>
          <w:rFonts w:cs="Tahoma" w:ascii="Tahoma" w:hAnsi="Tahoma"/>
          <w:sz w:val="20"/>
          <w:szCs w:val="20"/>
        </w:rPr>
        <w:t>Señora</w:t>
      </w:r>
    </w:p>
    <w:p>
      <w:pPr>
        <w:pStyle w:val="Cuerpodetexto"/>
        <w:rPr>
          <w:rFonts w:ascii="Tahoma" w:hAnsi="Tahoma" w:cs="Tahoma"/>
          <w:sz w:val="20"/>
          <w:szCs w:val="20"/>
        </w:rPr>
      </w:pPr>
      <w:r>
        <w:rPr>
          <w:rStyle w:val="EnlacedeInternet"/>
          <w:rFonts w:cs="Tahoma" w:ascii="Tahoma" w:hAnsi="Tahoma"/>
          <w:sz w:val="20"/>
          <w:szCs w:val="20"/>
        </w:rPr>
        <w:t>Damaris Vargas V</w:t>
      </w:r>
      <w:r>
        <w:rPr>
          <w:rFonts w:cs="Tahoma" w:ascii="Tahoma" w:hAnsi="Tahoma"/>
          <w:sz w:val="20"/>
          <w:szCs w:val="20"/>
        </w:rPr>
        <w:t xml:space="preserve">ásquez </w:t>
      </w:r>
    </w:p>
    <w:p>
      <w:pPr>
        <w:pStyle w:val="Cuerpodetexto"/>
        <w:rPr>
          <w:rFonts w:ascii="Tahoma" w:hAnsi="Tahoma" w:cs="Tahoma"/>
          <w:sz w:val="20"/>
          <w:szCs w:val="20"/>
        </w:rPr>
      </w:pPr>
      <w:r>
        <w:rPr>
          <w:rFonts w:cs="Tahoma" w:ascii="Tahoma" w:hAnsi="Tahoma"/>
          <w:sz w:val="20"/>
          <w:szCs w:val="20"/>
        </w:rPr>
        <w:t xml:space="preserve">Coordinadora Subcomisión Acceso a la Justicia de Pueblos Indígenas </w:t>
      </w:r>
    </w:p>
    <w:p>
      <w:pPr>
        <w:pStyle w:val="Cuerpodetexto"/>
        <w:rPr>
          <w:rFonts w:ascii="Tahoma" w:hAnsi="Tahoma" w:cs="Tahoma"/>
          <w:sz w:val="20"/>
          <w:szCs w:val="20"/>
        </w:rPr>
      </w:pPr>
      <w:r>
        <w:rPr>
          <w:rFonts w:cs="Tahoma" w:ascii="Tahoma" w:hAnsi="Tahoma"/>
          <w:sz w:val="20"/>
          <w:szCs w:val="20"/>
        </w:rPr>
        <w:t xml:space="preserve">Magistrada Sala Primera de la Corte Suprema de Justicia </w:t>
      </w:r>
    </w:p>
    <w:p>
      <w:pPr>
        <w:pStyle w:val="Cuerpodetexto"/>
        <w:rPr>
          <w:rFonts w:ascii="Tahoma" w:hAnsi="Tahoma" w:cs="Tahoma"/>
          <w:sz w:val="20"/>
          <w:szCs w:val="20"/>
        </w:rPr>
      </w:pPr>
      <w:r>
        <w:rPr>
          <w:rFonts w:cs="Tahoma" w:ascii="Tahoma" w:hAnsi="Tahoma"/>
          <w:sz w:val="20"/>
          <w:szCs w:val="20"/>
        </w:rPr>
        <w:t xml:space="preserve">Poder Judicial </w:t>
      </w:r>
    </w:p>
    <w:p>
      <w:pPr>
        <w:pStyle w:val="Normal"/>
        <w:spacing w:lineRule="auto" w:line="240" w:before="0" w:after="0"/>
        <w:ind w:right="-518" w:hanging="0"/>
        <w:jc w:val="both"/>
        <w:rPr>
          <w:rFonts w:ascii="Tahoma" w:hAnsi="Tahoma" w:cs="Tahoma"/>
          <w:sz w:val="20"/>
          <w:szCs w:val="20"/>
        </w:rPr>
      </w:pPr>
      <w:r>
        <w:rPr>
          <w:rFonts w:cs="Tahoma" w:ascii="Tahoma" w:hAnsi="Tahoma"/>
          <w:sz w:val="20"/>
          <w:szCs w:val="20"/>
        </w:rPr>
      </w:r>
    </w:p>
    <w:p>
      <w:pPr>
        <w:pStyle w:val="Normal"/>
        <w:spacing w:lineRule="auto" w:line="240" w:before="0" w:after="0"/>
        <w:ind w:right="27" w:hanging="0"/>
        <w:jc w:val="right"/>
        <w:rPr>
          <w:rFonts w:ascii="Tahoma" w:hAnsi="Tahoma" w:cs="Tahoma"/>
          <w:b/>
          <w:b/>
          <w:sz w:val="20"/>
          <w:szCs w:val="20"/>
          <w:lang w:val="es-ES"/>
        </w:rPr>
      </w:pPr>
      <w:r>
        <w:rPr>
          <w:rFonts w:cs="Tahoma" w:ascii="Tahoma" w:hAnsi="Tahoma"/>
          <w:b/>
          <w:sz w:val="20"/>
          <w:szCs w:val="20"/>
        </w:rPr>
        <w:t>Asunto:</w:t>
      </w:r>
      <w:r>
        <w:rPr>
          <w:rFonts w:cs="Tahoma" w:ascii="Tahoma" w:hAnsi="Tahoma"/>
          <w:sz w:val="20"/>
          <w:szCs w:val="20"/>
        </w:rPr>
        <w:t xml:space="preserve"> </w:t>
      </w:r>
      <w:r>
        <w:rPr>
          <w:rFonts w:cs="Tahoma" w:ascii="Tahoma" w:hAnsi="Tahoma"/>
          <w:b/>
          <w:bCs/>
          <w:sz w:val="20"/>
          <w:szCs w:val="20"/>
        </w:rPr>
        <w:t xml:space="preserve">Respuesta a oficio DVV-S1-018-2020 y otros, </w:t>
      </w:r>
      <w:r>
        <w:rPr>
          <w:rFonts w:cs="Tahoma" w:ascii="Tahoma" w:hAnsi="Tahoma"/>
          <w:b/>
          <w:sz w:val="20"/>
          <w:szCs w:val="20"/>
          <w:lang w:val="es-ES"/>
        </w:rPr>
        <w:t>sobre capacitaciones</w:t>
      </w:r>
    </w:p>
    <w:p>
      <w:pPr>
        <w:pStyle w:val="Normal"/>
        <w:spacing w:lineRule="auto" w:line="240" w:before="0" w:after="0"/>
        <w:ind w:right="27" w:hanging="0"/>
        <w:jc w:val="right"/>
        <w:rPr>
          <w:rFonts w:ascii="Tahoma" w:hAnsi="Tahoma" w:cs="Tahoma"/>
          <w:sz w:val="20"/>
          <w:szCs w:val="20"/>
        </w:rPr>
      </w:pPr>
      <w:r>
        <w:rPr>
          <w:rFonts w:cs="Tahoma" w:ascii="Tahoma" w:hAnsi="Tahoma"/>
          <w:b/>
          <w:sz w:val="20"/>
          <w:szCs w:val="20"/>
          <w:lang w:val="es-ES"/>
        </w:rPr>
        <w:t xml:space="preserve"> </w:t>
      </w:r>
      <w:r>
        <w:rPr>
          <w:rFonts w:cs="Tahoma" w:ascii="Tahoma" w:hAnsi="Tahoma"/>
          <w:b/>
          <w:sz w:val="20"/>
          <w:szCs w:val="20"/>
          <w:lang w:val="es-ES"/>
        </w:rPr>
        <w:t>en materia de Acceso a la Justicia para pueblos indígenas</w:t>
      </w:r>
      <w:r>
        <w:rPr>
          <w:rFonts w:cs="Tahoma" w:ascii="Tahoma" w:hAnsi="Tahoma"/>
          <w:sz w:val="20"/>
          <w:szCs w:val="20"/>
        </w:rPr>
        <w:t>.</w:t>
      </w:r>
    </w:p>
    <w:p>
      <w:pPr>
        <w:pStyle w:val="Normal"/>
        <w:spacing w:lineRule="auto" w:line="240" w:before="0" w:after="0"/>
        <w:ind w:right="27" w:hanging="0"/>
        <w:jc w:val="right"/>
        <w:rPr>
          <w:rFonts w:ascii="Tahoma" w:hAnsi="Tahoma" w:cs="Tahoma"/>
          <w:sz w:val="20"/>
          <w:szCs w:val="20"/>
        </w:rPr>
      </w:pPr>
      <w:r>
        <w:rPr>
          <w:rFonts w:cs="Tahoma" w:ascii="Tahoma" w:hAnsi="Tahoma"/>
          <w:sz w:val="20"/>
          <w:szCs w:val="20"/>
        </w:rPr>
      </w:r>
    </w:p>
    <w:p>
      <w:pPr>
        <w:pStyle w:val="Sinespaciado2"/>
        <w:ind w:right="-510" w:hanging="0"/>
        <w:rPr>
          <w:rFonts w:ascii="Tahoma" w:hAnsi="Tahoma" w:cs="Tahoma"/>
          <w:bCs/>
          <w:sz w:val="20"/>
          <w:szCs w:val="20"/>
        </w:rPr>
      </w:pPr>
      <w:r>
        <w:rPr>
          <w:rFonts w:cs="Tahoma" w:ascii="Tahoma" w:hAnsi="Tahoma"/>
          <w:bCs/>
          <w:sz w:val="20"/>
          <w:szCs w:val="20"/>
          <w:lang w:val="es-ES"/>
        </w:rPr>
        <w:t>Estimada señora:</w:t>
        <w:tab/>
      </w:r>
    </w:p>
    <w:p>
      <w:pPr>
        <w:pStyle w:val="Sinespaciado2"/>
        <w:jc w:val="both"/>
        <w:rPr>
          <w:rFonts w:ascii="Tahoma" w:hAnsi="Tahoma" w:cs="Tahoma"/>
          <w:sz w:val="20"/>
          <w:szCs w:val="20"/>
        </w:rPr>
      </w:pPr>
      <w:r>
        <w:rPr>
          <w:rFonts w:cs="Tahoma" w:ascii="Tahoma" w:hAnsi="Tahoma"/>
          <w:sz w:val="20"/>
          <w:szCs w:val="20"/>
        </w:rPr>
      </w:r>
    </w:p>
    <w:p>
      <w:pPr>
        <w:pStyle w:val="Sinespaciado2"/>
        <w:jc w:val="both"/>
        <w:rPr>
          <w:rFonts w:ascii="Tahoma" w:hAnsi="Tahoma" w:cs="Tahoma"/>
          <w:sz w:val="20"/>
          <w:szCs w:val="20"/>
        </w:rPr>
      </w:pPr>
      <w:r>
        <w:rPr>
          <w:rFonts w:cs="Tahoma" w:ascii="Tahoma" w:hAnsi="Tahoma"/>
          <w:sz w:val="20"/>
          <w:szCs w:val="20"/>
          <w:lang w:val="es-ES"/>
        </w:rPr>
        <w:t xml:space="preserve">Reciba un cordial saludo. </w:t>
      </w:r>
    </w:p>
    <w:p>
      <w:pPr>
        <w:pStyle w:val="Normal"/>
        <w:spacing w:lineRule="auto" w:line="240" w:beforeAutospacing="1" w:after="0"/>
        <w:jc w:val="both"/>
        <w:rPr>
          <w:rFonts w:ascii="Tahoma" w:hAnsi="Tahoma" w:cs="Tahoma"/>
          <w:i/>
          <w:i/>
          <w:sz w:val="20"/>
          <w:szCs w:val="20"/>
          <w:lang w:val="es-ES"/>
        </w:rPr>
      </w:pPr>
      <w:r>
        <w:rPr>
          <w:rFonts w:cs="Tahoma" w:ascii="Tahoma" w:hAnsi="Tahoma"/>
          <w:sz w:val="20"/>
          <w:szCs w:val="20"/>
          <w:lang w:val="es-ES"/>
        </w:rPr>
        <w:t xml:space="preserve">En respuesta a su oficio número </w:t>
      </w:r>
      <w:r>
        <w:rPr>
          <w:rFonts w:cs="Tahoma" w:ascii="Tahoma" w:hAnsi="Tahoma"/>
          <w:b/>
          <w:bCs/>
          <w:sz w:val="20"/>
          <w:szCs w:val="20"/>
          <w:lang w:val="es-ES"/>
        </w:rPr>
        <w:t>DVV-S1-018-2020</w:t>
      </w:r>
      <w:r>
        <w:rPr>
          <w:rFonts w:cs="Tahoma" w:ascii="Tahoma" w:hAnsi="Tahoma"/>
          <w:sz w:val="20"/>
          <w:szCs w:val="20"/>
          <w:lang w:val="es-ES"/>
        </w:rPr>
        <w:t xml:space="preserve">, de fecha 26 de febrero del presente año, en el que se solicita que la Escuela Judicial brinde un informe de avance del cumplimiento de la Circular 188-19, denominada </w:t>
      </w:r>
      <w:r>
        <w:rPr>
          <w:rFonts w:cs="Tahoma" w:ascii="Tahoma" w:hAnsi="Tahoma"/>
          <w:i/>
          <w:sz w:val="20"/>
          <w:szCs w:val="20"/>
          <w:lang w:val="es-ES"/>
        </w:rPr>
        <w:t xml:space="preserve">“20 ejes de acción, recomendados por la Comisión de Acceso a la Justicia, con ocasión del cumplimiento de las Medidas Cautelares N° 321-12 del 30 de abril de 2015, establecidas por la Comisión Interamericana de Derechos Humanos (CIDH) contra Costa Rica”. </w:t>
      </w:r>
    </w:p>
    <w:p>
      <w:pPr>
        <w:pStyle w:val="Normal"/>
        <w:spacing w:lineRule="auto" w:line="240" w:beforeAutospacing="1" w:after="0"/>
        <w:jc w:val="both"/>
        <w:rPr>
          <w:rFonts w:ascii="Tahoma" w:hAnsi="Tahoma" w:cs="Tahoma"/>
          <w:sz w:val="20"/>
          <w:szCs w:val="20"/>
        </w:rPr>
      </w:pPr>
      <w:r>
        <w:rPr>
          <w:rFonts w:cs="Tahoma" w:ascii="Tahoma" w:hAnsi="Tahoma"/>
          <w:iCs/>
          <w:sz w:val="20"/>
          <w:szCs w:val="20"/>
          <w:lang w:val="es-ES"/>
        </w:rPr>
        <w:t>Además, de los oficios</w:t>
      </w:r>
      <w:r>
        <w:rPr>
          <w:rFonts w:cs="Tahoma" w:ascii="Tahoma" w:hAnsi="Tahoma"/>
          <w:i/>
          <w:sz w:val="20"/>
          <w:szCs w:val="20"/>
          <w:lang w:val="es-ES"/>
        </w:rPr>
        <w:t xml:space="preserve"> </w:t>
      </w:r>
      <w:r>
        <w:rPr>
          <w:rFonts w:cs="Tahoma" w:ascii="Tahoma" w:hAnsi="Tahoma"/>
          <w:b/>
          <w:bCs/>
          <w:sz w:val="20"/>
          <w:szCs w:val="20"/>
        </w:rPr>
        <w:t>n°. CACC-290-2019</w:t>
      </w:r>
      <w:r>
        <w:rPr>
          <w:rFonts w:cs="Tahoma" w:ascii="Tahoma" w:hAnsi="Tahoma"/>
          <w:sz w:val="20"/>
          <w:szCs w:val="20"/>
        </w:rPr>
        <w:t xml:space="preserve">, del 19 de septiembre de 2019; n°. </w:t>
      </w:r>
      <w:r>
        <w:rPr>
          <w:rFonts w:cs="Tahoma" w:ascii="Tahoma" w:hAnsi="Tahoma"/>
          <w:b/>
          <w:bCs/>
          <w:sz w:val="20"/>
          <w:szCs w:val="20"/>
        </w:rPr>
        <w:t>CACC-358-2019</w:t>
      </w:r>
      <w:r>
        <w:rPr>
          <w:rFonts w:cs="Tahoma" w:ascii="Tahoma" w:hAnsi="Tahoma"/>
          <w:sz w:val="20"/>
          <w:szCs w:val="20"/>
        </w:rPr>
        <w:t xml:space="preserve">, del 21 de octubre de 2019;  n°. </w:t>
      </w:r>
      <w:r>
        <w:rPr>
          <w:rFonts w:cs="Tahoma" w:ascii="Tahoma" w:hAnsi="Tahoma"/>
          <w:b/>
          <w:bCs/>
          <w:sz w:val="20"/>
          <w:szCs w:val="20"/>
        </w:rPr>
        <w:t>CACC-359-2019</w:t>
      </w:r>
      <w:r>
        <w:rPr>
          <w:rFonts w:cs="Tahoma" w:ascii="Tahoma" w:hAnsi="Tahoma"/>
          <w:sz w:val="20"/>
          <w:szCs w:val="20"/>
        </w:rPr>
        <w:t xml:space="preserve">, del 21 de octubre de 2019;  n°. </w:t>
      </w:r>
      <w:r>
        <w:rPr>
          <w:rFonts w:cs="Tahoma" w:ascii="Tahoma" w:hAnsi="Tahoma"/>
          <w:b/>
          <w:bCs/>
          <w:sz w:val="20"/>
          <w:szCs w:val="20"/>
        </w:rPr>
        <w:t>CACC-36-2020</w:t>
      </w:r>
      <w:r>
        <w:rPr>
          <w:rFonts w:cs="Tahoma" w:ascii="Tahoma" w:hAnsi="Tahoma"/>
          <w:sz w:val="20"/>
          <w:szCs w:val="20"/>
        </w:rPr>
        <w:t xml:space="preserve">, del 22 de enero de 2020;  n°. </w:t>
      </w:r>
      <w:r>
        <w:rPr>
          <w:rFonts w:cs="Tahoma" w:ascii="Tahoma" w:hAnsi="Tahoma"/>
          <w:b/>
          <w:bCs/>
          <w:sz w:val="20"/>
          <w:szCs w:val="20"/>
        </w:rPr>
        <w:t>5991-19</w:t>
      </w:r>
      <w:r>
        <w:rPr>
          <w:rFonts w:cs="Tahoma" w:ascii="Tahoma" w:hAnsi="Tahoma"/>
          <w:sz w:val="20"/>
          <w:szCs w:val="20"/>
        </w:rPr>
        <w:t xml:space="preserve">, del 14 de junio de 2019, en donde se transcribe el acuerdo tomado por la Corte Plena, en la sesión n°. 20-19 del 27 de mayo del 2019, ARTÍCULO XIX;  n°. </w:t>
      </w:r>
      <w:r>
        <w:rPr>
          <w:rFonts w:cs="Tahoma" w:ascii="Tahoma" w:hAnsi="Tahoma"/>
          <w:b/>
          <w:bCs/>
          <w:sz w:val="20"/>
          <w:szCs w:val="20"/>
        </w:rPr>
        <w:t>6418-19</w:t>
      </w:r>
      <w:r>
        <w:rPr>
          <w:rFonts w:cs="Tahoma" w:ascii="Tahoma" w:hAnsi="Tahoma"/>
          <w:sz w:val="20"/>
          <w:szCs w:val="20"/>
        </w:rPr>
        <w:t xml:space="preserve">, del 26 de junio de 2019, en que se transcribe el acuerdo tomado por la Corte Plena, en la sesión n°. 25-19 del 24 de junio del año 2019, ARTÍCULO II.  </w:t>
      </w:r>
    </w:p>
    <w:p>
      <w:pPr>
        <w:pStyle w:val="Normal"/>
        <w:spacing w:lineRule="auto" w:line="240" w:beforeAutospacing="1" w:after="0"/>
        <w:jc w:val="both"/>
        <w:rPr>
          <w:rFonts w:ascii="Tahoma" w:hAnsi="Tahoma" w:cs="Tahoma"/>
          <w:sz w:val="20"/>
          <w:szCs w:val="20"/>
        </w:rPr>
      </w:pPr>
      <w:r>
        <w:rPr>
          <w:rFonts w:cs="Tahoma" w:ascii="Tahoma" w:hAnsi="Tahoma"/>
          <w:sz w:val="20"/>
          <w:szCs w:val="20"/>
        </w:rPr>
      </w:r>
    </w:p>
    <w:p>
      <w:pPr>
        <w:pStyle w:val="Normal"/>
        <w:spacing w:lineRule="auto" w:line="240" w:beforeAutospacing="1" w:after="0"/>
        <w:jc w:val="both"/>
        <w:rPr>
          <w:rFonts w:ascii="Tahoma" w:hAnsi="Tahoma" w:cs="Tahoma"/>
          <w:sz w:val="20"/>
          <w:szCs w:val="20"/>
          <w:lang w:val="es-ES"/>
        </w:rPr>
      </w:pPr>
      <w:r>
        <w:rPr>
          <w:rFonts w:cs="Tahoma" w:ascii="Tahoma" w:hAnsi="Tahoma"/>
          <w:sz w:val="20"/>
          <w:szCs w:val="20"/>
        </w:rPr>
        <w:t xml:space="preserve">Con respecto a los anteriores, </w:t>
      </w:r>
      <w:r>
        <w:rPr>
          <w:rFonts w:cs="Tahoma" w:ascii="Tahoma" w:hAnsi="Tahoma"/>
          <w:iCs/>
          <w:sz w:val="20"/>
          <w:szCs w:val="20"/>
          <w:lang w:val="es-ES"/>
        </w:rPr>
        <w:t xml:space="preserve">se adjunta el informe número </w:t>
      </w:r>
      <w:r>
        <w:rPr>
          <w:rFonts w:cs="Tahoma" w:ascii="Tahoma" w:hAnsi="Tahoma"/>
          <w:b/>
          <w:bCs/>
          <w:iCs/>
          <w:sz w:val="20"/>
          <w:szCs w:val="20"/>
          <w:lang w:val="es-ES"/>
        </w:rPr>
        <w:t>EJ-INF- 001-2020</w:t>
      </w:r>
      <w:r>
        <w:rPr>
          <w:rFonts w:cs="Tahoma" w:ascii="Tahoma" w:hAnsi="Tahoma"/>
          <w:iCs/>
          <w:sz w:val="20"/>
          <w:szCs w:val="20"/>
          <w:lang w:val="es-ES"/>
        </w:rPr>
        <w:t xml:space="preserve"> de la Escuela Judicial, junto con tres documentos anexos. </w:t>
      </w:r>
      <w:r>
        <w:rPr>
          <w:rFonts w:cs="Tahoma" w:ascii="Tahoma" w:hAnsi="Tahoma"/>
          <w:sz w:val="20"/>
          <w:szCs w:val="20"/>
          <w:lang w:val="es-ES"/>
        </w:rPr>
        <w:t>Recalcamos el compromiso adquirido por la Escuela Judicial en cuanto a las capacitaciones en el tema de Acceso a la Justicia para pueblos indígenas.</w:t>
      </w:r>
    </w:p>
    <w:p>
      <w:pPr>
        <w:pStyle w:val="Sinespaciado2"/>
        <w:jc w:val="both"/>
        <w:rPr>
          <w:rFonts w:ascii="Tahoma" w:hAnsi="Tahoma" w:cs="Tahoma"/>
          <w:sz w:val="20"/>
          <w:szCs w:val="20"/>
        </w:rPr>
      </w:pPr>
      <w:r>
        <w:rPr>
          <w:rFonts w:cs="Tahoma" w:ascii="Tahoma" w:hAnsi="Tahoma"/>
          <w:sz w:val="20"/>
          <w:szCs w:val="20"/>
        </w:rPr>
      </w:r>
    </w:p>
    <w:p>
      <w:pPr>
        <w:pStyle w:val="Cuerpodetexto"/>
        <w:ind w:right="-518" w:hanging="0"/>
        <w:jc w:val="both"/>
        <w:rPr>
          <w:rFonts w:ascii="Tahoma" w:hAnsi="Tahoma" w:cs="Tahoma"/>
          <w:sz w:val="20"/>
          <w:szCs w:val="20"/>
        </w:rPr>
      </w:pPr>
      <w:r>
        <w:rPr>
          <w:rFonts w:cs="Tahoma" w:ascii="Tahoma" w:hAnsi="Tahoma"/>
          <w:sz w:val="20"/>
          <w:szCs w:val="20"/>
        </w:rPr>
        <w:t xml:space="preserve">Sin otro particular, </w:t>
      </w:r>
    </w:p>
    <w:p>
      <w:pPr>
        <w:pStyle w:val="Cuerpodetexto"/>
        <w:ind w:right="-518" w:hanging="0"/>
        <w:jc w:val="both"/>
        <w:rPr>
          <w:rFonts w:ascii="Tahoma" w:hAnsi="Tahoma" w:cs="Tahoma"/>
          <w:sz w:val="20"/>
          <w:szCs w:val="20"/>
        </w:rPr>
      </w:pPr>
      <w:r>
        <w:rPr>
          <w:rFonts w:cs="Tahoma" w:ascii="Tahoma" w:hAnsi="Tahoma"/>
          <w:sz w:val="20"/>
          <w:szCs w:val="20"/>
        </w:rPr>
      </w:r>
    </w:p>
    <w:p>
      <w:pPr>
        <w:pStyle w:val="Normal"/>
        <w:spacing w:lineRule="auto" w:line="240" w:before="0" w:after="0"/>
        <w:jc w:val="center"/>
        <w:rPr>
          <w:rFonts w:ascii="Tahoma" w:hAnsi="Tahoma" w:cs="Tahoma"/>
          <w:sz w:val="20"/>
          <w:szCs w:val="20"/>
        </w:rPr>
      </w:pPr>
      <w:r>
        <w:rPr>
          <w:rFonts w:cs="Tahoma" w:ascii="Tahoma" w:hAnsi="Tahoma"/>
          <w:b/>
          <w:bCs/>
          <w:sz w:val="20"/>
          <w:szCs w:val="20"/>
        </w:rPr>
        <w:t>Licda. Rebeca Guardia Morales</w:t>
      </w:r>
    </w:p>
    <w:p>
      <w:pPr>
        <w:pStyle w:val="Normal"/>
        <w:spacing w:lineRule="auto" w:line="240" w:before="0" w:after="0"/>
        <w:jc w:val="center"/>
        <w:rPr>
          <w:rFonts w:ascii="Tahoma" w:hAnsi="Tahoma" w:eastAsia="Arial" w:cs="Tahoma"/>
          <w:color w:val="000000"/>
          <w:kern w:val="2"/>
          <w:sz w:val="20"/>
          <w:szCs w:val="20"/>
          <w:lang w:val="es-ES" w:eastAsia="ar-SA"/>
        </w:rPr>
      </w:pPr>
      <w:r>
        <w:rPr>
          <w:rFonts w:cs="Tahoma" w:ascii="Tahoma" w:hAnsi="Tahoma"/>
          <w:sz w:val="20"/>
          <w:szCs w:val="20"/>
        </w:rPr>
        <w:t xml:space="preserve">Directora a.i., </w:t>
      </w:r>
      <w:r>
        <w:rPr>
          <w:rFonts w:eastAsia="Arial" w:cs="Tahoma" w:ascii="Tahoma" w:hAnsi="Tahoma"/>
          <w:color w:val="000000"/>
          <w:kern w:val="2"/>
          <w:sz w:val="20"/>
          <w:szCs w:val="20"/>
          <w:lang w:val="es-ES" w:eastAsia="ar-SA"/>
        </w:rPr>
        <w:t>Escuela Judicial</w:t>
      </w:r>
    </w:p>
    <w:p>
      <w:pPr>
        <w:pStyle w:val="Normal"/>
        <w:spacing w:lineRule="auto" w:line="240" w:before="0" w:after="0"/>
        <w:jc w:val="center"/>
        <w:rPr>
          <w:rFonts w:ascii="Tahoma" w:hAnsi="Tahoma" w:cs="Tahoma"/>
          <w:sz w:val="20"/>
          <w:szCs w:val="20"/>
        </w:rPr>
      </w:pPr>
      <w:r>
        <w:rPr>
          <w:rFonts w:cs="Tahoma" w:ascii="Tahoma" w:hAnsi="Tahoma"/>
          <w:sz w:val="20"/>
          <w:szCs w:val="20"/>
        </w:rPr>
      </w:r>
    </w:p>
    <w:p>
      <w:pPr>
        <w:pStyle w:val="NormalWeb"/>
        <w:spacing w:before="0" w:after="0"/>
        <w:rPr>
          <w:rFonts w:ascii="Tahoma" w:hAnsi="Tahoma" w:cs="Tahoma"/>
          <w:sz w:val="20"/>
          <w:szCs w:val="20"/>
        </w:rPr>
      </w:pPr>
      <w:r>
        <w:rPr>
          <w:rFonts w:eastAsia="Arial" w:cs="Tahoma" w:ascii="Tahoma" w:hAnsi="Tahoma"/>
          <w:color w:val="000000"/>
          <w:sz w:val="20"/>
          <w:szCs w:val="20"/>
          <w:lang w:eastAsia="ar-SA"/>
        </w:rPr>
        <w:t>C. -</w:t>
      </w:r>
      <w:r>
        <w:rPr>
          <w:rFonts w:cs="Tahoma" w:ascii="Tahoma" w:hAnsi="Tahoma"/>
          <w:sz w:val="20"/>
          <w:szCs w:val="20"/>
        </w:rPr>
        <w:t>Máster Melissa Benavides Víquez, Coordinadora, Unidad de Acceso a la Justicia.</w:t>
      </w:r>
    </w:p>
    <w:p>
      <w:pPr>
        <w:pStyle w:val="NormalWeb"/>
        <w:spacing w:before="0" w:after="0"/>
        <w:rPr>
          <w:rFonts w:ascii="Tahoma" w:hAnsi="Tahoma" w:cs="Tahoma"/>
          <w:sz w:val="20"/>
          <w:szCs w:val="20"/>
        </w:rPr>
      </w:pPr>
      <w:r>
        <w:rPr>
          <w:rFonts w:cs="Tahoma" w:ascii="Tahoma" w:hAnsi="Tahoma"/>
          <w:sz w:val="20"/>
          <w:szCs w:val="20"/>
        </w:rPr>
        <w:t xml:space="preserve">    </w:t>
      </w:r>
      <w:r>
        <w:rPr>
          <w:rFonts w:cs="Tahoma" w:ascii="Tahoma" w:hAnsi="Tahoma"/>
          <w:sz w:val="20"/>
          <w:szCs w:val="20"/>
        </w:rPr>
        <w:t>-Mag. William Molinari Vílchez, presidente del Consejo Directivo de la Escuela Judicial.</w:t>
      </w:r>
    </w:p>
    <w:p>
      <w:pPr>
        <w:pStyle w:val="NormalWeb"/>
        <w:spacing w:before="0" w:after="0"/>
        <w:rPr>
          <w:rFonts w:ascii="Tahoma" w:hAnsi="Tahoma" w:cs="Tahoma"/>
          <w:sz w:val="20"/>
          <w:szCs w:val="20"/>
        </w:rPr>
      </w:pPr>
      <w:r>
        <w:rPr>
          <w:rFonts w:cs="Tahoma" w:ascii="Tahoma" w:hAnsi="Tahoma"/>
          <w:sz w:val="20"/>
          <w:szCs w:val="20"/>
        </w:rPr>
        <w:t xml:space="preserve">    </w:t>
      </w:r>
      <w:r>
        <w:rPr>
          <w:rFonts w:cs="Tahoma" w:ascii="Tahoma" w:hAnsi="Tahoma"/>
          <w:sz w:val="20"/>
          <w:szCs w:val="20"/>
        </w:rPr>
        <w:t>-Consejo Superior del Poder Judicial.</w:t>
      </w:r>
    </w:p>
    <w:p>
      <w:pPr>
        <w:pStyle w:val="Normal"/>
        <w:spacing w:lineRule="auto" w:line="240" w:before="0" w:after="0"/>
        <w:rPr>
          <w:rFonts w:ascii="Tahoma" w:hAnsi="Tahoma" w:cs="Tahoma"/>
          <w:sz w:val="20"/>
          <w:szCs w:val="20"/>
        </w:rPr>
      </w:pPr>
      <w:r>
        <w:rPr>
          <w:rFonts w:eastAsia="Arial" w:cs="Tahoma" w:ascii="Tahoma" w:hAnsi="Tahoma"/>
          <w:color w:val="000000"/>
          <w:sz w:val="20"/>
          <w:szCs w:val="20"/>
          <w:lang w:eastAsia="ar-SA"/>
        </w:rPr>
        <w:t xml:space="preserve">    </w:t>
      </w:r>
      <w:r>
        <w:rPr>
          <w:rFonts w:eastAsia="Arial" w:cs="Tahoma" w:ascii="Tahoma" w:hAnsi="Tahoma"/>
          <w:color w:val="000000"/>
          <w:sz w:val="20"/>
          <w:szCs w:val="20"/>
          <w:lang w:eastAsia="ar-SA"/>
        </w:rPr>
        <w:t>-Arch. Consec.</w:t>
      </w:r>
    </w:p>
    <w:p>
      <w:pPr>
        <w:pStyle w:val="Normal"/>
        <w:tabs>
          <w:tab w:val="clear" w:pos="708"/>
          <w:tab w:val="left" w:pos="0" w:leader="none"/>
        </w:tabs>
        <w:spacing w:lineRule="auto" w:line="240" w:before="0" w:after="0"/>
        <w:rPr>
          <w:rFonts w:ascii="Tahoma" w:hAnsi="Tahoma" w:cs="Tahoma"/>
          <w:sz w:val="20"/>
          <w:szCs w:val="20"/>
        </w:rPr>
      </w:pPr>
      <w:r>
        <w:rPr>
          <w:rFonts w:eastAsia="Arial" w:cs="Tahoma" w:ascii="Tahoma" w:hAnsi="Tahoma"/>
          <w:color w:val="000000"/>
          <w:sz w:val="20"/>
          <w:szCs w:val="20"/>
          <w:lang w:eastAsia="ar-SA"/>
        </w:rPr>
        <w:t>fam</w:t>
      </w:r>
    </w:p>
    <w:p>
      <w:pPr>
        <w:pStyle w:val="Cuerpodetexto"/>
        <w:ind w:left="8052" w:right="-518" w:hanging="0"/>
        <w:jc w:val="both"/>
        <w:rPr>
          <w:rFonts w:ascii="Tahoma" w:hAnsi="Tahoma" w:eastAsia="Arial" w:cs="Tahoma"/>
          <w:color w:val="000000"/>
          <w:sz w:val="20"/>
          <w:szCs w:val="20"/>
          <w:lang w:eastAsia="ar-SA"/>
        </w:rPr>
      </w:pPr>
      <w:r>
        <w:rPr>
          <w:rFonts w:eastAsia="Arial" w:cs="Tahoma" w:ascii="Tahoma" w:hAnsi="Tahoma"/>
          <w:color w:val="000000"/>
          <w:sz w:val="20"/>
          <w:szCs w:val="20"/>
          <w:lang w:eastAsia="ar-SA"/>
        </w:rPr>
      </w:r>
    </w:p>
    <w:p>
      <w:pPr>
        <w:pStyle w:val="Normal"/>
        <w:rPr>
          <w:rFonts w:ascii="Tahoma" w:hAnsi="Tahoma" w:cs="Tahoma"/>
          <w:b/>
          <w:b/>
          <w:i/>
          <w:i/>
          <w:sz w:val="20"/>
          <w:szCs w:val="20"/>
          <w:lang w:val="es-ES"/>
        </w:rPr>
      </w:pPr>
      <w:r>
        <w:rPr>
          <w:rFonts w:cs="Tahoma" w:ascii="Tahoma" w:hAnsi="Tahoma"/>
          <w:b/>
          <w:i/>
          <w:sz w:val="20"/>
          <w:szCs w:val="20"/>
          <w:highlight w:val="yellow"/>
          <w:lang w:val="es-ES"/>
        </w:rPr>
        <w:t>Se adjuntan los archivos pertinentes. ANEXOS.</w:t>
      </w:r>
    </w:p>
    <w:p>
      <w:pPr>
        <w:pStyle w:val="Normal"/>
        <w:rPr>
          <w:rFonts w:ascii="Tahoma" w:hAnsi="Tahoma" w:cs="Tahoma"/>
          <w:b/>
          <w:b/>
          <w:i/>
          <w:i/>
          <w:sz w:val="20"/>
          <w:szCs w:val="20"/>
          <w:lang w:val="es-ES"/>
        </w:rPr>
      </w:pPr>
      <w:r>
        <w:rPr/>
        <w:object>
          <v:shape id="ole_rId27" style="width:75.5pt;height:48pt" o:ole="">
            <v:imagedata r:id="rId28" o:title=""/>
          </v:shape>
          <o:OLEObject Type="Embed" ProgID="AcroExch.Document.DC" ShapeID="ole_rId27" DrawAspect="Icon" ObjectID="_1777776673" r:id="rId27"/>
        </w:object>
      </w:r>
      <w:bookmarkStart w:id="55" w:name="_MON_1645009108"/>
      <w:bookmarkEnd w:id="55"/>
      <w:r>
        <w:rPr/>
        <w:object>
          <v:shape id="ole_rId29" style="width:75.5pt;height:48pt" o:ole="">
            <v:imagedata r:id="rId30" o:title=""/>
          </v:shape>
          <o:OLEObject Type="Embed" ProgID="Word.Document.8" ShapeID="ole_rId29" DrawAspect="Icon" ObjectID="_2105783841" r:id="rId29"/>
        </w:object>
      </w:r>
      <w:bookmarkStart w:id="56" w:name="_MON_1645009121"/>
      <w:bookmarkEnd w:id="56"/>
      <w:r>
        <w:rPr/>
        <w:object>
          <v:shape id="ole_rId31" style="width:75.5pt;height:48pt" o:ole="">
            <v:imagedata r:id="rId32" o:title=""/>
          </v:shape>
          <o:OLEObject Type="Embed" ProgID="Word.Document.8" ShapeID="ole_rId31" DrawAspect="Icon" ObjectID="_1371432340" r:id="rId31"/>
        </w:object>
      </w:r>
      <w:bookmarkStart w:id="57" w:name="_MON_1645009134"/>
      <w:bookmarkEnd w:id="57"/>
      <w:r>
        <w:rPr/>
        <w:object>
          <v:shape id="ole_rId33" style="width:75.5pt;height:48pt" o:ole="">
            <v:imagedata r:id="rId34" o:title=""/>
          </v:shape>
          <o:OLEObject Type="Embed" ProgID="Word.Document.8" ShapeID="ole_rId33" DrawAspect="Icon" ObjectID="_1248712772" r:id="rId33"/>
        </w:object>
      </w:r>
      <w:bookmarkStart w:id="58" w:name="_MON_1645009153"/>
      <w:bookmarkEnd w:id="58"/>
      <w:r>
        <w:rPr/>
        <w:object>
          <v:shape id="ole_rId35" style="width:75.5pt;height:48pt" o:ole="">
            <v:imagedata r:id="rId36" o:title=""/>
          </v:shape>
          <o:OLEObject Type="Embed" ProgID="Word.Document.8" ShapeID="ole_rId35" DrawAspect="Icon" ObjectID="_558358365" r:id="rId35"/>
        </w:object>
      </w:r>
      <w:bookmarkStart w:id="59" w:name="_MON_1645009166"/>
      <w:bookmarkEnd w:id="59"/>
      <w:r>
        <w:rPr/>
        <w:object>
          <v:shape id="ole_rId37" style="width:75.5pt;height:48pt" o:ole="">
            <v:imagedata r:id="rId38" o:title=""/>
          </v:shape>
          <o:OLEObject Type="Embed" ProgID="Word.Document.8" ShapeID="ole_rId37" DrawAspect="Icon" ObjectID="_269367929" r:id="rId37"/>
        </w:object>
      </w:r>
    </w:p>
    <w:p>
      <w:pPr>
        <w:pStyle w:val="Cuerpodetexto"/>
        <w:rPr>
          <w:rFonts w:ascii="Tahoma" w:hAnsi="Tahoma" w:cs="Tahoma"/>
          <w:sz w:val="20"/>
          <w:szCs w:val="20"/>
        </w:rPr>
      </w:pPr>
      <w:r>
        <w:rPr>
          <w:rFonts w:cs="Tahoma" w:ascii="Tahoma" w:hAnsi="Tahoma"/>
          <w:sz w:val="20"/>
          <w:szCs w:val="20"/>
        </w:rPr>
      </w:r>
    </w:p>
    <w:p>
      <w:pPr>
        <w:pStyle w:val="Cuerpodetexto"/>
        <w:rPr>
          <w:rFonts w:ascii="Tahoma" w:hAnsi="Tahoma" w:cs="Tahoma"/>
          <w:sz w:val="20"/>
          <w:szCs w:val="20"/>
        </w:rPr>
      </w:pPr>
      <w:r>
        <w:rPr>
          <w:rFonts w:cs="Tahoma" w:ascii="Tahoma" w:hAnsi="Tahoma"/>
          <w:sz w:val="20"/>
          <w:szCs w:val="20"/>
        </w:rPr>
      </w:r>
    </w:p>
    <w:p>
      <w:pPr>
        <w:pStyle w:val="Normal"/>
        <w:spacing w:lineRule="auto" w:line="360"/>
        <w:rPr>
          <w:rFonts w:ascii="Tahoma" w:hAnsi="Tahoma" w:cs="Tahoma"/>
          <w:b/>
          <w:b/>
          <w:i/>
          <w:i/>
          <w:sz w:val="20"/>
          <w:szCs w:val="20"/>
          <w:u w:val="single"/>
        </w:rPr>
      </w:pPr>
      <w:r>
        <w:rPr>
          <w:rFonts w:cs="Tahoma" w:ascii="Tahoma" w:hAnsi="Tahoma"/>
          <w:b/>
          <w:i/>
          <w:sz w:val="20"/>
          <w:szCs w:val="20"/>
          <w:u w:val="single"/>
        </w:rPr>
      </w:r>
    </w:p>
    <w:p>
      <w:pPr>
        <w:pStyle w:val="Normal"/>
        <w:spacing w:lineRule="auto" w:line="360"/>
        <w:rPr>
          <w:rFonts w:ascii="Tahoma" w:hAnsi="Tahoma" w:cs="Tahoma"/>
          <w:b/>
          <w:b/>
          <w:bCs/>
          <w:i/>
          <w:i/>
          <w:sz w:val="20"/>
          <w:szCs w:val="20"/>
          <w:u w:val="single"/>
        </w:rPr>
      </w:pPr>
      <w:r>
        <w:rPr>
          <w:rFonts w:cs="Tahoma" w:ascii="Tahoma" w:hAnsi="Tahoma"/>
          <w:b/>
          <w:i/>
          <w:sz w:val="20"/>
          <w:szCs w:val="20"/>
          <w:u w:val="single"/>
        </w:rPr>
        <w:t>RESPUESTA A LOS OFICIOS</w:t>
      </w:r>
      <w:r>
        <w:rPr>
          <w:rFonts w:cs="Tahoma" w:ascii="Tahoma" w:hAnsi="Tahoma"/>
          <w:b/>
          <w:bCs/>
          <w:i/>
          <w:sz w:val="20"/>
          <w:szCs w:val="20"/>
          <w:u w:val="single"/>
        </w:rPr>
        <w:t xml:space="preserve"> CACC-290-2019</w:t>
      </w:r>
      <w:r>
        <w:rPr>
          <w:rFonts w:cs="Tahoma" w:ascii="Tahoma" w:hAnsi="Tahoma"/>
          <w:b/>
          <w:i/>
          <w:sz w:val="20"/>
          <w:szCs w:val="20"/>
          <w:u w:val="single"/>
        </w:rPr>
        <w:t xml:space="preserve">, </w:t>
      </w:r>
      <w:r>
        <w:rPr>
          <w:rFonts w:cs="Tahoma" w:ascii="Tahoma" w:hAnsi="Tahoma"/>
          <w:b/>
          <w:bCs/>
          <w:i/>
          <w:sz w:val="20"/>
          <w:szCs w:val="20"/>
          <w:u w:val="single"/>
        </w:rPr>
        <w:t>CACC-358-2019, CACC-36-2020:</w:t>
      </w:r>
    </w:p>
    <w:p>
      <w:pPr>
        <w:pStyle w:val="Normal"/>
        <w:spacing w:before="0" w:after="29"/>
        <w:ind w:right="-518" w:hanging="0"/>
        <w:rPr>
          <w:rFonts w:ascii="Tahoma" w:hAnsi="Tahoma" w:cs="Tahoma"/>
          <w:b/>
          <w:b/>
          <w:i/>
          <w:i/>
          <w:sz w:val="20"/>
          <w:szCs w:val="20"/>
        </w:rPr>
      </w:pPr>
      <w:r>
        <w:rPr>
          <w:rFonts w:cs="Tahoma" w:ascii="Tahoma" w:hAnsi="Tahoma"/>
          <w:b/>
          <w:i/>
          <w:sz w:val="20"/>
          <w:szCs w:val="20"/>
        </w:rPr>
      </w:r>
    </w:p>
    <w:p>
      <w:pPr>
        <w:pStyle w:val="Normal"/>
        <w:spacing w:before="0" w:after="29"/>
        <w:ind w:right="-518" w:hanging="0"/>
        <w:rPr>
          <w:rFonts w:ascii="Tahoma" w:hAnsi="Tahoma" w:cs="Tahoma"/>
          <w:b/>
          <w:b/>
          <w:i/>
          <w:i/>
          <w:sz w:val="20"/>
          <w:szCs w:val="20"/>
        </w:rPr>
      </w:pPr>
      <w:r>
        <w:rPr>
          <w:rFonts w:cs="Tahoma" w:ascii="Tahoma" w:hAnsi="Tahoma"/>
          <w:b/>
          <w:i/>
          <w:sz w:val="20"/>
          <w:szCs w:val="20"/>
        </w:rPr>
        <w:t>EJ-INF-001-2020</w:t>
      </w:r>
    </w:p>
    <w:p>
      <w:pPr>
        <w:pStyle w:val="Normal"/>
        <w:spacing w:before="0" w:after="29"/>
        <w:ind w:right="-518" w:hanging="0"/>
        <w:rPr>
          <w:rFonts w:ascii="Tahoma" w:hAnsi="Tahoma" w:cs="Tahoma"/>
          <w:i/>
          <w:i/>
          <w:sz w:val="20"/>
          <w:szCs w:val="20"/>
        </w:rPr>
      </w:pPr>
      <w:r>
        <w:rPr>
          <w:rFonts w:cs="Tahoma" w:ascii="Tahoma" w:hAnsi="Tahoma"/>
          <w:b/>
          <w:i/>
          <w:sz w:val="20"/>
          <w:szCs w:val="20"/>
        </w:rPr>
        <w:t>27 de febrero de 2020</w:t>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center"/>
        <w:rPr>
          <w:rFonts w:ascii="Tahoma" w:hAnsi="Tahoma" w:cs="Tahoma"/>
          <w:i/>
          <w:i/>
          <w:sz w:val="20"/>
          <w:szCs w:val="20"/>
        </w:rPr>
      </w:pPr>
      <w:r>
        <w:rPr>
          <w:rFonts w:cs="Tahoma" w:ascii="Tahoma" w:hAnsi="Tahoma"/>
          <w:b/>
          <w:bCs/>
          <w:i/>
          <w:sz w:val="20"/>
          <w:szCs w:val="20"/>
          <w:lang w:val="es-ES"/>
        </w:rPr>
        <w:t>Informe de avance en cuanto a capacitaciones en el tema de</w:t>
      </w:r>
    </w:p>
    <w:p>
      <w:pPr>
        <w:pStyle w:val="Sinespaciado1"/>
        <w:spacing w:lineRule="auto" w:line="360"/>
        <w:jc w:val="center"/>
        <w:rPr>
          <w:rFonts w:ascii="Tahoma" w:hAnsi="Tahoma" w:cs="Tahoma"/>
          <w:i/>
          <w:i/>
          <w:sz w:val="20"/>
          <w:szCs w:val="20"/>
        </w:rPr>
      </w:pPr>
      <w:r>
        <w:rPr>
          <w:rFonts w:eastAsia="Arial" w:cs="Tahoma" w:ascii="Tahoma" w:hAnsi="Tahoma"/>
          <w:b/>
          <w:bCs/>
          <w:i/>
          <w:sz w:val="20"/>
          <w:szCs w:val="20"/>
          <w:lang w:val="es-ES"/>
        </w:rPr>
        <w:t xml:space="preserve"> </w:t>
      </w:r>
      <w:r>
        <w:rPr>
          <w:rFonts w:cs="Tahoma" w:ascii="Tahoma" w:hAnsi="Tahoma"/>
          <w:b/>
          <w:bCs/>
          <w:i/>
          <w:sz w:val="20"/>
          <w:szCs w:val="20"/>
          <w:lang w:val="es-ES"/>
        </w:rPr>
        <w:t>Acceso a la Justicia de pueblos indígenas.</w:t>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En razón de la Circular del Consejo Superior número 188-19, denominada “20 ejes de acción, recomendados por la Comisión de Acceso a la Justicia, con ocasión del cumplimiento de las Medidas Cautelares N° 321-12 del 30 de abril de 2015, establecidas por la Comisión Interamericana de Derechos Humanos (CIDH) contra Costa Rica”, la Escuela Judicial rinde el siguiente informe de avance en cuanto al plan de capacitación en el tema de Acceso a la Justicia de pueblos indígenas: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rPr>
      </w:r>
    </w:p>
    <w:p>
      <w:pPr>
        <w:pStyle w:val="Sinespaciado1"/>
        <w:numPr>
          <w:ilvl w:val="0"/>
          <w:numId w:val="24"/>
        </w:numPr>
        <w:tabs>
          <w:tab w:val="clear" w:pos="708"/>
          <w:tab w:val="left" w:pos="720" w:leader="none"/>
        </w:tabs>
        <w:spacing w:lineRule="auto" w:line="360"/>
        <w:ind w:left="720" w:hanging="360"/>
        <w:jc w:val="both"/>
        <w:rPr>
          <w:rFonts w:ascii="Tahoma" w:hAnsi="Tahoma" w:cs="Tahoma"/>
          <w:i/>
          <w:i/>
          <w:sz w:val="20"/>
          <w:szCs w:val="20"/>
        </w:rPr>
      </w:pPr>
      <w:r>
        <w:rPr>
          <w:rFonts w:cs="Tahoma" w:ascii="Tahoma" w:hAnsi="Tahoma"/>
          <w:b/>
          <w:bCs/>
          <w:i/>
          <w:color w:val="000000"/>
          <w:sz w:val="20"/>
          <w:szCs w:val="20"/>
          <w:lang w:val="es-ES"/>
        </w:rPr>
        <w:t>Programa de Formación Continua (PEC), Facultad de Derecho, Universidad de Costa Rica.</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En la sesión nº 016-2019, del 23 de agosto del 2019, el Consejo Directivo de la Escuela Judicial tomó el acuerdo de que la capacitación para el año 2020 a través del Programa de Formación Continua en la Facultad de Derecho de la Universidad de Costa Rica, será destinada a atender las necesidades institucionales de capacitación en materia de Pueblos Indígenas. </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Por esta razón, desde el año 2019 se ha coordinado con dicha Universidad la elaboración de un nuevo Programa de Especialización, que se impartirá en el año 2020. Por parte de la Escuela Judicial se  solicitó la inclusión de los temas de interés propuestos por la Subcomisión de Acceso a la Justicia de Pueblos Indígenas, así como la verificación de que en los contenidos de los diseños de las actividades académicas se incluyan los aspectos contemplados en el eje de acción número 10. La propuesta de este programa será presentada por dicha Universidad a la Escuela Judicial aproximadamente a mediados del mes de marzo del 2020. Y el inicio de su ejecución se encuentra programado aproximadamente para el mes de setiembre del 2020, en las instalaciones de la Universidad de Costa Rica.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5"/>
        </w:numPr>
        <w:spacing w:lineRule="auto" w:line="360"/>
        <w:jc w:val="both"/>
        <w:rPr>
          <w:rFonts w:ascii="Tahoma" w:hAnsi="Tahoma" w:cs="Tahoma"/>
          <w:i/>
          <w:i/>
          <w:sz w:val="20"/>
          <w:szCs w:val="20"/>
        </w:rPr>
      </w:pPr>
      <w:r>
        <w:rPr>
          <w:rFonts w:cs="Tahoma" w:ascii="Tahoma" w:hAnsi="Tahoma"/>
          <w:b/>
          <w:bCs/>
          <w:i/>
          <w:color w:val="000000"/>
          <w:sz w:val="20"/>
          <w:szCs w:val="20"/>
          <w:lang w:val="es-ES"/>
        </w:rPr>
        <w:t>Plan anual permanente de capacitación (art.10 de la Ley de Acceso a la Justicia de pueblos indígenas).</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ind w:left="720" w:hanging="0"/>
        <w:jc w:val="both"/>
        <w:rPr>
          <w:rFonts w:ascii="Tahoma" w:hAnsi="Tahoma" w:cs="Tahoma"/>
          <w:i/>
          <w:i/>
          <w:sz w:val="20"/>
          <w:szCs w:val="20"/>
        </w:rPr>
      </w:pPr>
      <w:r>
        <w:rPr>
          <w:rFonts w:cs="Tahoma" w:ascii="Tahoma" w:hAnsi="Tahoma"/>
          <w:b/>
          <w:bCs/>
          <w:i/>
          <w:color w:val="000000"/>
          <w:sz w:val="20"/>
          <w:szCs w:val="20"/>
          <w:u w:val="single"/>
          <w:lang w:val="es-ES"/>
        </w:rPr>
        <w:t>1. Curso virtual autoformativo.</w:t>
      </w:r>
    </w:p>
    <w:p>
      <w:pPr>
        <w:pStyle w:val="Sinespaciado1"/>
        <w:spacing w:lineRule="auto" w:line="360"/>
        <w:ind w:left="720" w:hanging="0"/>
        <w:jc w:val="both"/>
        <w:rPr>
          <w:rFonts w:ascii="Tahoma" w:hAnsi="Tahoma" w:cs="Tahoma"/>
          <w:b/>
          <w:b/>
          <w:bCs/>
          <w:i/>
          <w:i/>
          <w:sz w:val="20"/>
          <w:szCs w:val="20"/>
        </w:rPr>
      </w:pPr>
      <w:r>
        <w:rPr>
          <w:rFonts w:cs="Tahoma" w:ascii="Tahoma" w:hAnsi="Tahoma"/>
          <w:b/>
          <w:bCs/>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A fin de cumplir con el objetivo de incorporar en la currícula de la Escuela Judicial, un plan anual permanente de capacitación, tal y como lo dispone el artículo 10 de la Ley de Acceso a la Justicia de pueblos indígenas, se ha proyectado para el año 2020 la elaboración de un curso virtual de autoformación dirigido a las personas funcionarias judiciales. Para el diseño de este curso contamos con la colaboración de personas especialistas en contenido, que de igual forma lo revisarán periódicamente a fin de mantener actualizada la información que allí se proporciona. Por su parte, la propuesta metodológica del curso estará a cargo de la Escuela Judicial. El mismo se construirá en la plataforma de cursos virtuales de nuestra institución, y su ejecución iniciará en cuanto se encuentre elaborado.</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ind w:left="720" w:hanging="0"/>
        <w:jc w:val="both"/>
        <w:rPr>
          <w:rFonts w:ascii="Tahoma" w:hAnsi="Tahoma" w:cs="Tahoma"/>
          <w:i/>
          <w:i/>
          <w:sz w:val="20"/>
          <w:szCs w:val="20"/>
        </w:rPr>
      </w:pPr>
      <w:r>
        <w:rPr>
          <w:rFonts w:cs="Tahoma" w:ascii="Tahoma" w:hAnsi="Tahoma"/>
          <w:b/>
          <w:bCs/>
          <w:i/>
          <w:color w:val="000000"/>
          <w:sz w:val="20"/>
          <w:szCs w:val="20"/>
          <w:u w:val="single"/>
          <w:lang w:val="es-ES"/>
        </w:rPr>
        <w:t>2. Taller de inducción al tema de Acceso a la justicia de pueblos indígenas.</w:t>
      </w:r>
    </w:p>
    <w:p>
      <w:pPr>
        <w:pStyle w:val="Sinespaciado1"/>
        <w:spacing w:lineRule="auto" w:line="360"/>
        <w:ind w:left="720" w:hanging="0"/>
        <w:jc w:val="both"/>
        <w:rPr>
          <w:rFonts w:ascii="Tahoma" w:hAnsi="Tahoma" w:cs="Tahoma"/>
          <w:b/>
          <w:b/>
          <w:bCs/>
          <w:i/>
          <w:i/>
          <w:color w:val="000000"/>
          <w:sz w:val="20"/>
          <w:szCs w:val="20"/>
          <w:lang w:val="es-ES"/>
        </w:rPr>
      </w:pPr>
      <w:r>
        <w:rPr>
          <w:rFonts w:cs="Tahoma" w:ascii="Tahoma" w:hAnsi="Tahoma"/>
          <w:b/>
          <w:bCs/>
          <w:i/>
          <w:color w:val="000000"/>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La Escuela Judicial trabaja en la elaboración de un taller presencial de inducción al tema de Acceso a la justicia de pueblos indígenas, con el fin de capacitar a poblaciones que requieren conocimientos inmediatos en el tema, tales como las personas que laboran en los Consultorios Jurídicos de la Universidad de Costa Rica, las personas traductoras e intérpretes de lenguas indígenas (de conformidad con el artículo 3 de la Ley de Acceso a la justicia de pueblos indígenas), y la población indígena en sí, especialmente la población indígena Malecu que ha solicitado expresamente su capacitación, mediante su representante, el señor Emigdio Cruz, y para lo cual se requerirá de la colaboración de las mismas personas traductoras e intérpretes.</w:t>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Para esta labor, se cuenta con la lista oficial de personas traductoras e intérpretes, que asciende a la suma de 56 personas. </w:t>
      </w:r>
    </w:p>
    <w:p>
      <w:pPr>
        <w:pStyle w:val="Sinespaciado1"/>
        <w:spacing w:lineRule="auto" w:line="360"/>
        <w:jc w:val="both"/>
        <w:rPr>
          <w:rFonts w:ascii="Tahoma" w:hAnsi="Tahoma" w:cs="Tahoma"/>
          <w:i/>
          <w:i/>
          <w:sz w:val="20"/>
          <w:szCs w:val="20"/>
        </w:rPr>
      </w:pPr>
      <w:r>
        <w:rPr>
          <w:rFonts w:cs="Tahoma" w:ascii="Tahoma" w:hAnsi="Tahoma"/>
          <w:i/>
          <w:sz w:val="20"/>
          <w:szCs w:val="20"/>
          <w:lang w:val="es-ES"/>
        </w:rPr>
        <w:t>En cuanto a la población indígena Malecu, se le solicitó información detallada a la Comisión de Acceso a la Justicia, para determinar la cantidad de personas interesadas en esta capacitación.</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En relación con este dato, se estaría considerando la propuesta de construir una red de formadores, con las mismas personas traductoras capacitadas.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A mediano plazo, tanto las personas colaboradoras en los Consultorios Jurídicos como las personas intérpretes y traductoras podrán ser incorporadas como participantes del curso virtual de autoformación indicado anteriormente.</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6"/>
        </w:numPr>
        <w:spacing w:lineRule="auto" w:line="360"/>
        <w:jc w:val="both"/>
        <w:rPr>
          <w:rFonts w:ascii="Tahoma" w:hAnsi="Tahoma" w:cs="Tahoma"/>
          <w:i/>
          <w:i/>
          <w:sz w:val="20"/>
          <w:szCs w:val="20"/>
        </w:rPr>
      </w:pPr>
      <w:r>
        <w:rPr>
          <w:rFonts w:cs="Tahoma" w:ascii="Tahoma" w:hAnsi="Tahoma"/>
          <w:b/>
          <w:bCs/>
          <w:i/>
          <w:color w:val="000000"/>
          <w:sz w:val="20"/>
          <w:szCs w:val="20"/>
          <w:lang w:val="es-ES"/>
        </w:rPr>
        <w:t>Ejecución de la propuesta de capacitación brindada por la Subcomisión de Acceso a la Justicia de pueblos indígenas.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 xml:space="preserve">Con respecto a la propuesta de capacitación aportada por la Subcomisión de Acceso a la justicia de pueblos indígenas, la Escuela Judicial ha elaborado una propuesta metodológica para ejecutar cada capacitación, la cual se adjunta en este acto. </w:t>
      </w:r>
    </w:p>
    <w:p>
      <w:pPr>
        <w:pStyle w:val="Sinespaciado1"/>
        <w:spacing w:lineRule="auto" w:line="360"/>
        <w:jc w:val="both"/>
        <w:rPr>
          <w:rFonts w:ascii="Tahoma" w:hAnsi="Tahoma" w:cs="Tahoma"/>
          <w:i/>
          <w:i/>
          <w:sz w:val="20"/>
          <w:szCs w:val="20"/>
        </w:rPr>
      </w:pPr>
      <w:r>
        <w:rPr>
          <w:rFonts w:cs="Tahoma" w:ascii="Tahoma" w:hAnsi="Tahoma"/>
          <w:i/>
          <w:sz w:val="20"/>
          <w:szCs w:val="20"/>
          <w:lang w:val="es-ES"/>
        </w:rPr>
        <w:t>Seguidamente, se iniciará el diseño de las actividades, de acuerdo a las necesidades y complejidad de cada propuesta, y se procederá a calendarizar las mismas para iniciar su coordinación y ejecución en el año 2020.</w:t>
      </w:r>
    </w:p>
    <w:p>
      <w:pPr>
        <w:pStyle w:val="Sinespaciado1"/>
        <w:spacing w:lineRule="auto" w:line="360"/>
        <w:jc w:val="both"/>
        <w:rPr>
          <w:rFonts w:ascii="Tahoma" w:hAnsi="Tahoma" w:cs="Tahoma"/>
          <w:i/>
          <w:i/>
          <w:sz w:val="20"/>
          <w:szCs w:val="20"/>
        </w:rPr>
      </w:pPr>
      <w:r>
        <w:rPr>
          <w:rFonts w:cs="Tahoma" w:ascii="Tahoma" w:hAnsi="Tahoma"/>
          <w:i/>
          <w:sz w:val="20"/>
          <w:szCs w:val="20"/>
          <w:lang w:val="es-ES"/>
        </w:rPr>
        <w:t>Para el diseño de las actividades, la Escuela Judicial requiere la colaboración de al menos una persona especialista en la materia, por lo que se coordinará con esta Subcomisión, el aporte de dicha persona.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8"/>
        </w:numPr>
        <w:spacing w:lineRule="auto" w:line="360"/>
        <w:jc w:val="both"/>
        <w:rPr>
          <w:rFonts w:ascii="Tahoma" w:hAnsi="Tahoma" w:cs="Tahoma"/>
          <w:i/>
          <w:i/>
          <w:sz w:val="20"/>
          <w:szCs w:val="20"/>
        </w:rPr>
      </w:pPr>
      <w:r>
        <w:rPr>
          <w:rFonts w:cs="Tahoma" w:ascii="Tahoma" w:hAnsi="Tahoma"/>
          <w:b/>
          <w:bCs/>
          <w:i/>
          <w:color w:val="000000"/>
          <w:sz w:val="20"/>
          <w:szCs w:val="20"/>
          <w:lang w:val="es-ES"/>
        </w:rPr>
        <w:t>Diseño de actividades académicas.</w:t>
      </w:r>
    </w:p>
    <w:p>
      <w:pPr>
        <w:pStyle w:val="Sinespaciado1"/>
        <w:spacing w:lineRule="auto" w:line="360"/>
        <w:ind w:left="720" w:hanging="0"/>
        <w:jc w:val="both"/>
        <w:rPr>
          <w:rFonts w:ascii="Tahoma" w:hAnsi="Tahoma" w:cs="Tahoma"/>
          <w:b/>
          <w:b/>
          <w:bCs/>
          <w:i/>
          <w:i/>
          <w:color w:val="000000"/>
          <w:sz w:val="20"/>
          <w:szCs w:val="20"/>
          <w:lang w:val="es-ES"/>
        </w:rPr>
      </w:pPr>
      <w:r>
        <w:rPr>
          <w:rFonts w:cs="Tahoma" w:ascii="Tahoma" w:hAnsi="Tahoma"/>
          <w:b/>
          <w:bCs/>
          <w:i/>
          <w:color w:val="000000"/>
          <w:sz w:val="20"/>
          <w:szCs w:val="20"/>
          <w:lang w:val="es-ES"/>
        </w:rPr>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t xml:space="preserve">De conformidad con lo estipulado en el eje de acción número 10, la Escuela Judicial solicita a las personas especialistas colaboradoras que verifiquen que los </w:t>
      </w:r>
      <w:r>
        <w:rPr>
          <w:rFonts w:cs="Tahoma" w:ascii="Tahoma" w:hAnsi="Tahoma"/>
          <w:bCs/>
          <w:i/>
          <w:sz w:val="20"/>
          <w:szCs w:val="20"/>
          <w:lang w:val="es-ES"/>
        </w:rPr>
        <w:t xml:space="preserve">contenidos de los </w:t>
      </w:r>
      <w:r>
        <w:rPr>
          <w:rFonts w:cs="Tahoma" w:ascii="Tahoma" w:hAnsi="Tahoma"/>
          <w:i/>
          <w:sz w:val="20"/>
          <w:szCs w:val="20"/>
          <w:lang w:val="es-ES"/>
        </w:rPr>
        <w:t>diseños de las capacitaciones en esta materia, incluyan la normativa internacional relativa a los derechos de las personas indígenas, leyes, jurisprudencia, y demás regulaciones de interés en este tema.</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numPr>
          <w:ilvl w:val="0"/>
          <w:numId w:val="27"/>
        </w:numPr>
        <w:spacing w:lineRule="auto" w:line="360"/>
        <w:jc w:val="both"/>
        <w:rPr>
          <w:rFonts w:ascii="Tahoma" w:hAnsi="Tahoma" w:cs="Tahoma"/>
          <w:i/>
          <w:i/>
          <w:sz w:val="20"/>
          <w:szCs w:val="20"/>
        </w:rPr>
      </w:pPr>
      <w:r>
        <w:rPr>
          <w:rFonts w:cs="Tahoma" w:ascii="Tahoma" w:hAnsi="Tahoma"/>
          <w:b/>
          <w:bCs/>
          <w:i/>
          <w:color w:val="000000"/>
          <w:sz w:val="20"/>
          <w:szCs w:val="20"/>
          <w:lang w:val="es-ES"/>
        </w:rPr>
        <w:t>Población meta de las capacitaciones.</w:t>
      </w:r>
    </w:p>
    <w:p>
      <w:pPr>
        <w:pStyle w:val="Sinespaciado1"/>
        <w:spacing w:lineRule="auto" w:line="360"/>
        <w:ind w:left="720" w:hanging="0"/>
        <w:jc w:val="both"/>
        <w:rPr>
          <w:rFonts w:ascii="Tahoma" w:hAnsi="Tahoma" w:cs="Tahoma"/>
          <w:i/>
          <w:i/>
          <w:sz w:val="20"/>
          <w:szCs w:val="20"/>
        </w:rPr>
      </w:pPr>
      <w:r>
        <w:rPr>
          <w:rFonts w:cs="Tahoma" w:ascii="Tahoma" w:hAnsi="Tahoma"/>
          <w:i/>
          <w:sz w:val="20"/>
          <w:szCs w:val="20"/>
        </w:rPr>
      </w:r>
    </w:p>
    <w:p>
      <w:pPr>
        <w:pStyle w:val="Sinespaciado1"/>
        <w:spacing w:lineRule="auto" w:line="360"/>
        <w:jc w:val="both"/>
        <w:rPr>
          <w:rFonts w:ascii="Tahoma" w:hAnsi="Tahoma" w:cs="Tahoma"/>
          <w:i/>
          <w:i/>
          <w:sz w:val="20"/>
          <w:szCs w:val="20"/>
        </w:rPr>
      </w:pPr>
      <w:r>
        <w:rPr>
          <w:rFonts w:cs="Tahoma" w:ascii="Tahoma" w:hAnsi="Tahoma"/>
          <w:i/>
          <w:sz w:val="20"/>
          <w:szCs w:val="20"/>
          <w:lang w:val="es-ES"/>
        </w:rPr>
        <w:t>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y personal técnico de los despachos donde se tramite la mayor cantidad de procesos vinculados con personas indígenas. Para ello se cuenta con el listado proporcionado por la Subcomisión de Acceso a la justicia de pueblos indígenas, según reporte de SIGMA, el cual se adjunta. Asimismo, en principio, se le dará prioridad a las personas servidoras judiciales de las Jurisdicciones Penal, Agrario y Contencioso Administrativo, de todas las instancias.</w:t>
      </w:r>
    </w:p>
    <w:p>
      <w:pPr>
        <w:pStyle w:val="Sinespaciado1"/>
        <w:spacing w:lineRule="auto" w:line="360"/>
        <w:jc w:val="both"/>
        <w:rPr>
          <w:rFonts w:ascii="Tahoma" w:hAnsi="Tahoma" w:cs="Tahoma"/>
          <w:i/>
          <w:i/>
          <w:sz w:val="20"/>
          <w:szCs w:val="20"/>
          <w:lang w:val="es-ES"/>
        </w:rPr>
      </w:pPr>
      <w:r>
        <w:rPr>
          <w:rFonts w:cs="Tahoma" w:ascii="Tahoma" w:hAnsi="Tahoma"/>
          <w:i/>
          <w:sz w:val="20"/>
          <w:szCs w:val="20"/>
          <w:lang w:val="es-ES"/>
        </w:rPr>
      </w:r>
    </w:p>
    <w:p>
      <w:pPr>
        <w:pStyle w:val="Sinespaciado1"/>
        <w:spacing w:lineRule="auto" w:line="360"/>
        <w:jc w:val="both"/>
        <w:rPr>
          <w:rFonts w:ascii="Tahoma" w:hAnsi="Tahoma" w:cs="Tahoma"/>
          <w:i/>
          <w:i/>
          <w:sz w:val="20"/>
          <w:szCs w:val="20"/>
        </w:rPr>
      </w:pPr>
      <w:r>
        <w:rPr>
          <w:rFonts w:eastAsia="Arial" w:cs="Tahoma" w:ascii="Tahoma" w:hAnsi="Tahoma"/>
          <w:i/>
          <w:sz w:val="20"/>
          <w:szCs w:val="20"/>
          <w:lang w:val="es-ES"/>
        </w:rPr>
        <w:t xml:space="preserve"> </w:t>
      </w:r>
      <w:r>
        <w:rPr>
          <w:rFonts w:cs="Tahoma" w:ascii="Tahoma" w:hAnsi="Tahoma"/>
          <w:i/>
          <w:sz w:val="20"/>
          <w:szCs w:val="20"/>
          <w:lang w:val="es-ES"/>
        </w:rPr>
        <w:t xml:space="preserve">Sin otro particular, </w:t>
      </w:r>
    </w:p>
    <w:p>
      <w:pPr>
        <w:pStyle w:val="Cuerpodetexto"/>
        <w:spacing w:lineRule="auto" w:line="360"/>
        <w:ind w:right="-518" w:hanging="0"/>
        <w:jc w:val="both"/>
        <w:rPr>
          <w:rFonts w:ascii="Tahoma" w:hAnsi="Tahoma" w:cs="Tahoma"/>
          <w:i/>
          <w:i/>
          <w:sz w:val="20"/>
          <w:szCs w:val="20"/>
        </w:rPr>
      </w:pPr>
      <w:r>
        <w:rPr>
          <w:rFonts w:cs="Tahoma" w:ascii="Tahoma" w:hAnsi="Tahoma"/>
          <w:i/>
          <w:sz w:val="20"/>
          <w:szCs w:val="20"/>
        </w:rPr>
      </w:r>
    </w:p>
    <w:p>
      <w:pPr>
        <w:pStyle w:val="Cuerpodetexto"/>
        <w:spacing w:lineRule="auto" w:line="360"/>
        <w:ind w:right="-518" w:hanging="0"/>
        <w:jc w:val="both"/>
        <w:rPr>
          <w:rFonts w:ascii="Tahoma" w:hAnsi="Tahoma" w:cs="Tahoma"/>
          <w:i/>
          <w:i/>
          <w:sz w:val="20"/>
          <w:szCs w:val="20"/>
        </w:rPr>
      </w:pPr>
      <w:r>
        <w:rPr>
          <w:rFonts w:cs="Tahoma" w:ascii="Tahoma" w:hAnsi="Tahoma"/>
          <w:i/>
          <w:sz w:val="20"/>
          <w:szCs w:val="20"/>
        </w:rPr>
      </w:r>
    </w:p>
    <w:p>
      <w:pPr>
        <w:pStyle w:val="Normal"/>
        <w:spacing w:before="0" w:after="0"/>
        <w:jc w:val="center"/>
        <w:rPr>
          <w:rFonts w:ascii="Tahoma" w:hAnsi="Tahoma" w:cs="Tahoma"/>
          <w:i/>
          <w:i/>
          <w:sz w:val="20"/>
          <w:szCs w:val="20"/>
        </w:rPr>
      </w:pPr>
      <w:r>
        <w:rPr>
          <w:rFonts w:eastAsia="Arial" w:cs="Tahoma" w:ascii="Tahoma" w:hAnsi="Tahoma"/>
          <w:b/>
          <w:bCs/>
          <w:i/>
          <w:sz w:val="20"/>
          <w:szCs w:val="20"/>
        </w:rPr>
        <w:t xml:space="preserve"> </w:t>
      </w:r>
      <w:r>
        <w:rPr>
          <w:rFonts w:cs="Tahoma" w:ascii="Tahoma" w:hAnsi="Tahoma"/>
          <w:b/>
          <w:bCs/>
          <w:i/>
          <w:sz w:val="20"/>
          <w:szCs w:val="20"/>
        </w:rPr>
        <w:t>Licda. Rebeca Guardia Morales</w:t>
      </w:r>
    </w:p>
    <w:p>
      <w:pPr>
        <w:pStyle w:val="Normal"/>
        <w:spacing w:before="0" w:after="0"/>
        <w:jc w:val="center"/>
        <w:rPr>
          <w:rFonts w:ascii="Tahoma" w:hAnsi="Tahoma" w:cs="Tahoma"/>
          <w:i/>
          <w:i/>
          <w:sz w:val="20"/>
          <w:szCs w:val="20"/>
        </w:rPr>
      </w:pPr>
      <w:r>
        <w:rPr>
          <w:rFonts w:cs="Tahoma" w:ascii="Tahoma" w:hAnsi="Tahoma"/>
          <w:b/>
          <w:bCs/>
          <w:i/>
          <w:sz w:val="20"/>
          <w:szCs w:val="20"/>
        </w:rPr>
        <w:t>Directora a.i.</w:t>
      </w:r>
    </w:p>
    <w:p>
      <w:pPr>
        <w:pStyle w:val="Normal"/>
        <w:spacing w:before="0" w:after="0"/>
        <w:jc w:val="center"/>
        <w:textAlignment w:val="baseline"/>
        <w:rPr>
          <w:rFonts w:ascii="Tahoma" w:hAnsi="Tahoma" w:cs="Tahoma"/>
          <w:i/>
          <w:i/>
          <w:sz w:val="20"/>
          <w:szCs w:val="20"/>
        </w:rPr>
      </w:pPr>
      <w:r>
        <w:rPr>
          <w:rFonts w:eastAsia="Arial" w:cs="Tahoma" w:ascii="Tahoma" w:hAnsi="Tahoma"/>
          <w:b/>
          <w:bCs/>
          <w:i/>
          <w:color w:val="000000"/>
          <w:kern w:val="2"/>
          <w:sz w:val="20"/>
          <w:szCs w:val="20"/>
          <w:lang w:val="es-ES" w:eastAsia="ar-SA"/>
        </w:rPr>
        <w:t>Escuela Judicial</w:t>
      </w:r>
    </w:p>
    <w:p>
      <w:pPr>
        <w:pStyle w:val="Normal"/>
        <w:spacing w:before="0" w:after="0"/>
        <w:rPr>
          <w:rFonts w:ascii="Tahoma" w:hAnsi="Tahoma" w:cs="Tahoma"/>
          <w:i/>
          <w:i/>
          <w:sz w:val="20"/>
          <w:szCs w:val="20"/>
        </w:rPr>
      </w:pPr>
      <w:r>
        <w:rPr>
          <w:rFonts w:eastAsia="Arial" w:cs="Tahoma" w:ascii="Tahoma" w:hAnsi="Tahoma"/>
          <w:i/>
          <w:color w:val="000000"/>
          <w:sz w:val="20"/>
          <w:szCs w:val="20"/>
          <w:lang w:eastAsia="ar-SA"/>
        </w:rPr>
        <w:t>C. Arch. Consec.</w:t>
      </w:r>
    </w:p>
    <w:p>
      <w:pPr>
        <w:pStyle w:val="Normal"/>
        <w:tabs>
          <w:tab w:val="clear" w:pos="708"/>
          <w:tab w:val="left" w:pos="0" w:leader="none"/>
        </w:tabs>
        <w:spacing w:before="0" w:after="0"/>
        <w:rPr>
          <w:rFonts w:ascii="Tahoma" w:hAnsi="Tahoma" w:cs="Tahoma"/>
          <w:i/>
          <w:i/>
          <w:sz w:val="20"/>
          <w:szCs w:val="20"/>
        </w:rPr>
      </w:pPr>
      <w:r>
        <w:rPr>
          <w:rFonts w:eastAsia="Arial" w:cs="Tahoma" w:ascii="Tahoma" w:hAnsi="Tahoma"/>
          <w:i/>
          <w:color w:val="000000"/>
          <w:sz w:val="20"/>
          <w:szCs w:val="20"/>
          <w:lang w:eastAsia="ar-SA"/>
        </w:rPr>
        <w:t>fam</w:t>
      </w:r>
    </w:p>
    <w:p>
      <w:pPr>
        <w:pStyle w:val="Normal"/>
        <w:spacing w:lineRule="auto" w:line="360"/>
        <w:rPr>
          <w:rFonts w:ascii="Tahoma" w:hAnsi="Tahoma" w:cs="Tahoma"/>
          <w:b/>
          <w:b/>
          <w:bCs/>
          <w:i/>
          <w:i/>
          <w:sz w:val="20"/>
          <w:szCs w:val="20"/>
          <w:u w:val="single"/>
        </w:rPr>
      </w:pPr>
      <w:r>
        <w:rPr>
          <w:rFonts w:cs="Tahoma" w:ascii="Tahoma" w:hAnsi="Tahoma"/>
          <w:b/>
          <w:bCs/>
          <w:i/>
          <w:sz w:val="20"/>
          <w:szCs w:val="20"/>
          <w:u w:val="single"/>
        </w:rPr>
      </w:r>
    </w:p>
    <w:p>
      <w:pPr>
        <w:pStyle w:val="Normal"/>
        <w:spacing w:lineRule="auto" w:line="360"/>
        <w:rPr>
          <w:rFonts w:ascii="Tahoma" w:hAnsi="Tahoma" w:cs="Tahoma"/>
          <w:b/>
          <w:b/>
          <w:i/>
          <w:i/>
          <w:sz w:val="20"/>
          <w:szCs w:val="20"/>
          <w:u w:val="single"/>
        </w:rPr>
      </w:pPr>
      <w:r>
        <w:rPr>
          <w:rFonts w:cs="Tahoma" w:ascii="Tahoma" w:hAnsi="Tahoma"/>
          <w:b/>
          <w:i/>
          <w:sz w:val="20"/>
          <w:szCs w:val="20"/>
          <w:u w:val="single"/>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b/>
          <w:b/>
          <w:bCs/>
          <w:i/>
          <w:i/>
          <w:sz w:val="20"/>
          <w:szCs w:val="20"/>
        </w:rPr>
      </w:pPr>
      <w:r>
        <w:rPr>
          <w:rFonts w:cs="Tahoma" w:ascii="Tahoma" w:hAnsi="Tahoma"/>
          <w:b/>
          <w:bCs/>
          <w:i/>
          <w:sz w:val="20"/>
          <w:szCs w:val="20"/>
        </w:rPr>
      </w:r>
    </w:p>
    <w:p>
      <w:pPr>
        <w:pStyle w:val="Normal"/>
        <w:jc w:val="center"/>
        <w:rPr>
          <w:rFonts w:ascii="Tahoma" w:hAnsi="Tahoma" w:cs="Tahoma"/>
          <w:i/>
          <w:i/>
          <w:sz w:val="20"/>
          <w:szCs w:val="20"/>
        </w:rPr>
      </w:pPr>
      <w:r>
        <w:rPr>
          <w:rFonts w:cs="Tahoma" w:ascii="Tahoma" w:hAnsi="Tahoma"/>
          <w:b/>
          <w:bCs/>
          <w:i/>
          <w:sz w:val="20"/>
          <w:szCs w:val="20"/>
        </w:rPr>
        <w:t>Propuesta de Capacitación sobre Acceso a la Justicia de Pueblos Indígenas</w:t>
      </w:r>
    </w:p>
    <w:p>
      <w:pPr>
        <w:pStyle w:val="Normal"/>
        <w:jc w:val="center"/>
        <w:rPr>
          <w:rFonts w:ascii="Tahoma" w:hAnsi="Tahoma" w:cs="Tahoma"/>
          <w:i/>
          <w:i/>
          <w:sz w:val="20"/>
          <w:szCs w:val="20"/>
        </w:rPr>
      </w:pPr>
      <w:r>
        <w:rPr>
          <w:rFonts w:cs="Tahoma" w:ascii="Tahoma" w:hAnsi="Tahoma"/>
          <w:b/>
          <w:bCs/>
          <w:i/>
          <w:sz w:val="20"/>
          <w:szCs w:val="20"/>
        </w:rPr>
        <w:t>Año  2020</w:t>
      </w:r>
    </w:p>
    <w:p>
      <w:pPr>
        <w:pStyle w:val="NormalWeb"/>
        <w:spacing w:before="0" w:after="0"/>
        <w:ind w:right="141" w:hanging="0"/>
        <w:jc w:val="both"/>
        <w:rPr>
          <w:rFonts w:ascii="Tahoma" w:hAnsi="Tahoma" w:cs="Tahoma"/>
          <w:i/>
          <w:i/>
          <w:sz w:val="20"/>
          <w:szCs w:val="20"/>
        </w:rPr>
      </w:pPr>
      <w:r>
        <w:rPr>
          <w:rFonts w:cs="Tahoma" w:ascii="Tahoma" w:hAnsi="Tahoma"/>
          <w:i/>
          <w:sz w:val="20"/>
          <w:szCs w:val="20"/>
          <w:lang w:val="es-ES"/>
        </w:rPr>
        <w:t>Propuesta:</w:t>
      </w:r>
    </w:p>
    <w:p>
      <w:pPr>
        <w:pStyle w:val="NormalWeb"/>
        <w:spacing w:before="0" w:after="0"/>
        <w:ind w:left="708" w:right="141" w:hanging="0"/>
        <w:jc w:val="both"/>
        <w:rPr>
          <w:rFonts w:ascii="Tahoma" w:hAnsi="Tahoma" w:cs="Tahoma"/>
          <w:i/>
          <w:i/>
          <w:sz w:val="20"/>
          <w:szCs w:val="20"/>
          <w:lang w:val="es-ES"/>
        </w:rPr>
      </w:pPr>
      <w:r>
        <w:rPr>
          <w:rFonts w:cs="Tahoma" w:ascii="Tahoma" w:hAnsi="Tahoma"/>
          <w:i/>
          <w:sz w:val="20"/>
          <w:szCs w:val="20"/>
          <w:lang w:val="es-ES"/>
        </w:rPr>
      </w:r>
    </w:p>
    <w:tbl>
      <w:tblPr>
        <w:tblW w:w="10518" w:type="dxa"/>
        <w:jc w:val="left"/>
        <w:tblInd w:w="-262" w:type="dxa"/>
        <w:tblLayout w:type="fixed"/>
        <w:tblCellMar>
          <w:top w:w="55" w:type="dxa"/>
          <w:left w:w="55" w:type="dxa"/>
          <w:bottom w:w="55" w:type="dxa"/>
          <w:right w:w="55" w:type="dxa"/>
        </w:tblCellMar>
        <w:tblLook w:firstRow="0" w:noVBand="0" w:lastRow="0" w:firstColumn="0" w:lastColumn="0" w:noHBand="0" w:val="0000"/>
      </w:tblPr>
      <w:tblGrid>
        <w:gridCol w:w="759"/>
        <w:gridCol w:w="1654"/>
        <w:gridCol w:w="2178"/>
        <w:gridCol w:w="1512"/>
        <w:gridCol w:w="950"/>
        <w:gridCol w:w="1734"/>
        <w:gridCol w:w="1730"/>
      </w:tblGrid>
      <w:tr>
        <w:trPr>
          <w:tblHeader w:val="true"/>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center"/>
              <w:rPr>
                <w:rFonts w:ascii="Tahoma" w:hAnsi="Tahoma" w:eastAsia="NSimSun" w:cs="Tahoma"/>
                <w:b/>
                <w:b/>
                <w:bCs/>
                <w:i/>
                <w:i/>
                <w:color w:val="000000"/>
                <w:kern w:val="2"/>
                <w:sz w:val="20"/>
                <w:szCs w:val="20"/>
                <w:lang w:eastAsia="zh-CN" w:bidi="hi-IN"/>
              </w:rPr>
            </w:pPr>
            <w:r>
              <w:rPr>
                <w:rFonts w:eastAsia="NSimSun" w:cs="Tahoma" w:ascii="Tahoma" w:hAnsi="Tahoma"/>
                <w:b/>
                <w:bCs/>
                <w:i/>
                <w:color w:val="000000"/>
                <w:kern w:val="2"/>
                <w:sz w:val="20"/>
                <w:szCs w:val="20"/>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jc w:val="center"/>
              <w:rPr>
                <w:rFonts w:ascii="Tahoma" w:hAnsi="Tahoma" w:cs="Tahoma"/>
                <w:i/>
                <w:i/>
                <w:sz w:val="20"/>
                <w:szCs w:val="20"/>
              </w:rPr>
            </w:pPr>
            <w:r>
              <w:rPr>
                <w:rFonts w:eastAsia="NSimSun" w:cs="Tahoma" w:ascii="Tahoma" w:hAnsi="Tahoma"/>
                <w:b/>
                <w:bCs/>
                <w:i/>
                <w:color w:val="000000"/>
                <w:kern w:val="2"/>
                <w:sz w:val="20"/>
                <w:szCs w:val="20"/>
                <w:lang w:eastAsia="zh-CN" w:bidi="hi-IN"/>
              </w:rPr>
              <w:t>Tema</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jc w:val="center"/>
              <w:rPr>
                <w:rFonts w:ascii="Tahoma" w:hAnsi="Tahoma" w:cs="Tahoma"/>
                <w:i/>
                <w:i/>
                <w:sz w:val="20"/>
                <w:szCs w:val="20"/>
              </w:rPr>
            </w:pPr>
            <w:r>
              <w:rPr>
                <w:rFonts w:eastAsia="NSimSun" w:cs="Tahoma" w:ascii="Tahoma" w:hAnsi="Tahoma"/>
                <w:b/>
                <w:bCs/>
                <w:i/>
                <w:color w:val="000000"/>
                <w:kern w:val="2"/>
                <w:sz w:val="20"/>
                <w:szCs w:val="20"/>
                <w:lang w:eastAsia="zh-CN" w:bidi="hi-IN"/>
              </w:rPr>
              <w:t>Justificación</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jc w:val="center"/>
              <w:rPr>
                <w:rFonts w:ascii="Tahoma" w:hAnsi="Tahoma" w:cs="Tahoma"/>
                <w:i/>
                <w:i/>
                <w:sz w:val="20"/>
                <w:szCs w:val="20"/>
              </w:rPr>
            </w:pPr>
            <w:r>
              <w:rPr>
                <w:rFonts w:eastAsia="NSimSun" w:cs="Tahoma" w:ascii="Tahoma" w:hAnsi="Tahoma"/>
                <w:b/>
                <w:bCs/>
                <w:i/>
                <w:color w:val="000000"/>
                <w:kern w:val="2"/>
                <w:sz w:val="20"/>
                <w:szCs w:val="20"/>
                <w:lang w:eastAsia="zh-CN" w:bidi="hi-IN"/>
              </w:rPr>
              <w:t>Nivel de profundidad</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Baja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Media</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Prioridad</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Posibles personas facilitadoras</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b/>
                <w:bCs/>
                <w:i/>
                <w:color w:val="000000"/>
                <w:kern w:val="2"/>
                <w:sz w:val="20"/>
                <w:szCs w:val="20"/>
                <w:lang w:eastAsia="zh-CN" w:bidi="hi-IN"/>
              </w:rPr>
              <w:t>Propuesta metodológica</w:t>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b/>
                <w:i/>
                <w:sz w:val="20"/>
                <w:szCs w:val="20"/>
              </w:rPr>
              <w:t xml:space="preserve">CONOCERNOS: </w:t>
            </w:r>
            <w:r>
              <w:rPr>
                <w:rFonts w:cs="Tahoma" w:ascii="Tahoma" w:hAnsi="Tahoma"/>
                <w:i/>
                <w:sz w:val="20"/>
                <w:szCs w:val="20"/>
              </w:rPr>
              <w:t>Un primer acercamiento</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Historia</w:t>
            </w:r>
          </w:p>
          <w:p>
            <w:pPr>
              <w:pStyle w:val="Normal"/>
              <w:widowControl w:val="false"/>
              <w:rPr>
                <w:rFonts w:ascii="Tahoma" w:hAnsi="Tahoma" w:cs="Tahoma"/>
                <w:i/>
                <w:i/>
                <w:sz w:val="20"/>
                <w:szCs w:val="20"/>
              </w:rPr>
            </w:pPr>
            <w:r>
              <w:rPr>
                <w:rFonts w:cs="Tahoma" w:ascii="Tahoma" w:hAnsi="Tahoma"/>
                <w:i/>
                <w:sz w:val="20"/>
                <w:szCs w:val="20"/>
              </w:rPr>
              <w:t>Costumbres,  Formas de transmisión de la tierra,</w:t>
            </w:r>
          </w:p>
          <w:p>
            <w:pPr>
              <w:pStyle w:val="Normal"/>
              <w:widowControl w:val="false"/>
              <w:rPr>
                <w:rFonts w:ascii="Tahoma" w:hAnsi="Tahoma" w:cs="Tahoma"/>
                <w:i/>
                <w:i/>
                <w:sz w:val="20"/>
                <w:szCs w:val="20"/>
              </w:rPr>
            </w:pPr>
            <w:r>
              <w:rPr>
                <w:rFonts w:cs="Tahoma" w:ascii="Tahoma" w:hAnsi="Tahoma"/>
                <w:i/>
                <w:sz w:val="20"/>
                <w:szCs w:val="20"/>
              </w:rPr>
              <w:t>Formas de posesión de la tierra</w:t>
            </w:r>
          </w:p>
          <w:p>
            <w:pPr>
              <w:pStyle w:val="Normal"/>
              <w:widowControl w:val="fals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both"/>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Personas indígenas representantes de los territorios indígenas de Bribrí de Talamanca y Térraba (Señor Pablo Sibar);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 Berger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Escuela de Antropología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Alí García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Alejandra Boza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Escuela de Historia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Licda. Marjorie Herrera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Defensoría de los Habitantes de la República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Justa Romero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Bribri</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Pablo Sibar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Broran</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Por definir</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Indígena Bribri</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Panel de personas expertas.  Se desarrollaría en 80 minutos, y se brinda un espacio para consultas.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highlight w:val="yellow"/>
              </w:rPr>
            </w:pPr>
            <w:r>
              <w:rPr>
                <w:rFonts w:cs="Tahoma" w:ascii="Tahoma" w:hAnsi="Tahoma"/>
                <w:i/>
                <w:sz w:val="20"/>
                <w:szCs w:val="20"/>
                <w:highlight w:val="yellow"/>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rPr>
                <w:rFonts w:ascii="Tahoma" w:hAnsi="Tahoma" w:cs="Tahoma"/>
                <w:i/>
                <w:i/>
                <w:sz w:val="20"/>
                <w:szCs w:val="20"/>
              </w:rPr>
            </w:pPr>
            <w:r>
              <w:rPr>
                <w:rFonts w:cs="Tahoma" w:ascii="Tahoma" w:hAnsi="Tahoma"/>
                <w:i/>
                <w:sz w:val="20"/>
                <w:szCs w:val="20"/>
              </w:rPr>
              <w:t>Modelo de construcción de Política Nacional Indígena y Mecanismo de Consulta a Pueblos Indígenas; y construcción de la Política Indígena del Poder Judicial</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jc w:val="both"/>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Juan Alfaro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Viceministerio de la Presidencia, delegado para atender los asuntos indígenas por la Presidencia de la República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Geyner Blanco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Indígena Maleku Asesor de la Presidencia de la República en temas indígenas</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 Jorge Olaso Alvarez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 Comisión de Acceso a la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Sra. Melissa Benavides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Coordinadora Unidad de Acceso a la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Sra. Damaris Vargas Vásquez</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Coordinadora Subcomisión Acceso a la Justicia de Pueblos Indígenas</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Taller de 3 días cuyo producto sea la construcción de la Política Indígena del Poder Judicial.</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jc w:val="both"/>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jc w:val="both"/>
              <w:rPr>
                <w:rFonts w:ascii="Tahoma" w:hAnsi="Tahoma" w:cs="Tahoma"/>
                <w:i/>
                <w:i/>
                <w:sz w:val="20"/>
                <w:szCs w:val="20"/>
              </w:rPr>
            </w:pPr>
            <w:r>
              <w:rPr>
                <w:rFonts w:cs="Tahoma" w:ascii="Tahoma" w:hAnsi="Tahoma"/>
                <w:i/>
                <w:sz w:val="20"/>
                <w:szCs w:val="20"/>
              </w:rPr>
              <w:t>Buenas Prácticas: Reglas de Brasilia, Ley de Acceso a la Justicia de Pueblos Indígenas de Costa Rica y Reglas de Procesos Indígenas; Circulares.</w:t>
            </w:r>
          </w:p>
          <w:p>
            <w:pPr>
              <w:pStyle w:val="Normal"/>
              <w:widowControl w:val="false"/>
              <w:suppressLineNumbers/>
              <w:suppressAutoHyphens w:val="true"/>
              <w:spacing w:before="0" w:after="20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Defensa Pública: Ligia Jiménez</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Fiscalía Indígena: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Ariana Céspedes</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Judicatura: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Jean Carlos Céspedes, Damaris Vargas Vásquez</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Ámbito Administrativo: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Wilberth Kidd</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OIJ:</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Yorleny Ferreto</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Sociedad Civil:</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Exmagistrada Carmen María Escoto Fernández</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Curso virtual autoformativo</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LineNumbers/>
              <w:suppressAutoHyphens w:val="true"/>
              <w:snapToGrid w:val="false"/>
              <w:spacing w:lineRule="auto" w:line="240" w:before="0" w:after="0"/>
              <w:rPr>
                <w:rFonts w:ascii="Tahoma" w:hAnsi="Tahoma" w:cs="Tahoma"/>
                <w:i/>
                <w:i/>
                <w:sz w:val="20"/>
                <w:szCs w:val="20"/>
                <w:highlight w:val="yellow"/>
              </w:rPr>
            </w:pPr>
            <w:r>
              <w:rPr>
                <w:rFonts w:cs="Tahoma" w:ascii="Tahoma" w:hAnsi="Tahoma"/>
                <w:i/>
                <w:sz w:val="20"/>
                <w:szCs w:val="20"/>
                <w:highlight w:val="yellow"/>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cs="Tahoma" w:ascii="Tahoma" w:hAnsi="Tahoma"/>
                <w:i/>
                <w:sz w:val="20"/>
                <w:szCs w:val="20"/>
              </w:rPr>
              <w:t>Mecanismo General de Consultas sobre actos en los territorios y de importancia para las personas indígenas fuera de los territorios indígenas</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Magistrada Iris Rocío Rojas: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Coordinadora Comisión de Conciliación</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Franklin Paniagua, Director de DINARAC del Ministerio de Justicia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Carmen Cerdas: Directora Centro de Conciliación del Poder Judicial</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Kattya Escalante: Escuela Judicial</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Mesa Redonda con personas expertas.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i/>
                <w:sz w:val="20"/>
                <w:szCs w:val="20"/>
              </w:rPr>
              <w:t xml:space="preserve">Plan de Recuperación de Tierras Indígenas (INDER) (Tierras, Territorios y Recursos) </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Diana Murillo: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Gerente General de INDER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Ing. Jimmy Garita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INDER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Ingra. Sandra Angulo Calderón</w:t>
            </w:r>
          </w:p>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INDER</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Conversatorio con espacio de consultas por parte de las personas participantes.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cs="Tahoma"/>
                <w:i/>
                <w:i/>
                <w:sz w:val="20"/>
                <w:szCs w:val="20"/>
              </w:rPr>
            </w:pPr>
            <w:r>
              <w:rPr>
                <w:rFonts w:cs="Tahoma" w:ascii="Tahoma" w:hAnsi="Tahoma"/>
                <w:i/>
                <w:sz w:val="20"/>
                <w:szCs w:val="20"/>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rPr>
                <w:rFonts w:ascii="Tahoma" w:hAnsi="Tahoma" w:cs="Tahoma"/>
                <w:i/>
                <w:i/>
                <w:sz w:val="20"/>
                <w:szCs w:val="20"/>
              </w:rPr>
            </w:pPr>
            <w:r>
              <w:rPr>
                <w:rFonts w:cs="Tahoma" w:ascii="Tahoma" w:hAnsi="Tahoma"/>
                <w:i/>
                <w:sz w:val="20"/>
                <w:szCs w:val="20"/>
              </w:rPr>
              <w:t>Género y mujeres indígenas</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Antropóloga Valeria Varas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INAMU</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Máster Melissa </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Benavides</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Unidad Acceso a la Justicia</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Taller de 2 días.</w:t>
            </w:r>
          </w:p>
          <w:p>
            <w:pPr>
              <w:pStyle w:val="Normal"/>
              <w:widowControl w:val="false"/>
              <w:spacing w:lineRule="auto" w:line="240" w:before="0" w:after="0"/>
              <w:rPr>
                <w:rFonts w:ascii="Tahoma" w:hAnsi="Tahoma" w:cs="Tahoma"/>
                <w:i/>
                <w:i/>
                <w:sz w:val="20"/>
                <w:szCs w:val="20"/>
              </w:rPr>
            </w:pPr>
            <w:r>
              <w:rPr>
                <w:rFonts w:cs="Tahoma" w:ascii="Tahoma" w:hAnsi="Tahoma"/>
                <w:i/>
                <w:kern w:val="2"/>
                <w:sz w:val="20"/>
                <w:szCs w:val="20"/>
              </w:rPr>
              <w:t>Producto: buena práctica para aplicar.</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cs="Tahoma" w:ascii="Tahoma" w:hAnsi="Tahoma"/>
                <w:i/>
                <w:sz w:val="20"/>
                <w:szCs w:val="20"/>
              </w:rPr>
              <w:t>Peritajes Culturales: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Lecciones aprendidas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Aprovechamiento y administración de la información</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t>Interpretación del idioma indígena</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 Berger</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Alí García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Javier Rodríguez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Coordinador de Proyecto por el National Center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Patricia Bonilla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Centro de Información Jurisprudencial</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Simposio de al menos tres días para el desarrollo de la temática.</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Times New Roman" w:cs="Tahoma"/>
                <w:i/>
                <w:i/>
                <w:color w:val="000000"/>
                <w:kern w:val="2"/>
                <w:sz w:val="20"/>
                <w:szCs w:val="20"/>
                <w:lang w:eastAsia="zh-CN" w:bidi="hi-IN"/>
              </w:rPr>
            </w:pPr>
            <w:r>
              <w:rPr>
                <w:rFonts w:eastAsia="Times New Roman" w:cs="Tahoma" w:ascii="Tahoma" w:hAnsi="Tahoma"/>
                <w:i/>
                <w:color w:val="000000"/>
                <w:kern w:val="2"/>
                <w:sz w:val="20"/>
                <w:szCs w:val="20"/>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eastAsia="Times New Roman" w:cs="Tahoma" w:ascii="Tahoma" w:hAnsi="Tahoma"/>
                <w:i/>
                <w:color w:val="000000"/>
                <w:sz w:val="20"/>
                <w:szCs w:val="20"/>
              </w:rPr>
              <w:t>Módulo didáctico sobre Acceso a la Justicia de Pueblos Indígenas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 xml:space="preserve">Personas integrantes de la Subcomisión de Acceso a la Justicia, representantes de la Judicatura, Fiscalía, Defensa Pública, Trabajo Social y Psicología, </w:t>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cs="Tahoma" w:ascii="Tahoma" w:hAnsi="Tahoma"/>
                <w:i/>
                <w:kern w:val="2"/>
                <w:sz w:val="20"/>
                <w:szCs w:val="20"/>
              </w:rPr>
              <w:t>Taller de 2 días. Producto: la aplicación de la política de acceso a la Justicia.</w:t>
            </w:r>
          </w:p>
          <w:p>
            <w:pPr>
              <w:pStyle w:val="Normal"/>
              <w:widowControl w:val="false"/>
              <w:suppressLineNumbers/>
              <w:suppressAutoHyphens w:val="true"/>
              <w:spacing w:before="0" w:after="200"/>
              <w:rPr>
                <w:rFonts w:ascii="Tahoma" w:hAnsi="Tahoma" w:cs="Tahoma"/>
                <w:i/>
                <w:i/>
                <w:sz w:val="20"/>
                <w:szCs w:val="20"/>
              </w:rPr>
            </w:pPr>
            <w:r>
              <w:rPr>
                <w:rFonts w:cs="Tahoma" w:ascii="Tahoma" w:hAnsi="Tahoma"/>
                <w:i/>
                <w:sz w:val="20"/>
                <w:szCs w:val="20"/>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
              <w:widowControl w:val="false"/>
              <w:numPr>
                <w:ilvl w:val="0"/>
                <w:numId w:val="25"/>
              </w:numPr>
              <w:suppressAutoHyphens w:val="true"/>
              <w:snapToGrid w:val="false"/>
              <w:spacing w:lineRule="auto" w:line="240" w:before="0" w:after="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Experiencias de la Defensa Pública en la atención de la temática indígena:</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Políticas y circulares</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rPr>
                <w:rFonts w:ascii="Tahoma" w:hAnsi="Tahoma" w:cs="Tahoma"/>
                <w:i/>
                <w:i/>
                <w:sz w:val="20"/>
                <w:szCs w:val="20"/>
              </w:rPr>
            </w:pPr>
            <w:r>
              <w:rPr>
                <w:rFonts w:eastAsia="NSimSun" w:cs="Tahoma" w:ascii="Tahoma" w:hAnsi="Tahoma"/>
                <w:i/>
                <w:color w:val="000000"/>
                <w:kern w:val="2"/>
                <w:sz w:val="20"/>
                <w:szCs w:val="20"/>
                <w:lang w:eastAsia="zh-CN" w:bidi="hi-IN"/>
              </w:rPr>
              <w:t>Buenas</w:t>
            </w:r>
            <w:r>
              <w:rPr>
                <w:rFonts w:eastAsia="NSimSun" w:cs="Tahoma" w:ascii="Tahoma" w:hAnsi="Tahoma"/>
                <w:i/>
                <w:color w:val="000000"/>
                <w:kern w:val="2"/>
                <w:sz w:val="20"/>
                <w:szCs w:val="20"/>
                <w:highlight w:val="yellow"/>
                <w:lang w:eastAsia="zh-CN" w:bidi="hi-IN"/>
              </w:rPr>
              <w:t xml:space="preserve"> </w:t>
            </w:r>
            <w:r>
              <w:rPr>
                <w:rFonts w:eastAsia="NSimSun" w:cs="Tahoma" w:ascii="Tahoma" w:hAnsi="Tahoma"/>
                <w:i/>
                <w:color w:val="000000"/>
                <w:kern w:val="2"/>
                <w:sz w:val="20"/>
                <w:szCs w:val="20"/>
                <w:lang w:eastAsia="zh-CN" w:bidi="hi-IN"/>
              </w:rPr>
              <w:t>Prácticas</w:t>
            </w:r>
          </w:p>
          <w:p>
            <w:pPr>
              <w:pStyle w:val="Normal"/>
              <w:widowControl w:val="fals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 xml:space="preserve">Peritajes culturales </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Media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Diana Montero Montero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Directora Defensa 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Erick Núñez Rodríguez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Subdirector de la Defensa Pública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Licda. Ligia Jiménez</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Defensa Pública Indígena</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Lic. Jesús Chaves Mora </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 xml:space="preserve">Defensa Pública Indígena </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Conferencia puntual con espacio para preguntas</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r>
        <w:trPr/>
        <w:tc>
          <w:tcPr>
            <w:tcW w:w="759" w:type="dxa"/>
            <w:tcBorders>
              <w:top w:val="single" w:sz="4" w:space="0" w:color="000000"/>
              <w:left w:val="single" w:sz="4" w:space="0" w:color="000000"/>
              <w:bottom w:val="single" w:sz="4" w:space="0" w:color="000000"/>
            </w:tcBorders>
            <w:shd w:color="auto" w:fill="auto" w:val="clear"/>
          </w:tcPr>
          <w:p>
            <w:pPr>
              <w:pStyle w:val="NormalWeb"/>
              <w:widowControl w:val="false"/>
              <w:numPr>
                <w:ilvl w:val="0"/>
                <w:numId w:val="25"/>
              </w:numPr>
              <w:suppressAutoHyphens w:val="true"/>
              <w:snapToGrid w:val="false"/>
              <w:spacing w:beforeAutospacing="0" w:before="280" w:afterAutospacing="0" w:after="280"/>
              <w:rPr>
                <w:rFonts w:ascii="Tahoma" w:hAnsi="Tahoma" w:eastAsia="NSimSun" w:cs="Tahoma"/>
                <w:i/>
                <w:i/>
                <w:color w:val="000000"/>
                <w:kern w:val="2"/>
                <w:sz w:val="20"/>
                <w:szCs w:val="20"/>
                <w:highlight w:val="yellow"/>
                <w:lang w:eastAsia="zh-CN" w:bidi="hi-IN"/>
              </w:rPr>
            </w:pPr>
            <w:r>
              <w:rPr>
                <w:rFonts w:eastAsia="NSimSun" w:cs="Tahoma" w:ascii="Tahoma" w:hAnsi="Tahoma"/>
                <w:i/>
                <w:color w:val="000000"/>
                <w:kern w:val="2"/>
                <w:sz w:val="20"/>
                <w:szCs w:val="20"/>
                <w:highlight w:val="yellow"/>
                <w:lang w:eastAsia="zh-CN" w:bidi="hi-IN"/>
              </w:rPr>
            </w:r>
          </w:p>
        </w:tc>
        <w:tc>
          <w:tcPr>
            <w:tcW w:w="1654" w:type="dxa"/>
            <w:tcBorders>
              <w:top w:val="single" w:sz="4" w:space="0" w:color="000000"/>
              <w:left w:val="single" w:sz="4" w:space="0" w:color="000000"/>
              <w:bottom w:val="single" w:sz="4" w:space="0" w:color="000000"/>
            </w:tcBorders>
            <w:shd w:color="auto" w:fill="auto" w:val="clear"/>
          </w:tcPr>
          <w:p>
            <w:pPr>
              <w:pStyle w:val="NormalWeb"/>
              <w:widowControl w:val="false"/>
              <w:spacing w:before="280" w:after="280"/>
              <w:rPr>
                <w:rFonts w:ascii="Tahoma" w:hAnsi="Tahoma" w:cs="Tahoma"/>
                <w:i/>
                <w:i/>
                <w:sz w:val="20"/>
                <w:szCs w:val="20"/>
              </w:rPr>
            </w:pPr>
            <w:r>
              <w:rPr>
                <w:rFonts w:cs="Tahoma" w:ascii="Tahoma" w:hAnsi="Tahoma"/>
                <w:i/>
                <w:sz w:val="20"/>
                <w:szCs w:val="20"/>
              </w:rPr>
              <w:t>Capacitación en temáticas vinculadas con pueblos y territorios indígenas</w:t>
            </w:r>
          </w:p>
          <w:p>
            <w:pPr>
              <w:pStyle w:val="NormalWeb"/>
              <w:widowControl w:val="false"/>
              <w:spacing w:before="280" w:after="280"/>
              <w:rPr>
                <w:rFonts w:ascii="Tahoma" w:hAnsi="Tahoma" w:cs="Tahoma"/>
                <w:i/>
                <w:i/>
                <w:sz w:val="20"/>
                <w:szCs w:val="20"/>
              </w:rPr>
            </w:pPr>
            <w:r>
              <w:rPr>
                <w:rFonts w:cs="Tahoma" w:ascii="Tahoma" w:hAnsi="Tahoma"/>
                <w:i/>
                <w:sz w:val="20"/>
                <w:szCs w:val="20"/>
              </w:rPr>
              <w:t>Capacitación desarrollada por la UCR compuesta por 6 módulos temáticos con un sitio virtual para la interlocución de las personas participantes.</w:t>
            </w:r>
          </w:p>
          <w:p>
            <w:pPr>
              <w:pStyle w:val="NormalWeb"/>
              <w:widowControl w:val="false"/>
              <w:spacing w:before="280" w:after="280"/>
              <w:rPr>
                <w:rFonts w:ascii="Tahoma" w:hAnsi="Tahoma" w:cs="Tahoma"/>
                <w:i/>
                <w:i/>
                <w:sz w:val="20"/>
                <w:szCs w:val="20"/>
              </w:rPr>
            </w:pPr>
            <w:r>
              <w:rPr>
                <w:rFonts w:cs="Tahoma" w:ascii="Tahoma" w:hAnsi="Tahoma"/>
                <w:i/>
                <w:sz w:val="20"/>
                <w:szCs w:val="20"/>
              </w:rPr>
              <w:t>Se adicionaron dos módulos:</w:t>
            </w:r>
          </w:p>
          <w:p>
            <w:pPr>
              <w:pStyle w:val="NormalWeb"/>
              <w:widowControl w:val="false"/>
              <w:spacing w:before="280" w:after="280"/>
              <w:rPr>
                <w:rFonts w:ascii="Tahoma" w:hAnsi="Tahoma" w:cs="Tahoma"/>
                <w:i/>
                <w:i/>
                <w:sz w:val="20"/>
                <w:szCs w:val="20"/>
              </w:rPr>
            </w:pPr>
            <w:r>
              <w:rPr>
                <w:rFonts w:cs="Tahoma" w:ascii="Tahoma" w:hAnsi="Tahoma"/>
                <w:i/>
                <w:sz w:val="20"/>
                <w:szCs w:val="20"/>
              </w:rPr>
              <w:t>-Concepción tradicional de la tierra</w:t>
            </w:r>
          </w:p>
          <w:p>
            <w:pPr>
              <w:pStyle w:val="NormalWeb"/>
              <w:widowControl w:val="false"/>
              <w:spacing w:before="280" w:after="280"/>
              <w:rPr>
                <w:rFonts w:ascii="Tahoma" w:hAnsi="Tahoma" w:cs="Tahoma"/>
                <w:i/>
                <w:i/>
                <w:sz w:val="20"/>
                <w:szCs w:val="20"/>
              </w:rPr>
            </w:pPr>
            <w:r>
              <w:rPr>
                <w:rFonts w:cs="Tahoma" w:ascii="Tahoma" w:hAnsi="Tahoma"/>
                <w:i/>
                <w:sz w:val="20"/>
                <w:szCs w:val="20"/>
              </w:rPr>
              <w:t>-Peritaje cultural</w:t>
            </w:r>
          </w:p>
        </w:tc>
        <w:tc>
          <w:tcPr>
            <w:tcW w:w="2178"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napToGrid w:val="false"/>
              <w:spacing w:before="0" w:after="200"/>
              <w:rPr>
                <w:rFonts w:ascii="Tahoma" w:hAnsi="Tahoma" w:cs="Tahoma"/>
                <w:i/>
                <w:i/>
                <w:sz w:val="20"/>
                <w:szCs w:val="20"/>
              </w:rPr>
            </w:pPr>
            <w:r>
              <w:rPr>
                <w:rFonts w:cs="Tahoma" w:ascii="Tahoma" w:hAnsi="Tahoma"/>
                <w:i/>
                <w:color w:val="000000"/>
                <w:sz w:val="20"/>
                <w:szCs w:val="20"/>
              </w:rPr>
              <w:t>Acuerdos de Corte Plena tomados en sesiones N° 20-19 de 27 de mayo de 2019, Artículo XIX y N° 25-19 de 24 de junio de 2019, Artículo II, donde se aprobaron y la Circular N° 123-2019 denominada “</w:t>
            </w:r>
            <w:r>
              <w:rPr>
                <w:rFonts w:cs="Tahoma" w:ascii="Tahoma" w:hAnsi="Tahoma"/>
                <w:i/>
                <w:sz w:val="20"/>
                <w:szCs w:val="20"/>
                <w:lang w:val="es-ES"/>
              </w:rPr>
              <w:t xml:space="preserve">Sobre los </w:t>
            </w:r>
            <w:r>
              <w:rPr>
                <w:rFonts w:cs="Tahoma" w:ascii="Tahoma" w:hAnsi="Tahoma"/>
                <w:i/>
                <w:sz w:val="20"/>
                <w:szCs w:val="20"/>
                <w:lang w:val="es-ES_tradnl"/>
              </w:rPr>
              <w:t>21 ejes de acción, recomendados por la Comisión de Acceso a la Justicia, con ocasión del cumplimiento de las Medidas Cautelares N° 321-12 del 30 de abril de 2015, establecidas por la Comisión Interamericana de Derechos Humanos (CIDH) contra Costa Rica”</w:t>
            </w:r>
          </w:p>
        </w:tc>
        <w:tc>
          <w:tcPr>
            <w:tcW w:w="1512"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950"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spacing w:before="0" w:after="200"/>
              <w:rPr>
                <w:rFonts w:ascii="Tahoma" w:hAnsi="Tahoma" w:cs="Tahoma"/>
                <w:i/>
                <w:i/>
                <w:sz w:val="20"/>
                <w:szCs w:val="20"/>
              </w:rPr>
            </w:pPr>
            <w:r>
              <w:rPr>
                <w:rFonts w:eastAsia="NSimSun" w:cs="Tahoma" w:ascii="Tahoma" w:hAnsi="Tahoma"/>
                <w:i/>
                <w:color w:val="000000"/>
                <w:kern w:val="2"/>
                <w:sz w:val="20"/>
                <w:szCs w:val="20"/>
                <w:lang w:eastAsia="zh-CN" w:bidi="hi-IN"/>
              </w:rPr>
              <w:t>Alta</w:t>
            </w:r>
          </w:p>
        </w:tc>
        <w:tc>
          <w:tcPr>
            <w:tcW w:w="1734" w:type="dxa"/>
            <w:tcBorders>
              <w:top w:val="single" w:sz="4" w:space="0" w:color="000000"/>
              <w:left w:val="single" w:sz="4" w:space="0" w:color="000000"/>
              <w:bottom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Dra. Vania Solano</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Dr. Marcos Guevara</w:t>
            </w:r>
          </w:p>
          <w:p>
            <w:pPr>
              <w:pStyle w:val="Normal"/>
              <w:widowControl w:val="false"/>
              <w:suppressLineNumbers/>
              <w:suppressAutoHyphens w:val="true"/>
              <w:rPr>
                <w:rFonts w:ascii="Tahoma" w:hAnsi="Tahoma" w:cs="Tahoma"/>
                <w:i/>
                <w:i/>
                <w:sz w:val="20"/>
                <w:szCs w:val="20"/>
              </w:rPr>
            </w:pPr>
            <w:r>
              <w:rPr>
                <w:rFonts w:eastAsia="NSimSun" w:cs="Tahoma" w:ascii="Tahoma" w:hAnsi="Tahoma"/>
                <w:i/>
                <w:color w:val="000000"/>
                <w:kern w:val="2"/>
                <w:sz w:val="20"/>
                <w:szCs w:val="20"/>
                <w:lang w:eastAsia="zh-CN" w:bidi="hi-IN"/>
              </w:rPr>
              <w:t>UCR</w:t>
            </w:r>
          </w:p>
          <w:p>
            <w:pPr>
              <w:pStyle w:val="Normal"/>
              <w:widowControl w:val="false"/>
              <w:suppressLineNumbers/>
              <w:suppressAutoHyphens w:val="true"/>
              <w:jc w:val="both"/>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p>
            <w:pPr>
              <w:pStyle w:val="Normal"/>
              <w:widowControl w:val="false"/>
              <w:suppressLineNumbers/>
              <w:suppressAutoHyphens w:val="true"/>
              <w:spacing w:before="0" w:after="200"/>
              <w:jc w:val="both"/>
              <w:rPr>
                <w:rFonts w:ascii="Tahoma" w:hAnsi="Tahoma" w:cs="Tahoma"/>
                <w:i/>
                <w:i/>
                <w:sz w:val="20"/>
                <w:szCs w:val="20"/>
              </w:rPr>
            </w:pPr>
            <w:r>
              <w:rPr>
                <w:rFonts w:cs="Tahoma" w:ascii="Tahoma" w:hAnsi="Tahoma"/>
                <w:i/>
                <w:sz w:val="20"/>
                <w:szCs w:val="20"/>
              </w:rPr>
            </w:r>
          </w:p>
        </w:tc>
        <w:tc>
          <w:tcPr>
            <w:tcW w:w="173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Curso que se desarrolla en la Universidad de Costa Rica.</w:t>
            </w:r>
          </w:p>
          <w:p>
            <w:pPr>
              <w:pStyle w:val="Normal"/>
              <w:widowControl w:val="false"/>
              <w:suppressLineNumbers/>
              <w:suppressAutoHyphens w:val="true"/>
              <w:rPr>
                <w:rFonts w:ascii="Tahoma" w:hAnsi="Tahoma" w:cs="Tahoma"/>
                <w:i/>
                <w:i/>
                <w:sz w:val="20"/>
                <w:szCs w:val="20"/>
              </w:rPr>
            </w:pPr>
            <w:r>
              <w:rPr>
                <w:rFonts w:eastAsia="NSimSun" w:cs="Tahoma" w:ascii="Tahoma" w:hAnsi="Tahoma"/>
                <w:i/>
                <w:kern w:val="2"/>
                <w:sz w:val="20"/>
                <w:szCs w:val="20"/>
                <w:lang w:eastAsia="zh-CN" w:bidi="hi-IN"/>
              </w:rPr>
              <w:t>Programa de Educación Continua, Facultad de Derecho.</w:t>
            </w:r>
          </w:p>
          <w:p>
            <w:pPr>
              <w:pStyle w:val="Normal"/>
              <w:widowControl w:val="false"/>
              <w:suppressLineNumbers/>
              <w:suppressAutoHyphens w:val="true"/>
              <w:spacing w:before="0" w:after="200"/>
              <w:rPr>
                <w:rFonts w:ascii="Tahoma" w:hAnsi="Tahoma" w:eastAsia="NSimSun" w:cs="Tahoma"/>
                <w:i/>
                <w:i/>
                <w:color w:val="000000"/>
                <w:kern w:val="2"/>
                <w:sz w:val="20"/>
                <w:szCs w:val="20"/>
                <w:lang w:eastAsia="zh-CN" w:bidi="hi-IN"/>
              </w:rPr>
            </w:pPr>
            <w:r>
              <w:rPr>
                <w:rFonts w:eastAsia="NSimSun" w:cs="Tahoma" w:ascii="Tahoma" w:hAnsi="Tahoma"/>
                <w:i/>
                <w:color w:val="000000"/>
                <w:kern w:val="2"/>
                <w:sz w:val="20"/>
                <w:szCs w:val="20"/>
                <w:lang w:eastAsia="zh-CN" w:bidi="hi-IN"/>
              </w:rPr>
            </w:r>
          </w:p>
        </w:tc>
      </w:tr>
    </w:tbl>
    <w:p>
      <w:pPr>
        <w:pStyle w:val="Normal"/>
        <w:spacing w:before="0" w:after="0"/>
        <w:ind w:left="708" w:right="141" w:hanging="0"/>
        <w:jc w:val="both"/>
        <w:rPr>
          <w:rFonts w:ascii="Tahoma" w:hAnsi="Tahoma" w:cs="Tahoma"/>
          <w:i/>
          <w:i/>
          <w:sz w:val="20"/>
          <w:szCs w:val="20"/>
        </w:rPr>
      </w:pPr>
      <w:r>
        <w:rPr>
          <w:rFonts w:cs="Tahoma" w:ascii="Tahoma" w:hAnsi="Tahoma"/>
          <w:i/>
          <w:sz w:val="20"/>
          <w:szCs w:val="20"/>
        </w:rPr>
      </w:r>
    </w:p>
    <w:p>
      <w:pPr>
        <w:pStyle w:val="Prrafodelista1"/>
        <w:ind w:left="1080" w:right="851" w:hanging="0"/>
        <w:jc w:val="both"/>
        <w:rPr>
          <w:rFonts w:ascii="Tahoma" w:hAnsi="Tahoma" w:cs="Tahoma"/>
          <w:i/>
          <w:i/>
          <w:sz w:val="20"/>
          <w:szCs w:val="20"/>
        </w:rPr>
      </w:pPr>
      <w:r>
        <w:rPr>
          <w:rFonts w:cs="Tahoma" w:ascii="Tahoma" w:hAnsi="Tahoma"/>
          <w:i/>
          <w:sz w:val="20"/>
          <w:szCs w:val="20"/>
        </w:rPr>
      </w:r>
    </w:p>
    <w:p>
      <w:pPr>
        <w:pStyle w:val="Prrafodelista1"/>
        <w:ind w:left="1080" w:right="851" w:hanging="0"/>
        <w:jc w:val="both"/>
        <w:rPr>
          <w:rFonts w:ascii="Tahoma" w:hAnsi="Tahoma" w:cs="Tahoma"/>
          <w:i/>
          <w:i/>
          <w:sz w:val="20"/>
          <w:szCs w:val="20"/>
        </w:rPr>
      </w:pPr>
      <w:r>
        <w:rPr>
          <w:rFonts w:cs="Tahoma" w:ascii="Tahoma" w:hAnsi="Tahoma"/>
          <w:i/>
          <w:sz w:val="20"/>
          <w:szCs w:val="20"/>
          <w:lang w:val="es-ES"/>
        </w:rPr>
        <w:t>Se solicita verificar que en los contenidos de los diseños de las capacitaciones en Derecho Indígena, se incluya al menos:</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Normativa internacional referida a los derechos de las personas indígenas, entre ellos, el Convenio relativo a la protección e integración de las poblaciones indígenas y de otras poblaciones tribales y semitribales en los países 1957 (Convenio 107 OIT), Convenio sobre Pueblos Indígenas y Tribales 1989 (Convenio 169 OIT), Declaración de las Naciones Unidas sobre los derechos de los Pueblos Indígenas 2007, Declaración Americana sobre Derechos de los Pueblos Indígenas OEA 2016</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Jurisprudencia de la Corte Interamericana de Derechos Humanos vinculada con pueblos Indígenas incluyendo la Opinión Consultiva 23-2017</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Constitución Política, Ley Indígena, Ley de Acceso a la Justicia de los Pueblos Indígenas, Ley de Protección del Derecho a la Nacionalidad de la Persona Indígena y Garantía de Integración de la Persona Indígena Transfronteriza, entre otras.</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Jurisprudencia de las Salas de Casación y de la Sala Constitucional de la Corte Suprema de Justicia.</w:t>
      </w:r>
    </w:p>
    <w:p>
      <w:pPr>
        <w:pStyle w:val="Prrafodelista1"/>
        <w:numPr>
          <w:ilvl w:val="0"/>
          <w:numId w:val="24"/>
        </w:numPr>
        <w:ind w:left="1637" w:right="851" w:hanging="360"/>
        <w:jc w:val="both"/>
        <w:rPr>
          <w:rFonts w:ascii="Tahoma" w:hAnsi="Tahoma" w:cs="Tahoma"/>
          <w:i/>
          <w:i/>
          <w:sz w:val="20"/>
          <w:szCs w:val="20"/>
        </w:rPr>
      </w:pPr>
      <w:r>
        <w:rPr>
          <w:rFonts w:cs="Tahoma" w:ascii="Tahoma" w:hAnsi="Tahoma"/>
          <w:i/>
          <w:sz w:val="20"/>
          <w:szCs w:val="20"/>
          <w:lang w:val="es-ES"/>
        </w:rPr>
        <w:t>Lineamientos y circulares de Corte Plena y del Consejo Superior vinculados con las reglas para los procesos en los que estén involucradas personas indígenas; además, los alcances y distinción entre el sistema monista y el pluralismo jurídico.</w:t>
      </w:r>
    </w:p>
    <w:p>
      <w:pPr>
        <w:pStyle w:val="Normal"/>
        <w:ind w:left="1559" w:right="851" w:firstLine="709"/>
        <w:jc w:val="both"/>
        <w:rPr>
          <w:rFonts w:ascii="Tahoma" w:hAnsi="Tahoma" w:cs="Tahoma"/>
          <w:i/>
          <w:i/>
          <w:sz w:val="20"/>
          <w:szCs w:val="20"/>
          <w:lang w:val="es-ES"/>
        </w:rPr>
      </w:pPr>
      <w:r>
        <w:rPr>
          <w:rFonts w:cs="Tahoma" w:ascii="Tahoma" w:hAnsi="Tahoma"/>
          <w:i/>
          <w:sz w:val="20"/>
          <w:szCs w:val="20"/>
          <w:lang w:val="es-ES"/>
        </w:rPr>
      </w:r>
    </w:p>
    <w:tbl>
      <w:tblPr>
        <w:tblW w:w="9975" w:type="dxa"/>
        <w:jc w:val="left"/>
        <w:tblInd w:w="57" w:type="dxa"/>
        <w:tblLayout w:type="fixed"/>
        <w:tblCellMar>
          <w:top w:w="57" w:type="dxa"/>
          <w:left w:w="57" w:type="dxa"/>
          <w:bottom w:w="57" w:type="dxa"/>
          <w:right w:w="57" w:type="dxa"/>
        </w:tblCellMar>
        <w:tblLook w:firstRow="0" w:noVBand="0" w:lastRow="0" w:firstColumn="0" w:lastColumn="0" w:noHBand="0" w:val="0000"/>
      </w:tblPr>
      <w:tblGrid>
        <w:gridCol w:w="795"/>
        <w:gridCol w:w="2527"/>
        <w:gridCol w:w="1662"/>
        <w:gridCol w:w="1663"/>
        <w:gridCol w:w="1288"/>
        <w:gridCol w:w="2039"/>
      </w:tblGrid>
      <w:tr>
        <w:trPr/>
        <w:tc>
          <w:tcPr>
            <w:tcW w:w="795"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Nombre</w:t>
            </w:r>
          </w:p>
        </w:tc>
        <w:tc>
          <w:tcPr>
            <w:tcW w:w="1662"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Cédula</w:t>
            </w:r>
          </w:p>
        </w:tc>
        <w:tc>
          <w:tcPr>
            <w:tcW w:w="1663"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Teléfono</w:t>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Lenguas</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b/>
                <w:bCs/>
                <w:i/>
                <w:sz w:val="20"/>
                <w:szCs w:val="20"/>
              </w:rPr>
              <w:t>Circuito (s) Judicial (es)</w:t>
            </w:r>
          </w:p>
        </w:tc>
      </w:tr>
      <w:tr>
        <w:trPr/>
        <w:tc>
          <w:tcPr>
            <w:tcW w:w="795" w:type="dxa"/>
            <w:tcBorders/>
            <w:shd w:color="auto" w:fill="auto" w:val="clear"/>
            <w:vAlign w:val="center"/>
          </w:tcPr>
          <w:p>
            <w:pPr>
              <w:pStyle w:val="Normal"/>
              <w:widowControl w:val="false"/>
              <w:numPr>
                <w:ilvl w:val="0"/>
                <w:numId w:val="29"/>
              </w:numPr>
              <w:suppressAutoHyphens w:val="true"/>
              <w:spacing w:lineRule="auto" w:line="240" w:before="0" w:after="0"/>
              <w:rPr>
                <w:rFonts w:ascii="Tahoma" w:hAnsi="Tahoma" w:cs="Tahoma"/>
                <w:i/>
                <w:i/>
                <w:sz w:val="20"/>
                <w:szCs w:val="20"/>
              </w:rPr>
            </w:pPr>
            <w:r>
              <w:rPr>
                <w:rFonts w:cs="Tahoma" w:ascii="Tahoma" w:hAnsi="Tahoma"/>
                <w:i/>
                <w:sz w:val="20"/>
                <w:szCs w:val="20"/>
              </w:rPr>
              <w:t>1.</w:t>
            </w:r>
          </w:p>
        </w:tc>
        <w:tc>
          <w:tcPr>
            <w:tcW w:w="2527"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JOSE BALDOMERO TORRES TORRES</w:t>
            </w:r>
          </w:p>
        </w:tc>
        <w:tc>
          <w:tcPr>
            <w:tcW w:w="1662"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0600590704</w:t>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27300289      Tel: 22005024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Bribrí</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ULISES HERNANDEZ NERCIS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0900710272</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25332434</w:t>
            </w:r>
          </w:p>
          <w:p>
            <w:pPr>
              <w:pStyle w:val="Normal"/>
              <w:widowControl w:val="false"/>
              <w:rPr>
                <w:rFonts w:ascii="Tahoma" w:hAnsi="Tahoma" w:cs="Tahoma"/>
                <w:i/>
                <w:i/>
                <w:sz w:val="20"/>
                <w:szCs w:val="20"/>
              </w:rPr>
            </w:pPr>
            <w:r>
              <w:rPr>
                <w:rFonts w:cs="Tahoma" w:ascii="Tahoma" w:hAnsi="Tahoma"/>
                <w:i/>
                <w:color w:val="000000"/>
                <w:sz w:val="20"/>
                <w:szCs w:val="20"/>
              </w:rPr>
              <w:t>Fax: 25333056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EMILIANO FIGUEROA ORTIZ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600930377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87197151       Tel: 84154519 </w:t>
            </w:r>
          </w:p>
          <w:p>
            <w:pPr>
              <w:pStyle w:val="Normal"/>
              <w:widowControl w:val="false"/>
              <w:rPr>
                <w:rFonts w:ascii="Tahoma" w:hAnsi="Tahoma" w:cs="Tahoma"/>
                <w:i/>
                <w:i/>
                <w:sz w:val="20"/>
                <w:szCs w:val="20"/>
              </w:rPr>
            </w:pPr>
            <w:r>
              <w:rPr>
                <w:rFonts w:cs="Tahoma" w:ascii="Tahoma" w:hAnsi="Tahoma"/>
                <w:i/>
                <w:color w:val="000000"/>
                <w:sz w:val="20"/>
                <w:szCs w:val="20"/>
              </w:rPr>
              <w:t>Tel: 85758917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 xml:space="preserve">II CJ San José </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ELIO NELSON NELSON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700560863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83014551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ANA MAURA VARGAS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0701060881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83967551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EDWARD LEISY STWARD JACKSON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0702820634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 xml:space="preserve">Tel: 27510574 </w:t>
            </w:r>
          </w:p>
          <w:p>
            <w:pPr>
              <w:pStyle w:val="Normal"/>
              <w:widowControl w:val="false"/>
              <w:rPr>
                <w:rFonts w:ascii="Tahoma" w:hAnsi="Tahoma" w:cs="Tahoma"/>
                <w:i/>
                <w:i/>
                <w:sz w:val="20"/>
                <w:szCs w:val="20"/>
              </w:rPr>
            </w:pPr>
            <w:r>
              <w:rPr>
                <w:rFonts w:cs="Tahoma" w:ascii="Tahoma" w:hAnsi="Tahoma"/>
                <w:i/>
                <w:color w:val="000000"/>
                <w:sz w:val="20"/>
                <w:szCs w:val="20"/>
              </w:rPr>
              <w:t>Tel: 85123908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MARINA LOPEZ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0700790129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27510574</w:t>
            </w:r>
          </w:p>
          <w:p>
            <w:pPr>
              <w:pStyle w:val="Normal"/>
              <w:widowControl w:val="false"/>
              <w:rPr>
                <w:rFonts w:ascii="Tahoma" w:hAnsi="Tahoma" w:cs="Tahoma"/>
                <w:i/>
                <w:i/>
                <w:sz w:val="20"/>
                <w:szCs w:val="20"/>
              </w:rPr>
            </w:pPr>
            <w:r>
              <w:rPr>
                <w:rFonts w:cs="Tahoma" w:ascii="Tahoma" w:hAnsi="Tahoma"/>
                <w:i/>
                <w:color w:val="000000"/>
                <w:sz w:val="20"/>
                <w:szCs w:val="20"/>
              </w:rPr>
              <w:t>Tel: 85123908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LEONARDO BUITRAGO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0700960977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84991938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NEMESIO REYES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0700460278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83967551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JUSTA  ROMERO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0900730306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87040556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BAUDILIO SELLES SANCHEZ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701330133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83525971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LEIDY FABIOLA MORALES ROJAS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702580852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85949581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ROLANDO MORALES MARIN</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701890254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85612095</w:t>
            </w:r>
          </w:p>
          <w:p>
            <w:pPr>
              <w:pStyle w:val="Normal"/>
              <w:widowControl w:val="false"/>
              <w:rPr>
                <w:rFonts w:ascii="Tahoma" w:hAnsi="Tahoma" w:cs="Tahoma"/>
                <w:i/>
                <w:i/>
                <w:sz w:val="20"/>
                <w:szCs w:val="20"/>
              </w:rPr>
            </w:pPr>
            <w:r>
              <w:rPr>
                <w:rFonts w:cs="Tahoma" w:ascii="Tahoma" w:hAnsi="Tahoma"/>
                <w:i/>
                <w:color w:val="000000"/>
                <w:sz w:val="20"/>
                <w:szCs w:val="20"/>
              </w:rPr>
              <w:t>Tel: 85612095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ARCELIO GARCIA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0701200162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83979316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LILLIAM JEANNETTE MORALES GARCIA</w:t>
            </w:r>
          </w:p>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0701240018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83867194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LAUDENCIO ROJAS ORTIZ</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0900750620</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84509771</w:t>
            </w:r>
          </w:p>
          <w:p>
            <w:pPr>
              <w:pStyle w:val="Normal"/>
              <w:widowControl w:val="false"/>
              <w:spacing w:before="0" w:after="200"/>
              <w:rPr>
                <w:rFonts w:ascii="Tahoma" w:hAnsi="Tahoma" w:cs="Tahoma"/>
                <w:i/>
                <w:i/>
                <w:color w:val="000000"/>
                <w:sz w:val="20"/>
                <w:szCs w:val="20"/>
              </w:rPr>
            </w:pPr>
            <w:r>
              <w:rPr>
                <w:rFonts w:cs="Tahoma" w:ascii="Tahoma" w:hAnsi="Tahoma"/>
                <w:i/>
                <w:color w:val="000000"/>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Bribrí</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JOSE JULIO MORALES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0303280622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25548073</w:t>
            </w:r>
          </w:p>
          <w:p>
            <w:pPr>
              <w:pStyle w:val="Normal"/>
              <w:widowControl w:val="false"/>
              <w:rPr>
                <w:rFonts w:ascii="Tahoma" w:hAnsi="Tahoma" w:cs="Tahoma"/>
                <w:i/>
                <w:i/>
                <w:sz w:val="20"/>
                <w:szCs w:val="20"/>
              </w:rPr>
            </w:pPr>
            <w:r>
              <w:rPr>
                <w:rFonts w:cs="Tahoma" w:ascii="Tahoma" w:hAnsi="Tahoma"/>
                <w:i/>
                <w:color w:val="000000"/>
                <w:sz w:val="20"/>
                <w:szCs w:val="20"/>
              </w:rPr>
              <w:t>Tel: 87411124</w:t>
            </w:r>
          </w:p>
          <w:p>
            <w:pPr>
              <w:pStyle w:val="Normal"/>
              <w:widowControl w:val="false"/>
              <w:rPr>
                <w:rFonts w:ascii="Tahoma" w:hAnsi="Tahoma" w:cs="Tahoma"/>
                <w:i/>
                <w:i/>
                <w:sz w:val="20"/>
                <w:szCs w:val="20"/>
              </w:rPr>
            </w:pPr>
            <w:r>
              <w:rPr>
                <w:rFonts w:cs="Tahoma" w:ascii="Tahoma" w:hAnsi="Tahoma"/>
                <w:i/>
                <w:color w:val="000000"/>
                <w:sz w:val="20"/>
                <w:szCs w:val="20"/>
              </w:rPr>
              <w:t>Tel: 85978935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WILLIAM HERRERA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0304580270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25311438</w:t>
            </w:r>
          </w:p>
          <w:p>
            <w:pPr>
              <w:pStyle w:val="Normal"/>
              <w:widowControl w:val="false"/>
              <w:rPr>
                <w:rFonts w:ascii="Tahoma" w:hAnsi="Tahoma" w:cs="Tahoma"/>
                <w:i/>
                <w:i/>
                <w:sz w:val="20"/>
                <w:szCs w:val="20"/>
              </w:rPr>
            </w:pPr>
            <w:r>
              <w:rPr>
                <w:rFonts w:cs="Tahoma" w:ascii="Tahoma" w:hAnsi="Tahoma"/>
                <w:i/>
                <w:color w:val="000000"/>
                <w:sz w:val="20"/>
                <w:szCs w:val="20"/>
              </w:rPr>
              <w:t>Tel: 89784654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MARGARITA OBANDO MADRIZ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0305410105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25548341</w:t>
            </w:r>
          </w:p>
          <w:p>
            <w:pPr>
              <w:pStyle w:val="Normal"/>
              <w:widowControl w:val="false"/>
              <w:rPr>
                <w:rFonts w:ascii="Tahoma" w:hAnsi="Tahoma" w:cs="Tahoma"/>
                <w:i/>
                <w:i/>
                <w:sz w:val="20"/>
                <w:szCs w:val="20"/>
              </w:rPr>
            </w:pPr>
            <w:r>
              <w:rPr>
                <w:rFonts w:cs="Tahoma" w:ascii="Tahoma" w:hAnsi="Tahoma"/>
                <w:i/>
                <w:color w:val="000000"/>
                <w:sz w:val="20"/>
                <w:szCs w:val="20"/>
              </w:rPr>
              <w:t>Tel: 86072564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FREDDY ALFONSO MARTINEZ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0302720334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89259201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ALEJANDRO OBANDO ORTIZ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0304230993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83867194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HEINER MAURICIO ACOSTA CONTRERAS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0304030448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25541130</w:t>
            </w:r>
          </w:p>
          <w:p>
            <w:pPr>
              <w:pStyle w:val="Normal"/>
              <w:widowControl w:val="false"/>
              <w:rPr>
                <w:rFonts w:ascii="Tahoma" w:hAnsi="Tahoma" w:cs="Tahoma"/>
                <w:i/>
                <w:i/>
                <w:sz w:val="20"/>
                <w:szCs w:val="20"/>
              </w:rPr>
            </w:pPr>
            <w:r>
              <w:rPr>
                <w:rFonts w:cs="Tahoma" w:ascii="Tahoma" w:hAnsi="Tahoma"/>
                <w:i/>
                <w:color w:val="000000"/>
                <w:sz w:val="20"/>
                <w:szCs w:val="20"/>
              </w:rPr>
              <w:t>Tel: 85429097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ESTER BARQUERO MADRIZ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0901020122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88107067</w:t>
            </w:r>
          </w:p>
          <w:p>
            <w:pPr>
              <w:pStyle w:val="Normal"/>
              <w:widowControl w:val="false"/>
              <w:rPr>
                <w:rFonts w:ascii="Tahoma" w:hAnsi="Tahoma" w:cs="Tahoma"/>
                <w:i/>
                <w:i/>
                <w:sz w:val="20"/>
                <w:szCs w:val="20"/>
              </w:rPr>
            </w:pPr>
            <w:r>
              <w:rPr>
                <w:rFonts w:cs="Tahoma" w:ascii="Tahoma" w:hAnsi="Tahoma"/>
                <w:i/>
                <w:color w:val="000000"/>
                <w:sz w:val="20"/>
                <w:szCs w:val="20"/>
              </w:rPr>
              <w:t>Tel: 88107067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MIGUEL RODRIGO MORALES REYES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0900980677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89552843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(Turrialba-Chirripó)</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FRANKLIN MORALES MARTINEZ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0900990121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25316038</w:t>
            </w:r>
          </w:p>
          <w:p>
            <w:pPr>
              <w:pStyle w:val="Normal"/>
              <w:widowControl w:val="false"/>
              <w:rPr>
                <w:rFonts w:ascii="Tahoma" w:hAnsi="Tahoma" w:cs="Tahoma"/>
                <w:i/>
                <w:i/>
                <w:sz w:val="20"/>
                <w:szCs w:val="20"/>
              </w:rPr>
            </w:pPr>
            <w:r>
              <w:rPr>
                <w:rFonts w:cs="Tahoma" w:ascii="Tahoma" w:hAnsi="Tahoma"/>
                <w:i/>
                <w:color w:val="000000"/>
                <w:sz w:val="20"/>
                <w:szCs w:val="20"/>
              </w:rPr>
              <w:t>Tel: 25316090</w:t>
            </w:r>
          </w:p>
          <w:p>
            <w:pPr>
              <w:pStyle w:val="Normal"/>
              <w:widowControl w:val="false"/>
              <w:rPr>
                <w:rFonts w:ascii="Tahoma" w:hAnsi="Tahoma" w:cs="Tahoma"/>
                <w:i/>
                <w:i/>
                <w:sz w:val="20"/>
                <w:szCs w:val="20"/>
              </w:rPr>
            </w:pPr>
            <w:r>
              <w:rPr>
                <w:rFonts w:cs="Tahoma" w:ascii="Tahoma" w:hAnsi="Tahoma"/>
                <w:i/>
                <w:color w:val="000000"/>
                <w:sz w:val="20"/>
                <w:szCs w:val="20"/>
              </w:rPr>
              <w:t>Tel: 87238194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YULISSA PAOLA ORTIZ MORALES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305190318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85079867</w:t>
            </w:r>
          </w:p>
          <w:p>
            <w:pPr>
              <w:pStyle w:val="Normal"/>
              <w:widowControl w:val="false"/>
              <w:rPr>
                <w:rFonts w:ascii="Tahoma" w:hAnsi="Tahoma" w:cs="Tahoma"/>
                <w:i/>
                <w:i/>
                <w:sz w:val="20"/>
                <w:szCs w:val="20"/>
              </w:rPr>
            </w:pPr>
            <w:r>
              <w:rPr>
                <w:rFonts w:cs="Tahoma" w:ascii="Tahoma" w:hAnsi="Tahoma"/>
                <w:i/>
                <w:color w:val="000000"/>
                <w:sz w:val="20"/>
                <w:szCs w:val="20"/>
              </w:rPr>
              <w:t>Tel: 85079867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 xml:space="preserve">II CJ San José </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VIELKA CELESTE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305240012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83720142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RODRIGO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304930199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85877650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ELIETH MORALES SEGURA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115220379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87163543</w:t>
            </w:r>
          </w:p>
          <w:p>
            <w:pPr>
              <w:pStyle w:val="Normal"/>
              <w:widowControl w:val="false"/>
              <w:rPr>
                <w:rFonts w:ascii="Tahoma" w:hAnsi="Tahoma" w:cs="Tahoma"/>
                <w:i/>
                <w:i/>
                <w:sz w:val="20"/>
                <w:szCs w:val="20"/>
              </w:rPr>
            </w:pPr>
            <w:r>
              <w:rPr>
                <w:rFonts w:cs="Tahoma" w:ascii="Tahoma" w:hAnsi="Tahoma"/>
                <w:i/>
                <w:color w:val="000000"/>
                <w:sz w:val="20"/>
                <w:szCs w:val="20"/>
              </w:rPr>
              <w:t>Tel: 87163543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RONALD OBANDO GARCIA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304280270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22064595</w:t>
            </w:r>
          </w:p>
          <w:p>
            <w:pPr>
              <w:pStyle w:val="Normal"/>
              <w:widowControl w:val="false"/>
              <w:rPr>
                <w:rFonts w:ascii="Tahoma" w:hAnsi="Tahoma" w:cs="Tahoma"/>
                <w:i/>
                <w:i/>
                <w:sz w:val="20"/>
                <w:szCs w:val="20"/>
              </w:rPr>
            </w:pPr>
            <w:r>
              <w:rPr>
                <w:rFonts w:cs="Tahoma" w:ascii="Tahoma" w:hAnsi="Tahoma"/>
                <w:i/>
                <w:color w:val="000000"/>
                <w:sz w:val="20"/>
                <w:szCs w:val="20"/>
              </w:rPr>
              <w:t>Tel: 85389206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CJ Cartago (Turrialba)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DENNIS MADRIGAL MORA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305400592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87661030</w:t>
            </w:r>
          </w:p>
          <w:p>
            <w:pPr>
              <w:pStyle w:val="Normal"/>
              <w:widowControl w:val="false"/>
              <w:rPr>
                <w:rFonts w:ascii="Tahoma" w:hAnsi="Tahoma" w:cs="Tahoma"/>
                <w:i/>
                <w:i/>
                <w:sz w:val="20"/>
                <w:szCs w:val="20"/>
              </w:rPr>
            </w:pPr>
            <w:r>
              <w:rPr>
                <w:rFonts w:cs="Tahoma" w:ascii="Tahoma" w:hAnsi="Tahoma"/>
                <w:i/>
                <w:color w:val="000000"/>
                <w:sz w:val="20"/>
                <w:szCs w:val="20"/>
              </w:rPr>
              <w:t>Tel: 83729545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SEM VALLE JIMENEZ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304880442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63661079</w:t>
            </w:r>
          </w:p>
          <w:p>
            <w:pPr>
              <w:pStyle w:val="Normal"/>
              <w:widowControl w:val="false"/>
              <w:rPr>
                <w:rFonts w:ascii="Tahoma" w:hAnsi="Tahoma" w:cs="Tahoma"/>
                <w:i/>
                <w:i/>
                <w:sz w:val="20"/>
                <w:szCs w:val="20"/>
              </w:rPr>
            </w:pPr>
            <w:r>
              <w:rPr>
                <w:rFonts w:cs="Tahoma" w:ascii="Tahoma" w:hAnsi="Tahoma"/>
                <w:i/>
                <w:color w:val="000000"/>
                <w:sz w:val="20"/>
                <w:szCs w:val="20"/>
              </w:rPr>
              <w:t>Tel: 83171803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ILEANA MOYA OBANDO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304270270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83496916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 CJ Zona Sur</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CARLOS EZEQUIEL ARTAVIA SANABRIA</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0701250005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22005085</w:t>
            </w:r>
          </w:p>
          <w:p>
            <w:pPr>
              <w:pStyle w:val="Normal"/>
              <w:widowControl w:val="false"/>
              <w:rPr>
                <w:rFonts w:ascii="Tahoma" w:hAnsi="Tahoma" w:cs="Tahoma"/>
                <w:i/>
                <w:i/>
                <w:sz w:val="20"/>
                <w:szCs w:val="20"/>
              </w:rPr>
            </w:pPr>
            <w:r>
              <w:rPr>
                <w:rFonts w:cs="Tahoma" w:ascii="Tahoma" w:hAnsi="Tahoma"/>
                <w:i/>
                <w:color w:val="000000"/>
                <w:sz w:val="20"/>
                <w:szCs w:val="20"/>
              </w:rPr>
              <w:t>Tel: 86181081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ADRIAN SANABRIA PAYAN</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0701320518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85445524</w:t>
            </w:r>
          </w:p>
          <w:p>
            <w:pPr>
              <w:pStyle w:val="Normal"/>
              <w:widowControl w:val="false"/>
              <w:rPr>
                <w:rFonts w:ascii="Tahoma" w:hAnsi="Tahoma" w:cs="Tahoma"/>
                <w:i/>
                <w:i/>
                <w:sz w:val="20"/>
                <w:szCs w:val="20"/>
              </w:rPr>
            </w:pPr>
            <w:r>
              <w:rPr>
                <w:rFonts w:cs="Tahoma" w:ascii="Tahoma" w:hAnsi="Tahoma"/>
                <w:i/>
                <w:color w:val="000000"/>
                <w:sz w:val="20"/>
                <w:szCs w:val="20"/>
              </w:rPr>
              <w:t>Tel: 85070142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HERMÓGENES MORALES MORALES</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0900810303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89935324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TJUK LEANDRO MORALES LOPEZ</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702630622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88604161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Cabécar</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spacing w:before="0" w:after="200"/>
              <w:rPr>
                <w:rFonts w:ascii="Tahoma" w:hAnsi="Tahoma" w:cs="Tahoma"/>
                <w:i/>
                <w:i/>
                <w:sz w:val="20"/>
                <w:szCs w:val="20"/>
              </w:rPr>
            </w:pPr>
            <w:r>
              <w:rPr>
                <w:rFonts w:cs="Tahoma" w:ascii="Tahoma" w:hAnsi="Tahoma"/>
                <w:i/>
                <w:sz w:val="20"/>
                <w:szCs w:val="20"/>
              </w:rPr>
              <w:t>II CJ Zona Atlántica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NAGO ELIZONDO CASTRO</w:t>
            </w:r>
          </w:p>
          <w:p>
            <w:pPr>
              <w:pStyle w:val="Normal"/>
              <w:widowControl w:val="false"/>
              <w:rPr>
                <w:rFonts w:ascii="Tahoma" w:hAnsi="Tahoma" w:cs="Tahoma"/>
                <w:i/>
                <w:i/>
                <w:sz w:val="20"/>
                <w:szCs w:val="20"/>
              </w:rPr>
            </w:pPr>
            <w:r>
              <w:rPr>
                <w:rFonts w:cs="Tahoma" w:ascii="Tahoma" w:hAnsi="Tahoma"/>
                <w:i/>
                <w:sz w:val="20"/>
                <w:szCs w:val="20"/>
              </w:rPr>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0205380513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84855528</w:t>
            </w:r>
          </w:p>
          <w:p>
            <w:pPr>
              <w:pStyle w:val="Normal"/>
              <w:widowControl w:val="false"/>
              <w:rPr>
                <w:rFonts w:ascii="Tahoma" w:hAnsi="Tahoma" w:cs="Tahoma"/>
                <w:i/>
                <w:i/>
                <w:sz w:val="20"/>
                <w:szCs w:val="20"/>
              </w:rPr>
            </w:pPr>
            <w:r>
              <w:rPr>
                <w:rFonts w:cs="Tahoma" w:ascii="Tahoma" w:hAnsi="Tahoma"/>
                <w:i/>
                <w:color w:val="000000"/>
                <w:sz w:val="20"/>
                <w:szCs w:val="20"/>
              </w:rPr>
              <w:t>Fax:85884624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Maleku</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Alajuela</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EDGAR ATENCIO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0603190447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84855528</w:t>
            </w:r>
          </w:p>
          <w:p>
            <w:pPr>
              <w:pStyle w:val="Normal"/>
              <w:widowControl w:val="false"/>
              <w:rPr>
                <w:rFonts w:ascii="Tahoma" w:hAnsi="Tahoma" w:cs="Tahoma"/>
                <w:i/>
                <w:i/>
                <w:sz w:val="20"/>
                <w:szCs w:val="20"/>
              </w:rPr>
            </w:pPr>
            <w:r>
              <w:rPr>
                <w:rFonts w:cs="Tahoma" w:ascii="Tahoma" w:hAnsi="Tahoma"/>
                <w:i/>
                <w:color w:val="000000"/>
                <w:sz w:val="20"/>
                <w:szCs w:val="20"/>
              </w:rPr>
              <w:t>Fax: 85884624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color w:val="000000"/>
                <w:sz w:val="20"/>
                <w:szCs w:val="20"/>
              </w:rPr>
            </w:pPr>
            <w:r>
              <w:rPr>
                <w:rFonts w:cs="Tahoma" w:ascii="Tahoma" w:hAnsi="Tahoma"/>
                <w:i/>
                <w:color w:val="000000"/>
                <w:sz w:val="20"/>
                <w:szCs w:val="20"/>
              </w:rPr>
            </w:r>
          </w:p>
          <w:p>
            <w:pPr>
              <w:pStyle w:val="Normal"/>
              <w:widowControl w:val="false"/>
              <w:rPr>
                <w:rFonts w:ascii="Tahoma" w:hAnsi="Tahoma" w:cs="Tahoma"/>
                <w:i/>
                <w:i/>
                <w:sz w:val="20"/>
                <w:szCs w:val="20"/>
              </w:rPr>
            </w:pPr>
            <w:r>
              <w:rPr>
                <w:rFonts w:cs="Tahoma" w:ascii="Tahoma" w:hAnsi="Tahoma"/>
                <w:i/>
                <w:color w:val="000000"/>
                <w:sz w:val="20"/>
                <w:szCs w:val="20"/>
              </w:rPr>
              <w:t>CANDELARIO GOMEZ GALINDO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'59100363611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25461575</w:t>
            </w:r>
          </w:p>
          <w:p>
            <w:pPr>
              <w:pStyle w:val="Normal"/>
              <w:widowControl w:val="false"/>
              <w:rPr>
                <w:rFonts w:ascii="Tahoma" w:hAnsi="Tahoma" w:cs="Tahoma"/>
                <w:i/>
                <w:i/>
                <w:sz w:val="20"/>
                <w:szCs w:val="20"/>
              </w:rPr>
            </w:pPr>
            <w:r>
              <w:rPr>
                <w:rFonts w:cs="Tahoma" w:ascii="Tahoma" w:hAnsi="Tahoma"/>
                <w:i/>
                <w:color w:val="000000"/>
                <w:sz w:val="20"/>
                <w:szCs w:val="20"/>
              </w:rPr>
              <w:t>Tel: 86450728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CJ Puntarenas</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Guanacaste</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 CJ Zona Atlántica</w:t>
            </w:r>
          </w:p>
          <w:p>
            <w:pPr>
              <w:pStyle w:val="Normal"/>
              <w:widowControl w:val="false"/>
              <w:rPr>
                <w:rFonts w:ascii="Tahoma" w:hAnsi="Tahoma" w:cs="Tahoma"/>
                <w:i/>
                <w:i/>
                <w:sz w:val="20"/>
                <w:szCs w:val="20"/>
              </w:rPr>
            </w:pPr>
            <w:r>
              <w:rPr>
                <w:rFonts w:cs="Tahoma" w:ascii="Tahoma" w:hAnsi="Tahoma"/>
                <w:i/>
                <w:sz w:val="20"/>
                <w:szCs w:val="20"/>
              </w:rPr>
              <w:t>I CJ Zona Sur</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Guanacaste</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 CJ Zona Atlántica</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MELINA MONTEZUMA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602860566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88689739</w:t>
            </w:r>
          </w:p>
          <w:p>
            <w:pPr>
              <w:pStyle w:val="Normal"/>
              <w:widowControl w:val="false"/>
              <w:rPr>
                <w:rFonts w:ascii="Tahoma" w:hAnsi="Tahoma" w:cs="Tahoma"/>
                <w:i/>
                <w:i/>
                <w:sz w:val="20"/>
                <w:szCs w:val="20"/>
              </w:rPr>
            </w:pPr>
            <w:r>
              <w:rPr>
                <w:rFonts w:cs="Tahoma" w:ascii="Tahoma" w:hAnsi="Tahoma"/>
                <w:i/>
                <w:color w:val="000000"/>
                <w:sz w:val="20"/>
                <w:szCs w:val="20"/>
              </w:rPr>
              <w:t>Tel: 88689739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rPr>
                <w:rFonts w:ascii="Tahoma" w:hAnsi="Tahoma" w:cs="Tahoma"/>
                <w:i/>
                <w:i/>
                <w:sz w:val="20"/>
                <w:szCs w:val="20"/>
              </w:rPr>
            </w:pPr>
            <w:r>
              <w:rPr>
                <w:rFonts w:cs="Tahoma" w:ascii="Tahoma" w:hAnsi="Tahoma"/>
                <w:i/>
                <w:sz w:val="20"/>
                <w:szCs w:val="20"/>
              </w:rPr>
              <w:t>CJ Cartago</w:t>
            </w:r>
          </w:p>
          <w:p>
            <w:pPr>
              <w:pStyle w:val="Normal"/>
              <w:widowControl w:val="false"/>
              <w:rPr>
                <w:rFonts w:ascii="Tahoma" w:hAnsi="Tahoma" w:cs="Tahoma"/>
                <w:i/>
                <w:i/>
                <w:sz w:val="20"/>
                <w:szCs w:val="20"/>
              </w:rPr>
            </w:pPr>
            <w:r>
              <w:rPr>
                <w:rFonts w:cs="Tahoma" w:ascii="Tahoma" w:hAnsi="Tahoma"/>
                <w:i/>
                <w:sz w:val="20"/>
                <w:szCs w:val="20"/>
              </w:rPr>
              <w:t>CJ Heredia</w:t>
            </w:r>
          </w:p>
          <w:p>
            <w:pPr>
              <w:pStyle w:val="Normal"/>
              <w:widowControl w:val="false"/>
              <w:rPr>
                <w:rFonts w:ascii="Tahoma" w:hAnsi="Tahoma" w:cs="Tahoma"/>
                <w:i/>
                <w:i/>
                <w:sz w:val="20"/>
                <w:szCs w:val="20"/>
              </w:rPr>
            </w:pPr>
            <w:r>
              <w:rPr>
                <w:rFonts w:cs="Tahoma" w:ascii="Tahoma" w:hAnsi="Tahoma"/>
                <w:i/>
                <w:sz w:val="20"/>
                <w:szCs w:val="20"/>
              </w:rPr>
              <w:t>I CJ Alajuela</w:t>
            </w:r>
          </w:p>
          <w:p>
            <w:pPr>
              <w:pStyle w:val="Normal"/>
              <w:widowControl w:val="false"/>
              <w:rPr>
                <w:rFonts w:ascii="Tahoma" w:hAnsi="Tahoma" w:cs="Tahoma"/>
                <w:i/>
                <w:i/>
                <w:sz w:val="20"/>
                <w:szCs w:val="20"/>
              </w:rPr>
            </w:pPr>
            <w:r>
              <w:rPr>
                <w:rFonts w:cs="Tahoma" w:ascii="Tahoma" w:hAnsi="Tahoma"/>
                <w:i/>
                <w:sz w:val="20"/>
                <w:szCs w:val="20"/>
              </w:rPr>
              <w:t>I CJ San José</w:t>
            </w:r>
          </w:p>
          <w:p>
            <w:pPr>
              <w:pStyle w:val="Normal"/>
              <w:widowControl w:val="false"/>
              <w:rPr>
                <w:rFonts w:ascii="Tahoma" w:hAnsi="Tahoma" w:cs="Tahoma"/>
                <w:i/>
                <w:i/>
                <w:sz w:val="20"/>
                <w:szCs w:val="20"/>
              </w:rPr>
            </w:pPr>
            <w:r>
              <w:rPr>
                <w:rFonts w:cs="Tahoma" w:ascii="Tahoma" w:hAnsi="Tahoma"/>
                <w:i/>
                <w:sz w:val="20"/>
                <w:szCs w:val="20"/>
              </w:rPr>
              <w:t>II CJ Alajuela</w:t>
            </w:r>
          </w:p>
          <w:p>
            <w:pPr>
              <w:pStyle w:val="Normal"/>
              <w:widowControl w:val="false"/>
              <w:rPr>
                <w:rFonts w:ascii="Tahoma" w:hAnsi="Tahoma" w:cs="Tahoma"/>
                <w:i/>
                <w:i/>
                <w:sz w:val="20"/>
                <w:szCs w:val="20"/>
              </w:rPr>
            </w:pPr>
            <w:r>
              <w:rPr>
                <w:rFonts w:cs="Tahoma" w:ascii="Tahoma" w:hAnsi="Tahoma"/>
                <w:i/>
                <w:sz w:val="20"/>
                <w:szCs w:val="20"/>
              </w:rPr>
              <w:t>II CJ San José</w:t>
            </w:r>
          </w:p>
          <w:p>
            <w:pPr>
              <w:pStyle w:val="Normal"/>
              <w:widowControl w:val="false"/>
              <w:rPr>
                <w:rFonts w:ascii="Tahoma" w:hAnsi="Tahoma" w:cs="Tahoma"/>
                <w:i/>
                <w:i/>
                <w:sz w:val="20"/>
                <w:szCs w:val="20"/>
              </w:rPr>
            </w:pPr>
            <w:r>
              <w:rPr>
                <w:rFonts w:cs="Tahoma" w:ascii="Tahoma" w:hAnsi="Tahoma"/>
                <w:i/>
                <w:sz w:val="20"/>
                <w:szCs w:val="20"/>
              </w:rPr>
              <w:t>III CJ Alajuela</w:t>
            </w:r>
          </w:p>
          <w:p>
            <w:pPr>
              <w:pStyle w:val="Normal"/>
              <w:widowControl w:val="false"/>
              <w:spacing w:before="0" w:after="200"/>
              <w:rPr>
                <w:rFonts w:ascii="Tahoma" w:hAnsi="Tahoma" w:cs="Tahoma"/>
                <w:i/>
                <w:i/>
                <w:sz w:val="20"/>
                <w:szCs w:val="20"/>
              </w:rPr>
            </w:pPr>
            <w:r>
              <w:rPr>
                <w:rFonts w:cs="Tahoma" w:ascii="Tahoma" w:hAnsi="Tahoma"/>
                <w:i/>
                <w:sz w:val="20"/>
                <w:szCs w:val="20"/>
              </w:rPr>
              <w:t>III CJ San José</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VALENTIN DE JESUS GONZALEZ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0602130307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89513230</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JONATAN ATENCIO RODRIGUEZ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0603190446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50060344</w:t>
            </w:r>
          </w:p>
          <w:p>
            <w:pPr>
              <w:pStyle w:val="Normal"/>
              <w:widowControl w:val="false"/>
              <w:rPr>
                <w:rFonts w:ascii="Tahoma" w:hAnsi="Tahoma" w:cs="Tahoma"/>
                <w:i/>
                <w:i/>
                <w:sz w:val="20"/>
                <w:szCs w:val="20"/>
              </w:rPr>
            </w:pPr>
            <w:r>
              <w:rPr>
                <w:rFonts w:cs="Tahoma" w:ascii="Tahoma" w:hAnsi="Tahoma"/>
                <w:i/>
                <w:color w:val="000000"/>
                <w:sz w:val="20"/>
                <w:szCs w:val="20"/>
              </w:rPr>
              <w:t>Tel: 85319231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AURELIO BEJARANO RIOS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0901060603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83959050</w:t>
            </w:r>
          </w:p>
          <w:p>
            <w:pPr>
              <w:pStyle w:val="Normal"/>
              <w:widowControl w:val="false"/>
              <w:rPr>
                <w:rFonts w:ascii="Tahoma" w:hAnsi="Tahoma" w:cs="Tahoma"/>
                <w:i/>
                <w:i/>
                <w:sz w:val="20"/>
                <w:szCs w:val="20"/>
              </w:rPr>
            </w:pPr>
            <w:r>
              <w:rPr>
                <w:rFonts w:cs="Tahoma" w:ascii="Tahoma" w:hAnsi="Tahoma"/>
                <w:i/>
                <w:color w:val="000000"/>
                <w:sz w:val="20"/>
                <w:szCs w:val="20"/>
              </w:rPr>
              <w:t>Tel: 83959050</w:t>
            </w:r>
          </w:p>
          <w:p>
            <w:pPr>
              <w:pStyle w:val="Normal"/>
              <w:widowControl w:val="false"/>
              <w:rPr>
                <w:rFonts w:ascii="Tahoma" w:hAnsi="Tahoma" w:cs="Tahoma"/>
                <w:i/>
                <w:i/>
                <w:sz w:val="20"/>
                <w:szCs w:val="20"/>
              </w:rPr>
            </w:pPr>
            <w:r>
              <w:rPr>
                <w:rFonts w:cs="Tahoma" w:ascii="Tahoma" w:hAnsi="Tahoma"/>
                <w:i/>
                <w:color w:val="000000"/>
                <w:sz w:val="20"/>
                <w:szCs w:val="20"/>
              </w:rPr>
              <w:t>Fax: 27832911</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CARMELA ANDARLES DE GRACIA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0602840229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86827153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MAXIMINO MONTEZUMA BEJARANO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0901060614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22322402</w:t>
            </w:r>
          </w:p>
          <w:p>
            <w:pPr>
              <w:pStyle w:val="Normal"/>
              <w:widowControl w:val="false"/>
              <w:rPr>
                <w:rFonts w:ascii="Tahoma" w:hAnsi="Tahoma" w:cs="Tahoma"/>
                <w:i/>
                <w:i/>
                <w:sz w:val="20"/>
                <w:szCs w:val="20"/>
              </w:rPr>
            </w:pPr>
            <w:r>
              <w:rPr>
                <w:rFonts w:cs="Tahoma" w:ascii="Tahoma" w:hAnsi="Tahoma"/>
                <w:i/>
                <w:color w:val="000000"/>
                <w:sz w:val="20"/>
                <w:szCs w:val="20"/>
              </w:rPr>
              <w:t>Tel: 89736514</w:t>
            </w:r>
          </w:p>
          <w:p>
            <w:pPr>
              <w:pStyle w:val="Normal"/>
              <w:widowControl w:val="false"/>
              <w:rPr>
                <w:rFonts w:ascii="Tahoma" w:hAnsi="Tahoma" w:cs="Tahoma"/>
                <w:i/>
                <w:i/>
                <w:sz w:val="20"/>
                <w:szCs w:val="20"/>
              </w:rPr>
            </w:pPr>
            <w:r>
              <w:rPr>
                <w:rFonts w:cs="Tahoma" w:ascii="Tahoma" w:hAnsi="Tahoma"/>
                <w:i/>
                <w:color w:val="000000"/>
                <w:sz w:val="20"/>
                <w:szCs w:val="20"/>
              </w:rPr>
              <w:t>Fax: 27322402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ELIAN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0603580852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86695366</w:t>
            </w:r>
          </w:p>
          <w:p>
            <w:pPr>
              <w:pStyle w:val="Normal"/>
              <w:widowControl w:val="false"/>
              <w:rPr>
                <w:rFonts w:ascii="Tahoma" w:hAnsi="Tahoma" w:cs="Tahoma"/>
                <w:i/>
                <w:i/>
                <w:sz w:val="20"/>
                <w:szCs w:val="20"/>
              </w:rPr>
            </w:pPr>
            <w:r>
              <w:rPr>
                <w:rFonts w:cs="Tahoma" w:ascii="Tahoma" w:hAnsi="Tahoma"/>
                <w:i/>
                <w:color w:val="000000"/>
                <w:sz w:val="20"/>
                <w:szCs w:val="20"/>
              </w:rPr>
              <w:t>Tel: 85506848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HORACIO WILLIAM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0603690809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50191761</w:t>
            </w:r>
          </w:p>
          <w:p>
            <w:pPr>
              <w:pStyle w:val="Normal"/>
              <w:widowControl w:val="false"/>
              <w:rPr>
                <w:rFonts w:ascii="Tahoma" w:hAnsi="Tahoma" w:cs="Tahoma"/>
                <w:i/>
                <w:i/>
                <w:sz w:val="20"/>
                <w:szCs w:val="20"/>
              </w:rPr>
            </w:pPr>
            <w:r>
              <w:rPr>
                <w:rFonts w:cs="Tahoma" w:ascii="Tahoma" w:hAnsi="Tahoma"/>
                <w:i/>
                <w:color w:val="000000"/>
                <w:sz w:val="20"/>
                <w:szCs w:val="20"/>
              </w:rPr>
              <w:t>Tel: 87558844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RUBEN BEJARANO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0901000412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Cel: 87182716</w:t>
            </w:r>
          </w:p>
          <w:p>
            <w:pPr>
              <w:pStyle w:val="Normal"/>
              <w:widowControl w:val="false"/>
              <w:rPr>
                <w:rFonts w:ascii="Tahoma" w:hAnsi="Tahoma" w:cs="Tahoma"/>
                <w:i/>
                <w:i/>
                <w:sz w:val="20"/>
                <w:szCs w:val="20"/>
              </w:rPr>
            </w:pPr>
            <w:r>
              <w:rPr>
                <w:rFonts w:cs="Tahoma" w:ascii="Tahoma" w:hAnsi="Tahoma"/>
                <w:i/>
                <w:color w:val="000000"/>
                <w:sz w:val="20"/>
                <w:szCs w:val="20"/>
              </w:rPr>
              <w:t>Fax: 27831972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MARCIAL MONTEZUMA SANCHEZ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604060353</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85654479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JAVIER QUIROS MENDOZA</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602720496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50038076</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KATTIA PALACIOS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603910342</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89190624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ANIA MARIA GONZALEZ ARAUZ</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603990739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84333185</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ELIDA MARIA RODRIGUEZ SANTOS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0601890914</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89871708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SANTOS GONZALEZ PALACIOS</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901010847</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84405648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r>
        <w:trPr/>
        <w:tc>
          <w:tcPr>
            <w:tcW w:w="795" w:type="dxa"/>
            <w:tcBorders/>
            <w:shd w:color="auto" w:fill="auto" w:val="clear"/>
            <w:vAlign w:val="center"/>
          </w:tcPr>
          <w:p>
            <w:pPr>
              <w:pStyle w:val="Normal"/>
              <w:widowControl w:val="false"/>
              <w:numPr>
                <w:ilvl w:val="0"/>
                <w:numId w:val="29"/>
              </w:numPr>
              <w:tabs>
                <w:tab w:val="clear" w:pos="708"/>
                <w:tab w:val="left" w:pos="720" w:leader="none"/>
              </w:tabs>
              <w:suppressAutoHyphens w:val="true"/>
              <w:spacing w:lineRule="auto" w:line="240" w:before="0" w:after="0"/>
              <w:ind w:left="720" w:hanging="360"/>
              <w:rPr>
                <w:rFonts w:ascii="Tahoma" w:hAnsi="Tahoma" w:cs="Tahoma"/>
                <w:i/>
                <w:i/>
                <w:sz w:val="20"/>
                <w:szCs w:val="20"/>
              </w:rPr>
            </w:pPr>
            <w:r>
              <w:rPr>
                <w:rFonts w:cs="Tahoma" w:ascii="Tahoma" w:hAnsi="Tahoma"/>
                <w:i/>
                <w:sz w:val="20"/>
                <w:szCs w:val="20"/>
              </w:rPr>
            </w:r>
          </w:p>
        </w:tc>
        <w:tc>
          <w:tcPr>
            <w:tcW w:w="2527"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NATANAEL CARRERA SANTIAGO</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2"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604210119</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663" w:type="dxa"/>
            <w:tcBorders/>
            <w:shd w:color="auto" w:fill="auto" w:val="clear"/>
            <w:vAlign w:val="center"/>
          </w:tcPr>
          <w:p>
            <w:pPr>
              <w:pStyle w:val="Normal"/>
              <w:widowControl w:val="false"/>
              <w:rPr>
                <w:rFonts w:ascii="Tahoma" w:hAnsi="Tahoma" w:cs="Tahoma"/>
                <w:i/>
                <w:i/>
                <w:sz w:val="20"/>
                <w:szCs w:val="20"/>
              </w:rPr>
            </w:pPr>
            <w:r>
              <w:rPr>
                <w:rFonts w:cs="Tahoma" w:ascii="Tahoma" w:hAnsi="Tahoma"/>
                <w:i/>
                <w:color w:val="000000"/>
                <w:sz w:val="20"/>
                <w:szCs w:val="20"/>
              </w:rPr>
              <w:t>Tel: 83331408</w:t>
            </w:r>
          </w:p>
          <w:p>
            <w:pPr>
              <w:pStyle w:val="Normal"/>
              <w:widowControl w:val="false"/>
              <w:spacing w:before="0" w:after="200"/>
              <w:rPr>
                <w:rFonts w:ascii="Tahoma" w:hAnsi="Tahoma" w:cs="Tahoma"/>
                <w:i/>
                <w:i/>
                <w:sz w:val="20"/>
                <w:szCs w:val="20"/>
              </w:rPr>
            </w:pPr>
            <w:r>
              <w:rPr>
                <w:rFonts w:cs="Tahoma" w:ascii="Tahoma" w:hAnsi="Tahoma"/>
                <w:i/>
                <w:sz w:val="20"/>
                <w:szCs w:val="20"/>
              </w:rPr>
            </w:r>
          </w:p>
        </w:tc>
        <w:tc>
          <w:tcPr>
            <w:tcW w:w="1288"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Ngöbe</w:t>
            </w:r>
          </w:p>
        </w:tc>
        <w:tc>
          <w:tcPr>
            <w:tcW w:w="2039" w:type="dxa"/>
            <w:tcBorders/>
            <w:shd w:color="auto" w:fill="auto" w:val="clear"/>
            <w:vAlign w:val="center"/>
          </w:tcPr>
          <w:p>
            <w:pPr>
              <w:pStyle w:val="Normal"/>
              <w:widowControl w:val="false"/>
              <w:spacing w:before="0" w:after="200"/>
              <w:rPr>
                <w:rFonts w:ascii="Tahoma" w:hAnsi="Tahoma" w:cs="Tahoma"/>
                <w:i/>
                <w:i/>
                <w:sz w:val="20"/>
                <w:szCs w:val="20"/>
              </w:rPr>
            </w:pPr>
            <w:r>
              <w:rPr>
                <w:rFonts w:cs="Tahoma" w:ascii="Tahoma" w:hAnsi="Tahoma"/>
                <w:i/>
                <w:sz w:val="20"/>
                <w:szCs w:val="20"/>
              </w:rPr>
              <w:t>II CJ Zona Sur</w:t>
            </w:r>
          </w:p>
        </w:tc>
      </w:tr>
    </w:tbl>
    <w:p>
      <w:pPr>
        <w:pStyle w:val="Normal"/>
        <w:spacing w:lineRule="auto" w:line="360"/>
        <w:rPr>
          <w:rFonts w:ascii="Tahoma" w:hAnsi="Tahoma" w:cs="Tahoma"/>
          <w:b/>
          <w:b/>
          <w:i/>
          <w:i/>
          <w:sz w:val="20"/>
          <w:szCs w:val="20"/>
          <w:u w:val="single"/>
          <w:lang w:val="es-ES"/>
        </w:rPr>
      </w:pPr>
      <w:r>
        <w:rPr>
          <w:rFonts w:cs="Tahoma" w:ascii="Tahoma" w:hAnsi="Tahoma"/>
          <w:b/>
          <w:i/>
          <w:sz w:val="20"/>
          <w:szCs w:val="20"/>
          <w:u w:val="single"/>
          <w:lang w:val="es-ES"/>
        </w:rPr>
      </w:r>
    </w:p>
    <w:tbl>
      <w:tblPr>
        <w:tblW w:w="5000" w:type="pct"/>
        <w:jc w:val="center"/>
        <w:tblInd w:w="0" w:type="dxa"/>
        <w:tblLayout w:type="fixed"/>
        <w:tblCellMar>
          <w:top w:w="0" w:type="dxa"/>
          <w:left w:w="5" w:type="dxa"/>
          <w:bottom w:w="0" w:type="dxa"/>
          <w:right w:w="0" w:type="dxa"/>
        </w:tblCellMar>
        <w:tblLook w:firstRow="0" w:noVBand="0" w:lastRow="0" w:firstColumn="0" w:lastColumn="0" w:noHBand="0" w:val="0000"/>
      </w:tblPr>
      <w:tblGrid>
        <w:gridCol w:w="1200"/>
        <w:gridCol w:w="7303"/>
      </w:tblGrid>
      <w:tr>
        <w:trPr>
          <w:trHeight w:val="615"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center"/>
              <w:rPr>
                <w:rFonts w:ascii="Tahoma" w:hAnsi="Tahoma" w:cs="Tahoma"/>
                <w:i/>
                <w:i/>
                <w:sz w:val="20"/>
                <w:szCs w:val="20"/>
              </w:rPr>
            </w:pPr>
            <w:r>
              <w:rPr>
                <w:rFonts w:cs="Tahoma" w:ascii="Tahoma" w:hAnsi="Tahoma"/>
                <w:b/>
                <w:i/>
                <w:sz w:val="20"/>
                <w:szCs w:val="20"/>
              </w:rPr>
              <w:t>CANTIDAD DE INTERVINIENTES</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rFonts w:ascii="Tahoma" w:hAnsi="Tahoma" w:cs="Tahoma"/>
                <w:i/>
                <w:i/>
                <w:sz w:val="20"/>
                <w:szCs w:val="20"/>
              </w:rPr>
            </w:pPr>
            <w:r>
              <w:rPr>
                <w:rFonts w:cs="Tahoma" w:ascii="Tahoma" w:hAnsi="Tahoma"/>
                <w:b/>
                <w:i/>
                <w:sz w:val="20"/>
                <w:szCs w:val="20"/>
              </w:rPr>
              <w:t>OFICINAS CON MAYOR CANTIDAD DE INTERVINIENTES (INDÍGENAS) ENERO 2019</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278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264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227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TURRIALBA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II CIRCUITO JUDICIAL ZONA SUR (CORREDORES)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TURRIALBA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 SEDE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GUATUSO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SARAPIQUI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LIMÓN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CARTAGO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10</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PRIMERA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9</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8</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II CIRCUITO JUDICIAL DE LA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III CIRCUITO JUDICIAL DE ALAJUELA (SAN RAMÓN)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7</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ZONA SUR (CORREDORES)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SIQUIRRES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6</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JICARAL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ALIMENTARIAS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5</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AGRARIO DE TURRIALBA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 CIRCUITO JUDICIAL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ALAJUELA, SEDE ATENAS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LA ZONA SUR (PEREZ ZELEDON)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4</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CARRILLO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DEL I CIRCUITO JUDICIAL DE GUANACASTE (LIBERIA) (MA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PAVAS (PISAV)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 SEDE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PAVAS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LAS SANCIONES PENALES JUVENILES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PURISCAL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II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PENAL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(CORREDORES)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GUATUSO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TRABAJO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3</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DE GUANACASTE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CONTENCIOSO ADMINISTRACIÓN Y CIVIL DE HACIENDA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ASERRI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GRECIA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HATILLO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JIMENEZ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NARANJO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TARRAZU, DOTA Y LEON CORTES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II CIRCUITO JUDICIAL DE ALAJUELA (MATERIA PENSIONES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PENSIONES ALIMENTARIAS III CIRCUITO JUDICIAL ALAJUELA (SAN RAMÓN) (MATERIA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SEGURIDAD SOCIAL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PRIMERO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PRIMERA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NOTARIAL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FISCALÍA ADJUNTA DEL I CIRCUITO JUDICIAL DE ALAJUELA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ZONA SUR (PÉREZ ZELEDÓN)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MATINA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UPALA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 CIRCUITO JUDICIAL DE ALAJUELA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DE LA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COTO BRUS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PURISCAL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PARRITA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SIQUIRRES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2</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GRECIA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PRIMERO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QUEPOS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DEL I CIRCUITO JUDICIAL DE LA ZONA SUR (PÉREZ ZELEDÓN)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 CIRCUITO JUDICIAL GUANACASTE (LIBERIA)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ZONA SUR (CORREDORES)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AGRARIO DE TURRIALBA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OSA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ATENAS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ESPARZA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FORTUNA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LOS CHILES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OSA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PURISCAL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 RAFAEL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SANTO DOMINGO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TARRAZU, DOTA Y LEON CORTES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TILARAN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UPALA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VALVERDE VEGA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I CIRCUITO JUDICIAL GUANACASTE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DEL III CIRCUITO JUDICIAL DE SAN JOSE (DESAMPARADOS)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II CIRCUITO JUDICIAL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Y FAMILIA DE HATILLO, SAN SEBASTIAN Y ALAJUELITA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ALIMENTARIAS II CIRCUITO JUDICIAL DE LA ZONA ATLANTICA (POCOCÍ)</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ESCAZÚ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LA UNION (PISAV)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SAN JOAQUIN DE FLORES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SEGUNDO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SEGUNDO COLEGIADO PRIMERA INSTANCIA CIVIL I CIRCUITO JUDICIAL SAN JOSÉ</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VICTIMA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OFICINA DE DEFENSA CIVIL DE LA VÍCTIMA, SEDE III CIRCUITO JUDICIAL DE SAN JOSÉ</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HEREDIA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POCOCI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TRABAJO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TERCERO CIVIL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TERCERO ESPECIALIZADO DE COBRO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II CIRCUITO JUDICIAL GUANACASTE (SANTA CRUZ)</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DE CARTAGO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GRECIA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III CIRCUITO JUDICIAL DE ALAJUELA (SAN RAMÓN)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PENSIONES Y VIOLENCIA DOMESTICA DE ESCAZÚ (MATERIA PENSIONES ALIMENTARIAS)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COLEGIADO PRIMERA INSTANCIA CIVIL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BUENOS AIRES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LAS SANCIONES PENALES JUVENILES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BATAN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 CIRCUITO JUDICIAL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DEL I CIRCUITO JUDICIAL DE LA ZONA ATLANTICA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ZONA SUR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 CIRCUITO JUDICIAL DE GUANACASTE, SEDE SANTA CRUZ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 CIRCUITO JUDICIAL GUANACASTE (LIBERIA)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BRIBRI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COBRO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CENTRO DE CONCILIACION DEL PODER JUDICIAL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HEREDIA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I CIRCUITO JUDICIAL ZONA SUR (PÉREZ ZELEDÓN)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FISCALÍA DE BATÁN (MATERIA PENAL JUVENIL)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DEL III CIRCUITO JUDICIAL ALAJUELA (SAN RAMON)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PURISCAL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ATENAS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COTO BRUS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FORTUNA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OSA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Y TRÁNSITO DE POCOCÍ (MATERIA FALTAS Y CONTRAVENCIONES)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HATILLO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POCOCI GUACIMO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SARAPIQUI</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 CIRCUITO JUDICIAL DE GUANACASTE (LIBERIA)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 CIRCUITO JUDICIAL ZONA SUR (CORREDORES)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III CIRCUITO JUDICIAL DE ALAJUELA (SAN RAMON)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DE HEREDIA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III CIRCUITO JUDICIAL ALAJUELA (SAN RAMON Y GRECIA)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CONSTITUCIONAL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 PUNTARENAS, SEDE QUEPOS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 CIRCUITO JUDICIAL DE LA ZONA ATLANTICA (FLAGRANCIA)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DEL III CIRCUITO JUDICIAL DE ALAJUELA (SAN RAMON)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II CIRCUITO JUDICIAL ZONA SUR, SEDE OSA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TRIBUNAL PENAL DEL III CIRCUITO JUDICIAL DE SAN JOSE, SEDE SUROESTE (PAVAS)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JUVENIL II CIRCUITO JUDICIAL ZONA SUR (CORREDORES Y GOLFITO)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ADJUNTA CARTAGO (MATERIA PENAL)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DEL II CIRCUITO JUDICIAL DE ALAJUELA, SEDE UPALA (MATERIA VIOLENCIA DOMÉSTIC</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FAMILIA, PENAL JUVENIL Y VIOLENCIA DOMESTICA SARAPIQUI (MATERIA VIOLENCIA DO</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LA CRUZ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 RAFAEL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SANTO DOMINGO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 GOLFITO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III CIRCUITO JUDICIAL ALAJUELA (SAN RAMON) (MATERIA VIOLENC</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PENSIONES Y VIOLENCIA DOMÉSTICA DE ESCAZÚ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VIOLENCIA DOMESTICA DE PUNTARENAS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BUENOS AIRES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TALAMANCA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 TURRIALBA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EJECUCION DE LA PENA DE SAN JOSE</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JUZGADO CIVIL DE CARTAGO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HATILLO, SAN SEBASTIAN Y ALAJUELITA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DE CAÑAS (MATERIA CIVIL)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Y TRABAJO II CIRCUITO JUDICIAL ALAJUELA, SEDE UPALA (MATERIA AGRARIA)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FAMILIA)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LABORAL)</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DEL I CIRCUITO JUDICIAL DE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DOMÉSTICA DEL II CIRCUITO JUDICIAL DE GUANACASTE (NICOYA) (MATERIA FA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DE FAMILIA Y VIOLENCIA DOMESTICA DEL II CIRCUITO JUDICIAL DE LA ZONA SUR (CORREDORES) (MATER</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 xml:space="preserve">SALA CONSTITUCIONAL </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CIVIL, TRABAJO Y FAMILIA DE BUENOS AIRES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CONTRAVENCIONAL DE POAS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FAMILIA, PENAL JUVENIL Y VIOLENCIA DOMESTICA DE TURRIALBA (MATERIA VIOLENCIA DOMÉSTICA)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VIOLENCIA DOMESTICA I CIRCUITO JUDICIAL ZONA SUR (PÉREZ ZELEDÓN)</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AGRARIO I CIRCUITO JUDICIAL ALAJUELA</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FISCALIA DE ASUNTOS INDIGENAS</w:t>
            </w:r>
          </w:p>
        </w:tc>
      </w:tr>
      <w:tr>
        <w:trPr>
          <w:trHeight w:val="290" w:hRule="atLeast"/>
        </w:trPr>
        <w:tc>
          <w:tcPr>
            <w:tcW w:w="1200" w:type="dxa"/>
            <w:tcBorders>
              <w:top w:val="single" w:sz="4" w:space="0" w:color="000000"/>
              <w:left w:val="single" w:sz="4" w:space="0" w:color="000000"/>
              <w:bottom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1</w:t>
            </w:r>
          </w:p>
        </w:tc>
        <w:tc>
          <w:tcPr>
            <w:tcW w:w="730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both"/>
              <w:rPr>
                <w:rFonts w:ascii="Tahoma" w:hAnsi="Tahoma" w:cs="Tahoma"/>
                <w:i/>
                <w:i/>
                <w:sz w:val="20"/>
                <w:szCs w:val="20"/>
              </w:rPr>
            </w:pPr>
            <w:r>
              <w:rPr>
                <w:rFonts w:cs="Tahoma" w:ascii="Tahoma" w:hAnsi="Tahoma"/>
                <w:i/>
                <w:sz w:val="20"/>
                <w:szCs w:val="20"/>
              </w:rPr>
              <w:t>JUZGADO PENAL DEL I CIRCUITO JUDICIAL DE LA ZONA ATLANTICA</w:t>
            </w:r>
          </w:p>
        </w:tc>
      </w:tr>
    </w:tbl>
    <w:p>
      <w:pPr>
        <w:pStyle w:val="Normal"/>
        <w:spacing w:lineRule="auto" w:line="360"/>
        <w:rPr>
          <w:rFonts w:ascii="Tahoma" w:hAnsi="Tahoma" w:cs="Tahoma"/>
          <w:bCs/>
          <w:sz w:val="20"/>
          <w:szCs w:val="20"/>
        </w:rPr>
      </w:pPr>
      <w:r>
        <w:rPr>
          <w:rFonts w:cs="Tahoma" w:ascii="Tahoma" w:hAnsi="Tahoma"/>
          <w:bCs/>
          <w:sz w:val="20"/>
          <w:szCs w:val="20"/>
        </w:rPr>
      </w:r>
    </w:p>
    <w:p>
      <w:pPr>
        <w:pStyle w:val="Normal"/>
        <w:spacing w:lineRule="auto" w:line="360"/>
        <w:rPr>
          <w:rFonts w:ascii="Tahoma" w:hAnsi="Tahoma" w:cs="Tahoma"/>
          <w:bCs/>
          <w:sz w:val="20"/>
          <w:szCs w:val="20"/>
        </w:rPr>
      </w:pPr>
      <w:r>
        <w:rPr>
          <w:rFonts w:cs="Tahoma" w:ascii="Tahoma" w:hAnsi="Tahoma"/>
          <w:bCs/>
          <w:sz w:val="20"/>
          <w:szCs w:val="20"/>
        </w:rPr>
        <w:t>El plazo para remitir la información solicitada vence el día de hoy.</w:t>
      </w:r>
    </w:p>
    <w:p>
      <w:pPr>
        <w:pStyle w:val="Xmsonormal"/>
        <w:jc w:val="both"/>
        <w:rPr>
          <w:rFonts w:ascii="Tahoma" w:hAnsi="Tahoma" w:cs="Tahoma"/>
          <w:sz w:val="20"/>
          <w:szCs w:val="20"/>
          <w:lang w:val="es-ES"/>
        </w:rPr>
      </w:pPr>
      <w:r>
        <w:rPr>
          <w:rFonts w:cs="Tahoma" w:ascii="Tahoma" w:hAnsi="Tahoma"/>
          <w:b/>
          <w:sz w:val="20"/>
          <w:szCs w:val="20"/>
          <w:u w:val="single"/>
        </w:rPr>
        <w:t>SE ACUERDA</w:t>
      </w:r>
      <w:r>
        <w:rPr>
          <w:rFonts w:cs="Tahoma" w:ascii="Tahoma" w:hAnsi="Tahoma"/>
          <w:bCs/>
          <w:sz w:val="20"/>
          <w:szCs w:val="20"/>
        </w:rPr>
        <w:t xml:space="preserve">: 1° Se toma nota del Oficio </w:t>
      </w:r>
      <w:r>
        <w:rPr>
          <w:rFonts w:cs="Tahoma" w:ascii="Tahoma" w:hAnsi="Tahoma"/>
          <w:b/>
          <w:sz w:val="20"/>
          <w:szCs w:val="20"/>
        </w:rPr>
        <w:t xml:space="preserve">EJ-DIR-026-2020 de </w:t>
      </w:r>
      <w:r>
        <w:rPr>
          <w:rFonts w:cs="Tahoma" w:ascii="Tahoma" w:hAnsi="Tahoma"/>
          <w:bCs/>
          <w:sz w:val="20"/>
          <w:szCs w:val="20"/>
        </w:rPr>
        <w:t xml:space="preserve">27 de febrero de 2020, remitido por la Escuela Judicial en relación con el Plan Anual de Capacitación 2020. 2° </w:t>
      </w:r>
      <w:r>
        <w:rPr>
          <w:rFonts w:cs="Tahoma" w:ascii="Tahoma" w:hAnsi="Tahoma"/>
          <w:sz w:val="20"/>
          <w:szCs w:val="20"/>
          <w:lang w:val="es-ES"/>
        </w:rPr>
        <w:t>Con respecto a la propuesta de capacitación aportada por la Subcomisión de Acceso a la Justicia de Pueblos Indígenas, conforme al cual la Escuela Judicial señala ha elaborado una propuesta metodológica para ejecutar cada capacitación e iniciará el diseño de las actividades, de acuerdo a las necesidades y complejidad de cada propuesta, y se procederá a calendarizar las mismas para iniciar su coordinación y ejecución en el año 2020, se dispone solicitar a la Escuela Judicial la calendarización a la que hace referencia. 3° En relación con lo señalado por la Escuela Judicial acerca de que, para el diseño de las actividades, la Escuela Judicial requiere la colaboración de al menos una persona especialista en la materia, por lo que se coordinará con esta Subcomisión, el aporte de dicha persona, se le informa que para tal efecto se designó oportunamente al señor Marcos Guevara Berger, Antropólogo Social de la Escuela de Antropología de la UCR; sin embargo, el señor Guevara manifestó no poder ejecutar dicha labor considerando los lineamientos de la Universidad. De igual forma, comunicarle que para ese efecto se designó un equipo de personas de la Subcomisión a cargo de la capacitación, por lo que se le solicita a la Unidad de Acceso a la Justicia convocar a la persona representante de la Escuela Judicial ante la Subcomisión y a la especialista en métodos de enseñanza que la Escuela Judicial defina, a la siguiente sesión de trabajo de dicha Comisión. 4° Reiterar a la Escuela Judicial verificar que en los contenidos de todas las capacitaciones se incluyan como mínimo, los señalados en la Circular 188-19 de Corte Plena. 5° Se toma nota del informe de la Escuela Judicial donde se señala que, en cumplimiento de lo expuesto en el eje de acción número 9, el proceso de capacitación incluirá a personas juzgadoras, técnicas y coordinadoras judiciales, defensoras públicas, fiscalas, personal administrativo,  del  Organismo  de  Investigación Judicial,   entre  otros,   y se le dará prioridad   a las personas juzgadoras y personal técnico de los despachos donde se tramite la mayor cantidad de procesos vinculados con personas indígenas. Para ello se cuenta con el listado proporcionado por la Subcomisión de Acceso a la justicia de pueblos indígenas, según reporte de SIGMA, el cual se adjunta. Asimismo, en principio, se le dará prioridad a las personas servidoras judiciales de las Jurisdicciones Penal, Agrario y Contencioso Administrativo, de todas las instancias. 5° Se declara este acuerdo firme por unanimidad. Comuníquese por medio de la Unidad de Acceso a la Justicia a la Escuela Judicial y al equipo de la Subcomisión designado para la capacitación.-</w:t>
      </w:r>
    </w:p>
    <w:p>
      <w:pPr>
        <w:pStyle w:val="Xmsonormal"/>
        <w:rPr>
          <w:rFonts w:ascii="Tahoma" w:hAnsi="Tahoma" w:cs="Tahoma"/>
          <w:b/>
          <w:b/>
          <w:sz w:val="20"/>
          <w:szCs w:val="20"/>
        </w:rPr>
      </w:pPr>
      <w:r>
        <w:rPr>
          <w:rFonts w:cs="Tahoma" w:ascii="Tahoma" w:hAnsi="Tahoma"/>
          <w:b/>
          <w:sz w:val="20"/>
          <w:szCs w:val="20"/>
        </w:rPr>
      </w:r>
    </w:p>
    <w:p>
      <w:pPr>
        <w:pStyle w:val="Xmsonormal"/>
        <w:rPr>
          <w:rFonts w:ascii="Tahoma" w:hAnsi="Tahoma" w:cs="Tahoma"/>
          <w:b/>
          <w:b/>
          <w:sz w:val="20"/>
          <w:szCs w:val="20"/>
        </w:rPr>
      </w:pPr>
      <w:r>
        <w:rPr/>
      </w:r>
    </w:p>
    <w:sectPr>
      <w:headerReference w:type="default" r:id="rId39"/>
      <w:footerReference w:type="default" r:id="rId40"/>
      <w:footnotePr>
        <w:numFmt w:val="decimal"/>
      </w:footnotePr>
      <w:type w:val="nextPage"/>
      <w:pgSz w:w="11906" w:h="16838"/>
      <w:pgMar w:left="1701" w:right="1701" w:header="720" w:top="1417" w:footer="720" w:bottom="1417" w:gutter="0"/>
      <w:pgNumType w:fmt="decimal"/>
      <w:formProt w:val="false"/>
      <w:textDirection w:val="lrTb"/>
      <w:docGrid w:type="default" w:linePitch="299"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Verdana">
    <w:charset w:val="00"/>
    <w:family w:val="roman"/>
    <w:pitch w:val="variable"/>
  </w:font>
  <w:font w:name="Courier New">
    <w:charset w:val="01"/>
    <w:family w:val="modern"/>
    <w:pitch w:val="fixed"/>
  </w:font>
  <w:font w:name="Wingdings">
    <w:charset w:val="02"/>
    <w:family w:val="auto"/>
    <w:pitch w:val="variable"/>
  </w:font>
  <w:font w:name="Arial">
    <w:charset w:val="01"/>
    <w:family w:val="swiss"/>
    <w:pitch w:val="variable"/>
  </w:font>
  <w:font w:name="Book Antiqua">
    <w:charset w:val="01"/>
    <w:family w:val="auto"/>
    <w:pitch w:val="default"/>
  </w:font>
  <w:font w:name="Symbol">
    <w:charset w:val="02"/>
    <w:family w:val="auto"/>
    <w:pitch w:val="default"/>
  </w:font>
  <w:font w:name="Bookman Old Style">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jc w:val="center"/>
      <w:rPr>
        <w:b/>
        <w:b/>
        <w:bCs/>
        <w:i/>
        <w:i/>
        <w:iCs/>
        <w:color w:val="000000"/>
        <w:shd w:fill="FFFFFF" w:val="clear"/>
      </w:rPr>
    </w:pPr>
    <w:r>
      <w:rPr>
        <w:b/>
        <w:bCs/>
        <w:i/>
        <w:iCs/>
        <w:color w:val="000000"/>
        <w:shd w:fill="FFFFFF" w:val="clear"/>
      </w:rPr>
    </w:r>
  </w:p>
  <w:p>
    <w:pPr>
      <w:pStyle w:val="Piedepgina"/>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separator/>
      </w:r>
    </w:p>
  </w:footnote>
  <w:footnote w:id="1" w:type="continuationSeparator">
    <w:p>
      <w:pPr>
        <w:rPr>
          <w:sz w:val="12"/>
        </w:rPr>
      </w:pPr>
      <w:r>
        <w:continuationSeparator/>
      </w:r>
    </w:p>
  </w:footnote>
  <w:footnote w:id="2">
    <w:p>
      <w:pPr>
        <w:pStyle w:val="Normal"/>
        <w:widowControl w:val="false"/>
        <w:spacing w:before="0" w:after="200"/>
        <w:rPr>
          <w:rFonts w:ascii="Arial" w:hAnsi="Arial" w:cs="Arial"/>
          <w:b/>
          <w:b/>
          <w:bCs/>
        </w:rPr>
      </w:pPr>
      <w:r>
        <w:rPr>
          <w:rStyle w:val="Caracteresdenotaalpie"/>
        </w:rPr>
        <w:footnoteRef/>
      </w:r>
      <w:r>
        <w:rPr>
          <w:sz w:val="18"/>
          <w:szCs w:val="18"/>
        </w:rPr>
        <w:t>Según datos del Subproceso de Formulación de Presupuesto y Portafolio de Proyectos Institucional, para el Presupuesto del Poder Judicial 2019.</w:t>
      </w:r>
    </w:p>
  </w:footnote>
  <w:footnote w:id="3">
    <w:p>
      <w:pPr>
        <w:pStyle w:val="Notaalpie"/>
        <w:widowControl w:val="false"/>
        <w:rPr>
          <w:lang w:val="es-CR"/>
        </w:rPr>
      </w:pPr>
      <w:r>
        <w:rPr>
          <w:rStyle w:val="Caracteresdenotaalpie"/>
        </w:rPr>
        <w:footnoteRef/>
      </w:r>
      <w:r>
        <w:rPr>
          <w:rFonts w:ascii="Calibri" w:hAnsi="Calibri"/>
          <w:sz w:val="18"/>
          <w:szCs w:val="18"/>
        </w:rPr>
        <w:t>Este dato es un estimado producto de la información suministrada por el Lic. Roy Garro León, Coordinador Administrativo de la Administración Regional.</w:t>
      </w:r>
    </w:p>
  </w:footnote>
  <w:footnote w:id="4">
    <w:p>
      <w:pPr>
        <w:pStyle w:val="Notaalpie"/>
        <w:rPr>
          <w:lang w:val="es-CR"/>
        </w:rPr>
      </w:pPr>
      <w:r>
        <w:rPr>
          <w:rStyle w:val="Caracteresdenotaalpie"/>
        </w:rPr>
        <w:footnoteRef/>
      </w:r>
      <w:r>
        <w:rPr/>
        <w:t xml:space="preserve"> </w:t>
      </w:r>
      <w:r>
        <w:rPr>
          <w:lang w:val="es-CR"/>
        </w:rPr>
        <w:t>Ver anexo 1.</w:t>
      </w:r>
    </w:p>
  </w:footnote>
  <w:footnote w:id="5">
    <w:p>
      <w:pPr>
        <w:pStyle w:val="Notaalpie"/>
        <w:jc w:val="both"/>
        <w:rPr>
          <w:lang w:val="es-CR"/>
        </w:rPr>
      </w:pPr>
      <w:r>
        <w:rPr>
          <w:rStyle w:val="Caracteresdenotaalpie"/>
        </w:rPr>
        <w:footnoteRef/>
      </w:r>
      <w:r>
        <w:rPr/>
        <w:t xml:space="preserve"> “</w:t>
      </w:r>
      <w:r>
        <w:rPr/>
        <w:t>Es una guía orientadora que se expresa en los objetivos, las líneas de acción y los resultados esperados sobre un tema y la atención o transformación de un problema de interés institucional y/o social; que se sustenta en los mandatos, acuerdos o compromisos nacionales e internacionales del Poder Judicial.”</w:t>
      </w:r>
    </w:p>
  </w:footnote>
  <w:footnote w:id="6">
    <w:p>
      <w:pPr>
        <w:pStyle w:val="Notaalpie"/>
        <w:rPr/>
      </w:pPr>
      <w:r>
        <w:rPr>
          <w:rStyle w:val="Caracteresdenotaalpie"/>
        </w:rPr>
        <w:footnoteRef/>
      </w:r>
      <w:r>
        <w:rPr/>
      </w:r>
    </w:p>
  </w:footnote>
  <w:footnote w:id="7">
    <w:p>
      <w:pPr>
        <w:pStyle w:val="Notaalpie"/>
        <w:jc w:val="both"/>
        <w:rPr/>
      </w:pPr>
      <w:r>
        <w:rPr>
          <w:rStyle w:val="Caracteresdenotaalpie"/>
        </w:rPr>
        <w:footnoteRef/>
      </w:r>
      <w:r>
        <w:rPr/>
        <w:t xml:space="preserve"> </w:t>
      </w:r>
      <w:r>
        <w:rPr/>
        <w:t>El acuerdo de Corte Plena 47-18, del 08 de octubre de 2018, artículo XXXII, relacionado con el seguimiento de los indicadores del Segundo Informe del Estado de la Justicia, indica: “1.) Aprobar los cambios en los indicadores relacionados con el Seguimiento al Segundo Informe del Estado de la Justicia contenidos en el informe N° 30-EV-18 de la Dirección de Planificación. 2.) La Dirección de Planificación deberá crear el objetivo “Compromisos Informe Estado de la Justicia” en el Sistema PAO y de forma semestral informará a la Corte Plena el cumplimiento o avance correspondiente de cada instancia, como parte del Informe Semestral de Cumplimiento de los PAOs. A esos efectos, dicha Dirección hará el primer seguimiento mediante consulta directa a las instancias responsables en el último trimestre de este año y a partir del 2019 se incluirá en el PAO, para verificar el avance en el sistema.”</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uerpodetexto"/>
      <w:spacing w:lineRule="auto" w:line="12"/>
      <w:rPr>
        <w:i/>
        <w:i/>
        <w:sz w:val="20"/>
      </w:rPr>
    </w:pPr>
    <w:r>
      <w:rPr>
        <w:i/>
        <w:sz w:val="20"/>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ind w:right="8" w:hanging="0"/>
      <w:jc w:val="center"/>
      <w:rPr/>
    </w:pPr>
    <w:r>
      <w:rPr>
        <w:rFonts w:eastAsia="Calibri" w:cs="Calibri"/>
        <w:b/>
        <w:i/>
      </w:rPr>
      <w:t xml:space="preserve">Subcomisión de Acceso a la Justicia de Pueblos Indígenas </w:t>
    </w:r>
  </w:p>
  <w:p>
    <w:pPr>
      <w:pStyle w:val="Normal"/>
      <w:spacing w:lineRule="auto" w:line="237" w:before="0" w:after="0"/>
      <w:ind w:left="3791" w:right="2392" w:hanging="814"/>
      <w:rPr/>
    </w:pPr>
    <w:r>
      <w:rPr>
        <w:rFonts w:eastAsia="Calibri" w:cs="Calibri"/>
        <w:b/>
        <w:i/>
      </w:rPr>
      <w:t xml:space="preserve">Comisión de Acceso a la Justicia Poder Judicial </w:t>
    </w:r>
  </w:p>
  <w:p>
    <w:pPr>
      <w:pStyle w:val="Cabecera"/>
      <w:rPr/>
    </w:pPr>
    <w:r>
      <w:rPr/>
      <w:drawing>
        <wp:anchor behindDoc="1" distT="0" distB="0" distL="0" distR="0" simplePos="0" locked="0" layoutInCell="0" allowOverlap="1" relativeHeight="58">
          <wp:simplePos x="0" y="0"/>
          <wp:positionH relativeFrom="column">
            <wp:posOffset>-6709410</wp:posOffset>
          </wp:positionH>
          <wp:positionV relativeFrom="paragraph">
            <wp:posOffset>302895</wp:posOffset>
          </wp:positionV>
          <wp:extent cx="2714625" cy="1257300"/>
          <wp:effectExtent l="0" t="0" r="0" b="0"/>
          <wp:wrapNone/>
          <wp:docPr id="21" name="Imagen12" descr="Identidad-grafica-Acceso-a-la-Justicia-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2" descr="Identidad-grafica-Acceso-a-la-Justicia-RGB"/>
                  <pic:cNvPicPr>
                    <a:picLocks noChangeAspect="1" noChangeArrowheads="1"/>
                  </pic:cNvPicPr>
                </pic:nvPicPr>
                <pic:blipFill>
                  <a:blip r:embed="rId1"/>
                  <a:stretch>
                    <a:fillRect/>
                  </a:stretch>
                </pic:blipFill>
                <pic:spPr bwMode="auto">
                  <a:xfrm>
                    <a:off x="0" y="0"/>
                    <a:ext cx="2714625" cy="125730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lowerLetter"/>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5">
    <w:lvl w:ilvl="0">
      <w:start w:val="1"/>
      <w:numFmt w:val="lowerLetter"/>
      <w:lvlText w:val="%1."/>
      <w:lvlJc w:val="left"/>
      <w:pPr>
        <w:tabs>
          <w:tab w:val="num" w:pos="0"/>
        </w:tabs>
        <w:ind w:left="720" w:hanging="360"/>
      </w:pPr>
      <w:rPr>
        <w:b/>
      </w:rPr>
    </w:lvl>
    <w:lvl w:ilvl="1">
      <w:start w:val="1"/>
      <w:numFmt w:val="lowerRoman"/>
      <w:lvlText w:val="%2."/>
      <w:lvlJc w:val="righ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lvl w:ilvl="0">
      <w:start w:val="3"/>
      <w:numFmt w:val="decimal"/>
      <w:lvlText w:val="%1."/>
      <w:lvlJc w:val="left"/>
      <w:pPr>
        <w:tabs>
          <w:tab w:val="num" w:pos="0"/>
        </w:tabs>
        <w:ind w:left="617" w:hanging="617"/>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2160" w:hanging="2160"/>
      </w:pPr>
    </w:lvl>
  </w:abstractNum>
  <w:abstractNum w:abstractNumId="7">
    <w:lvl w:ilvl="0">
      <w:start w:val="1"/>
      <w:numFmt w:val="upp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lvl w:ilvl="0">
      <w:start w:val="1"/>
      <w:numFmt w:val="lowerLetter"/>
      <w:lvlText w:val="%1."/>
      <w:lvlJc w:val="left"/>
      <w:pPr>
        <w:tabs>
          <w:tab w:val="num" w:pos="0"/>
        </w:tabs>
        <w:ind w:left="1068" w:hanging="360"/>
      </w:pPr>
    </w:lvl>
    <w:lvl w:ilvl="1">
      <w:start w:val="1"/>
      <w:numFmt w:val="bullet"/>
      <w:lvlText w:val="o"/>
      <w:lvlJc w:val="left"/>
      <w:pPr>
        <w:tabs>
          <w:tab w:val="num" w:pos="0"/>
        </w:tabs>
        <w:ind w:left="1788" w:hanging="360"/>
      </w:pPr>
      <w:rPr>
        <w:rFonts w:ascii="Courier New" w:hAnsi="Courier New" w:cs="Courier New" w:hint="default"/>
      </w:rPr>
    </w:lvl>
    <w:lvl w:ilvl="2">
      <w:start w:val="1"/>
      <w:numFmt w:val="lowerLetter"/>
      <w:lvlText w:val="%3."/>
      <w:lvlJc w:val="left"/>
      <w:pPr>
        <w:tabs>
          <w:tab w:val="num" w:pos="0"/>
        </w:tabs>
        <w:ind w:left="2508" w:hanging="360"/>
      </w:pPr>
    </w:lvl>
    <w:lvl w:ilvl="3">
      <w:start w:val="0"/>
      <w:numFmt w:val="bullet"/>
      <w:lvlText w:val="-"/>
      <w:lvlJc w:val="left"/>
      <w:pPr>
        <w:tabs>
          <w:tab w:val="num" w:pos="0"/>
        </w:tabs>
        <w:ind w:left="3228" w:hanging="360"/>
      </w:pPr>
      <w:rPr>
        <w:rFonts w:ascii="Arial" w:hAnsi="Arial" w:cs="Aria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9">
    <w:lvl w:ilvl="0">
      <w:start w:val="1"/>
      <w:numFmt w:val="lowerLetter"/>
      <w:lvlText w:val="%1."/>
      <w:lvlJc w:val="left"/>
      <w:pPr>
        <w:tabs>
          <w:tab w:val="num" w:pos="0"/>
        </w:tabs>
        <w:ind w:left="1788" w:hanging="360"/>
      </w:pPr>
    </w:lvl>
    <w:lvl w:ilvl="1">
      <w:start w:val="1"/>
      <w:numFmt w:val="lowerLetter"/>
      <w:lvlText w:val="%2."/>
      <w:lvlJc w:val="left"/>
      <w:pPr>
        <w:tabs>
          <w:tab w:val="num" w:pos="0"/>
        </w:tabs>
        <w:ind w:left="2508" w:hanging="360"/>
      </w:pPr>
    </w:lvl>
    <w:lvl w:ilvl="2">
      <w:start w:val="1"/>
      <w:numFmt w:val="lowerRoman"/>
      <w:lvlText w:val="%3."/>
      <w:lvlJc w:val="right"/>
      <w:pPr>
        <w:tabs>
          <w:tab w:val="num" w:pos="0"/>
        </w:tabs>
        <w:ind w:left="3228" w:hanging="180"/>
      </w:pPr>
    </w:lvl>
    <w:lvl w:ilvl="3">
      <w:start w:val="1"/>
      <w:numFmt w:val="decimal"/>
      <w:lvlText w:val="%4."/>
      <w:lvlJc w:val="left"/>
      <w:pPr>
        <w:tabs>
          <w:tab w:val="num" w:pos="0"/>
        </w:tabs>
        <w:ind w:left="3948" w:hanging="360"/>
      </w:pPr>
    </w:lvl>
    <w:lvl w:ilvl="4">
      <w:start w:val="1"/>
      <w:numFmt w:val="lowerLetter"/>
      <w:lvlText w:val="%5."/>
      <w:lvlJc w:val="left"/>
      <w:pPr>
        <w:tabs>
          <w:tab w:val="num" w:pos="0"/>
        </w:tabs>
        <w:ind w:left="4668" w:hanging="360"/>
      </w:pPr>
    </w:lvl>
    <w:lvl w:ilvl="5">
      <w:start w:val="1"/>
      <w:numFmt w:val="lowerRoman"/>
      <w:lvlText w:val="%6."/>
      <w:lvlJc w:val="right"/>
      <w:pPr>
        <w:tabs>
          <w:tab w:val="num" w:pos="0"/>
        </w:tabs>
        <w:ind w:left="5388" w:hanging="180"/>
      </w:pPr>
    </w:lvl>
    <w:lvl w:ilvl="6">
      <w:start w:val="1"/>
      <w:numFmt w:val="decimal"/>
      <w:lvlText w:val="%7."/>
      <w:lvlJc w:val="left"/>
      <w:pPr>
        <w:tabs>
          <w:tab w:val="num" w:pos="0"/>
        </w:tabs>
        <w:ind w:left="6108" w:hanging="360"/>
      </w:pPr>
    </w:lvl>
    <w:lvl w:ilvl="7">
      <w:start w:val="1"/>
      <w:numFmt w:val="lowerLetter"/>
      <w:lvlText w:val="%8."/>
      <w:lvlJc w:val="left"/>
      <w:pPr>
        <w:tabs>
          <w:tab w:val="num" w:pos="0"/>
        </w:tabs>
        <w:ind w:left="6828" w:hanging="360"/>
      </w:pPr>
    </w:lvl>
    <w:lvl w:ilvl="8">
      <w:start w:val="1"/>
      <w:numFmt w:val="lowerRoman"/>
      <w:lvlText w:val="%9."/>
      <w:lvlJc w:val="right"/>
      <w:pPr>
        <w:tabs>
          <w:tab w:val="num" w:pos="0"/>
        </w:tabs>
        <w:ind w:left="7548" w:hanging="180"/>
      </w:pPr>
    </w:lvl>
  </w:abstractNum>
  <w:abstractNum w:abstractNumId="10">
    <w:lvl w:ilvl="0">
      <w:start w:val="1"/>
      <w:numFmt w:val="decimal"/>
      <w:lvlText w:val="%1."/>
      <w:lvlJc w:val="left"/>
      <w:pPr>
        <w:tabs>
          <w:tab w:val="num" w:pos="0"/>
        </w:tabs>
        <w:ind w:left="360" w:hanging="360"/>
      </w:pPr>
    </w:lvl>
    <w:lvl w:ilvl="1">
      <w:start w:val="1"/>
      <w:numFmt w:val="decimal"/>
      <w:lvlText w:val="%1.%2."/>
      <w:lvlJc w:val="left"/>
      <w:pPr>
        <w:tabs>
          <w:tab w:val="num" w:pos="0"/>
        </w:tabs>
        <w:ind w:left="360" w:hanging="360"/>
      </w:pPr>
      <w:rPr>
        <w:b/>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1">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lvl w:ilvl="0">
      <w:start w:val="1"/>
      <w:numFmt w:val="lowerLetter"/>
      <w:lvlText w:val="%1."/>
      <w:lvlJc w:val="left"/>
      <w:pPr>
        <w:tabs>
          <w:tab w:val="num" w:pos="0"/>
        </w:tabs>
        <w:ind w:left="787" w:hanging="360"/>
      </w:pPr>
    </w:lvl>
    <w:lvl w:ilvl="1">
      <w:start w:val="1"/>
      <w:numFmt w:val="lowerLetter"/>
      <w:lvlText w:val="%2."/>
      <w:lvlJc w:val="left"/>
      <w:pPr>
        <w:tabs>
          <w:tab w:val="num" w:pos="0"/>
        </w:tabs>
        <w:ind w:left="1507" w:hanging="360"/>
      </w:pPr>
    </w:lvl>
    <w:lvl w:ilvl="2">
      <w:start w:val="1"/>
      <w:numFmt w:val="lowerRoman"/>
      <w:lvlText w:val="%3."/>
      <w:lvlJc w:val="right"/>
      <w:pPr>
        <w:tabs>
          <w:tab w:val="num" w:pos="0"/>
        </w:tabs>
        <w:ind w:left="2227" w:hanging="180"/>
      </w:pPr>
    </w:lvl>
    <w:lvl w:ilvl="3">
      <w:start w:val="1"/>
      <w:numFmt w:val="decimal"/>
      <w:lvlText w:val="%4."/>
      <w:lvlJc w:val="left"/>
      <w:pPr>
        <w:tabs>
          <w:tab w:val="num" w:pos="0"/>
        </w:tabs>
        <w:ind w:left="2947" w:hanging="360"/>
      </w:pPr>
    </w:lvl>
    <w:lvl w:ilvl="4">
      <w:start w:val="1"/>
      <w:numFmt w:val="lowerLetter"/>
      <w:lvlText w:val="%5."/>
      <w:lvlJc w:val="left"/>
      <w:pPr>
        <w:tabs>
          <w:tab w:val="num" w:pos="0"/>
        </w:tabs>
        <w:ind w:left="3667" w:hanging="360"/>
      </w:pPr>
    </w:lvl>
    <w:lvl w:ilvl="5">
      <w:start w:val="1"/>
      <w:numFmt w:val="lowerRoman"/>
      <w:lvlText w:val="%6."/>
      <w:lvlJc w:val="right"/>
      <w:pPr>
        <w:tabs>
          <w:tab w:val="num" w:pos="0"/>
        </w:tabs>
        <w:ind w:left="4387" w:hanging="180"/>
      </w:pPr>
    </w:lvl>
    <w:lvl w:ilvl="6">
      <w:start w:val="1"/>
      <w:numFmt w:val="decimal"/>
      <w:lvlText w:val="%7."/>
      <w:lvlJc w:val="left"/>
      <w:pPr>
        <w:tabs>
          <w:tab w:val="num" w:pos="0"/>
        </w:tabs>
        <w:ind w:left="5107" w:hanging="360"/>
      </w:pPr>
    </w:lvl>
    <w:lvl w:ilvl="7">
      <w:start w:val="1"/>
      <w:numFmt w:val="lowerLetter"/>
      <w:lvlText w:val="%8."/>
      <w:lvlJc w:val="left"/>
      <w:pPr>
        <w:tabs>
          <w:tab w:val="num" w:pos="0"/>
        </w:tabs>
        <w:ind w:left="5827" w:hanging="360"/>
      </w:pPr>
    </w:lvl>
    <w:lvl w:ilvl="8">
      <w:start w:val="1"/>
      <w:numFmt w:val="lowerRoman"/>
      <w:lvlText w:val="%9."/>
      <w:lvlJc w:val="right"/>
      <w:pPr>
        <w:tabs>
          <w:tab w:val="num" w:pos="0"/>
        </w:tabs>
        <w:ind w:left="6547" w:hanging="180"/>
      </w:pPr>
    </w:lvl>
  </w:abstractNum>
  <w:abstractNum w:abstractNumId="13">
    <w:lvl w:ilvl="0">
      <w:start w:val="1"/>
      <w:numFmt w:val="lowerLetter"/>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lowerLetter"/>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4">
    <w:lvl w:ilvl="0">
      <w:start w:val="1"/>
      <w:numFmt w:val="lowerRoman"/>
      <w:lvlText w:val="%1."/>
      <w:lvlJc w:val="left"/>
      <w:pPr>
        <w:tabs>
          <w:tab w:val="num" w:pos="0"/>
        </w:tabs>
        <w:ind w:left="1080" w:hanging="7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lvl w:ilvl="0">
      <w:start w:val="1"/>
      <w:numFmt w:val="lowerRoman"/>
      <w:lvlText w:val="%1."/>
      <w:lvlJc w:val="left"/>
      <w:pPr>
        <w:tabs>
          <w:tab w:val="num" w:pos="0"/>
        </w:tabs>
        <w:ind w:left="1080" w:hanging="720"/>
      </w:pPr>
    </w:lvl>
    <w:lvl w:ilvl="1">
      <w:start w:val="7"/>
      <w:numFmt w:val="upp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0"/>
      <w:numFmt w:val="bullet"/>
      <w:lvlText w:val="•"/>
      <w:lvlJc w:val="left"/>
      <w:pPr>
        <w:tabs>
          <w:tab w:val="num" w:pos="0"/>
        </w:tabs>
        <w:ind w:left="3948" w:hanging="708"/>
      </w:pPr>
      <w:rPr>
        <w:rFonts w:ascii="Book Antiqua" w:hAnsi="Book Antiqua" w:cs="Book Antiqua" w:hint="default"/>
      </w:r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7">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8">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9">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0">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21">
    <w:lvl w:ilvl="0">
      <w:start w:val="1"/>
      <w:numFmt w:val="lowerLetter"/>
      <w:lvlText w:val="%1."/>
      <w:lvlJc w:val="left"/>
      <w:pPr>
        <w:tabs>
          <w:tab w:val="num" w:pos="0"/>
        </w:tabs>
        <w:ind w:left="1440" w:hanging="360"/>
      </w:p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2">
    <w:lvl w:ilvl="0">
      <w:start w:val="1"/>
      <w:numFmt w:val="lowerLetter"/>
      <w:lvlText w:val="%1."/>
      <w:lvlJc w:val="left"/>
      <w:pPr>
        <w:tabs>
          <w:tab w:val="num" w:pos="0"/>
        </w:tabs>
        <w:ind w:left="969" w:hanging="564"/>
      </w:pPr>
      <w:rPr>
        <w:sz w:val="24"/>
        <w:spacing w:val="-1"/>
        <w:i/>
        <w:b/>
        <w:szCs w:val="24"/>
        <w:bCs/>
        <w:w w:val="114"/>
        <w:rFonts w:ascii="Times New Roman" w:hAnsi="Times New Roman" w:eastAsia="Times New Roman" w:cs="Times New Roman"/>
        <w:lang w:val="es-ES" w:eastAsia="es-ES" w:bidi="es-ES"/>
      </w:rPr>
    </w:lvl>
    <w:lvl w:ilvl="1">
      <w:start w:val="0"/>
      <w:numFmt w:val="bullet"/>
      <w:lvlText w:val=""/>
      <w:lvlJc w:val="left"/>
      <w:pPr>
        <w:tabs>
          <w:tab w:val="num" w:pos="0"/>
        </w:tabs>
        <w:ind w:left="1806" w:hanging="564"/>
      </w:pPr>
      <w:rPr>
        <w:rFonts w:ascii="Symbol" w:hAnsi="Symbol" w:cs="Symbol" w:hint="default"/>
      </w:rPr>
    </w:lvl>
    <w:lvl w:ilvl="2">
      <w:start w:val="0"/>
      <w:numFmt w:val="bullet"/>
      <w:lvlText w:val=""/>
      <w:lvlJc w:val="left"/>
      <w:pPr>
        <w:tabs>
          <w:tab w:val="num" w:pos="0"/>
        </w:tabs>
        <w:ind w:left="2652" w:hanging="564"/>
      </w:pPr>
      <w:rPr>
        <w:rFonts w:ascii="Symbol" w:hAnsi="Symbol" w:cs="Symbol" w:hint="default"/>
      </w:rPr>
    </w:lvl>
    <w:lvl w:ilvl="3">
      <w:start w:val="0"/>
      <w:numFmt w:val="bullet"/>
      <w:lvlText w:val=""/>
      <w:lvlJc w:val="left"/>
      <w:pPr>
        <w:tabs>
          <w:tab w:val="num" w:pos="0"/>
        </w:tabs>
        <w:ind w:left="3498" w:hanging="564"/>
      </w:pPr>
      <w:rPr>
        <w:rFonts w:ascii="Symbol" w:hAnsi="Symbol" w:cs="Symbol" w:hint="default"/>
      </w:rPr>
    </w:lvl>
    <w:lvl w:ilvl="4">
      <w:start w:val="0"/>
      <w:numFmt w:val="bullet"/>
      <w:lvlText w:val=""/>
      <w:lvlJc w:val="left"/>
      <w:pPr>
        <w:tabs>
          <w:tab w:val="num" w:pos="0"/>
        </w:tabs>
        <w:ind w:left="4344" w:hanging="564"/>
      </w:pPr>
      <w:rPr>
        <w:rFonts w:ascii="Symbol" w:hAnsi="Symbol" w:cs="Symbol" w:hint="default"/>
      </w:rPr>
    </w:lvl>
    <w:lvl w:ilvl="5">
      <w:start w:val="0"/>
      <w:numFmt w:val="bullet"/>
      <w:lvlText w:val=""/>
      <w:lvlJc w:val="left"/>
      <w:pPr>
        <w:tabs>
          <w:tab w:val="num" w:pos="0"/>
        </w:tabs>
        <w:ind w:left="5190" w:hanging="564"/>
      </w:pPr>
      <w:rPr>
        <w:rFonts w:ascii="Symbol" w:hAnsi="Symbol" w:cs="Symbol" w:hint="default"/>
      </w:rPr>
    </w:lvl>
    <w:lvl w:ilvl="6">
      <w:start w:val="0"/>
      <w:numFmt w:val="bullet"/>
      <w:lvlText w:val=""/>
      <w:lvlJc w:val="left"/>
      <w:pPr>
        <w:tabs>
          <w:tab w:val="num" w:pos="0"/>
        </w:tabs>
        <w:ind w:left="6036" w:hanging="564"/>
      </w:pPr>
      <w:rPr>
        <w:rFonts w:ascii="Symbol" w:hAnsi="Symbol" w:cs="Symbol" w:hint="default"/>
      </w:rPr>
    </w:lvl>
    <w:lvl w:ilvl="7">
      <w:start w:val="0"/>
      <w:numFmt w:val="bullet"/>
      <w:lvlText w:val=""/>
      <w:lvlJc w:val="left"/>
      <w:pPr>
        <w:tabs>
          <w:tab w:val="num" w:pos="0"/>
        </w:tabs>
        <w:ind w:left="6882" w:hanging="564"/>
      </w:pPr>
      <w:rPr>
        <w:rFonts w:ascii="Symbol" w:hAnsi="Symbol" w:cs="Symbol" w:hint="default"/>
      </w:rPr>
    </w:lvl>
    <w:lvl w:ilvl="8">
      <w:start w:val="0"/>
      <w:numFmt w:val="bullet"/>
      <w:lvlText w:val=""/>
      <w:lvlJc w:val="left"/>
      <w:pPr>
        <w:tabs>
          <w:tab w:val="num" w:pos="0"/>
        </w:tabs>
        <w:ind w:left="7728" w:hanging="564"/>
      </w:pPr>
      <w:rPr>
        <w:rFonts w:ascii="Symbol" w:hAnsi="Symbol" w:cs="Symbol" w:hint="default"/>
      </w:rPr>
    </w:lvl>
  </w:abstractNum>
  <w:abstractNum w:abstractNumId="23">
    <w:lvl w:ilvl="0">
      <w:start w:val="1"/>
      <w:numFmt w:val="decimal"/>
      <w:lvlText w:val="%1."/>
      <w:lvlJc w:val="left"/>
      <w:pPr>
        <w:tabs>
          <w:tab w:val="num" w:pos="0"/>
        </w:tabs>
        <w:ind w:left="969"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24">
    <w:lvl w:ilvl="0">
      <w:start w:val="1"/>
      <w:numFmt w:val="lowerLetter"/>
      <w:lvlText w:val="%1."/>
      <w:lvlJc w:val="left"/>
      <w:pPr>
        <w:tabs>
          <w:tab w:val="num" w:pos="0"/>
        </w:tabs>
        <w:ind w:left="1637" w:hanging="360"/>
      </w:pPr>
      <w:rPr>
        <w:sz w:val="24"/>
        <w:spacing w:val="-1"/>
        <w:b/>
        <w:szCs w:val="24"/>
        <w:bCs w:val="false"/>
        <w:w w:val="116"/>
        <w:rFonts w:ascii="Bookman Old Style" w:hAnsi="Bookman Old Style"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2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9">
    <w:lvl w:ilvl="0">
      <w:start w:val="1"/>
      <w:numFmt w:val="lowerLetter"/>
      <w:lvlText w:val="%1."/>
      <w:lvlJc w:val="left"/>
      <w:pPr>
        <w:tabs>
          <w:tab w:val="num" w:pos="0"/>
        </w:tabs>
        <w:ind w:left="1637" w:hanging="360"/>
      </w:pPr>
      <w:rPr>
        <w:sz w:val="24"/>
        <w:spacing w:val="-1"/>
        <w:b/>
        <w:szCs w:val="24"/>
        <w:bCs w:val="false"/>
        <w:w w:val="116"/>
        <w:rFonts w:ascii="Bookman Old Style" w:hAnsi="Bookman Old Style" w:eastAsia="Calibri" w:cs="Times New Roman"/>
        <w:lang w:val="es-ES" w:eastAsia="es-CR" w:bidi="es-CR"/>
      </w:rPr>
    </w:lvl>
    <w:lvl w:ilvl="1">
      <w:start w:val="1"/>
      <w:numFmt w:val="bullet"/>
      <w:lvlText w:val=""/>
      <w:lvlJc w:val="left"/>
      <w:pPr>
        <w:tabs>
          <w:tab w:val="num" w:pos="0"/>
        </w:tabs>
        <w:ind w:left="2399" w:hanging="360"/>
      </w:pPr>
      <w:rPr>
        <w:rFonts w:ascii="Symbol" w:hAnsi="Symbol" w:cs="Symbol" w:hint="default"/>
      </w:rPr>
    </w:lvl>
    <w:lvl w:ilvl="2">
      <w:start w:val="1"/>
      <w:numFmt w:val="bullet"/>
      <w:lvlText w:val=""/>
      <w:lvlJc w:val="left"/>
      <w:pPr>
        <w:tabs>
          <w:tab w:val="num" w:pos="0"/>
        </w:tabs>
        <w:ind w:left="3163" w:hanging="360"/>
      </w:pPr>
      <w:rPr>
        <w:rFonts w:ascii="Symbol" w:hAnsi="Symbol" w:cs="Symbol" w:hint="default"/>
      </w:rPr>
    </w:lvl>
    <w:lvl w:ilvl="3">
      <w:start w:val="1"/>
      <w:numFmt w:val="bullet"/>
      <w:lvlText w:val=""/>
      <w:lvlJc w:val="left"/>
      <w:pPr>
        <w:tabs>
          <w:tab w:val="num" w:pos="0"/>
        </w:tabs>
        <w:ind w:left="3927" w:hanging="360"/>
      </w:pPr>
      <w:rPr>
        <w:rFonts w:ascii="Symbol" w:hAnsi="Symbol" w:cs="Symbol" w:hint="default"/>
      </w:rPr>
    </w:lvl>
    <w:lvl w:ilvl="4">
      <w:start w:val="1"/>
      <w:numFmt w:val="bullet"/>
      <w:lvlText w:val=""/>
      <w:lvlJc w:val="left"/>
      <w:pPr>
        <w:tabs>
          <w:tab w:val="num" w:pos="0"/>
        </w:tabs>
        <w:ind w:left="4691" w:hanging="360"/>
      </w:pPr>
      <w:rPr>
        <w:rFonts w:ascii="Symbol" w:hAnsi="Symbol" w:cs="Symbol" w:hint="default"/>
      </w:rPr>
    </w:lvl>
    <w:lvl w:ilvl="5">
      <w:start w:val="1"/>
      <w:numFmt w:val="bullet"/>
      <w:lvlText w:val=""/>
      <w:lvlJc w:val="left"/>
      <w:pPr>
        <w:tabs>
          <w:tab w:val="num" w:pos="0"/>
        </w:tabs>
        <w:ind w:left="5455" w:hanging="360"/>
      </w:pPr>
      <w:rPr>
        <w:rFonts w:ascii="Symbol" w:hAnsi="Symbol" w:cs="Symbol" w:hint="default"/>
      </w:rPr>
    </w:lvl>
    <w:lvl w:ilvl="6">
      <w:start w:val="1"/>
      <w:numFmt w:val="bullet"/>
      <w:lvlText w:val=""/>
      <w:lvlJc w:val="left"/>
      <w:pPr>
        <w:tabs>
          <w:tab w:val="num" w:pos="0"/>
        </w:tabs>
        <w:ind w:left="6219" w:hanging="360"/>
      </w:pPr>
      <w:rPr>
        <w:rFonts w:ascii="Symbol" w:hAnsi="Symbol" w:cs="Symbol" w:hint="default"/>
      </w:rPr>
    </w:lvl>
    <w:lvl w:ilvl="7">
      <w:start w:val="1"/>
      <w:numFmt w:val="bullet"/>
      <w:lvlText w:val=""/>
      <w:lvlJc w:val="left"/>
      <w:pPr>
        <w:tabs>
          <w:tab w:val="num" w:pos="0"/>
        </w:tabs>
        <w:ind w:left="6983" w:hanging="360"/>
      </w:pPr>
      <w:rPr>
        <w:rFonts w:ascii="Symbol" w:hAnsi="Symbol" w:cs="Symbol" w:hint="default"/>
      </w:rPr>
    </w:lvl>
    <w:lvl w:ilvl="8">
      <w:start w:val="1"/>
      <w:numFmt w:val="bullet"/>
      <w:lvlText w:val=""/>
      <w:lvlJc w:val="left"/>
      <w:pPr>
        <w:tabs>
          <w:tab w:val="num" w:pos="0"/>
        </w:tabs>
        <w:ind w:left="7747" w:hanging="360"/>
      </w:pPr>
      <w:rPr>
        <w:rFonts w:ascii="Symbol" w:hAnsi="Symbol" w:cs="Symbol" w:hint="default"/>
      </w:rPr>
    </w:lvl>
  </w:abstractNum>
  <w:abstractNum w:abstractNumId="30">
    <w:lvl w:ilvl="0">
      <w:start w:val="1"/>
      <w:numFmt w:val="decimal"/>
      <w:lvlText w:val="%1."/>
      <w:lvlJc w:val="left"/>
      <w:pPr>
        <w:tabs>
          <w:tab w:val="num" w:pos="0"/>
        </w:tabs>
        <w:ind w:left="387"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31">
    <w:lvl w:ilvl="0">
      <w:start w:val="1"/>
      <w:numFmt w:val="decimal"/>
      <w:lvlText w:val="%1."/>
      <w:lvlJc w:val="left"/>
      <w:pPr>
        <w:tabs>
          <w:tab w:val="num" w:pos="0"/>
        </w:tabs>
        <w:ind w:left="387" w:hanging="245"/>
      </w:pPr>
      <w:rPr>
        <w:sz w:val="24"/>
        <w:i/>
        <w:b/>
        <w:szCs w:val="24"/>
        <w:bCs/>
        <w:w w:val="100"/>
        <w:rFonts w:ascii="Times New Roman" w:hAnsi="Times New Roman" w:eastAsia="Times New Roman" w:cs="Times New Roman"/>
        <w:lang w:val="es-ES" w:eastAsia="es-ES" w:bidi="es-ES"/>
      </w:rPr>
    </w:lvl>
    <w:lvl w:ilvl="1">
      <w:start w:val="0"/>
      <w:numFmt w:val="bullet"/>
      <w:lvlText w:val=""/>
      <w:lvlJc w:val="left"/>
      <w:pPr>
        <w:tabs>
          <w:tab w:val="num" w:pos="0"/>
        </w:tabs>
        <w:ind w:left="1806" w:hanging="245"/>
      </w:pPr>
      <w:rPr>
        <w:rFonts w:ascii="Symbol" w:hAnsi="Symbol" w:cs="Symbol" w:hint="default"/>
      </w:rPr>
    </w:lvl>
    <w:lvl w:ilvl="2">
      <w:start w:val="0"/>
      <w:numFmt w:val="bullet"/>
      <w:lvlText w:val=""/>
      <w:lvlJc w:val="left"/>
      <w:pPr>
        <w:tabs>
          <w:tab w:val="num" w:pos="0"/>
        </w:tabs>
        <w:ind w:left="2652" w:hanging="245"/>
      </w:pPr>
      <w:rPr>
        <w:rFonts w:ascii="Symbol" w:hAnsi="Symbol" w:cs="Symbol" w:hint="default"/>
      </w:rPr>
    </w:lvl>
    <w:lvl w:ilvl="3">
      <w:start w:val="0"/>
      <w:numFmt w:val="bullet"/>
      <w:lvlText w:val=""/>
      <w:lvlJc w:val="left"/>
      <w:pPr>
        <w:tabs>
          <w:tab w:val="num" w:pos="0"/>
        </w:tabs>
        <w:ind w:left="3498" w:hanging="245"/>
      </w:pPr>
      <w:rPr>
        <w:rFonts w:ascii="Symbol" w:hAnsi="Symbol" w:cs="Symbol" w:hint="default"/>
      </w:rPr>
    </w:lvl>
    <w:lvl w:ilvl="4">
      <w:start w:val="0"/>
      <w:numFmt w:val="bullet"/>
      <w:lvlText w:val=""/>
      <w:lvlJc w:val="left"/>
      <w:pPr>
        <w:tabs>
          <w:tab w:val="num" w:pos="0"/>
        </w:tabs>
        <w:ind w:left="4344" w:hanging="245"/>
      </w:pPr>
      <w:rPr>
        <w:rFonts w:ascii="Symbol" w:hAnsi="Symbol" w:cs="Symbol" w:hint="default"/>
      </w:rPr>
    </w:lvl>
    <w:lvl w:ilvl="5">
      <w:start w:val="0"/>
      <w:numFmt w:val="bullet"/>
      <w:lvlText w:val=""/>
      <w:lvlJc w:val="left"/>
      <w:pPr>
        <w:tabs>
          <w:tab w:val="num" w:pos="0"/>
        </w:tabs>
        <w:ind w:left="5190" w:hanging="245"/>
      </w:pPr>
      <w:rPr>
        <w:rFonts w:ascii="Symbol" w:hAnsi="Symbol" w:cs="Symbol" w:hint="default"/>
      </w:rPr>
    </w:lvl>
    <w:lvl w:ilvl="6">
      <w:start w:val="0"/>
      <w:numFmt w:val="bullet"/>
      <w:lvlText w:val=""/>
      <w:lvlJc w:val="left"/>
      <w:pPr>
        <w:tabs>
          <w:tab w:val="num" w:pos="0"/>
        </w:tabs>
        <w:ind w:left="6036" w:hanging="245"/>
      </w:pPr>
      <w:rPr>
        <w:rFonts w:ascii="Symbol" w:hAnsi="Symbol" w:cs="Symbol" w:hint="default"/>
      </w:rPr>
    </w:lvl>
    <w:lvl w:ilvl="7">
      <w:start w:val="0"/>
      <w:numFmt w:val="bullet"/>
      <w:lvlText w:val=""/>
      <w:lvlJc w:val="left"/>
      <w:pPr>
        <w:tabs>
          <w:tab w:val="num" w:pos="0"/>
        </w:tabs>
        <w:ind w:left="6882" w:hanging="245"/>
      </w:pPr>
      <w:rPr>
        <w:rFonts w:ascii="Symbol" w:hAnsi="Symbol" w:cs="Symbol" w:hint="default"/>
      </w:rPr>
    </w:lvl>
    <w:lvl w:ilvl="8">
      <w:start w:val="0"/>
      <w:numFmt w:val="bullet"/>
      <w:lvlText w:val=""/>
      <w:lvlJc w:val="left"/>
      <w:pPr>
        <w:tabs>
          <w:tab w:val="num" w:pos="0"/>
        </w:tabs>
        <w:ind w:left="7728" w:hanging="245"/>
      </w:pPr>
      <w:rPr>
        <w:rFonts w:ascii="Symbol" w:hAnsi="Symbol" w:cs="Symbol" w:hint="default"/>
      </w:rPr>
    </w:lvl>
  </w:abstractNum>
  <w:abstractNum w:abstractNumId="32">
    <w:lvl w:ilvl="0">
      <w:start w:val="1"/>
      <w:numFmt w:val="bullet"/>
      <w:lvlText w:val=""/>
      <w:lvlJc w:val="left"/>
      <w:pPr>
        <w:tabs>
          <w:tab w:val="num" w:pos="624"/>
        </w:tabs>
        <w:ind w:left="624" w:hanging="264"/>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lvl w:ilvl="0">
      <w:start w:val="1"/>
      <w:numFmt w:val="bullet"/>
      <w:lvlText w:val=""/>
      <w:lvlJc w:val="left"/>
      <w:pPr>
        <w:tabs>
          <w:tab w:val="num" w:pos="780"/>
        </w:tabs>
        <w:ind w:left="780" w:hanging="360"/>
      </w:pPr>
      <w:rPr>
        <w:rFonts w:ascii="Wingdings" w:hAnsi="Wingdings" w:cs="Wingdings" w:hint="default"/>
      </w:rPr>
    </w:lvl>
    <w:lvl w:ilvl="1">
      <w:start w:val="1"/>
      <w:numFmt w:val="bullet"/>
      <w:lvlText w:val="o"/>
      <w:lvlJc w:val="left"/>
      <w:pPr>
        <w:tabs>
          <w:tab w:val="num" w:pos="1500"/>
        </w:tabs>
        <w:ind w:left="1500" w:hanging="360"/>
      </w:pPr>
      <w:rPr>
        <w:rFonts w:ascii="Courier New" w:hAnsi="Courier New" w:cs="Courier New" w:hint="default"/>
      </w:rPr>
    </w:lvl>
    <w:lvl w:ilvl="2">
      <w:start w:val="1"/>
      <w:numFmt w:val="bullet"/>
      <w:lvlText w:val=""/>
      <w:lvlJc w:val="left"/>
      <w:pPr>
        <w:tabs>
          <w:tab w:val="num" w:pos="2220"/>
        </w:tabs>
        <w:ind w:left="2220" w:hanging="360"/>
      </w:pPr>
      <w:rPr>
        <w:rFonts w:ascii="Wingdings" w:hAnsi="Wingdings" w:cs="Wingdings" w:hint="default"/>
      </w:rPr>
    </w:lvl>
    <w:lvl w:ilvl="3">
      <w:start w:val="1"/>
      <w:numFmt w:val="bullet"/>
      <w:lvlText w:val=""/>
      <w:lvlJc w:val="left"/>
      <w:pPr>
        <w:tabs>
          <w:tab w:val="num" w:pos="2940"/>
        </w:tabs>
        <w:ind w:left="2940" w:hanging="360"/>
      </w:pPr>
      <w:rPr>
        <w:rFonts w:ascii="Symbol" w:hAnsi="Symbol" w:cs="Symbol" w:hint="default"/>
      </w:rPr>
    </w:lvl>
    <w:lvl w:ilvl="4">
      <w:start w:val="1"/>
      <w:numFmt w:val="bullet"/>
      <w:lvlText w:val="o"/>
      <w:lvlJc w:val="left"/>
      <w:pPr>
        <w:tabs>
          <w:tab w:val="num" w:pos="3660"/>
        </w:tabs>
        <w:ind w:left="3660" w:hanging="360"/>
      </w:pPr>
      <w:rPr>
        <w:rFonts w:ascii="Courier New" w:hAnsi="Courier New" w:cs="Courier New" w:hint="default"/>
      </w:rPr>
    </w:lvl>
    <w:lvl w:ilvl="5">
      <w:start w:val="1"/>
      <w:numFmt w:val="bullet"/>
      <w:lvlText w:val=""/>
      <w:lvlJc w:val="left"/>
      <w:pPr>
        <w:tabs>
          <w:tab w:val="num" w:pos="4380"/>
        </w:tabs>
        <w:ind w:left="4380" w:hanging="360"/>
      </w:pPr>
      <w:rPr>
        <w:rFonts w:ascii="Wingdings" w:hAnsi="Wingdings" w:cs="Wingdings" w:hint="default"/>
      </w:rPr>
    </w:lvl>
    <w:lvl w:ilvl="6">
      <w:start w:val="1"/>
      <w:numFmt w:val="bullet"/>
      <w:lvlText w:val=""/>
      <w:lvlJc w:val="left"/>
      <w:pPr>
        <w:tabs>
          <w:tab w:val="num" w:pos="5100"/>
        </w:tabs>
        <w:ind w:left="5100" w:hanging="360"/>
      </w:pPr>
      <w:rPr>
        <w:rFonts w:ascii="Symbol" w:hAnsi="Symbol" w:cs="Symbol" w:hint="default"/>
      </w:rPr>
    </w:lvl>
    <w:lvl w:ilvl="7">
      <w:start w:val="1"/>
      <w:numFmt w:val="bullet"/>
      <w:lvlText w:val="o"/>
      <w:lvlJc w:val="left"/>
      <w:pPr>
        <w:tabs>
          <w:tab w:val="num" w:pos="5820"/>
        </w:tabs>
        <w:ind w:left="5820" w:hanging="360"/>
      </w:pPr>
      <w:rPr>
        <w:rFonts w:ascii="Courier New" w:hAnsi="Courier New" w:cs="Courier New" w:hint="default"/>
      </w:rPr>
    </w:lvl>
    <w:lvl w:ilvl="8">
      <w:start w:val="1"/>
      <w:numFmt w:val="bullet"/>
      <w:lvlText w:val=""/>
      <w:lvlJc w:val="left"/>
      <w:pPr>
        <w:tabs>
          <w:tab w:val="num" w:pos="6540"/>
        </w:tabs>
        <w:ind w:left="6540" w:hanging="360"/>
      </w:pPr>
      <w:rPr>
        <w:rFonts w:ascii="Wingdings" w:hAnsi="Wingdings" w:cs="Wingdings" w:hint="default"/>
      </w:rPr>
    </w:lvl>
  </w:abstractNum>
  <w:abstractNum w:abstractNumId="34">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w="http://schemas.openxmlformats.org/wordprocessingml/2006/main">
  <w:zoom w:percent="100"/>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C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C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c5e70"/>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Ttulo2">
    <w:name w:val="Heading 2"/>
    <w:basedOn w:val="Normal"/>
    <w:next w:val="Normal"/>
    <w:link w:val="Ttulo2Car"/>
    <w:uiPriority w:val="9"/>
    <w:semiHidden/>
    <w:unhideWhenUsed/>
    <w:qFormat/>
    <w:rsid w:val="002f5f91"/>
    <w:pPr>
      <w:keepNext w:val="true"/>
      <w:keepLines/>
      <w:spacing w:before="200" w:after="0"/>
      <w:outlineLvl w:val="1"/>
    </w:pPr>
    <w:rPr>
      <w:rFonts w:ascii="Cambria" w:hAnsi="Cambria" w:eastAsia="" w:cs="" w:asciiTheme="majorHAnsi" w:cstheme="majorBidi" w:eastAsiaTheme="majorEastAsia" w:hAnsiTheme="majorHAnsi"/>
      <w:b/>
      <w:bCs/>
      <w:color w:val="4F81BD" w:themeColor="accent1"/>
      <w:sz w:val="26"/>
      <w:szCs w:val="26"/>
    </w:rPr>
  </w:style>
  <w:style w:type="paragraph" w:styleId="Ttulo3">
    <w:name w:val="Heading 3"/>
    <w:basedOn w:val="Normal"/>
    <w:next w:val="Normal"/>
    <w:link w:val="Ttulo3Car"/>
    <w:uiPriority w:val="9"/>
    <w:unhideWhenUsed/>
    <w:qFormat/>
    <w:rsid w:val="00093e1b"/>
    <w:pPr>
      <w:keepNext w:val="true"/>
      <w:keepLines/>
      <w:spacing w:lineRule="auto" w:line="259" w:before="40" w:after="0"/>
      <w:outlineLvl w:val="2"/>
    </w:pPr>
    <w:rPr>
      <w:rFonts w:ascii="Cambria" w:hAnsi="Cambria" w:eastAsia="" w:cs="" w:asciiTheme="majorHAnsi" w:cstheme="majorBidi" w:eastAsiaTheme="majorEastAsia" w:hAnsiTheme="majorHAnsi"/>
      <w:color w:val="243F60" w:themeColor="accent1" w:themeShade="7f"/>
      <w:sz w:val="24"/>
      <w:szCs w:val="24"/>
    </w:rPr>
  </w:style>
  <w:style w:type="paragraph" w:styleId="Ttulo7">
    <w:name w:val="Heading 7"/>
    <w:basedOn w:val="Normal"/>
    <w:next w:val="Normal"/>
    <w:link w:val="Ttulo7Car"/>
    <w:uiPriority w:val="9"/>
    <w:semiHidden/>
    <w:unhideWhenUsed/>
    <w:qFormat/>
    <w:rsid w:val="0018152f"/>
    <w:pPr>
      <w:keepNext w:val="true"/>
      <w:keepLines/>
      <w:spacing w:before="200" w:after="0"/>
      <w:outlineLvl w:val="6"/>
    </w:pPr>
    <w:rPr>
      <w:rFonts w:ascii="Cambria" w:hAnsi="Cambria" w:eastAsia="" w:cs="" w:asciiTheme="majorHAnsi" w:cstheme="majorBidi" w:eastAsiaTheme="majorEastAsia" w:hAnsiTheme="majorHAnsi"/>
      <w:i/>
      <w:iCs/>
      <w:color w:val="404040" w:themeColor="text1" w:themeTint="bf"/>
    </w:rPr>
  </w:style>
  <w:style w:type="character" w:styleId="DefaultParagraphFont" w:default="1">
    <w:name w:val="Default Paragraph Font"/>
    <w:uiPriority w:val="1"/>
    <w:semiHidden/>
    <w:unhideWhenUsed/>
    <w:qFormat/>
    <w:rPr/>
  </w:style>
  <w:style w:type="character" w:styleId="Ttulo3Car" w:customStyle="1">
    <w:name w:val="Título 3 Car"/>
    <w:basedOn w:val="DefaultParagraphFont"/>
    <w:link w:val="Ttulo3"/>
    <w:uiPriority w:val="9"/>
    <w:qFormat/>
    <w:rsid w:val="00093e1b"/>
    <w:rPr>
      <w:rFonts w:ascii="Cambria" w:hAnsi="Cambria" w:eastAsia="" w:cs="" w:asciiTheme="majorHAnsi" w:cstheme="majorBidi" w:eastAsiaTheme="majorEastAsia" w:hAnsiTheme="majorHAnsi"/>
      <w:color w:val="243F60" w:themeColor="accent1" w:themeShade="7f"/>
      <w:sz w:val="24"/>
      <w:szCs w:val="24"/>
    </w:rPr>
  </w:style>
  <w:style w:type="character" w:styleId="Ttulo7Car" w:customStyle="1">
    <w:name w:val="Título 7 Car"/>
    <w:basedOn w:val="DefaultParagraphFont"/>
    <w:link w:val="Ttulo7"/>
    <w:uiPriority w:val="9"/>
    <w:semiHidden/>
    <w:qFormat/>
    <w:rsid w:val="0018152f"/>
    <w:rPr>
      <w:rFonts w:ascii="Cambria" w:hAnsi="Cambria" w:eastAsia="" w:cs="" w:asciiTheme="majorHAnsi" w:cstheme="majorBidi" w:eastAsiaTheme="majorEastAsia" w:hAnsiTheme="majorHAnsi"/>
      <w:i/>
      <w:iCs/>
      <w:color w:val="404040" w:themeColor="text1" w:themeTint="bf"/>
    </w:rPr>
  </w:style>
  <w:style w:type="character" w:styleId="EncabezadoCar" w:customStyle="1">
    <w:name w:val="Encabezado Car"/>
    <w:basedOn w:val="DefaultParagraphFont"/>
    <w:link w:val="Encabezado"/>
    <w:uiPriority w:val="99"/>
    <w:semiHidden/>
    <w:qFormat/>
    <w:rsid w:val="00093e1b"/>
    <w:rPr/>
  </w:style>
  <w:style w:type="character" w:styleId="PiedepginaCar" w:customStyle="1">
    <w:name w:val="Pie de página Car"/>
    <w:basedOn w:val="DefaultParagraphFont"/>
    <w:link w:val="Piedepgina"/>
    <w:uiPriority w:val="99"/>
    <w:qFormat/>
    <w:rsid w:val="00093e1b"/>
    <w:rPr/>
  </w:style>
  <w:style w:type="character" w:styleId="TextodegloboCar" w:customStyle="1">
    <w:name w:val="Texto de globo Car"/>
    <w:basedOn w:val="DefaultParagraphFont"/>
    <w:link w:val="Textodeglobo"/>
    <w:uiPriority w:val="99"/>
    <w:semiHidden/>
    <w:qFormat/>
    <w:rsid w:val="00093e1b"/>
    <w:rPr>
      <w:rFonts w:ascii="Tahoma" w:hAnsi="Tahoma" w:cs="Tahoma"/>
      <w:sz w:val="16"/>
      <w:szCs w:val="16"/>
    </w:rPr>
  </w:style>
  <w:style w:type="character" w:styleId="NormalWebCar" w:customStyle="1">
    <w:name w:val="Normal (Web) Car"/>
    <w:link w:val="NormalWeb"/>
    <w:uiPriority w:val="99"/>
    <w:qFormat/>
    <w:locked/>
    <w:rsid w:val="00302d88"/>
    <w:rPr>
      <w:rFonts w:ascii="Times New Roman" w:hAnsi="Times New Roman" w:cs="Times New Roman"/>
      <w:sz w:val="24"/>
      <w:szCs w:val="24"/>
      <w:lang w:eastAsia="es-CR"/>
    </w:rPr>
  </w:style>
  <w:style w:type="character" w:styleId="TextoindependienteCar" w:customStyle="1">
    <w:name w:val="Texto independiente Car"/>
    <w:basedOn w:val="DefaultParagraphFont"/>
    <w:link w:val="Textoindependiente"/>
    <w:uiPriority w:val="1"/>
    <w:qFormat/>
    <w:rsid w:val="0078313b"/>
    <w:rPr>
      <w:rFonts w:ascii="Calibri Light" w:hAnsi="Calibri Light" w:eastAsia="Calibri Light" w:cs="Calibri Light"/>
      <w:sz w:val="24"/>
      <w:szCs w:val="24"/>
      <w:lang w:val="es-ES" w:eastAsia="es-ES" w:bidi="es-ES"/>
    </w:rPr>
  </w:style>
  <w:style w:type="character" w:styleId="TextonotapieCar" w:customStyle="1">
    <w:name w:val="Texto nota pie Car"/>
    <w:basedOn w:val="DefaultParagraphFont"/>
    <w:link w:val="Textonotapie"/>
    <w:uiPriority w:val="99"/>
    <w:qFormat/>
    <w:rsid w:val="004c3d29"/>
    <w:rPr>
      <w:rFonts w:ascii="Times New Roman" w:hAnsi="Times New Roman" w:eastAsia="Times New Roman" w:cs="Times New Roman"/>
      <w:sz w:val="20"/>
      <w:szCs w:val="20"/>
      <w:lang w:val="es-ES" w:eastAsia="es-ES"/>
    </w:rPr>
  </w:style>
  <w:style w:type="character" w:styleId="Ancladenotaalpie">
    <w:name w:val="Ancla de nota al pie"/>
    <w:rPr>
      <w:rFonts w:cs="Times New Roman"/>
      <w:vertAlign w:val="superscript"/>
    </w:rPr>
  </w:style>
  <w:style w:type="character" w:styleId="FootnoteCharacters">
    <w:name w:val="Footnote Characters"/>
    <w:uiPriority w:val="99"/>
    <w:qFormat/>
    <w:rsid w:val="004c3d29"/>
    <w:rPr>
      <w:rFonts w:cs="Times New Roman"/>
      <w:vertAlign w:val="superscript"/>
    </w:rPr>
  </w:style>
  <w:style w:type="character" w:styleId="Textoindependiente2Car" w:customStyle="1">
    <w:name w:val="Texto independiente 2 Car"/>
    <w:basedOn w:val="DefaultParagraphFont"/>
    <w:link w:val="Textoindependiente2"/>
    <w:uiPriority w:val="99"/>
    <w:qFormat/>
    <w:rsid w:val="004c3d29"/>
    <w:rPr/>
  </w:style>
  <w:style w:type="character" w:styleId="EnlacedeInternet">
    <w:name w:val="Enlace de Internet"/>
    <w:rsid w:val="00203744"/>
    <w:rPr>
      <w:color w:val="000080"/>
      <w:u w:val="single"/>
    </w:rPr>
  </w:style>
  <w:style w:type="character" w:styleId="Strong">
    <w:name w:val="Strong"/>
    <w:basedOn w:val="DefaultParagraphFont"/>
    <w:uiPriority w:val="22"/>
    <w:qFormat/>
    <w:rsid w:val="00996ab8"/>
    <w:rPr>
      <w:b/>
      <w:bCs/>
    </w:rPr>
  </w:style>
  <w:style w:type="character" w:styleId="Ttulo2Car" w:customStyle="1">
    <w:name w:val="Título 2 Car"/>
    <w:basedOn w:val="DefaultParagraphFont"/>
    <w:link w:val="Ttulo2"/>
    <w:uiPriority w:val="9"/>
    <w:semiHidden/>
    <w:qFormat/>
    <w:rsid w:val="002f5f91"/>
    <w:rPr>
      <w:rFonts w:ascii="Cambria" w:hAnsi="Cambria" w:eastAsia="" w:cs="" w:asciiTheme="majorHAnsi" w:cstheme="majorBidi" w:eastAsiaTheme="majorEastAsia" w:hAnsiTheme="majorHAnsi"/>
      <w:b/>
      <w:bCs/>
      <w:color w:val="4F81BD" w:themeColor="accent1"/>
      <w:sz w:val="26"/>
      <w:szCs w:val="26"/>
    </w:rPr>
  </w:style>
  <w:style w:type="character" w:styleId="Caracteresdenotaalpie">
    <w:name w:val="Caracteres de nota al pie"/>
    <w:qFormat/>
    <w:rPr/>
  </w:style>
  <w:style w:type="character" w:styleId="Ancladenotafinal">
    <w:name w:val="Ancla de nota final"/>
    <w:rPr>
      <w:vertAlign w:val="superscript"/>
    </w:rPr>
  </w:style>
  <w:style w:type="character" w:styleId="Caracteresdenotafinal">
    <w:name w:val="Caracteres de nota final"/>
    <w:qFormat/>
    <w:rPr/>
  </w:style>
  <w:style w:type="paragraph" w:styleId="Ttulo">
    <w:name w:val="Título"/>
    <w:basedOn w:val="Normal"/>
    <w:next w:val="Cuerpodetexto"/>
    <w:qFormat/>
    <w:pPr>
      <w:keepNext w:val="true"/>
      <w:spacing w:before="240" w:after="120"/>
    </w:pPr>
    <w:rPr>
      <w:rFonts w:ascii="Liberation Sans" w:hAnsi="Liberation Sans" w:eastAsia="Microsoft YaHei" w:cs="Arial"/>
      <w:sz w:val="28"/>
      <w:szCs w:val="28"/>
    </w:rPr>
  </w:style>
  <w:style w:type="paragraph" w:styleId="Cuerpodetexto">
    <w:name w:val="Body Text"/>
    <w:basedOn w:val="Normal"/>
    <w:link w:val="TextoindependienteCar"/>
    <w:qFormat/>
    <w:rsid w:val="0078313b"/>
    <w:pPr>
      <w:widowControl w:val="false"/>
      <w:spacing w:lineRule="auto" w:line="240" w:before="0" w:after="0"/>
    </w:pPr>
    <w:rPr>
      <w:rFonts w:ascii="Calibri Light" w:hAnsi="Calibri Light" w:eastAsia="Calibri Light" w:cs="Calibri Light"/>
      <w:sz w:val="24"/>
      <w:szCs w:val="24"/>
      <w:lang w:val="es-ES" w:eastAsia="es-ES" w:bidi="es-ES"/>
    </w:rPr>
  </w:style>
  <w:style w:type="paragraph" w:styleId="Lista">
    <w:name w:val="List"/>
    <w:basedOn w:val="Cuerpodetexto"/>
    <w:pPr/>
    <w:rPr>
      <w:rFonts w:cs="Arial"/>
    </w:rPr>
  </w:style>
  <w:style w:type="paragraph" w:styleId="Ley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ceraypie">
    <w:name w:val="Cabecera y pie"/>
    <w:basedOn w:val="Normal"/>
    <w:qFormat/>
    <w:pPr/>
    <w:rPr/>
  </w:style>
  <w:style w:type="paragraph" w:styleId="Cabecera">
    <w:name w:val="Header"/>
    <w:basedOn w:val="Normal"/>
    <w:link w:val="EncabezadoCar"/>
    <w:unhideWhenUsed/>
    <w:rsid w:val="00093e1b"/>
    <w:pPr>
      <w:tabs>
        <w:tab w:val="clear" w:pos="708"/>
        <w:tab w:val="center" w:pos="4419" w:leader="none"/>
        <w:tab w:val="right" w:pos="8838" w:leader="none"/>
      </w:tabs>
      <w:spacing w:lineRule="auto" w:line="240" w:before="0" w:after="0"/>
    </w:pPr>
    <w:rPr/>
  </w:style>
  <w:style w:type="paragraph" w:styleId="Piedepgina">
    <w:name w:val="Footer"/>
    <w:basedOn w:val="Normal"/>
    <w:link w:val="PiedepginaCar"/>
    <w:uiPriority w:val="99"/>
    <w:unhideWhenUsed/>
    <w:rsid w:val="00093e1b"/>
    <w:pPr>
      <w:tabs>
        <w:tab w:val="clear" w:pos="708"/>
        <w:tab w:val="center" w:pos="4419" w:leader="none"/>
        <w:tab w:val="right" w:pos="8838" w:leader="none"/>
      </w:tabs>
      <w:spacing w:lineRule="auto" w:line="240" w:before="0" w:after="0"/>
    </w:pPr>
    <w:rPr/>
  </w:style>
  <w:style w:type="paragraph" w:styleId="NoSpacing">
    <w:name w:val="No Spacing"/>
    <w:uiPriority w:val="1"/>
    <w:qFormat/>
    <w:rsid w:val="00093e1b"/>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es-CR" w:eastAsia="en-US" w:bidi="ar-SA"/>
    </w:rPr>
  </w:style>
  <w:style w:type="paragraph" w:styleId="BalloonText">
    <w:name w:val="Balloon Text"/>
    <w:basedOn w:val="Normal"/>
    <w:link w:val="TextodegloboCar"/>
    <w:uiPriority w:val="99"/>
    <w:semiHidden/>
    <w:unhideWhenUsed/>
    <w:qFormat/>
    <w:rsid w:val="00093e1b"/>
    <w:pPr>
      <w:spacing w:lineRule="auto" w:line="240" w:before="0" w:after="0"/>
    </w:pPr>
    <w:rPr>
      <w:rFonts w:ascii="Tahoma" w:hAnsi="Tahoma" w:cs="Tahoma"/>
      <w:sz w:val="16"/>
      <w:szCs w:val="16"/>
    </w:rPr>
  </w:style>
  <w:style w:type="paragraph" w:styleId="NormalWeb">
    <w:name w:val="Normal (Web)"/>
    <w:basedOn w:val="Normal"/>
    <w:link w:val="NormalWebCar"/>
    <w:uiPriority w:val="99"/>
    <w:unhideWhenUsed/>
    <w:qFormat/>
    <w:rsid w:val="00302d88"/>
    <w:pPr>
      <w:spacing w:lineRule="auto" w:line="240" w:beforeAutospacing="1" w:afterAutospacing="1"/>
    </w:pPr>
    <w:rPr>
      <w:rFonts w:ascii="Times New Roman" w:hAnsi="Times New Roman" w:cs="Times New Roman"/>
      <w:sz w:val="24"/>
      <w:szCs w:val="24"/>
      <w:lang w:eastAsia="es-CR"/>
    </w:rPr>
  </w:style>
  <w:style w:type="paragraph" w:styleId="ListParagraph">
    <w:name w:val="List Paragraph"/>
    <w:basedOn w:val="Normal"/>
    <w:uiPriority w:val="34"/>
    <w:qFormat/>
    <w:rsid w:val="007367af"/>
    <w:pPr>
      <w:spacing w:lineRule="auto" w:line="240" w:before="0" w:after="0"/>
      <w:ind w:left="720" w:hanging="0"/>
      <w:contextualSpacing/>
    </w:pPr>
    <w:rPr>
      <w:rFonts w:ascii="Times New Roman" w:hAnsi="Times New Roman" w:eastAsia="Times New Roman" w:cs="Times New Roman"/>
      <w:sz w:val="24"/>
      <w:szCs w:val="20"/>
      <w:lang w:val="es-ES" w:eastAsia="es-ES"/>
    </w:rPr>
  </w:style>
  <w:style w:type="paragraph" w:styleId="Ttulo11" w:customStyle="1">
    <w:name w:val="Título 11"/>
    <w:basedOn w:val="Normal"/>
    <w:uiPriority w:val="1"/>
    <w:qFormat/>
    <w:rsid w:val="00cb330d"/>
    <w:pPr>
      <w:widowControl w:val="false"/>
      <w:spacing w:lineRule="auto" w:line="240" w:before="0" w:after="0"/>
      <w:ind w:left="119" w:hanging="0"/>
      <w:outlineLvl w:val="1"/>
    </w:pPr>
    <w:rPr>
      <w:rFonts w:ascii="Calibri Light" w:hAnsi="Calibri Light" w:eastAsia="Calibri Light" w:cs="Calibri Light"/>
      <w:b/>
      <w:bCs/>
      <w:sz w:val="24"/>
      <w:szCs w:val="24"/>
      <w:lang w:val="es-ES" w:eastAsia="es-ES" w:bidi="es-ES"/>
    </w:rPr>
  </w:style>
  <w:style w:type="paragraph" w:styleId="Ttulo21" w:customStyle="1">
    <w:name w:val="Título 21"/>
    <w:basedOn w:val="Normal"/>
    <w:uiPriority w:val="1"/>
    <w:qFormat/>
    <w:rsid w:val="00121a48"/>
    <w:pPr>
      <w:widowControl w:val="false"/>
      <w:spacing w:lineRule="auto" w:line="240" w:before="43" w:after="0"/>
      <w:ind w:left="2726" w:right="2725" w:hanging="0"/>
      <w:jc w:val="center"/>
      <w:outlineLvl w:val="2"/>
    </w:pPr>
    <w:rPr>
      <w:rFonts w:ascii="Calibri" w:hAnsi="Calibri" w:eastAsia="Calibri" w:cs="Calibri"/>
      <w:b/>
      <w:bCs/>
      <w:i/>
      <w:sz w:val="24"/>
      <w:szCs w:val="24"/>
      <w:lang w:val="es-ES" w:eastAsia="es-ES" w:bidi="es-ES"/>
    </w:rPr>
  </w:style>
  <w:style w:type="paragraph" w:styleId="Notaalpie">
    <w:name w:val="Footnote Text"/>
    <w:basedOn w:val="Normal"/>
    <w:link w:val="TextonotapieCar"/>
    <w:uiPriority w:val="99"/>
    <w:qFormat/>
    <w:rsid w:val="004c3d29"/>
    <w:pPr>
      <w:spacing w:lineRule="auto" w:line="240" w:before="0" w:after="0"/>
    </w:pPr>
    <w:rPr>
      <w:rFonts w:ascii="Times New Roman" w:hAnsi="Times New Roman" w:eastAsia="Times New Roman" w:cs="Times New Roman"/>
      <w:sz w:val="20"/>
      <w:szCs w:val="20"/>
      <w:lang w:val="es-ES" w:eastAsia="es-ES"/>
    </w:rPr>
  </w:style>
  <w:style w:type="paragraph" w:styleId="BodyText2">
    <w:name w:val="Body Text 2"/>
    <w:basedOn w:val="Normal"/>
    <w:link w:val="Textoindependiente2Car"/>
    <w:uiPriority w:val="99"/>
    <w:unhideWhenUsed/>
    <w:qFormat/>
    <w:rsid w:val="004c3d29"/>
    <w:pPr>
      <w:spacing w:lineRule="auto" w:line="480" w:before="0" w:after="120"/>
    </w:pPr>
    <w:rPr/>
  </w:style>
  <w:style w:type="paragraph" w:styleId="TableParagraph" w:customStyle="1">
    <w:name w:val="Table Paragraph"/>
    <w:basedOn w:val="Normal"/>
    <w:uiPriority w:val="1"/>
    <w:qFormat/>
    <w:rsid w:val="00ab68c0"/>
    <w:pPr>
      <w:widowControl w:val="false"/>
      <w:spacing w:lineRule="auto" w:line="240" w:before="0" w:after="0"/>
    </w:pPr>
    <w:rPr>
      <w:rFonts w:ascii="Arial" w:hAnsi="Arial" w:eastAsia="Arial" w:cs="Arial"/>
      <w:lang w:val="es-ES" w:eastAsia="es-ES" w:bidi="es-ES"/>
    </w:rPr>
  </w:style>
  <w:style w:type="paragraph" w:styleId="Gmailm4214538879123250192default" w:customStyle="1">
    <w:name w:val="gmail-m_-4214538879123250192default"/>
    <w:basedOn w:val="Normal"/>
    <w:uiPriority w:val="99"/>
    <w:semiHidden/>
    <w:qFormat/>
    <w:rsid w:val="0018152f"/>
    <w:pPr>
      <w:spacing w:lineRule="auto" w:line="240" w:beforeAutospacing="1" w:afterAutospacing="1"/>
    </w:pPr>
    <w:rPr>
      <w:rFonts w:ascii="Calibri" w:hAnsi="Calibri" w:cs="Calibri"/>
      <w:lang w:eastAsia="es-CR"/>
    </w:rPr>
  </w:style>
  <w:style w:type="paragraph" w:styleId="Ttulo51" w:customStyle="1">
    <w:name w:val="Título 51"/>
    <w:next w:val="Normal"/>
    <w:qFormat/>
    <w:rsid w:val="0020374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Ttulo54" w:customStyle="1">
    <w:name w:val="Título 54"/>
    <w:next w:val="Normal"/>
    <w:qFormat/>
    <w:rsid w:val="00203744"/>
    <w:pPr>
      <w:keepNext w:val="true"/>
      <w:widowControl w:val="false"/>
      <w:tabs>
        <w:tab w:val="clear" w:pos="708"/>
        <w:tab w:val="left" w:pos="0" w:leader="none"/>
      </w:tabs>
      <w:suppressAutoHyphens w:val="true"/>
      <w:bidi w:val="0"/>
      <w:spacing w:lineRule="auto" w:line="240" w:before="0" w:after="0"/>
      <w:jc w:val="center"/>
    </w:pPr>
    <w:rPr>
      <w:rFonts w:ascii="Times New Roman" w:hAnsi="Times New Roman" w:eastAsia="Lucida Sans Unicode" w:cs="Times New Roman"/>
      <w:b/>
      <w:bCs/>
      <w:i/>
      <w:iCs/>
      <w:color w:val="auto"/>
      <w:kern w:val="0"/>
      <w:sz w:val="26"/>
      <w:szCs w:val="26"/>
      <w:u w:val="single"/>
      <w:shd w:fill="FFFFFF" w:val="clear"/>
      <w:lang w:val="es-ES" w:eastAsia="ar-SA" w:bidi="ar-SA"/>
    </w:rPr>
  </w:style>
  <w:style w:type="paragraph" w:styleId="Standard" w:customStyle="1">
    <w:name w:val="Standard"/>
    <w:qFormat/>
    <w:rsid w:val="00c5702d"/>
    <w:pPr>
      <w:widowControl/>
      <w:suppressAutoHyphens w:val="true"/>
      <w:bidi w:val="0"/>
      <w:spacing w:lineRule="auto" w:line="240" w:before="0" w:after="0"/>
      <w:jc w:val="left"/>
      <w:textAlignment w:val="baseline"/>
    </w:pPr>
    <w:rPr>
      <w:rFonts w:ascii="Liberation Serif" w:hAnsi="Liberation Serif" w:eastAsia="SimSun" w:cs="Arial Unicode MS"/>
      <w:color w:val="auto"/>
      <w:kern w:val="2"/>
      <w:sz w:val="24"/>
      <w:szCs w:val="24"/>
      <w:lang w:eastAsia="zh-CN" w:bidi="hi-IN" w:val="es-CR"/>
    </w:rPr>
  </w:style>
  <w:style w:type="paragraph" w:styleId="Xmsonormal" w:customStyle="1">
    <w:name w:val="x_msonormal"/>
    <w:basedOn w:val="Normal"/>
    <w:qFormat/>
    <w:rsid w:val="000f6561"/>
    <w:pPr>
      <w:spacing w:lineRule="auto" w:line="240" w:before="0" w:after="0"/>
    </w:pPr>
    <w:rPr>
      <w:rFonts w:ascii="Calibri" w:hAnsi="Calibri" w:cs="Calibri"/>
      <w:lang w:eastAsia="es-CR"/>
    </w:rPr>
  </w:style>
  <w:style w:type="paragraph" w:styleId="Xmsolistparagraph" w:customStyle="1">
    <w:name w:val="x_msolistparagraph"/>
    <w:basedOn w:val="Normal"/>
    <w:qFormat/>
    <w:rsid w:val="000f6561"/>
    <w:pPr>
      <w:spacing w:lineRule="auto" w:line="240" w:beforeAutospacing="1" w:afterAutospacing="1"/>
    </w:pPr>
    <w:rPr>
      <w:rFonts w:ascii="Calibri" w:hAnsi="Calibri" w:cs="Calibri"/>
      <w:lang w:eastAsia="es-CR"/>
    </w:rPr>
  </w:style>
  <w:style w:type="paragraph" w:styleId="Sinespaciado1" w:customStyle="1">
    <w:name w:val="Sin espaciado1"/>
    <w:qFormat/>
    <w:rsid w:val="00e92de6"/>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Prrafodelista1" w:customStyle="1">
    <w:name w:val="Párrafo de lista1"/>
    <w:basedOn w:val="Normal"/>
    <w:qFormat/>
    <w:rsid w:val="00b26603"/>
    <w:pPr>
      <w:suppressAutoHyphens w:val="true"/>
      <w:spacing w:lineRule="auto" w:line="252" w:before="0" w:after="160"/>
      <w:ind w:left="720" w:hanging="0"/>
      <w:contextualSpacing/>
    </w:pPr>
    <w:rPr>
      <w:rFonts w:ascii="Calibri" w:hAnsi="Calibri" w:eastAsia="NSimSun" w:cs="font281"/>
      <w:kern w:val="2"/>
      <w:lang w:bidi="hi-IN"/>
    </w:rPr>
  </w:style>
  <w:style w:type="paragraph" w:styleId="Sinespaciado2" w:customStyle="1">
    <w:name w:val="Sin espaciado2"/>
    <w:qFormat/>
    <w:rsid w:val="00db24bb"/>
    <w:pPr>
      <w:widowControl/>
      <w:suppressAutoHyphens w:val="true"/>
      <w:bidi w:val="0"/>
      <w:spacing w:lineRule="auto" w:line="240" w:before="0" w:after="0"/>
      <w:jc w:val="left"/>
    </w:pPr>
    <w:rPr>
      <w:rFonts w:ascii="Calibri" w:hAnsi="Calibri" w:eastAsia="Times New Roman" w:cs="Times New Roman" w:asciiTheme="minorHAnsi" w:hAnsiTheme="minorHAnsi"/>
      <w:color w:val="auto"/>
      <w:kern w:val="0"/>
      <w:sz w:val="22"/>
      <w:szCs w:val="22"/>
      <w:lang w:eastAsia="es-CR" w:val="es-CR"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rsid w:val="00ab68c0"/>
    <w:pPr>
      <w:spacing w:after="0" w:line="240" w:lineRule="auto"/>
    </w:pPr>
    <w:rPr>
      <w:lang w:val="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package" Target="embeddings/oleObject1.docx"/><Relationship Id="rId7" Type="http://schemas.openxmlformats.org/officeDocument/2006/relationships/image" Target="media/image3.wmf"/><Relationship Id="rId8" Type="http://schemas.openxmlformats.org/officeDocument/2006/relationships/oleObject" Target="embeddings/oleObject2.doc"/><Relationship Id="rId9" Type="http://schemas.openxmlformats.org/officeDocument/2006/relationships/image" Target="media/image4.wmf"/><Relationship Id="rId10" Type="http://schemas.openxmlformats.org/officeDocument/2006/relationships/image" Target="media/image5.wmf"/><Relationship Id="rId11" Type="http://schemas.openxmlformats.org/officeDocument/2006/relationships/image" Target="media/image6.jpeg"/><Relationship Id="rId12" Type="http://schemas.openxmlformats.org/officeDocument/2006/relationships/image" Target="media/image7.wmf"/><Relationship Id="rId13" Type="http://schemas.openxmlformats.org/officeDocument/2006/relationships/image" Target="media/image8.jpeg"/><Relationship Id="rId14" Type="http://schemas.openxmlformats.org/officeDocument/2006/relationships/package" Target="embeddings/oleObject3.docx"/><Relationship Id="rId15" Type="http://schemas.openxmlformats.org/officeDocument/2006/relationships/image" Target="media/image5.wmf"/><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20" Type="http://schemas.openxmlformats.org/officeDocument/2006/relationships/image" Target="media/image10.wmf"/><Relationship Id="rId21" Type="http://schemas.openxmlformats.org/officeDocument/2006/relationships/image" Target="media/image11.pn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header" Target="header3.xml"/><Relationship Id="rId27" Type="http://schemas.openxmlformats.org/officeDocument/2006/relationships/oleObject" Target="embeddings/oleObject4.bin"/><Relationship Id="rId28" Type="http://schemas.openxmlformats.org/officeDocument/2006/relationships/image" Target="media/image14.wmf"/><Relationship Id="rId29" Type="http://schemas.openxmlformats.org/officeDocument/2006/relationships/oleObject" Target="embeddings/oleObject5.doc"/><Relationship Id="rId30" Type="http://schemas.openxmlformats.org/officeDocument/2006/relationships/image" Target="media/image15.wmf"/><Relationship Id="rId31" Type="http://schemas.openxmlformats.org/officeDocument/2006/relationships/oleObject" Target="embeddings/oleObject6.doc"/><Relationship Id="rId32" Type="http://schemas.openxmlformats.org/officeDocument/2006/relationships/image" Target="media/image16.wmf"/><Relationship Id="rId33" Type="http://schemas.openxmlformats.org/officeDocument/2006/relationships/oleObject" Target="embeddings/oleObject7.doc"/><Relationship Id="rId34" Type="http://schemas.openxmlformats.org/officeDocument/2006/relationships/image" Target="media/image17.wmf"/><Relationship Id="rId35" Type="http://schemas.openxmlformats.org/officeDocument/2006/relationships/oleObject" Target="embeddings/oleObject8.doc"/><Relationship Id="rId36" Type="http://schemas.openxmlformats.org/officeDocument/2006/relationships/image" Target="media/image18.wmf"/><Relationship Id="rId37" Type="http://schemas.openxmlformats.org/officeDocument/2006/relationships/oleObject" Target="embeddings/oleObject9.doc"/><Relationship Id="rId38" Type="http://schemas.openxmlformats.org/officeDocument/2006/relationships/image" Target="media/image19.wmf"/><Relationship Id="rId39" Type="http://schemas.openxmlformats.org/officeDocument/2006/relationships/header" Target="header4.xml"/><Relationship Id="rId40" Type="http://schemas.openxmlformats.org/officeDocument/2006/relationships/footer" Target="footer1.xml"/><Relationship Id="rId41" Type="http://schemas.openxmlformats.org/officeDocument/2006/relationships/footnotes" Target="footnotes.xml"/><Relationship Id="rId42" Type="http://schemas.openxmlformats.org/officeDocument/2006/relationships/numbering" Target="numbering.xml"/><Relationship Id="rId43" Type="http://schemas.openxmlformats.org/officeDocument/2006/relationships/fontTable" Target="fontTable.xml"/><Relationship Id="rId44" Type="http://schemas.openxmlformats.org/officeDocument/2006/relationships/settings" Target="settings.xml"/><Relationship Id="rId45" Type="http://schemas.openxmlformats.org/officeDocument/2006/relationships/theme" Target="theme/theme1.xml"/><Relationship Id="rId46" Type="http://schemas.openxmlformats.org/officeDocument/2006/relationships/customXml" Target="../customXml/item1.xml"/>
</Relationships>
</file>

<file path=word/_rels/header4.xml.rels><?xml version="1.0" encoding="UTF-8"?>
<Relationships xmlns="http://schemas.openxmlformats.org/package/2006/relationships"><Relationship Id="rId1" Type="http://schemas.openxmlformats.org/officeDocument/2006/relationships/image" Target="media/image2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7ABA36-F861-4EE2-A85D-A64F99704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Application>LibreOffice/7.0.3.1$Windows_x86 LibreOffice_project/d7547858d014d4cf69878db179d326fc3483e082</Application>
  <Pages>86</Pages>
  <Words>36073</Words>
  <Characters>192974</Characters>
  <CharactersWithSpaces>227130</CharactersWithSpaces>
  <Paragraphs>2461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2020-03-26T03:14:00Z</dcterms:created>
  <dc:creator>KSALAZARD</dc:creator>
  <dc:description/>
  <dc:language>es-CR</dc:language>
  <cp:lastModifiedBy>Damaris Vargas Vásquez</cp:lastModifiedBy>
  <dcterms:modified xsi:type="dcterms:W3CDTF">2020-03-26T03:14:00Z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