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embeddings/oleObject31.bin" ContentType="application/vnd.openxmlformats-officedocument.oleObject"/>
  <Override PartName="/word/embeddings/oleObject1.bin" ContentType="application/vnd.openxmlformats-officedocument.oleObject"/>
  <Override PartName="/word/embeddings/oleObject32.bin" ContentType="application/vnd.openxmlformats-officedocument.oleObject"/>
  <Override PartName="/word/embeddings/oleObject2.bin" ContentType="application/vnd.openxmlformats-officedocument.oleObject"/>
  <Override PartName="/word/embeddings/oleObject3.doc" ContentType="application/msword"/>
  <Override PartName="/word/embeddings/oleObject38.bin" ContentType="application/vnd.openxmlformats-officedocument.oleObject"/>
  <Override PartName="/word/embeddings/oleObject8.bin" ContentType="application/vnd.openxmlformats-officedocument.oleObject"/>
  <Override PartName="/word/embeddings/oleObject4.bin" ContentType="application/vnd.openxmlformats-officedocument.oleObject"/>
  <Override PartName="/word/embeddings/oleObject34.bin" ContentType="application/vnd.openxmlformats-officedocument.oleObject"/>
  <Override PartName="/word/embeddings/oleObject5.bin" ContentType="application/vnd.openxmlformats-officedocument.oleObject"/>
  <Override PartName="/word/embeddings/oleObject35.bin" ContentType="application/vnd.openxmlformats-officedocument.oleObject"/>
  <Override PartName="/word/embeddings/oleObject6.bin" ContentType="application/vnd.openxmlformats-officedocument.oleObject"/>
  <Override PartName="/word/embeddings/oleObject36.bin" ContentType="application/vnd.openxmlformats-officedocument.oleObject"/>
  <Override PartName="/word/embeddings/oleObject7.bin" ContentType="application/vnd.openxmlformats-officedocument.oleObject"/>
  <Override PartName="/word/embeddings/oleObject37.bin" ContentType="application/vnd.openxmlformats-officedocument.oleObject"/>
  <Override PartName="/word/embeddings/oleObject9.bin" ContentType="application/vnd.openxmlformats-officedocument.oleObject"/>
  <Override PartName="/word/embeddings/oleObject3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3.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header1.xml" ContentType="application/vnd.openxmlformats-officedocument.wordprocessingml.header+xml"/>
  <Override PartName="/word/media/image1.wmf" ContentType="image/x-wmf"/>
  <Override PartName="/word/media/image13.wmf" ContentType="image/x-wmf"/>
  <Override PartName="/word/media/image4.jpeg" ContentType="image/jpeg"/>
  <Override PartName="/word/media/image2.wmf" ContentType="image/x-wmf"/>
  <Override PartName="/word/media/image3.wmf" ContentType="image/x-wmf"/>
  <Override PartName="/word/media/image5.jpeg" ContentType="image/jpeg"/>
  <Override PartName="/word/media/image57.jpeg" ContentType="image/jpeg"/>
  <Override PartName="/word/media/image23.wmf" ContentType="image/x-wmf"/>
  <Override PartName="/word/media/image6.wmf" ContentType="image/x-wmf"/>
  <Override PartName="/word/media/image7.wmf" ContentType="image/x-wmf"/>
  <Override PartName="/word/media/image8.wmf" ContentType="image/x-wmf"/>
  <Override PartName="/word/media/image9.wmf" ContentType="image/x-wmf"/>
  <Override PartName="/word/media/image10.wmf" ContentType="image/x-wmf"/>
  <Override PartName="/word/media/image11.wmf" ContentType="image/x-wmf"/>
  <Override PartName="/word/media/image12.wmf" ContentType="image/x-wmf"/>
  <Override PartName="/word/media/image14.wmf" ContentType="image/x-wmf"/>
  <Override PartName="/word/media/image15.wmf" ContentType="image/x-wmf"/>
  <Override PartName="/word/media/image16.wmf" ContentType="image/x-wmf"/>
  <Override PartName="/word/media/image17.wmf" ContentType="image/x-wmf"/>
  <Override PartName="/word/media/image18.wmf" ContentType="image/x-wmf"/>
  <Override PartName="/word/media/image19.wmf" ContentType="image/x-wmf"/>
  <Override PartName="/word/media/image20.wmf" ContentType="image/x-wmf"/>
  <Override PartName="/word/media/image21.wmf" ContentType="image/x-wmf"/>
  <Override PartName="/word/media/image22.wmf" ContentType="image/x-wmf"/>
  <Override PartName="/word/media/image24.wmf" ContentType="image/x-wmf"/>
  <Override PartName="/word/media/image25.wmf" ContentType="image/x-wmf"/>
  <Override PartName="/word/media/image26.wmf" ContentType="image/x-wmf"/>
  <Override PartName="/word/media/image27.wmf" ContentType="image/x-wmf"/>
  <Override PartName="/word/media/image28.wmf" ContentType="image/x-wmf"/>
  <Override PartName="/word/media/image29.wmf" ContentType="image/x-wmf"/>
  <Override PartName="/word/media/image30.wmf" ContentType="image/x-wmf"/>
  <Override PartName="/word/media/image31.wmf" ContentType="image/x-wmf"/>
  <Override PartName="/word/media/image32.wmf" ContentType="image/x-wmf"/>
  <Override PartName="/word/media/image33.wmf" ContentType="image/x-wmf"/>
  <Override PartName="/word/media/image34.wmf" ContentType="image/x-wmf"/>
  <Override PartName="/word/media/image35.wmf" ContentType="image/x-wmf"/>
  <Override PartName="/word/media/image36.wmf" ContentType="image/x-wmf"/>
  <Override PartName="/word/media/image37.wmf" ContentType="image/x-wmf"/>
  <Override PartName="/word/media/image38.wmf" ContentType="image/x-wmf"/>
  <Override PartName="/word/media/image39.wmf" ContentType="image/x-wmf"/>
  <Override PartName="/word/media/image40.wmf" ContentType="image/x-wmf"/>
  <Override PartName="/word/media/image41.wmf" ContentType="image/x-wmf"/>
  <Override PartName="/word/media/image42.wmf" ContentType="image/x-wmf"/>
  <Override PartName="/word/media/image43.wmf" ContentType="image/x-wmf"/>
  <Override PartName="/word/media/image44.wmf" ContentType="image/x-wmf"/>
  <Override PartName="/word/media/image45.wmf" ContentType="image/x-wmf"/>
  <Override PartName="/word/media/image46.wmf" ContentType="image/x-wmf"/>
  <Override PartName="/word/media/image47.wmf" ContentType="image/x-wmf"/>
  <Override PartName="/word/media/image48.wmf" ContentType="image/x-wmf"/>
  <Override PartName="/word/media/image49.wmf" ContentType="image/x-wmf"/>
  <Override PartName="/word/media/image50.wmf" ContentType="image/x-wmf"/>
  <Override PartName="/word/media/image51.wmf" ContentType="image/x-wmf"/>
  <Override PartName="/word/media/image52.wmf" ContentType="image/x-wmf"/>
  <Override PartName="/word/media/image53.wmf" ContentType="image/x-wmf"/>
  <Override PartName="/word/media/image54.wmf" ContentType="image/x-wmf"/>
  <Override PartName="/word/media/image55.jpeg" ContentType="image/jpeg"/>
  <Override PartName="/word/media/image56.wmf" ContentType="image/x-wmf"/>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Arial" w:hAnsi="Arial" w:cs="Arial"/>
          <w:b/>
          <w:b/>
          <w:sz w:val="20"/>
          <w:szCs w:val="20"/>
        </w:rPr>
      </w:pPr>
      <w:r>
        <w:rPr>
          <w:rFonts w:cs="Arial" w:ascii="Arial" w:hAnsi="Arial"/>
          <w:b/>
          <w:sz w:val="20"/>
          <w:szCs w:val="20"/>
        </w:rPr>
      </w:r>
    </w:p>
    <w:p>
      <w:pPr>
        <w:pStyle w:val="NoSpacing"/>
        <w:jc w:val="center"/>
        <w:rPr>
          <w:rFonts w:ascii="Arial" w:hAnsi="Arial" w:cs="Arial"/>
          <w:b/>
          <w:b/>
          <w:sz w:val="20"/>
          <w:szCs w:val="20"/>
        </w:rPr>
      </w:pPr>
      <w:r>
        <w:rPr>
          <w:rFonts w:cs="Arial" w:ascii="Arial" w:hAnsi="Arial"/>
          <w:b/>
          <w:sz w:val="20"/>
          <w:szCs w:val="20"/>
        </w:rPr>
        <w:t>Acta Sesión 09-2019</w:t>
      </w:r>
    </w:p>
    <w:p>
      <w:pPr>
        <w:pStyle w:val="NoSpacing"/>
        <w:jc w:val="center"/>
        <w:rPr>
          <w:rFonts w:ascii="Arial" w:hAnsi="Arial" w:cs="Arial"/>
          <w:b/>
          <w:b/>
          <w:sz w:val="20"/>
          <w:szCs w:val="20"/>
        </w:rPr>
      </w:pPr>
      <w:r>
        <w:rPr>
          <w:rFonts w:cs="Arial" w:ascii="Arial" w:hAnsi="Arial"/>
          <w:b/>
          <w:sz w:val="20"/>
          <w:szCs w:val="20"/>
        </w:rPr>
        <w:t>Subcomisión de Acceso a la Justicia de Pueblos Indígenas</w:t>
      </w:r>
    </w:p>
    <w:p>
      <w:pPr>
        <w:pStyle w:val="NoSpacing"/>
        <w:jc w:val="both"/>
        <w:rPr>
          <w:rFonts w:ascii="Arial" w:hAnsi="Arial" w:cs="Arial"/>
          <w:i/>
          <w:i/>
          <w:sz w:val="20"/>
          <w:szCs w:val="20"/>
        </w:rPr>
      </w:pPr>
      <w:r>
        <w:rPr>
          <w:rFonts w:cs="Arial" w:ascii="Arial" w:hAnsi="Arial"/>
          <w:i/>
          <w:sz w:val="20"/>
          <w:szCs w:val="20"/>
        </w:rPr>
      </w:r>
    </w:p>
    <w:p>
      <w:pPr>
        <w:pStyle w:val="Ttulo2"/>
        <w:jc w:val="both"/>
        <w:rPr>
          <w:b w:val="false"/>
          <w:b w:val="false"/>
          <w:sz w:val="20"/>
          <w:szCs w:val="20"/>
        </w:rPr>
      </w:pPr>
      <w:r>
        <w:rPr>
          <w:b w:val="false"/>
          <w:sz w:val="20"/>
          <w:szCs w:val="20"/>
        </w:rPr>
        <w:t xml:space="preserve">Fecha: 5 de noviembre 2019 (13:30 </w:t>
      </w:r>
    </w:p>
    <w:p>
      <w:pPr>
        <w:pStyle w:val="Ttulo2"/>
        <w:jc w:val="both"/>
        <w:rPr>
          <w:b w:val="false"/>
          <w:b w:val="false"/>
          <w:sz w:val="20"/>
          <w:szCs w:val="20"/>
        </w:rPr>
      </w:pPr>
      <w:r>
        <w:rPr>
          <w:b w:val="false"/>
          <w:sz w:val="20"/>
          <w:szCs w:val="20"/>
        </w:rPr>
      </w:r>
    </w:p>
    <w:p>
      <w:pPr>
        <w:pStyle w:val="Ttulo2"/>
        <w:jc w:val="both"/>
        <w:rPr>
          <w:b w:val="false"/>
          <w:b w:val="false"/>
          <w:sz w:val="20"/>
          <w:szCs w:val="20"/>
        </w:rPr>
      </w:pPr>
      <w:r>
        <w:rPr>
          <w:b w:val="false"/>
          <w:sz w:val="20"/>
          <w:szCs w:val="20"/>
        </w:rPr>
        <w:t>a 14:30 horas)</w:t>
      </w:r>
    </w:p>
    <w:p>
      <w:pPr>
        <w:pStyle w:val="Normal"/>
        <w:jc w:val="both"/>
        <w:rPr>
          <w:rFonts w:ascii="Arial" w:hAnsi="Arial" w:cs="Arial"/>
          <w:i/>
          <w:i/>
          <w:sz w:val="20"/>
          <w:szCs w:val="20"/>
        </w:rPr>
      </w:pPr>
      <w:r>
        <w:rPr>
          <w:rFonts w:cs="Arial" w:ascii="Arial" w:hAnsi="Arial"/>
          <w:i/>
          <w:sz w:val="20"/>
          <w:szCs w:val="20"/>
        </w:rPr>
        <w:t>Lugar: Sala de Sesiones Departamento de Trabajo Social y Psicología</w:t>
      </w:r>
    </w:p>
    <w:p>
      <w:pPr>
        <w:pStyle w:val="Normal"/>
        <w:jc w:val="both"/>
        <w:rPr>
          <w:rFonts w:ascii="Arial" w:hAnsi="Arial" w:cs="Arial"/>
          <w:i/>
          <w:i/>
          <w:sz w:val="18"/>
          <w:szCs w:val="18"/>
        </w:rPr>
      </w:pPr>
      <w:r>
        <w:rPr>
          <w:rFonts w:cs="Arial" w:ascii="Arial" w:hAnsi="Arial"/>
          <w:i/>
          <w:sz w:val="18"/>
          <w:szCs w:val="18"/>
        </w:rPr>
      </w:r>
    </w:p>
    <w:tbl>
      <w:tblPr>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949"/>
        <w:gridCol w:w="2878"/>
      </w:tblGrid>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center"/>
              <w:rPr>
                <w:rStyle w:val="Ttulo3Car"/>
                <w:rFonts w:ascii="Arial" w:hAnsi="Arial" w:cs="Arial"/>
                <w:b/>
                <w:b/>
                <w:bCs/>
                <w:i/>
                <w:i/>
                <w:color w:val="auto"/>
                <w:sz w:val="18"/>
                <w:szCs w:val="18"/>
              </w:rPr>
            </w:pPr>
            <w:r>
              <w:rPr>
                <w:rStyle w:val="Ttulo3Car"/>
                <w:rFonts w:cs="Arial" w:ascii="Arial" w:hAnsi="Arial"/>
                <w:b/>
                <w:bCs/>
                <w:i/>
                <w:color w:val="auto"/>
                <w:sz w:val="18"/>
                <w:szCs w:val="18"/>
              </w:rPr>
              <w:t>INTEGRANTES</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center"/>
              <w:rPr>
                <w:rStyle w:val="Ttulo3Car"/>
                <w:rFonts w:ascii="Arial" w:hAnsi="Arial" w:cs="Arial"/>
                <w:b/>
                <w:b/>
                <w:bCs/>
                <w:i/>
                <w:i/>
                <w:color w:val="auto"/>
                <w:sz w:val="18"/>
                <w:szCs w:val="18"/>
              </w:rPr>
            </w:pPr>
            <w:r>
              <w:rPr>
                <w:rStyle w:val="Ttulo3Car"/>
                <w:rFonts w:cs="Arial" w:ascii="Arial" w:hAnsi="Arial"/>
                <w:b/>
                <w:bCs/>
                <w:i/>
                <w:color w:val="auto"/>
                <w:sz w:val="18"/>
                <w:szCs w:val="18"/>
              </w:rPr>
              <w:t>ASISTENTES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Style w:val="Ttulo3Car"/>
                <w:rFonts w:ascii="Arial" w:hAnsi="Arial" w:cs="Arial"/>
                <w:bCs/>
                <w:i/>
                <w:i/>
                <w:color w:val="auto"/>
                <w:sz w:val="18"/>
                <w:szCs w:val="18"/>
              </w:rPr>
            </w:pPr>
            <w:r>
              <w:rPr>
                <w:rStyle w:val="Ttulo3Car"/>
                <w:rFonts w:cs="Arial" w:ascii="Arial" w:hAnsi="Arial"/>
                <w:bCs/>
                <w:i/>
                <w:color w:val="auto"/>
                <w:sz w:val="18"/>
                <w:szCs w:val="18"/>
              </w:rPr>
              <w:t>Magistrado Jorge Olaso Álvarez, Coordinador Comisión de Acceso a la Justicia</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Style w:val="Ttulo3Car"/>
                <w:rFonts w:ascii="Arial" w:hAnsi="Arial" w:cs="Arial"/>
                <w:bCs/>
                <w:i/>
                <w:i/>
                <w:color w:val="auto"/>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Melissa Benavides Víquez, Coordinadora Unidad de Acceso a la Justicia</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Sandra Pizarro, representante Consejo Superior</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rPr>
            </w:pPr>
            <w:r>
              <w:rPr>
                <w:rFonts w:cs="Arial" w:ascii="Arial" w:hAnsi="Arial"/>
                <w:bCs/>
                <w:i/>
                <w:sz w:val="18"/>
                <w:szCs w:val="18"/>
              </w:rPr>
              <w:t>Sr. Wilbert Kidd, Subdirector Ejecutivo del PJ</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Suplente Sr. Miguel Ovares</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Damaris Vargas Vásquez, Coordinadora Subcomisión</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Marcos Guevara Berger, representante Escuela de Antropología de la UCR</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rPr>
            </w:pPr>
            <w:r>
              <w:rPr>
                <w:rFonts w:cs="Arial" w:ascii="Arial" w:hAnsi="Arial"/>
                <w:bCs/>
                <w:i/>
                <w:sz w:val="18"/>
                <w:szCs w:val="18"/>
              </w:rPr>
              <w:t>Sr. Román Bresciani Quirós, Escuela Judicial</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Suplente Sra. Francia León</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rPr>
            </w:pPr>
            <w:r>
              <w:rPr>
                <w:rFonts w:cs="Arial" w:ascii="Arial" w:hAnsi="Arial"/>
                <w:bCs/>
                <w:i/>
                <w:sz w:val="18"/>
                <w:szCs w:val="18"/>
              </w:rPr>
              <w:t>No</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Jean Carlo Monge, Judicatura Penal</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Geyner Blanco, Asesor de Casa Presidencial</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Valeria Varas, Asesora INAMU</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Alí García, Profesor UCR</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Vanessa Villalobos Montero, Departamento de Trabajo Social y Psicología</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 xml:space="preserve">Sra. Carmen María Escoto Fernández, sociedad civil </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No</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rPr>
            </w:pPr>
            <w:r>
              <w:rPr>
                <w:rFonts w:cs="Arial" w:ascii="Arial" w:hAnsi="Arial"/>
                <w:bCs/>
                <w:i/>
                <w:sz w:val="18"/>
                <w:szCs w:val="18"/>
              </w:rPr>
              <w:t>Sra. Ariana Céspedes, Fiscala Indígena</w:t>
            </w:r>
          </w:p>
          <w:p>
            <w:pPr>
              <w:pStyle w:val="Normal"/>
              <w:widowControl w:val="false"/>
              <w:jc w:val="both"/>
              <w:rPr>
                <w:rFonts w:ascii="Arial" w:hAnsi="Arial" w:cs="Arial"/>
                <w:bCs/>
                <w:i/>
                <w:i/>
                <w:sz w:val="18"/>
                <w:szCs w:val="18"/>
              </w:rPr>
            </w:pPr>
            <w:r>
              <w:rPr>
                <w:rFonts w:cs="Arial" w:ascii="Arial" w:hAnsi="Arial"/>
                <w:bCs/>
                <w:i/>
                <w:sz w:val="18"/>
                <w:szCs w:val="18"/>
              </w:rPr>
              <w:t>Suplente: Tattiana García Chaves</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Suplente: Daniel Villalobos Araya</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i/>
                <w:i/>
                <w:sz w:val="18"/>
                <w:szCs w:val="18"/>
              </w:rPr>
            </w:pPr>
            <w:r>
              <w:rPr>
                <w:rFonts w:cs="Arial" w:ascii="Arial" w:hAnsi="Arial"/>
                <w:bCs/>
                <w:i/>
                <w:sz w:val="18"/>
                <w:szCs w:val="18"/>
              </w:rPr>
              <w:t>N</w:t>
            </w:r>
            <w:r>
              <w:rPr>
                <w:rFonts w:cs="Arial" w:ascii="Arial" w:hAnsi="Arial"/>
                <w:i/>
                <w:sz w:val="18"/>
                <w:szCs w:val="18"/>
              </w:rPr>
              <w:t>o</w:t>
            </w:r>
          </w:p>
          <w:p>
            <w:pPr>
              <w:pStyle w:val="Normal"/>
              <w:widowControl w:val="false"/>
              <w:jc w:val="both"/>
              <w:rPr>
                <w:rFonts w:ascii="Arial" w:hAnsi="Arial" w:cs="Arial"/>
                <w:bCs/>
                <w:i/>
                <w:i/>
                <w:sz w:val="18"/>
                <w:szCs w:val="18"/>
              </w:rPr>
            </w:pPr>
            <w:r>
              <w:rPr>
                <w:rFonts w:cs="Arial" w:ascii="Arial" w:hAnsi="Arial"/>
                <w:bCs/>
                <w:i/>
                <w:sz w:val="18"/>
                <w:szCs w:val="18"/>
              </w:rPr>
              <w:t>No</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Ligia Jeannette Jiménez, Defensora Indígena</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rPr>
            </w:pPr>
            <w:r>
              <w:rPr>
                <w:rFonts w:cs="Arial" w:ascii="Arial" w:hAnsi="Arial"/>
                <w:bCs/>
                <w:i/>
                <w:sz w:val="18"/>
                <w:szCs w:val="18"/>
              </w:rPr>
              <w:t>Sr. Erick Alfaro, Contralor de Servicios Poder Judicial</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Suplente Sr. Carlos Romero, Contralor de Servicios del Primer Circuito Judicial de la Zona Sur</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Inasistentes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Vivian Rímola Soto, Tecnología de la Información</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Marjorie Herrera, Defensoría de los Habitantes de la República</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Yorleny Ferreto, Organismo de Investigación Judicial</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shd w:fill="FFFFFF" w:val="clear"/>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Dixon Li, Dirección de Planificación</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shd w:fill="FFFFFF" w:val="clear"/>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rPr>
            </w:pPr>
            <w:r>
              <w:rPr>
                <w:rFonts w:cs="Arial" w:ascii="Arial" w:hAnsi="Arial"/>
                <w:bCs/>
                <w:i/>
                <w:sz w:val="18"/>
                <w:szCs w:val="18"/>
              </w:rPr>
              <w:t>Sra. Cheryl Bolaños Madrigal, Gestión Humana</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Suplente: Jeannette Durán Alemán</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shd w:fill="FFFFFF" w:val="clear"/>
              </w:rPr>
            </w:pPr>
            <w:r>
              <w:rPr>
                <w:rFonts w:cs="Arial" w:ascii="Arial" w:hAnsi="Arial"/>
                <w:bCs/>
                <w:i/>
                <w:sz w:val="18"/>
                <w:szCs w:val="18"/>
                <w:shd w:fill="FFFFFF" w:val="clear"/>
              </w:rPr>
              <w:t>No</w:t>
            </w:r>
          </w:p>
          <w:p>
            <w:pPr>
              <w:pStyle w:val="Normal"/>
              <w:widowControl w:val="false"/>
              <w:spacing w:before="0" w:after="160"/>
              <w:jc w:val="both"/>
              <w:rPr>
                <w:rFonts w:ascii="Arial" w:hAnsi="Arial" w:cs="Arial"/>
                <w:bCs/>
                <w:i/>
                <w:i/>
                <w:sz w:val="18"/>
                <w:szCs w:val="18"/>
                <w:shd w:fill="FFFFFF" w:val="clear"/>
              </w:rPr>
            </w:pPr>
            <w:r>
              <w:rPr>
                <w:rFonts w:cs="Arial" w:ascii="Arial" w:hAnsi="Arial"/>
                <w:bCs/>
                <w:i/>
                <w:sz w:val="18"/>
                <w:szCs w:val="18"/>
                <w:shd w:fill="FFFFFF" w:val="clear"/>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rPr>
            </w:pPr>
            <w:r>
              <w:rPr>
                <w:rFonts w:cs="Arial" w:ascii="Arial" w:hAnsi="Arial"/>
                <w:bCs/>
                <w:i/>
                <w:sz w:val="18"/>
                <w:szCs w:val="18"/>
              </w:rPr>
              <w:t>Sr. Robert García González, Auditoría Judicial</w:t>
            </w:r>
          </w:p>
          <w:p>
            <w:pPr>
              <w:pStyle w:val="Normal"/>
              <w:widowControl w:val="false"/>
              <w:spacing w:before="0" w:after="160"/>
              <w:jc w:val="both"/>
              <w:rPr>
                <w:rFonts w:ascii="Arial" w:hAnsi="Arial" w:cs="Arial"/>
                <w:bCs/>
                <w:i/>
                <w:i/>
                <w:sz w:val="18"/>
                <w:szCs w:val="18"/>
              </w:rPr>
            </w:pPr>
            <w:r>
              <w:rPr>
                <w:rFonts w:cs="Arial" w:ascii="Arial" w:hAnsi="Arial"/>
                <w:bCs/>
                <w:i/>
                <w:sz w:val="18"/>
                <w:szCs w:val="18"/>
              </w:rPr>
              <w:t>Suplente: Sr. Jeremy Eduarte Alemán, Auditoría Judicial</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Arial" w:hAnsi="Arial" w:cs="Arial"/>
                <w:bCs/>
                <w:i/>
                <w:i/>
                <w:sz w:val="18"/>
                <w:szCs w:val="18"/>
                <w:shd w:fill="FFFFFF" w:val="clear"/>
              </w:rPr>
            </w:pPr>
            <w:r>
              <w:rPr>
                <w:rFonts w:cs="Arial" w:ascii="Arial" w:hAnsi="Arial"/>
                <w:bCs/>
                <w:i/>
                <w:sz w:val="18"/>
                <w:szCs w:val="18"/>
                <w:shd w:fill="FFFFFF" w:val="clear"/>
              </w:rPr>
              <w:t>No</w:t>
            </w:r>
          </w:p>
          <w:p>
            <w:pPr>
              <w:pStyle w:val="Normal"/>
              <w:widowControl w:val="false"/>
              <w:spacing w:before="0" w:after="160"/>
              <w:jc w:val="both"/>
              <w:rPr>
                <w:rFonts w:ascii="Arial" w:hAnsi="Arial" w:cs="Arial"/>
                <w:bCs/>
                <w:i/>
                <w:i/>
                <w:sz w:val="18"/>
                <w:szCs w:val="18"/>
                <w:shd w:fill="FFFFFF" w:val="clear"/>
              </w:rPr>
            </w:pPr>
            <w:r>
              <w:rPr>
                <w:rFonts w:cs="Arial" w:ascii="Arial" w:hAnsi="Arial"/>
                <w:bCs/>
                <w:i/>
                <w:sz w:val="18"/>
                <w:szCs w:val="18"/>
                <w:shd w:fill="FFFFFF" w:val="clear"/>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William Vega, ONU</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shd w:fill="FFFFFF" w:val="clear"/>
              </w:rPr>
            </w:pPr>
            <w:r>
              <w:rPr>
                <w:rFonts w:cs="Arial" w:ascii="Arial" w:hAnsi="Arial"/>
                <w:bCs/>
                <w:i/>
                <w:sz w:val="18"/>
                <w:szCs w:val="18"/>
                <w:shd w:fill="FFFFFF" w:val="clear"/>
              </w:rPr>
              <w:t>No</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 Cristian Alberto Martínez Hernández: Centro de Apoyo, Coordinación y Mejoramiento de la Función Jurisdiccional</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shd w:fill="FFFFFF" w:val="clear"/>
              </w:rPr>
            </w:pPr>
            <w:r>
              <w:rPr>
                <w:rFonts w:cs="Arial" w:ascii="Arial" w:hAnsi="Arial"/>
                <w:bCs/>
                <w:i/>
                <w:sz w:val="18"/>
                <w:szCs w:val="18"/>
                <w:shd w:fill="FFFFFF" w:val="clear"/>
              </w:rPr>
              <w:t>Si</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Rocío Rivera Cascante: Departamento de Prensa y Comunicación Organizacional</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shd w:fill="FFFFFF" w:val="clear"/>
              </w:rPr>
            </w:pPr>
            <w:r>
              <w:rPr>
                <w:rStyle w:val="Ttulo3Car"/>
                <w:rFonts w:cs="Arial" w:ascii="Arial" w:hAnsi="Arial"/>
                <w:i/>
                <w:color w:val="auto"/>
                <w:sz w:val="18"/>
                <w:szCs w:val="18"/>
              </w:rPr>
              <w:t>Inasistente por motivos laborales</w:t>
            </w:r>
          </w:p>
        </w:tc>
      </w:tr>
      <w:tr>
        <w:trPr/>
        <w:tc>
          <w:tcPr>
            <w:tcW w:w="594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Arial" w:hAnsi="Arial" w:cs="Arial"/>
                <w:bCs/>
                <w:i/>
                <w:i/>
                <w:sz w:val="18"/>
                <w:szCs w:val="18"/>
              </w:rPr>
            </w:pPr>
            <w:r>
              <w:rPr>
                <w:rFonts w:cs="Arial" w:ascii="Arial" w:hAnsi="Arial"/>
                <w:bCs/>
                <w:i/>
                <w:sz w:val="18"/>
                <w:szCs w:val="18"/>
              </w:rPr>
              <w:t>Sra. Patricia Bonilla Rodríguez, Centro de Información Jurisprudencial</w:t>
            </w:r>
          </w:p>
        </w:tc>
        <w:tc>
          <w:tcPr>
            <w:tcW w:w="2878"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Style w:val="Ttulo3Car"/>
                <w:rFonts w:ascii="Arial" w:hAnsi="Arial" w:cs="Arial"/>
                <w:i/>
                <w:i/>
                <w:color w:val="auto"/>
                <w:sz w:val="18"/>
                <w:szCs w:val="18"/>
              </w:rPr>
            </w:pPr>
            <w:r>
              <w:rPr>
                <w:rStyle w:val="Ttulo3Car"/>
                <w:rFonts w:cs="Arial" w:ascii="Arial" w:hAnsi="Arial"/>
                <w:i/>
                <w:color w:val="auto"/>
                <w:sz w:val="18"/>
                <w:szCs w:val="18"/>
              </w:rPr>
              <w:t>Inasistente por motivos personales</w:t>
            </w:r>
          </w:p>
        </w:tc>
      </w:tr>
    </w:tbl>
    <w:p>
      <w:pPr>
        <w:pStyle w:val="Normal"/>
        <w:spacing w:lineRule="auto" w:line="240" w:before="0" w:after="0"/>
        <w:jc w:val="both"/>
        <w:rPr>
          <w:rStyle w:val="Ttulo3Car"/>
          <w:rFonts w:ascii="Arial" w:hAnsi="Arial" w:cs="Arial"/>
          <w:bCs/>
          <w:i/>
          <w:i/>
          <w:color w:val="auto"/>
          <w:sz w:val="18"/>
          <w:szCs w:val="18"/>
        </w:rPr>
      </w:pPr>
      <w:r>
        <w:rPr>
          <w:rFonts w:cs="Arial" w:ascii="Arial" w:hAnsi="Arial"/>
          <w:bCs/>
          <w:i/>
          <w:color w:val="auto"/>
          <w:sz w:val="18"/>
          <w:szCs w:val="18"/>
        </w:rPr>
      </w:r>
    </w:p>
    <w:p>
      <w:pPr>
        <w:pStyle w:val="Normal"/>
        <w:jc w:val="both"/>
        <w:rPr>
          <w:rFonts w:ascii="Arial" w:hAnsi="Arial" w:cs="Arial"/>
          <w:b/>
          <w:b/>
          <w:sz w:val="20"/>
          <w:szCs w:val="20"/>
          <w:u w:val="single"/>
        </w:rPr>
      </w:pPr>
      <w:r>
        <w:rPr>
          <w:rFonts w:cs="Arial" w:ascii="Arial" w:hAnsi="Arial"/>
          <w:b/>
          <w:sz w:val="20"/>
          <w:szCs w:val="20"/>
          <w:u w:val="single"/>
        </w:rPr>
      </w:r>
    </w:p>
    <w:p>
      <w:pPr>
        <w:pStyle w:val="Normal"/>
        <w:rPr>
          <w:rFonts w:ascii="Arial" w:hAnsi="Arial" w:cs="Arial"/>
          <w:bCs/>
          <w:sz w:val="20"/>
          <w:szCs w:val="20"/>
        </w:rPr>
      </w:pPr>
      <w:r>
        <w:rPr>
          <w:rFonts w:cs="Arial" w:ascii="Arial" w:hAnsi="Arial"/>
          <w:b/>
          <w:sz w:val="20"/>
          <w:szCs w:val="20"/>
          <w:highlight w:val="yellow"/>
          <w:u w:val="single"/>
        </w:rPr>
        <w:t>ARTÍCULO I</w:t>
      </w:r>
    </w:p>
    <w:p>
      <w:pPr>
        <w:pStyle w:val="Normal"/>
        <w:jc w:val="both"/>
        <w:rPr>
          <w:rFonts w:ascii="Arial" w:hAnsi="Arial" w:cs="Arial"/>
          <w:bCs/>
          <w:i/>
          <w:i/>
          <w:sz w:val="20"/>
          <w:szCs w:val="20"/>
        </w:rPr>
      </w:pPr>
      <w:r>
        <w:rPr>
          <w:rFonts w:cs="Arial" w:ascii="Arial" w:hAnsi="Arial"/>
          <w:bCs/>
          <w:i/>
          <w:sz w:val="20"/>
          <w:szCs w:val="20"/>
        </w:rPr>
        <w:t>Presentación de la señora Diana Marenco (</w:t>
      </w:r>
      <w:hyperlink r:id="rId2">
        <w:r>
          <w:rPr>
            <w:rStyle w:val="EnlacedeInternet"/>
            <w:rFonts w:cs="Arial" w:ascii="Arial" w:hAnsi="Arial"/>
            <w:bCs/>
            <w:i/>
            <w:color w:val="auto"/>
            <w:sz w:val="20"/>
            <w:szCs w:val="20"/>
          </w:rPr>
          <w:t>dyanne.marenco@cruzroja.or.cr</w:t>
        </w:r>
      </w:hyperlink>
      <w:r>
        <w:rPr>
          <w:rFonts w:cs="Arial" w:ascii="Arial" w:hAnsi="Arial"/>
          <w:bCs/>
          <w:i/>
          <w:sz w:val="20"/>
          <w:szCs w:val="20"/>
        </w:rPr>
        <w:t xml:space="preserve"> y 88121139) Roger Rodríguez y Michael Morales de la Cruz Roja Internacional, quienes exponen sobre las funciones que desarrollan y la posibilidad de articular acciones en beneficio de la población indígena con el desarrollo de proyectos con pertinencia cultural. Además, el fortalecimiento de competencias mediante procesos de capacitación del personal judicial, en aspectos tales como la capacidad de escucha para poder lograr una mejor comprensión de las costumbres de la población; y la interrelación con los pueblos indígenas de manera diferenciada, sobre todo las más fraccionadas.</w:t>
      </w:r>
    </w:p>
    <w:p>
      <w:pPr>
        <w:pStyle w:val="Normal"/>
        <w:jc w:val="both"/>
        <w:rPr>
          <w:rFonts w:ascii="Arial" w:hAnsi="Arial" w:cs="Arial"/>
          <w:bCs/>
          <w:i/>
          <w:i/>
          <w:sz w:val="20"/>
          <w:szCs w:val="20"/>
        </w:rPr>
      </w:pPr>
      <w:r>
        <w:rPr>
          <w:rFonts w:cs="Arial" w:ascii="Arial" w:hAnsi="Arial"/>
          <w:bCs/>
          <w:i/>
          <w:sz w:val="20"/>
          <w:szCs w:val="20"/>
        </w:rPr>
        <w:t>Se sugiere se trasladen a la Cruz Roja las acciones que la Subcomisión solicitó se incluyeran en el PAO 2020 de la Comisión de Acceso a la Justicia para que valoren la posibilidad de encontrar puntos de encuentro.</w:t>
      </w:r>
    </w:p>
    <w:p>
      <w:pPr>
        <w:pStyle w:val="Normal"/>
        <w:jc w:val="both"/>
        <w:rPr>
          <w:rFonts w:ascii="Arial" w:hAnsi="Arial" w:cs="Arial"/>
          <w:bCs/>
          <w:i/>
          <w:i/>
          <w:sz w:val="20"/>
          <w:szCs w:val="20"/>
        </w:rPr>
      </w:pPr>
      <w:r>
        <w:rPr>
          <w:rFonts w:cs="Arial" w:ascii="Arial" w:hAnsi="Arial"/>
          <w:b/>
          <w:i/>
          <w:iCs/>
          <w:sz w:val="20"/>
          <w:szCs w:val="20"/>
          <w:u w:val="single"/>
        </w:rPr>
        <w:t>SE ACUERDA</w:t>
      </w:r>
      <w:r>
        <w:rPr>
          <w:rFonts w:cs="Arial" w:ascii="Arial" w:hAnsi="Arial"/>
          <w:i/>
          <w:iCs/>
          <w:sz w:val="20"/>
          <w:szCs w:val="20"/>
        </w:rPr>
        <w:t xml:space="preserve">: </w:t>
      </w:r>
      <w:r>
        <w:rPr>
          <w:rFonts w:cs="Arial" w:ascii="Arial" w:hAnsi="Arial"/>
          <w:sz w:val="20"/>
          <w:szCs w:val="20"/>
        </w:rPr>
        <w:t xml:space="preserve">1° Se toma nota de la presentación. 2° Trasladar a las personas representantes de la Cruz Roja </w:t>
      </w:r>
      <w:r>
        <w:rPr>
          <w:rFonts w:cs="Arial" w:ascii="Arial" w:hAnsi="Arial"/>
          <w:bCs/>
          <w:sz w:val="20"/>
          <w:szCs w:val="20"/>
        </w:rPr>
        <w:t xml:space="preserve">las acciones que la Subcomisión de Acceso a la Justicia de Pueblos indígenas solicitó a la Comisión de Acceso a la Justicia fueran incluidas en el PAO 2020 de ésta, con el objetivo de buscar puntos de encuentro en los que se puedan articular acciones e incluir temas de capacitación dirigidos a personas servidoras judiciales por parte de la Cruz Roja, para la mejora del servicio a la población indígena. 3° </w:t>
      </w:r>
      <w:r>
        <w:rPr>
          <w:rFonts w:cs="Arial" w:ascii="Arial" w:hAnsi="Arial"/>
          <w:i/>
          <w:iCs/>
          <w:sz w:val="20"/>
          <w:szCs w:val="20"/>
        </w:rPr>
        <w:t>Se declara firme este acuerdo por unanimidad para su ejecución. Comuníquese a las personas representantes de la Cruz Roja por medio de la Unidad de Acceso a la Justicia.-</w:t>
      </w:r>
    </w:p>
    <w:p>
      <w:pPr>
        <w:pStyle w:val="Normal"/>
        <w:rPr>
          <w:rFonts w:ascii="Arial" w:hAnsi="Arial" w:cs="Arial"/>
          <w:b/>
          <w:b/>
          <w:sz w:val="20"/>
          <w:szCs w:val="20"/>
          <w:u w:val="single"/>
        </w:rPr>
      </w:pPr>
      <w:r>
        <w:rPr>
          <w:rFonts w:cs="Arial" w:ascii="Arial" w:hAnsi="Arial"/>
          <w:b/>
          <w:sz w:val="20"/>
          <w:szCs w:val="20"/>
          <w:highlight w:val="yellow"/>
          <w:u w:val="single"/>
        </w:rPr>
        <w:t>ARTICULO II</w:t>
      </w:r>
    </w:p>
    <w:p>
      <w:pPr>
        <w:pStyle w:val="Normal"/>
        <w:jc w:val="both"/>
        <w:rPr>
          <w:rFonts w:ascii="Arial" w:hAnsi="Arial" w:cs="Arial"/>
          <w:sz w:val="20"/>
          <w:szCs w:val="20"/>
        </w:rPr>
      </w:pPr>
      <w:r>
        <w:rPr>
          <w:rFonts w:cs="Arial" w:ascii="Arial" w:hAnsi="Arial"/>
          <w:sz w:val="20"/>
          <w:szCs w:val="20"/>
        </w:rPr>
        <w:t xml:space="preserve">Lectura y aprobación del acta anterior. </w:t>
      </w:r>
    </w:p>
    <w:p>
      <w:pPr>
        <w:pStyle w:val="Normal"/>
        <w:jc w:val="both"/>
        <w:rPr>
          <w:rFonts w:ascii="Arial" w:hAnsi="Arial" w:cs="Arial"/>
          <w:sz w:val="20"/>
          <w:szCs w:val="20"/>
        </w:rPr>
      </w:pPr>
      <w:r>
        <w:rPr>
          <w:rFonts w:cs="Arial" w:ascii="Arial" w:hAnsi="Arial"/>
          <w:sz w:val="20"/>
          <w:szCs w:val="20"/>
        </w:rPr>
        <w:t>El Acta 08-19 de 1 de octubre de 2019 fue comunicada a las y los integrantes de la Subcomisión de Acceso a la Justicia de Pueblos Indígenas mediante correo electrónico del 02 de octubre de 2019, 01:59 a.m., sin que se recibieran observaciones, por lo que se solicitó a la Unidad de Acceso a la Justicia su colaboración para la comunicación de acuerdos.-</w:t>
      </w:r>
    </w:p>
    <w:p>
      <w:pPr>
        <w:pStyle w:val="Normal"/>
        <w:jc w:val="both"/>
        <w:rPr>
          <w:rFonts w:ascii="Arial" w:hAnsi="Arial" w:cs="Arial"/>
          <w:b/>
          <w:b/>
          <w:sz w:val="20"/>
          <w:szCs w:val="20"/>
          <w:u w:val="single"/>
        </w:rPr>
      </w:pPr>
      <w:r>
        <w:rPr/>
        <w:object>
          <v:shape id="ole_rId3" style="width:75.15pt;height:48.85pt" o:ole="">
            <v:imagedata r:id="rId4" o:title=""/>
          </v:shape>
          <o:OLEObject Type="Embed" ProgID="Package" ShapeID="ole_rId3" DrawAspect="Icon" ObjectID="_297799062" r:id="rId3"/>
        </w:object>
      </w:r>
      <w:r>
        <w:rPr/>
        <w:object>
          <v:shape id="ole_rId5" style="width:75.15pt;height:48.85pt" o:ole="">
            <v:imagedata r:id="rId6" o:title=""/>
          </v:shape>
          <o:OLEObject Type="Embed" ProgID="Package" ShapeID="ole_rId5" DrawAspect="Icon" ObjectID="_197124274" r:id="rId5"/>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aprueba.</w:t>
      </w:r>
    </w:p>
    <w:p>
      <w:pPr>
        <w:pStyle w:val="Normal"/>
        <w:rPr>
          <w:rFonts w:ascii="Arial" w:hAnsi="Arial" w:cs="Arial"/>
          <w:b/>
          <w:b/>
          <w:sz w:val="20"/>
          <w:szCs w:val="20"/>
          <w:u w:val="single"/>
        </w:rPr>
      </w:pPr>
      <w:r>
        <w:rPr>
          <w:rFonts w:cs="Arial" w:ascii="Arial" w:hAnsi="Arial"/>
          <w:b/>
          <w:sz w:val="20"/>
          <w:szCs w:val="20"/>
          <w:highlight w:val="yellow"/>
          <w:u w:val="single"/>
        </w:rPr>
        <w:t>ARTICULO III</w:t>
      </w:r>
    </w:p>
    <w:p>
      <w:pPr>
        <w:pStyle w:val="Normal"/>
        <w:jc w:val="both"/>
        <w:rPr>
          <w:rFonts w:ascii="Arial" w:hAnsi="Arial" w:cs="Arial"/>
          <w:bCs/>
          <w:sz w:val="20"/>
          <w:szCs w:val="20"/>
        </w:rPr>
      </w:pPr>
      <w:r>
        <w:rPr>
          <w:rFonts w:cs="Arial" w:ascii="Arial" w:hAnsi="Arial"/>
          <w:bCs/>
          <w:sz w:val="20"/>
          <w:szCs w:val="20"/>
        </w:rPr>
        <w:t>Se conoce del Oficio N° 8354-19 remitido por la Secretaría General de la Corte el 19 de agosto de 2019, 03:35 p.m., en el que se</w:t>
      </w:r>
      <w:r>
        <w:rPr>
          <w:rFonts w:cs="Arial" w:ascii="Arial" w:hAnsi="Arial"/>
          <w:bCs/>
          <w:sz w:val="20"/>
          <w:szCs w:val="20"/>
          <w:lang w:val="es-ES"/>
        </w:rPr>
        <w:t xml:space="preserve"> transcribe el acuerdo tomado por el Consejo Superior del Poder Judicial, en la sesión N° 67-19 celebrada el 30 de julio del 2019, Artículo XLV, que literalmente dice:</w:t>
      </w:r>
    </w:p>
    <w:p>
      <w:pPr>
        <w:pStyle w:val="Ttulo2"/>
        <w:rPr>
          <w:sz w:val="20"/>
          <w:szCs w:val="20"/>
        </w:rPr>
      </w:pPr>
      <w:r>
        <w:rPr>
          <w:b w:val="false"/>
          <w:bCs w:val="false"/>
          <w:sz w:val="20"/>
          <w:szCs w:val="20"/>
        </w:rPr>
        <w:t>“</w:t>
      </w:r>
      <w:r>
        <w:rPr>
          <w:b w:val="false"/>
          <w:bCs w:val="false"/>
          <w:sz w:val="20"/>
          <w:szCs w:val="20"/>
          <w:u w:val="single"/>
        </w:rPr>
        <w:t>ARTÍCULO XLV</w:t>
      </w:r>
    </w:p>
    <w:p>
      <w:pPr>
        <w:pStyle w:val="Xmsobodytext"/>
        <w:rPr>
          <w:rFonts w:ascii="Arial" w:hAnsi="Arial" w:cs="Arial"/>
          <w:i/>
          <w:i/>
          <w:iCs/>
          <w:sz w:val="20"/>
          <w:szCs w:val="20"/>
        </w:rPr>
      </w:pPr>
      <w:r>
        <w:rPr>
          <w:rFonts w:cs="Arial" w:ascii="Arial" w:hAnsi="Arial"/>
          <w:b/>
          <w:bCs/>
          <w:i/>
          <w:iCs/>
          <w:sz w:val="20"/>
          <w:szCs w:val="20"/>
        </w:rPr>
        <w:t>Documento N° 4289-12 / 8779-19.</w:t>
      </w:r>
    </w:p>
    <w:p>
      <w:pPr>
        <w:pStyle w:val="Xmsonormal"/>
        <w:jc w:val="both"/>
        <w:rPr>
          <w:rFonts w:ascii="Arial" w:hAnsi="Arial" w:cs="Arial"/>
          <w:i/>
          <w:i/>
          <w:iCs/>
          <w:sz w:val="20"/>
          <w:szCs w:val="20"/>
        </w:rPr>
      </w:pPr>
      <w:r>
        <w:rPr>
          <w:rFonts w:cs="Arial" w:ascii="Arial" w:hAnsi="Arial"/>
          <w:i/>
          <w:iCs/>
          <w:sz w:val="20"/>
          <w:szCs w:val="20"/>
          <w:lang w:val="es-ES"/>
        </w:rPr>
        <w:t>En sesión número 7-19 celebrada el 29 de enero de 2019, artículo LXVI, en lo que interesa, se instó a las universidades estatales para que cumplieran con su deber de dar colaboración especializada y gratuita al Poder Judicial, a fin de tener un listado de personas idóneas que puedan elaborar peritajes indicados en esa oportunidad. Asimismo, se solicitó a las universidades estatales verificar que en sus presupuestos anuales esté contenido un rubro expreso para cubrir los costos de la citada colaboración. Lo anterior para dar cumplimiento a lo indicado por la Ley de Acceso a la Justicia de Pueblos Indígenas de Costa Rica, según lo establecido en su artículo 7.</w:t>
      </w:r>
    </w:p>
    <w:p>
      <w:pPr>
        <w:pStyle w:val="Xmsobodytext"/>
        <w:ind w:left="1416" w:firstLine="708"/>
        <w:rPr>
          <w:rFonts w:ascii="Arial" w:hAnsi="Arial" w:cs="Arial"/>
          <w:i/>
          <w:i/>
          <w:iCs/>
          <w:sz w:val="20"/>
          <w:szCs w:val="20"/>
        </w:rPr>
      </w:pPr>
      <w:r>
        <w:rPr>
          <w:rFonts w:cs="Arial" w:ascii="Arial" w:hAnsi="Arial"/>
          <w:i/>
          <w:iCs/>
          <w:sz w:val="20"/>
          <w:szCs w:val="20"/>
        </w:rPr>
        <w:t> </w:t>
      </w:r>
    </w:p>
    <w:p>
      <w:pPr>
        <w:pStyle w:val="Xmsobodytext"/>
        <w:rPr>
          <w:rFonts w:ascii="Arial" w:hAnsi="Arial" w:cs="Arial"/>
          <w:i/>
          <w:i/>
          <w:iCs/>
          <w:sz w:val="20"/>
          <w:szCs w:val="20"/>
        </w:rPr>
      </w:pPr>
      <w:r>
        <w:rPr>
          <w:rFonts w:cs="Arial" w:ascii="Arial" w:hAnsi="Arial"/>
          <w:i/>
          <w:iCs/>
          <w:sz w:val="20"/>
          <w:szCs w:val="20"/>
        </w:rPr>
        <w:t>En oficio número R-4350-2019, del 9 de julio de 2019, suscrito por el doctor Carlos Araya Leandro, Rector interino de la Universidad de Costa Rica, se indica lo siguiente:</w:t>
      </w:r>
    </w:p>
    <w:p>
      <w:pPr>
        <w:pStyle w:val="Xmsobodytext"/>
        <w:jc w:val="both"/>
        <w:rPr>
          <w:rFonts w:ascii="Arial" w:hAnsi="Arial" w:cs="Arial"/>
          <w:i/>
          <w:i/>
          <w:iCs/>
          <w:sz w:val="20"/>
          <w:szCs w:val="20"/>
        </w:rPr>
      </w:pPr>
      <w:r>
        <w:rPr>
          <w:rFonts w:cs="Arial" w:ascii="Arial" w:hAnsi="Arial"/>
          <w:i/>
          <w:iCs/>
          <w:sz w:val="20"/>
          <w:szCs w:val="20"/>
          <w:lang w:val="es-ES"/>
        </w:rPr>
        <w:t>“</w:t>
      </w:r>
      <w:r>
        <w:rPr>
          <w:rFonts w:cs="Arial" w:ascii="Arial" w:hAnsi="Arial"/>
          <w:i/>
          <w:iCs/>
          <w:sz w:val="20"/>
          <w:szCs w:val="20"/>
          <w:lang w:val="es-ES"/>
        </w:rPr>
        <w:t>En atención al oficio N.° 1540-19, del 13 de febrero de 2019, le informamos que se procedió a realizar la correspondiente investigación para establecer nuestro criterio en relación con la obligación legal de asignar un rubro de presupuesto ordinario, en acatamiento a la Ley N.° 9593, Ley de acceso a la justicia de pueblos indígenas de Costa Rica, específicamente en lo estipulado en su artículo 7:</w:t>
      </w:r>
    </w:p>
    <w:p>
      <w:pPr>
        <w:pStyle w:val="Xmsonormal"/>
        <w:ind w:right="851" w:hanging="0"/>
        <w:jc w:val="both"/>
        <w:rPr>
          <w:rFonts w:ascii="Arial" w:hAnsi="Arial" w:cs="Arial"/>
          <w:i/>
          <w:i/>
          <w:iCs/>
          <w:sz w:val="20"/>
          <w:szCs w:val="20"/>
        </w:rPr>
      </w:pPr>
      <w:r>
        <w:rPr>
          <w:rFonts w:cs="Arial" w:ascii="Arial" w:hAnsi="Arial"/>
          <w:i/>
          <w:iCs/>
          <w:sz w:val="20"/>
          <w:szCs w:val="20"/>
          <w:lang w:val="es-ES"/>
        </w:rPr>
        <w:t>“</w:t>
      </w:r>
      <w:r>
        <w:rPr>
          <w:rFonts w:cs="Arial" w:ascii="Arial" w:hAnsi="Arial"/>
          <w:i/>
          <w:iCs/>
          <w:sz w:val="20"/>
          <w:szCs w:val="20"/>
          <w:lang w:val="es-ES"/>
        </w:rPr>
        <w:t>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El Poder Judicial deberá asumir el costo de las pruebas y las pericias requeridas en un proceso judicial, cuando la persona indígena no tenga medios para hacerlo por su cuenta.</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Para tal efecto, las universidades estatales deberán dar colaboración especializada y gratuita al Poder Judicial, a fin de tener un listado de personas idóneas que puedan elaborar esos peritajes culturales. El presupuesto que se apruebe a dichas instituciones deberá contener un rubro expreso para cubrir los costos de la citada colaboración”.</w:t>
      </w:r>
      <w:r>
        <w:rPr>
          <w:rFonts w:cs="Arial" w:ascii="Arial" w:hAnsi="Arial"/>
          <w:i/>
          <w:iCs/>
          <w:sz w:val="20"/>
          <w:szCs w:val="20"/>
        </w:rPr>
        <w:t xml:space="preserve"> </w:t>
      </w:r>
      <w:r>
        <w:rPr>
          <w:rFonts w:cs="Arial" w:ascii="Arial" w:hAnsi="Arial"/>
          <w:i/>
          <w:iCs/>
          <w:sz w:val="20"/>
          <w:szCs w:val="20"/>
          <w:lang w:val="es-ES"/>
        </w:rPr>
        <w:t>(El subrayado y la negrita es propio.)</w:t>
      </w:r>
    </w:p>
    <w:p>
      <w:pPr>
        <w:pStyle w:val="Xmsonormal"/>
        <w:ind w:left="2267" w:right="851" w:firstLine="709"/>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La investigación realizada se elaboró a través de consulta directa al Archivo del Consejo Universitario (CU) y de la Rectoría, exploración n la web a instancias como la: Asamblea Legislativa (AL)1, y la Imprenta Nacional (IPN)2, en el Diario Oficial La Gaceta y al Alcance a la Gaceta como fuentes de investigación secundaria y como fuente primaria entrevista al Dr. Marco Guevara Berger, profesor de la Escuela de Antropología de la UCR.</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Seguidamente, realizamos el análisis desde tres aspectos, a saber: contenido normativo, procedimiento normativo y labor social de la Universidad y posibilidades financieras de la Institución.</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u w:val="single"/>
          <w:lang w:val="es-ES"/>
        </w:rPr>
        <w:t>Contenido normativo:</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Al respecto se procuró analizar el tema presupuestario, en el marco de la disposición formulada en la Ley N° 9593: El presupuesto que se apruebe a dichas instituciones deberá contener un rubro expreso para cubrirlos costos de la citada colaboración.</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A efecto del análisis respectivo, en primera instancia se puede afirmar que el artículo 7 (mencionado anteriormente), es una norma compuesta que contiene, en general tres regulaciones: la primera se refiere a la gratuidad de la justicia y de la asistencia letrada, sin indicar un destinatario; sin embargo, se puede inferir que es al Poder Judicial a quién va dirigida, en razón de su competencia formal.</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La segunda regulación, indica claramente que es al Poder Judicial a quien corresponde asumir el costo de las pruebas y pericias. Queda más que claro que no son las universidades quienes deben asumir tales costos.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Esta idea se complementa con la tercera regulación que en dos párrafos establece lo siguiente:</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a) Las universidades estatales deberán dar colaboración especializada y gratuita al Poder Judicial, a fin de tener un listado de personas idóneas que puedan elaborar esos peritajes culturales.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b) El presupuesto que se apruebe a dichas instituciones deberá contener un rubro expreso para cubrir los coptos de la citada colaboración.</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Como se observa, la gratuidad referida en el texto normativo, refiere a la obligación de proveer un listado de personas idóneas. Mientras que, de lo formulado en el punto b) anterior, se puede inferir que los recursos tendrán un origen diferente a los ya existentes, sea que se trate de una transferencia de alguna institución relacionada (Poder Judicial, CONAI, o cualquier otra) o que cuando se lleve a cabo la negociación del Convenio del Fondo Especial para la Educación Superior (FEES), entre la Comisión de Enlace del Poder Ejecutivo y el CONARE, se solicite prioritariamente asignar un rubro específico y aparte, para atender la ley mencionada, de manera que se garantice el cumplimiento con la responsabilidad social por parte de las universidades estatales, en la cooperación que se debe suministrar al Poder Judicial y por ende a los pueblos indígenas del país, a través de la consecución de una justicia social, de equidad y de desarrollo integral.</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No obstante lo anterior, en cuanto al apoyo brindado por la Universidad, tomando como referencia la información brindada por el Dr. Marco Guevara Berger, a la fecha se han realizado más de 120 peritajes para la Subcomisión de Acceso a la Justicia de los Pueblos Indígenas del Poder Judicial (PJ), con un costo estimado de 150.000.000,00 (ciento cincuenta millones de colones).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En relación con lo anterior, se encuentra evidencia documentada de que la Universidad de Costa Rica a través de la Escuela de Antropología, desde el 2010, (oficio N° 1540-19, p.</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4), brinda colaboración al Poder Judicial, en varios despachos judiciales (oficio N° 1540-</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b/>
          <w:bCs/>
          <w:i/>
          <w:iCs/>
          <w:sz w:val="20"/>
          <w:szCs w:val="20"/>
          <w:u w:val="single"/>
          <w:lang w:val="es-ES"/>
        </w:rPr>
        <w:t>Procedimiento normativo:</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De acuerdo con las consultas realizadas al Archivo del Consejo Universitario y la Rectoría, se pudo constatar, que el proyecto de Ley Expediente N.° 17.805, de la Ley N.° 9593, LEY DE ACCESO A LA JUSTICIA DE PUEBLOS INDIGENAS DE COSTA RICA, no fue consultado a la Institución, tal y como lo dispone la Constitución Política de la República de Costa Rica en su artículo 88:</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w:t>
      </w:r>
      <w:r>
        <w:rPr>
          <w:rFonts w:cs="Arial" w:ascii="Arial" w:hAnsi="Arial"/>
          <w:i/>
          <w:iCs/>
          <w:sz w:val="20"/>
          <w:szCs w:val="20"/>
          <w:lang w:val="es-ES"/>
        </w:rPr>
        <w:t>Para la discusión y aprobación de proyectos de ley relativos a las materias puestas bajo la competencia de la Universidad de Costa Rica y de las demás instituciones de educación superior universitaria, o relacionadas directamente con ellas, la Asamblea Legislativa deberá oír previamente al Consejo Universitario o al órgano director correspondiente de cada una de ellas”.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La no consulta previa a las instancias institucionales de la UCR, conforme lo dispuesto en la Constitución Política, en su articulado número 88, vicia de nulidad absoluta el trámite de aprobación del proyecto de Ley Expediente N.° 17.805, Ley N.° 9593, LEY DEACCESOA LA JUSTICIA DE PUEBLOS INDIGENAS DE COSTA RICA:</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En vista de que no existió la consulta respectiva establecida por rango constitucional, la Ley de acceso a la justicia de los pueblos indigenas deviene inconstitucional. Asimismo, aun cuando dicho proyecto hubiese sido consultado, en virtud de su contenido sería igualmente inconstitucional por lesionar la autonomía financiera de la Institución. El artículo 7 ordena a las universidades publicas estatales una colaboración gratuita para la elaboración de peritajes culturales y su inclusión en el presupuesto institucional. Lo anterior supondría elaborar una lista con personas idóneas que puedan realizar estos estudios, lo cual compromete directamente las actividades académicas puestas bajo competencia de ¡a Escuela de Antropología y otros organismos afines. De esta forma, también se lesiona la autonomía de la Universidad en materias puestas bajo su competencia.</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Labor social de la Universidad y posibilidades financieras de la Institución</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No obstante, somos conscientes de la labor cooperativa que ha existido desde hace muchos años entre la UCR y el PJ.</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En efecto, la UCR ha acompañado al PJ, sin la necesidad de contar con una asignación presupuestaria específica para tal circunstancia, dado que la colaboración se ha suministrado vía proyectos de investigación, cursos concretos para estudiantes avanzados de la Escuela de Antropología, que realizaban las respectivas investigaciones, apoyos ad hoc, Proyecto de Servicios Antropológicos (PROSEA) de la Escuela de Antropología a través de la Fundación de la UCR (FundaciónUCR), (oficio N° 1540-1 9, p.4).</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Demostrada la colaboración que se le ha venido prestando al PJ desde el año 2010, y en consideración de lo estipulado en el Artículo 7 de la Ley 9593, LEY DE ACCESO A LA JUSTICIA DE PUEBLOS INDÍGENAS DE COSTA RICA, que establece las universidades estatales deberán dar colaboración especializada y gratuita al Poder Judicial, es pertinente que si se decide continuar con la contribución con el Poder Judicial en la temática de marras, se valore la posibilidad, que este sea un proyecto que se asuma y financie por medio de los Fondos del Sistema del Consejo Nacional de Rectores (CONARE), siempre y cuando se deslinde la obligatoriedad jurídica de tal cumplimiento.</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En concordancia, con los principios orientadores del quehacer de la UCR, como es el respeto a la diversidad de etnias y culturas de la sociedad costarricense, y de conformidad con el artículo 4 deI Estatuto Orgánico, es nuestro criterio que la Universidad de Costa Rica debe contribuir con las transformaciones que la sociedad necesita para el logro del bien común y continuar apoyando al Poder Judicial en beneficio de los pueblos indígenas del país. Ello, sin obviar la delicada situación financiera institucional, frente a un panorama poco alentador en cuanto a las finanzas: un FEES que crece en menor medida cada año y con un panorama de crecimiento poco probable que llegue a ser superior a la inflación; es decir, sin crecimiento real y por otro lado; los gastos creciendo en mayores proporciones, muchos de ellos sin posibilidad inmediata de contención.</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Es importante señalar, que los costos de este tipo de peritajes, por el grado de especialización, son elevados, tal y como lo informa el Dr. Guevara Berger, en caso de que se determine como pago de servicios. Por ejemplo, la decisión de crear una plazas, específica para atender esta colaboración, implicaría un costo aproximado3 de Ø37.2 millones anuales por cada tiempo completo asignado; esto sin contabilizar gastos variables, como papelerías, útiles, viáticos, equipamiento y gastos fijos, como infraestructura, servicios públicos asociados, entre otros.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Asimismo, otra posibilidad, para el abordaje de este proyecto, es que se le asignen recursos desde el Fondo del Sistema de CONARE; ello considerando de que existen otros proyectos que podrían vincularse y complementarse; por ejemplo, el caso de la Universidad Nacional (UNA), que cuenta con un programa denominado: PROGRAMA PUEBLOS INDIGENAS, AGROECOLOGIA Y BUEN VIVIR, coordinado por don Víctor Madrigal.4</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Otra posible solución, sería la de buscar otros mecanismos de reciprocidad colaborativa con el PJ; por ejemplo, se podría trabajar con un acuerdo marco enlre el Poder Judicial y la Universidad de Costa Rica, y formalizar un convenio entre el Poder Judicial, la Escuela de Antropología y el Programa de Educación Continua de la UCR, incluso con la participación de otras universidades, para realizar trabajos conjuntos, con un financiamiento también colaborativo.</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Lo anterior, tomando en cuenta el contexto social, económico y político en el que se encuentran las universidades estatales en la actualidad; así como, el principio de realidad en las finanzas del Estado, según la Ley N°. 9635, Ley de Fortalecimiento de las Finanzas Públicas, que podría representar una disminución del FEES, lo que tendría un impacto directo en las finanzas institucionales.</w:t>
      </w:r>
    </w:p>
    <w:p>
      <w:pPr>
        <w:pStyle w:val="Xmsonormal"/>
        <w:ind w:right="851" w:hanging="0"/>
        <w:jc w:val="both"/>
        <w:rPr>
          <w:rFonts w:ascii="Arial" w:hAnsi="Arial" w:cs="Arial"/>
          <w:i/>
          <w:i/>
          <w:iCs/>
          <w:sz w:val="20"/>
          <w:szCs w:val="20"/>
          <w:lang w:val="es-ES"/>
        </w:rPr>
      </w:pPr>
      <w:r>
        <w:rPr>
          <w:rFonts w:cs="Arial" w:ascii="Arial" w:hAnsi="Arial"/>
          <w:i/>
          <w:iCs/>
          <w:sz w:val="20"/>
          <w:szCs w:val="20"/>
          <w:lang w:val="es-ES"/>
        </w:rPr>
      </w:r>
    </w:p>
    <w:p>
      <w:pPr>
        <w:pStyle w:val="Xmsonormal"/>
        <w:ind w:right="851" w:hanging="0"/>
        <w:jc w:val="both"/>
        <w:rPr>
          <w:rFonts w:ascii="Arial" w:hAnsi="Arial" w:cs="Arial"/>
          <w:i/>
          <w:i/>
          <w:iCs/>
          <w:sz w:val="20"/>
          <w:szCs w:val="20"/>
        </w:rPr>
      </w:pPr>
      <w:r>
        <w:rPr>
          <w:rFonts w:cs="Arial" w:ascii="Arial" w:hAnsi="Arial"/>
          <w:b/>
          <w:bCs/>
          <w:i/>
          <w:iCs/>
          <w:sz w:val="20"/>
          <w:szCs w:val="20"/>
          <w:u w:val="single"/>
          <w:lang w:val="es-ES"/>
        </w:rPr>
        <w:t>Conclusiones y Recomendaciones: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 xml:space="preserve">• </w:t>
      </w:r>
      <w:r>
        <w:rPr>
          <w:rFonts w:cs="Arial" w:ascii="Arial" w:hAnsi="Arial"/>
          <w:i/>
          <w:iCs/>
          <w:sz w:val="20"/>
          <w:szCs w:val="20"/>
          <w:lang w:val="es-ES"/>
        </w:rPr>
        <w:t>El Artículo 7 de la Ley 9593 “Ley de acceso a la justicia de pueblos indígenas de Costa Rica”, no obliga a la Universidad a formular una partida presupuestaria específica, destinada a prestar servicios periciales para este contenido normativo. La obligación es a brindar una lista de especialistas.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 xml:space="preserve">• </w:t>
      </w:r>
      <w:r>
        <w:rPr>
          <w:rFonts w:cs="Arial" w:ascii="Arial" w:hAnsi="Arial"/>
          <w:i/>
          <w:iCs/>
          <w:sz w:val="20"/>
          <w:szCs w:val="20"/>
          <w:lang w:val="es-ES"/>
        </w:rPr>
        <w:t>Toda ley que pretenda ampliar compromisos a la institución, debe contener las regulaciones correspondientes en materia de financiamiento presupuestario, de manera que no se afecte el funcionamiento normal de la Universidad.</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 xml:space="preserve">• </w:t>
      </w:r>
      <w:r>
        <w:rPr>
          <w:rFonts w:cs="Arial" w:ascii="Arial" w:hAnsi="Arial"/>
          <w:i/>
          <w:iCs/>
          <w:sz w:val="20"/>
          <w:szCs w:val="20"/>
          <w:lang w:val="es-ES"/>
        </w:rPr>
        <w:t>El trámite legal de esta Ley, no cumplió con los preceptos constitucionales, en materia de consulta a la Universidad.</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 xml:space="preserve">• </w:t>
      </w:r>
      <w:r>
        <w:rPr>
          <w:rFonts w:cs="Arial" w:ascii="Arial" w:hAnsi="Arial"/>
          <w:i/>
          <w:iCs/>
          <w:sz w:val="20"/>
          <w:szCs w:val="20"/>
          <w:lang w:val="es-ES"/>
        </w:rPr>
        <w:t>El Propósito de la Universidad es contribuir con las transformaciones que la sociedad necesita para el logro del bien común, en ese contexto, continuar dando el apoyo al Poder Judicial, en beneficio de los pueblos indígenas del país, forma parte de ese Propósito.</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En razón de lo descrito en el párrafo anterior, con el objetivo de evitar alguna afectación a las actividades que la Universidad desarrollo con recursos del FEES Institucional, se sugiere valorar las siguientes opciones:</w:t>
      </w:r>
    </w:p>
    <w:p>
      <w:pPr>
        <w:pStyle w:val="Xmsonormal"/>
        <w:ind w:left="2267" w:right="851" w:firstLine="709"/>
        <w:jc w:val="both"/>
        <w:rPr>
          <w:rFonts w:ascii="Arial" w:hAnsi="Arial" w:cs="Arial"/>
          <w:i/>
          <w:i/>
          <w:iCs/>
          <w:sz w:val="20"/>
          <w:szCs w:val="20"/>
        </w:rPr>
      </w:pPr>
      <w:r>
        <w:rPr>
          <w:rFonts w:cs="Arial" w:ascii="Arial" w:hAnsi="Arial"/>
          <w:i/>
          <w:iCs/>
          <w:sz w:val="20"/>
          <w:szCs w:val="20"/>
          <w:lang w:val="es-ES"/>
        </w:rPr>
        <w:t> </w:t>
      </w:r>
    </w:p>
    <w:p>
      <w:pPr>
        <w:pStyle w:val="Xmsolistparagraph"/>
        <w:ind w:left="0" w:right="851" w:hanging="0"/>
        <w:jc w:val="both"/>
        <w:rPr>
          <w:rFonts w:ascii="Arial" w:hAnsi="Arial" w:cs="Arial"/>
          <w:i/>
          <w:i/>
          <w:iCs/>
          <w:sz w:val="20"/>
          <w:szCs w:val="20"/>
        </w:rPr>
      </w:pPr>
      <w:r>
        <w:rPr>
          <w:rFonts w:cs="Arial" w:ascii="Arial" w:hAnsi="Arial"/>
          <w:i/>
          <w:iCs/>
          <w:sz w:val="20"/>
          <w:szCs w:val="20"/>
          <w:lang w:val="es-ES"/>
        </w:rPr>
        <w:t>a)          Financiamiento por medio de los recursos que se asignan a la atención de proyectos desde el Fondo del Sistema — CONARE.</w:t>
      </w:r>
    </w:p>
    <w:p>
      <w:pPr>
        <w:pStyle w:val="Xmsolistparagraph"/>
        <w:ind w:left="2976" w:right="851" w:hanging="0"/>
        <w:jc w:val="both"/>
        <w:rPr>
          <w:rFonts w:ascii="Arial" w:hAnsi="Arial" w:cs="Arial"/>
          <w:i/>
          <w:i/>
          <w:iCs/>
          <w:sz w:val="20"/>
          <w:szCs w:val="20"/>
        </w:rPr>
      </w:pPr>
      <w:r>
        <w:rPr>
          <w:rFonts w:cs="Arial" w:ascii="Arial" w:hAnsi="Arial"/>
          <w:i/>
          <w:iCs/>
          <w:sz w:val="20"/>
          <w:szCs w:val="20"/>
          <w:lang w:val="es-ES"/>
        </w:rPr>
        <w:t> </w:t>
      </w:r>
    </w:p>
    <w:p>
      <w:pPr>
        <w:pStyle w:val="Xmsonormal"/>
        <w:ind w:right="851" w:hanging="0"/>
        <w:jc w:val="both"/>
        <w:rPr>
          <w:rFonts w:ascii="Arial" w:hAnsi="Arial" w:cs="Arial"/>
          <w:i/>
          <w:i/>
          <w:iCs/>
          <w:sz w:val="20"/>
          <w:szCs w:val="20"/>
        </w:rPr>
      </w:pPr>
      <w:r>
        <w:rPr>
          <w:rFonts w:cs="Arial" w:ascii="Arial" w:hAnsi="Arial"/>
          <w:i/>
          <w:iCs/>
          <w:sz w:val="20"/>
          <w:szCs w:val="20"/>
          <w:lang w:val="es-ES"/>
        </w:rPr>
        <w:t>b) Suscripción de un convenio marco, entre las instituciones involucradas (PJ y Universidades), mediante el cual se garantice el cumplimiento de la Ley, sin que ello signifique un cargo presupuestario a una institución en particular.””</w:t>
      </w:r>
    </w:p>
    <w:p>
      <w:pPr>
        <w:pStyle w:val="Xmsonormal"/>
        <w:spacing w:before="0" w:after="120"/>
        <w:ind w:left="1416" w:hanging="0"/>
        <w:jc w:val="center"/>
        <w:rPr>
          <w:rFonts w:ascii="Arial" w:hAnsi="Arial" w:cs="Arial"/>
          <w:i/>
          <w:i/>
          <w:iCs/>
          <w:sz w:val="20"/>
          <w:szCs w:val="20"/>
        </w:rPr>
      </w:pPr>
      <w:r>
        <w:rPr>
          <w:rFonts w:cs="Arial" w:ascii="Arial" w:hAnsi="Arial"/>
          <w:i/>
          <w:iCs/>
          <w:sz w:val="20"/>
          <w:szCs w:val="20"/>
          <w:lang w:val="es-ES"/>
        </w:rPr>
        <w:t> </w:t>
      </w:r>
    </w:p>
    <w:p>
      <w:pPr>
        <w:pStyle w:val="Xmsonormal"/>
        <w:spacing w:before="0" w:after="120"/>
        <w:jc w:val="center"/>
        <w:rPr>
          <w:rFonts w:ascii="Arial" w:hAnsi="Arial" w:cs="Arial"/>
          <w:i/>
          <w:i/>
          <w:iCs/>
          <w:sz w:val="20"/>
          <w:szCs w:val="20"/>
        </w:rPr>
      </w:pPr>
      <w:r>
        <w:rPr>
          <w:rFonts w:cs="Arial" w:ascii="Arial" w:hAnsi="Arial"/>
          <w:i/>
          <w:iCs/>
          <w:sz w:val="20"/>
          <w:szCs w:val="20"/>
          <w:lang w:val="es-ES"/>
        </w:rPr>
        <w:t>-0-</w:t>
      </w:r>
    </w:p>
    <w:p>
      <w:pPr>
        <w:pStyle w:val="Xmsonormal"/>
        <w:ind w:left="1416" w:firstLine="709"/>
        <w:jc w:val="both"/>
        <w:rPr>
          <w:rFonts w:ascii="Arial" w:hAnsi="Arial" w:cs="Arial"/>
          <w:i/>
          <w:i/>
          <w:iCs/>
          <w:sz w:val="20"/>
          <w:szCs w:val="20"/>
        </w:rPr>
      </w:pPr>
      <w:r>
        <w:rPr>
          <w:rFonts w:cs="Arial" w:ascii="Arial" w:hAnsi="Arial"/>
          <w:b/>
          <w:bCs/>
          <w:i/>
          <w:iCs/>
          <w:sz w:val="20"/>
          <w:szCs w:val="20"/>
          <w:lang w:val="es-ES"/>
        </w:rPr>
        <w:t> </w:t>
      </w:r>
    </w:p>
    <w:p>
      <w:pPr>
        <w:pStyle w:val="Xmsonormal"/>
        <w:jc w:val="both"/>
        <w:rPr>
          <w:rFonts w:ascii="Arial" w:hAnsi="Arial" w:cs="Arial"/>
          <w:i/>
          <w:i/>
          <w:iCs/>
          <w:sz w:val="20"/>
          <w:szCs w:val="20"/>
        </w:rPr>
      </w:pPr>
      <w:r>
        <w:rPr>
          <w:rFonts w:cs="Arial" w:ascii="Arial" w:hAnsi="Arial"/>
          <w:b/>
          <w:bCs/>
          <w:i/>
          <w:iCs/>
          <w:sz w:val="20"/>
          <w:szCs w:val="20"/>
          <w:lang w:val="es-ES"/>
        </w:rPr>
        <w:t xml:space="preserve">Se acordó: </w:t>
      </w:r>
      <w:r>
        <w:rPr>
          <w:rFonts w:cs="Arial" w:ascii="Arial" w:hAnsi="Arial"/>
          <w:i/>
          <w:iCs/>
          <w:sz w:val="20"/>
          <w:szCs w:val="20"/>
          <w:lang w:val="es-ES"/>
        </w:rPr>
        <w:t xml:space="preserve">Tener por rendido el informe del </w:t>
      </w:r>
      <w:r>
        <w:rPr>
          <w:rFonts w:cs="Arial" w:ascii="Arial" w:hAnsi="Arial"/>
          <w:i/>
          <w:iCs/>
          <w:sz w:val="20"/>
          <w:szCs w:val="20"/>
        </w:rPr>
        <w:t>doctor Carlos Araya Leandro, Rector interino de la Universidad de Costa Rica,</w:t>
      </w:r>
      <w:r>
        <w:rPr>
          <w:rFonts w:cs="Arial" w:ascii="Arial" w:hAnsi="Arial"/>
          <w:b/>
          <w:bCs/>
          <w:i/>
          <w:iCs/>
          <w:sz w:val="20"/>
          <w:szCs w:val="20"/>
        </w:rPr>
        <w:t xml:space="preserve"> </w:t>
      </w:r>
      <w:r>
        <w:rPr>
          <w:rFonts w:cs="Arial" w:ascii="Arial" w:hAnsi="Arial"/>
          <w:i/>
          <w:iCs/>
          <w:sz w:val="20"/>
          <w:szCs w:val="20"/>
          <w:lang w:val="es-ES"/>
        </w:rPr>
        <w:t>y hacerlo de conocimiento de la</w:t>
      </w:r>
      <w:r>
        <w:rPr>
          <w:rFonts w:cs="Arial" w:ascii="Arial" w:hAnsi="Arial"/>
          <w:b/>
          <w:bCs/>
          <w:i/>
          <w:iCs/>
          <w:sz w:val="20"/>
          <w:szCs w:val="20"/>
          <w:lang w:val="es-ES"/>
        </w:rPr>
        <w:t xml:space="preserve"> </w:t>
      </w:r>
      <w:r>
        <w:rPr>
          <w:rFonts w:cs="Arial" w:ascii="Arial" w:hAnsi="Arial"/>
          <w:i/>
          <w:iCs/>
          <w:sz w:val="20"/>
          <w:szCs w:val="20"/>
        </w:rPr>
        <w:t>Subcomisión de Acceso a la Justicia de Pueblos Indígenas, para que informe lo que corresponda.</w:t>
      </w:r>
      <w:r>
        <w:rPr>
          <w:rFonts w:cs="Arial" w:ascii="Arial" w:hAnsi="Arial"/>
          <w:i/>
          <w:iCs/>
          <w:sz w:val="20"/>
          <w:szCs w:val="20"/>
          <w:lang w:val="es-ES"/>
        </w:rPr>
        <w:t>”</w:t>
      </w:r>
    </w:p>
    <w:p>
      <w:pPr>
        <w:pStyle w:val="Xmsonormal"/>
        <w:ind w:left="2267" w:right="851" w:hanging="0"/>
        <w:jc w:val="both"/>
        <w:rPr>
          <w:rFonts w:ascii="Arial" w:hAnsi="Arial" w:cs="Arial"/>
          <w:i/>
          <w:i/>
          <w:iCs/>
          <w:sz w:val="20"/>
          <w:szCs w:val="20"/>
        </w:rPr>
      </w:pPr>
      <w:r>
        <w:rPr>
          <w:rFonts w:cs="Arial" w:ascii="Arial" w:hAnsi="Arial"/>
          <w:i/>
          <w:iCs/>
          <w:sz w:val="20"/>
          <w:szCs w:val="20"/>
          <w:lang w:val="es-ES"/>
        </w:rPr>
        <w:t> </w:t>
      </w:r>
    </w:p>
    <w:p>
      <w:pPr>
        <w:pStyle w:val="Xmsonormal"/>
        <w:jc w:val="both"/>
        <w:rPr>
          <w:rFonts w:ascii="Arial" w:hAnsi="Arial" w:cs="Arial"/>
          <w:i/>
          <w:i/>
          <w:iCs/>
          <w:sz w:val="20"/>
          <w:szCs w:val="20"/>
        </w:rPr>
      </w:pPr>
      <w:r>
        <w:rPr>
          <w:rFonts w:cs="Arial" w:ascii="Arial" w:hAnsi="Arial"/>
          <w:b/>
          <w:bCs/>
          <w:i/>
          <w:iCs/>
          <w:sz w:val="20"/>
          <w:szCs w:val="20"/>
          <w:lang w:val="es-ES"/>
        </w:rPr>
        <w:t xml:space="preserve">Atentamente, </w:t>
      </w:r>
    </w:p>
    <w:p>
      <w:pPr>
        <w:pStyle w:val="Xmsonormal"/>
        <w:ind w:left="1416" w:hanging="0"/>
        <w:jc w:val="both"/>
        <w:rPr>
          <w:rFonts w:ascii="Arial" w:hAnsi="Arial" w:cs="Arial"/>
          <w:i/>
          <w:i/>
          <w:iCs/>
          <w:sz w:val="20"/>
          <w:szCs w:val="20"/>
        </w:rPr>
      </w:pPr>
      <w:r>
        <w:rPr>
          <w:rFonts w:cs="Arial" w:ascii="Arial" w:hAnsi="Arial"/>
          <w:b/>
          <w:bCs/>
          <w:i/>
          <w:iCs/>
          <w:sz w:val="20"/>
          <w:szCs w:val="20"/>
          <w:lang w:val="es-ES"/>
        </w:rPr>
        <w:t> </w:t>
      </w:r>
    </w:p>
    <w:p>
      <w:pPr>
        <w:pStyle w:val="Xmsonormal"/>
        <w:snapToGrid w:val="false"/>
        <w:ind w:left="4955" w:firstLine="709"/>
        <w:rPr>
          <w:rFonts w:ascii="Arial" w:hAnsi="Arial" w:cs="Arial"/>
          <w:i/>
          <w:i/>
          <w:iCs/>
          <w:sz w:val="20"/>
          <w:szCs w:val="20"/>
        </w:rPr>
      </w:pPr>
      <w:r>
        <w:rPr>
          <w:rFonts w:cs="Arial" w:ascii="Arial" w:hAnsi="Arial"/>
          <w:b/>
          <w:bCs/>
          <w:i/>
          <w:iCs/>
          <w:sz w:val="20"/>
          <w:szCs w:val="20"/>
          <w:lang w:val="es-ES"/>
        </w:rPr>
        <w:t>Kenneth Aguilar Hernández</w:t>
      </w:r>
    </w:p>
    <w:p>
      <w:pPr>
        <w:pStyle w:val="Xmsonormal"/>
        <w:snapToGrid w:val="false"/>
        <w:ind w:left="5664" w:hanging="0"/>
        <w:rPr>
          <w:rFonts w:ascii="Arial" w:hAnsi="Arial" w:cs="Arial"/>
          <w:i/>
          <w:i/>
          <w:iCs/>
          <w:sz w:val="20"/>
          <w:szCs w:val="20"/>
        </w:rPr>
      </w:pPr>
      <w:r>
        <w:rPr>
          <w:rFonts w:cs="Arial" w:ascii="Arial" w:hAnsi="Arial"/>
          <w:b/>
          <w:bCs/>
          <w:i/>
          <w:iCs/>
          <w:sz w:val="20"/>
          <w:szCs w:val="20"/>
          <w:lang w:val="es-ES"/>
        </w:rPr>
        <w:t>Prosecretario General interino</w:t>
      </w:r>
    </w:p>
    <w:p>
      <w:pPr>
        <w:pStyle w:val="Normal"/>
        <w:jc w:val="both"/>
        <w:rPr>
          <w:rFonts w:ascii="Arial" w:hAnsi="Arial" w:cs="Arial"/>
          <w:b/>
          <w:b/>
          <w:sz w:val="20"/>
          <w:szCs w:val="20"/>
          <w:u w:val="single"/>
        </w:rPr>
      </w:pPr>
      <w:r>
        <w:rPr>
          <w:rFonts w:cs="Arial" w:ascii="Arial" w:hAnsi="Arial"/>
          <w:b/>
          <w:sz w:val="20"/>
          <w:szCs w:val="20"/>
          <w:u w:val="single"/>
        </w:rPr>
      </w:r>
    </w:p>
    <w:p>
      <w:pPr>
        <w:pStyle w:val="Normal"/>
        <w:jc w:val="both"/>
        <w:rPr>
          <w:rFonts w:ascii="Arial" w:hAnsi="Arial" w:eastAsia="Times New Roman" w:cs="Arial"/>
          <w:i/>
          <w:i/>
          <w:iCs/>
          <w:sz w:val="20"/>
          <w:szCs w:val="20"/>
        </w:rPr>
      </w:pPr>
      <w:r>
        <w:rPr>
          <w:rFonts w:cs="Arial" w:ascii="Arial" w:hAnsi="Arial"/>
          <w:bCs/>
          <w:sz w:val="20"/>
          <w:szCs w:val="20"/>
        </w:rPr>
        <w:tab/>
        <w:t>En comunicado electrónico del 24 de agosto el integrante Jean Carlo Monge, señaló:</w:t>
      </w:r>
      <w:r>
        <w:rPr>
          <w:rFonts w:cs="Arial" w:ascii="Arial" w:hAnsi="Arial"/>
          <w:bCs/>
          <w:i/>
          <w:iCs/>
          <w:sz w:val="20"/>
          <w:szCs w:val="20"/>
        </w:rPr>
        <w:t xml:space="preserve"> “</w:t>
      </w:r>
      <w:r>
        <w:rPr>
          <w:rFonts w:eastAsia="Times New Roman" w:cs="Arial" w:ascii="Arial" w:hAnsi="Arial"/>
          <w:i/>
          <w:iCs/>
          <w:sz w:val="20"/>
          <w:szCs w:val="20"/>
        </w:rPr>
        <w:t>En relación a la respuesta dada por la Universidad de Costa Rica, considero que la misma es acorde a la redacción de la Ley. En tal sentido, estimó que la obligación legal de dicha casa de estudios radica en proveer una lista de personas expertas, capaces de elaborar los dictámenes antropológicos. Bajo ese panorama y tomando en consideración la experiencia que he tenido cuando he solicitado ese tipo de pericias, creo que lo más conveniente es aprovechar el ofrecimiento que la Universidad hace en el oficio, para empezar a trabajar en un convenio que permita la asistencia mutua. Al menos hace año y medio, que fue la última ocasión en que en el Juzgado Penal de Coto Brus pidió un dictamen, la escogencia de la persona encargada no fue sencilla, principalmente porque el pago que ofrecía la Dirección Ejecutiva era bajo en relación al tipo de trabajo que se debía efectuar y porque a veces no queda claro que tipo de información se quiere recopilar. De tenerse un convenio, el costo podría ser un poco menor para el Poder Judicial y además, se contaría con un grupo de personas expertas asociadas al convenio, que colaboren con sus conocimientos y guía.”</w:t>
      </w:r>
    </w:p>
    <w:p>
      <w:pPr>
        <w:pStyle w:val="Normal"/>
        <w:jc w:val="both"/>
        <w:rPr>
          <w:rFonts w:ascii="Arial" w:hAnsi="Arial" w:cs="Arial"/>
          <w:bCs/>
          <w:i/>
          <w:i/>
          <w:sz w:val="20"/>
          <w:szCs w:val="20"/>
        </w:rPr>
      </w:pPr>
      <w:r>
        <w:rPr>
          <w:rFonts w:cs="Arial" w:ascii="Arial" w:hAnsi="Arial"/>
          <w:b/>
          <w:sz w:val="20"/>
          <w:szCs w:val="20"/>
        </w:rPr>
        <w:t>SE ACUERDA</w:t>
      </w:r>
      <w:r>
        <w:rPr>
          <w:rFonts w:cs="Arial" w:ascii="Arial" w:hAnsi="Arial"/>
          <w:bCs/>
          <w:sz w:val="20"/>
          <w:szCs w:val="20"/>
        </w:rPr>
        <w:t xml:space="preserve">: 1° Se toma nota del oficio y de las manifestaciones de la jueza Damaris Vargas Vásquez sobre los avances de la construcción del convenio interinstitucional entre el Poder Judicial y la UCR representada esta última por el Dr. Marcos Guevara Berger. 2° </w:t>
      </w:r>
      <w:r>
        <w:rPr>
          <w:rFonts w:cs="Arial" w:ascii="Arial" w:hAnsi="Arial"/>
          <w:i/>
          <w:iCs/>
          <w:sz w:val="20"/>
          <w:szCs w:val="20"/>
        </w:rPr>
        <w:t>Se declara firme este acuerdo por unanimidad para su ejecución. Comuníquese al Dr. Guevara Berger por medio de la Unidad de Acceso a la Justicia.-</w:t>
      </w:r>
    </w:p>
    <w:p>
      <w:pPr>
        <w:pStyle w:val="Normal"/>
        <w:jc w:val="both"/>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IV</w:t>
      </w:r>
    </w:p>
    <w:p>
      <w:pPr>
        <w:pStyle w:val="Normal"/>
        <w:jc w:val="both"/>
        <w:rPr>
          <w:rFonts w:ascii="Arial" w:hAnsi="Arial" w:cs="Arial"/>
          <w:sz w:val="20"/>
          <w:szCs w:val="20"/>
        </w:rPr>
      </w:pPr>
      <w:r>
        <w:rPr>
          <w:rFonts w:cs="Arial" w:ascii="Arial" w:hAnsi="Arial"/>
          <w:sz w:val="20"/>
          <w:szCs w:val="20"/>
        </w:rPr>
        <w:t>Se conoce gestión realizada por el defensor público indígena Jesús Chaves Mora el 18 de julio pasado a la integrante de esta Subcomisión, defensora pública Ligia Jiménez Zamora, en el que señala:</w:t>
      </w:r>
    </w:p>
    <w:p>
      <w:pPr>
        <w:pStyle w:val="NormalWeb"/>
        <w:spacing w:before="280" w:after="280"/>
        <w:ind w:left="708" w:hanging="0"/>
        <w:jc w:val="both"/>
        <w:rPr>
          <w:rFonts w:ascii="Arial" w:hAnsi="Arial" w:cs="Arial"/>
          <w:i/>
          <w:i/>
          <w:sz w:val="20"/>
          <w:szCs w:val="20"/>
        </w:rPr>
      </w:pPr>
      <w:r>
        <w:rPr>
          <w:rFonts w:cs="Arial" w:ascii="Arial" w:hAnsi="Arial"/>
          <w:i/>
          <w:sz w:val="20"/>
          <w:szCs w:val="20"/>
        </w:rPr>
        <w:t>“</w:t>
      </w:r>
      <w:r>
        <w:rPr>
          <w:rFonts w:cs="Arial" w:ascii="Arial" w:hAnsi="Arial"/>
          <w:i/>
          <w:sz w:val="20"/>
          <w:szCs w:val="20"/>
        </w:rPr>
        <w:t>Estimada Licda. Jiménez Zamora. Sirva la presente para saludarle y por indicación del Lic. Mario Alberto Rosales Vargas, Coordinador a.i. de la Unidad Agraria de la Defensa Pública, hago de su conocimiento la presente situación.</w:t>
      </w:r>
    </w:p>
    <w:p>
      <w:pPr>
        <w:pStyle w:val="NormalWeb"/>
        <w:spacing w:before="280" w:after="280"/>
        <w:ind w:left="708" w:hanging="0"/>
        <w:jc w:val="both"/>
        <w:rPr>
          <w:rFonts w:ascii="Arial" w:hAnsi="Arial" w:cs="Arial"/>
          <w:i/>
          <w:i/>
          <w:sz w:val="20"/>
          <w:szCs w:val="20"/>
        </w:rPr>
      </w:pPr>
      <w:r>
        <w:rPr>
          <w:rFonts w:cs="Arial" w:ascii="Arial" w:hAnsi="Arial"/>
          <w:i/>
          <w:sz w:val="20"/>
          <w:szCs w:val="20"/>
        </w:rPr>
        <w:t xml:space="preserve">El día martes 16 de julio del presente año, me trasladé al Territorio Indígena de Salitre para participar en la audiencia señalada en el expediente 02-160032-0188-AG, del Juzgado Agrario de Buenos Aires; luego de dicho diligencia y en una pequeña reunión con el señor Francisco Salomón Ortiz Ortiz, quién funge como Presidente de la Asociación de Desarrollo Integral de Salitre, me indicó que el día lunes 15 de julio del año 2019, fue notificado del proceso judicial n° 19-003981-1027-CA, del Tribunal Contencioso Administrativo del Segundo Circuito Judicial de San José. </w:t>
      </w:r>
    </w:p>
    <w:p>
      <w:pPr>
        <w:pStyle w:val="NormalWeb"/>
        <w:spacing w:before="280" w:after="280"/>
        <w:ind w:left="708" w:hanging="0"/>
        <w:jc w:val="both"/>
        <w:rPr>
          <w:rFonts w:ascii="Arial" w:hAnsi="Arial" w:cs="Arial"/>
          <w:i/>
          <w:i/>
          <w:sz w:val="20"/>
          <w:szCs w:val="20"/>
        </w:rPr>
      </w:pPr>
      <w:r>
        <w:rPr>
          <w:rFonts w:cs="Arial" w:ascii="Arial" w:hAnsi="Arial"/>
          <w:i/>
          <w:sz w:val="20"/>
          <w:szCs w:val="20"/>
        </w:rPr>
        <w:t xml:space="preserve">De conformidad con el Ordinal n° 7 de la Ley de Acceso a la Justicia de los pueblos indígenas en Costa Rica, normativa n° 9593, se debía solicitar la defensa de dicho proceso al Tribunal Contencioso Administrativo, ya que es la administración de justicia la encargada de proveer la asistencia de una persona defensora pública especializada en derecho indígena y en la materia de competencia de forma gratuita; por tal motivo, con los pocos recursos tecnológicos que tiene la ADI, se hizo una carta, donde se solicitó por parte del Presidente de la asociación que se nombrara una persona defensora pública, dicha carta se consignó la firma y sello de la ADI, se tomo una foto y se envió al correo institucional </w:t>
      </w:r>
      <w:hyperlink r:id="rId7">
        <w:r>
          <w:rPr>
            <w:rStyle w:val="EnlacedeInternet"/>
            <w:rFonts w:cs="Arial" w:ascii="Arial" w:hAnsi="Arial"/>
            <w:i/>
            <w:color w:val="auto"/>
            <w:sz w:val="20"/>
            <w:szCs w:val="20"/>
          </w:rPr>
          <w:t>tproca-sgdoc@poder-judicial.go.cr</w:t>
        </w:r>
      </w:hyperlink>
      <w:r>
        <w:rPr>
          <w:rFonts w:cs="Arial" w:ascii="Arial" w:hAnsi="Arial"/>
          <w:i/>
          <w:sz w:val="20"/>
          <w:szCs w:val="20"/>
        </w:rPr>
        <w:t>, del Tribunal Contencioso Administrativo - II Circuito Judicial de San José. Cabe señalar, que en los territorios indígenas, todos muy bien conocidos por su persona, cuentan con poca tecnología, en muchos casos, ni con cobertura celular; no siendo la excepción el Territorio Indígena de Salitre.   </w:t>
      </w:r>
    </w:p>
    <w:p>
      <w:pPr>
        <w:pStyle w:val="NormalWeb"/>
        <w:spacing w:before="280" w:after="280"/>
        <w:ind w:left="708" w:hanging="0"/>
        <w:jc w:val="both"/>
        <w:rPr>
          <w:rFonts w:ascii="Arial" w:hAnsi="Arial" w:cs="Arial"/>
          <w:i/>
          <w:i/>
          <w:sz w:val="20"/>
          <w:szCs w:val="20"/>
        </w:rPr>
      </w:pPr>
      <w:r>
        <w:rPr>
          <w:rFonts w:cs="Arial" w:ascii="Arial" w:hAnsi="Arial"/>
          <w:i/>
          <w:sz w:val="20"/>
          <w:szCs w:val="20"/>
        </w:rPr>
        <w:t>Por parte del Tribunal Contencioso Administrativo, a la solicitud de persona defensora pública, enviada por correo electrónico, se contestó: "</w:t>
      </w:r>
      <w:r>
        <w:rPr>
          <w:rStyle w:val="Destacado"/>
          <w:rFonts w:cs="Arial" w:ascii="Arial" w:hAnsi="Arial"/>
          <w:sz w:val="20"/>
          <w:szCs w:val="20"/>
        </w:rPr>
        <w:t xml:space="preserve"> Señor(a) usuario de conformidad con el Reglamento sobre Expediente Judicial Electrónico, en su Capítulo III, Artículo 15 se indica que para despachos que laboren bajo el modelo electrónico, el envío de documentos (escritos, demandas nuevas o cualquier otra documentación) deberá ser realizado de forma electrónica mediante el Sistema de Gestión en Línea, provisto por el Poder Judicial, el cual se encuentra ubicado en el sitio Web oficial de la Institución </w:t>
      </w:r>
      <w:hyperlink r:id="rId8">
        <w:r>
          <w:rPr>
            <w:rStyle w:val="Destacado"/>
            <w:rFonts w:cs="Arial" w:ascii="Arial" w:hAnsi="Arial"/>
            <w:sz w:val="20"/>
            <w:szCs w:val="20"/>
            <w:u w:val="single"/>
          </w:rPr>
          <w:t>www.poder-judicial.go.cr</w:t>
        </w:r>
      </w:hyperlink>
      <w:r>
        <w:rPr>
          <w:rStyle w:val="Destacado"/>
          <w:rFonts w:cs="Arial" w:ascii="Arial" w:hAnsi="Arial"/>
          <w:sz w:val="20"/>
          <w:szCs w:val="20"/>
        </w:rPr>
        <w:t>. Y en su Artículo 16 se menciona que la cuenta de correo es válida únicamente para despachos que no cuenten con el sistema antes indicado en el artículo 15, el cual no es nuestro caso. (Se adjunta Circular 104-13).  </w:t>
      </w:r>
    </w:p>
    <w:p>
      <w:pPr>
        <w:pStyle w:val="Xmsoplaintext"/>
        <w:ind w:left="708" w:hanging="0"/>
        <w:jc w:val="both"/>
        <w:rPr>
          <w:rFonts w:ascii="Arial" w:hAnsi="Arial" w:cs="Arial"/>
          <w:i/>
          <w:i/>
          <w:sz w:val="20"/>
          <w:szCs w:val="20"/>
        </w:rPr>
      </w:pPr>
      <w:r>
        <w:rPr>
          <w:rStyle w:val="Destacado"/>
          <w:rFonts w:cs="Arial" w:ascii="Arial" w:hAnsi="Arial"/>
          <w:sz w:val="20"/>
          <w:szCs w:val="20"/>
        </w:rPr>
        <w:t xml:space="preserve">Por lo anterior, se le hace saber que deberá utilizar los medios permitidos para la presentación de los documentos respectivos, ya que el correo electrónico no es un medio válido para ello.(Fax 2241-5664 ó 2545-0006)". </w:t>
      </w:r>
    </w:p>
    <w:p>
      <w:pPr>
        <w:pStyle w:val="Xmsoplaintext"/>
        <w:ind w:left="708" w:hanging="0"/>
        <w:jc w:val="both"/>
        <w:rPr>
          <w:rFonts w:ascii="Arial" w:hAnsi="Arial" w:cs="Arial"/>
          <w:i/>
          <w:i/>
          <w:sz w:val="20"/>
          <w:szCs w:val="20"/>
        </w:rPr>
      </w:pPr>
      <w:r>
        <w:rPr>
          <w:rFonts w:cs="Arial" w:ascii="Arial" w:hAnsi="Arial"/>
          <w:i/>
          <w:sz w:val="20"/>
          <w:szCs w:val="20"/>
        </w:rPr>
        <w:t xml:space="preserve">El suscrito, para no provocar más violaciones d derecho a la ADI, me encargué de pasar a los Tribunales de Justicia de Pérez Zeledón a enviar dicha carta de solicitud de defensor público por fax, pero hago de su conocimiento lo sucedido para que me diga como se debe proceder con estos medios; ya que en los territorios indígenas, y propiamente en Salitre, no se cuenta con la tecnología para enviar documentos por fax, ya que no cuentan con este medio; ni equipo para escanear documentos para subirlos al Sistema de Gestión en Línea; incluso en otros territorios no hay ni internet para enviar un correo electrónico. </w:t>
      </w:r>
    </w:p>
    <w:p>
      <w:pPr>
        <w:pStyle w:val="Xmsoplaintext"/>
        <w:ind w:left="708" w:hanging="0"/>
        <w:jc w:val="both"/>
        <w:rPr>
          <w:rFonts w:ascii="Arial" w:hAnsi="Arial" w:cs="Arial"/>
          <w:i/>
          <w:i/>
          <w:sz w:val="20"/>
          <w:szCs w:val="20"/>
        </w:rPr>
      </w:pPr>
      <w:r>
        <w:rPr>
          <w:rFonts w:cs="Arial" w:ascii="Arial" w:hAnsi="Arial"/>
          <w:i/>
          <w:sz w:val="20"/>
          <w:szCs w:val="20"/>
        </w:rPr>
      </w:r>
    </w:p>
    <w:p>
      <w:pPr>
        <w:pStyle w:val="Xmsoplaintext"/>
        <w:ind w:left="708" w:hanging="0"/>
        <w:jc w:val="both"/>
        <w:rPr>
          <w:rFonts w:ascii="Arial" w:hAnsi="Arial" w:cs="Arial"/>
          <w:i/>
          <w:i/>
          <w:sz w:val="20"/>
          <w:szCs w:val="20"/>
        </w:rPr>
      </w:pPr>
      <w:r>
        <w:rPr>
          <w:rFonts w:cs="Arial" w:ascii="Arial" w:hAnsi="Arial"/>
          <w:i/>
          <w:sz w:val="20"/>
          <w:szCs w:val="20"/>
        </w:rPr>
        <w:t>Considero que el Tribunal Contencioso Administrativa, al no permitirle la solicitud por correo electrónico y obligarle a utilizarle otro medios, se le está negando el acceso a la justicia; por lo que hago de su conocimiento para ver que vías podemos tomar.”</w:t>
      </w:r>
    </w:p>
    <w:p>
      <w:pPr>
        <w:pStyle w:val="Xmsoplaintext"/>
        <w:jc w:val="both"/>
        <w:rPr>
          <w:rFonts w:ascii="Arial" w:hAnsi="Arial" w:cs="Arial"/>
          <w:sz w:val="20"/>
          <w:szCs w:val="20"/>
        </w:rPr>
      </w:pPr>
      <w:r>
        <w:rPr>
          <w:rFonts w:cs="Arial" w:ascii="Arial" w:hAnsi="Arial"/>
          <w:sz w:val="20"/>
          <w:szCs w:val="20"/>
        </w:rPr>
      </w:r>
    </w:p>
    <w:p>
      <w:pPr>
        <w:pStyle w:val="Xmsoplaintext"/>
        <w:jc w:val="both"/>
        <w:rPr>
          <w:rFonts w:ascii="Arial" w:hAnsi="Arial" w:cs="Arial"/>
          <w:i/>
          <w:i/>
          <w:iCs/>
          <w:sz w:val="20"/>
          <w:szCs w:val="20"/>
        </w:rPr>
      </w:pPr>
      <w:r>
        <w:rPr>
          <w:rFonts w:cs="Arial" w:ascii="Arial" w:hAnsi="Arial"/>
          <w:sz w:val="20"/>
          <w:szCs w:val="20"/>
        </w:rPr>
        <w:t>La secuencia de correos es la siguiente:</w:t>
      </w:r>
    </w:p>
    <w:p>
      <w:pPr>
        <w:pStyle w:val="Normal"/>
        <w:jc w:val="both"/>
        <w:rPr>
          <w:rFonts w:ascii="Arial" w:hAnsi="Arial" w:eastAsia="Times New Roman" w:cs="Arial"/>
          <w:i/>
          <w:i/>
          <w:iCs/>
          <w:sz w:val="20"/>
          <w:szCs w:val="20"/>
        </w:rPr>
      </w:pPr>
      <w:r>
        <w:rPr/>
        <mc:AlternateContent>
          <mc:Choice Requires="wps">
            <w:drawing>
              <wp:inline distT="0" distB="0" distL="0" distR="0">
                <wp:extent cx="5500370" cy="19685"/>
                <wp:effectExtent l="0" t="0" r="0" b="0"/>
                <wp:docPr id="1" name=""/>
                <a:graphic xmlns:a="http://schemas.openxmlformats.org/drawingml/2006/main">
                  <a:graphicData uri="http://schemas.microsoft.com/office/word/2010/wordprocessingShape">
                    <wps:wsp>
                      <wps:cNvSpPr/>
                      <wps:nvSpPr>
                        <wps:cNvPr id="0" name="Rectangle 1"/>
                        <wps:cNvSpPr/>
                      </wps:nvSpPr>
                      <wps:spPr>
                        <a:xfrm>
                          <a:off x="0" y="0"/>
                          <a:ext cx="5499720" cy="1908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55pt;width:433pt;height:1.4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jc w:val="both"/>
        <w:outlineLvl w:val="0"/>
        <w:rPr>
          <w:rFonts w:ascii="Arial" w:hAnsi="Arial" w:eastAsia="Times New Roman" w:cs="Arial"/>
          <w:i/>
          <w:i/>
          <w:iCs/>
          <w:sz w:val="20"/>
          <w:szCs w:val="20"/>
        </w:rPr>
      </w:pPr>
      <w:r>
        <w:rPr>
          <w:rFonts w:eastAsia="Times New Roman" w:cs="Arial" w:ascii="Arial" w:hAnsi="Arial"/>
          <w:b/>
          <w:bCs/>
          <w:i/>
          <w:iCs/>
          <w:sz w:val="20"/>
          <w:szCs w:val="20"/>
        </w:rPr>
        <w:t>De:</w:t>
      </w:r>
      <w:r>
        <w:rPr>
          <w:rFonts w:eastAsia="Times New Roman" w:cs="Arial" w:ascii="Arial" w:hAnsi="Arial"/>
          <w:i/>
          <w:iCs/>
          <w:sz w:val="20"/>
          <w:szCs w:val="20"/>
        </w:rPr>
        <w:t xml:space="preserve"> francisco ortiz ortiz &lt;</w:t>
      </w:r>
      <w:hyperlink r:id="rId9">
        <w:r>
          <w:rPr>
            <w:rStyle w:val="EnlacedeInternet"/>
            <w:rFonts w:cs="Arial" w:ascii="Arial" w:hAnsi="Arial"/>
            <w:i/>
            <w:iCs/>
            <w:color w:val="auto"/>
            <w:sz w:val="20"/>
            <w:szCs w:val="20"/>
          </w:rPr>
          <w:t>fr.ortiz@hotmail.com</w:t>
        </w:r>
      </w:hyperlink>
      <w:r>
        <w:rPr>
          <w:rFonts w:eastAsia="Times New Roman" w:cs="Arial" w:ascii="Arial" w:hAnsi="Arial"/>
          <w:i/>
          <w:iCs/>
          <w:sz w:val="20"/>
          <w:szCs w:val="20"/>
        </w:rPr>
        <w:t>&gt;</w:t>
        <w:br/>
      </w:r>
      <w:r>
        <w:rPr>
          <w:rFonts w:eastAsia="Times New Roman" w:cs="Arial" w:ascii="Arial" w:hAnsi="Arial"/>
          <w:b/>
          <w:bCs/>
          <w:i/>
          <w:iCs/>
          <w:sz w:val="20"/>
          <w:szCs w:val="20"/>
        </w:rPr>
        <w:t>Enviado:</w:t>
      </w:r>
      <w:r>
        <w:rPr>
          <w:rFonts w:eastAsia="Times New Roman" w:cs="Arial" w:ascii="Arial" w:hAnsi="Arial"/>
          <w:i/>
          <w:iCs/>
          <w:sz w:val="20"/>
          <w:szCs w:val="20"/>
        </w:rPr>
        <w:t xml:space="preserve"> martes, 16 de julio de 2019 14:50</w:t>
        <w:br/>
      </w:r>
      <w:r>
        <w:rPr>
          <w:rFonts w:eastAsia="Times New Roman" w:cs="Arial" w:ascii="Arial" w:hAnsi="Arial"/>
          <w:b/>
          <w:bCs/>
          <w:i/>
          <w:iCs/>
          <w:sz w:val="20"/>
          <w:szCs w:val="20"/>
        </w:rPr>
        <w:t>Para:</w:t>
      </w:r>
      <w:r>
        <w:rPr>
          <w:rFonts w:eastAsia="Times New Roman" w:cs="Arial" w:ascii="Arial" w:hAnsi="Arial"/>
          <w:i/>
          <w:iCs/>
          <w:sz w:val="20"/>
          <w:szCs w:val="20"/>
        </w:rPr>
        <w:t xml:space="preserve"> Jesus Chaves Mora &lt;</w:t>
      </w:r>
      <w:hyperlink r:id="rId10">
        <w:r>
          <w:rPr>
            <w:rStyle w:val="EnlacedeInternet"/>
            <w:rFonts w:cs="Arial" w:ascii="Arial" w:hAnsi="Arial"/>
            <w:i/>
            <w:iCs/>
            <w:color w:val="auto"/>
            <w:sz w:val="20"/>
            <w:szCs w:val="20"/>
          </w:rPr>
          <w:t>jechaves@Poder-Judicial.go.cr</w:t>
        </w:r>
      </w:hyperlink>
      <w:r>
        <w:rPr>
          <w:rFonts w:eastAsia="Times New Roman" w:cs="Arial" w:ascii="Arial" w:hAnsi="Arial"/>
          <w:i/>
          <w:iCs/>
          <w:sz w:val="20"/>
          <w:szCs w:val="20"/>
        </w:rPr>
        <w:t>&gt;</w:t>
        <w:br/>
      </w:r>
      <w:r>
        <w:rPr>
          <w:rFonts w:eastAsia="Times New Roman" w:cs="Arial" w:ascii="Arial" w:hAnsi="Arial"/>
          <w:b/>
          <w:bCs/>
          <w:i/>
          <w:iCs/>
          <w:sz w:val="20"/>
          <w:szCs w:val="20"/>
        </w:rPr>
        <w:t>Asunto:</w:t>
      </w:r>
      <w:r>
        <w:rPr>
          <w:rFonts w:eastAsia="Times New Roman" w:cs="Arial" w:ascii="Arial" w:hAnsi="Arial"/>
          <w:i/>
          <w:iCs/>
          <w:sz w:val="20"/>
          <w:szCs w:val="20"/>
        </w:rPr>
        <w:t xml:space="preserve"> RV: Solicitud defensor público. Exp: 19-003938-1027-CA </w:t>
      </w:r>
    </w:p>
    <w:p>
      <w:pPr>
        <w:pStyle w:val="Normal"/>
        <w:jc w:val="both"/>
        <w:rPr>
          <w:rFonts w:ascii="Arial" w:hAnsi="Arial" w:eastAsia="Times New Roman" w:cs="Arial"/>
          <w:i/>
          <w:i/>
          <w:iCs/>
          <w:sz w:val="20"/>
          <w:szCs w:val="20"/>
        </w:rPr>
      </w:pPr>
      <w:r>
        <w:rPr>
          <w:rFonts w:eastAsia="Times New Roman" w:cs="Arial" w:ascii="Arial" w:hAnsi="Arial"/>
          <w:i/>
          <w:iCs/>
          <w:sz w:val="20"/>
          <w:szCs w:val="20"/>
        </w:rPr>
        <w:t> </w:t>
      </w:r>
      <w:r>
        <w:rPr/>
        <mc:AlternateContent>
          <mc:Choice Requires="wps">
            <w:drawing>
              <wp:inline distT="0" distB="0" distL="0" distR="0">
                <wp:extent cx="5500370" cy="19685"/>
                <wp:effectExtent l="0" t="0" r="0" b="0"/>
                <wp:docPr id="2" name=""/>
                <a:graphic xmlns:a="http://schemas.openxmlformats.org/drawingml/2006/main">
                  <a:graphicData uri="http://schemas.microsoft.com/office/word/2010/wordprocessingShape">
                    <wps:wsp>
                      <wps:cNvSpPr/>
                      <wps:nvSpPr>
                        <wps:cNvPr id="1" name="Rectangle 1"/>
                        <wps:cNvSpPr/>
                      </wps:nvSpPr>
                      <wps:spPr>
                        <a:xfrm>
                          <a:off x="0" y="0"/>
                          <a:ext cx="5499720" cy="1908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55pt;width:433pt;height:1.4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jc w:val="both"/>
        <w:outlineLvl w:val="0"/>
        <w:rPr>
          <w:rFonts w:ascii="Arial" w:hAnsi="Arial" w:eastAsia="Times New Roman" w:cs="Arial"/>
          <w:i/>
          <w:i/>
          <w:iCs/>
          <w:sz w:val="20"/>
          <w:szCs w:val="20"/>
        </w:rPr>
      </w:pPr>
      <w:r>
        <w:rPr>
          <w:rFonts w:eastAsia="Times New Roman" w:cs="Arial" w:ascii="Arial" w:hAnsi="Arial"/>
          <w:b/>
          <w:bCs/>
          <w:i/>
          <w:iCs/>
          <w:sz w:val="20"/>
          <w:szCs w:val="20"/>
        </w:rPr>
        <w:t>De:</w:t>
      </w:r>
      <w:r>
        <w:rPr>
          <w:rFonts w:eastAsia="Times New Roman" w:cs="Arial" w:ascii="Arial" w:hAnsi="Arial"/>
          <w:i/>
          <w:iCs/>
          <w:sz w:val="20"/>
          <w:szCs w:val="20"/>
        </w:rPr>
        <w:t xml:space="preserve"> Tribunal Contencioso Administrativo - II Circuito Judicial de San José &lt;</w:t>
      </w:r>
      <w:hyperlink r:id="rId11">
        <w:r>
          <w:rPr>
            <w:rStyle w:val="EnlacedeInternet"/>
            <w:rFonts w:cs="Arial" w:ascii="Arial" w:hAnsi="Arial"/>
            <w:i/>
            <w:iCs/>
            <w:color w:val="auto"/>
            <w:sz w:val="20"/>
            <w:szCs w:val="20"/>
          </w:rPr>
          <w:t>tproca-sgdoc@poder-judicial.go.cr</w:t>
        </w:r>
      </w:hyperlink>
      <w:r>
        <w:rPr>
          <w:rFonts w:eastAsia="Times New Roman" w:cs="Arial" w:ascii="Arial" w:hAnsi="Arial"/>
          <w:i/>
          <w:iCs/>
          <w:sz w:val="20"/>
          <w:szCs w:val="20"/>
        </w:rPr>
        <w:t>&gt;</w:t>
        <w:br/>
      </w:r>
      <w:r>
        <w:rPr>
          <w:rFonts w:eastAsia="Times New Roman" w:cs="Arial" w:ascii="Arial" w:hAnsi="Arial"/>
          <w:b/>
          <w:bCs/>
          <w:i/>
          <w:iCs/>
          <w:sz w:val="20"/>
          <w:szCs w:val="20"/>
        </w:rPr>
        <w:t>Enviado:</w:t>
      </w:r>
      <w:r>
        <w:rPr>
          <w:rFonts w:eastAsia="Times New Roman" w:cs="Arial" w:ascii="Arial" w:hAnsi="Arial"/>
          <w:i/>
          <w:iCs/>
          <w:sz w:val="20"/>
          <w:szCs w:val="20"/>
        </w:rPr>
        <w:t xml:space="preserve"> martes, 16 de julio de 2019 13:22</w:t>
        <w:br/>
      </w:r>
      <w:r>
        <w:rPr>
          <w:rFonts w:eastAsia="Times New Roman" w:cs="Arial" w:ascii="Arial" w:hAnsi="Arial"/>
          <w:b/>
          <w:bCs/>
          <w:i/>
          <w:iCs/>
          <w:sz w:val="20"/>
          <w:szCs w:val="20"/>
        </w:rPr>
        <w:t>Para:</w:t>
      </w:r>
      <w:r>
        <w:rPr>
          <w:rFonts w:eastAsia="Times New Roman" w:cs="Arial" w:ascii="Arial" w:hAnsi="Arial"/>
          <w:i/>
          <w:iCs/>
          <w:sz w:val="20"/>
          <w:szCs w:val="20"/>
        </w:rPr>
        <w:t xml:space="preserve"> francisco ortiz ortiz</w:t>
        <w:br/>
      </w:r>
      <w:r>
        <w:rPr>
          <w:rFonts w:eastAsia="Times New Roman" w:cs="Arial" w:ascii="Arial" w:hAnsi="Arial"/>
          <w:b/>
          <w:bCs/>
          <w:i/>
          <w:iCs/>
          <w:sz w:val="20"/>
          <w:szCs w:val="20"/>
        </w:rPr>
        <w:t>Asunto:</w:t>
      </w:r>
      <w:r>
        <w:rPr>
          <w:rFonts w:eastAsia="Times New Roman" w:cs="Arial" w:ascii="Arial" w:hAnsi="Arial"/>
          <w:i/>
          <w:iCs/>
          <w:sz w:val="20"/>
          <w:szCs w:val="20"/>
        </w:rPr>
        <w:t xml:space="preserve"> RE: Solicitud defensor público. Exp: 19-003938-1027-CA </w:t>
      </w:r>
    </w:p>
    <w:p>
      <w:pPr>
        <w:pStyle w:val="Normal"/>
        <w:jc w:val="both"/>
        <w:rPr>
          <w:rFonts w:ascii="Arial" w:hAnsi="Arial" w:eastAsia="Times New Roman" w:cs="Arial"/>
          <w:i/>
          <w:i/>
          <w:iCs/>
          <w:sz w:val="20"/>
          <w:szCs w:val="20"/>
        </w:rPr>
      </w:pPr>
      <w:r>
        <w:rPr>
          <w:rFonts w:eastAsia="Times New Roman" w:cs="Arial" w:ascii="Arial" w:hAnsi="Arial"/>
          <w:i/>
          <w:iCs/>
          <w:sz w:val="20"/>
          <w:szCs w:val="20"/>
        </w:rPr>
        <w:t> </w:t>
      </w:r>
    </w:p>
    <w:p>
      <w:pPr>
        <w:pStyle w:val="Xmsoplaintext"/>
        <w:jc w:val="both"/>
        <w:rPr>
          <w:rFonts w:ascii="Arial" w:hAnsi="Arial" w:cs="Arial"/>
          <w:i/>
          <w:i/>
          <w:iCs/>
          <w:sz w:val="20"/>
          <w:szCs w:val="20"/>
        </w:rPr>
      </w:pPr>
      <w:r>
        <w:rPr>
          <w:rFonts w:cs="Arial" w:ascii="Arial" w:hAnsi="Arial"/>
          <w:i/>
          <w:iCs/>
          <w:sz w:val="20"/>
          <w:szCs w:val="20"/>
        </w:rPr>
        <w:t xml:space="preserve">Señor(a) usuario de conformidad con el Reglamento sobre Expediente Judicial Electrónico, en su Capítulo III, Artículo 15 se indica que para despachos que laboren bajo el modelo electrónico, el envío de documentos (escritos, demandas nuevas o cualquier otra documentación) deberá ser realizado de forma electrónica mediante el Sistema de Gestión en Línea, provisto por el Poder Judicial, el cual se encuentra ubicado en el sitio Web oficial de la Institución </w:t>
      </w:r>
      <w:hyperlink r:id="rId12">
        <w:r>
          <w:rPr>
            <w:rStyle w:val="EnlacedeInternet"/>
            <w:rFonts w:cs="Arial" w:ascii="Arial" w:hAnsi="Arial"/>
            <w:i/>
            <w:iCs/>
            <w:color w:val="auto"/>
            <w:sz w:val="20"/>
            <w:szCs w:val="20"/>
          </w:rPr>
          <w:t>www.poder-judicial.go.cr</w:t>
        </w:r>
      </w:hyperlink>
      <w:r>
        <w:rPr>
          <w:rFonts w:cs="Arial" w:ascii="Arial" w:hAnsi="Arial"/>
          <w:i/>
          <w:iCs/>
          <w:sz w:val="20"/>
          <w:szCs w:val="20"/>
        </w:rPr>
        <w:t xml:space="preserve">. Y en su Artículo 16 se menciona que la cuenta de correo es válida únicamente para despachos que no cuenten con el sistema antes indicado en el artículo 15, el cual no es nuestro caso. (Se adjunta Circular 104-13). </w:t>
      </w:r>
    </w:p>
    <w:p>
      <w:pPr>
        <w:pStyle w:val="Xmsoplaintext"/>
        <w:jc w:val="both"/>
        <w:rPr>
          <w:rFonts w:ascii="Arial" w:hAnsi="Arial" w:cs="Arial"/>
          <w:i/>
          <w:i/>
          <w:iCs/>
          <w:sz w:val="20"/>
          <w:szCs w:val="20"/>
        </w:rPr>
      </w:pPr>
      <w:r>
        <w:rPr>
          <w:rFonts w:cs="Arial" w:ascii="Arial" w:hAnsi="Arial"/>
          <w:i/>
          <w:iCs/>
          <w:sz w:val="20"/>
          <w:szCs w:val="20"/>
        </w:rPr>
        <w:t> </w:t>
      </w:r>
    </w:p>
    <w:p>
      <w:pPr>
        <w:pStyle w:val="Xmsoplaintext"/>
        <w:jc w:val="both"/>
        <w:rPr>
          <w:rFonts w:ascii="Arial" w:hAnsi="Arial" w:cs="Arial"/>
          <w:i/>
          <w:i/>
          <w:iCs/>
          <w:sz w:val="20"/>
          <w:szCs w:val="20"/>
        </w:rPr>
      </w:pPr>
      <w:r>
        <w:rPr>
          <w:rFonts w:cs="Arial" w:ascii="Arial" w:hAnsi="Arial"/>
          <w:i/>
          <w:iCs/>
          <w:sz w:val="20"/>
          <w:szCs w:val="20"/>
        </w:rPr>
        <w:t>Por lo anterior, se le hace saber que deberá utilizar los medios permitidos para la presentación de los documentos respectivos, ya que el correo electrónico no es un medio válido para ello.(Fax 2241-5664 ó 2545-0006).</w:t>
      </w:r>
    </w:p>
    <w:p>
      <w:pPr>
        <w:pStyle w:val="Xmsonormal"/>
        <w:jc w:val="both"/>
        <w:rPr>
          <w:rFonts w:ascii="Arial" w:hAnsi="Arial" w:cs="Arial"/>
          <w:i/>
          <w:i/>
          <w:iCs/>
          <w:sz w:val="20"/>
          <w:szCs w:val="20"/>
        </w:rPr>
      </w:pPr>
      <w:r>
        <w:rPr>
          <w:rFonts w:cs="Arial" w:ascii="Arial" w:hAnsi="Arial"/>
          <w:i/>
          <w:iCs/>
          <w:sz w:val="20"/>
          <w:szCs w:val="20"/>
        </w:rPr>
        <w:t> </w:t>
      </w:r>
    </w:p>
    <w:p>
      <w:pPr>
        <w:pStyle w:val="Xmsonormal"/>
        <w:jc w:val="both"/>
        <w:rPr>
          <w:rFonts w:ascii="Arial" w:hAnsi="Arial" w:cs="Arial"/>
          <w:i/>
          <w:i/>
          <w:iCs/>
          <w:sz w:val="20"/>
          <w:szCs w:val="20"/>
        </w:rPr>
      </w:pPr>
      <w:r>
        <w:rPr>
          <w:rFonts w:cs="Arial" w:ascii="Arial" w:hAnsi="Arial"/>
          <w:i/>
          <w:iCs/>
          <w:sz w:val="20"/>
          <w:szCs w:val="20"/>
        </w:rPr>
        <w:t> </w:t>
      </w:r>
    </w:p>
    <w:p>
      <w:pPr>
        <w:pStyle w:val="Xmsonormal"/>
        <w:numPr>
          <w:ilvl w:val="0"/>
          <w:numId w:val="0"/>
        </w:numPr>
        <w:jc w:val="both"/>
        <w:outlineLvl w:val="0"/>
        <w:rPr>
          <w:rFonts w:ascii="Arial" w:hAnsi="Arial" w:cs="Arial"/>
          <w:i/>
          <w:i/>
          <w:iCs/>
          <w:sz w:val="20"/>
          <w:szCs w:val="20"/>
        </w:rPr>
      </w:pPr>
      <w:r>
        <w:rPr>
          <w:rFonts w:cs="Arial" w:ascii="Arial" w:hAnsi="Arial"/>
          <w:b/>
          <w:bCs/>
          <w:i/>
          <w:iCs/>
          <w:sz w:val="20"/>
          <w:szCs w:val="20"/>
        </w:rPr>
        <w:t>De:</w:t>
      </w:r>
      <w:r>
        <w:rPr>
          <w:rFonts w:cs="Arial" w:ascii="Arial" w:hAnsi="Arial"/>
          <w:i/>
          <w:iCs/>
          <w:sz w:val="20"/>
          <w:szCs w:val="20"/>
        </w:rPr>
        <w:t xml:space="preserve"> francisco ortiz ortiz [</w:t>
      </w:r>
      <w:hyperlink r:id="rId13">
        <w:r>
          <w:rPr>
            <w:rStyle w:val="EnlacedeInternet"/>
            <w:rFonts w:cs="Arial" w:ascii="Arial" w:hAnsi="Arial"/>
            <w:i/>
            <w:iCs/>
            <w:color w:val="auto"/>
            <w:sz w:val="20"/>
            <w:szCs w:val="20"/>
          </w:rPr>
          <w:t>mailto:fr.ortiz@hotmail.com</w:t>
        </w:r>
      </w:hyperlink>
      <w:r>
        <w:rPr>
          <w:rFonts w:cs="Arial" w:ascii="Arial" w:hAnsi="Arial"/>
          <w:i/>
          <w:iCs/>
          <w:sz w:val="20"/>
          <w:szCs w:val="20"/>
        </w:rPr>
        <w:t xml:space="preserve">] </w:t>
        <w:br/>
      </w:r>
      <w:r>
        <w:rPr>
          <w:rFonts w:cs="Arial" w:ascii="Arial" w:hAnsi="Arial"/>
          <w:b/>
          <w:bCs/>
          <w:i/>
          <w:iCs/>
          <w:sz w:val="20"/>
          <w:szCs w:val="20"/>
        </w:rPr>
        <w:t>Enviado el:</w:t>
      </w:r>
      <w:r>
        <w:rPr>
          <w:rFonts w:cs="Arial" w:ascii="Arial" w:hAnsi="Arial"/>
          <w:i/>
          <w:iCs/>
          <w:sz w:val="20"/>
          <w:szCs w:val="20"/>
        </w:rPr>
        <w:t xml:space="preserve"> martes, 16 de julio de 2019 13:15</w:t>
        <w:br/>
      </w:r>
      <w:r>
        <w:rPr>
          <w:rFonts w:cs="Arial" w:ascii="Arial" w:hAnsi="Arial"/>
          <w:b/>
          <w:bCs/>
          <w:i/>
          <w:iCs/>
          <w:sz w:val="20"/>
          <w:szCs w:val="20"/>
        </w:rPr>
        <w:t>Para:</w:t>
      </w:r>
      <w:r>
        <w:rPr>
          <w:rFonts w:cs="Arial" w:ascii="Arial" w:hAnsi="Arial"/>
          <w:i/>
          <w:iCs/>
          <w:sz w:val="20"/>
          <w:szCs w:val="20"/>
        </w:rPr>
        <w:t xml:space="preserve"> Tribunal Contencioso Administrativo - II Circuito Judicial de San José</w:t>
        <w:br/>
      </w:r>
      <w:r>
        <w:rPr>
          <w:rFonts w:cs="Arial" w:ascii="Arial" w:hAnsi="Arial"/>
          <w:b/>
          <w:bCs/>
          <w:i/>
          <w:iCs/>
          <w:sz w:val="20"/>
          <w:szCs w:val="20"/>
        </w:rPr>
        <w:t>Asunto:</w:t>
      </w:r>
      <w:r>
        <w:rPr>
          <w:rFonts w:cs="Arial" w:ascii="Arial" w:hAnsi="Arial"/>
          <w:i/>
          <w:iCs/>
          <w:sz w:val="20"/>
          <w:szCs w:val="20"/>
        </w:rPr>
        <w:t xml:space="preserve"> Solicitud defensor público. Exp: 19-003938-1027-CA </w:t>
      </w:r>
    </w:p>
    <w:p>
      <w:pPr>
        <w:pStyle w:val="Xmsonormal"/>
        <w:jc w:val="both"/>
        <w:rPr>
          <w:rFonts w:ascii="Arial" w:hAnsi="Arial" w:cs="Arial"/>
          <w:i/>
          <w:i/>
          <w:iCs/>
          <w:sz w:val="20"/>
          <w:szCs w:val="20"/>
        </w:rPr>
      </w:pPr>
      <w:r>
        <w:rPr>
          <w:rFonts w:cs="Arial" w:ascii="Arial" w:hAnsi="Arial"/>
          <w:i/>
          <w:iCs/>
          <w:sz w:val="20"/>
          <w:szCs w:val="20"/>
        </w:rPr>
        <w:t> </w:t>
      </w:r>
    </w:p>
    <w:p>
      <w:pPr>
        <w:pStyle w:val="Xmsonormal"/>
        <w:jc w:val="both"/>
        <w:rPr>
          <w:rFonts w:ascii="Arial" w:hAnsi="Arial" w:cs="Arial"/>
          <w:i/>
          <w:i/>
          <w:iCs/>
          <w:sz w:val="20"/>
          <w:szCs w:val="20"/>
        </w:rPr>
      </w:pPr>
      <w:r>
        <w:rPr>
          <w:rFonts w:cs="Arial" w:ascii="Arial" w:hAnsi="Arial"/>
          <w:i/>
          <w:iCs/>
          <w:sz w:val="20"/>
          <w:szCs w:val="20"/>
        </w:rPr>
        <w:t>Señores:</w:t>
      </w:r>
    </w:p>
    <w:p>
      <w:pPr>
        <w:pStyle w:val="Xmsonormal"/>
        <w:jc w:val="both"/>
        <w:rPr>
          <w:rFonts w:ascii="Arial" w:hAnsi="Arial" w:cs="Arial"/>
          <w:i/>
          <w:i/>
          <w:iCs/>
          <w:sz w:val="20"/>
          <w:szCs w:val="20"/>
        </w:rPr>
      </w:pPr>
      <w:r>
        <w:rPr>
          <w:rFonts w:cs="Arial" w:ascii="Arial" w:hAnsi="Arial"/>
          <w:i/>
          <w:iCs/>
          <w:sz w:val="20"/>
          <w:szCs w:val="20"/>
        </w:rPr>
        <w:t>Tribunal Contencioso Administrativo. </w:t>
      </w:r>
    </w:p>
    <w:p>
      <w:pPr>
        <w:pStyle w:val="Xmsonormal"/>
        <w:jc w:val="both"/>
        <w:rPr>
          <w:rFonts w:ascii="Arial" w:hAnsi="Arial" w:cs="Arial"/>
          <w:i/>
          <w:i/>
          <w:iCs/>
          <w:sz w:val="20"/>
          <w:szCs w:val="20"/>
        </w:rPr>
      </w:pPr>
      <w:r>
        <w:rPr>
          <w:rFonts w:cs="Arial" w:ascii="Arial" w:hAnsi="Arial"/>
          <w:i/>
          <w:iCs/>
          <w:sz w:val="20"/>
          <w:szCs w:val="20"/>
        </w:rPr>
        <w:t> </w:t>
      </w:r>
    </w:p>
    <w:p>
      <w:pPr>
        <w:pStyle w:val="Xmsonormal"/>
        <w:jc w:val="both"/>
        <w:rPr>
          <w:rFonts w:ascii="Arial" w:hAnsi="Arial" w:cs="Arial"/>
          <w:i/>
          <w:i/>
          <w:iCs/>
          <w:sz w:val="20"/>
          <w:szCs w:val="20"/>
        </w:rPr>
      </w:pPr>
      <w:r>
        <w:rPr>
          <w:rFonts w:cs="Arial" w:ascii="Arial" w:hAnsi="Arial"/>
          <w:i/>
          <w:iCs/>
          <w:sz w:val="20"/>
          <w:szCs w:val="20"/>
        </w:rPr>
        <w:t xml:space="preserve">  </w:t>
      </w:r>
      <w:r>
        <w:rPr>
          <w:rFonts w:cs="Arial" w:ascii="Arial" w:hAnsi="Arial"/>
          <w:i/>
          <w:iCs/>
          <w:sz w:val="20"/>
          <w:szCs w:val="20"/>
        </w:rPr>
        <w:t>Siendo imposible trasladarme hasta este Tribunal, ya que queda muy lejos del territorio indígena, solicito a ustedes de conformidad con la Ley de la Carta de los Pueblos Indígenas, se nombre un defensor público en el expediente 19-003938-1027-CA, para que represente a la ADI de Salitre. </w:t>
      </w:r>
    </w:p>
    <w:p>
      <w:pPr>
        <w:pStyle w:val="Xmsonormal"/>
        <w:jc w:val="both"/>
        <w:rPr>
          <w:rFonts w:ascii="Arial" w:hAnsi="Arial" w:cs="Arial"/>
          <w:i/>
          <w:i/>
          <w:iCs/>
          <w:sz w:val="20"/>
          <w:szCs w:val="20"/>
        </w:rPr>
      </w:pPr>
      <w:r>
        <w:rPr>
          <w:rFonts w:cs="Arial" w:ascii="Arial" w:hAnsi="Arial"/>
          <w:i/>
          <w:iCs/>
          <w:sz w:val="20"/>
          <w:szCs w:val="20"/>
        </w:rPr>
        <w:t> </w:t>
      </w:r>
    </w:p>
    <w:p>
      <w:pPr>
        <w:pStyle w:val="Xmsonormal"/>
        <w:jc w:val="both"/>
        <w:rPr>
          <w:rFonts w:ascii="Arial" w:hAnsi="Arial" w:cs="Arial"/>
          <w:i/>
          <w:i/>
          <w:iCs/>
          <w:sz w:val="20"/>
          <w:szCs w:val="20"/>
        </w:rPr>
      </w:pPr>
      <w:r>
        <w:rPr>
          <w:rFonts w:cs="Arial" w:ascii="Arial" w:hAnsi="Arial"/>
          <w:i/>
          <w:iCs/>
          <w:sz w:val="20"/>
          <w:szCs w:val="20"/>
        </w:rPr>
        <w:t>Agradezco su colaboración, y adjunta carta de la solicitud. </w:t>
      </w:r>
    </w:p>
    <w:p>
      <w:pPr>
        <w:pStyle w:val="Normal"/>
        <w:jc w:val="both"/>
        <w:rPr>
          <w:rFonts w:ascii="Arial" w:hAnsi="Arial" w:cs="Arial"/>
          <w:b/>
          <w:b/>
          <w:sz w:val="20"/>
          <w:szCs w:val="20"/>
          <w:u w:val="single"/>
        </w:rPr>
      </w:pPr>
      <w:r>
        <w:rPr>
          <w:rFonts w:cs="Arial" w:ascii="Arial" w:hAnsi="Arial"/>
          <w:b/>
          <w:sz w:val="20"/>
          <w:szCs w:val="20"/>
          <w:u w:val="single"/>
        </w:rPr>
      </w:r>
    </w:p>
    <w:p>
      <w:pPr>
        <w:pStyle w:val="Normal"/>
        <w:jc w:val="both"/>
        <w:rPr>
          <w:rFonts w:ascii="Arial" w:hAnsi="Arial" w:cs="Arial"/>
          <w:bCs/>
          <w:sz w:val="20"/>
          <w:szCs w:val="20"/>
        </w:rPr>
      </w:pPr>
      <w:r>
        <w:rPr>
          <w:rFonts w:cs="Arial" w:ascii="Arial" w:hAnsi="Arial"/>
          <w:bCs/>
          <w:sz w:val="20"/>
          <w:szCs w:val="20"/>
        </w:rPr>
        <w:t>Se analizar la posibilidad de trasladar a la Comisión de Acceso a la Justicia la inquietud de esta Subcomisión, eventualmente aplicable a las poblaciones atendidas por otras Subcomisiones, ante la brecha digital existente con las personas en situación de vulnerabilidad, a fin de que se busquen soluciones que no generen discriminaciones contrarias a la normativa internacional que regula los derechos.-</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Expone la señora Ligia Jiménez que el Tribunal Contencioso le indicó, ahora tienen un número específico sobre esas gestiones, pero cuando consultó cómo van a informar a la población indígena sobre ello, no le dieron respuesta.</w:t>
      </w:r>
    </w:p>
    <w:p>
      <w:pPr>
        <w:pStyle w:val="Normal"/>
        <w:jc w:val="both"/>
        <w:rPr>
          <w:rFonts w:ascii="Arial" w:hAnsi="Arial" w:cs="Arial"/>
          <w:bCs/>
          <w:sz w:val="20"/>
          <w:szCs w:val="20"/>
        </w:rPr>
      </w:pPr>
      <w:r>
        <w:rPr>
          <w:rFonts w:cs="Arial" w:ascii="Arial" w:hAnsi="Arial"/>
          <w:bCs/>
          <w:sz w:val="20"/>
          <w:szCs w:val="20"/>
        </w:rPr>
        <w:t>Alí García señala que en su criterio todos los proyectos que vinculen a personas indígenas debe ser consultado y dentro de ello está la exigencia de factura electrónica, pese a lo cual Ministerio de Hacienda no tiene la apertura suficiente para la implementación pese a la ilegalidad de la decisión pues no fue consultada.</w:t>
      </w:r>
    </w:p>
    <w:p>
      <w:pPr>
        <w:pStyle w:val="Normal"/>
        <w:jc w:val="both"/>
        <w:rPr>
          <w:rFonts w:ascii="Arial" w:hAnsi="Arial" w:cs="Arial"/>
          <w:b/>
          <w:b/>
          <w:sz w:val="20"/>
          <w:szCs w:val="20"/>
          <w:u w:val="single"/>
        </w:rPr>
      </w:pPr>
      <w:r>
        <w:rPr>
          <w:rFonts w:cs="Arial" w:ascii="Arial" w:hAnsi="Arial"/>
          <w:bCs/>
          <w:sz w:val="20"/>
          <w:szCs w:val="20"/>
        </w:rPr>
        <w:t>El Reglamento sobre Expediente Electrónico señala que deben tomarse medidas especiales en relación con la brecha digital de algunas poblaciones en condición de vulnerabilidad, entre ellas las indígenas.</w:t>
      </w:r>
    </w:p>
    <w:p>
      <w:pPr>
        <w:pStyle w:val="Normal"/>
        <w:jc w:val="both"/>
        <w:rPr>
          <w:rFonts w:ascii="Arial" w:hAnsi="Arial" w:cs="Arial"/>
          <w:i/>
          <w:i/>
          <w:iCs/>
          <w:sz w:val="20"/>
          <w:szCs w:val="20"/>
        </w:rPr>
      </w:pPr>
      <w:r>
        <w:rPr>
          <w:rFonts w:cs="Arial" w:ascii="Arial" w:hAnsi="Arial"/>
          <w:b/>
          <w:sz w:val="20"/>
          <w:szCs w:val="20"/>
        </w:rPr>
        <w:t>SE ACUERDA</w:t>
      </w:r>
      <w:r>
        <w:rPr>
          <w:rFonts w:cs="Arial" w:ascii="Arial" w:hAnsi="Arial"/>
          <w:bCs/>
          <w:sz w:val="20"/>
          <w:szCs w:val="20"/>
        </w:rPr>
        <w:t xml:space="preserve">: 1° Se toma nota de las manifestaciones del defensor público Jesús Caves Mora y la defensora pública indígena Ligia Jiménez Zamora. 2° Trasladar al Tribunal Contencioso Administrativo las manifestaciones de la Defensa Pública y solicitarles un informe sobre lo acontecido en el plazo de cinco días con el objetivo de valorar la posibilidad de articular acciones para la mejora de la atención a las personas indígenas involucradas, de estimarse necesario. 3° </w:t>
      </w:r>
      <w:r>
        <w:rPr>
          <w:rFonts w:cs="Arial" w:ascii="Arial" w:hAnsi="Arial"/>
          <w:i/>
          <w:iCs/>
          <w:sz w:val="20"/>
          <w:szCs w:val="20"/>
        </w:rPr>
        <w:t>Se declara firme este acuerdo por unanimidad para su ejecución. Comuníquese a las personas defensoras públicas Chaves Mora y Jiménez Zamora, así como al Tribunal Contencioso Administrativo y a la Contraloría de Servicios, por medio de la Unidad de Acceso a la Justicia.-</w:t>
      </w:r>
    </w:p>
    <w:p>
      <w:pPr>
        <w:pStyle w:val="Normal"/>
        <w:jc w:val="both"/>
        <w:rPr>
          <w:rFonts w:ascii="Arial" w:hAnsi="Arial" w:cs="Arial"/>
          <w:bCs/>
          <w:i/>
          <w:i/>
          <w:sz w:val="20"/>
          <w:szCs w:val="20"/>
        </w:rPr>
      </w:pPr>
      <w:r>
        <w:rPr>
          <w:rFonts w:cs="Arial" w:ascii="Arial" w:hAnsi="Arial"/>
          <w:bCs/>
          <w:i/>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V</w:t>
      </w:r>
    </w:p>
    <w:p>
      <w:pPr>
        <w:pStyle w:val="Normal"/>
        <w:jc w:val="both"/>
        <w:rPr>
          <w:rFonts w:ascii="Arial" w:hAnsi="Arial" w:eastAsia="Times New Roman" w:cs="Arial"/>
          <w:sz w:val="20"/>
          <w:szCs w:val="20"/>
        </w:rPr>
      </w:pPr>
      <w:r>
        <w:rPr>
          <w:rFonts w:eastAsia="Times New Roman" w:cs="Arial" w:ascii="Arial" w:hAnsi="Arial"/>
          <w:sz w:val="20"/>
          <w:szCs w:val="20"/>
        </w:rPr>
        <w:t>Con ocasión de las visitas de seguimiento de las Medidas Cautelares 321-12 de la CIDH contra el Estado, se dio seguimiento a las gestiones planteadas por dos personas indígenas mostrando su inconformidad con la personas defensora pública asignada, las cuales fueron trasladadas a la Defensa Pública Indígena.</w:t>
      </w:r>
    </w:p>
    <w:p>
      <w:pPr>
        <w:pStyle w:val="Normal"/>
        <w:jc w:val="both"/>
        <w:rPr>
          <w:rFonts w:ascii="Arial" w:hAnsi="Arial" w:eastAsia="Times New Roman" w:cs="Arial"/>
          <w:sz w:val="20"/>
          <w:szCs w:val="20"/>
        </w:rPr>
      </w:pPr>
      <w:r>
        <w:rPr>
          <w:rFonts w:eastAsia="Times New Roman" w:cs="Arial" w:ascii="Arial" w:hAnsi="Arial"/>
          <w:sz w:val="20"/>
          <w:szCs w:val="20"/>
        </w:rPr>
        <w:t xml:space="preserve">La señora Ligia Jeannette Jiménez Zamora, mediante comunicado electrónico del 22 de agosto de 2019, 10:05, dirigido al señor Andrey Fuentes Gamboa con copia a la Defensa Pública de Buenos Aires, señaló: “Buenos días estimado Sr. Fuentes, reciba un cordial saludo. En atención a la consulta realizada por la Sra. Damaris Vargas,  en la cual un indígena le indica su inquietud sobre el cambio de defensor público en la Defensa Pública de Buenos Aires, de dos personas usuarias  Etelgive Ortíz Figueroa y </w:t>
      </w:r>
      <w:r>
        <w:rPr>
          <w:rFonts w:eastAsia="Times New Roman" w:cs="Arial" w:ascii="Arial" w:hAnsi="Arial"/>
          <w:b/>
          <w:bCs/>
          <w:sz w:val="20"/>
          <w:szCs w:val="20"/>
        </w:rPr>
        <w:t>Nombre 001</w:t>
      </w:r>
      <w:r>
        <w:rPr>
          <w:rFonts w:eastAsia="Times New Roman" w:cs="Arial" w:ascii="Arial" w:hAnsi="Arial"/>
          <w:sz w:val="20"/>
          <w:szCs w:val="20"/>
        </w:rPr>
        <w:t xml:space="preserve"> en los expedientes 16-000576-990-PE;y  18-000069-634-PE. Con el mayor de los respetos, le solicito que por favor me informe el estado de esa solicitud para de esta forma trasladarlo a la Sra. Vargas. A sus órdenes, Ligia Jiménez.”</w:t>
      </w:r>
    </w:p>
    <w:p>
      <w:pPr>
        <w:pStyle w:val="Normal"/>
        <w:jc w:val="both"/>
        <w:rPr>
          <w:rFonts w:ascii="Arial" w:hAnsi="Arial" w:eastAsia="Times New Roman" w:cs="Arial"/>
          <w:sz w:val="20"/>
          <w:szCs w:val="20"/>
        </w:rPr>
      </w:pPr>
      <w:r>
        <w:rPr>
          <w:rFonts w:eastAsia="Times New Roman" w:cs="Arial" w:ascii="Arial" w:hAnsi="Arial"/>
          <w:sz w:val="20"/>
          <w:szCs w:val="20"/>
        </w:rPr>
        <w:t xml:space="preserve">El señor Andrey Fuentes Gamboa en correo electrónico remitido a Ligia Jeannette Jiménez Zamora con copia a la Defensa Pública de Buenos Aires, señaló: “Buenas tardes. Por este medio le Informo que pese a que la solicitud que realizan ambos usuarios donde piden un cambio de defensor, en su documento no se indican las razones o motivos para dicha solicitud de una revisión de todas las causas debido a que don </w:t>
      </w:r>
      <w:r>
        <w:rPr>
          <w:rFonts w:eastAsia="Times New Roman" w:cs="Arial" w:ascii="Arial" w:hAnsi="Arial"/>
          <w:b/>
          <w:bCs/>
          <w:sz w:val="20"/>
          <w:szCs w:val="20"/>
        </w:rPr>
        <w:t>Nombre 001</w:t>
      </w:r>
      <w:r>
        <w:rPr>
          <w:rFonts w:eastAsia="Times New Roman" w:cs="Arial" w:ascii="Arial" w:hAnsi="Arial"/>
          <w:sz w:val="20"/>
          <w:szCs w:val="20"/>
        </w:rPr>
        <w:t xml:space="preserve"> en varias casusas como imputado y ofendido se detecto que existen otras causas donde el señor </w:t>
      </w:r>
      <w:r>
        <w:rPr>
          <w:rFonts w:eastAsia="Times New Roman" w:cs="Arial" w:ascii="Arial" w:hAnsi="Arial"/>
          <w:b/>
          <w:bCs/>
          <w:sz w:val="20"/>
          <w:szCs w:val="20"/>
        </w:rPr>
        <w:t>Nombre 001</w:t>
      </w:r>
      <w:r>
        <w:rPr>
          <w:rFonts w:eastAsia="Times New Roman" w:cs="Arial" w:ascii="Arial" w:hAnsi="Arial"/>
          <w:sz w:val="20"/>
          <w:szCs w:val="20"/>
        </w:rPr>
        <w:t xml:space="preserve"> es ofendido y el licenciado Michael es defensor de otras partes, por lo que con la finalidad de evitar la existencia de intereses contrapuestos se va a asignar otro defensor para el señor Figueroa Lázaro en la causa 18-000069-0634-PE, aunado a esto se le ha estado llamando para programar un cita sin embargo no ha sido posible realizar la misma. En el caso de la señora Etelgive se presento a la oficina, sin embargo yo no me encontraba presente, por lo que se le dio una cita para el próximo 27 de agosto en horas de la tarde, asimismo ella le indico a la secretaria de la oficina Joselyn Cordero  que ella no deseaba que se le cambiara el defensor, ya que el licenciado Michael la ha representado en otras causas y ella se encuentra a gusto con su trabajo. Gracias.” Dicha información fue remitida por la señora Jiménez Zamora para conocimiento.-</w:t>
      </w:r>
    </w:p>
    <w:p>
      <w:pPr>
        <w:pStyle w:val="Normal"/>
        <w:jc w:val="both"/>
        <w:rPr>
          <w:rFonts w:ascii="Arial" w:hAnsi="Arial" w:eastAsia="Times New Roman" w:cs="Arial"/>
          <w:sz w:val="20"/>
          <w:szCs w:val="20"/>
        </w:rPr>
      </w:pPr>
      <w:r>
        <w:rPr>
          <w:rFonts w:eastAsia="Times New Roman" w:cs="Arial" w:ascii="Arial" w:hAnsi="Arial"/>
          <w:sz w:val="20"/>
          <w:szCs w:val="20"/>
        </w:rPr>
        <w:t>Alí García señala que lo acontecido posiblemente se debe a problemas de interpretación de los mensajes. Es un problema de comunicación en ambas direcciones. Hay que empezar por comprender la construcción de los idiomas. Lo más importante es la actitud de aprender a comprender lo que las personas indígenas señalan, de lo contrario no vamos a lograr comunicarnos de manera eficiente. Esa es la clave para solucionar los problemas de la población indígena de este país, ya que la lengua es la forma de construir el mundo de las personas indígenas. Por ejemplo para los bribris y los cabécar afirmar que lo dicen con todo el corazón, eso significa que es mentira.</w: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xml:space="preserve">: 1° Trasladar a las personas indígenas involucradas lo informado por la Defensa Pública y verificar la comprensión de la información que se suministra. 2° Instar al uso de personas intérpretes en las sesiones de trabajo que se realicen con personas indígenas para lograr una mejor comprensión de la información cuando sea necesario. </w:t>
      </w:r>
    </w:p>
    <w:p>
      <w:pPr>
        <w:pStyle w:val="Normal"/>
        <w:jc w:val="both"/>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V</w:t>
      </w:r>
      <w:r>
        <w:rPr>
          <w:rFonts w:cs="Arial" w:ascii="Arial" w:hAnsi="Arial"/>
          <w:b/>
          <w:sz w:val="20"/>
          <w:szCs w:val="20"/>
          <w:u w:val="single"/>
        </w:rPr>
        <w:t>I</w:t>
      </w:r>
    </w:p>
    <w:p>
      <w:pPr>
        <w:pStyle w:val="Normal"/>
        <w:jc w:val="both"/>
        <w:rPr>
          <w:rFonts w:ascii="Arial" w:hAnsi="Arial" w:cs="Arial"/>
          <w:bCs/>
          <w:sz w:val="20"/>
          <w:szCs w:val="20"/>
        </w:rPr>
      </w:pPr>
      <w:r>
        <w:rPr>
          <w:rFonts w:cs="Arial" w:ascii="Arial" w:hAnsi="Arial"/>
          <w:bCs/>
          <w:sz w:val="20"/>
          <w:szCs w:val="20"/>
        </w:rPr>
        <w:t>Se conoce oficio remitido por la Subjefatura de la Defensa Pública en comunicado electrónico de 3 de octubre de 2019, 11:21 horas, con ocasión de la remisión de solicitud de colaboración de las personas indígenas de Térraba, beneficiarias de las MC 321-12 de la CIDH contra el Estado:</w:t>
      </w:r>
    </w:p>
    <w:p>
      <w:pPr>
        <w:pStyle w:val="Normal"/>
        <w:jc w:val="both"/>
        <w:rPr>
          <w:rFonts w:ascii="Arial" w:hAnsi="Arial" w:cs="Arial"/>
          <w:sz w:val="20"/>
          <w:szCs w:val="20"/>
          <w:lang w:val="es-MX" w:eastAsia="es-CR"/>
        </w:rPr>
      </w:pPr>
      <w:r>
        <w:rPr>
          <w:rFonts w:cs="Arial" w:ascii="Arial" w:hAnsi="Arial"/>
          <w:sz w:val="20"/>
          <w:szCs w:val="20"/>
          <w:lang w:val="es-MX" w:eastAsia="es-CR"/>
        </w:rPr>
      </w:r>
    </w:p>
    <w:p>
      <w:pPr>
        <w:pStyle w:val="Normal"/>
        <w:jc w:val="both"/>
        <w:rPr>
          <w:rFonts w:ascii="Arial" w:hAnsi="Arial" w:cs="Arial"/>
          <w:sz w:val="20"/>
          <w:szCs w:val="20"/>
        </w:rPr>
      </w:pPr>
      <w:r>
        <w:rPr>
          <w:rFonts w:cs="Arial" w:ascii="Arial" w:hAnsi="Arial"/>
          <w:sz w:val="20"/>
          <w:szCs w:val="20"/>
        </w:rPr>
        <mc:AlternateContent>
          <mc:Choice Requires="wps">
            <w:drawing>
              <wp:anchor behindDoc="0" distT="45720" distB="45720" distL="114935" distR="114935" simplePos="0" locked="0" layoutInCell="0" allowOverlap="1" relativeHeight="13" wp14:anchorId="73DD5E54">
                <wp:simplePos x="0" y="0"/>
                <wp:positionH relativeFrom="column">
                  <wp:posOffset>3368040</wp:posOffset>
                </wp:positionH>
                <wp:positionV relativeFrom="paragraph">
                  <wp:posOffset>-128270</wp:posOffset>
                </wp:positionV>
                <wp:extent cx="2234565" cy="298450"/>
                <wp:effectExtent l="9525" t="6350" r="13970" b="10160"/>
                <wp:wrapSquare wrapText="bothSides"/>
                <wp:docPr id="3" name="Cuadro de texto 5"/>
                <a:graphic xmlns:a="http://schemas.openxmlformats.org/drawingml/2006/main">
                  <a:graphicData uri="http://schemas.microsoft.com/office/word/2010/wordprocessingShape">
                    <wps:wsp>
                      <wps:cNvSpPr/>
                      <wps:spPr>
                        <a:xfrm>
                          <a:off x="0" y="0"/>
                          <a:ext cx="2233800" cy="297720"/>
                        </a:xfrm>
                        <a:prstGeom prst="rect">
                          <a:avLst/>
                        </a:prstGeom>
                        <a:solidFill>
                          <a:srgbClr val="ffffff"/>
                        </a:solidFill>
                        <a:ln w="9525">
                          <a:solidFill>
                            <a:srgbClr val="ffffff"/>
                          </a:solidFill>
                          <a:miter/>
                        </a:ln>
                      </wps:spPr>
                      <wps:style>
                        <a:lnRef idx="0"/>
                        <a:fillRef idx="0"/>
                        <a:effectRef idx="0"/>
                        <a:fontRef idx="minor"/>
                      </wps:style>
                      <wps:txbx>
                        <w:txbxContent>
                          <w:p>
                            <w:pPr>
                              <w:pStyle w:val="Contenidodelmarco"/>
                              <w:spacing w:before="0" w:after="160"/>
                              <w:jc w:val="right"/>
                              <w:rPr>
                                <w:rFonts w:ascii="Book Antiqua" w:hAnsi="Book Antiqua" w:cs="Arial"/>
                                <w:b/>
                                <w:b/>
                                <w:sz w:val="24"/>
                              </w:rPr>
                            </w:pPr>
                            <w:r>
                              <w:rPr>
                                <w:rFonts w:cs="Arial" w:ascii="Book Antiqua" w:hAnsi="Book Antiqua"/>
                                <w:b/>
                                <w:sz w:val="24"/>
                              </w:rPr>
                              <w:t>JEFDP-1082-2019</w:t>
                            </w:r>
                          </w:p>
                        </w:txbxContent>
                      </wps:txbx>
                      <wps:bodyPr>
                        <a:noAutofit/>
                      </wps:bodyPr>
                    </wps:wsp>
                  </a:graphicData>
                </a:graphic>
              </wp:anchor>
            </w:drawing>
          </mc:Choice>
          <mc:Fallback>
            <w:pict>
              <v:rect id="shape_0" ID="Cuadro de texto 5" fillcolor="white" stroked="t" style="position:absolute;margin-left:265.2pt;margin-top:-10.1pt;width:175.85pt;height:23.4pt;mso-wrap-style:square;v-text-anchor:top" wp14:anchorId="73DD5E54">
                <v:fill o:detectmouseclick="t" type="solid" color2="black"/>
                <v:stroke color="white" weight="9360" joinstyle="miter" endcap="flat"/>
                <v:textbox>
                  <w:txbxContent>
                    <w:p>
                      <w:pPr>
                        <w:pStyle w:val="Contenidodelmarco"/>
                        <w:spacing w:before="0" w:after="160"/>
                        <w:jc w:val="right"/>
                        <w:rPr>
                          <w:rFonts w:ascii="Book Antiqua" w:hAnsi="Book Antiqua" w:cs="Arial"/>
                          <w:b/>
                          <w:b/>
                          <w:sz w:val="24"/>
                        </w:rPr>
                      </w:pPr>
                      <w:r>
                        <w:rPr>
                          <w:rFonts w:cs="Arial" w:ascii="Book Antiqua" w:hAnsi="Book Antiqua"/>
                          <w:b/>
                          <w:sz w:val="24"/>
                        </w:rPr>
                        <w:t>JEFDP-1082-2019</w:t>
                      </w:r>
                    </w:p>
                  </w:txbxContent>
                </v:textbox>
                <w10:wrap type="square"/>
              </v:rect>
            </w:pict>
          </mc:Fallback>
        </mc:AlternateContent>
      </w:r>
    </w:p>
    <w:p>
      <w:pPr>
        <w:pStyle w:val="Normal"/>
        <w:jc w:val="right"/>
        <w:rPr>
          <w:rFonts w:ascii="Arial" w:hAnsi="Arial" w:cs="Arial"/>
          <w:sz w:val="20"/>
          <w:szCs w:val="20"/>
        </w:rPr>
      </w:pPr>
      <w:r>
        <w:rPr>
          <w:rFonts w:cs="Arial" w:ascii="Arial" w:hAnsi="Arial"/>
          <w:sz w:val="20"/>
          <w:szCs w:val="20"/>
        </w:rPr>
        <w:t>San José, 03 de octubre del 2019</w:t>
      </w:r>
    </w:p>
    <w:p>
      <w:pPr>
        <w:pStyle w:val="Normal"/>
        <w:spacing w:lineRule="auto" w:line="360"/>
        <w:jc w:val="both"/>
        <w:rPr>
          <w:rFonts w:ascii="Arial" w:hAnsi="Arial" w:cs="Arial"/>
          <w:b/>
          <w:b/>
          <w:sz w:val="20"/>
          <w:szCs w:val="20"/>
          <w:lang w:val="es-ES"/>
        </w:rPr>
      </w:pPr>
      <w:r>
        <w:rPr>
          <w:rFonts w:cs="Arial" w:ascii="Arial" w:hAnsi="Arial"/>
          <w:b/>
          <w:sz w:val="20"/>
          <w:szCs w:val="20"/>
        </w:rPr>
        <w:t>Señora</w:t>
      </w:r>
    </w:p>
    <w:p>
      <w:pPr>
        <w:pStyle w:val="Normal"/>
        <w:spacing w:lineRule="auto" w:line="360"/>
        <w:jc w:val="both"/>
        <w:rPr>
          <w:rFonts w:ascii="Arial" w:hAnsi="Arial" w:cs="Arial"/>
          <w:b/>
          <w:b/>
          <w:sz w:val="20"/>
          <w:szCs w:val="20"/>
        </w:rPr>
      </w:pPr>
      <w:r>
        <w:rPr>
          <w:rFonts w:cs="Arial" w:ascii="Arial" w:hAnsi="Arial"/>
          <w:b/>
          <w:sz w:val="20"/>
          <w:szCs w:val="20"/>
        </w:rPr>
        <w:t>Damaris Vargas Vásquez</w:t>
      </w:r>
    </w:p>
    <w:p>
      <w:pPr>
        <w:pStyle w:val="Normal"/>
        <w:spacing w:lineRule="auto" w:line="360"/>
        <w:jc w:val="both"/>
        <w:rPr>
          <w:rFonts w:ascii="Arial" w:hAnsi="Arial" w:cs="Arial"/>
          <w:b/>
          <w:b/>
          <w:sz w:val="20"/>
          <w:szCs w:val="20"/>
        </w:rPr>
      </w:pPr>
      <w:r>
        <w:rPr>
          <w:rFonts w:cs="Arial" w:ascii="Arial" w:hAnsi="Arial"/>
          <w:b/>
          <w:sz w:val="20"/>
          <w:szCs w:val="20"/>
        </w:rPr>
        <w:t>Coordinadora de la Sub Comisión de Acceso a la Justicia de Pueblos Indígenas</w:t>
      </w:r>
    </w:p>
    <w:p>
      <w:pPr>
        <w:pStyle w:val="Normal"/>
        <w:spacing w:lineRule="auto" w:line="360"/>
        <w:jc w:val="both"/>
        <w:rPr>
          <w:rFonts w:ascii="Arial" w:hAnsi="Arial" w:cs="Arial"/>
          <w:b/>
          <w:b/>
          <w:sz w:val="20"/>
          <w:szCs w:val="20"/>
          <w:lang w:val="es-ES"/>
        </w:rPr>
      </w:pPr>
      <w:r>
        <w:rPr>
          <w:rFonts w:cs="Arial" w:ascii="Arial" w:hAnsi="Arial"/>
          <w:b/>
          <w:sz w:val="20"/>
          <w:szCs w:val="20"/>
        </w:rPr>
        <w:t xml:space="preserve">Poder Judicial. </w:t>
      </w:r>
    </w:p>
    <w:p>
      <w:pPr>
        <w:pStyle w:val="Normal"/>
        <w:spacing w:lineRule="auto" w:line="360"/>
        <w:jc w:val="both"/>
        <w:rPr>
          <w:rFonts w:ascii="Arial" w:hAnsi="Arial" w:cs="Arial"/>
          <w:sz w:val="20"/>
          <w:szCs w:val="20"/>
          <w:lang w:val="es-ES"/>
        </w:rPr>
      </w:pPr>
      <w:r>
        <w:rPr>
          <w:rFonts w:cs="Arial" w:ascii="Arial" w:hAnsi="Arial"/>
          <w:sz w:val="20"/>
          <w:szCs w:val="20"/>
          <w:lang w:val="es-ES"/>
        </w:rPr>
      </w:r>
    </w:p>
    <w:p>
      <w:pPr>
        <w:pStyle w:val="Normal"/>
        <w:spacing w:lineRule="auto" w:line="360"/>
        <w:ind w:firstLine="708"/>
        <w:jc w:val="both"/>
        <w:rPr>
          <w:rFonts w:ascii="Arial" w:hAnsi="Arial" w:cs="Arial"/>
          <w:sz w:val="20"/>
          <w:szCs w:val="20"/>
          <w:lang w:val="es-ES"/>
        </w:rPr>
      </w:pPr>
      <w:r>
        <w:rPr>
          <w:rFonts w:cs="Arial" w:ascii="Arial" w:hAnsi="Arial"/>
          <w:sz w:val="20"/>
          <w:szCs w:val="20"/>
        </w:rPr>
        <w:t>Reciba un cordial saludo.</w:t>
      </w:r>
      <w:r>
        <w:rPr>
          <w:rFonts w:cs="Arial" w:ascii="Arial" w:hAnsi="Arial"/>
          <w:sz w:val="20"/>
          <w:szCs w:val="20"/>
          <w:lang w:val="es-ES"/>
        </w:rPr>
        <w:t xml:space="preserve"> </w:t>
      </w:r>
      <w:r>
        <w:rPr>
          <w:rFonts w:cs="Arial" w:ascii="Arial" w:hAnsi="Arial"/>
          <w:sz w:val="20"/>
          <w:szCs w:val="20"/>
        </w:rPr>
        <w:t>En atención a correos remitidos por su estimable persona en fechas del 20 y 23 de setiembre del año en curso,  con el mayor de los respetos procedo a manifestar lo siguiente:</w:t>
      </w:r>
    </w:p>
    <w:p>
      <w:pPr>
        <w:pStyle w:val="Normal"/>
        <w:spacing w:lineRule="auto" w:line="360"/>
        <w:ind w:firstLine="708"/>
        <w:jc w:val="both"/>
        <w:rPr>
          <w:rFonts w:ascii="Arial" w:hAnsi="Arial" w:cs="Arial"/>
          <w:sz w:val="20"/>
          <w:szCs w:val="20"/>
        </w:rPr>
      </w:pPr>
      <w:r>
        <w:rPr>
          <w:rFonts w:cs="Arial" w:ascii="Arial" w:hAnsi="Arial"/>
          <w:sz w:val="20"/>
          <w:szCs w:val="20"/>
        </w:rPr>
        <w:t>El artículo 7 de la Ley de Acceso a la Justicia de Pueblos Indígenas de Costa Rica, vigente a partir del 28 de setiembre de 2018, señala:</w:t>
      </w:r>
    </w:p>
    <w:p>
      <w:pPr>
        <w:pStyle w:val="Normal"/>
        <w:tabs>
          <w:tab w:val="clear" w:pos="708"/>
          <w:tab w:val="left" w:pos="8505" w:leader="none"/>
        </w:tabs>
        <w:spacing w:lineRule="auto" w:line="360"/>
        <w:ind w:left="284" w:right="333" w:hanging="0"/>
        <w:jc w:val="both"/>
        <w:rPr>
          <w:rFonts w:ascii="Arial" w:hAnsi="Arial" w:cs="Arial"/>
          <w:sz w:val="20"/>
          <w:szCs w:val="20"/>
          <w:lang w:val="es-ES"/>
        </w:rPr>
      </w:pPr>
      <w:r>
        <w:rPr>
          <w:rFonts w:cs="Arial" w:ascii="Arial" w:hAnsi="Arial"/>
          <w:i/>
          <w:iCs/>
          <w:sz w:val="20"/>
          <w:szCs w:val="20"/>
        </w:rPr>
        <w:t>“</w:t>
      </w:r>
      <w:r>
        <w:rPr>
          <w:rFonts w:cs="Arial" w:ascii="Arial" w:hAnsi="Arial"/>
          <w:i/>
          <w:iCs/>
          <w:sz w:val="20"/>
          <w:szCs w:val="20"/>
        </w:rPr>
        <w:t xml:space="preserve">ARTICULO 7- Asistencia letrada gratuita y gratuidad de la justicia. En aquellos </w:t>
      </w:r>
      <w:r>
        <w:rPr>
          <w:rFonts w:cs="Arial" w:ascii="Arial" w:hAnsi="Arial"/>
          <w:b/>
          <w:i/>
          <w:iCs/>
          <w:sz w:val="20"/>
          <w:szCs w:val="20"/>
        </w:rPr>
        <w:t>procesos judiciales</w:t>
      </w:r>
      <w:r>
        <w:rPr>
          <w:rFonts w:cs="Arial" w:ascii="Arial" w:hAnsi="Arial"/>
          <w:i/>
          <w:iCs/>
          <w:sz w:val="20"/>
          <w:szCs w:val="20"/>
        </w:rPr>
        <w:t xml:space="preserve"> en que una persona indígena requiera asistencia letrada y no pueda cubrir los costos, la administración de justicia proveerá la asistencia de una persona defensora pública especializada en derecho indígena y en la materia de competencia de forma gratuita….”</w:t>
      </w:r>
    </w:p>
    <w:p>
      <w:pPr>
        <w:pStyle w:val="Normal"/>
        <w:spacing w:lineRule="auto" w:line="360"/>
        <w:jc w:val="both"/>
        <w:rPr>
          <w:rFonts w:ascii="Arial" w:hAnsi="Arial" w:cs="Arial"/>
          <w:sz w:val="20"/>
          <w:szCs w:val="20"/>
        </w:rPr>
      </w:pPr>
      <w:r>
        <w:rPr>
          <w:rFonts w:cs="Arial" w:ascii="Arial" w:hAnsi="Arial"/>
          <w:sz w:val="20"/>
          <w:szCs w:val="20"/>
        </w:rPr>
        <w:tab/>
      </w:r>
    </w:p>
    <w:p>
      <w:pPr>
        <w:pStyle w:val="Normal"/>
        <w:spacing w:lineRule="auto" w:line="360"/>
        <w:ind w:firstLine="708"/>
        <w:jc w:val="both"/>
        <w:rPr>
          <w:rFonts w:ascii="Arial" w:hAnsi="Arial" w:cs="Arial"/>
          <w:sz w:val="20"/>
          <w:szCs w:val="20"/>
          <w:lang w:val="es-ES"/>
        </w:rPr>
      </w:pPr>
      <w:r>
        <w:rPr>
          <w:rFonts w:cs="Arial" w:ascii="Arial" w:hAnsi="Arial"/>
          <w:sz w:val="20"/>
          <w:szCs w:val="20"/>
        </w:rPr>
        <w:t xml:space="preserve">En dicho numeral se establece que la Defensa Pública debe brindar asistencia letrada a las personas indígenas (físicas y jurídicas) en todo tipo de procesos judiciales a nivel nacional, cuando no puedan cubrir los costos. De tal forma que </w:t>
      </w:r>
      <w:r>
        <w:rPr>
          <w:rFonts w:cs="Arial" w:ascii="Arial" w:hAnsi="Arial"/>
          <w:sz w:val="20"/>
          <w:szCs w:val="20"/>
          <w:lang w:val="es-ES"/>
        </w:rPr>
        <w:t>la Defensa Pública únicamente está habilitada por Ley para actuar en la sede judicial. Por ende, las gestiones que deben realizarse en sede administrativa, les concierne a las personas indígenas llevarlas a cabo en la Institución Pública que corresponda.</w:t>
      </w:r>
    </w:p>
    <w:p>
      <w:pPr>
        <w:pStyle w:val="Normal"/>
        <w:spacing w:lineRule="auto" w:line="360"/>
        <w:jc w:val="both"/>
        <w:rPr>
          <w:rFonts w:ascii="Arial" w:hAnsi="Arial" w:cs="Arial"/>
          <w:sz w:val="20"/>
          <w:szCs w:val="20"/>
          <w:lang w:val="es-ES"/>
        </w:rPr>
      </w:pPr>
      <w:r>
        <w:rPr>
          <w:rFonts w:cs="Arial" w:ascii="Arial" w:hAnsi="Arial"/>
          <w:sz w:val="20"/>
          <w:szCs w:val="20"/>
          <w:lang w:val="es-ES"/>
        </w:rPr>
      </w:r>
    </w:p>
    <w:p>
      <w:pPr>
        <w:pStyle w:val="Normal"/>
        <w:spacing w:lineRule="auto" w:line="360"/>
        <w:ind w:firstLine="708"/>
        <w:jc w:val="both"/>
        <w:rPr>
          <w:rFonts w:ascii="Arial" w:hAnsi="Arial" w:cs="Arial"/>
          <w:sz w:val="20"/>
          <w:szCs w:val="20"/>
          <w:lang w:val="es-ES"/>
        </w:rPr>
      </w:pPr>
      <w:r>
        <w:rPr>
          <w:rFonts w:cs="Arial" w:ascii="Arial" w:hAnsi="Arial"/>
          <w:sz w:val="20"/>
          <w:szCs w:val="20"/>
          <w:lang w:val="es-ES"/>
        </w:rPr>
        <w:t>En este mismo sentido, debo indicar que el artículo 7 supra citado, establece que para que la Defensa Pública pueda actuar en la sede judicial, debe seguirse el trámite ante los despachos judiciales respectivos, solicitando la designación de persona defensora pública en el despacho correspondiente, y a partir de esto se asigna la persona defensora pública que corresponde. (Se adjunta la circular 67-2019 del Consejo Superior al respecto).</w:t>
      </w:r>
    </w:p>
    <w:p>
      <w:pPr>
        <w:pStyle w:val="Normal"/>
        <w:spacing w:lineRule="auto" w:line="360"/>
        <w:ind w:firstLine="708"/>
        <w:jc w:val="both"/>
        <w:rPr>
          <w:rFonts w:ascii="Arial" w:hAnsi="Arial" w:cs="Arial"/>
          <w:sz w:val="20"/>
          <w:szCs w:val="20"/>
          <w:lang w:val="es-ES"/>
        </w:rPr>
      </w:pPr>
      <w:r>
        <w:rPr>
          <w:rFonts w:cs="Arial" w:ascii="Arial" w:hAnsi="Arial"/>
          <w:sz w:val="20"/>
          <w:szCs w:val="20"/>
          <w:lang w:val="es-ES"/>
        </w:rPr>
        <w:t xml:space="preserve">                                                </w:t>
      </w:r>
      <w:bookmarkStart w:id="0" w:name="_MON_1631604396"/>
      <w:bookmarkEnd w:id="0"/>
      <w:r>
        <w:rPr/>
        <w:object>
          <v:shape id="ole_rId14" style="width:77.65pt;height:50.1pt" o:ole="">
            <v:imagedata r:id="rId15" o:title=""/>
          </v:shape>
          <o:OLEObject Type="Embed" ProgID="Word.Document.8" ShapeID="ole_rId14" DrawAspect="Icon" ObjectID="_1947458013" r:id="rId14"/>
        </w:object>
      </w:r>
    </w:p>
    <w:p>
      <w:pPr>
        <w:pStyle w:val="Normal"/>
        <w:spacing w:lineRule="auto" w:line="360"/>
        <w:jc w:val="both"/>
        <w:rPr>
          <w:rFonts w:ascii="Arial" w:hAnsi="Arial" w:cs="Arial"/>
          <w:sz w:val="20"/>
          <w:szCs w:val="20"/>
          <w:lang w:val="es-ES"/>
        </w:rPr>
      </w:pPr>
      <w:r>
        <w:rPr>
          <w:rFonts w:cs="Arial" w:ascii="Arial" w:hAnsi="Arial"/>
          <w:sz w:val="20"/>
          <w:szCs w:val="20"/>
          <w:lang w:val="es-ES"/>
        </w:rPr>
        <w:tab/>
        <w:t>Sobre la atención a personas indígenas debo señalar que la Defensa Pública agraria ha realizado una gran cantidad de visitas, incluso en compañía de personas defensoras públicas de otras materias. Ejemplo de ello es la visita llevada a cabo el 18 de julio de 2019 por parte de la Licda. Nubia Miranda y otro compañero defensor público al territorio indígena Térraba-Bröran, en la que participaron 24 personas del pueblo teribe, entre ellos parte de miembros del Consejo de Mayores Bröran, personas recuperadoras de territorios, así como algunas mujeres representantes de organizaciones internas del territorio, y otras personas del pueblo indígena Téribe. (Se adjuntan dos fotos: una de la reunión de la mañana y otra de la tarde)</w:t>
      </w:r>
    </w:p>
    <w:p>
      <w:pPr>
        <w:pStyle w:val="Normal"/>
        <w:spacing w:lineRule="auto" w:line="360"/>
        <w:jc w:val="both"/>
        <w:rPr>
          <w:rFonts w:ascii="Arial" w:hAnsi="Arial" w:cs="Arial"/>
          <w:sz w:val="20"/>
          <w:szCs w:val="20"/>
          <w:lang w:val="es-ES"/>
        </w:rPr>
      </w:pPr>
      <w:r>
        <w:rPr>
          <w:rFonts w:cs="Arial" w:ascii="Arial" w:hAnsi="Arial"/>
          <w:sz w:val="20"/>
          <w:szCs w:val="20"/>
          <w:lang w:val="es-ES"/>
        </w:rPr>
        <mc:AlternateContent>
          <mc:Choice Requires="wps">
            <w:drawing>
              <wp:anchor behindDoc="0" distT="0" distB="0" distL="0" distR="0" simplePos="0" locked="0" layoutInCell="0" allowOverlap="1" relativeHeight="14" wp14:anchorId="468B4C02">
                <wp:simplePos x="0" y="0"/>
                <wp:positionH relativeFrom="column">
                  <wp:posOffset>-97790</wp:posOffset>
                </wp:positionH>
                <wp:positionV relativeFrom="paragraph">
                  <wp:posOffset>114300</wp:posOffset>
                </wp:positionV>
                <wp:extent cx="2854960" cy="2140585"/>
                <wp:effectExtent l="1270" t="0" r="1905" b="0"/>
                <wp:wrapNone/>
                <wp:docPr id="5" name="Cuadro de texto 2"/>
                <a:graphic xmlns:a="http://schemas.openxmlformats.org/drawingml/2006/main">
                  <a:graphicData uri="http://schemas.microsoft.com/office/word/2010/wordprocessingShape">
                    <wps:wsp>
                      <wps:cNvSpPr/>
                      <wps:spPr>
                        <a:xfrm>
                          <a:off x="0" y="0"/>
                          <a:ext cx="2854440" cy="2139840"/>
                        </a:xfrm>
                        <a:prstGeom prst="rect">
                          <a:avLst/>
                        </a:prstGeom>
                        <a:solidFill>
                          <a:srgbClr val="ffffff"/>
                        </a:solidFill>
                        <a:ln w="0">
                          <a:noFill/>
                        </a:ln>
                      </wps:spPr>
                      <wps:style>
                        <a:lnRef idx="0"/>
                        <a:fillRef idx="0"/>
                        <a:effectRef idx="0"/>
                        <a:fontRef idx="minor"/>
                      </wps:style>
                      <wps:txbx>
                        <w:txbxContent>
                          <w:p>
                            <w:pPr>
                              <w:pStyle w:val="Contenidodelmarco"/>
                              <w:spacing w:before="0" w:after="160"/>
                              <w:rPr/>
                            </w:pPr>
                            <w:r>
                              <w:rPr/>
                              <w:drawing>
                                <wp:inline distT="0" distB="0" distL="0" distR="0">
                                  <wp:extent cx="2698750" cy="2025650"/>
                                  <wp:effectExtent l="0" t="0" r="0" b="0"/>
                                  <wp:docPr id="7"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1" descr=""/>
                                          <pic:cNvPicPr>
                                            <a:picLocks noChangeAspect="1" noChangeArrowheads="1"/>
                                          </pic:cNvPicPr>
                                        </pic:nvPicPr>
                                        <pic:blipFill>
                                          <a:blip r:embed="rId16"/>
                                          <a:stretch>
                                            <a:fillRect/>
                                          </a:stretch>
                                        </pic:blipFill>
                                        <pic:spPr bwMode="auto">
                                          <a:xfrm>
                                            <a:off x="0" y="0"/>
                                            <a:ext cx="2698750" cy="2025650"/>
                                          </a:xfrm>
                                          <a:prstGeom prst="rect">
                                            <a:avLst/>
                                          </a:prstGeom>
                                        </pic:spPr>
                                      </pic:pic>
                                    </a:graphicData>
                                  </a:graphic>
                                </wp:inline>
                              </w:drawing>
                            </w:r>
                          </w:p>
                        </w:txbxContent>
                      </wps:txbx>
                      <wps:bodyPr>
                        <a:noAutofit/>
                      </wps:bodyPr>
                    </wps:wsp>
                  </a:graphicData>
                </a:graphic>
              </wp:anchor>
            </w:drawing>
          </mc:Choice>
          <mc:Fallback>
            <w:pict>
              <v:rect id="shape_0" ID="Cuadro de texto 2" fillcolor="white" stroked="f" style="position:absolute;margin-left:-7.7pt;margin-top:9pt;width:224.7pt;height:168.45pt;mso-wrap-style:none;v-text-anchor:middle" wp14:anchorId="468B4C02">
                <v:fill o:detectmouseclick="t" type="solid" color2="black"/>
                <v:stroke color="#3465a4" joinstyle="round" endcap="flat"/>
                <v:textbox>
                  <w:txbxContent>
                    <w:p>
                      <w:pPr>
                        <w:pStyle w:val="Contenidodelmarco"/>
                        <w:spacing w:before="0" w:after="160"/>
                        <w:rPr/>
                      </w:pPr>
                      <w:r>
                        <w:rPr/>
                        <w:drawing>
                          <wp:inline distT="0" distB="0" distL="0" distR="0">
                            <wp:extent cx="2698750" cy="2025650"/>
                            <wp:effectExtent l="0" t="0" r="0" b="0"/>
                            <wp:docPr id="8"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 descr=""/>
                                    <pic:cNvPicPr>
                                      <a:picLocks noChangeAspect="1" noChangeArrowheads="1"/>
                                    </pic:cNvPicPr>
                                  </pic:nvPicPr>
                                  <pic:blipFill>
                                    <a:blip r:embed="rId16"/>
                                    <a:stretch>
                                      <a:fillRect/>
                                    </a:stretch>
                                  </pic:blipFill>
                                  <pic:spPr bwMode="auto">
                                    <a:xfrm>
                                      <a:off x="0" y="0"/>
                                      <a:ext cx="2698750" cy="2025650"/>
                                    </a:xfrm>
                                    <a:prstGeom prst="rect">
                                      <a:avLst/>
                                    </a:prstGeom>
                                  </pic:spPr>
                                </pic:pic>
                              </a:graphicData>
                            </a:graphic>
                          </wp:inline>
                        </w:drawing>
                      </w:r>
                    </w:p>
                  </w:txbxContent>
                </v:textbox>
                <w10:wrap type="none"/>
              </v:rect>
            </w:pict>
          </mc:Fallback>
        </mc:AlternateContent>
        <mc:AlternateContent>
          <mc:Choice Requires="wps">
            <w:drawing>
              <wp:anchor behindDoc="0" distT="0" distB="0" distL="0" distR="0" simplePos="0" locked="0" layoutInCell="0" allowOverlap="1" relativeHeight="15" wp14:anchorId="0E78ACD6">
                <wp:simplePos x="0" y="0"/>
                <wp:positionH relativeFrom="column">
                  <wp:posOffset>3037205</wp:posOffset>
                </wp:positionH>
                <wp:positionV relativeFrom="paragraph">
                  <wp:posOffset>151765</wp:posOffset>
                </wp:positionV>
                <wp:extent cx="2839085" cy="2157095"/>
                <wp:effectExtent l="2540" t="0" r="0" b="635"/>
                <wp:wrapNone/>
                <wp:docPr id="9" name="Cuadro de texto 4"/>
                <a:graphic xmlns:a="http://schemas.openxmlformats.org/drawingml/2006/main">
                  <a:graphicData uri="http://schemas.microsoft.com/office/word/2010/wordprocessingShape">
                    <wps:wsp>
                      <wps:cNvSpPr/>
                      <wps:spPr>
                        <a:xfrm>
                          <a:off x="0" y="0"/>
                          <a:ext cx="2838600" cy="2156400"/>
                        </a:xfrm>
                        <a:prstGeom prst="rect">
                          <a:avLst/>
                        </a:prstGeom>
                        <a:solidFill>
                          <a:srgbClr val="ffffff"/>
                        </a:solidFill>
                        <a:ln w="0">
                          <a:noFill/>
                        </a:ln>
                      </wps:spPr>
                      <wps:style>
                        <a:lnRef idx="0"/>
                        <a:fillRef idx="0"/>
                        <a:effectRef idx="0"/>
                        <a:fontRef idx="minor"/>
                      </wps:style>
                      <wps:txbx>
                        <w:txbxContent>
                          <w:p>
                            <w:pPr>
                              <w:pStyle w:val="Contenidodelmarco"/>
                              <w:spacing w:before="0" w:after="160"/>
                              <w:rPr/>
                            </w:pPr>
                            <w:r>
                              <w:rPr/>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n 1" stroked="f" style="position:absolute;margin-left:0pt;margin-top:-155.55pt;width:207.45pt;height:155.45pt;mso-wrap-style:none;v-text-anchor:middle;rotation:180;mso-position-vertical:top" wp14:anchorId="7CBB3A8C" type="shapetype_75">
                                  <v:imagedata r:id="rId17" o:detectmouseclick="t"/>
                                  <v:stroke color="#3465a4" joinstyle="round" endcap="flat"/>
                                  <w10:wrap type="square"/>
                                </v:shape>
                              </w:pict>
                            </w:r>
                          </w:p>
                        </w:txbxContent>
                      </wps:txbx>
                      <wps:bodyPr>
                        <a:noAutofit/>
                      </wps:bodyPr>
                    </wps:wsp>
                  </a:graphicData>
                </a:graphic>
              </wp:anchor>
            </w:drawing>
          </mc:Choice>
          <mc:Fallback>
            <w:pict>
              <v:rect id="shape_0" ID="Cuadro de texto 4" fillcolor="white" stroked="f" style="position:absolute;margin-left:239.15pt;margin-top:11.95pt;width:223.45pt;height:169.75pt;mso-wrap-style:none;v-text-anchor:middle" wp14:anchorId="0E78ACD6">
                <v:fill o:detectmouseclick="t" type="solid" color2="black"/>
                <v:stroke color="#3465a4" joinstyle="round" endcap="flat"/>
                <v:textbox>
                  <w:txbxContent>
                    <w:p>
                      <w:pPr>
                        <w:pStyle w:val="Contenidodelmarco"/>
                        <w:spacing w:before="0" w:after="160"/>
                        <w:rPr/>
                      </w:pPr>
                      <w:r>
                        <w:rPr/>
                        <w:pict>
                          <v:shape id="shape_0" ID="Imagen 1" stroked="f" style="position:absolute;margin-left:0pt;margin-top:-155.55pt;width:207.45pt;height:155.45pt;mso-wrap-style:none;v-text-anchor:middle;rotation:180;mso-position-vertical:top" wp14:anchorId="7CBB3A8C" type="shapetype_75">
                            <v:imagedata r:id="rId17" o:detectmouseclick="t"/>
                            <v:stroke color="#3465a4" joinstyle="round" endcap="flat"/>
                            <w10:wrap type="square"/>
                          </v:shape>
                        </w:pict>
                      </w:r>
                    </w:p>
                  </w:txbxContent>
                </v:textbox>
              </v:rect>
            </w:pict>
          </mc:Fallback>
        </mc:AlternateContent>
      </w:r>
    </w:p>
    <w:p>
      <w:pPr>
        <w:pStyle w:val="Normal"/>
        <w:spacing w:lineRule="auto" w:line="360"/>
        <w:jc w:val="both"/>
        <w:rPr>
          <w:rFonts w:ascii="Arial" w:hAnsi="Arial" w:cs="Arial"/>
          <w:sz w:val="20"/>
          <w:szCs w:val="20"/>
          <w:lang w:val="es-ES"/>
        </w:rPr>
      </w:pPr>
      <w:r>
        <w:rPr>
          <w:rFonts w:cs="Arial" w:ascii="Arial" w:hAnsi="Arial"/>
          <w:sz w:val="20"/>
          <w:szCs w:val="20"/>
          <w:lang w:val="es-ES"/>
        </w:rPr>
      </w:r>
    </w:p>
    <w:p>
      <w:pPr>
        <w:pStyle w:val="Normal"/>
        <w:spacing w:lineRule="auto" w:line="360"/>
        <w:jc w:val="both"/>
        <w:rPr>
          <w:rFonts w:ascii="Arial" w:hAnsi="Arial" w:cs="Arial"/>
          <w:sz w:val="20"/>
          <w:szCs w:val="20"/>
          <w:lang w:val="es-ES"/>
        </w:rPr>
      </w:pPr>
      <w:r>
        <w:rPr>
          <w:rFonts w:cs="Arial" w:ascii="Arial" w:hAnsi="Arial"/>
          <w:sz w:val="20"/>
          <w:szCs w:val="20"/>
          <w:lang w:val="es-ES"/>
        </w:rPr>
      </w:r>
    </w:p>
    <w:p>
      <w:pPr>
        <w:pStyle w:val="Normal"/>
        <w:spacing w:lineRule="auto" w:line="360"/>
        <w:jc w:val="both"/>
        <w:rPr>
          <w:rFonts w:ascii="Arial" w:hAnsi="Arial" w:cs="Arial"/>
          <w:sz w:val="20"/>
          <w:szCs w:val="20"/>
          <w:lang w:val="es-ES"/>
        </w:rPr>
      </w:pPr>
      <w:r>
        <w:rPr>
          <w:rFonts w:cs="Arial" w:ascii="Arial" w:hAnsi="Arial"/>
          <w:sz w:val="20"/>
          <w:szCs w:val="20"/>
          <w:lang w:val="es-ES"/>
        </w:rPr>
      </w:r>
    </w:p>
    <w:p>
      <w:pPr>
        <w:pStyle w:val="Normal"/>
        <w:spacing w:lineRule="auto" w:line="360"/>
        <w:jc w:val="both"/>
        <w:rPr>
          <w:rFonts w:ascii="Arial" w:hAnsi="Arial" w:cs="Arial"/>
          <w:sz w:val="20"/>
          <w:szCs w:val="20"/>
          <w:lang w:val="es-ES"/>
        </w:rPr>
      </w:pPr>
      <w:r>
        <w:rPr>
          <w:rFonts w:cs="Arial" w:ascii="Arial" w:hAnsi="Arial"/>
          <w:sz w:val="20"/>
          <w:szCs w:val="20"/>
          <w:lang w:val="es-ES"/>
        </w:rPr>
      </w:r>
    </w:p>
    <w:p>
      <w:pPr>
        <w:pStyle w:val="Normal"/>
        <w:spacing w:lineRule="auto" w:line="360"/>
        <w:ind w:firstLine="708"/>
        <w:jc w:val="both"/>
        <w:rPr>
          <w:rFonts w:ascii="Arial" w:hAnsi="Arial" w:cs="Arial"/>
          <w:sz w:val="20"/>
          <w:szCs w:val="20"/>
          <w:lang w:val="es-ES"/>
        </w:rPr>
      </w:pPr>
      <w:r>
        <w:rPr>
          <w:rFonts w:cs="Arial" w:ascii="Arial" w:hAnsi="Arial"/>
          <w:sz w:val="20"/>
          <w:szCs w:val="20"/>
          <w:lang w:val="es-ES"/>
        </w:rPr>
      </w:r>
    </w:p>
    <w:p>
      <w:pPr>
        <w:pStyle w:val="Normal"/>
        <w:spacing w:lineRule="auto" w:line="360"/>
        <w:ind w:firstLine="708"/>
        <w:jc w:val="both"/>
        <w:rPr>
          <w:rFonts w:ascii="Arial" w:hAnsi="Arial" w:cs="Arial"/>
          <w:sz w:val="20"/>
          <w:szCs w:val="20"/>
          <w:lang w:val="es-ES"/>
        </w:rPr>
      </w:pPr>
      <w:r>
        <w:rPr>
          <w:rFonts w:cs="Arial" w:ascii="Arial" w:hAnsi="Arial"/>
          <w:sz w:val="20"/>
          <w:szCs w:val="20"/>
          <w:lang w:val="es-ES"/>
        </w:rPr>
        <w:t>Por último, debe indicarse que la Defensa Pública se encuentra en la mayor disposición de brindar asesoría técnica a las personas indígenas, de conformidad con el Principio de Legalidad.</w:t>
      </w:r>
    </w:p>
    <w:p>
      <w:pPr>
        <w:pStyle w:val="Normal"/>
        <w:spacing w:lineRule="auto" w:line="360"/>
        <w:jc w:val="both"/>
        <w:rPr>
          <w:rFonts w:ascii="Arial" w:hAnsi="Arial" w:cs="Arial"/>
          <w:sz w:val="20"/>
          <w:szCs w:val="20"/>
          <w:lang w:val="es-ES"/>
        </w:rPr>
      </w:pPr>
      <w:r>
        <w:rPr>
          <w:rFonts w:cs="Arial" w:ascii="Arial" w:hAnsi="Arial"/>
          <w:sz w:val="20"/>
          <w:szCs w:val="20"/>
          <w:lang w:val="es-ES"/>
        </w:rPr>
        <w:t xml:space="preserve"> </w:t>
      </w:r>
    </w:p>
    <w:p>
      <w:pPr>
        <w:pStyle w:val="Normal"/>
        <w:spacing w:lineRule="auto" w:line="360"/>
        <w:ind w:firstLine="708"/>
        <w:jc w:val="both"/>
        <w:rPr>
          <w:rFonts w:ascii="Arial" w:hAnsi="Arial" w:cs="Arial"/>
          <w:sz w:val="20"/>
          <w:szCs w:val="20"/>
          <w:lang w:val="es-ES"/>
        </w:rPr>
      </w:pPr>
      <w:r>
        <w:rPr>
          <w:rFonts w:cs="Arial" w:ascii="Arial" w:hAnsi="Arial"/>
          <w:sz w:val="20"/>
          <w:szCs w:val="20"/>
          <w:lang w:val="es-ES"/>
        </w:rPr>
        <w:t>Cualquier duda puede ser consultada en la Defensa Pública más cercana a la persona indígena, para facilitar así el Acceso a la Justicia.</w:t>
      </w:r>
    </w:p>
    <w:p>
      <w:pPr>
        <w:pStyle w:val="Normal"/>
        <w:spacing w:lineRule="auto" w:line="360"/>
        <w:jc w:val="both"/>
        <w:rPr>
          <w:rFonts w:ascii="Arial" w:hAnsi="Arial" w:cs="Arial"/>
          <w:sz w:val="20"/>
          <w:szCs w:val="20"/>
        </w:rPr>
      </w:pPr>
      <w:r>
        <w:rPr>
          <w:rFonts w:cs="Arial" w:ascii="Arial" w:hAnsi="Arial"/>
          <w:sz w:val="20"/>
          <w:szCs w:val="20"/>
        </w:rPr>
      </w:r>
    </w:p>
    <w:p>
      <w:pPr>
        <w:pStyle w:val="Normal"/>
        <w:spacing w:lineRule="auto" w:line="360"/>
        <w:jc w:val="both"/>
        <w:rPr>
          <w:rFonts w:ascii="Arial" w:hAnsi="Arial" w:cs="Arial"/>
          <w:sz w:val="20"/>
          <w:szCs w:val="20"/>
        </w:rPr>
      </w:pPr>
      <w:r>
        <w:rPr>
          <w:rFonts w:cs="Arial" w:ascii="Arial" w:hAnsi="Arial"/>
          <w:sz w:val="20"/>
          <w:szCs w:val="20"/>
        </w:rPr>
        <w:t>Con las mayores muestras de estima y consideración, se suscribe cordialmente,</w:t>
      </w:r>
    </w:p>
    <w:p>
      <w:pPr>
        <w:pStyle w:val="Normal"/>
        <w:spacing w:lineRule="auto" w:line="360"/>
        <w:jc w:val="both"/>
        <w:rPr>
          <w:rFonts w:ascii="Arial" w:hAnsi="Arial" w:cs="Arial"/>
          <w:sz w:val="20"/>
          <w:szCs w:val="20"/>
        </w:rPr>
      </w:pPr>
      <w:r>
        <w:rPr>
          <w:rFonts w:cs="Arial" w:ascii="Arial" w:hAnsi="Arial"/>
          <w:sz w:val="20"/>
          <w:szCs w:val="20"/>
        </w:rPr>
      </w:r>
    </w:p>
    <w:p>
      <w:pPr>
        <w:pStyle w:val="Normal"/>
        <w:spacing w:lineRule="auto" w:line="360"/>
        <w:jc w:val="both"/>
        <w:rPr>
          <w:rFonts w:ascii="Arial" w:hAnsi="Arial" w:cs="Arial"/>
          <w:b/>
          <w:b/>
          <w:sz w:val="20"/>
          <w:szCs w:val="20"/>
          <w:lang w:val="es-ES"/>
        </w:rPr>
      </w:pPr>
      <w:r>
        <w:rPr>
          <w:rFonts w:cs="Arial" w:ascii="Arial" w:hAnsi="Arial"/>
          <w:b/>
          <w:sz w:val="20"/>
          <w:szCs w:val="20"/>
          <w:lang w:val="es-ES"/>
        </w:rPr>
      </w:r>
    </w:p>
    <w:p>
      <w:pPr>
        <w:pStyle w:val="Normal"/>
        <w:rPr>
          <w:rFonts w:ascii="Arial" w:hAnsi="Arial" w:cs="Arial"/>
          <w:b/>
          <w:b/>
          <w:i/>
          <w:i/>
          <w:sz w:val="20"/>
          <w:szCs w:val="20"/>
          <w:lang w:val="es-ES"/>
        </w:rPr>
      </w:pPr>
      <w:r>
        <w:rPr>
          <w:rFonts w:cs="Arial" w:ascii="Arial" w:hAnsi="Arial"/>
          <w:b/>
          <w:i/>
          <w:sz w:val="20"/>
          <w:szCs w:val="20"/>
          <w:lang w:val="es-ES"/>
        </w:rPr>
        <w:t>Dr. Erick Núñez Rodriguez</w:t>
      </w:r>
    </w:p>
    <w:p>
      <w:pPr>
        <w:pStyle w:val="Normal"/>
        <w:rPr>
          <w:rFonts w:ascii="Arial" w:hAnsi="Arial" w:cs="Arial"/>
          <w:b/>
          <w:b/>
          <w:i/>
          <w:i/>
          <w:sz w:val="20"/>
          <w:szCs w:val="20"/>
          <w:lang w:val="es-ES"/>
        </w:rPr>
      </w:pPr>
      <w:r>
        <w:rPr>
          <w:rFonts w:cs="Arial" w:ascii="Arial" w:hAnsi="Arial"/>
          <w:b/>
          <w:i/>
          <w:sz w:val="20"/>
          <w:szCs w:val="20"/>
          <w:lang w:val="es-ES"/>
        </w:rPr>
        <w:t>Sub Jefe a.i .</w:t>
      </w:r>
    </w:p>
    <w:p>
      <w:pPr>
        <w:pStyle w:val="Normal"/>
        <w:rPr>
          <w:rFonts w:ascii="Arial" w:hAnsi="Arial" w:cs="Arial"/>
          <w:b/>
          <w:b/>
          <w:i/>
          <w:i/>
          <w:sz w:val="20"/>
          <w:szCs w:val="20"/>
          <w:lang w:val="es-ES"/>
        </w:rPr>
      </w:pPr>
      <w:r>
        <w:rPr>
          <w:rFonts w:cs="Arial" w:ascii="Arial" w:hAnsi="Arial"/>
          <w:b/>
          <w:i/>
          <w:sz w:val="20"/>
          <w:szCs w:val="20"/>
          <w:lang w:val="es-ES"/>
        </w:rPr>
        <w:t>Defensa Pública</w:t>
      </w:r>
    </w:p>
    <w:p>
      <w:pPr>
        <w:pStyle w:val="Normal"/>
        <w:rPr>
          <w:rFonts w:ascii="Arial" w:hAnsi="Arial" w:cs="Arial"/>
          <w:sz w:val="20"/>
          <w:szCs w:val="20"/>
        </w:rPr>
      </w:pPr>
      <w:r>
        <w:rPr/>
        <w:object>
          <v:shape id="ole_rId18" style="width:75.15pt;height:48.85pt" o:ole="">
            <v:imagedata r:id="rId19" o:title=""/>
          </v:shape>
          <o:OLEObject Type="Embed" ProgID="Package" ShapeID="ole_rId18" DrawAspect="Icon" ObjectID="_1279195799" r:id="rId18"/>
        </w:object>
      </w:r>
      <w:r>
        <w:rPr>
          <w:rFonts w:cs="Arial" w:ascii="Arial" w:hAnsi="Arial"/>
          <w:sz w:val="20"/>
          <w:szCs w:val="20"/>
        </w:rPr>
        <w:t xml:space="preserve"> </w:t>
      </w:r>
      <w:r>
        <w:rPr/>
        <w:object>
          <v:shape id="ole_rId20" style="width:75.15pt;height:48.85pt" o:ole="">
            <v:imagedata r:id="rId21" o:title=""/>
          </v:shape>
          <o:OLEObject Type="Embed" ProgID="Package" ShapeID="ole_rId20" DrawAspect="Icon" ObjectID="_405851361" r:id="rId20"/>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de la respuesta emitida por la Defensa Pública a la gestión planteada por las personas indígenas por medio de la jueza Damaris Vargas Vásquez en la condición de Coordinadora de la Subcomisión de Acceso a la Justicia de Pueblos Indígenas. 2° Comunicar el oficio en referencia al señor Pablo Sibar</w:t>
      </w:r>
      <w:r>
        <w:rPr>
          <w:rFonts w:cs="Arial" w:ascii="Arial" w:hAnsi="Arial"/>
          <w:i/>
          <w:iCs/>
          <w:sz w:val="20"/>
          <w:szCs w:val="20"/>
        </w:rPr>
        <w:t xml:space="preserve"> </w:t>
      </w:r>
      <w:r>
        <w:rPr>
          <w:rFonts w:cs="Arial" w:ascii="Arial" w:hAnsi="Arial"/>
          <w:sz w:val="20"/>
          <w:szCs w:val="20"/>
        </w:rPr>
        <w:t>por medio de la Unidad de Acceso a la Justicia.-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V</w:t>
      </w:r>
      <w:r>
        <w:rPr>
          <w:rFonts w:cs="Arial" w:ascii="Arial" w:hAnsi="Arial"/>
          <w:b/>
          <w:sz w:val="20"/>
          <w:szCs w:val="20"/>
          <w:u w:val="single"/>
        </w:rPr>
        <w:t>II</w:t>
      </w:r>
    </w:p>
    <w:p>
      <w:pPr>
        <w:pStyle w:val="Normal"/>
        <w:jc w:val="both"/>
        <w:rPr>
          <w:rFonts w:ascii="Arial" w:hAnsi="Arial" w:cs="Arial"/>
          <w:bCs/>
          <w:sz w:val="20"/>
          <w:szCs w:val="20"/>
        </w:rPr>
      </w:pPr>
      <w:r>
        <w:rPr>
          <w:rFonts w:cs="Arial" w:ascii="Arial" w:hAnsi="Arial"/>
          <w:bCs/>
          <w:sz w:val="20"/>
          <w:szCs w:val="20"/>
        </w:rPr>
        <w:t>La Unidad de Acceso a la Justicia remitió documentación base para el taller de construcción de políticas, la cual fue socializada con las personas integrantes de la Subcomisión:</w:t>
      </w:r>
    </w:p>
    <w:p>
      <w:pPr>
        <w:pStyle w:val="Normal"/>
        <w:rPr>
          <w:rFonts w:ascii="Arial" w:hAnsi="Arial" w:cs="Arial"/>
          <w:b/>
          <w:b/>
          <w:sz w:val="20"/>
          <w:szCs w:val="20"/>
          <w:u w:val="single"/>
        </w:rPr>
      </w:pPr>
      <w:r>
        <w:rPr>
          <w:rFonts w:cs="Arial" w:ascii="Arial" w:hAnsi="Arial"/>
          <w:b/>
          <w:sz w:val="20"/>
          <w:szCs w:val="20"/>
          <w:u w:val="single"/>
        </w:rPr>
      </w:r>
    </w:p>
    <w:p>
      <w:pPr>
        <w:pStyle w:val="Normal"/>
        <w:rPr>
          <w:rFonts w:ascii="Arial" w:hAnsi="Arial" w:cs="Arial"/>
          <w:b/>
          <w:b/>
          <w:sz w:val="20"/>
          <w:szCs w:val="20"/>
          <w:u w:val="single"/>
        </w:rPr>
      </w:pPr>
      <w:r>
        <w:rPr/>
        <w:drawing>
          <wp:inline distT="0" distB="0" distL="0" distR="0">
            <wp:extent cx="5612130" cy="3623310"/>
            <wp:effectExtent l="0" t="0" r="0" b="0"/>
            <wp:docPr id="13" name="Imagen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6" descr=""/>
                    <pic:cNvPicPr>
                      <a:picLocks noChangeAspect="1" noChangeArrowheads="1"/>
                    </pic:cNvPicPr>
                  </pic:nvPicPr>
                  <pic:blipFill>
                    <a:blip r:embed="rId22"/>
                    <a:stretch>
                      <a:fillRect/>
                    </a:stretch>
                  </pic:blipFill>
                  <pic:spPr bwMode="auto">
                    <a:xfrm>
                      <a:off x="0" y="0"/>
                      <a:ext cx="5612130" cy="3623310"/>
                    </a:xfrm>
                    <a:prstGeom prst="rect">
                      <a:avLst/>
                    </a:prstGeom>
                  </pic:spPr>
                </pic:pic>
              </a:graphicData>
            </a:graphic>
          </wp:inline>
        </w:drawing>
      </w:r>
    </w:p>
    <w:p>
      <w:pPr>
        <w:pStyle w:val="Normal"/>
        <w:rPr>
          <w:rFonts w:ascii="Arial" w:hAnsi="Arial" w:cs="Arial"/>
          <w:sz w:val="20"/>
          <w:szCs w:val="20"/>
        </w:rPr>
      </w:pPr>
      <w:r>
        <w:rPr>
          <w:rFonts w:cs="Arial" w:ascii="Arial" w:hAnsi="Arial"/>
          <w:sz w:val="20"/>
          <w:szCs w:val="20"/>
        </w:rPr>
      </w:r>
    </w:p>
    <w:p>
      <w:pPr>
        <w:pStyle w:val="Normal"/>
        <w:jc w:val="center"/>
        <w:rPr>
          <w:rFonts w:ascii="Arial" w:hAnsi="Arial" w:cs="Arial"/>
          <w:b/>
          <w:b/>
          <w:sz w:val="20"/>
          <w:szCs w:val="20"/>
          <w:u w:val="single"/>
        </w:rPr>
      </w:pPr>
      <w:r>
        <w:rPr>
          <w:rFonts w:cs="Arial" w:ascii="Arial" w:hAnsi="Arial"/>
          <w:b/>
          <w:sz w:val="20"/>
          <w:szCs w:val="20"/>
          <w:u w:val="single"/>
        </w:rPr>
        <w:t>Problemas: Población Indígena, Población LGBTQ+, Población Afrodescendiente</w:t>
      </w:r>
    </w:p>
    <w:tbl>
      <w:tblPr>
        <w:tblStyle w:val="Tablaconcuadrcula"/>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966"/>
        <w:gridCol w:w="2833"/>
        <w:gridCol w:w="3029"/>
      </w:tblGrid>
      <w:tr>
        <w:trPr/>
        <w:tc>
          <w:tcPr>
            <w:tcW w:w="2966" w:type="dxa"/>
            <w:tcBorders/>
            <w:shd w:color="auto" w:fill="D5DCE4" w:themeFill="text2" w:themeFillTint="33" w:val="clear"/>
          </w:tcPr>
          <w:p>
            <w:pPr>
              <w:pStyle w:val="Normal"/>
              <w:widowControl/>
              <w:spacing w:lineRule="auto" w:line="240" w:before="0" w:after="0"/>
              <w:jc w:val="center"/>
              <w:rPr>
                <w:rFonts w:ascii="Arial" w:hAnsi="Arial" w:cs="Arial"/>
                <w:b/>
                <w:b/>
                <w:sz w:val="20"/>
                <w:szCs w:val="20"/>
              </w:rPr>
            </w:pPr>
            <w:r>
              <w:rPr>
                <w:rFonts w:eastAsia="Calibri" w:cs="Arial" w:ascii="Arial" w:hAnsi="Arial"/>
                <w:b/>
                <w:kern w:val="0"/>
                <w:sz w:val="20"/>
                <w:szCs w:val="20"/>
                <w:lang w:val="es-CR" w:eastAsia="en-US" w:bidi="ar-SA"/>
              </w:rPr>
              <w:t>Población Indígena</w:t>
            </w:r>
          </w:p>
        </w:tc>
        <w:tc>
          <w:tcPr>
            <w:tcW w:w="2833" w:type="dxa"/>
            <w:tcBorders/>
            <w:shd w:color="auto" w:fill="D5DCE4" w:themeFill="text2" w:themeFillTint="33" w:val="clear"/>
          </w:tcPr>
          <w:p>
            <w:pPr>
              <w:pStyle w:val="Normal"/>
              <w:widowControl/>
              <w:spacing w:lineRule="auto" w:line="240" w:before="0" w:after="0"/>
              <w:jc w:val="center"/>
              <w:rPr>
                <w:rFonts w:ascii="Arial" w:hAnsi="Arial" w:cs="Arial"/>
                <w:b/>
                <w:b/>
                <w:sz w:val="20"/>
                <w:szCs w:val="20"/>
              </w:rPr>
            </w:pPr>
            <w:r>
              <w:rPr>
                <w:rFonts w:eastAsia="Calibri" w:cs="Arial" w:ascii="Arial" w:hAnsi="Arial"/>
                <w:b/>
                <w:kern w:val="0"/>
                <w:sz w:val="20"/>
                <w:szCs w:val="20"/>
                <w:lang w:val="es-CR" w:eastAsia="en-US" w:bidi="ar-SA"/>
              </w:rPr>
              <w:t>Población LGBTIQ+</w:t>
            </w:r>
          </w:p>
        </w:tc>
        <w:tc>
          <w:tcPr>
            <w:tcW w:w="3029" w:type="dxa"/>
            <w:tcBorders/>
            <w:shd w:color="auto" w:fill="D5DCE4" w:themeFill="text2" w:themeFillTint="33" w:val="clear"/>
          </w:tcPr>
          <w:p>
            <w:pPr>
              <w:pStyle w:val="Normal"/>
              <w:widowControl/>
              <w:spacing w:lineRule="auto" w:line="240" w:before="0" w:after="0"/>
              <w:jc w:val="center"/>
              <w:rPr>
                <w:rFonts w:ascii="Arial" w:hAnsi="Arial" w:cs="Arial"/>
                <w:b/>
                <w:b/>
                <w:sz w:val="20"/>
                <w:szCs w:val="20"/>
              </w:rPr>
            </w:pPr>
            <w:r>
              <w:rPr>
                <w:rFonts w:eastAsia="Calibri" w:cs="Arial" w:ascii="Arial" w:hAnsi="Arial"/>
                <w:b/>
                <w:kern w:val="0"/>
                <w:sz w:val="20"/>
                <w:szCs w:val="20"/>
                <w:lang w:val="es-CR" w:eastAsia="en-US" w:bidi="ar-SA"/>
              </w:rPr>
              <w:t xml:space="preserve">Población Afrodecendiente  </w:t>
            </w:r>
          </w:p>
        </w:tc>
      </w:tr>
      <w:tr>
        <w:trPr/>
        <w:tc>
          <w:tcPr>
            <w:tcW w:w="2966" w:type="dxa"/>
            <w:tcBorders/>
          </w:tcPr>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 xml:space="preserve">Desconocimiento de las personas operadoras de justicia acerca de la cosmovisión indígena y justicia tradicional. Variedad de etnias y diferencias culturales. </w:t>
            </w:r>
          </w:p>
          <w:p>
            <w:pPr>
              <w:pStyle w:val="Normal"/>
              <w:widowControl/>
              <w:spacing w:lineRule="auto" w:line="240" w:before="0" w:after="0"/>
              <w:jc w:val="center"/>
              <w:rPr>
                <w:rFonts w:ascii="Arial" w:hAnsi="Arial" w:cs="Arial"/>
                <w:b/>
                <w:b/>
                <w:sz w:val="20"/>
                <w:szCs w:val="20"/>
                <w:u w:val="single"/>
              </w:rPr>
            </w:pPr>
            <w:r>
              <w:rPr>
                <w:rFonts w:eastAsia="Calibri" w:cs="Arial" w:ascii="Arial" w:hAnsi="Arial"/>
                <w:b/>
                <w:kern w:val="0"/>
                <w:sz w:val="20"/>
                <w:szCs w:val="20"/>
                <w:u w:val="single"/>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Falta de sensibilidad o de conciencia para organizar y programar audiencias para personas de territorios indígenas (in situ), irrespetando las limitaciones geográficas y económicas de esta población.</w:t>
            </w:r>
          </w:p>
          <w:p>
            <w:pPr>
              <w:pStyle w:val="ListParagraph"/>
              <w:widowControl/>
              <w:spacing w:lineRule="auto" w:line="240" w:before="0" w:after="0"/>
              <w:contextualSpacing/>
              <w:jc w:val="left"/>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spacing w:lineRule="auto" w:line="240" w:before="0" w:after="0"/>
              <w:ind w:left="360" w:hanging="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Aplicación de la ley a pueblos indígenas en iguales condiciones que a otras poblaciones.</w:t>
            </w:r>
          </w:p>
          <w:p>
            <w:pPr>
              <w:pStyle w:val="ListParagraph"/>
              <w:widowControl/>
              <w:spacing w:lineRule="auto" w:line="240" w:before="0" w:after="0"/>
              <w:ind w:left="360" w:hanging="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Desconocimiento de la necesidad de utilizar los peritajes antropológicos y culturales, como una herramienta necesaria para comprender la cosmovisión de los pueblos indígenas. Así como la asignación de recursos para este tipo de diligencias.</w:t>
            </w:r>
          </w:p>
          <w:p>
            <w:pPr>
              <w:pStyle w:val="ListParagraph"/>
              <w:widowControl/>
              <w:spacing w:lineRule="auto" w:line="240" w:before="0" w:after="0"/>
              <w:ind w:left="360" w:hanging="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Limitaciones del personal judicial para contar con transporte oportuno para traslados a audiencias en territorio indígena y a sitios donde viven personas adultas mayores.</w:t>
            </w:r>
          </w:p>
          <w:p>
            <w:pPr>
              <w:pStyle w:val="Normal"/>
              <w:widowControl/>
              <w:spacing w:lineRule="auto" w:line="240" w:before="0" w:after="0"/>
              <w:jc w:val="center"/>
              <w:rPr>
                <w:rFonts w:ascii="Arial" w:hAnsi="Arial" w:cs="Arial"/>
                <w:b/>
                <w:b/>
                <w:sz w:val="20"/>
                <w:szCs w:val="20"/>
                <w:u w:val="single"/>
              </w:rPr>
            </w:pPr>
            <w:r>
              <w:rPr>
                <w:rFonts w:eastAsia="Calibri" w:cs="Arial" w:ascii="Arial" w:hAnsi="Arial"/>
                <w:b/>
                <w:kern w:val="0"/>
                <w:sz w:val="20"/>
                <w:szCs w:val="20"/>
                <w:u w:val="single"/>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No siempre se solicitan personas intérpretes y traductoras, cuando así se requiere, para diferentes acciones y trámites judiciales.</w:t>
            </w:r>
          </w:p>
          <w:p>
            <w:pPr>
              <w:pStyle w:val="Normal"/>
              <w:widowControl/>
              <w:spacing w:lineRule="auto" w:line="240" w:before="0" w:after="0"/>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Necesidad de capacitar al personal judicial sobre diversidad cultural, social, étnica entre otros.</w:t>
            </w:r>
          </w:p>
          <w:p>
            <w:pPr>
              <w:pStyle w:val="ListParagraph"/>
              <w:widowControl/>
              <w:spacing w:lineRule="auto" w:line="240" w:before="0" w:after="0"/>
              <w:contextualSpacing/>
              <w:jc w:val="left"/>
              <w:rPr>
                <w:rFonts w:ascii="Arial" w:hAnsi="Arial" w:cs="Arial"/>
                <w:sz w:val="20"/>
                <w:szCs w:val="20"/>
              </w:rPr>
            </w:pPr>
            <w:r>
              <w:rPr>
                <w:rFonts w:eastAsia="Calibri" w:cs="Arial" w:ascii="Arial" w:hAnsi="Arial"/>
                <w:kern w:val="0"/>
                <w:sz w:val="20"/>
                <w:szCs w:val="20"/>
                <w:lang w:val="es-CR" w:eastAsia="en-US" w:bidi="ar-SA"/>
              </w:rPr>
            </w:r>
          </w:p>
          <w:p>
            <w:pPr>
              <w:pStyle w:val="Normal"/>
              <w:widowControl/>
              <w:spacing w:lineRule="auto" w:line="240" w:before="0" w:after="0"/>
              <w:jc w:val="center"/>
              <w:rPr>
                <w:rFonts w:ascii="Arial" w:hAnsi="Arial" w:cs="Arial"/>
                <w:b/>
                <w:b/>
                <w:sz w:val="20"/>
                <w:szCs w:val="20"/>
                <w:u w:val="single"/>
              </w:rPr>
            </w:pPr>
            <w:r>
              <w:rPr>
                <w:rFonts w:eastAsia="Calibri" w:cs="Arial" w:ascii="Arial" w:hAnsi="Arial"/>
                <w:b/>
                <w:kern w:val="0"/>
                <w:sz w:val="20"/>
                <w:szCs w:val="20"/>
                <w:u w:val="single"/>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Falta de coordinación entre autoridades estatales y autoridades indígenas a fin de reconocer los acuerdos y formas de resolución de conflictos gestados en el derecho indígena.</w:t>
            </w:r>
          </w:p>
          <w:p>
            <w:pPr>
              <w:pStyle w:val="ListParagraph"/>
              <w:widowControl/>
              <w:spacing w:lineRule="auto" w:line="240" w:before="0" w:after="0"/>
              <w:ind w:left="360" w:hanging="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No se reconocen las resoluciones de los tribunales de Derecho Indígena.</w:t>
            </w:r>
          </w:p>
          <w:p>
            <w:pPr>
              <w:pStyle w:val="ListParagraph"/>
              <w:widowControl/>
              <w:spacing w:lineRule="auto" w:line="240" w:before="0" w:after="0"/>
              <w:ind w:left="360" w:hanging="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 xml:space="preserve">Es denegatorio el acceso a justicia sobre el procedimiento admisibilidad de traductores, ya que les solicitan certificados o títulos universitarios de que hablan idioma indígena. </w:t>
            </w:r>
          </w:p>
          <w:p>
            <w:pPr>
              <w:pStyle w:val="ListParagraph"/>
              <w:widowControl/>
              <w:spacing w:lineRule="auto" w:line="240" w:before="0" w:after="0"/>
              <w:ind w:left="360" w:hanging="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b/>
                <w:b/>
                <w:sz w:val="20"/>
                <w:szCs w:val="20"/>
                <w:u w:val="single"/>
              </w:rPr>
            </w:pPr>
            <w:r>
              <w:rPr>
                <w:rFonts w:eastAsia="Calibri" w:cs="Arial" w:ascii="Arial" w:hAnsi="Arial"/>
                <w:kern w:val="0"/>
                <w:sz w:val="20"/>
                <w:szCs w:val="20"/>
                <w:lang w:val="es-CR" w:eastAsia="en-US" w:bidi="ar-SA"/>
              </w:rPr>
              <w:t xml:space="preserve">En relación con personas indígenas es imprescindible la defensa técnica  en los procesos contenciosos administrativos. </w:t>
            </w:r>
          </w:p>
        </w:tc>
        <w:tc>
          <w:tcPr>
            <w:tcW w:w="2833" w:type="dxa"/>
            <w:tcBorders/>
          </w:tcPr>
          <w:p>
            <w:pPr>
              <w:pStyle w:val="ListParagraph"/>
              <w:widowControl/>
              <w:numPr>
                <w:ilvl w:val="0"/>
                <w:numId w:val="2"/>
              </w:numPr>
              <w:spacing w:lineRule="auto" w:line="240" w:before="0" w:after="0"/>
              <w:contextualSpacing/>
              <w:jc w:val="both"/>
              <w:rPr>
                <w:rFonts w:ascii="Arial" w:hAnsi="Arial" w:cs="Arial"/>
                <w:b/>
                <w:b/>
                <w:sz w:val="20"/>
                <w:szCs w:val="20"/>
                <w:u w:val="single"/>
              </w:rPr>
            </w:pPr>
            <w:r>
              <w:rPr>
                <w:rFonts w:eastAsia="Calibri" w:cs="Arial" w:ascii="Arial" w:hAnsi="Arial"/>
                <w:kern w:val="0"/>
                <w:sz w:val="20"/>
                <w:szCs w:val="20"/>
                <w:lang w:val="es-CR" w:eastAsia="en-US" w:bidi="ar-SA"/>
              </w:rPr>
              <w:t>Ausencia de celdas de tránsito idóneas para poblaciones privadas de libertad, personas con discapacidad, LGTBIQ+).</w:t>
            </w:r>
          </w:p>
          <w:p>
            <w:pPr>
              <w:pStyle w:val="ListParagraph"/>
              <w:widowControl/>
              <w:spacing w:lineRule="auto" w:line="240" w:before="0" w:after="0"/>
              <w:ind w:left="360" w:hanging="0"/>
              <w:contextualSpacing/>
              <w:jc w:val="both"/>
              <w:rPr>
                <w:rFonts w:ascii="Arial" w:hAnsi="Arial" w:cs="Arial"/>
                <w:b/>
                <w:b/>
                <w:sz w:val="20"/>
                <w:szCs w:val="20"/>
                <w:u w:val="single"/>
              </w:rPr>
            </w:pPr>
            <w:r>
              <w:rPr>
                <w:rFonts w:eastAsia="Calibri" w:cs="Arial" w:ascii="Arial" w:hAnsi="Arial"/>
                <w:b/>
                <w:kern w:val="0"/>
                <w:sz w:val="20"/>
                <w:szCs w:val="20"/>
                <w:u w:val="single"/>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Baños con perspectiva binaria de la sexualidad (no hay baños familiares ni neutros).</w:t>
            </w:r>
          </w:p>
          <w:p>
            <w:pPr>
              <w:pStyle w:val="ListParagraph"/>
              <w:widowControl/>
              <w:spacing w:lineRule="auto" w:line="240" w:before="0" w:after="0"/>
              <w:contextualSpacing/>
              <w:jc w:val="left"/>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 xml:space="preserve">Falta de capacitación y sensibilización en el tema, Derechos humanos, No discriminación.  </w:t>
            </w:r>
          </w:p>
          <w:p>
            <w:pPr>
              <w:pStyle w:val="ListParagraph"/>
              <w:widowControl/>
              <w:spacing w:lineRule="auto" w:line="240" w:before="0" w:after="0"/>
              <w:contextualSpacing/>
              <w:jc w:val="left"/>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 xml:space="preserve">Acciones que garanticen una atención respetuosa a las personas usuarias del Poder Judicial. </w:t>
            </w:r>
          </w:p>
          <w:p>
            <w:pPr>
              <w:pStyle w:val="ListParagraph"/>
              <w:widowControl/>
              <w:spacing w:lineRule="auto" w:line="240" w:before="0" w:after="0"/>
              <w:contextualSpacing/>
              <w:jc w:val="left"/>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spacing w:lineRule="auto" w:line="240" w:before="0" w:after="0"/>
              <w:ind w:left="360" w:hanging="0"/>
              <w:contextualSpacing/>
              <w:jc w:val="both"/>
              <w:rPr>
                <w:rFonts w:ascii="Arial" w:hAnsi="Arial" w:cs="Arial"/>
                <w:b/>
                <w:b/>
                <w:sz w:val="20"/>
                <w:szCs w:val="20"/>
                <w:u w:val="single"/>
              </w:rPr>
            </w:pPr>
            <w:r>
              <w:rPr>
                <w:rFonts w:eastAsia="Calibri" w:cs="Arial" w:ascii="Arial" w:hAnsi="Arial"/>
                <w:b/>
                <w:kern w:val="0"/>
                <w:sz w:val="20"/>
                <w:szCs w:val="20"/>
                <w:u w:val="single"/>
                <w:lang w:val="es-CR" w:eastAsia="en-US" w:bidi="ar-SA"/>
              </w:rPr>
            </w:r>
          </w:p>
        </w:tc>
        <w:tc>
          <w:tcPr>
            <w:tcW w:w="3029" w:type="dxa"/>
            <w:tcBorders/>
          </w:tcPr>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 xml:space="preserve">Capacitación y sensibilización en el tema de Derechos Humanos, NO discriminación, etnia,  interculturalidad. </w:t>
            </w:r>
          </w:p>
          <w:p>
            <w:pPr>
              <w:pStyle w:val="ListParagraph"/>
              <w:widowControl/>
              <w:spacing w:lineRule="auto" w:line="240" w:before="0" w:after="0"/>
              <w:ind w:left="360" w:hanging="0"/>
              <w:contextualSpacing/>
              <w:jc w:val="both"/>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 xml:space="preserve"> </w:t>
            </w:r>
            <w:r>
              <w:rPr>
                <w:rFonts w:eastAsia="Calibri" w:cs="Arial" w:ascii="Arial" w:hAnsi="Arial"/>
                <w:kern w:val="0"/>
                <w:sz w:val="20"/>
                <w:szCs w:val="20"/>
                <w:lang w:val="es-CR" w:eastAsia="en-US" w:bidi="ar-SA"/>
              </w:rPr>
              <w:t xml:space="preserve">Incluir en todos los registros judiciales la variable de afrodescencia, de manera que se visibilice la situación real y las necesidades de la población afrodescendiente. </w:t>
            </w:r>
          </w:p>
          <w:p>
            <w:pPr>
              <w:pStyle w:val="ListParagraph"/>
              <w:widowControl/>
              <w:spacing w:lineRule="auto" w:line="240" w:before="0" w:after="0"/>
              <w:contextualSpacing/>
              <w:jc w:val="left"/>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La Escuela Judicial y las Unidades de Capacitación deben incluir en los temarios de examen para ingresar al Poder Judicial (Carrera judicial, MP, DP), teoría sobre los derechos humanos de la población afrodescendiente, la discriminación racial, sus formas, manifestaciones y consecuencias.</w:t>
            </w:r>
          </w:p>
          <w:p>
            <w:pPr>
              <w:pStyle w:val="ListParagraph"/>
              <w:widowControl/>
              <w:spacing w:lineRule="auto" w:line="240" w:before="0" w:after="0"/>
              <w:contextualSpacing/>
              <w:jc w:val="left"/>
              <w:rPr>
                <w:rFonts w:ascii="Arial" w:hAnsi="Arial" w:cs="Arial"/>
                <w:sz w:val="20"/>
                <w:szCs w:val="20"/>
              </w:rPr>
            </w:pPr>
            <w:r>
              <w:rPr>
                <w:rFonts w:eastAsia="Calibri" w:cs="Arial" w:ascii="Arial" w:hAnsi="Arial"/>
                <w:kern w:val="0"/>
                <w:sz w:val="20"/>
                <w:szCs w:val="20"/>
                <w:lang w:val="es-CR" w:eastAsia="en-US" w:bidi="ar-SA"/>
              </w:rPr>
            </w:r>
          </w:p>
          <w:p>
            <w:pPr>
              <w:pStyle w:val="ListParagraph"/>
              <w:widowControl/>
              <w:numPr>
                <w:ilvl w:val="0"/>
                <w:numId w:val="2"/>
              </w:numPr>
              <w:spacing w:lineRule="auto" w:line="240" w:before="0" w:after="0"/>
              <w:contextualSpacing/>
              <w:jc w:val="both"/>
              <w:rPr>
                <w:rFonts w:ascii="Arial" w:hAnsi="Arial" w:cs="Arial"/>
                <w:sz w:val="20"/>
                <w:szCs w:val="20"/>
              </w:rPr>
            </w:pPr>
            <w:r>
              <w:rPr>
                <w:rFonts w:eastAsia="Calibri" w:cs="Arial" w:ascii="Arial" w:hAnsi="Arial"/>
                <w:kern w:val="0"/>
                <w:sz w:val="20"/>
                <w:szCs w:val="20"/>
                <w:lang w:val="es-CR" w:eastAsia="en-US" w:bidi="ar-SA"/>
              </w:rPr>
              <w:t>Aplicación de normativa, convenciones e instrumentos internacionales de población afrodescendientes en todo el quehacer institucional.</w:t>
            </w:r>
          </w:p>
        </w:tc>
      </w:tr>
    </w:tbl>
    <w:p>
      <w:pPr>
        <w:pStyle w:val="Normal"/>
        <w:jc w:val="center"/>
        <w:rPr>
          <w:rFonts w:ascii="Arial" w:hAnsi="Arial" w:cs="Arial"/>
          <w:b/>
          <w:b/>
          <w:sz w:val="20"/>
          <w:szCs w:val="20"/>
          <w:u w:val="single"/>
        </w:rPr>
      </w:pPr>
      <w:r>
        <w:rPr>
          <w:rFonts w:cs="Arial" w:ascii="Arial" w:hAnsi="Arial"/>
          <w:b/>
          <w:sz w:val="20"/>
          <w:szCs w:val="20"/>
          <w:u w:val="single"/>
        </w:rPr>
      </w:r>
    </w:p>
    <w:p>
      <w:pPr>
        <w:pStyle w:val="Normal"/>
        <w:rPr>
          <w:rFonts w:ascii="Arial" w:hAnsi="Arial" w:cs="Arial"/>
          <w:sz w:val="20"/>
          <w:szCs w:val="20"/>
        </w:rPr>
      </w:pPr>
      <w:r>
        <w:rPr>
          <w:rFonts w:cs="Arial" w:ascii="Arial" w:hAnsi="Arial"/>
          <w:sz w:val="20"/>
          <w:szCs w:val="20"/>
        </w:rPr>
        <w:t>La Fiscala Indígena Tattiana García, remitió las siguientes sugerencias en comunicado del 7 de octubre, 03:34 horas:</w:t>
      </w:r>
    </w:p>
    <w:p>
      <w:pPr>
        <w:pStyle w:val="Normal"/>
        <w:rPr>
          <w:rFonts w:ascii="Arial" w:hAnsi="Arial" w:cs="Arial"/>
          <w:sz w:val="20"/>
          <w:szCs w:val="20"/>
        </w:rPr>
      </w:pPr>
      <w:r>
        <w:rPr/>
        <w:drawing>
          <wp:inline distT="0" distB="0" distL="0" distR="0">
            <wp:extent cx="5612130" cy="3696970"/>
            <wp:effectExtent l="0" t="0" r="0" b="0"/>
            <wp:docPr id="14" name="Imagen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7" descr=""/>
                    <pic:cNvPicPr>
                      <a:picLocks noChangeAspect="1" noChangeArrowheads="1"/>
                    </pic:cNvPicPr>
                  </pic:nvPicPr>
                  <pic:blipFill>
                    <a:blip r:embed="rId23"/>
                    <a:stretch>
                      <a:fillRect/>
                    </a:stretch>
                  </pic:blipFill>
                  <pic:spPr bwMode="auto">
                    <a:xfrm>
                      <a:off x="0" y="0"/>
                      <a:ext cx="5612130" cy="3696970"/>
                    </a:xfrm>
                    <a:prstGeom prst="rect">
                      <a:avLst/>
                    </a:prstGeom>
                  </pic:spPr>
                </pic:pic>
              </a:graphicData>
            </a:graphic>
          </wp:inline>
        </w:drawing>
      </w:r>
    </w:p>
    <w:p>
      <w:pPr>
        <w:pStyle w:val="Normal"/>
        <w:rPr>
          <w:rFonts w:ascii="Arial" w:hAnsi="Arial" w:cs="Arial"/>
          <w:sz w:val="20"/>
          <w:szCs w:val="20"/>
        </w:rPr>
      </w:pPr>
      <w:r>
        <w:rPr>
          <w:rFonts w:cs="Arial" w:ascii="Arial" w:hAnsi="Arial"/>
          <w:sz w:val="20"/>
          <w:szCs w:val="20"/>
        </w:rPr>
        <w:t>La señora Cheryl Bolaños también remitió sugerencias.</w:t>
      </w:r>
    </w:p>
    <w:p>
      <w:pPr>
        <w:pStyle w:val="Normal"/>
        <w:rPr>
          <w:rFonts w:ascii="Arial" w:hAnsi="Arial" w:cs="Arial"/>
          <w:b/>
          <w:b/>
          <w:sz w:val="20"/>
          <w:szCs w:val="20"/>
          <w:u w:val="single"/>
        </w:rPr>
      </w:pPr>
      <w:r>
        <w:rPr/>
        <w:object>
          <v:shape id="ole_rId24" style="width:75.15pt;height:48.85pt" o:ole="">
            <v:imagedata r:id="rId25" o:title=""/>
          </v:shape>
          <o:OLEObject Type="Embed" ProgID="Package" ShapeID="ole_rId24" DrawAspect="Icon" ObjectID="_708724021" r:id="rId24"/>
        </w:object>
      </w:r>
      <w:r>
        <w:rPr>
          <w:rFonts w:cs="Arial" w:ascii="Arial" w:hAnsi="Arial"/>
          <w:sz w:val="20"/>
          <w:szCs w:val="20"/>
        </w:rPr>
        <w:t xml:space="preserve"> </w:t>
      </w:r>
      <w:r>
        <w:rPr/>
        <w:object>
          <v:shape id="ole_rId26" style="width:75.15pt;height:48.85pt" o:ole="">
            <v:imagedata r:id="rId27" o:title=""/>
          </v:shape>
          <o:OLEObject Type="Embed" ProgID="Package" ShapeID="ole_rId26" DrawAspect="Icon" ObjectID="_33709765" r:id="rId26"/>
        </w:object>
      </w:r>
      <w:r>
        <w:rPr>
          <w:rFonts w:cs="Arial" w:ascii="Arial" w:hAnsi="Arial"/>
          <w:sz w:val="20"/>
          <w:szCs w:val="20"/>
        </w:rPr>
        <w:t xml:space="preserve"> </w:t>
      </w:r>
      <w:r>
        <w:rPr/>
        <w:object>
          <v:shape id="ole_rId28" style="width:75.15pt;height:48.85pt" o:ole="">
            <v:imagedata r:id="rId29" o:title=""/>
          </v:shape>
          <o:OLEObject Type="Embed" ProgID="Package" ShapeID="ole_rId28" DrawAspect="Icon" ObjectID="_176404021" r:id="rId28"/>
        </w:object>
      </w:r>
    </w:p>
    <w:p>
      <w:pPr>
        <w:pStyle w:val="Normal"/>
        <w:jc w:val="both"/>
        <w:rPr>
          <w:rFonts w:ascii="Arial" w:hAnsi="Arial" w:cs="Arial"/>
          <w:sz w:val="20"/>
          <w:szCs w:val="20"/>
        </w:rPr>
      </w:pPr>
      <w:r>
        <w:rPr>
          <w:rFonts w:cs="Arial" w:ascii="Arial" w:hAnsi="Arial"/>
          <w:b/>
          <w:sz w:val="20"/>
          <w:szCs w:val="20"/>
        </w:rPr>
        <w:t>SE ACUERDA</w:t>
      </w:r>
      <w:r>
        <w:rPr>
          <w:rFonts w:cs="Arial" w:ascii="Arial" w:hAnsi="Arial"/>
          <w:bCs/>
          <w:sz w:val="20"/>
          <w:szCs w:val="20"/>
        </w:rPr>
        <w:t xml:space="preserve">: 1° Se toma nota de las observaciones planteadas a la propuesta. 2° Solicitar a la Unidad de Acceso a la Justicia informe de los resultados del Taller y una exposición sobre los avances en el plazo de cinco días para ser analizada en una posterior sesión de la Subcomisión, con el objetivo de continuar con el avance de la construcción de la Política. 3° </w:t>
      </w:r>
      <w:r>
        <w:rPr>
          <w:rFonts w:cs="Arial" w:ascii="Arial" w:hAnsi="Arial"/>
          <w:sz w:val="20"/>
          <w:szCs w:val="20"/>
        </w:rPr>
        <w:t>Se declara firme este acuerdo por unanimidad para su ejecución. Comuníquese a la Unidad de Acceso a la Justicia y a la Dirección de Planificación.-</w:t>
      </w:r>
    </w:p>
    <w:p>
      <w:pPr>
        <w:pStyle w:val="Normal"/>
        <w:jc w:val="both"/>
        <w:rPr>
          <w:rFonts w:ascii="Arial" w:hAnsi="Arial" w:cs="Arial"/>
          <w:sz w:val="20"/>
          <w:szCs w:val="20"/>
        </w:rPr>
      </w:pPr>
      <w:r>
        <w:rPr>
          <w:rFonts w:cs="Arial" w:ascii="Arial" w:hAnsi="Arial"/>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V</w:t>
      </w:r>
      <w:r>
        <w:rPr>
          <w:rFonts w:cs="Arial" w:ascii="Arial" w:hAnsi="Arial"/>
          <w:b/>
          <w:sz w:val="20"/>
          <w:szCs w:val="20"/>
          <w:u w:val="single"/>
        </w:rPr>
        <w:t>III</w:t>
      </w:r>
    </w:p>
    <w:p>
      <w:pPr>
        <w:pStyle w:val="Normal"/>
        <w:jc w:val="both"/>
        <w:rPr>
          <w:rFonts w:ascii="Arial" w:hAnsi="Arial" w:cs="Arial"/>
          <w:sz w:val="20"/>
          <w:szCs w:val="20"/>
          <w:lang w:val="es-ES"/>
        </w:rPr>
      </w:pPr>
      <w:r>
        <w:rPr>
          <w:rFonts w:cs="Arial" w:ascii="Arial" w:hAnsi="Arial"/>
          <w:bCs/>
          <w:sz w:val="20"/>
          <w:szCs w:val="20"/>
        </w:rPr>
        <w:t xml:space="preserve">En comunicado electrónico del </w:t>
      </w:r>
      <w:r>
        <w:rPr>
          <w:rFonts w:eastAsia="Times New Roman" w:cs="Arial" w:ascii="Arial" w:hAnsi="Arial"/>
          <w:sz w:val="20"/>
          <w:szCs w:val="20"/>
          <w:lang w:val="es-ES"/>
        </w:rPr>
        <w:t xml:space="preserve">06 de octubre de 2019, 06:55 p.m., se hizo de conocimiento de las y los integrantes de la Subcomisión el correo electrónico enviado por la Unidad de Acceso a la Justicia el </w:t>
      </w:r>
      <w:r>
        <w:rPr>
          <w:rFonts w:cs="Arial" w:ascii="Arial" w:hAnsi="Arial"/>
          <w:sz w:val="20"/>
          <w:szCs w:val="20"/>
          <w:lang w:val="es-ES"/>
        </w:rPr>
        <w:t>03 de septiembre de 2019, 11:51 a.m., en el que se señaló:</w:t>
      </w:r>
    </w:p>
    <w:p>
      <w:pPr>
        <w:pStyle w:val="Normal"/>
        <w:jc w:val="both"/>
        <w:rPr>
          <w:rFonts w:ascii="Arial" w:hAnsi="Arial" w:cs="Arial"/>
          <w:i/>
          <w:i/>
          <w:iCs/>
          <w:sz w:val="20"/>
          <w:szCs w:val="20"/>
          <w:lang w:val="es-ES"/>
        </w:rPr>
      </w:pPr>
      <w:r>
        <w:rPr>
          <w:rFonts w:cs="Arial" w:ascii="Arial" w:hAnsi="Arial"/>
          <w:i/>
          <w:iCs/>
          <w:sz w:val="20"/>
          <w:szCs w:val="20"/>
        </w:rPr>
        <w:t xml:space="preserve">“… </w:t>
      </w:r>
      <w:r>
        <w:rPr>
          <w:rFonts w:cs="Arial" w:ascii="Arial" w:hAnsi="Arial"/>
          <w:i/>
          <w:iCs/>
          <w:sz w:val="20"/>
          <w:szCs w:val="20"/>
        </w:rPr>
        <w:t xml:space="preserve">Según lo acordado en la reunión de “Validación de las Perspectivas de las Poblaciones en Condición de Vulnerabilidad “realizada en el Salón del ILANUD, se les remite el link de la página de la Comisión de Acceso a la Justicia para que realicen sus comentarios y aportes. Como ustedes tienen conocimiento, nos encontramos trabajando en un cronograma muy puntual, por lo que las observaciones y demás información que consideren pertinente, se les solicita de la manera más respetuosa remitirla a más tardar el día de mañana antes de las 3 pm. El formato para el respectivo envío deberá ser un </w:t>
      </w:r>
      <w:r>
        <w:rPr>
          <w:rFonts w:cs="Arial" w:ascii="Arial" w:hAnsi="Arial"/>
          <w:b/>
          <w:bCs/>
          <w:i/>
          <w:iCs/>
          <w:sz w:val="20"/>
          <w:szCs w:val="20"/>
          <w:u w:val="single"/>
        </w:rPr>
        <w:t>documento en Word</w:t>
      </w:r>
      <w:r>
        <w:rPr>
          <w:rFonts w:cs="Arial" w:ascii="Arial" w:hAnsi="Arial"/>
          <w:i/>
          <w:iCs/>
          <w:sz w:val="20"/>
          <w:szCs w:val="20"/>
        </w:rPr>
        <w:t xml:space="preserve"> con las indicaciones claras y especificas </w:t>
      </w:r>
      <w:r>
        <w:rPr>
          <w:rFonts w:cs="Arial" w:ascii="Arial" w:hAnsi="Arial"/>
          <w:b/>
          <w:bCs/>
          <w:i/>
          <w:iCs/>
          <w:sz w:val="20"/>
          <w:szCs w:val="20"/>
          <w:u w:val="single"/>
        </w:rPr>
        <w:t>asimismo indicando las subcomisión que representan.</w:t>
      </w:r>
      <w:r>
        <w:rPr>
          <w:rFonts w:cs="Arial" w:ascii="Arial" w:hAnsi="Arial"/>
          <w:i/>
          <w:iCs/>
          <w:sz w:val="20"/>
          <w:szCs w:val="20"/>
        </w:rPr>
        <w:t xml:space="preserve"> </w:t>
      </w:r>
      <w:r>
        <w:rPr>
          <w:rFonts w:cs="Arial" w:ascii="Arial" w:hAnsi="Arial"/>
          <w:i/>
          <w:iCs/>
          <w:sz w:val="20"/>
          <w:szCs w:val="20"/>
          <w:lang w:val="es-ES"/>
        </w:rPr>
        <w:t xml:space="preserve">Adjunto el link: </w:t>
      </w:r>
      <w:r>
        <w:fldChar w:fldCharType="begin"/>
      </w:r>
      <w:r>
        <w:rPr>
          <w:rStyle w:val="EnlacedeInternet"/>
          <w:sz w:val="20"/>
          <w:i/>
          <w:szCs w:val="20"/>
          <w:iCs/>
          <w:rFonts w:cs="Arial" w:ascii="Arial" w:hAnsi="Arial"/>
          <w:color w:val="auto"/>
        </w:rPr>
        <w:instrText> HYPERLINK "https://preview.uxpin.com/c8f06807eb57b2f55a03bc64967832517da0fb36" \l "/pages/117620193/simulate/no-panels?mode=i"</w:instrText>
      </w:r>
      <w:r>
        <w:rPr>
          <w:rStyle w:val="EnlacedeInternet"/>
          <w:sz w:val="20"/>
          <w:i/>
          <w:szCs w:val="20"/>
          <w:iCs/>
          <w:rFonts w:cs="Arial" w:ascii="Arial" w:hAnsi="Arial"/>
          <w:color w:val="auto"/>
        </w:rPr>
        <w:fldChar w:fldCharType="separate"/>
      </w:r>
      <w:r>
        <w:rPr>
          <w:rStyle w:val="EnlacedeInternet"/>
          <w:rFonts w:cs="Arial" w:ascii="Arial" w:hAnsi="Arial"/>
          <w:i/>
          <w:iCs/>
          <w:color w:val="auto"/>
          <w:sz w:val="20"/>
          <w:szCs w:val="20"/>
        </w:rPr>
        <w:t>https://preview.uxpin.com/c8f06807eb57b2f55a03bc64967832517da0fb36#/pages/117620193/simulate/no-panels?mode=i</w:t>
      </w:r>
      <w:r>
        <w:rPr>
          <w:rStyle w:val="EnlacedeInternet"/>
          <w:sz w:val="20"/>
          <w:i/>
          <w:szCs w:val="20"/>
          <w:iCs/>
          <w:rFonts w:cs="Arial" w:ascii="Arial" w:hAnsi="Arial"/>
          <w:color w:val="auto"/>
        </w:rPr>
        <w:fldChar w:fldCharType="end"/>
      </w:r>
      <w:r>
        <w:rPr>
          <w:rFonts w:cs="Arial" w:ascii="Arial" w:hAnsi="Arial"/>
          <w:i/>
          <w:iCs/>
          <w:sz w:val="20"/>
          <w:szCs w:val="20"/>
          <w:lang w:val="es-ES"/>
        </w:rPr>
        <w:t xml:space="preserve"> “</w:t>
      </w:r>
    </w:p>
    <w:p>
      <w:pPr>
        <w:pStyle w:val="Normal"/>
        <w:rPr>
          <w:rFonts w:ascii="Arial" w:hAnsi="Arial" w:cs="Arial"/>
          <w:b/>
          <w:b/>
          <w:sz w:val="20"/>
          <w:szCs w:val="20"/>
          <w:u w:val="single"/>
        </w:rPr>
      </w:pPr>
      <w:r>
        <w:rPr/>
        <w:object>
          <v:shape id="ole_rId30" style="width:75.15pt;height:48.85pt" o:ole="">
            <v:imagedata r:id="rId31" o:title=""/>
          </v:shape>
          <o:OLEObject Type="Embed" ProgID="Package" ShapeID="ole_rId30" DrawAspect="Icon" ObjectID="_2090091649" r:id="rId30"/>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2° Solicitar a la Unidad de Acceso a la Justicia un informe de los avances en el plazo de cinco días para ser analizado en el siguiente sesión.-</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 xml:space="preserve">ARTICULO </w:t>
      </w:r>
      <w:r>
        <w:rPr>
          <w:rFonts w:cs="Arial" w:ascii="Arial" w:hAnsi="Arial"/>
          <w:b/>
          <w:sz w:val="20"/>
          <w:szCs w:val="20"/>
          <w:u w:val="single"/>
        </w:rPr>
        <w:t>IX</w:t>
      </w:r>
    </w:p>
    <w:p>
      <w:pPr>
        <w:pStyle w:val="Normal"/>
        <w:jc w:val="both"/>
        <w:rPr>
          <w:rFonts w:ascii="Arial" w:hAnsi="Arial" w:cs="Arial"/>
          <w:sz w:val="20"/>
          <w:szCs w:val="20"/>
          <w:lang w:val="es-ES"/>
        </w:rPr>
      </w:pPr>
      <w:r>
        <w:rPr>
          <w:rFonts w:cs="Arial" w:ascii="Arial" w:hAnsi="Arial"/>
          <w:sz w:val="20"/>
          <w:szCs w:val="20"/>
        </w:rPr>
        <w:t xml:space="preserve">En comunicado electrónico del </w:t>
      </w:r>
      <w:bookmarkStart w:id="1" w:name="_MailOriginal"/>
      <w:r>
        <w:rPr>
          <w:rFonts w:eastAsia="Times New Roman" w:cs="Arial" w:ascii="Arial" w:hAnsi="Arial"/>
          <w:sz w:val="20"/>
          <w:szCs w:val="20"/>
          <w:lang w:val="es-ES"/>
        </w:rPr>
        <w:t xml:space="preserve">07 de octubre de 2019, 12:47 a.m., la jueza Damaris Vargas Vásquez en su condición de Coordinadora de la Subcomisión, hizo de conocimiento de las y los integrantes el correo enviado por el señor </w:t>
      </w:r>
      <w:r>
        <w:rPr>
          <w:rFonts w:cs="Arial" w:ascii="Arial" w:hAnsi="Arial"/>
          <w:sz w:val="20"/>
          <w:szCs w:val="20"/>
          <w:lang w:val="es-ES"/>
        </w:rPr>
        <w:t>Yeiner Josue Bonilla Ilama (</w:t>
      </w:r>
      <w:hyperlink r:id="rId32">
        <w:r>
          <w:rPr>
            <w:rStyle w:val="EnlacedeInternet"/>
            <w:rFonts w:cs="Arial" w:ascii="Arial" w:hAnsi="Arial"/>
            <w:color w:val="auto"/>
            <w:sz w:val="20"/>
            <w:szCs w:val="20"/>
          </w:rPr>
          <w:t>ybonilla@Poder-Judicial.go.cr</w:t>
        </w:r>
      </w:hyperlink>
      <w:r>
        <w:rPr>
          <w:rFonts w:cs="Arial" w:ascii="Arial" w:hAnsi="Arial"/>
          <w:sz w:val="20"/>
          <w:szCs w:val="20"/>
          <w:lang w:val="es-ES"/>
        </w:rPr>
        <w:t>) del 27 de septiembre de 2019, 08:37 a.m..</w:t>
      </w:r>
    </w:p>
    <w:p>
      <w:pPr>
        <w:pStyle w:val="Xmsonormal"/>
        <w:jc w:val="both"/>
        <w:rPr>
          <w:rFonts w:ascii="Arial" w:hAnsi="Arial" w:cs="Arial"/>
          <w:sz w:val="20"/>
          <w:szCs w:val="20"/>
        </w:rPr>
      </w:pPr>
      <w:r>
        <w:rPr>
          <w:rFonts w:cs="Arial" w:ascii="Arial" w:hAnsi="Arial"/>
          <w:sz w:val="20"/>
          <w:szCs w:val="20"/>
          <w:lang w:val="es-ES"/>
        </w:rPr>
        <w:t xml:space="preserve">La jueza Vargas señaló: </w:t>
      </w:r>
      <w:r>
        <w:rPr>
          <w:rFonts w:cs="Arial" w:ascii="Arial" w:hAnsi="Arial"/>
          <w:i/>
          <w:iCs/>
          <w:sz w:val="20"/>
          <w:szCs w:val="20"/>
          <w:lang w:val="es-ES"/>
        </w:rPr>
        <w:t>“</w:t>
      </w:r>
      <w:r>
        <w:rPr>
          <w:rFonts w:cs="Arial" w:ascii="Arial" w:hAnsi="Arial"/>
          <w:i/>
          <w:iCs/>
          <w:sz w:val="20"/>
          <w:szCs w:val="20"/>
        </w:rPr>
        <w:t>Traslado para su conocimiento la consulta planteada por el señor Yeiner Josué Bonilla Ilama, a efecto de que sea parte de la agenda de la siguiente sesión, sin perjuicio de que alguna de las personas integrantes cuya función esté relacionada directamente con la consulta pueda dar respuesta. En mi caso, como jueza integrante del Tribunal Agrario, me abstengo de emitir pronunciamiento por disposición legal. Copio este comunicado al señor Bonilla Ilama.”</w:t>
      </w:r>
    </w:p>
    <w:p>
      <w:pPr>
        <w:pStyle w:val="Xmsonormal"/>
        <w:jc w:val="both"/>
        <w:rPr>
          <w:rFonts w:ascii="Arial" w:hAnsi="Arial" w:cs="Arial"/>
          <w:sz w:val="20"/>
          <w:szCs w:val="20"/>
        </w:rPr>
      </w:pPr>
      <w:r>
        <w:rPr>
          <w:rFonts w:cs="Arial" w:ascii="Arial" w:hAnsi="Arial"/>
          <w:sz w:val="20"/>
          <w:szCs w:val="20"/>
        </w:rPr>
        <w:t> </w:t>
      </w:r>
    </w:p>
    <w:p>
      <w:pPr>
        <w:pStyle w:val="Normal"/>
        <w:jc w:val="both"/>
        <w:rPr>
          <w:rFonts w:ascii="Arial" w:hAnsi="Arial" w:cs="Arial"/>
          <w:sz w:val="20"/>
          <w:szCs w:val="20"/>
          <w:lang w:val="es-ES"/>
        </w:rPr>
      </w:pPr>
      <w:r>
        <w:rPr>
          <w:rFonts w:cs="Arial" w:ascii="Arial" w:hAnsi="Arial"/>
          <w:sz w:val="20"/>
          <w:szCs w:val="20"/>
        </w:rPr>
        <w:t xml:space="preserve">El señor Bonilla Ilama indicó: </w:t>
      </w:r>
    </w:p>
    <w:p>
      <w:pPr>
        <w:pStyle w:val="Normal"/>
        <w:jc w:val="both"/>
        <w:rPr>
          <w:rFonts w:ascii="Arial" w:hAnsi="Arial" w:cs="Arial"/>
          <w:i/>
          <w:i/>
          <w:iCs/>
          <w:sz w:val="20"/>
          <w:szCs w:val="20"/>
        </w:rPr>
      </w:pPr>
      <w:r>
        <w:rPr>
          <w:rFonts w:cs="Arial" w:ascii="Arial" w:hAnsi="Arial"/>
          <w:i/>
          <w:iCs/>
          <w:sz w:val="20"/>
          <w:szCs w:val="20"/>
        </w:rPr>
        <w:t>“</w:t>
      </w:r>
      <w:r>
        <w:rPr>
          <w:rFonts w:cs="Arial" w:ascii="Arial" w:hAnsi="Arial"/>
          <w:i/>
          <w:iCs/>
          <w:sz w:val="20"/>
          <w:szCs w:val="20"/>
        </w:rPr>
        <w:t>Comisión de Acceso a la Justicia de Pueblos Indígenas: La presente es para saludarlos y desear éxitos en su labores y a la vez realizarles la presente consulta: En el proceso interdictal tramitado bajo el expediente número 16-160024-1046-AG de Heidy Lorena Mora Zamora contra Clarita Quiel Torres y otros, el Tribunal Agrario mediante el voto N 1109-F-2018, procedió a la anulación del acta de notificación fechada 5 de abril de 2016, con la cual se pretendió notificar al demandado Obaldo u Ubaldo Quiel Torres el auto de traslado del 30 de marzo de 2016. Y en el cual se ordena que de previo a señalar nuevamente para realizar la audiencia de juicio, se deberá subsanar procedimientos, para lo cual deberá el juzgado ordenar la traducción en la lengua bribri y notificar así el auto de traslado, así como las restantes resoluciones y el contenido del reconocimiento judicial realizado el 30 de marzo del 2016 (que deberán notificarse a todas las partes demandadas. Por lo cual realizamos la presente consulta con el fin de se sirva indicar si existe persona idónea que pueda proceder con la transcripción en el lenguaje bribri del auto de traslado dictado por este despacho o bien se sirva indicar algún tipo de recomendación a efectos de proceder conforme lo ordenado mediante el supracitado voto. Agradeciendo la colaboración que nos puedan brindar. Cualquier consulta adicional con mucho gusto. Asimismo, adjunto oficio emitido por el Licenciado Jean Carlos Céspedes Mora juez agrario de Buenos Aires de Puntarenas. Yeiner Bonilla Ilama, Técnico Judicial 2, Juzgado Civil, Trabajo y Familia de Buenos Aires</w:t>
      </w:r>
      <w:bookmarkEnd w:id="1"/>
      <w:r>
        <w:rPr>
          <w:rFonts w:cs="Arial" w:ascii="Arial" w:hAnsi="Arial"/>
          <w:i/>
          <w:iCs/>
          <w:sz w:val="20"/>
          <w:szCs w:val="20"/>
        </w:rPr>
        <w:t>.”</w:t>
      </w:r>
    </w:p>
    <w:p>
      <w:pPr>
        <w:pStyle w:val="Normal"/>
        <w:jc w:val="both"/>
        <w:rPr>
          <w:rFonts w:ascii="Arial" w:hAnsi="Arial" w:eastAsia="Times New Roman" w:cs="Arial"/>
          <w:i/>
          <w:i/>
          <w:iCs/>
          <w:sz w:val="20"/>
          <w:szCs w:val="20"/>
        </w:rPr>
      </w:pPr>
      <w:r>
        <w:rPr>
          <w:rFonts w:cs="Arial" w:ascii="Arial" w:hAnsi="Arial"/>
          <w:bCs/>
          <w:sz w:val="20"/>
          <w:szCs w:val="20"/>
        </w:rPr>
        <w:t xml:space="preserve">La señora Ligia Jiménez, Defensora Pública Indígena, en comunicado electrónico del </w:t>
      </w:r>
      <w:r>
        <w:rPr>
          <w:rFonts w:eastAsia="Times New Roman" w:cs="Arial" w:ascii="Arial" w:hAnsi="Arial"/>
          <w:sz w:val="20"/>
          <w:szCs w:val="20"/>
          <w:lang w:val="es-ES"/>
        </w:rPr>
        <w:t xml:space="preserve">07 de octubre de 2019, 07:57 a.m., señaló: </w:t>
      </w:r>
      <w:r>
        <w:rPr>
          <w:rFonts w:eastAsia="Times New Roman" w:cs="Arial" w:ascii="Arial" w:hAnsi="Arial"/>
          <w:i/>
          <w:iCs/>
          <w:sz w:val="20"/>
          <w:szCs w:val="20"/>
          <w:lang w:val="es-ES"/>
        </w:rPr>
        <w:t>“</w:t>
      </w:r>
      <w:r>
        <w:rPr>
          <w:rFonts w:eastAsia="Times New Roman" w:cs="Arial" w:ascii="Arial" w:hAnsi="Arial"/>
          <w:i/>
          <w:iCs/>
          <w:sz w:val="20"/>
          <w:szCs w:val="20"/>
        </w:rPr>
        <w:t>Buenos días a todos y todas, excelente que se realice la interpretación de una notificación en idioma bribri. Es una de las primeras acciones afirmativas por parte del Poder Judicial, en este caso  del Juzgado Agrario de Buenos Aires. Excelente pues es un reconocimiento a la multiétnicidad y a una justicia intercultural. Una consulta: a la persona que hay que notificarle escribe bribri?, si la respuesta es positiva, debe llevarse a cabo la interpretación (traducción según Dirección Ejecutiva) por escrito y además notificársele en ese idioma en el momento en el que se de esa diligencia. En caso que no escriba bribri es necesario que el documento se le traslade a un intérprete y este en el momento de la notificación le interprete el documento en bribri. Las personas intérpretes están en la lista de intérpretes del Poder Judicial  para que se realice el trámite con la Unidad Administrativa respectiva, o por inopia según sea el caso. Estoy a la orden, Ligia Jiménez Zamora, Defensora Pública”</w:t>
      </w:r>
    </w:p>
    <w:p>
      <w:pPr>
        <w:pStyle w:val="Normal"/>
        <w:rPr>
          <w:rFonts w:ascii="Arial" w:hAnsi="Arial" w:cs="Arial"/>
          <w:b/>
          <w:b/>
          <w:sz w:val="20"/>
          <w:szCs w:val="20"/>
          <w:u w:val="single"/>
        </w:rPr>
      </w:pPr>
      <w:r>
        <w:rPr/>
        <w:object>
          <v:shape id="ole_rId33" style="width:75.15pt;height:48.85pt" o:ole="">
            <v:imagedata r:id="rId34" o:title=""/>
          </v:shape>
          <o:OLEObject Type="Embed" ProgID="Package" ShapeID="ole_rId33" DrawAspect="Icon" ObjectID="_2086611586" r:id="rId33"/>
        </w:object>
      </w:r>
      <w:r>
        <w:rPr/>
        <w:object>
          <v:shape id="ole_rId35" style="width:75.15pt;height:48.85pt" o:ole="">
            <v:imagedata r:id="rId36" o:title=""/>
          </v:shape>
          <o:OLEObject Type="Embed" ProgID="Package" ShapeID="ole_rId35" DrawAspect="Icon" ObjectID="_382535534" r:id="rId35"/>
        </w:object>
      </w:r>
    </w:p>
    <w:p>
      <w:pPr>
        <w:pStyle w:val="Normal"/>
        <w:jc w:val="both"/>
        <w:rPr>
          <w:rFonts w:ascii="Arial" w:hAnsi="Arial" w:cs="Arial"/>
          <w:bCs/>
          <w:i/>
          <w:i/>
          <w:sz w:val="20"/>
          <w:szCs w:val="20"/>
        </w:rPr>
      </w:pPr>
      <w:r>
        <w:rPr>
          <w:rFonts w:cs="Arial" w:ascii="Arial" w:hAnsi="Arial"/>
          <w:b/>
          <w:sz w:val="20"/>
          <w:szCs w:val="20"/>
        </w:rPr>
        <w:t>SE ACUERDA</w:t>
      </w:r>
      <w:r>
        <w:rPr>
          <w:rFonts w:cs="Arial" w:ascii="Arial" w:hAnsi="Arial"/>
          <w:bCs/>
          <w:sz w:val="20"/>
          <w:szCs w:val="20"/>
        </w:rPr>
        <w:t xml:space="preserve">: 1° Se toma nota de la consulta formulada por el señor Yeiner Josué Bonilla Ilama, técnico judicial del Juzgado Mixto de Buenos Aires, de las manifestaciones de la defensora pública Ligia Jiménez y de la inhibitoria para conocer sobre lo consultado de la jueza Damaris Vargas Vásquez en su condición de jueza del Tribunal Agrario. 2° Instar al Juzgado Mixto de Buenos Aires para que se haga la traducción e interpretación de los documentos respectivos por parte de Laudencio Rojas Ortiz, quien es intérprete de la lista oficial para que lo haga de manera escrita y oral, acompañando a la persona notificadora. 3° </w:t>
      </w:r>
      <w:r>
        <w:rPr>
          <w:rFonts w:cs="Arial" w:ascii="Arial" w:hAnsi="Arial"/>
          <w:i/>
          <w:iCs/>
          <w:sz w:val="20"/>
          <w:szCs w:val="20"/>
        </w:rPr>
        <w:t>Se declara firme este acuerdo por unanimidad para su ejecución. Comuníquese al señor Bonilla Ilama, al juez Agrario Jean Carlo Céspedes y al Juzgado Mixto de Buenos Aires de Puntarenas, por medio de la Unidad de Acceso a la Justicia.-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 xml:space="preserve">ARTICULO </w:t>
      </w:r>
      <w:r>
        <w:rPr>
          <w:rFonts w:cs="Arial" w:ascii="Arial" w:hAnsi="Arial"/>
          <w:b/>
          <w:sz w:val="20"/>
          <w:szCs w:val="20"/>
          <w:u w:val="single"/>
        </w:rPr>
        <w:t>X</w:t>
      </w:r>
    </w:p>
    <w:p>
      <w:pPr>
        <w:pStyle w:val="Normal"/>
        <w:rPr>
          <w:rFonts w:ascii="Arial" w:hAnsi="Arial" w:cs="Arial"/>
          <w:bCs/>
          <w:sz w:val="20"/>
          <w:szCs w:val="20"/>
        </w:rPr>
      </w:pPr>
      <w:r>
        <w:rPr>
          <w:rFonts w:cs="Arial" w:ascii="Arial" w:hAnsi="Arial"/>
          <w:bCs/>
          <w:sz w:val="20"/>
          <w:szCs w:val="20"/>
        </w:rPr>
        <w:t>La jueza Yolanda Alvarado remitió el siguiente comunicado:</w:t>
      </w:r>
    </w:p>
    <w:p>
      <w:pPr>
        <w:pStyle w:val="Normal"/>
        <w:numPr>
          <w:ilvl w:val="0"/>
          <w:numId w:val="0"/>
        </w:numPr>
        <w:jc w:val="both"/>
        <w:outlineLvl w:val="0"/>
        <w:rPr>
          <w:rFonts w:ascii="Arial" w:hAnsi="Arial" w:cs="Arial"/>
          <w:sz w:val="20"/>
          <w:szCs w:val="20"/>
        </w:rPr>
      </w:pPr>
      <w:r>
        <w:rPr>
          <w:rFonts w:cs="Arial" w:ascii="Arial" w:hAnsi="Arial"/>
          <w:b/>
          <w:bCs/>
          <w:sz w:val="20"/>
          <w:szCs w:val="20"/>
        </w:rPr>
        <w:t>De:</w:t>
      </w:r>
      <w:r>
        <w:rPr>
          <w:rFonts w:cs="Arial" w:ascii="Arial" w:hAnsi="Arial"/>
          <w:sz w:val="20"/>
          <w:szCs w:val="20"/>
        </w:rPr>
        <w:t xml:space="preserve"> Leslie Soro Pacheco &lt;</w:t>
      </w:r>
      <w:hyperlink r:id="rId37">
        <w:r>
          <w:rPr>
            <w:rStyle w:val="EnlacedeInternet"/>
            <w:rFonts w:cs="Arial" w:ascii="Arial" w:hAnsi="Arial"/>
            <w:color w:val="auto"/>
            <w:sz w:val="20"/>
            <w:szCs w:val="20"/>
          </w:rPr>
          <w:t>lsoro@Poder-Judicial.go.cr</w:t>
        </w:r>
      </w:hyperlink>
      <w:r>
        <w:rPr>
          <w:rFonts w:cs="Arial" w:ascii="Arial" w:hAnsi="Arial"/>
          <w:sz w:val="20"/>
          <w:szCs w:val="20"/>
        </w:rPr>
        <w:t>&gt;</w:t>
        <w:br/>
      </w:r>
      <w:r>
        <w:rPr>
          <w:rFonts w:cs="Arial" w:ascii="Arial" w:hAnsi="Arial"/>
          <w:b/>
          <w:bCs/>
          <w:sz w:val="20"/>
          <w:szCs w:val="20"/>
        </w:rPr>
        <w:t>Enviado:</w:t>
      </w:r>
      <w:r>
        <w:rPr>
          <w:rFonts w:cs="Arial" w:ascii="Arial" w:hAnsi="Arial"/>
          <w:sz w:val="20"/>
          <w:szCs w:val="20"/>
        </w:rPr>
        <w:t xml:space="preserve"> lunes, 23 de septiembre de 2019 10:57</w:t>
        <w:br/>
      </w:r>
      <w:r>
        <w:rPr>
          <w:rFonts w:cs="Arial" w:ascii="Arial" w:hAnsi="Arial"/>
          <w:b/>
          <w:bCs/>
          <w:sz w:val="20"/>
          <w:szCs w:val="20"/>
        </w:rPr>
        <w:t>Para:</w:t>
      </w:r>
      <w:r>
        <w:rPr>
          <w:rFonts w:cs="Arial" w:ascii="Arial" w:hAnsi="Arial"/>
          <w:sz w:val="20"/>
          <w:szCs w:val="20"/>
        </w:rPr>
        <w:t xml:space="preserve"> Yolanda Alvarado Vargas &lt;</w:t>
      </w:r>
      <w:hyperlink r:id="rId38">
        <w:r>
          <w:rPr>
            <w:rStyle w:val="EnlacedeInternet"/>
            <w:rFonts w:cs="Arial" w:ascii="Arial" w:hAnsi="Arial"/>
            <w:color w:val="auto"/>
            <w:sz w:val="20"/>
            <w:szCs w:val="20"/>
          </w:rPr>
          <w:t>yalvaradov@Poder-Judicial.go.cr</w:t>
        </w:r>
      </w:hyperlink>
      <w:r>
        <w:rPr>
          <w:rFonts w:cs="Arial" w:ascii="Arial" w:hAnsi="Arial"/>
          <w:sz w:val="20"/>
          <w:szCs w:val="20"/>
        </w:rPr>
        <w:t>&gt;</w:t>
        <w:br/>
      </w:r>
      <w:r>
        <w:rPr>
          <w:rFonts w:cs="Arial" w:ascii="Arial" w:hAnsi="Arial"/>
          <w:b/>
          <w:bCs/>
          <w:sz w:val="20"/>
          <w:szCs w:val="20"/>
        </w:rPr>
        <w:t>Asunto:</w:t>
      </w:r>
      <w:r>
        <w:rPr>
          <w:rFonts w:cs="Arial" w:ascii="Arial" w:hAnsi="Arial"/>
          <w:sz w:val="20"/>
          <w:szCs w:val="20"/>
        </w:rPr>
        <w:t xml:space="preserve"> RE: Oficio CACC-285-2019 Yolanda Alvarado Vargas-Acuerdo Subcomisión de Acceso a la Justicia de Puelos Indígenas </w:t>
      </w:r>
    </w:p>
    <w:p>
      <w:pPr>
        <w:pStyle w:val="Normal"/>
        <w:jc w:val="both"/>
        <w:rPr>
          <w:rFonts w:ascii="Arial" w:hAnsi="Arial" w:cs="Arial"/>
          <w:sz w:val="20"/>
          <w:szCs w:val="20"/>
        </w:rPr>
      </w:pPr>
      <w:r>
        <w:rPr>
          <w:rFonts w:cs="Arial" w:ascii="Arial" w:hAnsi="Arial"/>
          <w:sz w:val="20"/>
          <w:szCs w:val="20"/>
        </w:rPr>
        <w:t>Buen día, Licda. Yolanda</w:t>
      </w:r>
    </w:p>
    <w:p>
      <w:pPr>
        <w:pStyle w:val="Normal"/>
        <w:jc w:val="both"/>
        <w:rPr>
          <w:rFonts w:ascii="Arial" w:hAnsi="Arial" w:cs="Arial"/>
          <w:bCs/>
          <w:sz w:val="20"/>
          <w:szCs w:val="20"/>
        </w:rPr>
      </w:pPr>
      <w:r>
        <w:rPr>
          <w:rFonts w:cs="Arial" w:ascii="Arial" w:hAnsi="Arial"/>
          <w:sz w:val="20"/>
          <w:szCs w:val="20"/>
        </w:rPr>
        <w:t>Le adjunto la información suministrada por las compañeras con respecto al pago del señor Edgar Atencio Rodríguez, a su vez le hago de conocimiento que con el pago de la causa 18-000413-0597-PE donde indica que le hace falta cancelar tres diligencias, ya se le han pagado dos, faltando una y es la que hace referencia la compañera Keldry que se encuentra para su revisión por parte de la Administración de Limón, y en cuanto a la diligencia del expediente 18-000410-0829-PE el día de hoy se envió un correo a don Edgar para que indique varios datos (hora de salida, horas de desplazamiento, entre otros) para poder realizar el oficio correspondiente y su respectivo pago. Saludos, L</w:t>
      </w:r>
      <w:r>
        <w:rPr>
          <w:rStyle w:val="Destacado"/>
          <w:rFonts w:cs="Arial" w:ascii="Arial" w:hAnsi="Arial"/>
          <w:sz w:val="20"/>
          <w:szCs w:val="20"/>
          <w:shd w:fill="FFFFFF" w:val="clear"/>
        </w:rPr>
        <w:t>eslie Soro Pacheco, Técnica Judicial 3, Tribunal de Juicio de Limón.”</w:t>
      </w:r>
    </w:p>
    <w:p>
      <w:pPr>
        <w:pStyle w:val="Normal"/>
        <w:rPr>
          <w:rFonts w:ascii="Arial" w:hAnsi="Arial" w:cs="Arial"/>
          <w:b/>
          <w:b/>
          <w:sz w:val="20"/>
          <w:szCs w:val="20"/>
          <w:u w:val="single"/>
        </w:rPr>
      </w:pPr>
      <w:r>
        <w:rPr/>
        <w:object>
          <v:shape id="ole_rId39" style="width:75.15pt;height:48.85pt" o:ole="">
            <v:imagedata r:id="rId40" o:title=""/>
          </v:shape>
          <o:OLEObject Type="Embed" ProgID="Package" ShapeID="ole_rId39" DrawAspect="Icon" ObjectID="_1819813580" r:id="rId39"/>
        </w:object>
      </w:r>
      <w:r>
        <w:rPr/>
        <w:object>
          <v:shape id="ole_rId41" style="width:75.15pt;height:48.85pt" o:ole="">
            <v:imagedata r:id="rId42" o:title=""/>
          </v:shape>
          <o:OLEObject Type="Embed" ProgID="Package" ShapeID="ole_rId41" DrawAspect="Icon" ObjectID="_1221600639" r:id="rId41"/>
        </w:object>
      </w:r>
    </w:p>
    <w:p>
      <w:pPr>
        <w:pStyle w:val="Normal"/>
        <w:jc w:val="both"/>
        <w:rPr>
          <w:rFonts w:ascii="Arial" w:hAnsi="Arial" w:cs="Arial"/>
          <w:bCs/>
          <w:i/>
          <w:i/>
          <w:sz w:val="20"/>
          <w:szCs w:val="20"/>
        </w:rPr>
      </w:pPr>
      <w:r>
        <w:rPr>
          <w:rFonts w:cs="Arial" w:ascii="Arial" w:hAnsi="Arial"/>
          <w:b/>
          <w:sz w:val="20"/>
          <w:szCs w:val="20"/>
        </w:rPr>
        <w:t>SE ACUERDA</w:t>
      </w:r>
      <w:r>
        <w:rPr>
          <w:rFonts w:cs="Arial" w:ascii="Arial" w:hAnsi="Arial"/>
          <w:bCs/>
          <w:sz w:val="20"/>
          <w:szCs w:val="20"/>
        </w:rPr>
        <w:t xml:space="preserve">: 1° Se toma nota del informe de la jueza Yolanda Alvarado Vargas. 2° Comuníquese a la Contraloría de Servicios para el seguimiento respectivo. 3° </w:t>
      </w:r>
      <w:r>
        <w:rPr>
          <w:rFonts w:cs="Arial" w:ascii="Arial" w:hAnsi="Arial"/>
          <w:sz w:val="20"/>
          <w:szCs w:val="20"/>
        </w:rPr>
        <w:t>Se declara firme este acuerdo por unanimidad para su ejecución. Comuníquese a la jueza Alvarado, al señor Edgar Atención Rodríguez y a la Contraloría de Servicios por medio de la Unidad de Acceso a la Justici</w:t>
      </w:r>
      <w:r>
        <w:rPr>
          <w:rFonts w:cs="Arial" w:ascii="Arial" w:hAnsi="Arial"/>
          <w:i/>
          <w:iCs/>
          <w:sz w:val="20"/>
          <w:szCs w:val="20"/>
        </w:rPr>
        <w:t>a.-</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 xml:space="preserve">ARTICULO </w:t>
      </w:r>
      <w:r>
        <w:rPr>
          <w:rFonts w:cs="Arial" w:ascii="Arial" w:hAnsi="Arial"/>
          <w:b/>
          <w:sz w:val="20"/>
          <w:szCs w:val="20"/>
          <w:u w:val="single"/>
        </w:rPr>
        <w:t>XI</w:t>
      </w:r>
    </w:p>
    <w:p>
      <w:pPr>
        <w:pStyle w:val="Normal"/>
        <w:jc w:val="both"/>
        <w:rPr>
          <w:rFonts w:ascii="Arial" w:hAnsi="Arial" w:cs="Arial"/>
          <w:bCs/>
          <w:sz w:val="20"/>
          <w:szCs w:val="20"/>
        </w:rPr>
      </w:pPr>
      <w:r>
        <w:rPr>
          <w:rFonts w:cs="Arial" w:ascii="Arial" w:hAnsi="Arial"/>
          <w:bCs/>
          <w:sz w:val="20"/>
          <w:szCs w:val="20"/>
        </w:rPr>
        <w:t>La propuesta de convenio interinstitucional con la Universidad de Oklahoma fue puesta en conocimiento de las personas integrantes de la Subcomisión de Acceso a la Justicia en comunicado electrónico del 7 de octubre de 2019, 03:39 horas.</w:t>
      </w:r>
    </w:p>
    <w:p>
      <w:pPr>
        <w:pStyle w:val="Normal"/>
        <w:jc w:val="both"/>
        <w:rPr>
          <w:rFonts w:ascii="Arial" w:hAnsi="Arial" w:cs="Arial"/>
          <w:bCs/>
          <w:sz w:val="20"/>
          <w:szCs w:val="20"/>
        </w:rPr>
      </w:pPr>
      <w:r>
        <w:rPr>
          <w:rFonts w:cs="Arial" w:ascii="Arial" w:hAnsi="Arial"/>
          <w:bCs/>
          <w:sz w:val="20"/>
          <w:szCs w:val="20"/>
        </w:rPr>
        <w:t>La señora Cheryl Bolaños de la Unidad de Acceso a la Justicia planteo una serie de sugerencias para valoración.</w:t>
      </w:r>
    </w:p>
    <w:p>
      <w:pPr>
        <w:pStyle w:val="Normal"/>
        <w:jc w:val="both"/>
        <w:rPr>
          <w:rFonts w:ascii="Arial" w:hAnsi="Arial" w:cs="Arial"/>
          <w:bCs/>
          <w:sz w:val="20"/>
          <w:szCs w:val="20"/>
        </w:rPr>
      </w:pPr>
      <w:r>
        <w:rPr>
          <w:rFonts w:cs="Arial" w:ascii="Arial" w:hAnsi="Arial"/>
          <w:bCs/>
          <w:sz w:val="20"/>
          <w:szCs w:val="20"/>
        </w:rPr>
        <w:t>La propuesta de convenio es la siguiente:</w:t>
      </w:r>
    </w:p>
    <w:p>
      <w:pPr>
        <w:pStyle w:val="Normal"/>
        <w:jc w:val="both"/>
        <w:rPr>
          <w:rFonts w:ascii="Arial" w:hAnsi="Arial" w:cs="Arial"/>
          <w:bCs/>
          <w:sz w:val="20"/>
          <w:szCs w:val="20"/>
        </w:rPr>
      </w:pPr>
      <w:r>
        <w:rPr>
          <w:rFonts w:cs="Arial" w:ascii="Arial" w:hAnsi="Arial"/>
          <w:bCs/>
          <w:sz w:val="20"/>
          <w:szCs w:val="20"/>
        </w:rPr>
        <w:t>CONVENIO N° __ - 19</w:t>
      </w:r>
    </w:p>
    <w:p>
      <w:pPr>
        <w:pStyle w:val="Normal"/>
        <w:jc w:val="both"/>
        <w:rPr>
          <w:rFonts w:ascii="Arial" w:hAnsi="Arial" w:cs="Arial"/>
          <w:bCs/>
          <w:sz w:val="20"/>
          <w:szCs w:val="20"/>
        </w:rPr>
      </w:pPr>
      <w:r>
        <w:rPr>
          <w:rFonts w:cs="Arial" w:ascii="Arial" w:hAnsi="Arial"/>
          <w:bCs/>
          <w:sz w:val="20"/>
          <w:szCs w:val="20"/>
        </w:rPr>
        <w:t>ACUERDO DE COOPERACIÓN ACADÉMICA</w:t>
      </w:r>
    </w:p>
    <w:p>
      <w:pPr>
        <w:pStyle w:val="Normal"/>
        <w:jc w:val="both"/>
        <w:rPr>
          <w:rFonts w:ascii="Arial" w:hAnsi="Arial" w:cs="Arial"/>
          <w:bCs/>
          <w:sz w:val="20"/>
          <w:szCs w:val="20"/>
        </w:rPr>
      </w:pPr>
      <w:r>
        <w:rPr>
          <w:rFonts w:cs="Arial" w:ascii="Arial" w:hAnsi="Arial"/>
          <w:bCs/>
          <w:sz w:val="20"/>
          <w:szCs w:val="20"/>
        </w:rPr>
        <w:t>ENTRE EL PODER JUDICIAL DE LA REPUBLICA DE COSTA RICA</w:t>
      </w:r>
    </w:p>
    <w:p>
      <w:pPr>
        <w:pStyle w:val="Normal"/>
        <w:jc w:val="both"/>
        <w:rPr>
          <w:rFonts w:ascii="Arial" w:hAnsi="Arial" w:cs="Arial"/>
          <w:bCs/>
          <w:sz w:val="20"/>
          <w:szCs w:val="20"/>
        </w:rPr>
      </w:pPr>
      <w:r>
        <w:rPr>
          <w:rFonts w:cs="Arial" w:ascii="Arial" w:hAnsi="Arial"/>
          <w:bCs/>
          <w:sz w:val="20"/>
          <w:szCs w:val="20"/>
        </w:rPr>
        <w:t xml:space="preserve"> </w:t>
      </w:r>
      <w:r>
        <w:rPr>
          <w:rFonts w:cs="Arial" w:ascii="Arial" w:hAnsi="Arial"/>
          <w:bCs/>
          <w:sz w:val="20"/>
          <w:szCs w:val="20"/>
        </w:rPr>
        <w:t>Y LA UNIVERSIDAD DE OKLAHOMA</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Entre nosotros, EL PODER JUDICIAL de Costa Rica, que en adelante se denominará el “PJCR”, con domicilio en el Barrio González Lahmann, avenidas 6 y 8, calle 19 y 21, San José, Costa Rica, representado en este acto por el Doctor Fernando Cruz Castro, Presidente de la Corte Suprema de Justicia y del Consejo Superior del Poder Judicial, actuando con  las facultades del inciso 1º, del artículo 60 de la Ley Orgánica del Poder Judicial, y La Universidad de Oklahoma, que en adelante se denominará la “Universidad” con domicilio en 660 Parrington Oval, Norman, OK 73019, EE. UU. Representada en este acto por el señor Joseph Harroz, Jr., Decano de la Facultad de Derecho de la Universidad de Oklahoma, acuando con las facultades otorgadas por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CONSIDERANDO</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I)</w:t>
        <w:tab/>
        <w:t xml:space="preserve">Que la Facultad de Derecho de la Universidad de Oklahoma (en adelante OU) es una institución conocida por su excelencia académica y su fuerte sentido de apoyo a la comunidad, atrayendo a los mejores alumnos de toda la nación y a mas de 100 países alrededor del mundo, OU proporciona una gran experiencia como Universidad en un ambiente privado.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II)</w:t>
        <w:tab/>
        <w:t>Que el Poder Judicial de Costa Rica integrado por los Tribunales de Justicia, forman un sistema unitario cuyo órgano superior es la Corte Suprema de Justicia (en adelante CSJ), con potestad de administrar justicia, garantizar el principio de legalidad, protección y tutela de los derechos humanos mediante la aplicación de la Ley en los asuntos o procesos de su competencia.</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III)</w:t>
        <w:tab/>
        <w:t xml:space="preserve">Que ambas partes estan de acuerdo en la necesidad de unir sus esfuerzos a traves de proyectos de investigación conjunta, cooperación de especialistas en el tema de derechos indígenas, difusión de los instrumentos internacionales sobre el derechos de los pueblos y comunidades indigenas.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IV)</w:t>
        <w:tab/>
        <w:t>Que al existir las condiciones propicias para dinamizar, incrementar y fortalecer las relaciones de colaboración, ambas PARTES se encuentran interesadas en suscribir el presente Convenio para desarrollar acciones conjuntas de interés y por lo tanto;</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ACUERDAN</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ARTÍCULO 1. OBJETO: Ambas instituciones se comprometen a coordinar sus esfuerzos para fortalecer sus relaciones y dar a conocer los instrumentos internacionales para la promoción y defensa de los pueblos y comunidades indigenas.</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ARTÍCULO 2. ACCIONES DE COLABORACIÓN: Con el fin de lograr las metas propuestas, ambas partes acuerdan realizar conjuntamente las siguientes actividades: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1.</w:t>
        <w:tab/>
        <w:t>El establecimiento de pasantías para estudiantes y oportunidad de visita academica para profesores de la Facultad de Derecho de la Universidad de Oklahoma en la Corte Suprema de Justicia de Costa Rica y oportunidad de visita para profesionales en Derecho de la Judicatura, Defensa Pública, Ministerio Público, Organismo de Investigación Judicial y ámbito administrativo del Poder Judicial de Costa Rica, relacionados directamente en temas índigenas, en la Facultad de Derecho de la Universidad de Oklahoma, en los Estados Unidos.</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2.</w:t>
        <w:tab/>
        <w:t xml:space="preserve">Intercambio de publicaciones, material jurídico y otro tipo de información que podría ser de beneficio para ambas instituciones con el propósito de incrementar e enriquecer las bibliotecas de ambas instituciones y aprovechar la información generada.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3.</w:t>
        <w:tab/>
        <w:t>Ambas partes y de previo acuerdo podrán a traves de sus docentes realizar talleres, conferencias y capacitaciones que ayude a fortalecer el conocimiento del derecho indigena en la Facultad de Derecho de la Universidad de Oklahoma y en el Poder Judicial de Costa Rica.</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ARTÍCULO 3: COMUNICACIÓN, COORDINACIÓN, EJECUCIÓN Y SEGUIMIENTO:</w:t>
      </w:r>
    </w:p>
    <w:p>
      <w:pPr>
        <w:pStyle w:val="Normal"/>
        <w:jc w:val="both"/>
        <w:rPr>
          <w:rFonts w:ascii="Arial" w:hAnsi="Arial" w:cs="Arial"/>
          <w:bCs/>
          <w:sz w:val="20"/>
          <w:szCs w:val="20"/>
        </w:rPr>
      </w:pPr>
      <w:r>
        <w:rPr>
          <w:rFonts w:cs="Arial" w:ascii="Arial" w:hAnsi="Arial"/>
          <w:bCs/>
          <w:sz w:val="20"/>
          <w:szCs w:val="20"/>
        </w:rPr>
        <w:t>Para la comunicación, ejecución y seguimiento del presente Convenio las PARTES han designado los siguientes puntos focales:</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        </w:t>
      </w:r>
      <w:r>
        <w:rPr>
          <w:rFonts w:cs="Arial" w:ascii="Arial" w:hAnsi="Arial"/>
          <w:bCs/>
          <w:sz w:val="20"/>
          <w:szCs w:val="20"/>
        </w:rPr>
        <w:t>Por el PJCR:</w:t>
      </w:r>
    </w:p>
    <w:p>
      <w:pPr>
        <w:pStyle w:val="Normal"/>
        <w:jc w:val="both"/>
        <w:rPr>
          <w:rFonts w:ascii="Arial" w:hAnsi="Arial" w:cs="Arial"/>
          <w:bCs/>
          <w:sz w:val="20"/>
          <w:szCs w:val="20"/>
        </w:rPr>
      </w:pPr>
      <w:r>
        <w:rPr>
          <w:rFonts w:cs="Arial" w:ascii="Arial" w:hAnsi="Arial"/>
          <w:bCs/>
          <w:sz w:val="20"/>
          <w:szCs w:val="20"/>
        </w:rPr>
        <w:t xml:space="preserve">Nombre de la instancia judicial: </w:t>
      </w:r>
    </w:p>
    <w:p>
      <w:pPr>
        <w:pStyle w:val="Normal"/>
        <w:jc w:val="both"/>
        <w:rPr>
          <w:rFonts w:ascii="Arial" w:hAnsi="Arial" w:cs="Arial"/>
          <w:bCs/>
          <w:sz w:val="20"/>
          <w:szCs w:val="20"/>
        </w:rPr>
      </w:pPr>
      <w:r>
        <w:rPr>
          <w:rFonts w:cs="Arial" w:ascii="Arial" w:hAnsi="Arial"/>
          <w:bCs/>
          <w:sz w:val="20"/>
          <w:szCs w:val="20"/>
        </w:rPr>
        <w:t xml:space="preserve">Persona a cargo: </w:t>
      </w:r>
    </w:p>
    <w:p>
      <w:pPr>
        <w:pStyle w:val="Normal"/>
        <w:jc w:val="both"/>
        <w:rPr>
          <w:rFonts w:ascii="Arial" w:hAnsi="Arial" w:cs="Arial"/>
          <w:bCs/>
          <w:sz w:val="20"/>
          <w:szCs w:val="20"/>
        </w:rPr>
      </w:pPr>
      <w:r>
        <w:rPr>
          <w:rFonts w:cs="Arial" w:ascii="Arial" w:hAnsi="Arial"/>
          <w:bCs/>
          <w:sz w:val="20"/>
          <w:szCs w:val="20"/>
        </w:rPr>
        <w:t xml:space="preserve">Teléfono: (506) </w:t>
      </w:r>
    </w:p>
    <w:p>
      <w:pPr>
        <w:pStyle w:val="Normal"/>
        <w:jc w:val="both"/>
        <w:rPr>
          <w:rFonts w:ascii="Arial" w:hAnsi="Arial" w:cs="Arial"/>
          <w:bCs/>
          <w:sz w:val="20"/>
          <w:szCs w:val="20"/>
        </w:rPr>
      </w:pPr>
      <w:r>
        <w:rPr>
          <w:rFonts w:cs="Arial" w:ascii="Arial" w:hAnsi="Arial"/>
          <w:bCs/>
          <w:sz w:val="20"/>
          <w:szCs w:val="20"/>
        </w:rPr>
        <w:t xml:space="preserve">Dirección de correo electrónico: </w:t>
      </w:r>
    </w:p>
    <w:p>
      <w:pPr>
        <w:pStyle w:val="Normal"/>
        <w:jc w:val="both"/>
        <w:rPr>
          <w:rFonts w:ascii="Arial" w:hAnsi="Arial" w:cs="Arial"/>
          <w:bCs/>
          <w:sz w:val="20"/>
          <w:szCs w:val="20"/>
        </w:rPr>
      </w:pPr>
      <w:r>
        <w:rPr>
          <w:rFonts w:cs="Arial" w:ascii="Arial" w:hAnsi="Arial"/>
          <w:bCs/>
          <w:sz w:val="20"/>
          <w:szCs w:val="20"/>
        </w:rPr>
        <w:t>Dirección Física: Barrio Gonzalez Lahmann, avenidas 6 y 8, calles 19 y 21, San José</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        </w:t>
      </w:r>
      <w:r>
        <w:rPr>
          <w:rFonts w:cs="Arial" w:ascii="Arial" w:hAnsi="Arial"/>
          <w:bCs/>
          <w:sz w:val="20"/>
          <w:szCs w:val="20"/>
        </w:rPr>
        <w:t>Por el ___________:</w:t>
      </w:r>
    </w:p>
    <w:p>
      <w:pPr>
        <w:pStyle w:val="Normal"/>
        <w:jc w:val="both"/>
        <w:rPr>
          <w:rFonts w:ascii="Arial" w:hAnsi="Arial" w:cs="Arial"/>
          <w:bCs/>
          <w:sz w:val="20"/>
          <w:szCs w:val="20"/>
        </w:rPr>
      </w:pPr>
      <w:r>
        <w:rPr>
          <w:rFonts w:cs="Arial" w:ascii="Arial" w:hAnsi="Arial"/>
          <w:bCs/>
          <w:sz w:val="20"/>
          <w:szCs w:val="20"/>
        </w:rPr>
        <w:t xml:space="preserve">Nombre de la instancia: </w:t>
      </w:r>
    </w:p>
    <w:p>
      <w:pPr>
        <w:pStyle w:val="Normal"/>
        <w:jc w:val="both"/>
        <w:rPr>
          <w:rFonts w:ascii="Arial" w:hAnsi="Arial" w:cs="Arial"/>
          <w:bCs/>
          <w:sz w:val="20"/>
          <w:szCs w:val="20"/>
        </w:rPr>
      </w:pPr>
      <w:r>
        <w:rPr>
          <w:rFonts w:cs="Arial" w:ascii="Arial" w:hAnsi="Arial"/>
          <w:bCs/>
          <w:sz w:val="20"/>
          <w:szCs w:val="20"/>
        </w:rPr>
        <w:t xml:space="preserve">Persona a cargo: </w:t>
      </w:r>
    </w:p>
    <w:p>
      <w:pPr>
        <w:pStyle w:val="Normal"/>
        <w:jc w:val="both"/>
        <w:rPr>
          <w:rFonts w:ascii="Arial" w:hAnsi="Arial" w:cs="Arial"/>
          <w:bCs/>
          <w:sz w:val="20"/>
          <w:szCs w:val="20"/>
        </w:rPr>
      </w:pPr>
      <w:r>
        <w:rPr>
          <w:rFonts w:cs="Arial" w:ascii="Arial" w:hAnsi="Arial"/>
          <w:bCs/>
          <w:sz w:val="20"/>
          <w:szCs w:val="20"/>
        </w:rPr>
        <w:t xml:space="preserve">Teléfono: </w:t>
      </w:r>
    </w:p>
    <w:p>
      <w:pPr>
        <w:pStyle w:val="Normal"/>
        <w:jc w:val="both"/>
        <w:rPr>
          <w:rFonts w:ascii="Arial" w:hAnsi="Arial" w:cs="Arial"/>
          <w:bCs/>
          <w:sz w:val="20"/>
          <w:szCs w:val="20"/>
        </w:rPr>
      </w:pPr>
      <w:r>
        <w:rPr>
          <w:rFonts w:cs="Arial" w:ascii="Arial" w:hAnsi="Arial"/>
          <w:bCs/>
          <w:sz w:val="20"/>
          <w:szCs w:val="20"/>
        </w:rPr>
        <w:t xml:space="preserve">Dirección de correo electrónico: </w:t>
      </w:r>
    </w:p>
    <w:p>
      <w:pPr>
        <w:pStyle w:val="Normal"/>
        <w:jc w:val="both"/>
        <w:rPr>
          <w:rFonts w:ascii="Arial" w:hAnsi="Arial" w:cs="Arial"/>
          <w:bCs/>
          <w:sz w:val="20"/>
          <w:szCs w:val="20"/>
        </w:rPr>
      </w:pPr>
      <w:r>
        <w:rPr>
          <w:rFonts w:cs="Arial" w:ascii="Arial" w:hAnsi="Arial"/>
          <w:bCs/>
          <w:sz w:val="20"/>
          <w:szCs w:val="20"/>
        </w:rPr>
        <w:t xml:space="preserve">Dirección Física: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ARTÍCULO 4. PUBLICACIONES: Ambas partes podrán publicar y distribuir el material preparado conjuntamente en todo lo que consideren conveniente, reconociendo siempre su origen y propósito.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ARTÍCULO 5. DE LA RELACIÓN LABORAL: Las actividades realizadas conjuntamente no implicara relación de subordinación entre las partes. El personal de cada una de las partes continuaran bajo la dirección y el control de la institución a la cual pertenecen, no se crearan relaciones de trabajo entre las dos instituciones.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ARTÍCULO 6. DE LA NORMATIVA APLICABLE: Los estudiantes, profesores o profesionales en Derecho de la Judicatura, Defensa Pública, Ministerio Público, Organismo de Investigación Judicial y ámbito administrativo del Poder Judicial de Costa Rica enviados al país anfitrión correspondiente, estarán sujetos durante el tiempo que dure su estancia, a las disposiciones de la legislación nacional en el país anfitrión y a las disposiciones, normas y reglamentos de ambas instituciones.</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ARTÍCULO 7. SOLUCIÓN DE CONTROVERSIAS: Las partes a traves de común acuerdo resolverán las diferencias que pudieran surgir en la interpretación o aplicación del presente acuerdo.</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ARTÍCULO 8. DE LA RESOLUCIÓN ANTICIPADA: De considerarlo pertinente, cualquiera de LAS PARTES podrá dar por concluido el presente Convenio, por las siguientes causales:</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1.      Por mutuo acuerdo. La resolución surtirá plenos efectos en la fecha en que LAS PARTES lo acuerden por escrito.</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3.      Por circunstancias de carácter económico o administrativo debidamente fundamentadas. La resolución surtirá plenos efectos en la fecha que una de LAS PARTES lo comunique a la otra por escrito.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4.      Por caso fortuito o fuerza mayor que imposibilite su cumplimiento, debidamente acreditado. La resolución surtirá plenos efectos en la fecha que cualquiera de LAS PARTES lo comunique por escrito a la otra.</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ARTÍCULO 9. VIGENCIA: Este acuerdo entrara en vigor a partir de la fecha de su firma o por la firma de la última parte en firmar. Su duración será  de cuatro años, prorrogable por un período igual. El acuerdo puede ser rescindido por cualquiera de las partes mediante notificación escrita dirigida a la otra parte por lo menos tres meses antes de la fecha en que se desea anular y dejar sin efecto el presente acuerdo. En todos los casos, las actividades que estan en curso bajo planes de actividades especificas o acuerdos deben ser finalizadas.</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Firmado en la ciudad de_____________,______________el día____de__________en el año________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Y</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En la ciudad de______________,______________el día____de________en el año_____, con dos copias originales en idiomas español e inglés, siendo ambos textos igualmente validos.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Por la Facultad de Derecho                                          Por la Corte Suprema de Justicia </w:t>
      </w:r>
    </w:p>
    <w:p>
      <w:pPr>
        <w:pStyle w:val="Normal"/>
        <w:jc w:val="both"/>
        <w:rPr>
          <w:rFonts w:ascii="Arial" w:hAnsi="Arial" w:cs="Arial"/>
          <w:bCs/>
          <w:sz w:val="20"/>
          <w:szCs w:val="20"/>
        </w:rPr>
      </w:pPr>
      <w:r>
        <w:rPr>
          <w:rFonts w:cs="Arial" w:ascii="Arial" w:hAnsi="Arial"/>
          <w:bCs/>
          <w:sz w:val="20"/>
          <w:szCs w:val="20"/>
        </w:rPr>
        <w:t xml:space="preserve">De la Universidad de Oklahoma                                     De la Republica de Costa Rica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______________________________                                                    __________________________________ </w:t>
      </w:r>
    </w:p>
    <w:p>
      <w:pPr>
        <w:pStyle w:val="Normal"/>
        <w:jc w:val="both"/>
        <w:rPr>
          <w:rFonts w:ascii="Arial" w:hAnsi="Arial" w:cs="Arial"/>
          <w:bCs/>
          <w:sz w:val="20"/>
          <w:szCs w:val="20"/>
        </w:rPr>
      </w:pPr>
      <w:r>
        <w:rPr>
          <w:rFonts w:cs="Arial" w:ascii="Arial" w:hAnsi="Arial"/>
          <w:bCs/>
          <w:sz w:val="20"/>
          <w:szCs w:val="20"/>
        </w:rPr>
        <w:t xml:space="preserve">     </w:t>
      </w:r>
      <w:r>
        <w:rPr>
          <w:rFonts w:cs="Arial" w:ascii="Arial" w:hAnsi="Arial"/>
          <w:bCs/>
          <w:sz w:val="20"/>
          <w:szCs w:val="20"/>
        </w:rPr>
        <w:t>Joseph Harroz, Jr.                                                                  Fernando Cruz Castro</w:t>
      </w:r>
    </w:p>
    <w:p>
      <w:pPr>
        <w:pStyle w:val="Normal"/>
        <w:jc w:val="both"/>
        <w:rPr>
          <w:rFonts w:ascii="Arial" w:hAnsi="Arial" w:cs="Arial"/>
          <w:bCs/>
          <w:sz w:val="20"/>
          <w:szCs w:val="20"/>
        </w:rPr>
      </w:pPr>
      <w:r>
        <w:rPr>
          <w:rFonts w:cs="Arial" w:ascii="Arial" w:hAnsi="Arial"/>
          <w:bCs/>
          <w:sz w:val="20"/>
          <w:szCs w:val="20"/>
        </w:rPr>
        <w:t xml:space="preserve">           </w:t>
      </w:r>
      <w:r>
        <w:rPr>
          <w:rFonts w:cs="Arial" w:ascii="Arial" w:hAnsi="Arial"/>
          <w:bCs/>
          <w:sz w:val="20"/>
          <w:szCs w:val="20"/>
        </w:rPr>
        <w:t xml:space="preserve">Decano                                                                                     Presidente </w:t>
      </w:r>
    </w:p>
    <w:p>
      <w:pPr>
        <w:pStyle w:val="Normal"/>
        <w:rPr>
          <w:rFonts w:ascii="Arial" w:hAnsi="Arial" w:cs="Arial"/>
          <w:sz w:val="20"/>
          <w:szCs w:val="20"/>
        </w:rPr>
      </w:pPr>
      <w:r>
        <w:rPr/>
        <w:object>
          <v:shape id="ole_rId43" style="width:75.15pt;height:48.85pt" o:ole="">
            <v:imagedata r:id="rId44" o:title=""/>
          </v:shape>
          <o:OLEObject Type="Embed" ProgID="Package" ShapeID="ole_rId43" DrawAspect="Icon" ObjectID="_325826515" r:id="rId43"/>
        </w:object>
      </w:r>
      <w:r>
        <w:rPr>
          <w:rFonts w:cs="Arial" w:ascii="Arial" w:hAnsi="Arial"/>
          <w:sz w:val="20"/>
          <w:szCs w:val="20"/>
        </w:rPr>
        <w:t xml:space="preserve">   </w:t>
      </w:r>
      <w:r>
        <w:rPr/>
        <w:object>
          <v:shape id="ole_rId45" style="width:75.15pt;height:48.85pt" o:ole="">
            <v:imagedata r:id="rId46" o:title=""/>
          </v:shape>
          <o:OLEObject Type="Embed" ProgID="Package" ShapeID="ole_rId45" DrawAspect="Icon" ObjectID="_668751613" r:id="rId45"/>
        </w:object>
      </w:r>
    </w:p>
    <w:p>
      <w:pPr>
        <w:pStyle w:val="Normal"/>
        <w:jc w:val="both"/>
        <w:rPr>
          <w:rFonts w:ascii="Arial" w:hAnsi="Arial" w:cs="Arial"/>
          <w:sz w:val="20"/>
          <w:szCs w:val="20"/>
        </w:rPr>
      </w:pPr>
      <w:r>
        <w:rPr>
          <w:rFonts w:cs="Arial" w:ascii="Arial" w:hAnsi="Arial"/>
          <w:sz w:val="20"/>
          <w:szCs w:val="20"/>
        </w:rPr>
        <w:t>El señor Alí García sugiere que además de los requisitos indicados, la persona que se designe conozca algún idioma indígena.</w:t>
      </w:r>
    </w:p>
    <w:p>
      <w:pPr>
        <w:pStyle w:val="Normal"/>
        <w:rPr>
          <w:rFonts w:ascii="Arial" w:hAnsi="Arial" w:cs="Arial"/>
          <w:sz w:val="20"/>
          <w:szCs w:val="20"/>
        </w:rPr>
      </w:pPr>
      <w:r>
        <w:rPr>
          <w:rFonts w:cs="Arial" w:ascii="Arial" w:hAnsi="Arial"/>
          <w:sz w:val="20"/>
          <w:szCs w:val="20"/>
        </w:rPr>
        <w:t>Se comenta que pedir ese requisito limitaría la selección de la persona; sin embargo, si se indica que es preferible tampoco sería una exigencia.</w: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Se aprueba la propuesta de convenio planteado con especial sugerencia de que en los requisitos de la persona que se seleccione se incluya que es preferible tenga conocimiento en algún idioma indígena. 2° Trasladar al Despacho de la Presidencia y a la Comisión de Acceso a la Justicia las sugerencias planteadas en esta sesión así como las propuestas de la señora Cheryl Bolaños de la Unidad de Capacitación de la Dirección de Gestión Humana, para su valoración. 3° Solicitar al Consejo Superior valorar la posibilidad de establecer una acción afirmativa a favor de las personas indígenas consistente en la reserva de plazas para personas indígenas que facilite su acceso a nombramientos en el Poder Judicial en las áreas de Judicatura, Defensa Pública,  Ministerio Público, Organismo de Investigación Judicial y sector Administrativo con base en el Convenio 169 de la OIT, la Declaración Americana sobre los Derechos de los Pueblos Indígenas y la Declaración de la Organización de Naciones Unidas sobre los derechos de los Pueblos Indígenas y el artículo 1 de la Constitución Política, así como la Circular 123-19 de Corte Plena. 4° Comuníquese este acuerdo por medio de la Unidad de Acceso a la Justicia al Despacho de la Presidencia, Comisión de Acceso a la Justicia y señora Cheryl Bolaños.-</w:t>
      </w:r>
    </w:p>
    <w:p>
      <w:pPr>
        <w:pStyle w:val="Normal"/>
        <w:jc w:val="both"/>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 xml:space="preserve">ARTICULO </w:t>
      </w:r>
      <w:r>
        <w:rPr>
          <w:rFonts w:cs="Arial" w:ascii="Arial" w:hAnsi="Arial"/>
          <w:b/>
          <w:sz w:val="20"/>
          <w:szCs w:val="20"/>
          <w:u w:val="single"/>
        </w:rPr>
        <w:t>XII</w:t>
      </w:r>
    </w:p>
    <w:p>
      <w:pPr>
        <w:pStyle w:val="Normal"/>
        <w:jc w:val="both"/>
        <w:rPr>
          <w:rFonts w:ascii="Arial" w:hAnsi="Arial" w:cs="Arial"/>
          <w:bCs/>
          <w:sz w:val="20"/>
          <w:szCs w:val="20"/>
        </w:rPr>
      </w:pPr>
      <w:r>
        <w:rPr>
          <w:rFonts w:cs="Arial" w:ascii="Arial" w:hAnsi="Arial"/>
          <w:bCs/>
          <w:sz w:val="20"/>
          <w:szCs w:val="20"/>
        </w:rPr>
        <w:t>Se comunica solicitud de prórroga de personal técnico supernumerario planteada por la Fiscalía de Buenos Aires a la Administración Regional del Circuito.</w:t>
      </w:r>
    </w:p>
    <w:p>
      <w:pPr>
        <w:pStyle w:val="Normal"/>
        <w:jc w:val="both"/>
        <w:rPr>
          <w:rFonts w:ascii="Arial" w:hAnsi="Arial" w:cs="Arial"/>
          <w:bCs/>
          <w:sz w:val="20"/>
          <w:szCs w:val="20"/>
        </w:rPr>
      </w:pPr>
      <w:r>
        <w:rPr>
          <w:rFonts w:cs="Arial" w:ascii="Arial" w:hAnsi="Arial"/>
          <w:bCs/>
          <w:sz w:val="20"/>
          <w:szCs w:val="20"/>
        </w:rPr>
        <w:t>Se informa que el día de hoy el Consejo Superior con base en un criterio de Planificación, rechazó la gestión de la Fiscalía Indígena.</w:t>
      </w:r>
    </w:p>
    <w:p>
      <w:pPr>
        <w:pStyle w:val="Normal"/>
        <w:jc w:val="both"/>
        <w:rPr>
          <w:rFonts w:ascii="Arial" w:hAnsi="Arial" w:cs="Arial"/>
          <w:bCs/>
          <w:sz w:val="20"/>
          <w:szCs w:val="20"/>
        </w:rPr>
      </w:pPr>
      <w:r>
        <w:rPr>
          <w:rFonts w:cs="Arial" w:ascii="Arial" w:hAnsi="Arial"/>
          <w:bCs/>
          <w:sz w:val="20"/>
          <w:szCs w:val="20"/>
        </w:rPr>
        <w:t>Damaris Vargas explica las acciones de coordinación que se hicieron con la Administración Regional de Pérez Zeledón.</w:t>
      </w:r>
    </w:p>
    <w:p>
      <w:pPr>
        <w:pStyle w:val="Normal"/>
        <w:jc w:val="both"/>
        <w:rPr>
          <w:rFonts w:ascii="Arial" w:hAnsi="Arial" w:cs="Arial"/>
          <w:bCs/>
          <w:sz w:val="20"/>
          <w:szCs w:val="20"/>
        </w:rPr>
      </w:pPr>
      <w:r>
        <w:rPr/>
        <w:object>
          <v:shape id="ole_rId47" style="width:75.15pt;height:48.85pt" o:ole="">
            <v:imagedata r:id="rId48" o:title=""/>
          </v:shape>
          <o:OLEObject Type="Embed" ProgID="Package" ShapeID="ole_rId47" DrawAspect="Icon" ObjectID="_1719823553" r:id="rId47"/>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Instar a la Fiscalía Indígena informar a la Subcomisión de Acceso a la Justicia de Pueblos Indígenas el acuerdo que al efecto tome el Consejo Superior y las eventuales gestiones que realicen. 2° Solicitar a la Dirección de Gestión Humana incluir en los perfiles competenciales de los puestos de Judicatura, Defensa Pública, Fiscalía General, Organismo de Investigación Judicial y sector Administrativo, competencias propias de la atención a personas indígenas. Lo anterior, con fundamento en el Convenio 169 de la OIT, la Declaración Americana sobre los Derechos de los Pueblos Indígenas y la Declaración de la Organización de Naciones Unidas sobre los derechos de los Pueblos Indígenas y el artículo 1 de la Constitución Política; así como la Ley Indígena y la Ley de Acceso a la Justicia de Pueblos Indígenas. Comunicar este acuerdo al Consejo de la Judicatura, Fiscalía General,  Dirección de la Defensa Pública, Dirección del OIJ y Consejo de Personal. 3° Comunicar este acuerdo a la Fiscalía General y a la Dirección de Gestión Humana por medio de la Unidad de Acceso a la Justicia.-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 xml:space="preserve">ARTICULO </w:t>
      </w:r>
      <w:r>
        <w:rPr>
          <w:rFonts w:cs="Arial" w:ascii="Arial" w:hAnsi="Arial"/>
          <w:b/>
          <w:sz w:val="20"/>
          <w:szCs w:val="20"/>
          <w:u w:val="single"/>
        </w:rPr>
        <w:t>XIII</w:t>
      </w:r>
    </w:p>
    <w:p>
      <w:pPr>
        <w:pStyle w:val="Normal"/>
        <w:jc w:val="both"/>
        <w:rPr>
          <w:rFonts w:ascii="Arial" w:hAnsi="Arial" w:cs="Arial"/>
          <w:bCs/>
          <w:sz w:val="20"/>
          <w:szCs w:val="20"/>
        </w:rPr>
      </w:pPr>
      <w:r>
        <w:rPr>
          <w:rFonts w:cs="Arial" w:ascii="Arial" w:hAnsi="Arial"/>
          <w:bCs/>
          <w:sz w:val="20"/>
          <w:szCs w:val="20"/>
        </w:rPr>
        <w:t>La señora Marcela Salazar Mora de la Dirección de Tecnología de la Información, remitió Oficio N° 2616-DTI-2019 emitido por la señora Vivian Rímola Soto, Jefa del Subproceso de Sistemas Jurisdiccionales, en comunicado electrónico del 8 de octubre de 2019, 3:18 horas, en el que señala:</w:t>
      </w:r>
    </w:p>
    <w:p>
      <w:pPr>
        <w:pStyle w:val="Normal"/>
        <w:jc w:val="both"/>
        <w:rPr>
          <w:rFonts w:ascii="Arial" w:hAnsi="Arial" w:cs="Arial"/>
          <w:bCs/>
          <w:sz w:val="20"/>
          <w:szCs w:val="20"/>
        </w:rPr>
      </w:pPr>
      <w:r>
        <w:rPr/>
        <w:drawing>
          <wp:inline distT="0" distB="0" distL="0" distR="0">
            <wp:extent cx="5612130" cy="6513830"/>
            <wp:effectExtent l="0" t="0" r="0" b="0"/>
            <wp:docPr id="15" name="Imagen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0" descr=""/>
                    <pic:cNvPicPr>
                      <a:picLocks noChangeAspect="1" noChangeArrowheads="1"/>
                    </pic:cNvPicPr>
                  </pic:nvPicPr>
                  <pic:blipFill>
                    <a:blip r:embed="rId49"/>
                    <a:stretch>
                      <a:fillRect/>
                    </a:stretch>
                  </pic:blipFill>
                  <pic:spPr bwMode="auto">
                    <a:xfrm>
                      <a:off x="0" y="0"/>
                      <a:ext cx="5612130" cy="6513830"/>
                    </a:xfrm>
                    <a:prstGeom prst="rect">
                      <a:avLst/>
                    </a:prstGeom>
                  </pic:spPr>
                </pic:pic>
              </a:graphicData>
            </a:graphic>
          </wp:inline>
        </w:drawing>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En relación con lo anterior, en Oficio N° 2620-DTI-2019 la máster Kattia Morales de la Dirección de Tecnología de la Información, señala: </w:t>
      </w:r>
    </w:p>
    <w:p>
      <w:pPr>
        <w:pStyle w:val="Normal"/>
        <w:jc w:val="both"/>
        <w:rPr>
          <w:rFonts w:ascii="Arial" w:hAnsi="Arial" w:cs="Arial"/>
          <w:bCs/>
          <w:sz w:val="20"/>
          <w:szCs w:val="20"/>
        </w:rPr>
      </w:pPr>
      <w:r>
        <w:rPr/>
        <w:drawing>
          <wp:inline distT="0" distB="0" distL="0" distR="0">
            <wp:extent cx="5612130" cy="6456680"/>
            <wp:effectExtent l="0" t="0" r="0" b="0"/>
            <wp:docPr id="16" name="Imagen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1" descr=""/>
                    <pic:cNvPicPr>
                      <a:picLocks noChangeAspect="1" noChangeArrowheads="1"/>
                    </pic:cNvPicPr>
                  </pic:nvPicPr>
                  <pic:blipFill>
                    <a:blip r:embed="rId50"/>
                    <a:stretch>
                      <a:fillRect/>
                    </a:stretch>
                  </pic:blipFill>
                  <pic:spPr bwMode="auto">
                    <a:xfrm>
                      <a:off x="0" y="0"/>
                      <a:ext cx="5612130" cy="6456680"/>
                    </a:xfrm>
                    <a:prstGeom prst="rect">
                      <a:avLst/>
                    </a:prstGeom>
                  </pic:spPr>
                </pic:pic>
              </a:graphicData>
            </a:graphic>
          </wp:inline>
        </w:drawing>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object>
          <v:shape id="ole_rId51" style="width:75.15pt;height:48.85pt" o:ole="">
            <v:imagedata r:id="rId52" o:title=""/>
          </v:shape>
          <o:OLEObject Type="Embed" ProgID="Package" ShapeID="ole_rId51" DrawAspect="Icon" ObjectID="_247743637" r:id="rId51"/>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2° Solicitar a la Dirección de Tecnología de la Información valore la posibilidad de incorporar dentro de los requerimientos tecnológicos del nuevo sistema que está construyendo, la posibilidad de que se incluya una traducción automática de la información que se genere por parte de los despachos judiciales a la población indígena en sus diferentes idiomas, o al menos, los más comunes de Costa Rica. 3° Comuníquese a la Dirección de Tecnología de la Información por medio de la Unidad de Acceso a la Justicia.-</w:t>
      </w:r>
    </w:p>
    <w:p>
      <w:pPr>
        <w:pStyle w:val="Normal"/>
        <w:jc w:val="both"/>
        <w:rPr>
          <w:rFonts w:ascii="Arial" w:hAnsi="Arial" w:cs="Arial"/>
          <w:b/>
          <w:b/>
          <w:sz w:val="20"/>
          <w:szCs w:val="20"/>
        </w:rPr>
      </w:pPr>
      <w:r>
        <w:rPr>
          <w:rFonts w:cs="Arial" w:ascii="Arial" w:hAnsi="Arial"/>
          <w:b/>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IV</w:t>
      </w:r>
    </w:p>
    <w:p>
      <w:pPr>
        <w:pStyle w:val="Normal"/>
        <w:rPr>
          <w:rFonts w:ascii="Arial" w:hAnsi="Arial" w:cs="Arial"/>
          <w:bCs/>
          <w:sz w:val="20"/>
          <w:szCs w:val="20"/>
        </w:rPr>
      </w:pPr>
      <w:r>
        <w:rPr>
          <w:rFonts w:cs="Arial" w:ascii="Arial" w:hAnsi="Arial"/>
          <w:bCs/>
          <w:sz w:val="20"/>
          <w:szCs w:val="20"/>
        </w:rPr>
        <w:t>Se conoce el Oficio N° 1688-PLA-2019:</w:t>
      </w:r>
    </w:p>
    <w:p>
      <w:pPr>
        <w:pStyle w:val="Normal"/>
        <w:jc w:val="right"/>
        <w:rPr>
          <w:rFonts w:ascii="Arial" w:hAnsi="Arial" w:cs="Arial"/>
          <w:i/>
          <w:i/>
          <w:iCs/>
          <w:sz w:val="20"/>
          <w:szCs w:val="20"/>
          <w:lang w:val="pt-BR"/>
        </w:rPr>
      </w:pPr>
      <w:r>
        <w:rPr>
          <w:rFonts w:cs="Arial" w:ascii="Arial" w:hAnsi="Arial"/>
          <w:i/>
          <w:iCs/>
          <w:sz w:val="20"/>
          <w:szCs w:val="20"/>
          <w:lang w:val="pt-BR"/>
        </w:rPr>
        <w:t>1688-PLA-2019</w:t>
      </w:r>
    </w:p>
    <w:p>
      <w:pPr>
        <w:pStyle w:val="Normal"/>
        <w:jc w:val="right"/>
        <w:rPr>
          <w:rFonts w:ascii="Arial" w:hAnsi="Arial" w:cs="Arial"/>
          <w:i/>
          <w:i/>
          <w:iCs/>
          <w:sz w:val="20"/>
          <w:szCs w:val="20"/>
        </w:rPr>
      </w:pPr>
      <w:r>
        <w:rPr>
          <w:rFonts w:cs="Arial" w:ascii="Arial" w:hAnsi="Arial"/>
          <w:i/>
          <w:iCs/>
          <w:sz w:val="20"/>
          <w:szCs w:val="20"/>
        </w:rPr>
        <w:t>Ref. SICE: 1522-19</w:t>
      </w:r>
    </w:p>
    <w:p>
      <w:pPr>
        <w:pStyle w:val="Normal"/>
        <w:rPr>
          <w:rFonts w:ascii="Arial" w:hAnsi="Arial" w:cs="Arial"/>
          <w:i/>
          <w:i/>
          <w:iCs/>
          <w:sz w:val="20"/>
          <w:szCs w:val="20"/>
          <w:lang w:val="pt-BR"/>
        </w:rPr>
      </w:pPr>
      <w:r>
        <w:rPr>
          <w:rFonts w:cs="Arial" w:ascii="Arial" w:hAnsi="Arial"/>
          <w:i/>
          <w:iCs/>
          <w:sz w:val="20"/>
          <w:szCs w:val="20"/>
          <w:lang w:val="pt-BR"/>
        </w:rPr>
        <w:t xml:space="preserve">8 de </w:t>
      </w:r>
      <w:r>
        <w:rPr>
          <w:rFonts w:cs="Arial" w:ascii="Arial" w:hAnsi="Arial"/>
          <w:i/>
          <w:iCs/>
          <w:sz w:val="20"/>
          <w:szCs w:val="20"/>
        </w:rPr>
        <w:t>octubre</w:t>
      </w:r>
      <w:r>
        <w:rPr>
          <w:rFonts w:cs="Arial" w:ascii="Arial" w:hAnsi="Arial"/>
          <w:i/>
          <w:iCs/>
          <w:sz w:val="20"/>
          <w:szCs w:val="20"/>
          <w:lang w:val="pt-BR"/>
        </w:rPr>
        <w:t xml:space="preserve"> de 2019</w:t>
      </w:r>
    </w:p>
    <w:p>
      <w:pPr>
        <w:pStyle w:val="Normal"/>
        <w:rPr>
          <w:rFonts w:ascii="Arial" w:hAnsi="Arial" w:cs="Arial"/>
          <w:i/>
          <w:i/>
          <w:iCs/>
          <w:sz w:val="20"/>
          <w:szCs w:val="20"/>
          <w:lang w:val="pt-BR"/>
        </w:rPr>
      </w:pPr>
      <w:r>
        <w:rPr>
          <w:rFonts w:cs="Arial" w:ascii="Arial" w:hAnsi="Arial"/>
          <w:i/>
          <w:iCs/>
          <w:sz w:val="20"/>
          <w:szCs w:val="20"/>
          <w:lang w:val="pt-BR"/>
        </w:rPr>
      </w:r>
    </w:p>
    <w:p>
      <w:pPr>
        <w:pStyle w:val="Normal"/>
        <w:rPr>
          <w:rFonts w:ascii="Arial" w:hAnsi="Arial" w:cs="Arial"/>
          <w:i/>
          <w:i/>
          <w:iCs/>
          <w:sz w:val="20"/>
          <w:szCs w:val="20"/>
          <w:lang w:val="pt-BR"/>
        </w:rPr>
      </w:pPr>
      <w:r>
        <w:rPr>
          <w:rFonts w:cs="Arial" w:ascii="Arial" w:hAnsi="Arial"/>
          <w:i/>
          <w:iCs/>
          <w:sz w:val="20"/>
          <w:szCs w:val="20"/>
          <w:lang w:val="pt-BR"/>
        </w:rPr>
        <w:t>Máster</w:t>
      </w:r>
    </w:p>
    <w:p>
      <w:pPr>
        <w:pStyle w:val="Normal"/>
        <w:rPr>
          <w:rFonts w:ascii="Arial" w:hAnsi="Arial" w:cs="Arial"/>
          <w:i/>
          <w:i/>
          <w:iCs/>
          <w:sz w:val="20"/>
          <w:szCs w:val="20"/>
          <w:lang w:val="pt-BR"/>
        </w:rPr>
      </w:pPr>
      <w:r>
        <w:rPr>
          <w:rFonts w:cs="Arial" w:ascii="Arial" w:hAnsi="Arial"/>
          <w:i/>
          <w:iCs/>
          <w:sz w:val="20"/>
          <w:szCs w:val="20"/>
          <w:lang w:val="pt-BR"/>
        </w:rPr>
        <w:t>Damaris Vargas Vasquez, Coordinadora</w:t>
      </w:r>
    </w:p>
    <w:p>
      <w:pPr>
        <w:pStyle w:val="Normal"/>
        <w:rPr>
          <w:rFonts w:ascii="Arial" w:hAnsi="Arial" w:cs="Arial"/>
          <w:i/>
          <w:i/>
          <w:iCs/>
          <w:sz w:val="20"/>
          <w:szCs w:val="20"/>
        </w:rPr>
      </w:pPr>
      <w:r>
        <w:rPr>
          <w:rFonts w:cs="Arial" w:ascii="Arial" w:hAnsi="Arial"/>
          <w:i/>
          <w:iCs/>
          <w:sz w:val="20"/>
          <w:szCs w:val="20"/>
        </w:rPr>
        <w:t>Subcomisión de Acceso a la Justicia de Pueblos Indígenas</w:t>
      </w:r>
    </w:p>
    <w:p>
      <w:pPr>
        <w:pStyle w:val="Normal"/>
        <w:rPr>
          <w:rFonts w:ascii="Arial" w:hAnsi="Arial" w:cs="Arial"/>
          <w:i/>
          <w:i/>
          <w:iCs/>
          <w:sz w:val="20"/>
          <w:szCs w:val="20"/>
          <w:lang w:val="pt-BR"/>
        </w:rPr>
      </w:pPr>
      <w:r>
        <w:rPr>
          <w:rFonts w:cs="Arial" w:ascii="Arial" w:hAnsi="Arial"/>
          <w:i/>
          <w:iCs/>
          <w:sz w:val="20"/>
          <w:szCs w:val="20"/>
          <w:lang w:val="pt-BR"/>
        </w:rPr>
        <w:t>Estimada señora:</w:t>
      </w:r>
    </w:p>
    <w:p>
      <w:pPr>
        <w:pStyle w:val="Normal"/>
        <w:ind w:firstLine="708"/>
        <w:jc w:val="both"/>
        <w:rPr>
          <w:rFonts w:ascii="Arial" w:hAnsi="Arial" w:cs="Arial"/>
          <w:i/>
          <w:i/>
          <w:iCs/>
          <w:sz w:val="20"/>
          <w:szCs w:val="20"/>
        </w:rPr>
      </w:pPr>
      <w:r>
        <w:rPr>
          <w:rFonts w:cs="Arial" w:ascii="Arial" w:hAnsi="Arial"/>
          <w:i/>
          <w:iCs/>
          <w:sz w:val="20"/>
          <w:szCs w:val="20"/>
        </w:rPr>
        <w:t>En atención al oficio con fecha del 13 de setiembre del 2019, relacionado con la solicitud de nombrar un representante de esta Dirección con el fin de integrar la Subcomisión de Acceso a la Justicia de Pueblos Indígenas, la cual de forma coordinada con la Comisión de Acceso a la Justicia han asumido el reto de articular acciones para garantizar a la población indígena el acceso a la justicia, le informo que se designó para tal efecto al Ingeniero Dixon Li Morales, Jefe a.i. del Proceso Ejecución de las Operaciones.</w:t>
      </w:r>
    </w:p>
    <w:p>
      <w:pPr>
        <w:pStyle w:val="Normal"/>
        <w:rPr>
          <w:rFonts w:ascii="Arial" w:hAnsi="Arial" w:cs="Arial"/>
          <w:i/>
          <w:i/>
          <w:iCs/>
          <w:sz w:val="20"/>
          <w:szCs w:val="20"/>
          <w:lang w:val="pt-BR"/>
        </w:rPr>
      </w:pPr>
      <w:r>
        <w:rPr>
          <w:rStyle w:val="EnlacedeInternet"/>
          <w:rFonts w:cs="Arial" w:ascii="Arial" w:hAnsi="Arial"/>
          <w:i/>
          <w:iCs/>
          <w:color w:val="auto"/>
          <w:sz w:val="20"/>
          <w:szCs w:val="20"/>
        </w:rPr>
        <w:t xml:space="preserve"> </w:t>
      </w:r>
      <w:r>
        <w:rPr>
          <w:rFonts w:cs="Arial" w:ascii="Arial" w:hAnsi="Arial"/>
          <w:i/>
          <w:iCs/>
          <w:sz w:val="20"/>
          <w:szCs w:val="20"/>
          <w:lang w:val="pt-BR"/>
        </w:rPr>
        <w:t>Atentamente,</w:t>
      </w:r>
    </w:p>
    <w:p>
      <w:pPr>
        <w:pStyle w:val="Normal"/>
        <w:widowControl w:val="false"/>
        <w:rPr>
          <w:rFonts w:ascii="Arial" w:hAnsi="Arial" w:cs="Arial"/>
          <w:i/>
          <w:i/>
          <w:iCs/>
          <w:sz w:val="20"/>
          <w:szCs w:val="20"/>
          <w:lang w:val="pt-BR"/>
        </w:rPr>
      </w:pPr>
      <w:r>
        <w:rPr>
          <w:rFonts w:cs="Arial" w:ascii="Arial" w:hAnsi="Arial"/>
          <w:i/>
          <w:iCs/>
          <w:sz w:val="20"/>
          <w:szCs w:val="20"/>
          <w:lang w:val="pt-BR"/>
        </w:rPr>
      </w:r>
    </w:p>
    <w:p>
      <w:pPr>
        <w:pStyle w:val="Normal"/>
        <w:rPr>
          <w:rFonts w:ascii="Arial" w:hAnsi="Arial" w:cs="Arial"/>
          <w:i/>
          <w:i/>
          <w:iCs/>
          <w:sz w:val="20"/>
          <w:szCs w:val="20"/>
          <w:lang w:val="pt-BR"/>
        </w:rPr>
      </w:pPr>
      <w:r>
        <w:rPr>
          <w:rFonts w:cs="Arial" w:ascii="Arial" w:hAnsi="Arial"/>
          <w:i/>
          <w:iCs/>
          <w:sz w:val="20"/>
          <w:szCs w:val="20"/>
          <w:lang w:val="pt-BR"/>
        </w:rPr>
        <w:t xml:space="preserve">Erick Antonio Mora Leiva, Jefe </w:t>
      </w:r>
    </w:p>
    <w:p>
      <w:pPr>
        <w:pStyle w:val="Normal"/>
        <w:rPr>
          <w:rFonts w:ascii="Arial" w:hAnsi="Arial" w:cs="Arial"/>
          <w:i/>
          <w:i/>
          <w:iCs/>
          <w:sz w:val="20"/>
          <w:szCs w:val="20"/>
          <w:lang w:val="pt-BR"/>
        </w:rPr>
      </w:pPr>
      <w:r>
        <w:rPr>
          <w:rFonts w:cs="Arial" w:ascii="Arial" w:hAnsi="Arial"/>
          <w:i/>
          <w:iCs/>
          <w:sz w:val="20"/>
          <w:szCs w:val="20"/>
          <w:lang w:val="pt-BR"/>
        </w:rPr>
        <w:t>Proceso Planeación y Evaluación</w:t>
      </w:r>
    </w:p>
    <w:p>
      <w:pPr>
        <w:pStyle w:val="Normal"/>
        <w:rPr>
          <w:rFonts w:ascii="Arial" w:hAnsi="Arial" w:cs="Arial"/>
          <w:i/>
          <w:i/>
          <w:iCs/>
          <w:sz w:val="20"/>
          <w:szCs w:val="20"/>
        </w:rPr>
      </w:pPr>
      <w:r>
        <w:rPr>
          <w:rFonts w:cs="Arial" w:ascii="Arial" w:hAnsi="Arial"/>
          <w:i/>
          <w:iCs/>
          <w:sz w:val="20"/>
          <w:szCs w:val="20"/>
        </w:rPr>
        <w:t>Copia: Archivo</w:t>
      </w:r>
    </w:p>
    <w:p>
      <w:pPr>
        <w:pStyle w:val="Normal"/>
        <w:rPr>
          <w:rFonts w:ascii="Arial" w:hAnsi="Arial" w:cs="Arial"/>
          <w:i/>
          <w:i/>
          <w:iCs/>
          <w:sz w:val="20"/>
          <w:szCs w:val="20"/>
          <w:lang w:val="es-ES"/>
        </w:rPr>
      </w:pPr>
      <w:r>
        <w:rPr>
          <w:rFonts w:cs="Arial" w:ascii="Arial" w:hAnsi="Arial"/>
          <w:i/>
          <w:iCs/>
          <w:sz w:val="20"/>
          <w:szCs w:val="20"/>
          <w:lang w:val="es-ES"/>
        </w:rPr>
        <w:t>kmb</w:t>
      </w:r>
    </w:p>
    <w:p>
      <w:pPr>
        <w:pStyle w:val="BodyText2"/>
        <w:rPr>
          <w:rFonts w:ascii="Arial" w:hAnsi="Arial" w:cs="Arial"/>
          <w:i/>
          <w:i/>
          <w:iCs/>
          <w:sz w:val="20"/>
          <w:szCs w:val="20"/>
        </w:rPr>
      </w:pPr>
      <w:r>
        <w:rPr>
          <w:rFonts w:cs="Arial" w:ascii="Arial" w:hAnsi="Arial"/>
          <w:i/>
          <w:iCs/>
          <w:sz w:val="20"/>
          <w:szCs w:val="20"/>
        </w:rPr>
        <w:t>Ref. 1522-19</w:t>
      </w:r>
    </w:p>
    <w:p>
      <w:pPr>
        <w:pStyle w:val="BodyText2"/>
        <w:rPr>
          <w:rFonts w:ascii="Arial" w:hAnsi="Arial" w:cs="Arial"/>
          <w:i/>
          <w:i/>
          <w:iCs/>
          <w:sz w:val="20"/>
          <w:szCs w:val="20"/>
        </w:rPr>
      </w:pPr>
      <w:r>
        <w:rPr/>
        <w:object>
          <v:shape id="ole_rId53" style="width:75.15pt;height:48.85pt" o:ole="">
            <v:imagedata r:id="rId54" o:title=""/>
          </v:shape>
          <o:OLEObject Type="Embed" ProgID="Package" ShapeID="ole_rId53" DrawAspect="Icon" ObjectID="_285685526" r:id="rId53"/>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XV</w:t>
      </w:r>
    </w:p>
    <w:p>
      <w:pPr>
        <w:pStyle w:val="Normal"/>
        <w:jc w:val="both"/>
        <w:rPr>
          <w:rFonts w:ascii="Arial" w:hAnsi="Arial" w:cs="Arial"/>
          <w:bCs/>
          <w:sz w:val="20"/>
          <w:szCs w:val="20"/>
        </w:rPr>
      </w:pPr>
      <w:r>
        <w:rPr>
          <w:rFonts w:cs="Arial" w:ascii="Arial" w:hAnsi="Arial"/>
          <w:bCs/>
          <w:sz w:val="20"/>
          <w:szCs w:val="20"/>
        </w:rPr>
        <w:t>Se recibe a la señora Michelle Mayorga Agüero de la Dirección Nacional de Justicia Restaurativa.</w:t>
      </w:r>
    </w:p>
    <w:p>
      <w:pPr>
        <w:pStyle w:val="Normal"/>
        <w:jc w:val="both"/>
        <w:rPr>
          <w:rFonts w:ascii="Arial" w:hAnsi="Arial" w:cs="Arial"/>
          <w:i/>
          <w:i/>
          <w:iCs/>
          <w:sz w:val="20"/>
          <w:szCs w:val="20"/>
        </w:rPr>
      </w:pPr>
      <w:r>
        <w:rPr>
          <w:rFonts w:cs="Arial" w:ascii="Arial" w:hAnsi="Arial"/>
          <w:bCs/>
          <w:sz w:val="20"/>
          <w:szCs w:val="20"/>
        </w:rPr>
        <w:t>Damaris Vargas expone que previamente se socializó con las y los integrantes de esta Comisión la propuesta de Protocolo; además, la articulación de acciones obedece a la Ley de Acceso a la Justicia de Pueblos Indígenas de Costa Rica. Informa, e</w:t>
      </w:r>
      <w:r>
        <w:rPr>
          <w:rFonts w:cs="Arial" w:ascii="Arial" w:hAnsi="Arial"/>
          <w:sz w:val="20"/>
          <w:szCs w:val="20"/>
        </w:rPr>
        <w:t>n comunicado electrónico del 27 de setiembre de 2019, 11:46 horas, se hizo de conocimiento de las personas integrantes lo siguiente:</w:t>
      </w:r>
    </w:p>
    <w:p>
      <w:pPr>
        <w:pStyle w:val="Xxmsonormal"/>
        <w:jc w:val="both"/>
        <w:rPr>
          <w:rFonts w:ascii="Arial" w:hAnsi="Arial" w:cs="Arial"/>
          <w:i/>
          <w:i/>
          <w:iCs/>
          <w:sz w:val="20"/>
          <w:szCs w:val="20"/>
        </w:rPr>
      </w:pPr>
      <w:r>
        <w:rPr>
          <w:rFonts w:cs="Arial" w:ascii="Arial" w:hAnsi="Arial"/>
          <w:i/>
          <w:iCs/>
          <w:sz w:val="20"/>
          <w:szCs w:val="20"/>
        </w:rPr>
      </w:r>
    </w:p>
    <w:p>
      <w:pPr>
        <w:pStyle w:val="Xxmsonormal"/>
        <w:jc w:val="both"/>
        <w:rPr>
          <w:rFonts w:ascii="Arial" w:hAnsi="Arial" w:cs="Arial"/>
          <w:i/>
          <w:i/>
          <w:iCs/>
          <w:sz w:val="20"/>
          <w:szCs w:val="20"/>
        </w:rPr>
      </w:pPr>
      <w:r>
        <w:rPr>
          <w:rFonts w:cs="Arial" w:ascii="Arial" w:hAnsi="Arial"/>
          <w:i/>
          <w:iCs/>
          <w:sz w:val="20"/>
          <w:szCs w:val="20"/>
        </w:rPr>
        <w:t>“</w:t>
      </w:r>
      <w:r>
        <w:rPr>
          <w:rFonts w:cs="Arial" w:ascii="Arial" w:hAnsi="Arial"/>
          <w:i/>
          <w:iCs/>
          <w:sz w:val="20"/>
          <w:szCs w:val="20"/>
        </w:rPr>
        <w:t xml:space="preserve">Reciban un atento saludo. A la vez, hago de su conocimiento los avances realizados en relación con la gestión planteada a la Dirección Nacional de Justicia Restaurativa para que intervengan en los procesos judiciales en los cuales participen personas indígenas, en el marco de la Ley de Justicia Restaurativa, la Ley de Acceso a la Justicia de Pueblos Indígenas y en cumplimiento de las Medidas Cautelares 321-12 de la CIDH contra el Estado. </w:t>
      </w:r>
    </w:p>
    <w:p>
      <w:pPr>
        <w:pStyle w:val="Xxmsonormal"/>
        <w:jc w:val="both"/>
        <w:rPr>
          <w:rFonts w:ascii="Arial" w:hAnsi="Arial" w:cs="Arial"/>
          <w:i/>
          <w:i/>
          <w:iCs/>
          <w:sz w:val="20"/>
          <w:szCs w:val="20"/>
        </w:rPr>
      </w:pPr>
      <w:r>
        <w:rPr>
          <w:rFonts w:cs="Arial" w:ascii="Arial" w:hAnsi="Arial"/>
          <w:i/>
          <w:iCs/>
          <w:sz w:val="20"/>
          <w:szCs w:val="20"/>
        </w:rPr>
        <w:t> </w:t>
      </w:r>
    </w:p>
    <w:p>
      <w:pPr>
        <w:pStyle w:val="Xxmsonormal"/>
        <w:jc w:val="both"/>
        <w:rPr>
          <w:rFonts w:ascii="Arial" w:hAnsi="Arial" w:cs="Arial"/>
          <w:i/>
          <w:i/>
          <w:iCs/>
          <w:sz w:val="20"/>
          <w:szCs w:val="20"/>
        </w:rPr>
      </w:pPr>
      <w:r>
        <w:rPr>
          <w:rFonts w:cs="Arial" w:ascii="Arial" w:hAnsi="Arial"/>
          <w:i/>
          <w:iCs/>
          <w:sz w:val="20"/>
          <w:szCs w:val="20"/>
        </w:rPr>
        <w:t>Me informan que la DNJR maximizando el aprovechamiento de los recursos disponibles ha dispuesto priorizar la atención de los procesos de la materia Penal, y una vez concluyan los casos que se seleccionen de Salitre y Cabagra, continuarán con Contravencional y con Agrario, esto último con ocasión de la implementación de la Reforma Procesal Agraria.</w:t>
      </w:r>
    </w:p>
    <w:p>
      <w:pPr>
        <w:pStyle w:val="Xxmsonormal"/>
        <w:jc w:val="both"/>
        <w:rPr>
          <w:rFonts w:ascii="Arial" w:hAnsi="Arial" w:cs="Arial"/>
          <w:i/>
          <w:i/>
          <w:iCs/>
          <w:sz w:val="20"/>
          <w:szCs w:val="20"/>
        </w:rPr>
      </w:pPr>
      <w:r>
        <w:rPr>
          <w:rFonts w:cs="Arial" w:ascii="Arial" w:hAnsi="Arial"/>
          <w:i/>
          <w:iCs/>
          <w:sz w:val="20"/>
          <w:szCs w:val="20"/>
        </w:rPr>
        <w:t> </w:t>
      </w:r>
    </w:p>
    <w:p>
      <w:pPr>
        <w:pStyle w:val="Xxmsonormal"/>
        <w:jc w:val="both"/>
        <w:rPr>
          <w:rFonts w:ascii="Arial" w:hAnsi="Arial" w:cs="Arial"/>
          <w:i/>
          <w:i/>
          <w:iCs/>
          <w:sz w:val="20"/>
          <w:szCs w:val="20"/>
        </w:rPr>
      </w:pPr>
      <w:r>
        <w:rPr>
          <w:rFonts w:cs="Arial" w:ascii="Arial" w:hAnsi="Arial"/>
          <w:i/>
          <w:iCs/>
          <w:sz w:val="20"/>
          <w:szCs w:val="20"/>
        </w:rPr>
        <w:t xml:space="preserve">Para seguir avanzando, someto a su conocimiento el “Protocolo para la atención de causas penales con intervinientes indígenas mediante Justicia Restaurativa” a fin de que nos colaboren con sus valiosas observaciones desde sus diferentes perspectivas. Por favor remitir sus sugerencias </w:t>
      </w:r>
      <w:r>
        <w:rPr>
          <w:rFonts w:cs="Arial" w:ascii="Arial" w:hAnsi="Arial"/>
          <w:b/>
          <w:bCs/>
          <w:i/>
          <w:iCs/>
          <w:sz w:val="20"/>
          <w:szCs w:val="20"/>
          <w:u w:val="single"/>
        </w:rPr>
        <w:t>antes del 4 de octubre</w:t>
      </w:r>
      <w:r>
        <w:rPr>
          <w:rFonts w:cs="Arial" w:ascii="Arial" w:hAnsi="Arial"/>
          <w:i/>
          <w:iCs/>
          <w:sz w:val="20"/>
          <w:szCs w:val="20"/>
        </w:rPr>
        <w:t>. La señora Michelle Mayorga Agüero de la Dirección Nacionales de Justicia Restaurativa estará anuente a acompañarnos a alguna de las sesiones de la Subcomisión para exponer con detalle cómo funciona la Justicia Restaurativa y con mayor detalle, la forma en que se realizará la implementación.</w:t>
      </w:r>
    </w:p>
    <w:p>
      <w:pPr>
        <w:pStyle w:val="Xxmsonormal"/>
        <w:jc w:val="both"/>
        <w:rPr>
          <w:rFonts w:ascii="Arial" w:hAnsi="Arial" w:cs="Arial"/>
          <w:i/>
          <w:i/>
          <w:iCs/>
          <w:sz w:val="20"/>
          <w:szCs w:val="20"/>
        </w:rPr>
      </w:pPr>
      <w:r>
        <w:rPr>
          <w:rFonts w:cs="Arial" w:ascii="Arial" w:hAnsi="Arial"/>
          <w:i/>
          <w:iCs/>
          <w:sz w:val="20"/>
          <w:szCs w:val="20"/>
        </w:rPr>
        <w:t> </w:t>
      </w:r>
    </w:p>
    <w:p>
      <w:pPr>
        <w:pStyle w:val="Xxmsonormal"/>
        <w:jc w:val="both"/>
        <w:rPr>
          <w:rFonts w:ascii="Arial" w:hAnsi="Arial" w:cs="Arial"/>
          <w:i/>
          <w:i/>
          <w:iCs/>
          <w:sz w:val="20"/>
          <w:szCs w:val="20"/>
        </w:rPr>
      </w:pPr>
      <w:r>
        <w:rPr>
          <w:rFonts w:cs="Arial" w:ascii="Arial" w:hAnsi="Arial"/>
          <w:i/>
          <w:iCs/>
          <w:sz w:val="20"/>
          <w:szCs w:val="20"/>
        </w:rPr>
        <w:t>Se está conformando un equipo de trabajo para dar seguimiento a esta implementación, en el cual ya están participando las compañeras Ligia Jiménez, Ariana Céspedes, y se integrarán Marjorie Herrera, Valeria Varas y la suscrita. Sin embargo, se abre la posibilidad de que ustedes también se incorporen desde sus competencias para que colaboren en el proceso.</w:t>
      </w:r>
    </w:p>
    <w:p>
      <w:pPr>
        <w:pStyle w:val="Xxmsonormal"/>
        <w:jc w:val="both"/>
        <w:rPr>
          <w:rFonts w:ascii="Arial" w:hAnsi="Arial" w:cs="Arial"/>
          <w:i/>
          <w:i/>
          <w:iCs/>
          <w:sz w:val="20"/>
          <w:szCs w:val="20"/>
        </w:rPr>
      </w:pPr>
      <w:r>
        <w:rPr>
          <w:rFonts w:cs="Arial" w:ascii="Arial" w:hAnsi="Arial"/>
          <w:i/>
          <w:iCs/>
          <w:sz w:val="20"/>
          <w:szCs w:val="20"/>
        </w:rPr>
        <w:t> </w:t>
      </w:r>
    </w:p>
    <w:p>
      <w:pPr>
        <w:pStyle w:val="Xxmsonormal"/>
        <w:jc w:val="both"/>
        <w:rPr>
          <w:rFonts w:ascii="Arial" w:hAnsi="Arial" w:cs="Arial"/>
          <w:i/>
          <w:i/>
          <w:iCs/>
          <w:sz w:val="20"/>
          <w:szCs w:val="20"/>
        </w:rPr>
      </w:pPr>
      <w:r>
        <w:rPr>
          <w:rFonts w:cs="Arial" w:ascii="Arial" w:hAnsi="Arial"/>
          <w:i/>
          <w:iCs/>
          <w:sz w:val="20"/>
          <w:szCs w:val="20"/>
        </w:rPr>
        <w:t>Este tema es parte de la agenda de la sesión convocada para el próximo martes.”</w:t>
      </w:r>
    </w:p>
    <w:p>
      <w:pPr>
        <w:pStyle w:val="Normal"/>
        <w:jc w:val="both"/>
        <w:rPr>
          <w:rFonts w:ascii="Arial" w:hAnsi="Arial" w:cs="Arial"/>
          <w:sz w:val="20"/>
          <w:szCs w:val="20"/>
        </w:rPr>
      </w:pPr>
      <w:r>
        <w:rPr>
          <w:rFonts w:cs="Arial" w:ascii="Arial" w:hAnsi="Arial"/>
          <w:bCs/>
          <w:sz w:val="20"/>
          <w:szCs w:val="20"/>
        </w:rPr>
        <w:t xml:space="preserve"> </w:t>
      </w:r>
      <w:r>
        <w:rPr>
          <w:rFonts w:cs="Arial" w:ascii="Arial" w:hAnsi="Arial"/>
          <w:sz w:val="20"/>
          <w:szCs w:val="20"/>
        </w:rPr>
        <w:t xml:space="preserve">   </w:t>
      </w:r>
      <w:r>
        <w:rPr/>
        <w:object>
          <v:shape id="ole_rId55" style="width:75.15pt;height:48.85pt" o:ole="">
            <v:imagedata r:id="rId56" o:title=""/>
          </v:shape>
          <o:OLEObject Type="Embed" ProgID="Package" ShapeID="ole_rId55" DrawAspect="Icon" ObjectID="_2079313325" r:id="rId55"/>
        </w:objec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La señora Michelle Mayorga expone los antecedentes de las acciones coordinadas con la Subcomisión de Acceso a la Justicia de Pueblos Indígenas a fin de la atención de los procesos donde intervienen personas indígenas. Además, explica en qué consiste el abordaje de justicia restaurativa y el modelo institucional para la reparación de los intereses. En enero entró en vigencia la Ley de Justicia Restaurativa y ya se está trabajando con asuntos de penal juvenil. La persona juzgadora es un actor más dentro del grupo. No es un modelo propio de la Institución sino que tiene su origen en las comunidades indígenas, la participación es voluntaria. Señala, en un sondeo que hizo con la Fiscalía de quiénes habían trabajado con comunidades indígenas, solo las personas de Pérez Zeledón lo refirieron de esa manera.</w:t>
      </w:r>
    </w:p>
    <w:p>
      <w:pPr>
        <w:pStyle w:val="Normal"/>
        <w:jc w:val="both"/>
        <w:rPr>
          <w:rFonts w:ascii="Arial" w:hAnsi="Arial" w:cs="Arial"/>
          <w:bCs/>
          <w:sz w:val="20"/>
          <w:szCs w:val="20"/>
        </w:rPr>
      </w:pPr>
      <w:r>
        <w:rPr>
          <w:rFonts w:cs="Arial" w:ascii="Arial" w:hAnsi="Arial"/>
          <w:bCs/>
          <w:sz w:val="20"/>
          <w:szCs w:val="20"/>
        </w:rPr>
        <w:t>Señala doña Michelle que el documento que se les socializó de Protocolo no está escrito en piedra, por lo que sus sugerencias siempre son bienvenidas. Indica, la Justicia Restaurativa tiene una duración de 2 meses mientras que la justicia Ordinaria de 2 años; en costos, la Justicia Restaurativa es de 590 dólares y en Justicia Ordinaria es de 11.490 dólares. Se va a priorizar la atención de la población indígena de Buenos Aires considerando las Medidas Cautelares 321-12 de la CIDH. Aduce, su interés en participar en estas sesiones es conocer más sobre el tema indígena para que el abordaje sea idóneo.</w:t>
      </w:r>
    </w:p>
    <w:p>
      <w:pPr>
        <w:pStyle w:val="Normal"/>
        <w:jc w:val="both"/>
        <w:rPr>
          <w:rFonts w:ascii="Arial" w:hAnsi="Arial" w:cs="Arial"/>
          <w:bCs/>
          <w:sz w:val="20"/>
          <w:szCs w:val="20"/>
        </w:rPr>
      </w:pPr>
      <w:r>
        <w:rPr>
          <w:rFonts w:cs="Arial" w:ascii="Arial" w:hAnsi="Arial"/>
          <w:bCs/>
          <w:sz w:val="20"/>
          <w:szCs w:val="20"/>
        </w:rPr>
        <w:t>Se informa que no se recibieron sugerencias de mejora al protocolo, por lo que estima, antes de presentarlo a la población indígena es conveniente volver a socializar ese documento con las personas integrantes de esta Subcomisión antes de llevarlo a las comunidades.</w:t>
      </w:r>
    </w:p>
    <w:p>
      <w:pPr>
        <w:pStyle w:val="Normal"/>
        <w:jc w:val="both"/>
        <w:rPr>
          <w:rFonts w:ascii="Arial" w:hAnsi="Arial" w:cs="Arial"/>
          <w:bCs/>
          <w:sz w:val="20"/>
          <w:szCs w:val="20"/>
        </w:rPr>
      </w:pPr>
      <w:r>
        <w:rPr>
          <w:rFonts w:cs="Arial" w:ascii="Arial" w:hAnsi="Arial"/>
          <w:bCs/>
          <w:sz w:val="20"/>
          <w:szCs w:val="20"/>
        </w:rPr>
        <w:t>El Departamento de Trabajo Social y Psicología remitió oportunamente sus observaciones al protocolo, el cual fue construido con la colaboración de doña Ligia Jiménez.</w:t>
      </w:r>
    </w:p>
    <w:p>
      <w:pPr>
        <w:pStyle w:val="Normal"/>
        <w:jc w:val="both"/>
        <w:rPr>
          <w:rFonts w:ascii="Arial" w:hAnsi="Arial" w:cs="Arial"/>
          <w:b/>
          <w:b/>
          <w:sz w:val="20"/>
          <w:szCs w:val="20"/>
        </w:rPr>
      </w:pPr>
      <w:r>
        <w:rPr>
          <w:rFonts w:cs="Arial" w:ascii="Arial" w:hAnsi="Arial"/>
          <w:b/>
          <w:sz w:val="20"/>
          <w:szCs w:val="20"/>
        </w:rPr>
      </w:r>
    </w:p>
    <w:p>
      <w:pPr>
        <w:pStyle w:val="Normal"/>
        <w:jc w:val="both"/>
        <w:rPr>
          <w:rFonts w:ascii="Arial" w:hAnsi="Arial" w:cs="Arial"/>
          <w:bCs/>
          <w:sz w:val="20"/>
          <w:szCs w:val="20"/>
        </w:rPr>
      </w:pPr>
      <w:r>
        <w:rPr>
          <w:rFonts w:cs="Arial" w:ascii="Arial" w:hAnsi="Arial"/>
          <w:b/>
          <w:sz w:val="20"/>
          <w:szCs w:val="20"/>
        </w:rPr>
        <w:t xml:space="preserve">SE ACUERDA: </w:t>
      </w:r>
      <w:r>
        <w:rPr>
          <w:rFonts w:cs="Arial" w:ascii="Arial" w:hAnsi="Arial"/>
          <w:bCs/>
          <w:sz w:val="20"/>
          <w:szCs w:val="20"/>
        </w:rPr>
        <w:t xml:space="preserve">1° Se toma nota de la presentación de la señora Michelle Mayorga Agüero de la Dirección Nacional de Justicia Restaurativa y del informe de abordaje que están haciendo de procesos judiciales en los cuales intervienen personas indígenas. 2° Conferir un nuevo plazo de cinco días a las personas integrantes de la Subcomisión de Acceso a la Justicia de Pueblos Indígenas del </w:t>
      </w:r>
      <w:r>
        <w:rPr>
          <w:rFonts w:cs="Arial" w:ascii="Arial" w:hAnsi="Arial"/>
          <w:i/>
          <w:iCs/>
          <w:sz w:val="20"/>
          <w:szCs w:val="20"/>
        </w:rPr>
        <w:t xml:space="preserve">“Protocolo para la atención de causas penales con intervinientes indígenas mediante Justicia Restaurativa” </w:t>
      </w:r>
      <w:r>
        <w:rPr>
          <w:rFonts w:cs="Arial" w:ascii="Arial" w:hAnsi="Arial"/>
          <w:bCs/>
          <w:sz w:val="20"/>
          <w:szCs w:val="20"/>
        </w:rPr>
        <w:t>construido por la Dirección Nacional de Justicia Restaurativa junto con la presentación realizada el día de hoy, para que emitan sus sugerencias y observaciones. 3° Comunicar este acuerdo por medio de la Unidad de Acceso a la Justicia.-</w:t>
      </w:r>
    </w:p>
    <w:p>
      <w:pPr>
        <w:pStyle w:val="Normal"/>
        <w:jc w:val="both"/>
        <w:rPr>
          <w:rFonts w:ascii="Arial" w:hAnsi="Arial" w:cs="Arial"/>
          <w:b/>
          <w:b/>
          <w:sz w:val="20"/>
          <w:szCs w:val="20"/>
          <w:u w:val="single"/>
        </w:rPr>
      </w:pPr>
      <w:r>
        <w:rPr>
          <w:rFonts w:cs="Arial" w:ascii="Arial" w:hAnsi="Arial"/>
          <w:b/>
          <w:sz w:val="20"/>
          <w:szCs w:val="20"/>
          <w:u w:val="single"/>
        </w:rPr>
      </w:r>
    </w:p>
    <w:p>
      <w:pPr>
        <w:pStyle w:val="Normal"/>
        <w:rPr>
          <w:rFonts w:ascii="Arial" w:hAnsi="Arial" w:cs="Arial"/>
          <w:b/>
          <w:b/>
          <w:sz w:val="20"/>
          <w:szCs w:val="20"/>
          <w:u w:val="single"/>
        </w:rPr>
      </w:pPr>
      <w:r>
        <w:rPr>
          <w:rFonts w:cs="Arial" w:ascii="Arial" w:hAnsi="Arial"/>
          <w:b/>
          <w:sz w:val="20"/>
          <w:szCs w:val="20"/>
          <w:highlight w:val="yellow"/>
          <w:u w:val="single"/>
        </w:rPr>
        <w:t>ARTÍCULO XV</w:t>
      </w:r>
      <w:r>
        <w:rPr>
          <w:rFonts w:cs="Arial" w:ascii="Arial" w:hAnsi="Arial"/>
          <w:b/>
          <w:sz w:val="20"/>
          <w:szCs w:val="20"/>
          <w:u w:val="single"/>
        </w:rPr>
        <w:t>I</w:t>
      </w:r>
    </w:p>
    <w:p>
      <w:pPr>
        <w:pStyle w:val="Normal"/>
        <w:jc w:val="both"/>
        <w:rPr>
          <w:rFonts w:ascii="Arial" w:hAnsi="Arial" w:cs="Arial"/>
          <w:bCs/>
          <w:sz w:val="20"/>
          <w:szCs w:val="20"/>
        </w:rPr>
      </w:pPr>
      <w:r>
        <w:rPr>
          <w:rFonts w:cs="Arial" w:ascii="Arial" w:hAnsi="Arial"/>
          <w:bCs/>
          <w:sz w:val="20"/>
          <w:szCs w:val="20"/>
        </w:rPr>
        <w:t>Se conoce la Circular N° 173-19 publicada el 7 de octubre de 2019, 4:10 horas, que es actualización de las Reglas de Brasilia aprobadas por Corte Plena, en las que se indica:</w:t>
      </w:r>
    </w:p>
    <w:p>
      <w:pPr>
        <w:pStyle w:val="Normal"/>
        <w:rPr>
          <w:rFonts w:ascii="Arial" w:hAnsi="Arial" w:cs="Arial"/>
          <w:bCs/>
          <w:sz w:val="20"/>
          <w:szCs w:val="20"/>
        </w:rPr>
      </w:pPr>
      <w:r>
        <w:rPr/>
        <w:drawing>
          <wp:inline distT="0" distB="0" distL="0" distR="0">
            <wp:extent cx="5487035" cy="8258810"/>
            <wp:effectExtent l="0" t="0" r="0" b="0"/>
            <wp:docPr id="17" name="Imagen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2" descr=""/>
                    <pic:cNvPicPr>
                      <a:picLocks noChangeAspect="1" noChangeArrowheads="1"/>
                    </pic:cNvPicPr>
                  </pic:nvPicPr>
                  <pic:blipFill>
                    <a:blip r:embed="rId57"/>
                    <a:stretch>
                      <a:fillRect/>
                    </a:stretch>
                  </pic:blipFill>
                  <pic:spPr bwMode="auto">
                    <a:xfrm>
                      <a:off x="0" y="0"/>
                      <a:ext cx="5487035" cy="8258810"/>
                    </a:xfrm>
                    <a:prstGeom prst="rect">
                      <a:avLst/>
                    </a:prstGeom>
                  </pic:spPr>
                </pic:pic>
              </a:graphicData>
            </a:graphic>
          </wp:inline>
        </w:drawing>
      </w:r>
    </w:p>
    <w:p>
      <w:pPr>
        <w:pStyle w:val="Normal"/>
        <w:rPr>
          <w:rFonts w:ascii="Arial" w:hAnsi="Arial" w:cs="Arial"/>
          <w:b/>
          <w:b/>
          <w:sz w:val="20"/>
          <w:szCs w:val="20"/>
        </w:rPr>
      </w:pPr>
      <w:r>
        <w:rPr/>
        <w:object>
          <v:shape id="ole_rId58" style="width:75.15pt;height:48.85pt" o:ole="">
            <v:imagedata r:id="rId59" o:title=""/>
          </v:shape>
          <o:OLEObject Type="Embed" ProgID="Package" ShapeID="ole_rId58" DrawAspect="Icon" ObjectID="_37639331" r:id="rId58"/>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XV</w:t>
      </w:r>
      <w:r>
        <w:rPr>
          <w:rFonts w:cs="Arial" w:ascii="Arial" w:hAnsi="Arial"/>
          <w:b/>
          <w:sz w:val="20"/>
          <w:szCs w:val="20"/>
          <w:u w:val="single"/>
        </w:rPr>
        <w:t>II</w:t>
      </w:r>
    </w:p>
    <w:p>
      <w:pPr>
        <w:pStyle w:val="Normal"/>
        <w:jc w:val="both"/>
        <w:rPr>
          <w:rFonts w:ascii="Arial" w:hAnsi="Arial" w:cs="Arial"/>
          <w:i/>
          <w:i/>
          <w:iCs/>
          <w:sz w:val="20"/>
          <w:szCs w:val="20"/>
        </w:rPr>
      </w:pPr>
      <w:r>
        <w:rPr>
          <w:rFonts w:cs="Arial" w:ascii="Arial" w:hAnsi="Arial"/>
          <w:bCs/>
          <w:sz w:val="20"/>
          <w:szCs w:val="20"/>
        </w:rPr>
        <w:t xml:space="preserve">En comunicado electrónico del 6 de octubre de 2019, 18:51 horas, se hizo de conocimiento de las y los integrantes lo siguiente: </w:t>
      </w:r>
      <w:r>
        <w:rPr>
          <w:rFonts w:cs="Arial" w:ascii="Arial" w:hAnsi="Arial"/>
          <w:bCs/>
          <w:i/>
          <w:iCs/>
          <w:sz w:val="20"/>
          <w:szCs w:val="20"/>
        </w:rPr>
        <w:t>“</w:t>
      </w:r>
      <w:r>
        <w:rPr>
          <w:rFonts w:cs="Arial" w:ascii="Arial" w:hAnsi="Arial"/>
          <w:i/>
          <w:iCs/>
          <w:sz w:val="20"/>
          <w:szCs w:val="20"/>
        </w:rPr>
        <w:t>Reciban un cordial saludo. A la vez, se les solicita remitir observaciones a la documentación adjunta vinculada con población indígena con el objetivo de obtener insumos para la realización del “Taller de Plan de Acción de las Políticas de las Poblaciones en Condición de Vulnerabilidad”. En lo personal considero muy importante considerar dentro de la información de interés, los avances del Poder Ejecutivo en la construcción de la Política Indígena con la participación de varias instituciones, con el objetivo de lograr la coordinación interinstitucional; así como la MC 321-12 y la Circular 123-19. Le solicito a don Geyner Blanco colaboración en este aspecto. Agradezco si pueden enviar las sugerencias el día de mañana a la Unidad de Acceso a la Justicia con copia a la suscrita para que sean consideradas en el Taller respectivo.”</w:t>
      </w:r>
    </w:p>
    <w:p>
      <w:pPr>
        <w:pStyle w:val="Normal"/>
        <w:jc w:val="both"/>
        <w:rPr>
          <w:rFonts w:ascii="Arial" w:hAnsi="Arial" w:cs="Arial"/>
          <w:sz w:val="20"/>
          <w:szCs w:val="20"/>
        </w:rPr>
      </w:pPr>
      <w:r>
        <w:rPr>
          <w:rFonts w:cs="Arial" w:ascii="Arial" w:hAnsi="Arial"/>
          <w:sz w:val="20"/>
          <w:szCs w:val="20"/>
        </w:rPr>
        <w:t>Los documentos adjuntos señalan:</w:t>
      </w:r>
    </w:p>
    <w:p>
      <w:pPr>
        <w:pStyle w:val="Normal"/>
        <w:jc w:val="both"/>
        <w:rPr>
          <w:rFonts w:ascii="Arial" w:hAnsi="Arial" w:cs="Arial"/>
          <w:sz w:val="20"/>
          <w:szCs w:val="20"/>
        </w:rPr>
      </w:pPr>
      <w:r>
        <w:rPr/>
        <w:drawing>
          <wp:inline distT="0" distB="0" distL="0" distR="0">
            <wp:extent cx="5612130" cy="3752850"/>
            <wp:effectExtent l="0" t="0" r="0" b="0"/>
            <wp:docPr id="18" name="Imagen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3" descr=""/>
                    <pic:cNvPicPr>
                      <a:picLocks noChangeAspect="1" noChangeArrowheads="1"/>
                    </pic:cNvPicPr>
                  </pic:nvPicPr>
                  <pic:blipFill>
                    <a:blip r:embed="rId60"/>
                    <a:stretch>
                      <a:fillRect/>
                    </a:stretch>
                  </pic:blipFill>
                  <pic:spPr bwMode="auto">
                    <a:xfrm>
                      <a:off x="0" y="0"/>
                      <a:ext cx="5612130" cy="3752850"/>
                    </a:xfrm>
                    <a:prstGeom prst="rect">
                      <a:avLst/>
                    </a:prstGeom>
                  </pic:spPr>
                </pic:pic>
              </a:graphicData>
            </a:graphic>
          </wp:inline>
        </w:drawing>
      </w:r>
    </w:p>
    <w:p>
      <w:pPr>
        <w:pStyle w:val="Normal"/>
        <w:jc w:val="both"/>
        <w:rPr>
          <w:rFonts w:ascii="Arial" w:hAnsi="Arial" w:cs="Arial"/>
          <w:i/>
          <w:i/>
          <w:iCs/>
          <w:sz w:val="20"/>
          <w:szCs w:val="20"/>
        </w:rPr>
      </w:pPr>
      <w:r>
        <w:rPr>
          <w:rFonts w:cs="Arial" w:ascii="Arial" w:hAnsi="Arial"/>
          <w:i/>
          <w:iCs/>
          <w:sz w:val="20"/>
          <w:szCs w:val="20"/>
        </w:rPr>
      </w:r>
    </w:p>
    <w:p>
      <w:pPr>
        <w:pStyle w:val="Normal"/>
        <w:jc w:val="both"/>
        <w:rPr>
          <w:rFonts w:ascii="Arial" w:hAnsi="Arial" w:cs="Arial"/>
          <w:sz w:val="20"/>
          <w:szCs w:val="20"/>
        </w:rPr>
      </w:pPr>
      <w:r>
        <w:rPr>
          <w:rFonts w:cs="Arial" w:ascii="Arial" w:hAnsi="Arial"/>
          <w:sz w:val="20"/>
          <w:szCs w:val="20"/>
        </w:rPr>
        <w:t>La señora Cheryl Bolaños remitió sugerencias en comunicado del 9 de octubre de 2019, 1:20 horas.</w:t>
      </w:r>
    </w:p>
    <w:p>
      <w:pPr>
        <w:pStyle w:val="Normal"/>
        <w:jc w:val="both"/>
        <w:rPr>
          <w:rFonts w:ascii="Arial" w:hAnsi="Arial" w:cs="Arial"/>
          <w:sz w:val="20"/>
          <w:szCs w:val="20"/>
        </w:rPr>
      </w:pPr>
      <w:r>
        <w:rPr/>
        <w:object>
          <v:shape id="ole_rId61" style="width:75.15pt;height:48.85pt" o:ole="">
            <v:imagedata r:id="rId62" o:title=""/>
          </v:shape>
          <o:OLEObject Type="Embed" ProgID="Package" ShapeID="ole_rId61" DrawAspect="Icon" ObjectID="_264038558" r:id="rId61"/>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XV</w:t>
      </w:r>
      <w:r>
        <w:rPr>
          <w:rFonts w:cs="Arial" w:ascii="Arial" w:hAnsi="Arial"/>
          <w:b/>
          <w:sz w:val="20"/>
          <w:szCs w:val="20"/>
          <w:u w:val="single"/>
        </w:rPr>
        <w:t>III</w:t>
      </w:r>
    </w:p>
    <w:p>
      <w:pPr>
        <w:pStyle w:val="Normal"/>
        <w:jc w:val="both"/>
        <w:rPr>
          <w:rFonts w:ascii="Arial" w:hAnsi="Arial" w:cs="Arial"/>
          <w:bCs/>
          <w:sz w:val="20"/>
          <w:szCs w:val="20"/>
        </w:rPr>
      </w:pPr>
      <w:r>
        <w:rPr>
          <w:rFonts w:cs="Arial" w:ascii="Arial" w:hAnsi="Arial"/>
          <w:bCs/>
          <w:sz w:val="20"/>
          <w:szCs w:val="20"/>
        </w:rPr>
        <w:t>La señora Lizeth Orozco remitió por instrucciones del magistrado Rafael Segura, comunicado del 9 de octubre de 2019, 10:10 horas, en el que se señala:</w:t>
      </w:r>
    </w:p>
    <w:p>
      <w:pPr>
        <w:pStyle w:val="Normal"/>
        <w:jc w:val="both"/>
        <w:rPr>
          <w:rFonts w:ascii="Arial" w:hAnsi="Arial" w:cs="Arial"/>
          <w:bCs/>
          <w:sz w:val="20"/>
          <w:szCs w:val="20"/>
        </w:rPr>
      </w:pPr>
      <w:r>
        <w:rPr/>
        <w:drawing>
          <wp:inline distT="0" distB="0" distL="0" distR="0">
            <wp:extent cx="5598795" cy="8258810"/>
            <wp:effectExtent l="0" t="0" r="0" b="0"/>
            <wp:docPr id="19" name="Imagen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4" descr=""/>
                    <pic:cNvPicPr>
                      <a:picLocks noChangeAspect="1" noChangeArrowheads="1"/>
                    </pic:cNvPicPr>
                  </pic:nvPicPr>
                  <pic:blipFill>
                    <a:blip r:embed="rId63"/>
                    <a:stretch>
                      <a:fillRect/>
                    </a:stretch>
                  </pic:blipFill>
                  <pic:spPr bwMode="auto">
                    <a:xfrm>
                      <a:off x="0" y="0"/>
                      <a:ext cx="5598795" cy="8258810"/>
                    </a:xfrm>
                    <a:prstGeom prst="rect">
                      <a:avLst/>
                    </a:prstGeom>
                  </pic:spPr>
                </pic:pic>
              </a:graphicData>
            </a:graphic>
          </wp:inline>
        </w:drawing>
      </w:r>
    </w:p>
    <w:p>
      <w:pPr>
        <w:pStyle w:val="Normal"/>
        <w:jc w:val="both"/>
        <w:rPr>
          <w:rFonts w:ascii="Arial" w:hAnsi="Arial" w:cs="Arial"/>
          <w:sz w:val="20"/>
          <w:szCs w:val="20"/>
        </w:rPr>
      </w:pPr>
      <w:r>
        <w:rPr/>
        <w:object>
          <v:shape id="ole_rId64" style="width:75.15pt;height:48.85pt" o:ole="">
            <v:imagedata r:id="rId65" o:title=""/>
          </v:shape>
          <o:OLEObject Type="Embed" ProgID="Package" ShapeID="ole_rId64" DrawAspect="Icon" ObjectID="_1503740302" r:id="rId64"/>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IX</w:t>
      </w:r>
    </w:p>
    <w:p>
      <w:pPr>
        <w:pStyle w:val="Normal"/>
        <w:jc w:val="both"/>
        <w:rPr>
          <w:rFonts w:ascii="Arial" w:hAnsi="Arial" w:cs="Arial"/>
          <w:sz w:val="20"/>
          <w:szCs w:val="20"/>
        </w:rPr>
      </w:pPr>
      <w:r>
        <w:rPr>
          <w:rFonts w:cs="Arial" w:ascii="Arial" w:hAnsi="Arial"/>
          <w:sz w:val="20"/>
          <w:szCs w:val="20"/>
        </w:rPr>
        <w:t>Se conoce del siguiente comunicado electrónico:</w:t>
      </w:r>
    </w:p>
    <w:p>
      <w:pPr>
        <w:pStyle w:val="Normal"/>
        <w:jc w:val="both"/>
        <w:rPr>
          <w:rFonts w:ascii="Arial" w:hAnsi="Arial" w:cs="Arial"/>
          <w:sz w:val="20"/>
          <w:szCs w:val="20"/>
        </w:rPr>
      </w:pPr>
      <w:r>
        <w:rPr/>
        <w:drawing>
          <wp:inline distT="0" distB="0" distL="0" distR="0">
            <wp:extent cx="5612130" cy="8119745"/>
            <wp:effectExtent l="0" t="0" r="0" b="0"/>
            <wp:docPr id="20" name="Imagen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5" descr=""/>
                    <pic:cNvPicPr>
                      <a:picLocks noChangeAspect="1" noChangeArrowheads="1"/>
                    </pic:cNvPicPr>
                  </pic:nvPicPr>
                  <pic:blipFill>
                    <a:blip r:embed="rId66"/>
                    <a:stretch>
                      <a:fillRect/>
                    </a:stretch>
                  </pic:blipFill>
                  <pic:spPr bwMode="auto">
                    <a:xfrm>
                      <a:off x="0" y="0"/>
                      <a:ext cx="5612130" cy="8119745"/>
                    </a:xfrm>
                    <a:prstGeom prst="rect">
                      <a:avLst/>
                    </a:prstGeom>
                  </pic:spPr>
                </pic:pic>
              </a:graphicData>
            </a:graphic>
          </wp:inline>
        </w:drawing>
      </w:r>
    </w:p>
    <w:p>
      <w:pPr>
        <w:pStyle w:val="Normal"/>
        <w:jc w:val="both"/>
        <w:rPr>
          <w:rFonts w:ascii="Arial" w:hAnsi="Arial" w:cs="Arial"/>
          <w:sz w:val="20"/>
          <w:szCs w:val="20"/>
        </w:rPr>
      </w:pPr>
      <w:r>
        <w:rPr/>
        <w:object>
          <v:shape id="ole_rId67" style="width:75.15pt;height:48.85pt" o:ole="">
            <v:imagedata r:id="rId68" o:title=""/>
          </v:shape>
          <o:OLEObject Type="Embed" ProgID="Package" ShapeID="ole_rId67" DrawAspect="Icon" ObjectID="_1049298837" r:id="rId67"/>
        </w:object>
      </w:r>
      <w:r>
        <w:rPr/>
        <w:object>
          <v:shape id="ole_rId69" style="width:75.15pt;height:48.85pt" o:ole="">
            <v:imagedata r:id="rId70" o:title=""/>
          </v:shape>
          <o:OLEObject Type="Embed" ProgID="Package" ShapeID="ole_rId69" DrawAspect="Icon" ObjectID="_621350984" r:id="rId69"/>
        </w:object>
      </w:r>
      <w:r>
        <w:rPr/>
        <w:object>
          <v:shape id="ole_rId71" style="width:75.15pt;height:48.85pt" o:ole="">
            <v:imagedata r:id="rId72" o:title=""/>
          </v:shape>
          <o:OLEObject Type="Embed" ProgID="Package" ShapeID="ole_rId71" DrawAspect="Icon" ObjectID="_1745905565" r:id="rId71"/>
        </w:object>
      </w:r>
      <w:r>
        <w:rPr/>
        <w:object>
          <v:shape id="ole_rId73" style="width:75.15pt;height:48.85pt" o:ole="">
            <v:imagedata r:id="rId74" o:title=""/>
          </v:shape>
          <o:OLEObject Type="Embed" ProgID="Package" ShapeID="ole_rId73" DrawAspect="Icon" ObjectID="_1763101209" r:id="rId73"/>
        </w:object>
      </w:r>
      <w:r>
        <w:rPr>
          <w:rFonts w:cs="Arial" w:ascii="Arial" w:hAnsi="Arial"/>
          <w:sz w:val="20"/>
          <w:szCs w:val="20"/>
        </w:rPr>
        <w:t xml:space="preserve"> </w:t>
      </w:r>
      <w:r>
        <w:rPr/>
        <w:object>
          <v:shape id="ole_rId75" style="width:75.15pt;height:48.85pt" o:ole="">
            <v:imagedata r:id="rId76" o:title=""/>
          </v:shape>
          <o:OLEObject Type="Embed" ProgID="Package" ShapeID="ole_rId75" DrawAspect="Icon" ObjectID="_1180591342" r:id="rId75"/>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w:t>
      </w:r>
    </w:p>
    <w:p>
      <w:pPr>
        <w:pStyle w:val="Normal"/>
        <w:jc w:val="both"/>
        <w:rPr>
          <w:rFonts w:ascii="Arial" w:hAnsi="Arial" w:cs="Arial"/>
          <w:bCs/>
          <w:sz w:val="20"/>
          <w:szCs w:val="20"/>
        </w:rPr>
      </w:pPr>
      <w:r>
        <w:rPr>
          <w:rFonts w:cs="Arial" w:ascii="Arial" w:hAnsi="Arial"/>
          <w:bCs/>
          <w:sz w:val="20"/>
          <w:szCs w:val="20"/>
        </w:rPr>
        <w:t>Se conoce del siguiente Oficio:</w:t>
      </w:r>
    </w:p>
    <w:p>
      <w:pPr>
        <w:pStyle w:val="Normal"/>
        <w:jc w:val="both"/>
        <w:rPr>
          <w:rFonts w:ascii="Arial" w:hAnsi="Arial" w:cs="Arial"/>
          <w:bCs/>
          <w:sz w:val="20"/>
          <w:szCs w:val="20"/>
        </w:rPr>
      </w:pPr>
      <w:r>
        <w:rPr/>
        <w:drawing>
          <wp:inline distT="0" distB="0" distL="0" distR="0">
            <wp:extent cx="5612130" cy="8235950"/>
            <wp:effectExtent l="0" t="0" r="0" b="0"/>
            <wp:docPr id="21" name="Imagen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18" descr=""/>
                    <pic:cNvPicPr>
                      <a:picLocks noChangeAspect="1" noChangeArrowheads="1"/>
                    </pic:cNvPicPr>
                  </pic:nvPicPr>
                  <pic:blipFill>
                    <a:blip r:embed="rId77"/>
                    <a:stretch>
                      <a:fillRect/>
                    </a:stretch>
                  </pic:blipFill>
                  <pic:spPr bwMode="auto">
                    <a:xfrm>
                      <a:off x="0" y="0"/>
                      <a:ext cx="5612130" cy="8235950"/>
                    </a:xfrm>
                    <a:prstGeom prst="rect">
                      <a:avLst/>
                    </a:prstGeom>
                  </pic:spPr>
                </pic:pic>
              </a:graphicData>
            </a:graphic>
          </wp:inline>
        </w:drawing>
      </w:r>
    </w:p>
    <w:p>
      <w:pPr>
        <w:pStyle w:val="Normal"/>
        <w:jc w:val="both"/>
        <w:rPr>
          <w:rFonts w:ascii="Arial" w:hAnsi="Arial" w:cs="Arial"/>
          <w:sz w:val="20"/>
          <w:szCs w:val="20"/>
        </w:rPr>
      </w:pPr>
      <w:r>
        <w:rPr/>
        <w:object>
          <v:shape id="ole_rId78" style="width:75.15pt;height:48.85pt" o:ole="">
            <v:imagedata r:id="rId79" o:title=""/>
          </v:shape>
          <o:OLEObject Type="Embed" ProgID="Package" ShapeID="ole_rId78" DrawAspect="Icon" ObjectID="_923564968" r:id="rId78"/>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XI</w:t>
      </w:r>
    </w:p>
    <w:p>
      <w:pPr>
        <w:pStyle w:val="Normal"/>
        <w:rPr>
          <w:rFonts w:ascii="Arial" w:hAnsi="Arial" w:cs="Arial"/>
          <w:bCs/>
          <w:sz w:val="20"/>
          <w:szCs w:val="20"/>
        </w:rPr>
      </w:pPr>
      <w:r>
        <w:rPr>
          <w:rFonts w:cs="Arial" w:ascii="Arial" w:hAnsi="Arial"/>
          <w:bCs/>
          <w:sz w:val="20"/>
          <w:szCs w:val="20"/>
        </w:rPr>
        <w:t>Se conoce el siguiente oficio:</w:t>
      </w:r>
    </w:p>
    <w:p>
      <w:pPr>
        <w:pStyle w:val="Normal"/>
        <w:spacing w:lineRule="auto" w:line="240" w:before="0" w:after="0"/>
        <w:jc w:val="right"/>
        <w:rPr>
          <w:rFonts w:ascii="Arial" w:hAnsi="Arial" w:cs="Arial"/>
          <w:b/>
          <w:b/>
          <w:bCs/>
          <w:i/>
          <w:i/>
          <w:iCs/>
          <w:sz w:val="20"/>
          <w:szCs w:val="20"/>
        </w:rPr>
      </w:pPr>
      <w:r>
        <w:rPr>
          <w:rFonts w:cs="Arial" w:ascii="Arial" w:hAnsi="Arial"/>
          <w:b/>
          <w:bCs/>
          <w:sz w:val="20"/>
          <w:szCs w:val="20"/>
        </w:rPr>
        <w:t>OFICIO: 376-UPROV/OPO-19</w:t>
      </w:r>
    </w:p>
    <w:p>
      <w:pPr>
        <w:pStyle w:val="Normal"/>
        <w:spacing w:lineRule="auto" w:line="240" w:before="0" w:after="0"/>
        <w:jc w:val="right"/>
        <w:rPr>
          <w:rFonts w:ascii="Arial" w:hAnsi="Arial" w:cs="Arial"/>
          <w:b/>
          <w:b/>
          <w:bCs/>
          <w:i/>
          <w:i/>
          <w:iCs/>
          <w:sz w:val="20"/>
          <w:szCs w:val="20"/>
        </w:rPr>
      </w:pPr>
      <w:r>
        <w:rPr>
          <w:rFonts w:cs="Arial" w:ascii="Arial" w:hAnsi="Arial"/>
          <w:b/>
          <w:bCs/>
          <w:i/>
          <w:iCs/>
          <w:sz w:val="20"/>
          <w:szCs w:val="20"/>
        </w:rPr>
      </w:r>
    </w:p>
    <w:p>
      <w:pPr>
        <w:pStyle w:val="Normal"/>
        <w:spacing w:lineRule="auto" w:line="240" w:before="0" w:after="0"/>
        <w:jc w:val="right"/>
        <w:rPr>
          <w:rFonts w:ascii="Arial" w:hAnsi="Arial" w:cs="Arial"/>
          <w:b/>
          <w:b/>
          <w:bCs/>
          <w:sz w:val="20"/>
          <w:szCs w:val="20"/>
        </w:rPr>
      </w:pPr>
      <w:r>
        <w:rPr>
          <w:rFonts w:cs="Arial" w:ascii="Arial" w:hAnsi="Arial"/>
          <w:b/>
          <w:bCs/>
          <w:sz w:val="20"/>
          <w:szCs w:val="20"/>
        </w:rPr>
        <w:t>San José, 11 de octubre del 2019</w:t>
      </w:r>
    </w:p>
    <w:p>
      <w:pPr>
        <w:pStyle w:val="Normal"/>
        <w:spacing w:lineRule="auto" w:line="240" w:before="0" w:after="0"/>
        <w:rPr>
          <w:rFonts w:ascii="Arial" w:hAnsi="Arial" w:cs="Arial"/>
          <w:b/>
          <w:b/>
          <w:bCs/>
          <w:sz w:val="20"/>
          <w:szCs w:val="20"/>
        </w:rPr>
      </w:pPr>
      <w:r>
        <w:rPr>
          <w:rFonts w:cs="Arial" w:ascii="Arial" w:hAnsi="Arial"/>
          <w:b/>
          <w:bCs/>
          <w:sz w:val="20"/>
          <w:szCs w:val="20"/>
        </w:rPr>
      </w:r>
    </w:p>
    <w:p>
      <w:pPr>
        <w:pStyle w:val="Normal"/>
        <w:spacing w:lineRule="auto" w:line="240" w:before="0" w:after="0"/>
        <w:rPr>
          <w:rFonts w:ascii="Arial" w:hAnsi="Arial" w:cs="Arial"/>
          <w:b/>
          <w:b/>
          <w:bCs/>
          <w:sz w:val="20"/>
          <w:szCs w:val="20"/>
        </w:rPr>
      </w:pPr>
      <w:r>
        <w:rPr>
          <w:rFonts w:cs="Arial" w:ascii="Arial" w:hAnsi="Arial"/>
          <w:b/>
          <w:bCs/>
          <w:sz w:val="20"/>
          <w:szCs w:val="20"/>
        </w:rPr>
        <w:t>Licenciada</w:t>
      </w:r>
    </w:p>
    <w:p>
      <w:pPr>
        <w:pStyle w:val="Normal"/>
        <w:spacing w:lineRule="auto" w:line="240" w:before="0" w:after="0"/>
        <w:rPr>
          <w:rFonts w:ascii="Arial" w:hAnsi="Arial" w:cs="Arial"/>
          <w:b/>
          <w:b/>
          <w:bCs/>
          <w:sz w:val="20"/>
          <w:szCs w:val="20"/>
        </w:rPr>
      </w:pPr>
      <w:r>
        <w:rPr>
          <w:rFonts w:cs="Arial" w:ascii="Arial" w:hAnsi="Arial"/>
          <w:b/>
          <w:bCs/>
          <w:sz w:val="20"/>
          <w:szCs w:val="20"/>
        </w:rPr>
        <w:t>Wendy Barrantes Jiménez</w:t>
      </w:r>
    </w:p>
    <w:p>
      <w:pPr>
        <w:pStyle w:val="Normal"/>
        <w:spacing w:lineRule="auto" w:line="240" w:before="0" w:after="0"/>
        <w:rPr>
          <w:rFonts w:ascii="Arial" w:hAnsi="Arial" w:cs="Arial"/>
          <w:b/>
          <w:b/>
          <w:bCs/>
          <w:sz w:val="20"/>
          <w:szCs w:val="20"/>
        </w:rPr>
      </w:pPr>
      <w:r>
        <w:rPr>
          <w:rFonts w:cs="Arial" w:ascii="Arial" w:hAnsi="Arial"/>
          <w:b/>
          <w:bCs/>
          <w:sz w:val="20"/>
          <w:szCs w:val="20"/>
        </w:rPr>
        <w:t>Coordinadora a.i.</w:t>
      </w:r>
    </w:p>
    <w:p>
      <w:pPr>
        <w:pStyle w:val="Normal"/>
        <w:spacing w:lineRule="auto" w:line="240" w:before="0" w:after="0"/>
        <w:jc w:val="both"/>
        <w:rPr>
          <w:rFonts w:ascii="Arial" w:hAnsi="Arial" w:cs="Arial"/>
          <w:b/>
          <w:b/>
          <w:bCs/>
          <w:sz w:val="20"/>
          <w:szCs w:val="20"/>
        </w:rPr>
      </w:pPr>
      <w:r>
        <w:rPr>
          <w:rFonts w:cs="Arial" w:ascii="Arial" w:hAnsi="Arial"/>
          <w:b/>
          <w:bCs/>
          <w:sz w:val="20"/>
          <w:szCs w:val="20"/>
        </w:rPr>
        <w:t>Unidad de Acceso a la Justicia</w:t>
      </w:r>
    </w:p>
    <w:p>
      <w:pPr>
        <w:pStyle w:val="Normal"/>
        <w:spacing w:lineRule="auto" w:line="240" w:before="0" w:after="0"/>
        <w:jc w:val="both"/>
        <w:rPr>
          <w:rFonts w:ascii="Arial" w:hAnsi="Arial" w:cs="Arial"/>
          <w:b/>
          <w:b/>
          <w:bCs/>
          <w:sz w:val="20"/>
          <w:szCs w:val="20"/>
        </w:rPr>
      </w:pPr>
      <w:r>
        <w:rPr>
          <w:rFonts w:cs="Arial" w:ascii="Arial" w:hAnsi="Arial"/>
          <w:b/>
          <w:bCs/>
          <w:sz w:val="20"/>
          <w:szCs w:val="20"/>
        </w:rPr>
      </w:r>
    </w:p>
    <w:p>
      <w:pPr>
        <w:pStyle w:val="Normal"/>
        <w:spacing w:lineRule="auto" w:line="240" w:before="0" w:after="0"/>
        <w:jc w:val="both"/>
        <w:rPr>
          <w:rFonts w:ascii="Arial" w:hAnsi="Arial" w:cs="Arial"/>
          <w:b/>
          <w:b/>
          <w:bCs/>
          <w:sz w:val="20"/>
          <w:szCs w:val="20"/>
        </w:rPr>
      </w:pPr>
      <w:r>
        <w:rPr>
          <w:rFonts w:cs="Arial" w:ascii="Arial" w:hAnsi="Arial"/>
          <w:b/>
          <w:bCs/>
          <w:sz w:val="20"/>
          <w:szCs w:val="20"/>
        </w:rPr>
        <w:t>Estimada licenciada:</w:t>
      </w:r>
    </w:p>
    <w:p>
      <w:pPr>
        <w:pStyle w:val="Normal"/>
        <w:spacing w:lineRule="auto" w:line="240" w:before="0" w:after="0"/>
        <w:jc w:val="both"/>
        <w:rPr>
          <w:rFonts w:ascii="Arial" w:hAnsi="Arial" w:cs="Arial"/>
          <w:sz w:val="20"/>
          <w:szCs w:val="20"/>
        </w:rPr>
      </w:pPr>
      <w:r>
        <w:rPr>
          <w:rFonts w:cs="Arial" w:ascii="Arial" w:hAnsi="Arial"/>
          <w:sz w:val="20"/>
          <w:szCs w:val="20"/>
        </w:rPr>
      </w:r>
    </w:p>
    <w:p>
      <w:pPr>
        <w:pStyle w:val="Normal"/>
        <w:spacing w:lineRule="auto" w:line="240" w:before="0" w:after="0"/>
        <w:jc w:val="both"/>
        <w:rPr>
          <w:rFonts w:ascii="Arial" w:hAnsi="Arial" w:cs="Arial"/>
          <w:sz w:val="20"/>
          <w:szCs w:val="20"/>
        </w:rPr>
      </w:pPr>
      <w:r>
        <w:rPr>
          <w:rFonts w:cs="Arial" w:ascii="Arial" w:hAnsi="Arial"/>
          <w:sz w:val="20"/>
          <w:szCs w:val="20"/>
        </w:rPr>
        <w:t>En atención lo solicitado vía correo electrónico el 04 de octubre anterior, concerniente a “...exponer las condiciones mínimas de seguridad para tener acceso a territorios indígenas, en caso de que la información pueda ser divulgada...” Me permito con todo respeto informar lo siguiente:</w:t>
      </w:r>
    </w:p>
    <w:p>
      <w:pPr>
        <w:pStyle w:val="Normal"/>
        <w:spacing w:lineRule="auto" w:line="240" w:before="0" w:after="0"/>
        <w:jc w:val="both"/>
        <w:rPr>
          <w:rFonts w:ascii="Arial" w:hAnsi="Arial" w:cs="Arial"/>
          <w:sz w:val="20"/>
          <w:szCs w:val="20"/>
        </w:rPr>
      </w:pPr>
      <w:r>
        <w:rPr>
          <w:rFonts w:cs="Arial" w:ascii="Arial" w:hAnsi="Arial"/>
          <w:sz w:val="20"/>
          <w:szCs w:val="20"/>
        </w:rPr>
      </w:r>
    </w:p>
    <w:p>
      <w:pPr>
        <w:pStyle w:val="Normal"/>
        <w:spacing w:lineRule="auto" w:line="240" w:before="0" w:after="0"/>
        <w:jc w:val="both"/>
        <w:rPr>
          <w:rFonts w:ascii="Arial" w:hAnsi="Arial" w:cs="Arial"/>
          <w:sz w:val="20"/>
          <w:szCs w:val="20"/>
        </w:rPr>
      </w:pPr>
      <w:r>
        <w:rPr>
          <w:rFonts w:cs="Arial" w:ascii="Arial" w:hAnsi="Arial"/>
          <w:sz w:val="20"/>
          <w:szCs w:val="20"/>
        </w:rPr>
        <w:t>En virtud de la problemática que enfrentan algunos territorios indígenas ubicados en el cantón de Buenos Aires y las medidas cautelares que pesan sobre el Estado costarricense desde el año 2015 (MC- 321-12) a efecto de brindar a las personas indígenas y otros intervinientes en procesos judiciales condiciones de seguridad que garanticen su integridad física, la Unidad de Protección a Víctimas y Testigos del OIJ, en combinación con otras dependencias de éste Poder de la República,, ha realizado estudios de seguridad y ejecutado acciones previsoras para garantizar el desarrollo de diligencias judiciales en la zona.</w:t>
      </w:r>
    </w:p>
    <w:p>
      <w:pPr>
        <w:pStyle w:val="Normal"/>
        <w:spacing w:lineRule="auto" w:line="240" w:before="0" w:after="0"/>
        <w:jc w:val="both"/>
        <w:rPr>
          <w:rFonts w:ascii="Arial" w:hAnsi="Arial" w:cs="Arial"/>
          <w:sz w:val="20"/>
          <w:szCs w:val="20"/>
        </w:rPr>
      </w:pPr>
      <w:r>
        <w:rPr>
          <w:rFonts w:cs="Arial" w:ascii="Arial" w:hAnsi="Arial"/>
          <w:sz w:val="20"/>
          <w:szCs w:val="20"/>
        </w:rPr>
      </w:r>
    </w:p>
    <w:p>
      <w:pPr>
        <w:pStyle w:val="Normal"/>
        <w:spacing w:lineRule="auto" w:line="240" w:before="0" w:after="0"/>
        <w:jc w:val="both"/>
        <w:rPr>
          <w:rFonts w:ascii="Arial" w:hAnsi="Arial" w:cs="Arial"/>
          <w:sz w:val="20"/>
          <w:szCs w:val="20"/>
        </w:rPr>
      </w:pPr>
      <w:r>
        <w:rPr>
          <w:rFonts w:cs="Arial" w:ascii="Arial" w:hAnsi="Arial"/>
          <w:sz w:val="20"/>
          <w:szCs w:val="20"/>
        </w:rPr>
        <w:t>Lo que se puede considerar como condiciones mínimas de seguridad, debe operativamente ser concordante con los factores que presenta cada caso en particular, mismas que de forma específica nos reservaremos, pues los pormenores operativos de y sus detalles se manejan a lo interno de los grupos de trabajo, amparados en el principio de confidencialidad del artículo 2°, de la ley 8720 “Protección a víctimas, testigos y demás sujetos intervinientes en el proceso penal” sin embargo cabe mencionar que algunas generalidades de las operaciones se pueden tomar en cuenta como respuesta de su consulta.</w:t>
      </w:r>
    </w:p>
    <w:p>
      <w:pPr>
        <w:pStyle w:val="Normal"/>
        <w:spacing w:lineRule="auto" w:line="240" w:before="0" w:after="0"/>
        <w:jc w:val="both"/>
        <w:rPr>
          <w:rFonts w:ascii="Arial" w:hAnsi="Arial" w:cs="Arial"/>
          <w:sz w:val="20"/>
          <w:szCs w:val="20"/>
        </w:rPr>
      </w:pPr>
      <w:r>
        <w:rPr>
          <w:rFonts w:cs="Arial" w:ascii="Arial" w:hAnsi="Arial"/>
          <w:sz w:val="20"/>
          <w:szCs w:val="20"/>
        </w:rPr>
      </w:r>
    </w:p>
    <w:p>
      <w:pPr>
        <w:pStyle w:val="Normal"/>
        <w:spacing w:lineRule="auto" w:line="240" w:before="0" w:after="0"/>
        <w:jc w:val="both"/>
        <w:rPr>
          <w:rFonts w:ascii="Arial" w:hAnsi="Arial" w:cs="Arial"/>
          <w:sz w:val="20"/>
          <w:szCs w:val="20"/>
        </w:rPr>
      </w:pPr>
      <w:r>
        <w:rPr>
          <w:rFonts w:cs="Arial" w:ascii="Arial" w:hAnsi="Arial"/>
          <w:sz w:val="20"/>
          <w:szCs w:val="20"/>
        </w:rPr>
        <w:t>El objetivo de la Unidad de Protección del Organismo de Investigación Judicial es proteger la vida, la integridad física y emocional de las personas que participan de una operación de protección, así como de cualquier persona que se vea involucrada durante el desarrollo de ésta.</w:t>
      </w:r>
    </w:p>
    <w:p>
      <w:pPr>
        <w:pStyle w:val="Normal"/>
        <w:spacing w:lineRule="auto" w:line="240" w:before="0" w:after="0"/>
        <w:jc w:val="both"/>
        <w:rPr>
          <w:rFonts w:ascii="Arial" w:hAnsi="Arial" w:cs="Arial"/>
          <w:sz w:val="20"/>
          <w:szCs w:val="20"/>
        </w:rPr>
      </w:pPr>
      <w:r>
        <w:rPr>
          <w:rFonts w:cs="Arial" w:ascii="Arial" w:hAnsi="Arial"/>
          <w:sz w:val="20"/>
          <w:szCs w:val="20"/>
        </w:rPr>
      </w:r>
    </w:p>
    <w:p>
      <w:pPr>
        <w:pStyle w:val="Normal"/>
        <w:spacing w:lineRule="auto" w:line="240" w:before="0" w:after="0"/>
        <w:jc w:val="both"/>
        <w:rPr>
          <w:rFonts w:ascii="Arial" w:hAnsi="Arial" w:cs="Arial"/>
          <w:sz w:val="20"/>
          <w:szCs w:val="20"/>
        </w:rPr>
      </w:pPr>
      <w:r>
        <w:rPr>
          <w:rFonts w:cs="Arial" w:ascii="Arial" w:hAnsi="Arial"/>
          <w:sz w:val="20"/>
          <w:szCs w:val="20"/>
        </w:rPr>
        <w:t>Al realizar un análisis fáctico de un trabajo de protección, se toma en cuenta, tipo de caso, lugar, infraestructura, cantidad de partes involucradas, geografía, lugares de resguardo, fuerzas de apoyo caso de emergencias, condiciones climáticas, vías de acceso terrestres, acuáticas o aéreas, entre otras variables, de igual forma se realiza mediante el análisis de los antecedentes que originaron el conflicto, así como el perfil social y judicial de las partes, un estudio que permite fundamentar la estrategia de protección para el desarrollo de las operaciones.</w:t>
      </w:r>
    </w:p>
    <w:p>
      <w:pPr>
        <w:pStyle w:val="Normal"/>
        <w:spacing w:lineRule="auto" w:line="240" w:before="0" w:after="0"/>
        <w:jc w:val="both"/>
        <w:rPr>
          <w:rFonts w:ascii="Arial" w:hAnsi="Arial" w:cs="Arial"/>
          <w:sz w:val="20"/>
          <w:szCs w:val="20"/>
        </w:rPr>
      </w:pPr>
      <w:r>
        <w:rPr>
          <w:rFonts w:cs="Arial" w:ascii="Arial" w:hAnsi="Arial"/>
          <w:sz w:val="20"/>
          <w:szCs w:val="20"/>
        </w:rPr>
        <w:t>Finalmente cabe resaltar que independientemente a la naturaleza del proceso que corresponda realizar en zonas señaladas como “de conflicto” y en aras de cumplir con las obligaciones que la ley 8720 establece, para garantizar la vida e integridad de las poblaciones indígenas</w:t>
      </w:r>
      <w:r>
        <w:rPr>
          <w:rFonts w:cs="Arial" w:ascii="Arial" w:hAnsi="Arial"/>
          <w:i/>
          <w:iCs/>
          <w:sz w:val="20"/>
          <w:szCs w:val="20"/>
        </w:rPr>
        <w:t xml:space="preserve">, </w:t>
      </w:r>
      <w:r>
        <w:rPr>
          <w:rFonts w:cs="Arial" w:ascii="Arial" w:hAnsi="Arial"/>
          <w:sz w:val="20"/>
          <w:szCs w:val="20"/>
        </w:rPr>
        <w:t xml:space="preserve">así como de los demás intervinientes en el abordaje del conflicto de tierras ya señalado, se recomienda a los despachos judiciales coordinar con anticipación las incursiones en la zona con esta Unidad, siendo que anteceden eventos de violencia y agresión en contra de autoridades y cuerpos policiales actuantes. De igual manera se requiere establecer y definir con antelación, los planes de seguridad a ejecutar con el objetivo de no poner en riesgo a las partes durante el desarrollo de las diligencias respectivas en virtud de que ante una diligencia judicial, el ambiente social de tensión se incrementa y se podrían ver afectadas persona indígenas participantes o incluso que se encuentren en los alrededores, motivo por el cual, en aras de garantizar la integridad física (Tal como lo exige la medida cautelar) de toda la población, es necesaria la intervención de la Unidad bajo mi cargo como especializada. </w:t>
      </w:r>
    </w:p>
    <w:p>
      <w:pPr>
        <w:pStyle w:val="Normal"/>
        <w:spacing w:lineRule="auto" w:line="240" w:before="0" w:after="0"/>
        <w:jc w:val="both"/>
        <w:rPr>
          <w:rFonts w:ascii="Arial" w:hAnsi="Arial" w:cs="Arial"/>
          <w:sz w:val="20"/>
          <w:szCs w:val="20"/>
        </w:rPr>
      </w:pPr>
      <w:r>
        <w:rPr>
          <w:rFonts w:cs="Arial" w:ascii="Arial" w:hAnsi="Arial"/>
          <w:sz w:val="20"/>
          <w:szCs w:val="20"/>
        </w:rPr>
      </w:r>
    </w:p>
    <w:p>
      <w:pPr>
        <w:pStyle w:val="Normal"/>
        <w:spacing w:lineRule="auto" w:line="240" w:before="0" w:after="0"/>
        <w:jc w:val="both"/>
        <w:rPr>
          <w:rFonts w:ascii="Arial" w:hAnsi="Arial" w:cs="Arial"/>
          <w:sz w:val="20"/>
          <w:szCs w:val="20"/>
        </w:rPr>
      </w:pPr>
      <w:r>
        <w:rPr>
          <w:rFonts w:cs="Arial" w:ascii="Arial" w:hAnsi="Arial"/>
          <w:sz w:val="20"/>
          <w:szCs w:val="20"/>
        </w:rPr>
        <w:t>Esperando haber respondido su consulta se suscribe</w:t>
      </w:r>
    </w:p>
    <w:p>
      <w:pPr>
        <w:pStyle w:val="Normal"/>
        <w:spacing w:lineRule="auto" w:line="240" w:before="0" w:after="0"/>
        <w:jc w:val="both"/>
        <w:rPr>
          <w:rFonts w:ascii="Arial" w:hAnsi="Arial" w:cs="Arial"/>
          <w:sz w:val="20"/>
          <w:szCs w:val="20"/>
        </w:rPr>
      </w:pPr>
      <w:r>
        <w:rPr>
          <w:rFonts w:cs="Arial" w:ascii="Arial" w:hAnsi="Arial"/>
          <w:sz w:val="20"/>
          <w:szCs w:val="20"/>
        </w:rPr>
      </w:r>
    </w:p>
    <w:p>
      <w:pPr>
        <w:pStyle w:val="Normal"/>
        <w:spacing w:lineRule="auto" w:line="240" w:before="0" w:after="0"/>
        <w:jc w:val="both"/>
        <w:rPr>
          <w:rFonts w:ascii="Arial" w:hAnsi="Arial" w:cs="Arial"/>
          <w:b/>
          <w:b/>
          <w:bCs/>
          <w:sz w:val="20"/>
          <w:szCs w:val="20"/>
        </w:rPr>
      </w:pPr>
      <w:r>
        <w:rPr>
          <w:rFonts w:cs="Arial" w:ascii="Arial" w:hAnsi="Arial"/>
          <w:b/>
          <w:bCs/>
          <w:sz w:val="20"/>
          <w:szCs w:val="20"/>
        </w:rPr>
        <w:t>Liic.. Pedro Arce Gonzállez</w:t>
      </w:r>
    </w:p>
    <w:p>
      <w:pPr>
        <w:pStyle w:val="Normal"/>
        <w:spacing w:lineRule="auto" w:line="240" w:before="0" w:after="0"/>
        <w:jc w:val="both"/>
        <w:rPr>
          <w:rFonts w:ascii="Arial" w:hAnsi="Arial" w:cs="Arial"/>
          <w:b/>
          <w:b/>
          <w:bCs/>
          <w:sz w:val="20"/>
          <w:szCs w:val="20"/>
        </w:rPr>
      </w:pPr>
      <w:r>
        <w:rPr>
          <w:rFonts w:cs="Arial" w:ascii="Arial" w:hAnsi="Arial"/>
          <w:b/>
          <w:bCs/>
          <w:sz w:val="20"/>
          <w:szCs w:val="20"/>
        </w:rPr>
        <w:t>Jefe,, Uniidad de Protecciión a Vííctiimas y Testiigos</w:t>
      </w:r>
    </w:p>
    <w:p>
      <w:pPr>
        <w:pStyle w:val="Normal"/>
        <w:jc w:val="both"/>
        <w:rPr>
          <w:rFonts w:ascii="Arial" w:hAnsi="Arial" w:cs="Arial"/>
          <w:bCs/>
          <w:sz w:val="20"/>
          <w:szCs w:val="20"/>
        </w:rPr>
      </w:pPr>
      <w:r>
        <w:rPr>
          <w:rFonts w:cs="Arial" w:ascii="Arial" w:hAnsi="Arial"/>
          <w:b/>
          <w:bCs/>
          <w:sz w:val="20"/>
          <w:szCs w:val="20"/>
        </w:rPr>
        <w:t>Organiismo de Investiigaciión Judiiciiall</w:t>
      </w:r>
    </w:p>
    <w:p>
      <w:pPr>
        <w:pStyle w:val="Normal"/>
        <w:jc w:val="both"/>
        <w:rPr>
          <w:rFonts w:ascii="Arial" w:hAnsi="Arial" w:cs="Arial"/>
          <w:sz w:val="20"/>
          <w:szCs w:val="20"/>
        </w:rPr>
      </w:pPr>
      <w:r>
        <w:rPr/>
        <w:object>
          <v:shape id="ole_rId80" style="width:75.15pt;height:48.85pt" o:ole="">
            <v:imagedata r:id="rId81" o:title=""/>
          </v:shape>
          <o:OLEObject Type="Embed" ProgID="Package" ShapeID="ole_rId80" DrawAspect="Icon" ObjectID="_6837602" r:id="rId80"/>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del informe del licenciado Pedro Arce González, Jefe de la Unidad de Protección a Víctimas y Testigos del OIJ. 2° Hacer este informe de conocimiento de las y los integrantes de la Subcomisión de Acceso a la Justicia de Pueblos Indígenas y del señor Arce González por medio de la Unidad de Acceso a la Justicia.-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XII</w:t>
      </w:r>
    </w:p>
    <w:p>
      <w:pPr>
        <w:pStyle w:val="Normal"/>
        <w:jc w:val="both"/>
        <w:rPr>
          <w:rFonts w:ascii="Arial" w:hAnsi="Arial" w:cs="Arial"/>
          <w:bCs/>
          <w:sz w:val="20"/>
          <w:szCs w:val="20"/>
        </w:rPr>
      </w:pPr>
      <w:r>
        <w:rPr>
          <w:rFonts w:cs="Arial" w:ascii="Arial" w:hAnsi="Arial"/>
          <w:bCs/>
          <w:sz w:val="20"/>
          <w:szCs w:val="20"/>
        </w:rPr>
        <w:t>Se conoce el Oficio N° 10915-19 en el que se</w:t>
      </w:r>
      <w:r>
        <w:rPr>
          <w:rFonts w:cs="Arial" w:ascii="Arial" w:hAnsi="Arial"/>
          <w:sz w:val="20"/>
          <w:szCs w:val="20"/>
        </w:rPr>
        <w:t xml:space="preserve"> transcrib el acuerdo tomado por el Consejo Superior del Poder Judicial, en sesión </w:t>
      </w:r>
      <w:r>
        <w:rPr>
          <w:rFonts w:cs="Arial" w:ascii="Arial" w:hAnsi="Arial"/>
          <w:b/>
          <w:bCs/>
          <w:sz w:val="20"/>
          <w:szCs w:val="20"/>
        </w:rPr>
        <w:t xml:space="preserve">N° 89-19 </w:t>
      </w:r>
      <w:r>
        <w:rPr>
          <w:rFonts w:cs="Arial" w:ascii="Arial" w:hAnsi="Arial"/>
          <w:bCs/>
          <w:sz w:val="20"/>
          <w:szCs w:val="20"/>
        </w:rPr>
        <w:t>c</w:t>
      </w:r>
      <w:r>
        <w:rPr>
          <w:rFonts w:cs="Arial" w:ascii="Arial" w:hAnsi="Arial"/>
          <w:sz w:val="20"/>
          <w:szCs w:val="20"/>
        </w:rPr>
        <w:t xml:space="preserve">elebrada el </w:t>
      </w:r>
      <w:r>
        <w:rPr>
          <w:rFonts w:cs="Arial" w:ascii="Arial" w:hAnsi="Arial"/>
          <w:b/>
          <w:bCs/>
          <w:sz w:val="20"/>
          <w:szCs w:val="20"/>
        </w:rPr>
        <w:t>15</w:t>
      </w:r>
      <w:r>
        <w:rPr>
          <w:rFonts w:cs="Arial" w:ascii="Arial" w:hAnsi="Arial"/>
          <w:b/>
          <w:sz w:val="20"/>
          <w:szCs w:val="20"/>
        </w:rPr>
        <w:t xml:space="preserve"> de octubre de 2019</w:t>
      </w:r>
      <w:r>
        <w:rPr>
          <w:rFonts w:cs="Arial" w:ascii="Arial" w:hAnsi="Arial"/>
          <w:b/>
          <w:bCs/>
          <w:sz w:val="20"/>
          <w:szCs w:val="20"/>
        </w:rPr>
        <w:t>,</w:t>
      </w:r>
      <w:r>
        <w:rPr>
          <w:rFonts w:cs="Arial" w:ascii="Arial" w:hAnsi="Arial"/>
          <w:sz w:val="20"/>
          <w:szCs w:val="20"/>
        </w:rPr>
        <w:t xml:space="preserve"> Artículo LXXXIV, que literalmente dice:</w:t>
      </w:r>
    </w:p>
    <w:p>
      <w:pPr>
        <w:pStyle w:val="Ttulo7"/>
        <w:tabs>
          <w:tab w:val="clear" w:pos="708"/>
          <w:tab w:val="left" w:pos="4280" w:leader="none"/>
        </w:tabs>
        <w:ind w:left="4248" w:hanging="0"/>
        <w:jc w:val="both"/>
        <w:rPr>
          <w:rFonts w:ascii="Arial" w:hAnsi="Arial" w:cs="Arial"/>
          <w:color w:val="auto"/>
          <w:sz w:val="20"/>
          <w:szCs w:val="20"/>
          <w:lang w:val="es-ES_tradnl"/>
        </w:rPr>
      </w:pPr>
      <w:r>
        <w:rPr>
          <w:rFonts w:cs="Arial" w:ascii="Arial" w:hAnsi="Arial"/>
          <w:bCs/>
          <w:color w:val="auto"/>
          <w:sz w:val="20"/>
          <w:szCs w:val="20"/>
          <w:lang w:val="es-ES_tradnl"/>
        </w:rPr>
        <w:t>San José, 22 de octubre de 2019</w:t>
      </w:r>
    </w:p>
    <w:p>
      <w:pPr>
        <w:pStyle w:val="Ttulo7"/>
        <w:tabs>
          <w:tab w:val="clear" w:pos="708"/>
          <w:tab w:val="left" w:pos="4280" w:leader="none"/>
        </w:tabs>
        <w:ind w:left="4248" w:hanging="0"/>
        <w:jc w:val="both"/>
        <w:rPr>
          <w:rFonts w:ascii="Arial" w:hAnsi="Arial" w:cs="Arial"/>
          <w:bCs/>
          <w:color w:val="auto"/>
          <w:sz w:val="20"/>
          <w:szCs w:val="20"/>
          <w:lang w:val="es-ES_tradnl"/>
        </w:rPr>
      </w:pPr>
      <w:r>
        <w:rPr>
          <w:rFonts w:cs="Arial" w:ascii="Arial" w:hAnsi="Arial"/>
          <w:color w:val="auto"/>
          <w:sz w:val="20"/>
          <w:szCs w:val="20"/>
          <w:lang w:val="es-ES_tradnl"/>
        </w:rPr>
        <w:t>N° 10915-19</w:t>
      </w:r>
    </w:p>
    <w:p>
      <w:pPr>
        <w:pStyle w:val="Ttulo7"/>
        <w:tabs>
          <w:tab w:val="clear" w:pos="708"/>
          <w:tab w:val="left" w:pos="4280" w:leader="none"/>
        </w:tabs>
        <w:ind w:left="4248" w:hanging="0"/>
        <w:jc w:val="both"/>
        <w:rPr>
          <w:rFonts w:ascii="Arial" w:hAnsi="Arial" w:cs="Arial"/>
          <w:color w:val="auto"/>
          <w:sz w:val="20"/>
          <w:szCs w:val="20"/>
        </w:rPr>
      </w:pPr>
      <w:r>
        <w:rPr>
          <w:rFonts w:cs="Arial" w:ascii="Arial" w:hAnsi="Arial"/>
          <w:color w:val="auto"/>
          <w:sz w:val="20"/>
          <w:szCs w:val="20"/>
        </w:rPr>
        <w:t>Al contestar refiérase a este # de oficio</w:t>
      </w:r>
    </w:p>
    <w:p>
      <w:pPr>
        <w:pStyle w:val="Normal"/>
        <w:jc w:val="both"/>
        <w:rPr>
          <w:rFonts w:ascii="Arial" w:hAnsi="Arial" w:eastAsia="Arial Unicode MS" w:cs="Arial"/>
          <w:b/>
          <w:b/>
          <w:bCs/>
          <w:kern w:val="2"/>
          <w:sz w:val="20"/>
          <w:szCs w:val="20"/>
          <w:lang w:eastAsia="hi-IN" w:bidi="hi-IN"/>
        </w:rPr>
      </w:pPr>
      <w:r>
        <w:rPr>
          <w:rFonts w:eastAsia="Arial Unicode MS" w:cs="Arial" w:ascii="Arial" w:hAnsi="Arial"/>
          <w:b/>
          <w:bCs/>
          <w:kern w:val="2"/>
          <w:sz w:val="20"/>
          <w:szCs w:val="20"/>
          <w:lang w:eastAsia="hi-IN" w:bidi="hi-IN"/>
        </w:rPr>
        <w:t>Señora</w:t>
      </w:r>
    </w:p>
    <w:p>
      <w:pPr>
        <w:pStyle w:val="Normal"/>
        <w:jc w:val="both"/>
        <w:rPr>
          <w:rFonts w:ascii="Arial" w:hAnsi="Arial" w:eastAsia="Times New Roman" w:cs="Arial"/>
          <w:b/>
          <w:b/>
          <w:bCs/>
          <w:sz w:val="20"/>
          <w:szCs w:val="20"/>
          <w:lang w:eastAsia="ar-SA"/>
        </w:rPr>
      </w:pPr>
      <w:r>
        <w:rPr>
          <w:rFonts w:cs="Arial" w:ascii="Arial" w:hAnsi="Arial"/>
          <w:b/>
          <w:bCs/>
          <w:sz w:val="20"/>
          <w:szCs w:val="20"/>
        </w:rPr>
        <w:t xml:space="preserve">Licda. Wendy Barrantes Jiménez, Coordinadora interina </w:t>
      </w:r>
    </w:p>
    <w:p>
      <w:pPr>
        <w:pStyle w:val="Normal"/>
        <w:jc w:val="both"/>
        <w:rPr>
          <w:rFonts w:ascii="Arial" w:hAnsi="Arial" w:eastAsia="Arial Unicode MS" w:cs="Arial"/>
          <w:b/>
          <w:b/>
          <w:bCs/>
          <w:kern w:val="2"/>
          <w:sz w:val="20"/>
          <w:szCs w:val="20"/>
          <w:lang w:eastAsia="hi-IN" w:bidi="hi-IN"/>
        </w:rPr>
      </w:pPr>
      <w:r>
        <w:rPr>
          <w:rFonts w:cs="Arial" w:ascii="Arial" w:hAnsi="Arial"/>
          <w:b/>
          <w:bCs/>
          <w:sz w:val="20"/>
          <w:szCs w:val="20"/>
        </w:rPr>
        <w:t>Unidad de Acceso a la Justicia</w:t>
      </w:r>
    </w:p>
    <w:p>
      <w:pPr>
        <w:pStyle w:val="Normal"/>
        <w:jc w:val="both"/>
        <w:rPr>
          <w:rFonts w:ascii="Arial" w:hAnsi="Arial" w:eastAsia="Arial Unicode MS" w:cs="Arial"/>
          <w:b/>
          <w:b/>
          <w:bCs/>
          <w:kern w:val="2"/>
          <w:sz w:val="20"/>
          <w:szCs w:val="20"/>
          <w:highlight w:val="yellow"/>
          <w:lang w:eastAsia="hi-IN" w:bidi="hi-IN"/>
        </w:rPr>
      </w:pPr>
      <w:r>
        <w:rPr>
          <w:rFonts w:eastAsia="Arial Unicode MS" w:cs="Arial" w:ascii="Arial" w:hAnsi="Arial"/>
          <w:b/>
          <w:bCs/>
          <w:kern w:val="2"/>
          <w:sz w:val="20"/>
          <w:szCs w:val="20"/>
          <w:highlight w:val="yellow"/>
          <w:lang w:eastAsia="hi-IN" w:bidi="hi-IN"/>
        </w:rPr>
      </w:r>
    </w:p>
    <w:p>
      <w:pPr>
        <w:pStyle w:val="Normal"/>
        <w:jc w:val="both"/>
        <w:rPr>
          <w:rFonts w:ascii="Arial" w:hAnsi="Arial" w:eastAsia="Arial Unicode MS" w:cs="Arial"/>
          <w:b/>
          <w:b/>
          <w:bCs/>
          <w:kern w:val="2"/>
          <w:sz w:val="20"/>
          <w:szCs w:val="20"/>
          <w:highlight w:val="yellow"/>
          <w:lang w:eastAsia="hi-IN" w:bidi="hi-IN"/>
        </w:rPr>
      </w:pPr>
      <w:r>
        <w:rPr>
          <w:rFonts w:eastAsia="Arial Unicode MS" w:cs="Arial" w:ascii="Arial" w:hAnsi="Arial"/>
          <w:b/>
          <w:bCs/>
          <w:kern w:val="2"/>
          <w:sz w:val="20"/>
          <w:szCs w:val="20"/>
          <w:highlight w:val="yellow"/>
          <w:lang w:eastAsia="hi-IN" w:bidi="hi-IN"/>
        </w:rPr>
      </w:r>
    </w:p>
    <w:p>
      <w:pPr>
        <w:pStyle w:val="Normal"/>
        <w:jc w:val="both"/>
        <w:rPr>
          <w:rFonts w:ascii="Arial" w:hAnsi="Arial" w:eastAsia="Arial Unicode MS" w:cs="Arial"/>
          <w:b/>
          <w:b/>
          <w:bCs/>
          <w:kern w:val="2"/>
          <w:sz w:val="20"/>
          <w:szCs w:val="20"/>
          <w:lang w:eastAsia="hi-IN" w:bidi="hi-IN"/>
        </w:rPr>
      </w:pPr>
      <w:r>
        <w:rPr>
          <w:rFonts w:eastAsia="Arial Unicode MS" w:cs="Arial" w:ascii="Arial" w:hAnsi="Arial"/>
          <w:b/>
          <w:bCs/>
          <w:kern w:val="2"/>
          <w:sz w:val="20"/>
          <w:szCs w:val="20"/>
          <w:lang w:eastAsia="hi-IN" w:bidi="hi-IN"/>
        </w:rPr>
        <w:t>Estimada señora:</w:t>
      </w:r>
    </w:p>
    <w:p>
      <w:pPr>
        <w:pStyle w:val="Normal"/>
        <w:jc w:val="both"/>
        <w:rPr>
          <w:rFonts w:ascii="Arial" w:hAnsi="Arial" w:eastAsia="Arial Unicode MS" w:cs="Arial"/>
          <w:b/>
          <w:b/>
          <w:bCs/>
          <w:kern w:val="2"/>
          <w:sz w:val="20"/>
          <w:szCs w:val="20"/>
          <w:lang w:eastAsia="hi-IN" w:bidi="hi-IN"/>
        </w:rPr>
      </w:pPr>
      <w:r>
        <w:rPr>
          <w:rFonts w:eastAsia="Arial Unicode MS" w:cs="Arial" w:ascii="Arial" w:hAnsi="Arial"/>
          <w:b/>
          <w:bCs/>
          <w:kern w:val="2"/>
          <w:sz w:val="20"/>
          <w:szCs w:val="20"/>
          <w:lang w:eastAsia="hi-IN" w:bidi="hi-IN"/>
        </w:rPr>
      </w:r>
    </w:p>
    <w:p>
      <w:pPr>
        <w:pStyle w:val="Normal"/>
        <w:jc w:val="both"/>
        <w:rPr>
          <w:rFonts w:ascii="Arial" w:hAnsi="Arial" w:eastAsia="Times New Roman" w:cs="Arial"/>
          <w:b/>
          <w:b/>
          <w:bCs/>
          <w:sz w:val="20"/>
          <w:szCs w:val="20"/>
          <w:lang w:eastAsia="ar-SA"/>
        </w:rPr>
      </w:pPr>
      <w:r>
        <w:rPr>
          <w:rFonts w:eastAsia="Times New Roman" w:cs="Arial" w:ascii="Arial" w:hAnsi="Arial"/>
          <w:b/>
          <w:bCs/>
          <w:sz w:val="20"/>
          <w:szCs w:val="20"/>
          <w:lang w:eastAsia="ar-SA"/>
        </w:rPr>
      </w:r>
    </w:p>
    <w:p>
      <w:pPr>
        <w:pStyle w:val="Normal"/>
        <w:ind w:firstLine="708"/>
        <w:jc w:val="both"/>
        <w:rPr>
          <w:rFonts w:ascii="Arial" w:hAnsi="Arial" w:cs="Arial"/>
          <w:sz w:val="20"/>
          <w:szCs w:val="20"/>
          <w:lang w:val="es-ES"/>
        </w:rPr>
      </w:pPr>
      <w:r>
        <w:rPr>
          <w:rFonts w:cs="Arial" w:ascii="Arial" w:hAnsi="Arial"/>
          <w:sz w:val="20"/>
          <w:szCs w:val="20"/>
        </w:rPr>
        <w:t xml:space="preserve">Para su estimable conocimiento y fines consiguientes, le transcribo el acuerdo tomado por el Consejo Superior del Poder Judicial, en sesión </w:t>
      </w:r>
      <w:r>
        <w:rPr>
          <w:rFonts w:cs="Arial" w:ascii="Arial" w:hAnsi="Arial"/>
          <w:b/>
          <w:bCs/>
          <w:sz w:val="20"/>
          <w:szCs w:val="20"/>
        </w:rPr>
        <w:t xml:space="preserve">N° 89-19 </w:t>
      </w:r>
      <w:r>
        <w:rPr>
          <w:rFonts w:cs="Arial" w:ascii="Arial" w:hAnsi="Arial"/>
          <w:bCs/>
          <w:sz w:val="20"/>
          <w:szCs w:val="20"/>
        </w:rPr>
        <w:t>c</w:t>
      </w:r>
      <w:r>
        <w:rPr>
          <w:rFonts w:cs="Arial" w:ascii="Arial" w:hAnsi="Arial"/>
          <w:sz w:val="20"/>
          <w:szCs w:val="20"/>
        </w:rPr>
        <w:t xml:space="preserve">elebrada el </w:t>
      </w:r>
      <w:r>
        <w:rPr>
          <w:rFonts w:cs="Arial" w:ascii="Arial" w:hAnsi="Arial"/>
          <w:b/>
          <w:bCs/>
          <w:sz w:val="20"/>
          <w:szCs w:val="20"/>
        </w:rPr>
        <w:t>15</w:t>
      </w:r>
      <w:r>
        <w:rPr>
          <w:rFonts w:cs="Arial" w:ascii="Arial" w:hAnsi="Arial"/>
          <w:b/>
          <w:sz w:val="20"/>
          <w:szCs w:val="20"/>
        </w:rPr>
        <w:t xml:space="preserve"> de octubre de 2019</w:t>
      </w:r>
      <w:r>
        <w:rPr>
          <w:rFonts w:cs="Arial" w:ascii="Arial" w:hAnsi="Arial"/>
          <w:b/>
          <w:bCs/>
          <w:sz w:val="20"/>
          <w:szCs w:val="20"/>
        </w:rPr>
        <w:t>,</w:t>
      </w:r>
      <w:r>
        <w:rPr>
          <w:rFonts w:cs="Arial" w:ascii="Arial" w:hAnsi="Arial"/>
          <w:sz w:val="20"/>
          <w:szCs w:val="20"/>
        </w:rPr>
        <w:t xml:space="preserve"> que literalmente dice:</w:t>
      </w:r>
    </w:p>
    <w:p>
      <w:pPr>
        <w:pStyle w:val="Normal"/>
        <w:ind w:firstLine="15"/>
        <w:jc w:val="both"/>
        <w:rPr>
          <w:rFonts w:ascii="Arial" w:hAnsi="Arial" w:cs="Arial"/>
          <w:sz w:val="20"/>
          <w:szCs w:val="20"/>
        </w:rPr>
      </w:pPr>
      <w:r>
        <w:rPr>
          <w:rFonts w:cs="Arial" w:ascii="Arial" w:hAnsi="Arial"/>
          <w:sz w:val="20"/>
          <w:szCs w:val="20"/>
        </w:rPr>
      </w:r>
    </w:p>
    <w:p>
      <w:pPr>
        <w:pStyle w:val="Normal"/>
        <w:keepNext w:val="true"/>
        <w:numPr>
          <w:ilvl w:val="0"/>
          <w:numId w:val="0"/>
        </w:numPr>
        <w:tabs>
          <w:tab w:val="clear" w:pos="708"/>
          <w:tab w:val="left" w:pos="0" w:leader="none"/>
        </w:tabs>
        <w:jc w:val="center"/>
        <w:outlineLvl w:val="1"/>
        <w:rPr>
          <w:rFonts w:ascii="Arial" w:hAnsi="Arial" w:cs="Arial"/>
          <w:b/>
          <w:b/>
          <w:bCs/>
          <w:sz w:val="20"/>
          <w:szCs w:val="20"/>
          <w:u w:val="single"/>
        </w:rPr>
      </w:pPr>
      <w:r>
        <w:rPr>
          <w:rFonts w:cs="Arial" w:ascii="Arial" w:hAnsi="Arial"/>
          <w:sz w:val="20"/>
          <w:szCs w:val="20"/>
        </w:rPr>
        <w:t>“</w:t>
      </w:r>
      <w:bookmarkStart w:id="2" w:name="_Toc21612251"/>
      <w:r>
        <w:rPr>
          <w:rFonts w:cs="Arial" w:ascii="Arial" w:hAnsi="Arial"/>
          <w:b/>
          <w:bCs/>
          <w:sz w:val="20"/>
          <w:szCs w:val="20"/>
          <w:u w:val="single"/>
        </w:rPr>
        <w:t xml:space="preserve">ARTÍCULO LXXXIV </w:t>
      </w:r>
      <w:bookmarkEnd w:id="2"/>
    </w:p>
    <w:p>
      <w:pPr>
        <w:pStyle w:val="Normal"/>
        <w:keepNext w:val="true"/>
        <w:numPr>
          <w:ilvl w:val="0"/>
          <w:numId w:val="0"/>
        </w:numPr>
        <w:tabs>
          <w:tab w:val="clear" w:pos="708"/>
          <w:tab w:val="left" w:pos="0" w:leader="none"/>
        </w:tabs>
        <w:jc w:val="center"/>
        <w:outlineLvl w:val="1"/>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rPr>
      </w:pPr>
      <w:r>
        <w:rPr>
          <w:rFonts w:cs="Arial" w:ascii="Arial" w:hAnsi="Arial"/>
          <w:b/>
          <w:bCs/>
          <w:sz w:val="20"/>
          <w:szCs w:val="20"/>
        </w:rPr>
        <w:t>Documento N° 5484-19 / 12851-19</w:t>
      </w:r>
    </w:p>
    <w:p>
      <w:pPr>
        <w:pStyle w:val="Normal"/>
        <w:jc w:val="both"/>
        <w:rPr>
          <w:rFonts w:ascii="Arial" w:hAnsi="Arial" w:cs="Arial"/>
          <w:b/>
          <w:b/>
          <w:sz w:val="20"/>
          <w:szCs w:val="20"/>
        </w:rPr>
      </w:pPr>
      <w:r>
        <w:rPr>
          <w:rFonts w:cs="Arial" w:ascii="Arial" w:hAnsi="Arial"/>
          <w:b/>
          <w:sz w:val="20"/>
          <w:szCs w:val="20"/>
        </w:rPr>
      </w:r>
    </w:p>
    <w:p>
      <w:pPr>
        <w:pStyle w:val="Normal"/>
        <w:ind w:right="758" w:firstLine="708"/>
        <w:jc w:val="both"/>
        <w:rPr>
          <w:rFonts w:ascii="Arial" w:hAnsi="Arial" w:eastAsia="Batang" w:cs="Arial"/>
          <w:sz w:val="20"/>
          <w:szCs w:val="20"/>
        </w:rPr>
      </w:pPr>
      <w:r>
        <w:rPr>
          <w:rFonts w:cs="Arial" w:ascii="Arial" w:hAnsi="Arial"/>
          <w:sz w:val="20"/>
          <w:szCs w:val="20"/>
        </w:rPr>
        <w:t xml:space="preserve">La licenciada Wendy Barrantes Jiménez, Coordinadora interina de la Unidad de Acceso a la Justicia, remite oficio CACC-307-2019 del 4 de octubre de 2019, </w:t>
      </w:r>
      <w:r>
        <w:rPr>
          <w:rFonts w:eastAsia="Batang" w:cs="Arial" w:ascii="Arial" w:hAnsi="Arial"/>
          <w:sz w:val="20"/>
          <w:szCs w:val="20"/>
        </w:rPr>
        <w:t>solicitando lo siguiente:</w:t>
      </w:r>
    </w:p>
    <w:p>
      <w:pPr>
        <w:pStyle w:val="Normal"/>
        <w:ind w:right="758" w:firstLine="708"/>
        <w:jc w:val="both"/>
        <w:rPr>
          <w:rFonts w:ascii="Arial" w:hAnsi="Arial" w:eastAsia="Times New Roman" w:cs="Arial"/>
          <w:sz w:val="20"/>
          <w:szCs w:val="20"/>
        </w:rPr>
      </w:pPr>
      <w:r>
        <w:rPr>
          <w:rFonts w:eastAsia="Times New Roman" w:cs="Arial" w:ascii="Arial" w:hAnsi="Arial"/>
          <w:sz w:val="20"/>
          <w:szCs w:val="20"/>
        </w:rPr>
      </w:r>
    </w:p>
    <w:p>
      <w:pPr>
        <w:pStyle w:val="Normal"/>
        <w:ind w:left="851" w:right="758" w:firstLine="709"/>
        <w:jc w:val="both"/>
        <w:rPr>
          <w:rFonts w:ascii="Arial" w:hAnsi="Arial" w:cs="Arial"/>
          <w:sz w:val="20"/>
          <w:szCs w:val="20"/>
        </w:rPr>
      </w:pPr>
      <w:r>
        <w:rPr>
          <w:rFonts w:cs="Arial" w:ascii="Arial" w:hAnsi="Arial"/>
          <w:sz w:val="20"/>
          <w:szCs w:val="20"/>
        </w:rPr>
        <w:t>“</w:t>
      </w:r>
      <w:r>
        <w:rPr>
          <w:rFonts w:cs="Arial" w:ascii="Arial" w:hAnsi="Arial"/>
          <w:sz w:val="20"/>
          <w:szCs w:val="20"/>
        </w:rPr>
        <w:t xml:space="preserve">Por este medio se remite para su estimable conocimiento, el acuerdo tomado por la </w:t>
      </w:r>
      <w:r>
        <w:rPr>
          <w:rFonts w:eastAsia="Batang" w:cs="Arial" w:ascii="Arial" w:hAnsi="Arial"/>
          <w:sz w:val="20"/>
          <w:szCs w:val="20"/>
        </w:rPr>
        <w:t xml:space="preserve">Subcomisión de Acceso a la Justicia de Pueblos Indígenas </w:t>
      </w:r>
      <w:r>
        <w:rPr>
          <w:rFonts w:cs="Arial" w:ascii="Arial" w:hAnsi="Arial"/>
          <w:sz w:val="20"/>
          <w:szCs w:val="20"/>
        </w:rPr>
        <w:t xml:space="preserve">celebrada el pasado 10 de setiembre de 2019, el cual se transcribe literalmente </w:t>
      </w:r>
    </w:p>
    <w:p>
      <w:pPr>
        <w:pStyle w:val="Normal"/>
        <w:ind w:left="851" w:right="851" w:firstLine="709"/>
        <w:jc w:val="both"/>
        <w:rPr>
          <w:rFonts w:ascii="Arial" w:hAnsi="Arial" w:cs="Arial"/>
          <w:sz w:val="20"/>
          <w:szCs w:val="20"/>
        </w:rPr>
      </w:pPr>
      <w:r>
        <w:rPr>
          <w:rFonts w:cs="Arial" w:ascii="Arial" w:hAnsi="Arial"/>
          <w:sz w:val="20"/>
          <w:szCs w:val="20"/>
        </w:rPr>
      </w:r>
    </w:p>
    <w:p>
      <w:pPr>
        <w:pStyle w:val="Normal"/>
        <w:ind w:left="851" w:right="851" w:hanging="0"/>
        <w:jc w:val="center"/>
        <w:rPr>
          <w:rFonts w:ascii="Arial" w:hAnsi="Arial" w:cs="Arial"/>
          <w:b/>
          <w:b/>
          <w:iCs/>
          <w:sz w:val="20"/>
          <w:szCs w:val="20"/>
        </w:rPr>
      </w:pPr>
      <w:r>
        <w:rPr>
          <w:rFonts w:cs="Arial" w:ascii="Arial" w:hAnsi="Arial"/>
          <w:b/>
          <w:iCs/>
          <w:sz w:val="20"/>
          <w:szCs w:val="20"/>
        </w:rPr>
        <w:t>ARTÍCULO II</w:t>
      </w:r>
    </w:p>
    <w:p>
      <w:pPr>
        <w:pStyle w:val="Normal"/>
        <w:ind w:left="851" w:right="851" w:hanging="0"/>
        <w:jc w:val="center"/>
        <w:rPr>
          <w:rFonts w:ascii="Arial" w:hAnsi="Arial" w:cs="Arial"/>
          <w:b/>
          <w:b/>
          <w:i/>
          <w:i/>
          <w:sz w:val="20"/>
          <w:szCs w:val="20"/>
        </w:rPr>
      </w:pPr>
      <w:r>
        <w:rPr>
          <w:rFonts w:cs="Arial" w:ascii="Arial" w:hAnsi="Arial"/>
          <w:b/>
          <w:i/>
          <w:sz w:val="20"/>
          <w:szCs w:val="20"/>
        </w:rPr>
      </w:r>
    </w:p>
    <w:p>
      <w:pPr>
        <w:pStyle w:val="Normal"/>
        <w:ind w:left="851" w:right="851" w:firstLine="709"/>
        <w:jc w:val="both"/>
        <w:rPr>
          <w:rFonts w:ascii="Arial" w:hAnsi="Arial" w:cs="Arial"/>
          <w:sz w:val="20"/>
          <w:szCs w:val="20"/>
        </w:rPr>
      </w:pPr>
      <w:r>
        <w:rPr>
          <w:rFonts w:cs="Arial" w:ascii="Arial" w:hAnsi="Arial"/>
          <w:sz w:val="20"/>
          <w:szCs w:val="20"/>
        </w:rPr>
        <w:t xml:space="preserve">Se conoce informe de Jean Carlos Monge sobre actividades de capacitación realizadas en Cabagra y Boruca con ocasión de la ejecución del PAO 2019 de la Comisión de Acceso a la Justicia sobre la Ley de Acceso a la Justicia de Pueblos Indígenas. Señala, las charlas se dirigieron al Tribunal de Derecho Propio y al Consejo de Mayores o su equivalente, quienes expusieron las siguientes inquietudes:  </w:t>
      </w:r>
    </w:p>
    <w:p>
      <w:pPr>
        <w:pStyle w:val="Normal"/>
        <w:ind w:left="851" w:right="851" w:firstLine="709"/>
        <w:jc w:val="both"/>
        <w:rPr>
          <w:rFonts w:ascii="Arial" w:hAnsi="Arial" w:cs="Arial"/>
          <w:sz w:val="20"/>
          <w:szCs w:val="20"/>
        </w:rPr>
      </w:pPr>
      <w:r>
        <w:rPr>
          <w:rFonts w:cs="Arial" w:ascii="Arial" w:hAnsi="Arial"/>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Aunque se establecen las audiencias en el lugar, no se realizar ahí sino en las sedes de los despachos por los problemas de trasladarse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No se respetan las decisiones de los tribunales de derecho propio. Hay casos donde recurren a ese Tribunal y como no les dan la razón van a los tribunales de justicia</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Un acercamiento con esos Boruca, Cabagra, Talamanca Bribri y Talamanca Cabécar: integración, cómo contactarles, qué requerimientos tienen del PJ, procedimiento utilizado, decisiones, su almacenamiento y posible acceso a esa información, oportunidades de mejora, entre otros datos de interés</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Arial" w:ascii="Arial" w:hAnsi="Arial"/>
          <w:i/>
          <w:sz w:val="20"/>
          <w:szCs w:val="20"/>
        </w:rPr>
        <w:t xml:space="preserve"> </w:t>
      </w: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Consideran debe existir más acercamiento con ellos pues aunque hay muchos problemas en Salitre, también debe prestarse atención a ellos.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Programar una visita a Cabagra. Solicitar a la Contraloría de Servicios la coordinación de una fecha entre las personas indígenas y las de la Subcomisión, así como la logística.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Hacer un censo entre las personas juzgadoras con competencia donde tienen la sede los tribunales de derecho propio consultando si saben de su existencia y el valor que están dando a esas decisiones y los motivos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Consultar a los tribunales de derecho propio características de los asuntos que resuelven, en cuáles se han irrespetado esas decisiones, entre otros datos. </w:t>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Refieren a problemas con las personas traductoras e intérpretes quienes no entienden muchas palabras técnicas judiciales como por ejemplo las palabras técnicas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Necesitan se les dé una capacitación sobre resolución alterna de conflictos y debido proceso, si bien no para aplicarlo directamente, sí para hacerle ajustes de acuerdo a sus costumbres a fin de que sus decisiones queden bien blindadas.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Desean seguir asistiendo a las sesiones de la Subcomisión de Acceso a la Justicia de Pueblos Indígenas, aunque sea por videoconferencias</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Arial" w:ascii="Arial" w:hAnsi="Arial"/>
          <w:i/>
          <w:sz w:val="20"/>
          <w:szCs w:val="20"/>
        </w:rPr>
        <w:t xml:space="preserve"> </w:t>
      </w: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La ayuda económica que se le da a las personas indígenas no responden a sus requerimiento y podría darse en especie.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Mencionan la falta de consideración de los despachos que hacen señalamientos en horarios incómodos, por ejemplo los que trabajan de noche, lo cual genera limitaciones para poder trasladarse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hanging="0"/>
        <w:jc w:val="both"/>
        <w:rPr>
          <w:rFonts w:ascii="Arial" w:hAnsi="Arial" w:cs="Arial"/>
          <w:i/>
          <w:i/>
          <w:sz w:val="20"/>
          <w:szCs w:val="20"/>
        </w:rPr>
      </w:pPr>
      <w:r>
        <w:rPr>
          <w:rFonts w:cs="Segoe UI Symbol" w:ascii="Segoe UI Symbol" w:hAnsi="Segoe UI Symbol"/>
          <w:i/>
          <w:sz w:val="20"/>
          <w:szCs w:val="20"/>
        </w:rPr>
        <w:t>✓</w:t>
      </w:r>
      <w:r>
        <w:rPr>
          <w:rFonts w:cs="Arial" w:ascii="Arial" w:hAnsi="Arial"/>
          <w:i/>
          <w:sz w:val="20"/>
          <w:szCs w:val="20"/>
        </w:rPr>
        <w:t xml:space="preserve"> </w:t>
      </w:r>
      <w:r>
        <w:rPr>
          <w:rFonts w:cs="Arial" w:ascii="Arial" w:hAnsi="Arial"/>
          <w:i/>
          <w:sz w:val="20"/>
          <w:szCs w:val="20"/>
        </w:rPr>
        <w:t xml:space="preserve">Requieren una nueva visita de la Subcomisión para concertar soluciones concretas a problemas específicos. </w:t>
      </w:r>
    </w:p>
    <w:p>
      <w:pPr>
        <w:pStyle w:val="Normal"/>
        <w:ind w:left="851" w:right="851" w:hanging="0"/>
        <w:jc w:val="both"/>
        <w:rPr>
          <w:rFonts w:ascii="Arial" w:hAnsi="Arial" w:cs="Arial"/>
          <w:i/>
          <w:i/>
          <w:sz w:val="20"/>
          <w:szCs w:val="20"/>
        </w:rPr>
      </w:pPr>
      <w:r>
        <w:rPr>
          <w:rFonts w:cs="Arial" w:ascii="Arial" w:hAnsi="Arial"/>
          <w:i/>
          <w:sz w:val="20"/>
          <w:szCs w:val="20"/>
        </w:rPr>
      </w:r>
    </w:p>
    <w:p>
      <w:pPr>
        <w:pStyle w:val="Normal"/>
        <w:ind w:left="851" w:right="851" w:firstLine="709"/>
        <w:jc w:val="both"/>
        <w:rPr>
          <w:rFonts w:ascii="Arial" w:hAnsi="Arial" w:cs="Arial"/>
          <w:sz w:val="20"/>
          <w:szCs w:val="20"/>
        </w:rPr>
      </w:pPr>
      <w:r>
        <w:rPr>
          <w:rFonts w:cs="Arial" w:ascii="Arial" w:hAnsi="Arial"/>
          <w:sz w:val="20"/>
          <w:szCs w:val="20"/>
        </w:rPr>
        <w:t>Se delibera sobre el planteamiento de las personas indígenas de Cabagra y Boruca, así como de los requerimientos institucionales que plantea la normativa nacional e internacional referida a los derechos de la población indígena, las Medidas Cautelares 321-12 de la CIDH contra el Estado, la Circular de Corte Plena 123-19, entre otras y se dispone por unanimidad:</w:t>
      </w:r>
    </w:p>
    <w:p>
      <w:pPr>
        <w:pStyle w:val="Normal"/>
        <w:ind w:left="851" w:right="851" w:firstLine="709"/>
        <w:jc w:val="both"/>
        <w:rPr>
          <w:rFonts w:ascii="Arial" w:hAnsi="Arial" w:cs="Arial"/>
          <w:sz w:val="20"/>
          <w:szCs w:val="20"/>
        </w:rPr>
      </w:pPr>
      <w:r>
        <w:rPr>
          <w:rFonts w:cs="Arial" w:ascii="Arial" w:hAnsi="Arial"/>
          <w:sz w:val="20"/>
          <w:szCs w:val="20"/>
        </w:rPr>
      </w:r>
    </w:p>
    <w:p>
      <w:pPr>
        <w:pStyle w:val="Normal"/>
        <w:ind w:left="851" w:right="851" w:hanging="0"/>
        <w:jc w:val="center"/>
        <w:rPr>
          <w:rFonts w:ascii="Arial" w:hAnsi="Arial" w:cs="Arial"/>
          <w:b/>
          <w:b/>
          <w:bCs/>
          <w:sz w:val="20"/>
          <w:szCs w:val="20"/>
        </w:rPr>
      </w:pPr>
      <w:r>
        <w:rPr>
          <w:rFonts w:cs="Arial" w:ascii="Arial" w:hAnsi="Arial"/>
          <w:b/>
          <w:bCs/>
          <w:sz w:val="20"/>
          <w:szCs w:val="20"/>
        </w:rPr>
        <w:t>SE ACUERDA:</w:t>
      </w:r>
    </w:p>
    <w:p>
      <w:pPr>
        <w:pStyle w:val="Normal"/>
        <w:ind w:left="851" w:right="851" w:hanging="0"/>
        <w:jc w:val="center"/>
        <w:rPr>
          <w:rFonts w:ascii="Arial" w:hAnsi="Arial" w:cs="Arial"/>
          <w:b/>
          <w:b/>
          <w:bCs/>
          <w:sz w:val="20"/>
          <w:szCs w:val="20"/>
        </w:rPr>
      </w:pPr>
      <w:r>
        <w:rPr>
          <w:rFonts w:cs="Arial" w:ascii="Arial" w:hAnsi="Arial"/>
          <w:b/>
          <w:bCs/>
          <w:sz w:val="20"/>
          <w:szCs w:val="20"/>
        </w:rPr>
      </w:r>
    </w:p>
    <w:p>
      <w:pPr>
        <w:pStyle w:val="Normal"/>
        <w:ind w:left="851" w:right="851" w:firstLine="709"/>
        <w:jc w:val="both"/>
        <w:rPr>
          <w:rFonts w:ascii="Arial" w:hAnsi="Arial" w:cs="Arial"/>
          <w:sz w:val="20"/>
          <w:szCs w:val="20"/>
        </w:rPr>
      </w:pPr>
      <w:r>
        <w:rPr>
          <w:rFonts w:cs="Arial" w:ascii="Arial" w:hAnsi="Arial"/>
          <w:sz w:val="20"/>
          <w:szCs w:val="20"/>
        </w:rPr>
        <w:t>7°. Solicitar al Consejo Superior instar a las personas servidoras judiciales que atiendan procesos vinculados con personas indígenas para que en las resoluciones que emitan en forma escrita u oral y en las audiencias, utilicen un lenguaje claro y sencillo, comprensible para esa población y en su caso, para las personas traductoras e intérpretes a fin de facilitar el proceso de transmisión de la información. Lo anterior, priorizando los despachos de las distintas materias que atienden procesos vinculados con las personas indígenas beneficiarias de las Medidas Cautelares 321-12 de la CIDH contra el Estado.”</w:t>
      </w:r>
    </w:p>
    <w:p>
      <w:pPr>
        <w:pStyle w:val="Normal"/>
        <w:ind w:left="851" w:right="851" w:firstLine="709"/>
        <w:jc w:val="both"/>
        <w:rPr>
          <w:rFonts w:ascii="Arial" w:hAnsi="Arial" w:cs="Arial"/>
          <w:sz w:val="20"/>
          <w:szCs w:val="20"/>
        </w:rPr>
      </w:pPr>
      <w:r>
        <w:rPr>
          <w:rFonts w:cs="Arial" w:ascii="Arial" w:hAnsi="Arial"/>
          <w:sz w:val="20"/>
          <w:szCs w:val="20"/>
        </w:rPr>
      </w:r>
    </w:p>
    <w:p>
      <w:pPr>
        <w:pStyle w:val="Normal"/>
        <w:jc w:val="center"/>
        <w:rPr>
          <w:rFonts w:ascii="Arial" w:hAnsi="Arial" w:cs="Arial"/>
          <w:sz w:val="20"/>
          <w:szCs w:val="20"/>
        </w:rPr>
      </w:pPr>
      <w:r>
        <w:rPr>
          <w:rFonts w:cs="Arial" w:ascii="Arial" w:hAnsi="Arial"/>
          <w:sz w:val="20"/>
          <w:szCs w:val="20"/>
        </w:rPr>
        <w:t>- 0 -</w:t>
      </w:r>
    </w:p>
    <w:p>
      <w:pPr>
        <w:pStyle w:val="Normal"/>
        <w:ind w:firstLine="709"/>
        <w:jc w:val="both"/>
        <w:rPr>
          <w:rFonts w:ascii="Arial" w:hAnsi="Arial" w:cs="Arial"/>
          <w:b/>
          <w:b/>
          <w:sz w:val="20"/>
          <w:szCs w:val="20"/>
        </w:rPr>
      </w:pPr>
      <w:r>
        <w:rPr>
          <w:rFonts w:cs="Arial" w:ascii="Arial" w:hAnsi="Arial"/>
          <w:b/>
          <w:sz w:val="20"/>
          <w:szCs w:val="20"/>
        </w:rPr>
      </w:r>
    </w:p>
    <w:p>
      <w:pPr>
        <w:pStyle w:val="Normal"/>
        <w:ind w:firstLine="709"/>
        <w:jc w:val="both"/>
        <w:rPr>
          <w:rFonts w:ascii="Arial" w:hAnsi="Arial" w:cs="Arial"/>
          <w:b/>
          <w:b/>
          <w:sz w:val="20"/>
          <w:szCs w:val="20"/>
        </w:rPr>
      </w:pPr>
      <w:r>
        <w:rPr>
          <w:rFonts w:cs="Arial" w:ascii="Arial" w:hAnsi="Arial"/>
          <w:b/>
          <w:sz w:val="20"/>
          <w:szCs w:val="20"/>
        </w:rPr>
        <w:t>Se acordó:</w:t>
      </w:r>
      <w:r>
        <w:rPr>
          <w:rFonts w:cs="Arial" w:ascii="Arial" w:hAnsi="Arial"/>
          <w:sz w:val="20"/>
          <w:szCs w:val="20"/>
        </w:rPr>
        <w:t xml:space="preserve"> </w:t>
      </w:r>
      <w:r>
        <w:rPr>
          <w:rFonts w:cs="Arial" w:ascii="Arial" w:hAnsi="Arial"/>
          <w:b/>
          <w:bCs/>
          <w:sz w:val="20"/>
          <w:szCs w:val="20"/>
        </w:rPr>
        <w:t>1.)</w:t>
      </w:r>
      <w:r>
        <w:rPr>
          <w:rFonts w:cs="Arial" w:ascii="Arial" w:hAnsi="Arial"/>
          <w:sz w:val="20"/>
          <w:szCs w:val="20"/>
        </w:rPr>
        <w:t xml:space="preserve"> Acoger la recomendación remitida por la Unidad de Acceso a la Justicia, en oficio CACC-301-2019, del 4 de octubre de 2019, en consecuencia, instar a las personas servidoras judiciales que atiendan procesos vinculados con personas indígenas para que en las resoluciones que emitan en forma escrita u oral y en las audiencias, utilicen un lenguaje claro y sencillo; comprensible para esa población y para las personas traductoras e intérpretes a fin de facilitar el proceso de transmisión de la información.</w:t>
      </w:r>
      <w:r>
        <w:rPr>
          <w:rFonts w:cs="Arial" w:ascii="Arial" w:hAnsi="Arial"/>
          <w:b/>
          <w:bCs/>
          <w:sz w:val="20"/>
          <w:szCs w:val="20"/>
        </w:rPr>
        <w:t xml:space="preserve"> 2)</w:t>
      </w:r>
      <w:r>
        <w:rPr>
          <w:rFonts w:cs="Arial" w:ascii="Arial" w:hAnsi="Arial"/>
          <w:sz w:val="20"/>
          <w:szCs w:val="20"/>
        </w:rPr>
        <w:t xml:space="preserve"> La Secretaría de la Corte comunicará lo pertinente por medio de circular.</w:t>
      </w:r>
      <w:r>
        <w:rPr>
          <w:rFonts w:cs="Arial" w:ascii="Arial" w:hAnsi="Arial"/>
          <w:b/>
          <w:bCs/>
          <w:sz w:val="20"/>
          <w:szCs w:val="20"/>
        </w:rPr>
        <w:t xml:space="preserve"> </w:t>
      </w:r>
      <w:r>
        <w:rPr>
          <w:rFonts w:cs="Arial" w:ascii="Arial" w:hAnsi="Arial"/>
          <w:b/>
          <w:sz w:val="20"/>
          <w:szCs w:val="20"/>
        </w:rPr>
        <w:t>Se declara acuerdo firme.</w:t>
      </w:r>
      <w:r>
        <w:rPr>
          <w:rFonts w:cs="Arial" w:ascii="Arial" w:hAnsi="Arial"/>
          <w:sz w:val="20"/>
          <w:szCs w:val="20"/>
        </w:rPr>
        <w:t>”</w:t>
      </w:r>
    </w:p>
    <w:p>
      <w:pPr>
        <w:pStyle w:val="Normal"/>
        <w:widowControl w:val="false"/>
        <w:ind w:right="851" w:hanging="0"/>
        <w:jc w:val="both"/>
        <w:rPr>
          <w:rFonts w:ascii="Arial" w:hAnsi="Arial" w:cs="Arial"/>
          <w:sz w:val="20"/>
          <w:szCs w:val="20"/>
          <w:lang w:val="es-ES"/>
        </w:rPr>
      </w:pPr>
      <w:r>
        <w:rPr>
          <w:rFonts w:cs="Arial" w:ascii="Arial" w:hAnsi="Arial"/>
          <w:sz w:val="20"/>
          <w:szCs w:val="20"/>
          <w:lang w:val="es-ES"/>
        </w:rPr>
      </w:r>
    </w:p>
    <w:p>
      <w:pPr>
        <w:pStyle w:val="Normal"/>
        <w:tabs>
          <w:tab w:val="clear" w:pos="708"/>
          <w:tab w:val="left" w:pos="4295" w:leader="none"/>
        </w:tabs>
        <w:ind w:left="4248" w:hanging="0"/>
        <w:jc w:val="both"/>
        <w:rPr>
          <w:rFonts w:ascii="Arial" w:hAnsi="Arial" w:cs="Arial"/>
          <w:b/>
          <w:b/>
          <w:bCs/>
          <w:sz w:val="20"/>
          <w:szCs w:val="20"/>
        </w:rPr>
      </w:pPr>
      <w:r>
        <w:rPr>
          <w:rFonts w:cs="Arial" w:ascii="Arial" w:hAnsi="Arial"/>
          <w:b/>
          <w:bCs/>
          <w:sz w:val="20"/>
          <w:szCs w:val="20"/>
        </w:rPr>
        <w:t xml:space="preserve">Atentamente, </w:t>
      </w:r>
    </w:p>
    <w:p>
      <w:pPr>
        <w:pStyle w:val="Normal"/>
        <w:ind w:left="-708" w:hanging="0"/>
        <w:jc w:val="both"/>
        <w:rPr>
          <w:rFonts w:ascii="Arial" w:hAnsi="Arial" w:cs="Arial"/>
          <w:b/>
          <w:b/>
          <w:bCs/>
          <w:sz w:val="20"/>
          <w:szCs w:val="20"/>
        </w:rPr>
      </w:pPr>
      <w:r>
        <w:rPr>
          <w:rFonts w:cs="Arial" w:ascii="Arial" w:hAnsi="Arial"/>
          <w:b/>
          <w:bCs/>
          <w:sz w:val="20"/>
          <w:szCs w:val="20"/>
        </w:rPr>
      </w:r>
    </w:p>
    <w:p>
      <w:pPr>
        <w:pStyle w:val="Normal"/>
        <w:ind w:left="-708" w:hanging="0"/>
        <w:jc w:val="both"/>
        <w:rPr>
          <w:rFonts w:ascii="Arial" w:hAnsi="Arial" w:cs="Arial"/>
          <w:b/>
          <w:b/>
          <w:bCs/>
          <w:sz w:val="20"/>
          <w:szCs w:val="20"/>
        </w:rPr>
      </w:pPr>
      <w:r>
        <w:rPr>
          <w:rFonts w:cs="Arial" w:ascii="Arial" w:hAnsi="Arial"/>
          <w:b/>
          <w:bCs/>
          <w:sz w:val="20"/>
          <w:szCs w:val="20"/>
        </w:rPr>
      </w:r>
    </w:p>
    <w:p>
      <w:pPr>
        <w:pStyle w:val="Normal"/>
        <w:ind w:left="708" w:hanging="0"/>
        <w:jc w:val="both"/>
        <w:rPr>
          <w:rFonts w:ascii="Arial" w:hAnsi="Arial" w:cs="Arial"/>
          <w:b/>
          <w:b/>
          <w:bCs/>
          <w:sz w:val="20"/>
          <w:szCs w:val="20"/>
          <w:lang w:val="es-ES_tradnl"/>
        </w:rPr>
      </w:pPr>
      <w:r>
        <w:rPr>
          <w:rFonts w:cs="Arial" w:ascii="Arial" w:hAnsi="Arial"/>
          <w:b/>
          <w:bCs/>
          <w:sz w:val="20"/>
          <w:szCs w:val="20"/>
          <w:lang w:val="es-ES_tradnl"/>
        </w:rPr>
      </w:r>
    </w:p>
    <w:p>
      <w:pPr>
        <w:pStyle w:val="Normal"/>
        <w:ind w:left="708" w:hanging="0"/>
        <w:jc w:val="both"/>
        <w:rPr>
          <w:rFonts w:ascii="Arial" w:hAnsi="Arial" w:cs="Arial"/>
          <w:b/>
          <w:b/>
          <w:bCs/>
          <w:sz w:val="20"/>
          <w:szCs w:val="20"/>
          <w:lang w:val="es-ES_tradnl"/>
        </w:rPr>
      </w:pPr>
      <w:r>
        <w:rPr>
          <w:rFonts w:cs="Arial" w:ascii="Arial" w:hAnsi="Arial"/>
          <w:b/>
          <w:bCs/>
          <w:sz w:val="20"/>
          <w:szCs w:val="20"/>
          <w:lang w:val="es-ES_tradnl"/>
        </w:rPr>
      </w:r>
    </w:p>
    <w:p>
      <w:pPr>
        <w:pStyle w:val="Ttulo53"/>
        <w:keepNext w:val="false"/>
        <w:shd w:fill="FFFFFF" w:val="clear"/>
        <w:tabs>
          <w:tab w:val="left" w:pos="708" w:leader="none"/>
        </w:tabs>
        <w:ind w:left="4248" w:hanging="0"/>
        <w:jc w:val="both"/>
        <w:rPr>
          <w:rFonts w:ascii="Arial" w:hAnsi="Arial" w:eastAsia="Times New Roman" w:cs="Arial"/>
          <w:i w:val="false"/>
          <w:i w:val="false"/>
          <w:iCs w:val="false"/>
          <w:sz w:val="20"/>
          <w:szCs w:val="20"/>
          <w:u w:val="none"/>
        </w:rPr>
      </w:pPr>
      <w:r>
        <w:rPr>
          <w:rFonts w:eastAsia="Times New Roman" w:cs="Arial" w:ascii="Arial" w:hAnsi="Arial"/>
          <w:i w:val="false"/>
          <w:iCs w:val="false"/>
          <w:sz w:val="20"/>
          <w:szCs w:val="20"/>
          <w:u w:val="none"/>
        </w:rPr>
        <w:t>Lic. Eduardo Chacón Monge</w:t>
      </w:r>
    </w:p>
    <w:p>
      <w:pPr>
        <w:pStyle w:val="Ttulo53"/>
        <w:keepNext w:val="false"/>
        <w:shd w:fill="FFFFFF" w:val="clear"/>
        <w:tabs>
          <w:tab w:val="left" w:pos="708" w:leader="none"/>
        </w:tabs>
        <w:ind w:left="4248" w:hanging="0"/>
        <w:jc w:val="both"/>
        <w:rPr>
          <w:rFonts w:ascii="Arial" w:hAnsi="Arial" w:eastAsia="Times New Roman" w:cs="Arial"/>
          <w:i w:val="false"/>
          <w:i w:val="false"/>
          <w:iCs w:val="false"/>
          <w:sz w:val="20"/>
          <w:szCs w:val="20"/>
          <w:u w:val="none"/>
        </w:rPr>
      </w:pPr>
      <w:r>
        <w:rPr>
          <w:rFonts w:eastAsia="Times New Roman" w:cs="Arial" w:ascii="Arial" w:hAnsi="Arial"/>
          <w:i w:val="false"/>
          <w:iCs w:val="false"/>
          <w:sz w:val="20"/>
          <w:szCs w:val="20"/>
          <w:u w:val="none"/>
        </w:rPr>
        <w:t>Prosecretario General interino</w:t>
      </w:r>
    </w:p>
    <w:p>
      <w:pPr>
        <w:pStyle w:val="Ttulo53"/>
        <w:keepNext w:val="false"/>
        <w:shd w:fill="FFFFFF" w:val="clear"/>
        <w:ind w:left="4248" w:hanging="0"/>
        <w:jc w:val="both"/>
        <w:rPr>
          <w:rFonts w:ascii="Arial" w:hAnsi="Arial" w:eastAsia="Lucida Sans Unicode" w:cs="Arial"/>
          <w:i w:val="false"/>
          <w:i w:val="false"/>
          <w:iCs w:val="false"/>
          <w:sz w:val="20"/>
          <w:szCs w:val="20"/>
          <w:u w:val="none"/>
          <w:lang w:val="es-ES"/>
        </w:rPr>
      </w:pPr>
      <w:r>
        <w:rPr>
          <w:rFonts w:cs="Arial" w:ascii="Arial" w:hAnsi="Arial"/>
          <w:i w:val="false"/>
          <w:iCs w:val="false"/>
          <w:sz w:val="20"/>
          <w:szCs w:val="20"/>
          <w:u w:val="none"/>
        </w:rPr>
        <w:t>Secretaría General de la Corte</w:t>
      </w:r>
    </w:p>
    <w:p>
      <w:pPr>
        <w:pStyle w:val="Ttulo51"/>
        <w:keepNext w:val="false"/>
        <w:shd w:fill="FFFFFF" w:val="clear"/>
        <w:tabs>
          <w:tab w:val="left" w:pos="708" w:leader="none"/>
        </w:tabs>
        <w:jc w:val="both"/>
        <w:rPr>
          <w:rFonts w:ascii="Arial" w:hAnsi="Arial" w:eastAsia="Times New Roman" w:cs="Arial"/>
          <w:i w:val="false"/>
          <w:i w:val="false"/>
          <w:iCs w:val="false"/>
          <w:sz w:val="20"/>
          <w:szCs w:val="20"/>
          <w:u w:val="none"/>
        </w:rPr>
      </w:pPr>
      <w:r>
        <w:rPr>
          <w:rFonts w:eastAsia="Times New Roman" w:cs="Arial" w:ascii="Arial" w:hAnsi="Arial"/>
          <w:i w:val="false"/>
          <w:iCs w:val="false"/>
          <w:sz w:val="20"/>
          <w:szCs w:val="20"/>
          <w:u w:val="none"/>
        </w:rPr>
      </w:r>
    </w:p>
    <w:p>
      <w:pPr>
        <w:pStyle w:val="Ttulo51"/>
        <w:keepNext w:val="false"/>
        <w:shd w:fill="FFFFFF" w:val="clear"/>
        <w:tabs>
          <w:tab w:val="left" w:pos="708" w:leader="none"/>
        </w:tabs>
        <w:ind w:left="4248" w:hanging="0"/>
        <w:jc w:val="both"/>
        <w:rPr>
          <w:rFonts w:ascii="Arial" w:hAnsi="Arial" w:eastAsia="Times New Roman" w:cs="Arial"/>
          <w:i w:val="false"/>
          <w:i w:val="false"/>
          <w:iCs w:val="false"/>
          <w:sz w:val="20"/>
          <w:szCs w:val="20"/>
          <w:u w:val="none"/>
        </w:rPr>
      </w:pPr>
      <w:r>
        <w:rPr>
          <w:rFonts w:eastAsia="Times New Roman" w:cs="Arial" w:ascii="Arial" w:hAnsi="Arial"/>
          <w:i w:val="false"/>
          <w:iCs w:val="false"/>
          <w:sz w:val="20"/>
          <w:szCs w:val="20"/>
          <w:u w:val="none"/>
        </w:rPr>
        <w:t xml:space="preserve"> </w:t>
      </w:r>
    </w:p>
    <w:p>
      <w:pPr>
        <w:pStyle w:val="Normal"/>
        <w:widowControl w:val="false"/>
        <w:numPr>
          <w:ilvl w:val="0"/>
          <w:numId w:val="0"/>
        </w:numPr>
        <w:ind w:left="708" w:hanging="708"/>
        <w:jc w:val="both"/>
        <w:outlineLvl w:val="2"/>
        <w:rPr>
          <w:rFonts w:ascii="Arial" w:hAnsi="Arial" w:eastAsia="Times New Roman" w:cs="Arial"/>
          <w:sz w:val="20"/>
          <w:szCs w:val="20"/>
          <w:lang w:val="es-ES"/>
        </w:rPr>
      </w:pPr>
      <w:r>
        <w:rPr>
          <w:rFonts w:cs="Arial" w:ascii="Arial" w:hAnsi="Arial"/>
          <w:sz w:val="20"/>
          <w:szCs w:val="20"/>
        </w:rPr>
        <w:t>c:</w:t>
        <w:tab/>
      </w:r>
      <w:r>
        <w:rPr>
          <w:rFonts w:eastAsia="Batang" w:cs="Arial" w:ascii="Arial" w:hAnsi="Arial"/>
          <w:sz w:val="20"/>
          <w:szCs w:val="20"/>
        </w:rPr>
        <w:t>Señora Vanessa Fernández Salas, Encargada de Circulares Secretaría General de la Corte</w:t>
      </w:r>
    </w:p>
    <w:p>
      <w:pPr>
        <w:pStyle w:val="Normal"/>
        <w:ind w:firstLine="708"/>
        <w:jc w:val="both"/>
        <w:rPr>
          <w:rFonts w:ascii="Arial" w:hAnsi="Arial" w:cs="Arial"/>
          <w:b/>
          <w:b/>
          <w:bCs/>
          <w:sz w:val="20"/>
          <w:szCs w:val="20"/>
        </w:rPr>
      </w:pPr>
      <w:r>
        <w:rPr>
          <w:rFonts w:cs="Arial" w:ascii="Arial" w:hAnsi="Arial"/>
          <w:sz w:val="20"/>
          <w:szCs w:val="20"/>
        </w:rPr>
        <w:t>Diligencias / Refs: (</w:t>
      </w:r>
      <w:r>
        <w:rPr>
          <w:rFonts w:cs="Arial" w:ascii="Arial" w:hAnsi="Arial"/>
          <w:bCs/>
          <w:sz w:val="20"/>
          <w:szCs w:val="20"/>
        </w:rPr>
        <w:t>5484-19 / 12851-19</w:t>
      </w:r>
      <w:r>
        <w:rPr>
          <w:rFonts w:cs="Arial" w:ascii="Arial" w:hAnsi="Arial"/>
          <w:sz w:val="20"/>
          <w:szCs w:val="20"/>
        </w:rPr>
        <w:t xml:space="preserve">) </w:t>
      </w:r>
    </w:p>
    <w:p>
      <w:pPr>
        <w:pStyle w:val="Normal"/>
        <w:widowControl w:val="false"/>
        <w:numPr>
          <w:ilvl w:val="0"/>
          <w:numId w:val="0"/>
        </w:numPr>
        <w:ind w:firstLine="708"/>
        <w:jc w:val="both"/>
        <w:outlineLvl w:val="2"/>
        <w:rPr>
          <w:rFonts w:ascii="Arial" w:hAnsi="Arial" w:cs="Arial"/>
          <w:sz w:val="20"/>
          <w:szCs w:val="20"/>
        </w:rPr>
      </w:pPr>
      <w:r>
        <w:rPr>
          <w:rFonts w:cs="Arial" w:ascii="Arial" w:hAnsi="Arial"/>
          <w:sz w:val="20"/>
          <w:szCs w:val="20"/>
        </w:rPr>
      </w:r>
    </w:p>
    <w:p>
      <w:pPr>
        <w:pStyle w:val="Normal"/>
        <w:ind w:firstLine="708"/>
        <w:jc w:val="both"/>
        <w:rPr>
          <w:rFonts w:ascii="Arial" w:hAnsi="Arial" w:cs="Arial"/>
          <w:sz w:val="20"/>
          <w:szCs w:val="20"/>
          <w:lang w:val="es-ES"/>
        </w:rPr>
      </w:pPr>
      <w:r>
        <w:rPr>
          <w:rFonts w:cs="Arial" w:ascii="Arial" w:hAnsi="Arial"/>
          <w:sz w:val="20"/>
          <w:szCs w:val="20"/>
        </w:rPr>
        <w:t>Gramirezc</w:t>
      </w:r>
    </w:p>
    <w:p>
      <w:pPr>
        <w:pStyle w:val="Normal"/>
        <w:jc w:val="both"/>
        <w:rPr>
          <w:rFonts w:ascii="Arial" w:hAnsi="Arial" w:cs="Arial"/>
          <w:b/>
          <w:b/>
          <w:sz w:val="20"/>
          <w:szCs w:val="20"/>
          <w:shd w:fill="FFFFFF" w:val="clear"/>
          <w:lang w:val="es-ES_tradnl"/>
        </w:rPr>
      </w:pPr>
      <w:r>
        <w:rPr>
          <w:rFonts w:cs="Arial" w:ascii="Arial" w:hAnsi="Arial"/>
          <w:b/>
          <w:sz w:val="20"/>
          <w:szCs w:val="20"/>
          <w:shd w:fill="FFFFFF" w:val="clear"/>
          <w:lang w:val="es-ES_tradnl"/>
        </w:rPr>
      </w:r>
    </w:p>
    <w:p>
      <w:pPr>
        <w:pStyle w:val="Normal"/>
        <w:rPr>
          <w:rFonts w:ascii="Arial" w:hAnsi="Arial" w:cs="Arial"/>
          <w:b/>
          <w:b/>
          <w:sz w:val="20"/>
          <w:szCs w:val="20"/>
          <w:u w:val="single"/>
        </w:rPr>
      </w:pPr>
      <w:r>
        <w:rPr>
          <w:rFonts w:cs="Arial" w:ascii="Arial" w:hAnsi="Arial"/>
          <w:b/>
          <w:sz w:val="20"/>
          <w:szCs w:val="20"/>
          <w:u w:val="single"/>
        </w:rPr>
      </w:r>
    </w:p>
    <w:p>
      <w:pPr>
        <w:pStyle w:val="Normal"/>
        <w:jc w:val="both"/>
        <w:rPr>
          <w:rFonts w:ascii="Arial" w:hAnsi="Arial" w:cs="Arial"/>
          <w:sz w:val="20"/>
          <w:szCs w:val="20"/>
        </w:rPr>
      </w:pPr>
      <w:r>
        <w:rPr/>
        <w:object>
          <v:shape id="ole_rId82" style="width:75.15pt;height:48.85pt" o:ole="">
            <v:imagedata r:id="rId83" o:title=""/>
          </v:shape>
          <o:OLEObject Type="Embed" ProgID="Package" ShapeID="ole_rId82" DrawAspect="Icon" ObjectID="_82770414" r:id="rId82"/>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 del Oficio N° 10915-19 en el que se transcrib el acuerdo tomado por el Consejo Superior del Poder Judicial, en sesión N° 89-19 celebrada el 15 de octubre de 2019, Artículo LXXXIV.-</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XIII</w:t>
      </w:r>
    </w:p>
    <w:p>
      <w:pPr>
        <w:pStyle w:val="Normal"/>
        <w:jc w:val="both"/>
        <w:rPr>
          <w:rFonts w:ascii="Arial" w:hAnsi="Arial" w:cs="Arial"/>
          <w:sz w:val="20"/>
          <w:szCs w:val="20"/>
        </w:rPr>
      </w:pPr>
      <w:r>
        <w:rPr>
          <w:rFonts w:cs="Arial" w:ascii="Arial" w:hAnsi="Arial"/>
          <w:sz w:val="20"/>
          <w:szCs w:val="20"/>
        </w:rPr>
        <w:t>Se informa sobre gestión formulada por la señora Bertilia Jiménez Reyes, traslado a la Contraloría de Servicios y el seguimiento:</w:t>
      </w:r>
    </w:p>
    <w:p>
      <w:pPr>
        <w:pStyle w:val="Normal"/>
        <w:numPr>
          <w:ilvl w:val="0"/>
          <w:numId w:val="0"/>
        </w:numPr>
        <w:outlineLvl w:val="0"/>
        <w:rPr>
          <w:rFonts w:ascii="Arial" w:hAnsi="Arial" w:eastAsia="Times New Roman" w:cs="Arial"/>
          <w:sz w:val="20"/>
          <w:szCs w:val="20"/>
        </w:rPr>
      </w:pPr>
      <w:r>
        <w:rPr>
          <w:rFonts w:eastAsia="Times New Roman" w:cs="Arial" w:ascii="Arial" w:hAnsi="Arial"/>
          <w:b/>
          <w:bCs/>
          <w:sz w:val="20"/>
          <w:szCs w:val="20"/>
        </w:rPr>
        <w:t>De:</w:t>
      </w:r>
      <w:r>
        <w:rPr>
          <w:rFonts w:eastAsia="Times New Roman" w:cs="Arial" w:ascii="Arial" w:hAnsi="Arial"/>
          <w:sz w:val="20"/>
          <w:szCs w:val="20"/>
        </w:rPr>
        <w:t xml:space="preserve"> Damaris Vargas Vásquez</w:t>
        <w:br/>
      </w:r>
      <w:r>
        <w:rPr>
          <w:rFonts w:eastAsia="Times New Roman" w:cs="Arial" w:ascii="Arial" w:hAnsi="Arial"/>
          <w:b/>
          <w:bCs/>
          <w:sz w:val="20"/>
          <w:szCs w:val="20"/>
        </w:rPr>
        <w:t>Enviado:</w:t>
      </w:r>
      <w:r>
        <w:rPr>
          <w:rFonts w:eastAsia="Times New Roman" w:cs="Arial" w:ascii="Arial" w:hAnsi="Arial"/>
          <w:sz w:val="20"/>
          <w:szCs w:val="20"/>
        </w:rPr>
        <w:t xml:space="preserve"> Friday, October 25, 2019 1:01:33 PM</w:t>
        <w:br/>
      </w:r>
      <w:r>
        <w:rPr>
          <w:rFonts w:eastAsia="Times New Roman" w:cs="Arial" w:ascii="Arial" w:hAnsi="Arial"/>
          <w:b/>
          <w:bCs/>
          <w:sz w:val="20"/>
          <w:szCs w:val="20"/>
        </w:rPr>
        <w:t>Para:</w:t>
      </w:r>
      <w:r>
        <w:rPr>
          <w:rFonts w:eastAsia="Times New Roman" w:cs="Arial" w:ascii="Arial" w:hAnsi="Arial"/>
          <w:sz w:val="20"/>
          <w:szCs w:val="20"/>
        </w:rPr>
        <w:t xml:space="preserve"> Erick Alfaro Romero &lt;</w:t>
      </w:r>
      <w:hyperlink r:id="rId84">
        <w:r>
          <w:rPr>
            <w:rStyle w:val="EnlacedeInternet"/>
            <w:rFonts w:cs="Arial" w:ascii="Arial" w:hAnsi="Arial"/>
            <w:color w:val="auto"/>
            <w:sz w:val="20"/>
            <w:szCs w:val="20"/>
          </w:rPr>
          <w:t>ealfaror@Poder-Judicial.go.cr</w:t>
        </w:r>
      </w:hyperlink>
      <w:r>
        <w:rPr>
          <w:rFonts w:eastAsia="Times New Roman" w:cs="Arial" w:ascii="Arial" w:hAnsi="Arial"/>
          <w:sz w:val="20"/>
          <w:szCs w:val="20"/>
        </w:rPr>
        <w:t>&gt;; Ericka Chavarría Astorga &lt;</w:t>
      </w:r>
      <w:hyperlink r:id="rId85">
        <w:r>
          <w:rPr>
            <w:rStyle w:val="EnlacedeInternet"/>
            <w:rFonts w:cs="Arial" w:ascii="Arial" w:hAnsi="Arial"/>
            <w:color w:val="auto"/>
            <w:sz w:val="20"/>
            <w:szCs w:val="20"/>
          </w:rPr>
          <w:t>echavarriaa@Poder-Judicial.go.cr</w:t>
        </w:r>
      </w:hyperlink>
      <w:r>
        <w:rPr>
          <w:rFonts w:eastAsia="Times New Roman" w:cs="Arial" w:ascii="Arial" w:hAnsi="Arial"/>
          <w:sz w:val="20"/>
          <w:szCs w:val="20"/>
        </w:rPr>
        <w:t>&gt;; Carlos Romero Rivera &lt;</w:t>
      </w:r>
      <w:hyperlink r:id="rId86">
        <w:r>
          <w:rPr>
            <w:rStyle w:val="EnlacedeInternet"/>
            <w:rFonts w:cs="Arial" w:ascii="Arial" w:hAnsi="Arial"/>
            <w:color w:val="auto"/>
            <w:sz w:val="20"/>
            <w:szCs w:val="20"/>
          </w:rPr>
          <w:t>cromero@poder-judicial.go.cr</w:t>
        </w:r>
      </w:hyperlink>
      <w:r>
        <w:rPr>
          <w:rFonts w:eastAsia="Times New Roman" w:cs="Arial" w:ascii="Arial" w:hAnsi="Arial"/>
          <w:sz w:val="20"/>
          <w:szCs w:val="20"/>
        </w:rPr>
        <w:t>&gt;</w:t>
        <w:br/>
      </w:r>
      <w:r>
        <w:rPr>
          <w:rFonts w:eastAsia="Times New Roman" w:cs="Arial" w:ascii="Arial" w:hAnsi="Arial"/>
          <w:b/>
          <w:bCs/>
          <w:sz w:val="20"/>
          <w:szCs w:val="20"/>
        </w:rPr>
        <w:t>Asunto:</w:t>
      </w:r>
      <w:r>
        <w:rPr>
          <w:rFonts w:eastAsia="Times New Roman" w:cs="Arial" w:ascii="Arial" w:hAnsi="Arial"/>
          <w:sz w:val="20"/>
          <w:szCs w:val="20"/>
        </w:rPr>
        <w:t xml:space="preserve"> </w:t>
      </w:r>
    </w:p>
    <w:p>
      <w:pPr>
        <w:pStyle w:val="Normal"/>
        <w:rPr>
          <w:rFonts w:ascii="Arial" w:hAnsi="Arial" w:eastAsia="Times New Roman" w:cs="Arial"/>
          <w:sz w:val="20"/>
          <w:szCs w:val="20"/>
        </w:rPr>
      </w:pPr>
      <w:r>
        <w:rPr>
          <w:rFonts w:eastAsia="Times New Roman" w:cs="Arial" w:ascii="Arial" w:hAnsi="Arial"/>
          <w:sz w:val="20"/>
          <w:szCs w:val="20"/>
        </w:rPr>
        <w:t> </w:t>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t>Buenas tardes:</w:t>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t>Me consulta la señora indígena Bertila Gutiérrez Reyes si se sabe algo sobre el avance del expediente agrario que se tramita en Buenos Aires, sobre el cual les había enviado consulta.</w:t>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t> </w:t>
      </w:r>
      <w:r>
        <w:rPr>
          <w:rFonts w:eastAsia="Times New Roman" w:cs="Arial" w:ascii="Arial" w:hAnsi="Arial"/>
          <w:sz w:val="20"/>
          <w:szCs w:val="20"/>
        </w:rPr>
        <w:t xml:space="preserve">Estoy en territorio Terraba en este momento por si desean le de alguna respuesta. A ella se le puede localizar en el correo </w:t>
      </w:r>
      <w:hyperlink r:id="rId87">
        <w:r>
          <w:rPr>
            <w:rStyle w:val="EnlacedeInternet"/>
            <w:rFonts w:cs="Arial" w:ascii="Arial" w:hAnsi="Arial"/>
            <w:color w:val="auto"/>
            <w:sz w:val="20"/>
            <w:szCs w:val="20"/>
          </w:rPr>
          <w:t>bertareyesgu126@gmail.cm</w:t>
        </w:r>
      </w:hyperlink>
      <w:r>
        <w:rPr>
          <w:rFonts w:eastAsia="Times New Roman" w:cs="Arial" w:ascii="Arial" w:hAnsi="Arial"/>
          <w:sz w:val="20"/>
          <w:szCs w:val="20"/>
        </w:rPr>
        <w:t>.</w:t>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t>Saludos cordiales y muchas gracias por su colaboración.</w:t>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r>
    </w:p>
    <w:p>
      <w:pPr>
        <w:pStyle w:val="Normal"/>
        <w:shd w:val="clear" w:color="auto" w:fill="FFFFFF"/>
        <w:rPr>
          <w:rFonts w:ascii="Arial" w:hAnsi="Arial" w:eastAsia="Times New Roman" w:cs="Arial"/>
          <w:sz w:val="20"/>
          <w:szCs w:val="20"/>
        </w:rPr>
      </w:pPr>
      <w:r>
        <w:rPr>
          <w:rFonts w:eastAsia="Times New Roman" w:cs="Arial" w:ascii="Arial" w:hAnsi="Arial"/>
          <w:sz w:val="20"/>
          <w:szCs w:val="20"/>
        </w:rPr>
        <w:t>Damaris Vargas Vásquez </w:t>
      </w:r>
    </w:p>
    <w:p>
      <w:pPr>
        <w:pStyle w:val="Normal"/>
        <w:jc w:val="both"/>
        <w:rPr>
          <w:rFonts w:ascii="Arial" w:hAnsi="Arial" w:cs="Arial"/>
          <w:sz w:val="20"/>
          <w:szCs w:val="20"/>
        </w:rPr>
      </w:pPr>
      <w:r>
        <w:rPr/>
        <w:object>
          <v:shape id="ole_rId88" style="width:75.15pt;height:48.85pt" o:ole="">
            <v:imagedata r:id="rId89" o:title=""/>
          </v:shape>
          <o:OLEObject Type="Embed" ProgID="Package" ShapeID="ole_rId88" DrawAspect="Icon" ObjectID="_1316878844" r:id="rId88"/>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2° Solicitar a la Contraloría de Servicios dar seguimiento a la gestión presentada. 3° Comunicar este acuerdo a la Contraloría de Servicios y a la persona usuaria por medio de la Unidad de Acceso a la Justicia.-</w:t>
      </w:r>
    </w:p>
    <w:p>
      <w:pPr>
        <w:pStyle w:val="Normal"/>
        <w:jc w:val="both"/>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XIV</w:t>
      </w:r>
    </w:p>
    <w:p>
      <w:pPr>
        <w:pStyle w:val="Normal"/>
        <w:rPr>
          <w:rFonts w:ascii="Arial" w:hAnsi="Arial" w:cs="Arial"/>
          <w:bCs/>
          <w:sz w:val="20"/>
          <w:szCs w:val="20"/>
        </w:rPr>
      </w:pPr>
      <w:r>
        <w:rPr>
          <w:rFonts w:cs="Arial" w:ascii="Arial" w:hAnsi="Arial"/>
          <w:bCs/>
          <w:sz w:val="20"/>
          <w:szCs w:val="20"/>
        </w:rPr>
        <w:t>Se conoce sobre gestión formulada por persona indígena usuaria y seguimiento de la Contraloría de Servicios:</w:t>
      </w:r>
    </w:p>
    <w:p>
      <w:pPr>
        <w:pStyle w:val="Normal"/>
        <w:numPr>
          <w:ilvl w:val="0"/>
          <w:numId w:val="0"/>
        </w:numPr>
        <w:outlineLvl w:val="0"/>
        <w:rPr>
          <w:rFonts w:ascii="Arial" w:hAnsi="Arial" w:cs="Arial"/>
          <w:sz w:val="20"/>
          <w:szCs w:val="20"/>
          <w:lang w:val="es-ES"/>
        </w:rPr>
      </w:pPr>
      <w:r>
        <w:rPr>
          <w:rFonts w:cs="Arial" w:ascii="Arial" w:hAnsi="Arial"/>
          <w:b/>
          <w:bCs/>
          <w:sz w:val="20"/>
          <w:szCs w:val="20"/>
          <w:lang w:val="es-ES"/>
        </w:rPr>
        <w:t>De:</w:t>
      </w:r>
      <w:r>
        <w:rPr>
          <w:rFonts w:cs="Arial" w:ascii="Arial" w:hAnsi="Arial"/>
          <w:sz w:val="20"/>
          <w:szCs w:val="20"/>
          <w:lang w:val="es-ES"/>
        </w:rPr>
        <w:t xml:space="preserve"> Ngäbe Ngabere &lt;</w:t>
      </w:r>
      <w:hyperlink r:id="rId90">
        <w:r>
          <w:rPr>
            <w:rStyle w:val="EnlacedeInternet"/>
            <w:rFonts w:cs="Arial" w:ascii="Arial" w:hAnsi="Arial"/>
            <w:color w:val="auto"/>
            <w:sz w:val="20"/>
            <w:szCs w:val="20"/>
          </w:rPr>
          <w:t>eatencio7@gmail.com</w:t>
        </w:r>
      </w:hyperlink>
      <w:r>
        <w:rPr>
          <w:rFonts w:cs="Arial" w:ascii="Arial" w:hAnsi="Arial"/>
          <w:sz w:val="20"/>
          <w:szCs w:val="20"/>
          <w:lang w:val="es-ES"/>
        </w:rPr>
        <w:t xml:space="preserve">&gt; </w:t>
        <w:br/>
      </w:r>
      <w:r>
        <w:rPr>
          <w:rFonts w:cs="Arial" w:ascii="Arial" w:hAnsi="Arial"/>
          <w:b/>
          <w:bCs/>
          <w:sz w:val="20"/>
          <w:szCs w:val="20"/>
          <w:lang w:val="es-ES"/>
        </w:rPr>
        <w:t>Enviado el:</w:t>
      </w:r>
      <w:r>
        <w:rPr>
          <w:rFonts w:cs="Arial" w:ascii="Arial" w:hAnsi="Arial"/>
          <w:sz w:val="20"/>
          <w:szCs w:val="20"/>
          <w:lang w:val="es-ES"/>
        </w:rPr>
        <w:t xml:space="preserve"> miércoles, 23 de octubre de 2019 05:22 p.m.</w:t>
        <w:br/>
      </w:r>
      <w:r>
        <w:rPr>
          <w:rFonts w:cs="Arial" w:ascii="Arial" w:hAnsi="Arial"/>
          <w:b/>
          <w:bCs/>
          <w:sz w:val="20"/>
          <w:szCs w:val="20"/>
          <w:lang w:val="es-ES"/>
        </w:rPr>
        <w:t>Para:</w:t>
      </w:r>
      <w:r>
        <w:rPr>
          <w:rFonts w:cs="Arial" w:ascii="Arial" w:hAnsi="Arial"/>
          <w:sz w:val="20"/>
          <w:szCs w:val="20"/>
          <w:lang w:val="es-ES"/>
        </w:rPr>
        <w:t xml:space="preserve"> Damaris Vargas Vásquez &lt;</w:t>
      </w:r>
      <w:hyperlink r:id="rId91">
        <w:r>
          <w:rPr>
            <w:rStyle w:val="EnlacedeInternet"/>
            <w:rFonts w:cs="Arial" w:ascii="Arial" w:hAnsi="Arial"/>
            <w:color w:val="auto"/>
            <w:sz w:val="20"/>
            <w:szCs w:val="20"/>
          </w:rPr>
          <w:t>dvargas@Poder-Judicial.go.cr</w:t>
        </w:r>
      </w:hyperlink>
      <w:r>
        <w:rPr>
          <w:rFonts w:cs="Arial" w:ascii="Arial" w:hAnsi="Arial"/>
          <w:sz w:val="20"/>
          <w:szCs w:val="20"/>
          <w:lang w:val="es-ES"/>
        </w:rPr>
        <w:t>&gt;</w:t>
        <w:br/>
      </w:r>
      <w:r>
        <w:rPr>
          <w:rFonts w:cs="Arial" w:ascii="Arial" w:hAnsi="Arial"/>
          <w:b/>
          <w:bCs/>
          <w:sz w:val="20"/>
          <w:szCs w:val="20"/>
          <w:lang w:val="es-ES"/>
        </w:rPr>
        <w:t>Asunto:</w:t>
      </w:r>
      <w:r>
        <w:rPr>
          <w:rFonts w:cs="Arial" w:ascii="Arial" w:hAnsi="Arial"/>
          <w:sz w:val="20"/>
          <w:szCs w:val="20"/>
          <w:lang w:val="es-ES"/>
        </w:rPr>
        <w:t xml:space="preserve"> NuevoDocumento 2019-10-23 16.48.51 - Página 1</w:t>
      </w:r>
    </w:p>
    <w:p>
      <w:pPr>
        <w:pStyle w:val="Normal"/>
        <w:ind w:left="708" w:hanging="0"/>
        <w:rPr>
          <w:rFonts w:ascii="Arial" w:hAnsi="Arial" w:cs="Arial"/>
          <w:sz w:val="20"/>
          <w:szCs w:val="20"/>
        </w:rPr>
      </w:pPr>
      <w:r>
        <w:rPr>
          <w:rFonts w:cs="Arial" w:ascii="Arial" w:hAnsi="Arial"/>
          <w:sz w:val="20"/>
          <w:szCs w:val="20"/>
        </w:rPr>
      </w:r>
    </w:p>
    <w:p>
      <w:pPr>
        <w:pStyle w:val="Normal"/>
        <w:ind w:left="708" w:hanging="0"/>
        <w:rPr>
          <w:rFonts w:ascii="Arial" w:hAnsi="Arial" w:cs="Arial"/>
          <w:sz w:val="20"/>
          <w:szCs w:val="20"/>
        </w:rPr>
      </w:pPr>
      <w:r>
        <w:rPr>
          <w:rFonts w:cs="Arial" w:ascii="Arial" w:hAnsi="Arial"/>
          <w:sz w:val="20"/>
          <w:szCs w:val="20"/>
        </w:rPr>
        <w:t>Buenas tardes,</w:t>
      </w:r>
    </w:p>
    <w:p>
      <w:pPr>
        <w:pStyle w:val="Normal"/>
        <w:ind w:left="708" w:hanging="0"/>
        <w:rPr>
          <w:rFonts w:ascii="Arial" w:hAnsi="Arial" w:cs="Arial"/>
          <w:sz w:val="20"/>
          <w:szCs w:val="20"/>
        </w:rPr>
      </w:pPr>
      <w:r>
        <w:rPr>
          <w:rFonts w:cs="Arial" w:ascii="Arial" w:hAnsi="Arial"/>
          <w:sz w:val="20"/>
          <w:szCs w:val="20"/>
        </w:rPr>
        <w:t>Licenciada</w:t>
      </w:r>
    </w:p>
    <w:p>
      <w:pPr>
        <w:pStyle w:val="Normal"/>
        <w:ind w:left="708" w:hanging="0"/>
        <w:rPr>
          <w:rFonts w:ascii="Arial" w:hAnsi="Arial" w:cs="Arial"/>
          <w:sz w:val="20"/>
          <w:szCs w:val="20"/>
        </w:rPr>
      </w:pPr>
      <w:r>
        <w:rPr>
          <w:rFonts w:cs="Arial" w:ascii="Arial" w:hAnsi="Arial"/>
          <w:sz w:val="20"/>
          <w:szCs w:val="20"/>
        </w:rPr>
        <w:t>Damaris Vargas</w:t>
      </w:r>
    </w:p>
    <w:p>
      <w:pPr>
        <w:pStyle w:val="Normal"/>
        <w:ind w:left="708" w:hanging="0"/>
        <w:rPr>
          <w:rFonts w:ascii="Arial" w:hAnsi="Arial" w:cs="Arial"/>
          <w:sz w:val="20"/>
          <w:szCs w:val="20"/>
        </w:rPr>
      </w:pPr>
      <w:r>
        <w:rPr>
          <w:rFonts w:cs="Arial" w:ascii="Arial" w:hAnsi="Arial"/>
          <w:sz w:val="20"/>
          <w:szCs w:val="20"/>
        </w:rPr>
        <w:t>Subcomisión de Acceso a la Justicia de Puelos Indígenas</w:t>
      </w:r>
    </w:p>
    <w:p>
      <w:pPr>
        <w:pStyle w:val="Normal"/>
        <w:ind w:left="708" w:hanging="0"/>
        <w:rPr>
          <w:rFonts w:ascii="Arial" w:hAnsi="Arial" w:cs="Arial"/>
          <w:sz w:val="20"/>
          <w:szCs w:val="20"/>
        </w:rPr>
      </w:pPr>
      <w:r>
        <w:rPr>
          <w:rFonts w:cs="Arial" w:ascii="Arial" w:hAnsi="Arial"/>
          <w:sz w:val="20"/>
          <w:szCs w:val="20"/>
        </w:rPr>
        <w:t>Presente.</w:t>
      </w:r>
    </w:p>
    <w:p>
      <w:pPr>
        <w:pStyle w:val="Normal"/>
        <w:ind w:left="708" w:hanging="0"/>
        <w:rPr>
          <w:rFonts w:ascii="Arial" w:hAnsi="Arial" w:cs="Arial"/>
          <w:sz w:val="20"/>
          <w:szCs w:val="20"/>
        </w:rPr>
      </w:pPr>
      <w:r>
        <w:rPr>
          <w:rFonts w:cs="Arial" w:ascii="Arial" w:hAnsi="Arial"/>
          <w:sz w:val="20"/>
          <w:szCs w:val="20"/>
        </w:rPr>
      </w:r>
    </w:p>
    <w:p>
      <w:pPr>
        <w:pStyle w:val="Normal"/>
        <w:ind w:left="708" w:hanging="0"/>
        <w:rPr>
          <w:rFonts w:ascii="Arial" w:hAnsi="Arial" w:cs="Arial"/>
          <w:sz w:val="20"/>
          <w:szCs w:val="20"/>
        </w:rPr>
      </w:pPr>
      <w:r>
        <w:rPr>
          <w:rFonts w:cs="Arial" w:ascii="Arial" w:hAnsi="Arial"/>
          <w:sz w:val="20"/>
          <w:szCs w:val="20"/>
        </w:rPr>
        <w:t>Distinguida Licenciada:</w:t>
      </w:r>
    </w:p>
    <w:p>
      <w:pPr>
        <w:pStyle w:val="Normal"/>
        <w:ind w:left="708" w:hanging="0"/>
        <w:rPr>
          <w:rFonts w:ascii="Arial" w:hAnsi="Arial" w:cs="Arial"/>
          <w:sz w:val="20"/>
          <w:szCs w:val="20"/>
        </w:rPr>
      </w:pPr>
      <w:r>
        <w:rPr>
          <w:rFonts w:cs="Arial" w:ascii="Arial" w:hAnsi="Arial"/>
          <w:sz w:val="20"/>
          <w:szCs w:val="20"/>
        </w:rPr>
      </w:r>
    </w:p>
    <w:p>
      <w:pPr>
        <w:pStyle w:val="Normal"/>
        <w:ind w:left="708" w:hanging="0"/>
        <w:jc w:val="both"/>
        <w:rPr>
          <w:rFonts w:ascii="Arial" w:hAnsi="Arial" w:cs="Arial"/>
          <w:sz w:val="20"/>
          <w:szCs w:val="20"/>
        </w:rPr>
      </w:pPr>
      <w:r>
        <w:rPr>
          <w:rFonts w:cs="Arial" w:ascii="Arial" w:hAnsi="Arial"/>
          <w:sz w:val="20"/>
          <w:szCs w:val="20"/>
        </w:rPr>
        <w:t>Nuevamente recurro a su amable ayuda, soy: Edgar Atencio Rodríguez, hablante del idioma Ngäbe y soy intérprete, sin embargo en ocasiones me llaman de la Corte Suprema de Justicia para sugerir algún indígenas hablantes de otros idiomas, en este caso sugerí desde mediado de año a una joven hablante del idioma Cabecar para que diera servicio de intérprete en la Fiscalía de Desamparados, misma que ocurrió a las catorce horas siete minutos del día 06 de junio del 2019, Expe: 17-000586-0276- PE, esto por vía INOPIA para que intérpretara simultánea en el IDIOMA CABECAR.. La Joven Florencia Sosimo García, cédula: 702080114. </w:t>
      </w:r>
    </w:p>
    <w:p>
      <w:pPr>
        <w:pStyle w:val="Normal"/>
        <w:ind w:left="708" w:hanging="0"/>
        <w:rPr>
          <w:rFonts w:ascii="Arial" w:hAnsi="Arial" w:cs="Arial"/>
          <w:sz w:val="20"/>
          <w:szCs w:val="20"/>
        </w:rPr>
      </w:pPr>
      <w:r>
        <w:rPr>
          <w:rFonts w:cs="Arial" w:ascii="Arial" w:hAnsi="Arial"/>
          <w:sz w:val="20"/>
          <w:szCs w:val="20"/>
        </w:rPr>
        <w:t>A la fecha según en múltiples noticia por parte de ella a mí persona que dicha Fiscalía, nunca les hizo pago alguna por su servicio...</w:t>
      </w:r>
    </w:p>
    <w:p>
      <w:pPr>
        <w:pStyle w:val="Normal"/>
        <w:ind w:left="708" w:hanging="0"/>
        <w:rPr>
          <w:rFonts w:ascii="Arial" w:hAnsi="Arial" w:cs="Arial"/>
          <w:sz w:val="20"/>
          <w:szCs w:val="20"/>
        </w:rPr>
      </w:pPr>
      <w:r>
        <w:rPr>
          <w:rFonts w:cs="Arial" w:ascii="Arial" w:hAnsi="Arial"/>
          <w:sz w:val="20"/>
          <w:szCs w:val="20"/>
        </w:rPr>
        <w:t>Es de hay la importancia que la Subcomisión</w:t>
      </w:r>
    </w:p>
    <w:p>
      <w:pPr>
        <w:pStyle w:val="Normal"/>
        <w:ind w:left="708" w:hanging="0"/>
        <w:rPr>
          <w:rFonts w:ascii="Arial" w:hAnsi="Arial" w:cs="Arial"/>
          <w:sz w:val="20"/>
          <w:szCs w:val="20"/>
        </w:rPr>
      </w:pPr>
      <w:r>
        <w:rPr>
          <w:rFonts w:cs="Arial" w:ascii="Arial" w:hAnsi="Arial"/>
          <w:sz w:val="20"/>
          <w:szCs w:val="20"/>
        </w:rPr>
        <w:t>de Acceso a la Justicia de Puelos Indígenas, conozca y nos ayudes a tramitar con la brevedad posible dentro del marco Legal que les permita, Dado que para servir de intérprete a los Peritos implican gastos económicos, tiempos y otros..</w:t>
      </w:r>
    </w:p>
    <w:p>
      <w:pPr>
        <w:pStyle w:val="Normal"/>
        <w:ind w:left="708" w:hanging="0"/>
        <w:rPr>
          <w:rFonts w:ascii="Arial" w:hAnsi="Arial" w:cs="Arial"/>
          <w:sz w:val="20"/>
          <w:szCs w:val="20"/>
        </w:rPr>
      </w:pPr>
      <w:r>
        <w:rPr>
          <w:rFonts w:cs="Arial" w:ascii="Arial" w:hAnsi="Arial"/>
          <w:sz w:val="20"/>
          <w:szCs w:val="20"/>
        </w:rPr>
        <w:t>Agradezco su ayuda y lo felicito por su labor en-pro de los habitantes más vulnerables, marginados y olvidados del país...</w:t>
      </w:r>
    </w:p>
    <w:p>
      <w:pPr>
        <w:pStyle w:val="Normal"/>
        <w:ind w:left="708" w:hanging="0"/>
        <w:rPr>
          <w:rFonts w:ascii="Arial" w:hAnsi="Arial" w:cs="Arial"/>
          <w:sz w:val="20"/>
          <w:szCs w:val="20"/>
        </w:rPr>
      </w:pPr>
      <w:r>
        <w:rPr>
          <w:rFonts w:cs="Arial" w:ascii="Arial" w:hAnsi="Arial"/>
          <w:sz w:val="20"/>
          <w:szCs w:val="20"/>
        </w:rPr>
        <w:t>Edgar Atencio Rodríguez</w:t>
      </w:r>
    </w:p>
    <w:p>
      <w:pPr>
        <w:pStyle w:val="Normal"/>
        <w:ind w:left="708" w:hanging="0"/>
        <w:rPr>
          <w:rFonts w:ascii="Arial" w:hAnsi="Arial" w:cs="Arial"/>
          <w:sz w:val="20"/>
          <w:szCs w:val="20"/>
        </w:rPr>
      </w:pPr>
      <w:r>
        <w:rPr>
          <w:rFonts w:cs="Arial" w:ascii="Arial" w:hAnsi="Arial"/>
          <w:sz w:val="20"/>
          <w:szCs w:val="20"/>
        </w:rPr>
        <w:t>Ngäbe...</w:t>
      </w:r>
    </w:p>
    <w:p>
      <w:pPr>
        <w:pStyle w:val="Normal"/>
        <w:rPr>
          <w:rFonts w:ascii="Arial" w:hAnsi="Arial" w:cs="Arial"/>
          <w:sz w:val="20"/>
          <w:szCs w:val="20"/>
        </w:rPr>
      </w:pPr>
      <w:r>
        <w:rPr>
          <w:rFonts w:eastAsia="" w:cs="Arial" w:ascii="Arial" w:hAnsi="Arial" w:eastAsiaTheme="minorEastAsia"/>
          <w:bCs/>
          <w:iCs/>
          <w:sz w:val="20"/>
          <w:szCs w:val="20"/>
        </w:rPr>
        <w:t>El seguimiento que se ha dado es el siguiente:</w:t>
      </w:r>
    </w:p>
    <w:p>
      <w:pPr>
        <w:pStyle w:val="Normal"/>
        <w:rPr>
          <w:rFonts w:ascii="Arial" w:hAnsi="Arial" w:eastAsia="Times New Roman" w:cs="Arial"/>
          <w:sz w:val="20"/>
          <w:szCs w:val="20"/>
          <w:lang w:val="es-ES" w:eastAsia="es-CR"/>
        </w:rPr>
      </w:pPr>
      <w:r>
        <w:rPr>
          <w:rFonts w:eastAsia="Times New Roman" w:cs="Arial" w:ascii="Arial" w:hAnsi="Arial"/>
          <w:b/>
          <w:bCs/>
          <w:sz w:val="20"/>
          <w:szCs w:val="20"/>
          <w:lang w:val="es-ES"/>
        </w:rPr>
        <w:t>De:</w:t>
      </w:r>
      <w:r>
        <w:rPr>
          <w:rFonts w:eastAsia="Times New Roman" w:cs="Arial" w:ascii="Arial" w:hAnsi="Arial"/>
          <w:sz w:val="20"/>
          <w:szCs w:val="20"/>
          <w:lang w:val="es-ES"/>
        </w:rPr>
        <w:t xml:space="preserve"> Erick Alfaro Romero &lt;ealfaror@Poder-Judicial.go.cr&gt; </w:t>
        <w:br/>
      </w:r>
      <w:r>
        <w:rPr>
          <w:rFonts w:eastAsia="Times New Roman" w:cs="Arial" w:ascii="Arial" w:hAnsi="Arial"/>
          <w:b/>
          <w:bCs/>
          <w:sz w:val="20"/>
          <w:szCs w:val="20"/>
          <w:lang w:val="es-ES"/>
        </w:rPr>
        <w:t>Enviado el:</w:t>
      </w:r>
      <w:r>
        <w:rPr>
          <w:rFonts w:eastAsia="Times New Roman" w:cs="Arial" w:ascii="Arial" w:hAnsi="Arial"/>
          <w:sz w:val="20"/>
          <w:szCs w:val="20"/>
          <w:lang w:val="es-ES"/>
        </w:rPr>
        <w:t xml:space="preserve"> lunes, 28 de octubre de 2019 09:23 a.m.</w:t>
        <w:br/>
      </w:r>
      <w:r>
        <w:rPr>
          <w:rFonts w:eastAsia="Times New Roman" w:cs="Arial" w:ascii="Arial" w:hAnsi="Arial"/>
          <w:b/>
          <w:bCs/>
          <w:sz w:val="20"/>
          <w:szCs w:val="20"/>
          <w:lang w:val="es-ES"/>
        </w:rPr>
        <w:t>Para:</w:t>
      </w:r>
      <w:r>
        <w:rPr>
          <w:rFonts w:eastAsia="Times New Roman" w:cs="Arial" w:ascii="Arial" w:hAnsi="Arial"/>
          <w:sz w:val="20"/>
          <w:szCs w:val="20"/>
          <w:lang w:val="es-ES"/>
        </w:rPr>
        <w:t xml:space="preserve"> Jorge Quesada Villalobos (Autorizado Contraloría de Servicios) &lt;jquesadav@Poder-Judicial.go.cr&gt;</w:t>
        <w:br/>
      </w:r>
      <w:r>
        <w:rPr>
          <w:rFonts w:eastAsia="Times New Roman" w:cs="Arial" w:ascii="Arial" w:hAnsi="Arial"/>
          <w:b/>
          <w:bCs/>
          <w:sz w:val="20"/>
          <w:szCs w:val="20"/>
          <w:lang w:val="es-ES"/>
        </w:rPr>
        <w:t>CC:</w:t>
      </w:r>
      <w:r>
        <w:rPr>
          <w:rFonts w:eastAsia="Times New Roman" w:cs="Arial" w:ascii="Arial" w:hAnsi="Arial"/>
          <w:sz w:val="20"/>
          <w:szCs w:val="20"/>
          <w:lang w:val="es-ES"/>
        </w:rPr>
        <w:t xml:space="preserve"> Damaris Vargas Vásquez &lt;dvargas@Poder-Judicial.go.cr&gt;; Carlos Romero Rivera &lt;cromero@poder-judicial.go.cr&gt;; Ericka Chavarría Astorga &lt;echavarriaa@Poder-Judicial.go.cr&gt;</w:t>
        <w:br/>
      </w:r>
      <w:r>
        <w:rPr>
          <w:rFonts w:eastAsia="Times New Roman" w:cs="Arial" w:ascii="Arial" w:hAnsi="Arial"/>
          <w:b/>
          <w:bCs/>
          <w:sz w:val="20"/>
          <w:szCs w:val="20"/>
          <w:lang w:val="es-ES"/>
        </w:rPr>
        <w:t>Asunto:</w:t>
      </w:r>
      <w:r>
        <w:rPr>
          <w:rFonts w:eastAsia="Times New Roman" w:cs="Arial" w:ascii="Arial" w:hAnsi="Arial"/>
          <w:sz w:val="20"/>
          <w:szCs w:val="20"/>
          <w:lang w:val="es-ES"/>
        </w:rPr>
        <w:t xml:space="preserve"> RV: NuevoDocumento 2019-10-23 16.48.51 - Página 1</w:t>
      </w:r>
    </w:p>
    <w:p>
      <w:pPr>
        <w:pStyle w:val="Normal"/>
        <w:ind w:left="708" w:hanging="0"/>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Jorge, por favor proceder con las consultas respectivas. Conversemos los hallazgos para determinar si existen debilidades en el sistema de nombramiento y pago. Gracias</w:t>
      </w:r>
    </w:p>
    <w:p>
      <w:pPr>
        <w:pStyle w:val="Normal"/>
        <w:numPr>
          <w:ilvl w:val="0"/>
          <w:numId w:val="0"/>
        </w:numPr>
        <w:outlineLvl w:val="0"/>
        <w:rPr>
          <w:rFonts w:ascii="Arial" w:hAnsi="Arial" w:cs="Arial"/>
          <w:sz w:val="20"/>
          <w:szCs w:val="20"/>
          <w:lang w:val="es-ES" w:eastAsia="es-CR"/>
        </w:rPr>
      </w:pPr>
      <w:r>
        <w:rPr>
          <w:rFonts w:cs="Arial" w:ascii="Arial" w:hAnsi="Arial"/>
          <w:b/>
          <w:bCs/>
          <w:sz w:val="20"/>
          <w:szCs w:val="20"/>
          <w:lang w:val="es-ES"/>
        </w:rPr>
        <w:t>De:</w:t>
      </w:r>
      <w:r>
        <w:rPr>
          <w:rFonts w:cs="Arial" w:ascii="Arial" w:hAnsi="Arial"/>
          <w:sz w:val="20"/>
          <w:szCs w:val="20"/>
          <w:lang w:val="es-ES"/>
        </w:rPr>
        <w:t xml:space="preserve"> Damaris Vargas Vásquez &lt;</w:t>
      </w:r>
      <w:hyperlink r:id="rId92">
        <w:r>
          <w:rPr>
            <w:rStyle w:val="EnlacedeInternet"/>
            <w:rFonts w:cs="Arial" w:ascii="Arial" w:hAnsi="Arial"/>
            <w:color w:val="auto"/>
            <w:sz w:val="20"/>
            <w:szCs w:val="20"/>
          </w:rPr>
          <w:t>dvargas@Poder-Judicial.go.cr</w:t>
        </w:r>
      </w:hyperlink>
      <w:r>
        <w:rPr>
          <w:rFonts w:cs="Arial" w:ascii="Arial" w:hAnsi="Arial"/>
          <w:sz w:val="20"/>
          <w:szCs w:val="20"/>
          <w:lang w:val="es-ES"/>
        </w:rPr>
        <w:t xml:space="preserve">&gt; </w:t>
        <w:br/>
      </w:r>
      <w:r>
        <w:rPr>
          <w:rFonts w:cs="Arial" w:ascii="Arial" w:hAnsi="Arial"/>
          <w:b/>
          <w:bCs/>
          <w:sz w:val="20"/>
          <w:szCs w:val="20"/>
          <w:lang w:val="es-ES"/>
        </w:rPr>
        <w:t>Enviado el:</w:t>
      </w:r>
      <w:r>
        <w:rPr>
          <w:rFonts w:cs="Arial" w:ascii="Arial" w:hAnsi="Arial"/>
          <w:sz w:val="20"/>
          <w:szCs w:val="20"/>
          <w:lang w:val="es-ES"/>
        </w:rPr>
        <w:t xml:space="preserve"> lunes, 28 de octubre de 2019 01:58 a.m.</w:t>
        <w:br/>
      </w:r>
      <w:r>
        <w:rPr>
          <w:rFonts w:cs="Arial" w:ascii="Arial" w:hAnsi="Arial"/>
          <w:b/>
          <w:bCs/>
          <w:sz w:val="20"/>
          <w:szCs w:val="20"/>
          <w:lang w:val="es-ES"/>
        </w:rPr>
        <w:t>Para:</w:t>
      </w:r>
      <w:r>
        <w:rPr>
          <w:rFonts w:cs="Arial" w:ascii="Arial" w:hAnsi="Arial"/>
          <w:sz w:val="20"/>
          <w:szCs w:val="20"/>
          <w:lang w:val="es-ES"/>
        </w:rPr>
        <w:t xml:space="preserve"> Contraloría de Servicios de San José &lt;</w:t>
      </w:r>
      <w:hyperlink r:id="rId93">
        <w:r>
          <w:rPr>
            <w:rStyle w:val="EnlacedeInternet"/>
            <w:rFonts w:cs="Arial" w:ascii="Arial" w:hAnsi="Arial"/>
            <w:color w:val="auto"/>
            <w:sz w:val="20"/>
            <w:szCs w:val="20"/>
          </w:rPr>
          <w:t>contraloriapj@Poder-Judicial.go.cr</w:t>
        </w:r>
      </w:hyperlink>
      <w:r>
        <w:rPr>
          <w:rFonts w:cs="Arial" w:ascii="Arial" w:hAnsi="Arial"/>
          <w:sz w:val="20"/>
          <w:szCs w:val="20"/>
          <w:lang w:val="es-ES"/>
        </w:rPr>
        <w:t>&gt;</w:t>
        <w:br/>
      </w:r>
      <w:r>
        <w:rPr>
          <w:rFonts w:cs="Arial" w:ascii="Arial" w:hAnsi="Arial"/>
          <w:b/>
          <w:bCs/>
          <w:sz w:val="20"/>
          <w:szCs w:val="20"/>
          <w:lang w:val="es-ES"/>
        </w:rPr>
        <w:t>CC:</w:t>
      </w:r>
      <w:r>
        <w:rPr>
          <w:rFonts w:cs="Arial" w:ascii="Arial" w:hAnsi="Arial"/>
          <w:sz w:val="20"/>
          <w:szCs w:val="20"/>
          <w:lang w:val="es-ES"/>
        </w:rPr>
        <w:t xml:space="preserve"> Carlos Romero Rivera &lt;</w:t>
      </w:r>
      <w:hyperlink r:id="rId94">
        <w:r>
          <w:rPr>
            <w:rStyle w:val="EnlacedeInternet"/>
            <w:rFonts w:cs="Arial" w:ascii="Arial" w:hAnsi="Arial"/>
            <w:color w:val="auto"/>
            <w:sz w:val="20"/>
            <w:szCs w:val="20"/>
          </w:rPr>
          <w:t>cromero@poder-judicial.go.cr</w:t>
        </w:r>
      </w:hyperlink>
      <w:r>
        <w:rPr>
          <w:rFonts w:cs="Arial" w:ascii="Arial" w:hAnsi="Arial"/>
          <w:sz w:val="20"/>
          <w:szCs w:val="20"/>
          <w:lang w:val="es-ES"/>
        </w:rPr>
        <w:t>&gt;; Erick Alfaro Romero &lt;</w:t>
      </w:r>
      <w:hyperlink r:id="rId95">
        <w:r>
          <w:rPr>
            <w:rStyle w:val="EnlacedeInternet"/>
            <w:rFonts w:cs="Arial" w:ascii="Arial" w:hAnsi="Arial"/>
            <w:color w:val="auto"/>
            <w:sz w:val="20"/>
            <w:szCs w:val="20"/>
          </w:rPr>
          <w:t>ealfaror@Poder-Judicial.go.cr</w:t>
        </w:r>
      </w:hyperlink>
      <w:r>
        <w:rPr>
          <w:rFonts w:cs="Arial" w:ascii="Arial" w:hAnsi="Arial"/>
          <w:sz w:val="20"/>
          <w:szCs w:val="20"/>
          <w:lang w:val="es-ES"/>
        </w:rPr>
        <w:t>&gt;; Ngäbe Ngabere &lt;</w:t>
      </w:r>
      <w:hyperlink r:id="rId96">
        <w:r>
          <w:rPr>
            <w:rStyle w:val="EnlacedeInternet"/>
            <w:rFonts w:cs="Arial" w:ascii="Arial" w:hAnsi="Arial"/>
            <w:color w:val="auto"/>
            <w:sz w:val="20"/>
            <w:szCs w:val="20"/>
          </w:rPr>
          <w:t>eatencio7@gmail.com</w:t>
        </w:r>
      </w:hyperlink>
      <w:r>
        <w:rPr>
          <w:rFonts w:cs="Arial" w:ascii="Arial" w:hAnsi="Arial"/>
          <w:sz w:val="20"/>
          <w:szCs w:val="20"/>
          <w:lang w:val="es-ES"/>
        </w:rPr>
        <w:t>&gt;</w:t>
        <w:br/>
      </w:r>
      <w:r>
        <w:rPr>
          <w:rFonts w:cs="Arial" w:ascii="Arial" w:hAnsi="Arial"/>
          <w:b/>
          <w:bCs/>
          <w:sz w:val="20"/>
          <w:szCs w:val="20"/>
          <w:lang w:val="es-ES"/>
        </w:rPr>
        <w:t>Asunto:</w:t>
      </w:r>
      <w:r>
        <w:rPr>
          <w:rFonts w:cs="Arial" w:ascii="Arial" w:hAnsi="Arial"/>
          <w:sz w:val="20"/>
          <w:szCs w:val="20"/>
          <w:lang w:val="es-ES"/>
        </w:rPr>
        <w:t xml:space="preserve"> RV: NuevoDocumento 2019-10-23 16.48.51 - Página 1</w:t>
      </w:r>
    </w:p>
    <w:p>
      <w:pPr>
        <w:pStyle w:val="Normal"/>
        <w:rPr>
          <w:rFonts w:ascii="Arial" w:hAnsi="Arial" w:cs="Arial"/>
          <w:sz w:val="20"/>
          <w:szCs w:val="20"/>
        </w:rPr>
      </w:pPr>
      <w:r>
        <w:rPr>
          <w:rFonts w:cs="Arial" w:ascii="Arial" w:hAnsi="Arial"/>
          <w:sz w:val="20"/>
          <w:szCs w:val="20"/>
        </w:rPr>
        <w:t>Estimado don Erick:</w:t>
      </w:r>
    </w:p>
    <w:p>
      <w:pPr>
        <w:pStyle w:val="Normal"/>
        <w:jc w:val="both"/>
        <w:rPr>
          <w:rFonts w:ascii="Arial" w:hAnsi="Arial" w:cs="Arial"/>
          <w:sz w:val="20"/>
          <w:szCs w:val="20"/>
        </w:rPr>
      </w:pPr>
      <w:r>
        <w:rPr>
          <w:rFonts w:cs="Arial" w:ascii="Arial" w:hAnsi="Arial"/>
          <w:sz w:val="20"/>
          <w:szCs w:val="20"/>
        </w:rPr>
        <w:t xml:space="preserve">Reciba un cordial saludo. Traslado para su conocimiento gestión realizada por una persona usuaria con el objetivo de que por favor nos colaboren con el seguimiento de este asunto. </w:t>
      </w:r>
    </w:p>
    <w:p>
      <w:pPr>
        <w:pStyle w:val="Normal"/>
        <w:rPr>
          <w:rFonts w:ascii="Arial" w:hAnsi="Arial" w:cs="Arial"/>
          <w:sz w:val="20"/>
          <w:szCs w:val="20"/>
          <w:lang w:eastAsia="es-CR"/>
        </w:rPr>
      </w:pPr>
      <w:r>
        <w:rPr>
          <w:rFonts w:cs="Arial" w:ascii="Arial" w:hAnsi="Arial"/>
          <w:sz w:val="20"/>
          <w:szCs w:val="20"/>
        </w:rPr>
        <w:t>Cordialmente,</w:t>
      </w:r>
    </w:p>
    <w:p>
      <w:pPr>
        <w:pStyle w:val="Normal"/>
        <w:rPr>
          <w:rFonts w:ascii="Arial" w:hAnsi="Arial" w:cs="Arial"/>
          <w:i/>
          <w:i/>
          <w:iCs/>
          <w:sz w:val="20"/>
          <w:szCs w:val="20"/>
        </w:rPr>
      </w:pPr>
      <w:r>
        <w:rPr>
          <w:rFonts w:cs="Arial" w:ascii="Arial" w:hAnsi="Arial"/>
          <w:i/>
          <w:iCs/>
          <w:sz w:val="20"/>
          <w:szCs w:val="20"/>
        </w:rPr>
      </w:r>
    </w:p>
    <w:p>
      <w:pPr>
        <w:pStyle w:val="Normal"/>
        <w:rPr>
          <w:rFonts w:ascii="Arial" w:hAnsi="Arial" w:cs="Arial"/>
          <w:i/>
          <w:i/>
          <w:iCs/>
          <w:sz w:val="20"/>
          <w:szCs w:val="20"/>
        </w:rPr>
      </w:pPr>
      <w:r>
        <w:rPr>
          <w:rFonts w:cs="Arial" w:ascii="Arial" w:hAnsi="Arial"/>
          <w:i/>
          <w:iCs/>
          <w:sz w:val="20"/>
          <w:szCs w:val="20"/>
        </w:rPr>
        <w:t>Damaris Vargas Vásquez</w:t>
      </w:r>
    </w:p>
    <w:p>
      <w:pPr>
        <w:pStyle w:val="Normal"/>
        <w:rPr>
          <w:rFonts w:ascii="Arial" w:hAnsi="Arial" w:cs="Arial"/>
          <w:i/>
          <w:i/>
          <w:iCs/>
          <w:sz w:val="20"/>
          <w:szCs w:val="20"/>
        </w:rPr>
      </w:pPr>
      <w:r>
        <w:rPr>
          <w:rFonts w:cs="Arial" w:ascii="Arial" w:hAnsi="Arial"/>
          <w:i/>
          <w:iCs/>
          <w:sz w:val="20"/>
          <w:szCs w:val="20"/>
        </w:rPr>
        <w:t>Coordinadora Subcomisión Acceso a la Justicia de Pueblos Indígenas</w:t>
      </w:r>
    </w:p>
    <w:p>
      <w:pPr>
        <w:pStyle w:val="Normal"/>
        <w:rPr>
          <w:rFonts w:ascii="Arial" w:hAnsi="Arial" w:cs="Arial"/>
          <w:i/>
          <w:i/>
          <w:iCs/>
          <w:sz w:val="20"/>
          <w:szCs w:val="20"/>
        </w:rPr>
      </w:pPr>
      <w:r>
        <w:rPr>
          <w:rFonts w:cs="Arial" w:ascii="Arial" w:hAnsi="Arial"/>
          <w:i/>
          <w:iCs/>
          <w:sz w:val="20"/>
          <w:szCs w:val="20"/>
        </w:rPr>
        <w:t>Poder Judicial</w:t>
      </w:r>
    </w:p>
    <w:p>
      <w:pPr>
        <w:pStyle w:val="Normal"/>
        <w:rPr>
          <w:rFonts w:ascii="Arial" w:hAnsi="Arial" w:cs="Arial"/>
          <w:i/>
          <w:i/>
          <w:iCs/>
          <w:sz w:val="20"/>
          <w:szCs w:val="20"/>
        </w:rPr>
      </w:pPr>
      <w:r>
        <w:rPr>
          <w:rFonts w:cs="Arial" w:ascii="Arial" w:hAnsi="Arial"/>
          <w:i/>
          <w:iCs/>
          <w:sz w:val="20"/>
          <w:szCs w:val="20"/>
        </w:rPr>
        <w:t>Teléfonos (506) 22953081 y (506) 88118561</w:t>
      </w:r>
    </w:p>
    <w:p>
      <w:pPr>
        <w:pStyle w:val="Normal"/>
        <w:jc w:val="both"/>
        <w:rPr>
          <w:rFonts w:ascii="Arial" w:hAnsi="Arial" w:cs="Arial"/>
          <w:sz w:val="20"/>
          <w:szCs w:val="20"/>
        </w:rPr>
      </w:pPr>
      <w:r>
        <w:rPr/>
        <w:object>
          <v:shape id="ole_rId97" style="width:75.15pt;height:48.85pt" o:ole="">
            <v:imagedata r:id="rId98" o:title=""/>
          </v:shape>
          <o:OLEObject Type="Embed" ProgID="Package" ShapeID="ole_rId97" DrawAspect="Icon" ObjectID="_784641681" r:id="rId97"/>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2° Solicitar a la Contraloría de Servicios informe de los avances. 3° Comunicar a la Dirección Ejecutiva con el objetivo de analicen lo expuesto por la persona usuaria para valorar oportunidades de mejora en el servicio en coordinación con la Contraloría de Servicios y la Subcomisión de Acceso a la Justicia de Pueblos indígenas. 4° Comuníquese este acuerdo por medio de la Unidad de Acceso a la Justicia.-</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XV</w:t>
      </w:r>
    </w:p>
    <w:p>
      <w:pPr>
        <w:pStyle w:val="Normal"/>
        <w:rPr>
          <w:rFonts w:ascii="Arial" w:hAnsi="Arial" w:cs="Arial"/>
          <w:bCs/>
          <w:sz w:val="20"/>
          <w:szCs w:val="20"/>
        </w:rPr>
      </w:pPr>
      <w:r>
        <w:rPr>
          <w:rFonts w:cs="Arial" w:ascii="Arial" w:hAnsi="Arial"/>
          <w:bCs/>
          <w:sz w:val="20"/>
          <w:szCs w:val="20"/>
        </w:rPr>
        <w:t>Se informa sobre el seguimiento dado a esta gestión:</w:t>
      </w:r>
    </w:p>
    <w:p>
      <w:pPr>
        <w:pStyle w:val="Normal"/>
        <w:spacing w:before="0" w:after="160"/>
        <w:contextualSpacing/>
        <w:jc w:val="right"/>
        <w:rPr>
          <w:rFonts w:ascii="Arial" w:hAnsi="Arial" w:cs="Arial"/>
          <w:sz w:val="20"/>
          <w:szCs w:val="20"/>
        </w:rPr>
      </w:pPr>
      <w:r>
        <w:rPr>
          <w:rFonts w:cs="Arial" w:ascii="Arial" w:hAnsi="Arial"/>
          <w:sz w:val="20"/>
          <w:szCs w:val="20"/>
        </w:rPr>
      </w:r>
    </w:p>
    <w:p>
      <w:pPr>
        <w:pStyle w:val="Normal"/>
        <w:spacing w:before="0" w:after="160"/>
        <w:contextualSpacing/>
        <w:rPr>
          <w:rFonts w:ascii="Arial" w:hAnsi="Arial" w:cs="Arial"/>
          <w:b/>
          <w:b/>
          <w:sz w:val="20"/>
          <w:szCs w:val="20"/>
        </w:rPr>
      </w:pPr>
      <w:r>
        <w:rPr>
          <w:rFonts w:cs="Arial" w:ascii="Arial" w:hAnsi="Arial"/>
          <w:b/>
          <w:sz w:val="20"/>
          <w:szCs w:val="20"/>
        </w:rPr>
      </w:r>
    </w:p>
    <w:p>
      <w:pPr>
        <w:pStyle w:val="Normal"/>
        <w:spacing w:before="0" w:after="160"/>
        <w:contextualSpacing/>
        <w:jc w:val="right"/>
        <w:rPr>
          <w:rFonts w:ascii="Arial" w:hAnsi="Arial" w:cs="Arial"/>
          <w:sz w:val="20"/>
          <w:szCs w:val="20"/>
        </w:rPr>
      </w:pPr>
      <w:r>
        <w:rPr>
          <w:rFonts w:cs="Arial" w:ascii="Arial" w:hAnsi="Arial"/>
          <w:sz w:val="20"/>
          <w:szCs w:val="20"/>
        </w:rPr>
        <w:t>San José, 21 de octubre de 2019</w:t>
      </w:r>
    </w:p>
    <w:p>
      <w:pPr>
        <w:pStyle w:val="Normal"/>
        <w:spacing w:before="0" w:after="160"/>
        <w:contextualSpacing/>
        <w:jc w:val="right"/>
        <w:rPr>
          <w:rFonts w:ascii="Arial" w:hAnsi="Arial" w:cs="Arial"/>
          <w:sz w:val="20"/>
          <w:szCs w:val="20"/>
        </w:rPr>
      </w:pPr>
      <w:r>
        <w:rPr>
          <w:rFonts w:cs="Arial" w:ascii="Arial" w:hAnsi="Arial"/>
          <w:sz w:val="20"/>
          <w:szCs w:val="20"/>
        </w:rPr>
        <w:t>Oficio CACC-353-2019</w:t>
      </w:r>
    </w:p>
    <w:p>
      <w:pPr>
        <w:pStyle w:val="Normal"/>
        <w:spacing w:before="0" w:after="160"/>
        <w:contextualSpacing/>
        <w:jc w:val="right"/>
        <w:rPr>
          <w:rFonts w:ascii="Arial" w:hAnsi="Arial" w:cs="Arial"/>
          <w:sz w:val="20"/>
          <w:szCs w:val="20"/>
        </w:rPr>
      </w:pPr>
      <w:r>
        <w:rPr>
          <w:rFonts w:cs="Arial" w:ascii="Arial" w:hAnsi="Arial"/>
          <w:sz w:val="20"/>
          <w:szCs w:val="20"/>
        </w:rPr>
        <w:t>Al contestar refiérase a este # de oficio</w:t>
      </w:r>
    </w:p>
    <w:p>
      <w:pPr>
        <w:pStyle w:val="Normal"/>
        <w:spacing w:before="0" w:after="160"/>
        <w:contextualSpacing/>
        <w:jc w:val="both"/>
        <w:rPr>
          <w:rStyle w:val="Strong"/>
          <w:rFonts w:ascii="Arial" w:hAnsi="Arial" w:eastAsia="Batang" w:cs="Arial"/>
          <w:b w:val="false"/>
          <w:b w:val="false"/>
          <w:sz w:val="20"/>
          <w:szCs w:val="20"/>
        </w:rPr>
      </w:pPr>
      <w:r>
        <w:rPr>
          <w:rFonts w:eastAsia="Batang" w:cs="Arial" w:ascii="Arial" w:hAnsi="Arial"/>
          <w:b w:val="false"/>
          <w:sz w:val="20"/>
          <w:szCs w:val="20"/>
        </w:rPr>
      </w:r>
    </w:p>
    <w:p>
      <w:pPr>
        <w:pStyle w:val="Normal"/>
        <w:spacing w:before="0" w:after="160"/>
        <w:contextualSpacing/>
        <w:jc w:val="both"/>
        <w:rPr>
          <w:rStyle w:val="Strong"/>
          <w:rFonts w:ascii="Arial" w:hAnsi="Arial" w:eastAsia="Batang" w:cs="Arial"/>
          <w:sz w:val="20"/>
          <w:szCs w:val="20"/>
        </w:rPr>
      </w:pPr>
      <w:r>
        <w:rPr>
          <w:rFonts w:eastAsia="Batang" w:cs="Arial" w:ascii="Arial" w:hAnsi="Arial"/>
          <w:sz w:val="20"/>
          <w:szCs w:val="20"/>
        </w:rPr>
      </w:r>
    </w:p>
    <w:p>
      <w:pPr>
        <w:pStyle w:val="Normal"/>
        <w:spacing w:before="0" w:after="160"/>
        <w:contextualSpacing/>
        <w:jc w:val="both"/>
        <w:rPr>
          <w:rStyle w:val="Strong"/>
          <w:rFonts w:ascii="Arial" w:hAnsi="Arial" w:eastAsia="Batang" w:cs="Arial"/>
          <w:i/>
          <w:i/>
          <w:sz w:val="20"/>
          <w:szCs w:val="20"/>
        </w:rPr>
      </w:pPr>
      <w:r>
        <w:rPr>
          <w:rFonts w:eastAsia="Batang" w:cs="Arial" w:ascii="Arial" w:hAnsi="Arial"/>
          <w:i/>
          <w:sz w:val="20"/>
          <w:szCs w:val="20"/>
        </w:rPr>
      </w:r>
    </w:p>
    <w:p>
      <w:pPr>
        <w:pStyle w:val="Normal"/>
        <w:spacing w:before="0" w:after="160"/>
        <w:contextualSpacing/>
        <w:jc w:val="both"/>
        <w:rPr>
          <w:rStyle w:val="Strong"/>
          <w:rFonts w:ascii="Arial" w:hAnsi="Arial" w:eastAsia="Batang" w:cs="Arial"/>
          <w:i/>
          <w:i/>
          <w:sz w:val="20"/>
          <w:szCs w:val="20"/>
        </w:rPr>
      </w:pPr>
      <w:r>
        <w:rPr>
          <w:rStyle w:val="Strong"/>
          <w:rFonts w:eastAsia="Batang" w:cs="Arial" w:ascii="Arial" w:hAnsi="Arial"/>
          <w:i/>
          <w:sz w:val="20"/>
          <w:szCs w:val="20"/>
        </w:rPr>
        <w:t>Señora</w:t>
      </w:r>
    </w:p>
    <w:p>
      <w:pPr>
        <w:pStyle w:val="Normal"/>
        <w:spacing w:before="0" w:after="160"/>
        <w:contextualSpacing/>
        <w:jc w:val="both"/>
        <w:rPr>
          <w:rStyle w:val="Strong"/>
          <w:rFonts w:ascii="Arial" w:hAnsi="Arial" w:eastAsia="Batang" w:cs="Arial"/>
          <w:i/>
          <w:i/>
          <w:sz w:val="20"/>
          <w:szCs w:val="20"/>
        </w:rPr>
      </w:pPr>
      <w:r>
        <w:rPr>
          <w:rStyle w:val="Strong"/>
          <w:rFonts w:eastAsia="Batang" w:cs="Arial" w:ascii="Arial" w:hAnsi="Arial"/>
          <w:i/>
          <w:sz w:val="20"/>
          <w:szCs w:val="20"/>
        </w:rPr>
        <w:t>Ariana Cespedes López</w:t>
      </w:r>
    </w:p>
    <w:p>
      <w:pPr>
        <w:pStyle w:val="Normal"/>
        <w:spacing w:before="0" w:after="160"/>
        <w:contextualSpacing/>
        <w:jc w:val="both"/>
        <w:rPr>
          <w:rStyle w:val="Strong"/>
          <w:rFonts w:ascii="Arial" w:hAnsi="Arial" w:eastAsia="Batang" w:cs="Arial"/>
          <w:i/>
          <w:i/>
          <w:sz w:val="20"/>
          <w:szCs w:val="20"/>
        </w:rPr>
      </w:pPr>
      <w:r>
        <w:rPr>
          <w:rStyle w:val="Strong"/>
          <w:rFonts w:eastAsia="Batang" w:cs="Arial" w:ascii="Arial" w:hAnsi="Arial"/>
          <w:i/>
          <w:sz w:val="20"/>
          <w:szCs w:val="20"/>
        </w:rPr>
        <w:t>Fiscala Adjunta, Fiscalía Adjunta de Asuntos Indígenas</w:t>
      </w:r>
    </w:p>
    <w:p>
      <w:pPr>
        <w:pStyle w:val="Normal"/>
        <w:spacing w:before="0" w:after="160"/>
        <w:contextualSpacing/>
        <w:jc w:val="both"/>
        <w:rPr>
          <w:rStyle w:val="Strong"/>
          <w:rFonts w:ascii="Arial" w:hAnsi="Arial" w:eastAsia="Batang" w:cs="Arial"/>
          <w:i/>
          <w:i/>
          <w:sz w:val="20"/>
          <w:szCs w:val="20"/>
        </w:rPr>
      </w:pPr>
      <w:r>
        <w:rPr>
          <w:rStyle w:val="Strong"/>
          <w:rFonts w:eastAsia="Batang" w:cs="Arial" w:ascii="Arial" w:hAnsi="Arial"/>
          <w:i/>
          <w:sz w:val="20"/>
          <w:szCs w:val="20"/>
        </w:rPr>
        <w:t>Poder Judicial</w:t>
      </w:r>
    </w:p>
    <w:p>
      <w:pPr>
        <w:pStyle w:val="Normal"/>
        <w:spacing w:before="0" w:after="160"/>
        <w:contextualSpacing/>
        <w:jc w:val="both"/>
        <w:rPr>
          <w:rStyle w:val="Strong"/>
          <w:rFonts w:ascii="Arial" w:hAnsi="Arial" w:eastAsia="Batang" w:cs="Arial"/>
          <w:i/>
          <w:i/>
          <w:sz w:val="20"/>
          <w:szCs w:val="20"/>
        </w:rPr>
      </w:pPr>
      <w:r>
        <w:rPr>
          <w:rStyle w:val="Strong"/>
          <w:rFonts w:eastAsia="Batang" w:cs="Arial" w:ascii="Arial" w:hAnsi="Arial"/>
          <w:i/>
          <w:sz w:val="20"/>
          <w:szCs w:val="20"/>
        </w:rPr>
        <w:t xml:space="preserve">S.D. </w:t>
      </w:r>
    </w:p>
    <w:p>
      <w:pPr>
        <w:pStyle w:val="Normal"/>
        <w:spacing w:before="0" w:after="160"/>
        <w:contextualSpacing/>
        <w:jc w:val="both"/>
        <w:rPr>
          <w:rStyle w:val="Strong"/>
          <w:rFonts w:ascii="Arial" w:hAnsi="Arial" w:eastAsia="Batang" w:cs="Arial"/>
          <w:b w:val="false"/>
          <w:b w:val="false"/>
          <w:sz w:val="20"/>
          <w:szCs w:val="20"/>
        </w:rPr>
      </w:pPr>
      <w:r>
        <w:rPr>
          <w:rFonts w:eastAsia="Batang" w:cs="Arial" w:ascii="Arial" w:hAnsi="Arial"/>
          <w:b w:val="false"/>
          <w:sz w:val="20"/>
          <w:szCs w:val="20"/>
        </w:rPr>
      </w:r>
    </w:p>
    <w:p>
      <w:pPr>
        <w:pStyle w:val="Normal"/>
        <w:spacing w:before="0" w:after="160"/>
        <w:contextualSpacing/>
        <w:jc w:val="both"/>
        <w:rPr>
          <w:rStyle w:val="Strong"/>
          <w:rFonts w:ascii="Arial" w:hAnsi="Arial" w:eastAsia="Batang" w:cs="Arial"/>
          <w:b w:val="false"/>
          <w:b w:val="false"/>
          <w:i/>
          <w:i/>
          <w:sz w:val="20"/>
          <w:szCs w:val="20"/>
        </w:rPr>
      </w:pPr>
      <w:r>
        <w:rPr>
          <w:rFonts w:eastAsia="Batang" w:cs="Arial" w:ascii="Arial" w:hAnsi="Arial"/>
          <w:b w:val="false"/>
          <w:i/>
          <w:sz w:val="20"/>
          <w:szCs w:val="20"/>
        </w:rPr>
      </w:r>
    </w:p>
    <w:p>
      <w:pPr>
        <w:pStyle w:val="Normal"/>
        <w:spacing w:before="0" w:after="160"/>
        <w:contextualSpacing/>
        <w:jc w:val="both"/>
        <w:rPr>
          <w:rStyle w:val="Strong"/>
          <w:rFonts w:ascii="Arial" w:hAnsi="Arial" w:eastAsia="Batang" w:cs="Arial"/>
          <w:b w:val="false"/>
          <w:b w:val="false"/>
          <w:sz w:val="20"/>
          <w:szCs w:val="20"/>
        </w:rPr>
      </w:pPr>
      <w:r>
        <w:rPr>
          <w:rStyle w:val="Strong"/>
          <w:rFonts w:eastAsia="Batang" w:cs="Arial" w:ascii="Arial" w:hAnsi="Arial"/>
          <w:sz w:val="20"/>
          <w:szCs w:val="20"/>
        </w:rPr>
        <w:t>Estimada señora Cespedes López:</w:t>
      </w:r>
    </w:p>
    <w:p>
      <w:pPr>
        <w:pStyle w:val="Normal"/>
        <w:spacing w:before="0" w:after="160"/>
        <w:contextualSpacing/>
        <w:jc w:val="both"/>
        <w:rPr>
          <w:rStyle w:val="Strong"/>
          <w:rFonts w:ascii="Arial" w:hAnsi="Arial" w:eastAsia="Batang" w:cs="Arial"/>
          <w:sz w:val="20"/>
          <w:szCs w:val="20"/>
        </w:rPr>
      </w:pPr>
      <w:r>
        <w:rPr>
          <w:rFonts w:eastAsia="Batang" w:cs="Arial" w:ascii="Arial" w:hAnsi="Arial"/>
          <w:sz w:val="20"/>
          <w:szCs w:val="20"/>
        </w:rPr>
      </w:r>
    </w:p>
    <w:p>
      <w:pPr>
        <w:pStyle w:val="Normal"/>
        <w:spacing w:before="0" w:after="160"/>
        <w:contextualSpacing/>
        <w:jc w:val="both"/>
        <w:rPr>
          <w:rFonts w:ascii="Arial" w:hAnsi="Arial" w:cs="Arial"/>
          <w:sz w:val="20"/>
          <w:szCs w:val="20"/>
        </w:rPr>
      </w:pPr>
      <w:r>
        <w:rPr>
          <w:rFonts w:cs="Arial" w:ascii="Arial" w:hAnsi="Arial"/>
          <w:sz w:val="20"/>
          <w:szCs w:val="20"/>
        </w:rPr>
        <w:t xml:space="preserve">Por este medio se remite para su estimable conocimiento, el acuerdo tomado por la </w:t>
      </w:r>
      <w:r>
        <w:rPr>
          <w:rStyle w:val="Strong"/>
          <w:rFonts w:eastAsia="Batang" w:cs="Arial" w:ascii="Arial" w:hAnsi="Arial"/>
          <w:sz w:val="20"/>
          <w:szCs w:val="20"/>
        </w:rPr>
        <w:t xml:space="preserve">Subcomisión de Acceso a la Justicia de Pueblos Indígenas </w:t>
      </w:r>
      <w:r>
        <w:rPr>
          <w:rFonts w:cs="Arial" w:ascii="Arial" w:hAnsi="Arial"/>
          <w:sz w:val="20"/>
          <w:szCs w:val="20"/>
        </w:rPr>
        <w:t xml:space="preserve">celebrada el pasado 01 de octubre de 2019, el cual se transcribe literalmente. </w:t>
      </w:r>
    </w:p>
    <w:p>
      <w:pPr>
        <w:pStyle w:val="Normal"/>
        <w:shd w:val="clear" w:color="auto" w:fill="FFFFFF" w:themeFill="background1"/>
        <w:spacing w:before="0" w:after="160"/>
        <w:contextualSpacing/>
        <w:jc w:val="both"/>
        <w:rPr>
          <w:rFonts w:ascii="Arial" w:hAnsi="Arial" w:cs="Arial"/>
          <w:sz w:val="20"/>
          <w:szCs w:val="20"/>
        </w:rPr>
      </w:pPr>
      <w:r>
        <w:rPr>
          <w:rFonts w:cs="Arial" w:ascii="Arial" w:hAnsi="Arial"/>
          <w:sz w:val="20"/>
          <w:szCs w:val="20"/>
        </w:rPr>
      </w:r>
    </w:p>
    <w:p>
      <w:pPr>
        <w:pStyle w:val="Normal"/>
        <w:jc w:val="center"/>
        <w:rPr>
          <w:rFonts w:ascii="Arial" w:hAnsi="Arial" w:cs="Arial"/>
          <w:b/>
          <w:b/>
          <w:sz w:val="20"/>
          <w:szCs w:val="20"/>
          <w:u w:val="single"/>
        </w:rPr>
      </w:pPr>
      <w:r>
        <w:rPr>
          <w:rFonts w:cs="Arial" w:ascii="Arial" w:hAnsi="Arial"/>
          <w:b/>
          <w:sz w:val="20"/>
          <w:szCs w:val="20"/>
          <w:u w:val="single"/>
        </w:rPr>
        <w:t>“</w:t>
      </w:r>
      <w:r>
        <w:rPr>
          <w:rFonts w:cs="Arial" w:ascii="Arial" w:hAnsi="Arial"/>
          <w:b/>
          <w:sz w:val="20"/>
          <w:szCs w:val="20"/>
          <w:u w:val="single"/>
        </w:rPr>
        <w:t>ARTICULO XXVIII</w:t>
      </w:r>
    </w:p>
    <w:p>
      <w:pPr>
        <w:pStyle w:val="Normal"/>
        <w:jc w:val="both"/>
        <w:rPr>
          <w:rFonts w:ascii="Arial" w:hAnsi="Arial" w:eastAsia="Times New Roman" w:cs="Arial"/>
          <w:sz w:val="20"/>
          <w:szCs w:val="20"/>
          <w:lang w:val="es-ES"/>
        </w:rPr>
      </w:pPr>
      <w:r>
        <w:rPr>
          <w:rFonts w:cs="Arial" w:ascii="Arial" w:hAnsi="Arial"/>
          <w:bCs/>
          <w:sz w:val="20"/>
          <w:szCs w:val="20"/>
        </w:rPr>
        <w:t xml:space="preserve">Se conoce gestión formulada por la señora Vanessa Jiménez, representante de Forest Peoples Programme mediante comunicado electrónico  del 9 de agosto de 2019, 09,19 p.m., al señor </w:t>
      </w:r>
      <w:r>
        <w:rPr>
          <w:rFonts w:eastAsia="Times New Roman" w:cs="Arial" w:ascii="Arial" w:hAnsi="Arial"/>
          <w:sz w:val="20"/>
          <w:szCs w:val="20"/>
          <w:lang w:val="es-ES"/>
        </w:rPr>
        <w:t>Juan Alfaro López y a la señora Damaris Vargas Vásquez con copia a Marjorie Herrera; Álvaro Paniagua; Franklin Paniagua Alfaro; Geyner Blanco Acosta; Daniel Villalobos Araya; Fiscalía General; Sonia Duriwak del Terrritorio Bribri Salitre; Vanessa Figueroa; Felipe Figueroa Morales; y Lesner Figueroa Lázaro, vinculada con una computadora del Consejo Bribri, pidiéndose su devolución.</w:t>
      </w:r>
    </w:p>
    <w:p>
      <w:pPr>
        <w:pStyle w:val="Normal"/>
        <w:spacing w:lineRule="auto" w:line="240" w:before="0" w:after="0"/>
        <w:jc w:val="both"/>
        <w:rPr>
          <w:rFonts w:ascii="Arial" w:hAnsi="Arial" w:cs="Arial"/>
          <w:i/>
          <w:i/>
          <w:iCs/>
          <w:sz w:val="20"/>
          <w:szCs w:val="20"/>
        </w:rPr>
      </w:pPr>
      <w:r>
        <w:rPr>
          <w:rFonts w:cs="Arial" w:ascii="Arial" w:hAnsi="Arial"/>
          <w:i/>
          <w:iCs/>
          <w:sz w:val="20"/>
          <w:szCs w:val="20"/>
        </w:rPr>
        <w:t>“</w:t>
      </w:r>
      <w:r>
        <w:rPr>
          <w:rFonts w:cs="Arial" w:ascii="Arial" w:hAnsi="Arial"/>
          <w:i/>
          <w:iCs/>
          <w:sz w:val="20"/>
          <w:szCs w:val="20"/>
        </w:rPr>
        <w:t xml:space="preserve">09 junio de 2019 </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Señor Juan Alfaro Jueza </w:t>
        <w:tab/>
        <w:tab/>
        <w:tab/>
        <w:tab/>
        <w:t xml:space="preserve">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Viceministro de Asuntos Políticos y Diálogo Ciudadano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Ministerio de la Presidencia de la República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San José, República de Costa Rica San José, República de Costa Rica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Vía: juan.alfaro@presidencia.go.cr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Re: Intervención para Apoyar la Auto gobernanza y Acceso a Justicia de los Bribri </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t>Damaris Vargas Vásquez</w:t>
      </w:r>
    </w:p>
    <w:p>
      <w:pPr>
        <w:pStyle w:val="Normal"/>
        <w:spacing w:lineRule="auto" w:line="240" w:before="0" w:after="0"/>
        <w:jc w:val="both"/>
        <w:rPr>
          <w:rFonts w:ascii="Arial" w:hAnsi="Arial" w:cs="Arial"/>
          <w:i/>
          <w:i/>
          <w:iCs/>
          <w:sz w:val="20"/>
          <w:szCs w:val="20"/>
        </w:rPr>
      </w:pPr>
      <w:r>
        <w:rPr>
          <w:rFonts w:cs="Arial" w:ascii="Arial" w:hAnsi="Arial"/>
          <w:i/>
          <w:iCs/>
          <w:sz w:val="20"/>
          <w:szCs w:val="20"/>
        </w:rPr>
        <w:t>Coordinadora, Subcomisión de Acceso a la Justicia de los Pueblos Indígenas</w:t>
      </w:r>
    </w:p>
    <w:p>
      <w:pPr>
        <w:pStyle w:val="Normal"/>
        <w:spacing w:lineRule="auto" w:line="240" w:before="0" w:after="0"/>
        <w:jc w:val="both"/>
        <w:rPr>
          <w:rFonts w:ascii="Arial" w:hAnsi="Arial" w:cs="Arial"/>
          <w:i/>
          <w:i/>
          <w:iCs/>
          <w:sz w:val="20"/>
          <w:szCs w:val="20"/>
        </w:rPr>
      </w:pPr>
      <w:r>
        <w:rPr>
          <w:rFonts w:cs="Arial" w:ascii="Arial" w:hAnsi="Arial"/>
          <w:i/>
          <w:iCs/>
          <w:sz w:val="20"/>
          <w:szCs w:val="20"/>
        </w:rPr>
        <w:t>Poder Judicial</w:t>
      </w:r>
    </w:p>
    <w:p>
      <w:pPr>
        <w:pStyle w:val="Normal"/>
        <w:spacing w:lineRule="auto" w:line="240" w:before="0" w:after="0"/>
        <w:jc w:val="both"/>
        <w:rPr>
          <w:rFonts w:ascii="Arial" w:hAnsi="Arial" w:cs="Arial"/>
          <w:i/>
          <w:i/>
          <w:iCs/>
          <w:sz w:val="20"/>
          <w:szCs w:val="20"/>
        </w:rPr>
      </w:pPr>
      <w:r>
        <w:rPr>
          <w:rFonts w:cs="Arial" w:ascii="Arial" w:hAnsi="Arial"/>
          <w:i/>
          <w:iCs/>
          <w:sz w:val="20"/>
          <w:szCs w:val="20"/>
        </w:rPr>
        <w:t>Vía: dvargas@poder-judicial.go.cr</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Estimado Viceministro y Estimada Jueza: </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Aprovecho de esta oportunidad para comunicar con ustedes haciendo referencia a la carta del Concejo Ditsö Iriria Ajkönuk Wakpa de Salitre los Bribri (“el Consejo”) (adjuntada) --uno de los Beneficiarios (MC 321-12) y Peticionarios Bribri de Salitre (Caso 13.540) ante la Comisión Interamericana de Derechos Humanos-- entregada a la Fiscalía de Asuntos Indígenas, copiada a la Jueza Vargas, con fecha del 04 de mayo de 2019, en donde solicita la devolución de la computadora del Consejo confiscada por oficiales de la escena del homicidio de Sergio Rojas. Después de tres meses, el Concejo no ha recibido una respuesta de la Fiscalía a esta carta y solicitamos su intervención y buenos oficios para facilitar tal respuesta. </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Aclaro que, a través de esta solicitud y la solicitud anterior de los Bribri, no queremos perjudicar ni obstaculizar la investigación de la Fiscalía de la Nación de ninguna manera. Tampoco cuestionamos la justificación para su decomiso. Además, si la Fiscalía necesita la computadora por más tiempo, el Concejo entiende esto. Al contrario, los Bribri solicitan que si la devolución de la computadora no sea posible, a menos que el Estado devuelva una copia del disco duro porque la ausencia de estos archivos de la computadora del Consejo perjudica la auto gobernanza del Pueblo Bribri y el acceso a la justicia para los miembros Bribri. </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Esta computadora del Consejo (en los manos del Sr. Rojas, como Coordinador, en el momento de su asesinato), cuenta con una importante cantidad de archivos, que contiene documentos críticos sobre los servicios prestados por el Consejo a los habitantes Bribri en Salitre (como certificaciones para recibir bonos de educación, cartas a instituciones públicas de parte de sus miembros). Además, cuenta con copias de denuncias, demandas presentadas y en desarrollo, intervenciones, pruebas y expedientes de los Bribri con relación a casos judiciales y administrativos activos de sus miembros. La ausencia de estos documentos está perjudicando los derechos de los Bribri a dar seguimiento a varios de sus casos y las gestiones del Consejo para beneficiar a los Bribri (incluso en sus negociaciones con el Gobierno respecto a la implementación de las MC 321-12). </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t>La pérdida de su líder ya ha causado un sufrimiento incalculable. La ausencia continua de este aparato y sus archivos es otra victoria para aquellos que querían silenciar al Señor Rojas Ortíz y poner fin a la lucha de los Bribri por sus derechos humanos. En nombre del Pueblo Bribri de Salitre, el FPP le pide respetuosamente que el Ministerio de la Presidencia y la Subcomisión tomen las medidas necesarias y realicen las gestiones que correspondan a sus competencias para facilitar la devolución de la computadora, o a menos una copia de los archivos del ordenador. Así el Consejo y los Bribri pueden tratar de volver a la normalidad, al menos honrar la vida de Sergio Rojas a través de la continuación de su pleno apoyo al pueblo Bribri de Salitre y el reclamo continuo para sus derechos.</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spacing w:lineRule="auto" w:line="240" w:before="0" w:after="0"/>
        <w:jc w:val="both"/>
        <w:rPr>
          <w:rFonts w:ascii="Arial" w:hAnsi="Arial" w:cs="Arial"/>
          <w:i/>
          <w:i/>
          <w:iCs/>
          <w:sz w:val="20"/>
          <w:szCs w:val="20"/>
          <w:lang w:val="en-US"/>
        </w:rPr>
      </w:pPr>
      <w:r>
        <w:rPr>
          <w:rFonts w:cs="Arial" w:ascii="Arial" w:hAnsi="Arial"/>
          <w:i/>
          <w:iCs/>
          <w:sz w:val="20"/>
          <w:szCs w:val="20"/>
          <w:lang w:val="en-US"/>
        </w:rPr>
        <w:t xml:space="preserve">__________________________________ </w:t>
      </w:r>
    </w:p>
    <w:p>
      <w:pPr>
        <w:pStyle w:val="Normal"/>
        <w:spacing w:lineRule="auto" w:line="240" w:before="0" w:after="0"/>
        <w:jc w:val="both"/>
        <w:rPr>
          <w:rFonts w:ascii="Arial" w:hAnsi="Arial" w:cs="Arial"/>
          <w:i/>
          <w:i/>
          <w:iCs/>
          <w:sz w:val="20"/>
          <w:szCs w:val="20"/>
          <w:lang w:val="en-US"/>
        </w:rPr>
      </w:pPr>
      <w:r>
        <w:rPr>
          <w:rFonts w:cs="Arial" w:ascii="Arial" w:hAnsi="Arial"/>
          <w:i/>
          <w:iCs/>
          <w:sz w:val="20"/>
          <w:szCs w:val="20"/>
          <w:lang w:val="en-US"/>
        </w:rPr>
        <w:t xml:space="preserve">Vanessa Jiménez </w:t>
      </w:r>
    </w:p>
    <w:p>
      <w:pPr>
        <w:pStyle w:val="Normal"/>
        <w:spacing w:lineRule="auto" w:line="240" w:before="0" w:after="0"/>
        <w:jc w:val="both"/>
        <w:rPr>
          <w:rFonts w:ascii="Arial" w:hAnsi="Arial" w:cs="Arial"/>
          <w:i/>
          <w:i/>
          <w:iCs/>
          <w:sz w:val="20"/>
          <w:szCs w:val="20"/>
          <w:lang w:val="en-US"/>
        </w:rPr>
      </w:pPr>
      <w:r>
        <w:rPr>
          <w:rFonts w:cs="Arial" w:ascii="Arial" w:hAnsi="Arial"/>
          <w:i/>
          <w:iCs/>
          <w:sz w:val="20"/>
          <w:szCs w:val="20"/>
          <w:lang w:val="en-US"/>
        </w:rPr>
        <w:t xml:space="preserve">Abogada Senior </w:t>
      </w:r>
    </w:p>
    <w:p>
      <w:pPr>
        <w:pStyle w:val="Normal"/>
        <w:spacing w:lineRule="auto" w:line="240" w:before="0" w:after="0"/>
        <w:jc w:val="both"/>
        <w:rPr>
          <w:rFonts w:ascii="Arial" w:hAnsi="Arial" w:cs="Arial"/>
          <w:i/>
          <w:i/>
          <w:iCs/>
          <w:sz w:val="20"/>
          <w:szCs w:val="20"/>
          <w:lang w:val="en-US"/>
        </w:rPr>
      </w:pPr>
      <w:r>
        <w:rPr>
          <w:rFonts w:cs="Arial" w:ascii="Arial" w:hAnsi="Arial"/>
          <w:i/>
          <w:iCs/>
          <w:sz w:val="20"/>
          <w:szCs w:val="20"/>
          <w:lang w:val="en-US"/>
        </w:rPr>
        <w:t xml:space="preserve">Forest Peoples Programme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Representante Legal de los Beneficiarios (MC 321-12) y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Peticionarios Bribri de Salitre (Caso 13.540)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copias a: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Felipe Figueroa Morales, Concejo Ditsö Iriria Ajkönuk Wakpa de Salitre los Bribri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Emilia Navas Aparicio, Fiscal General de la República, Ministerio Público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Catalina Crespo Sancho, Defensoría de los Habitantes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Daniel Villalobos Araya, Fiscal Coordinador, Fiscalía de Asuntos Indígenas </w:t>
      </w:r>
    </w:p>
    <w:p>
      <w:pPr>
        <w:pStyle w:val="Normal"/>
        <w:spacing w:lineRule="auto" w:line="240" w:before="0" w:after="0"/>
        <w:jc w:val="both"/>
        <w:rPr>
          <w:rFonts w:ascii="Arial" w:hAnsi="Arial" w:cs="Arial"/>
          <w:i/>
          <w:i/>
          <w:iCs/>
          <w:sz w:val="20"/>
          <w:szCs w:val="20"/>
        </w:rPr>
      </w:pPr>
      <w:r>
        <w:rPr>
          <w:rFonts w:cs="Arial" w:ascii="Arial" w:hAnsi="Arial"/>
          <w:i/>
          <w:iCs/>
          <w:sz w:val="20"/>
          <w:szCs w:val="20"/>
        </w:rPr>
        <w:t xml:space="preserve">Franklin Paniagua Alfaro, DINARAC, Ministerio de Justicia y Paz </w:t>
      </w:r>
    </w:p>
    <w:p>
      <w:pPr>
        <w:pStyle w:val="Normal"/>
        <w:spacing w:lineRule="auto" w:line="240" w:before="0" w:after="0"/>
        <w:jc w:val="both"/>
        <w:rPr>
          <w:rFonts w:ascii="Arial" w:hAnsi="Arial" w:cs="Arial"/>
          <w:i/>
          <w:i/>
          <w:iCs/>
          <w:sz w:val="20"/>
          <w:szCs w:val="20"/>
        </w:rPr>
      </w:pPr>
      <w:r>
        <w:rPr>
          <w:rFonts w:cs="Arial" w:ascii="Arial" w:hAnsi="Arial"/>
          <w:i/>
          <w:iCs/>
          <w:sz w:val="20"/>
          <w:szCs w:val="20"/>
        </w:rPr>
        <w:t>Geyner Blanco Acosta, Asesor en Asuntos Indígenas, Ministerio de la Presidencia</w:t>
      </w:r>
    </w:p>
    <w:p>
      <w:pPr>
        <w:pStyle w:val="Normal"/>
        <w:spacing w:lineRule="auto" w:line="240" w:before="0" w:after="0"/>
        <w:jc w:val="both"/>
        <w:rPr>
          <w:rFonts w:ascii="Arial" w:hAnsi="Arial" w:cs="Arial"/>
          <w:i/>
          <w:i/>
          <w:iCs/>
          <w:sz w:val="20"/>
          <w:szCs w:val="20"/>
        </w:rPr>
      </w:pPr>
      <w:r>
        <w:rPr>
          <w:rFonts w:cs="Arial" w:ascii="Arial" w:hAnsi="Arial"/>
          <w:i/>
          <w:iCs/>
          <w:sz w:val="20"/>
          <w:szCs w:val="20"/>
        </w:rPr>
      </w:r>
    </w:p>
    <w:p>
      <w:pPr>
        <w:pStyle w:val="Normal"/>
        <w:jc w:val="both"/>
        <w:rPr>
          <w:rFonts w:ascii="Arial" w:hAnsi="Arial" w:cs="Arial"/>
          <w:i/>
          <w:i/>
          <w:sz w:val="20"/>
          <w:szCs w:val="20"/>
        </w:rPr>
      </w:pPr>
      <w:r>
        <w:rPr>
          <w:rFonts w:cs="Arial" w:ascii="Arial" w:hAnsi="Arial"/>
          <w:i/>
          <w:sz w:val="20"/>
          <w:szCs w:val="20"/>
        </w:rPr>
        <w:t>La gestión fue trasladada a la Fiscalía Indígena mediante comunicado electrónico de 30 de setiembre de 2019, con el objetivo de que se pronuncien sobre la gestión a fin de poder dar una respuesta oportuna a la gestionante.</w:t>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cs="Arial"/>
          <w:b/>
          <w:b/>
          <w:bCs/>
          <w:sz w:val="20"/>
          <w:szCs w:val="20"/>
          <w:u w:val="single"/>
        </w:rPr>
      </w:pPr>
      <w:r>
        <w:rPr>
          <w:rFonts w:cs="Arial" w:ascii="Arial" w:hAnsi="Arial"/>
          <w:b/>
          <w:bCs/>
          <w:sz w:val="20"/>
          <w:szCs w:val="20"/>
          <w:u w:val="single"/>
        </w:rPr>
      </w:r>
    </w:p>
    <w:p>
      <w:pPr>
        <w:pStyle w:val="Normal"/>
        <w:jc w:val="both"/>
        <w:rPr>
          <w:rFonts w:ascii="Arial" w:hAnsi="Arial" w:eastAsia="Times New Roman" w:cs="Arial"/>
          <w:sz w:val="20"/>
          <w:szCs w:val="20"/>
          <w:lang w:val="es-ES"/>
        </w:rPr>
      </w:pPr>
      <w:r>
        <w:rPr>
          <w:rFonts w:cs="Arial" w:ascii="Arial" w:hAnsi="Arial"/>
          <w:b/>
          <w:bCs/>
          <w:sz w:val="20"/>
          <w:szCs w:val="20"/>
          <w:u w:val="single"/>
        </w:rPr>
        <w:t>SE ACUERDA</w:t>
      </w:r>
      <w:r>
        <w:rPr>
          <w:rFonts w:cs="Arial" w:ascii="Arial" w:hAnsi="Arial"/>
          <w:sz w:val="20"/>
          <w:szCs w:val="20"/>
        </w:rPr>
        <w:t xml:space="preserve">: 1° Se toma nota. 2° Solicítese informe a la Fiscalía Indígena acerca de los avances en relación con la gestión formulada por la señora Vanessa Jiménez, representante de Forest Peoples Programme al señor Viceministro </w:t>
      </w:r>
      <w:r>
        <w:rPr>
          <w:rFonts w:eastAsia="Times New Roman" w:cs="Arial" w:ascii="Arial" w:hAnsi="Arial"/>
          <w:sz w:val="20"/>
          <w:szCs w:val="20"/>
          <w:lang w:val="es-ES"/>
        </w:rPr>
        <w:t>Juan Alfaro López y a la señora Damaris Vargas Vásquez, esta última en su condición de Coordinadora de la Subcomisión de Acceso a la Justicia de Pueblos Indígenas, la cual fue trasladada a la citada Fiscalía. 3° Se declara firme este acuerdo por unanimidad. Comuníquese a la Fiscalía Indígena por medio de la Unidad de Acceso a la Justicia.-</w:t>
      </w:r>
    </w:p>
    <w:p>
      <w:pPr>
        <w:pStyle w:val="Normal"/>
        <w:jc w:val="both"/>
        <w:rPr>
          <w:rFonts w:ascii="Arial" w:hAnsi="Arial" w:cs="Arial"/>
          <w:sz w:val="20"/>
          <w:szCs w:val="20"/>
          <w:lang w:val="es-ES"/>
        </w:rPr>
      </w:pPr>
      <w:r>
        <w:rPr>
          <w:rFonts w:cs="Arial" w:ascii="Arial" w:hAnsi="Arial"/>
          <w:sz w:val="20"/>
          <w:szCs w:val="20"/>
          <w:lang w:val="es-ES"/>
        </w:rPr>
      </w:r>
    </w:p>
    <w:p>
      <w:pPr>
        <w:pStyle w:val="Normal"/>
        <w:jc w:val="both"/>
        <w:rPr>
          <w:rFonts w:ascii="Arial" w:hAnsi="Arial" w:cs="Arial"/>
          <w:sz w:val="20"/>
          <w:szCs w:val="20"/>
        </w:rPr>
      </w:pPr>
      <w:r>
        <w:rPr>
          <w:rFonts w:cs="Arial" w:ascii="Arial" w:hAnsi="Arial"/>
          <w:sz w:val="20"/>
          <w:szCs w:val="20"/>
        </w:rPr>
        <w:t xml:space="preserve">Sin otro particular, atentamente. </w:t>
      </w:r>
    </w:p>
    <w:p>
      <w:pPr>
        <w:pStyle w:val="Normal"/>
        <w:jc w:val="both"/>
        <w:rPr>
          <w:rFonts w:ascii="Arial" w:hAnsi="Arial" w:cs="Arial"/>
          <w:sz w:val="20"/>
          <w:szCs w:val="20"/>
        </w:rPr>
      </w:pPr>
      <w:r>
        <w:rPr>
          <w:rFonts w:cs="Arial" w:ascii="Arial" w:hAnsi="Arial"/>
          <w:sz w:val="20"/>
          <w:szCs w:val="20"/>
        </w:rPr>
      </w:r>
    </w:p>
    <w:p>
      <w:pPr>
        <w:pStyle w:val="Normal"/>
        <w:tabs>
          <w:tab w:val="clear" w:pos="708"/>
          <w:tab w:val="left" w:pos="720" w:leader="none"/>
        </w:tabs>
        <w:jc w:val="both"/>
        <w:rPr>
          <w:rFonts w:ascii="Arial" w:hAnsi="Arial" w:cs="Arial"/>
          <w:sz w:val="20"/>
          <w:szCs w:val="20"/>
        </w:rPr>
      </w:pPr>
      <w:r>
        <w:rPr>
          <w:rFonts w:cs="Arial" w:ascii="Arial" w:hAnsi="Arial"/>
          <w:sz w:val="20"/>
          <w:szCs w:val="20"/>
        </w:rPr>
      </w:r>
    </w:p>
    <w:p>
      <w:pPr>
        <w:pStyle w:val="Normal"/>
        <w:tabs>
          <w:tab w:val="clear" w:pos="708"/>
          <w:tab w:val="left" w:pos="720" w:leader="none"/>
        </w:tabs>
        <w:spacing w:before="0" w:after="160"/>
        <w:contextualSpacing/>
        <w:jc w:val="center"/>
        <w:rPr>
          <w:rFonts w:ascii="Arial" w:hAnsi="Arial" w:cs="Arial"/>
          <w:b/>
          <w:b/>
          <w:sz w:val="20"/>
          <w:szCs w:val="20"/>
        </w:rPr>
      </w:pPr>
      <w:r>
        <w:rPr>
          <w:rFonts w:cs="Arial" w:ascii="Arial" w:hAnsi="Arial"/>
          <w:b/>
          <w:sz w:val="20"/>
          <w:szCs w:val="20"/>
        </w:rPr>
        <w:t>Máster Melissa Benavides Víquez</w:t>
      </w:r>
    </w:p>
    <w:p>
      <w:pPr>
        <w:pStyle w:val="Normal"/>
        <w:tabs>
          <w:tab w:val="clear" w:pos="708"/>
          <w:tab w:val="left" w:pos="720" w:leader="none"/>
        </w:tabs>
        <w:spacing w:before="0" w:after="160"/>
        <w:contextualSpacing/>
        <w:jc w:val="center"/>
        <w:rPr>
          <w:rFonts w:ascii="Arial" w:hAnsi="Arial" w:cs="Arial"/>
          <w:b/>
          <w:b/>
          <w:sz w:val="20"/>
          <w:szCs w:val="20"/>
        </w:rPr>
      </w:pPr>
      <w:r>
        <w:rPr>
          <w:rFonts w:cs="Arial" w:ascii="Arial" w:hAnsi="Arial"/>
          <w:b/>
          <w:sz w:val="20"/>
          <w:szCs w:val="20"/>
        </w:rPr>
        <w:t xml:space="preserve">Coordinadora </w:t>
      </w:r>
    </w:p>
    <w:p>
      <w:pPr>
        <w:pStyle w:val="Normal"/>
        <w:tabs>
          <w:tab w:val="clear" w:pos="708"/>
          <w:tab w:val="left" w:pos="720" w:leader="none"/>
        </w:tabs>
        <w:spacing w:before="0" w:after="160"/>
        <w:contextualSpacing/>
        <w:jc w:val="center"/>
        <w:rPr>
          <w:rFonts w:ascii="Arial" w:hAnsi="Arial" w:cs="Arial"/>
          <w:b/>
          <w:b/>
          <w:sz w:val="20"/>
          <w:szCs w:val="20"/>
        </w:rPr>
      </w:pPr>
      <w:r>
        <w:rPr>
          <w:rFonts w:cs="Arial" w:ascii="Arial" w:hAnsi="Arial"/>
          <w:b/>
          <w:sz w:val="20"/>
          <w:szCs w:val="20"/>
        </w:rPr>
        <w:t>Unidad de Acceso a la Justicia</w:t>
      </w:r>
    </w:p>
    <w:p>
      <w:pPr>
        <w:pStyle w:val="Normal"/>
        <w:tabs>
          <w:tab w:val="clear" w:pos="708"/>
          <w:tab w:val="left" w:pos="720" w:leader="none"/>
        </w:tabs>
        <w:spacing w:before="0" w:after="160"/>
        <w:contextualSpacing/>
        <w:jc w:val="center"/>
        <w:rPr>
          <w:rFonts w:ascii="Arial" w:hAnsi="Arial" w:cs="Arial"/>
          <w:b/>
          <w:b/>
          <w:sz w:val="20"/>
          <w:szCs w:val="20"/>
        </w:rPr>
      </w:pPr>
      <w:r>
        <w:rPr>
          <w:rFonts w:cs="Arial" w:ascii="Arial" w:hAnsi="Arial"/>
          <w:b/>
          <w:sz w:val="20"/>
          <w:szCs w:val="20"/>
        </w:rPr>
      </w:r>
    </w:p>
    <w:p>
      <w:pPr>
        <w:pStyle w:val="Normal"/>
        <w:tabs>
          <w:tab w:val="clear" w:pos="708"/>
          <w:tab w:val="left" w:pos="720" w:leader="none"/>
        </w:tabs>
        <w:spacing w:before="0" w:after="160"/>
        <w:contextualSpacing/>
        <w:rPr>
          <w:rFonts w:ascii="Arial" w:hAnsi="Arial" w:cs="Arial"/>
          <w:b/>
          <w:b/>
          <w:sz w:val="20"/>
          <w:szCs w:val="20"/>
        </w:rPr>
      </w:pPr>
      <w:r>
        <w:rPr>
          <w:rFonts w:cs="Arial" w:ascii="Arial" w:hAnsi="Arial"/>
          <w:b/>
          <w:sz w:val="20"/>
          <w:szCs w:val="20"/>
        </w:rPr>
      </w:r>
    </w:p>
    <w:p>
      <w:pPr>
        <w:pStyle w:val="Normal"/>
        <w:tabs>
          <w:tab w:val="clear" w:pos="708"/>
          <w:tab w:val="left" w:pos="720" w:leader="none"/>
        </w:tabs>
        <w:spacing w:before="0" w:after="160"/>
        <w:contextualSpacing/>
        <w:rPr>
          <w:rFonts w:ascii="Arial" w:hAnsi="Arial" w:cs="Arial"/>
          <w:b/>
          <w:b/>
          <w:sz w:val="20"/>
          <w:szCs w:val="20"/>
        </w:rPr>
      </w:pPr>
      <w:r>
        <w:rPr>
          <w:rFonts w:cs="Arial" w:ascii="Arial" w:hAnsi="Arial"/>
          <w:b/>
          <w:sz w:val="20"/>
          <w:szCs w:val="20"/>
        </w:rPr>
      </w:r>
    </w:p>
    <w:p>
      <w:pPr>
        <w:pStyle w:val="Normal"/>
        <w:rPr>
          <w:rFonts w:ascii="Arial" w:hAnsi="Arial" w:cs="Arial"/>
          <w:bCs/>
          <w:sz w:val="20"/>
          <w:szCs w:val="20"/>
        </w:rPr>
      </w:pPr>
      <w:r>
        <w:rPr>
          <w:rFonts w:cs="Arial" w:ascii="Arial" w:hAnsi="Arial"/>
          <w:bCs/>
          <w:sz w:val="20"/>
          <w:szCs w:val="20"/>
        </w:rPr>
      </w:r>
    </w:p>
    <w:p>
      <w:pPr>
        <w:pStyle w:val="Normal"/>
        <w:jc w:val="both"/>
        <w:rPr>
          <w:rFonts w:ascii="Arial" w:hAnsi="Arial" w:cs="Arial"/>
          <w:sz w:val="20"/>
          <w:szCs w:val="20"/>
        </w:rPr>
      </w:pPr>
      <w:r>
        <w:rPr>
          <w:rFonts w:cs="Arial" w:ascii="Arial" w:hAnsi="Arial"/>
          <w:sz w:val="20"/>
          <w:szCs w:val="20"/>
        </w:rPr>
      </w:r>
    </w:p>
    <w:p>
      <w:pPr>
        <w:pStyle w:val="Normal"/>
        <w:jc w:val="both"/>
        <w:rPr>
          <w:rFonts w:ascii="Arial" w:hAnsi="Arial" w:cs="Arial"/>
          <w:sz w:val="20"/>
          <w:szCs w:val="20"/>
        </w:rPr>
      </w:pPr>
      <w:r>
        <w:rPr/>
        <w:object>
          <v:shape id="ole_rId99" style="width:75.15pt;height:48.85pt" o:ole="">
            <v:imagedata r:id="rId100" o:title=""/>
          </v:shape>
          <o:OLEObject Type="Embed" ProgID="Package" ShapeID="ole_rId99" DrawAspect="Icon" ObjectID="_1736488349" r:id="rId99"/>
        </w:object>
      </w:r>
      <w:r>
        <w:rPr/>
        <w:object>
          <v:shape id="ole_rId101" style="width:75.15pt;height:48.85pt" o:ole="">
            <v:imagedata r:id="rId102" o:title=""/>
          </v:shape>
          <o:OLEObject Type="Embed" ProgID="Package" ShapeID="ole_rId101" DrawAspect="Icon" ObjectID="_353446328" r:id="rId101"/>
        </w:object>
      </w:r>
      <w:r>
        <w:rPr>
          <w:rFonts w:cs="Arial" w:ascii="Arial" w:hAnsi="Arial"/>
          <w:sz w:val="20"/>
          <w:szCs w:val="20"/>
        </w:rPr>
        <w:t xml:space="preserve"> </w:t>
      </w:r>
      <w:r>
        <w:rPr/>
        <w:object>
          <v:shape id="ole_rId103" style="width:75.15pt;height:48.85pt" o:ole="">
            <v:imagedata r:id="rId104" o:title=""/>
          </v:shape>
          <o:OLEObject Type="Embed" ProgID="Package" ShapeID="ole_rId103" DrawAspect="Icon" ObjectID="_2029858184" r:id="rId103"/>
        </w:object>
      </w:r>
    </w:p>
    <w:p>
      <w:pPr>
        <w:pStyle w:val="Normal"/>
        <w:jc w:val="both"/>
        <w:rPr>
          <w:rFonts w:ascii="Arial" w:hAnsi="Arial" w:cs="Arial"/>
          <w:sz w:val="20"/>
          <w:szCs w:val="20"/>
        </w:rPr>
      </w:pPr>
      <w:r>
        <w:rPr>
          <w:rFonts w:cs="Arial" w:ascii="Arial" w:hAnsi="Arial"/>
          <w:sz w:val="20"/>
          <w:szCs w:val="20"/>
        </w:rPr>
        <w:t>Damaris Vargas informa que la Fiscalía Indígena informó esta dando seguimiento a la gestión formulada, lo cual fue hecho de conocimiento de las personas gestionantes oportunamente.-</w: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XVI</w:t>
      </w:r>
    </w:p>
    <w:p>
      <w:pPr>
        <w:pStyle w:val="Normal"/>
        <w:jc w:val="both"/>
        <w:rPr>
          <w:rFonts w:ascii="Arial" w:hAnsi="Arial" w:cs="Arial"/>
          <w:sz w:val="20"/>
          <w:szCs w:val="20"/>
        </w:rPr>
      </w:pPr>
      <w:r>
        <w:rPr>
          <w:rFonts w:cs="Arial" w:ascii="Arial" w:hAnsi="Arial"/>
          <w:sz w:val="20"/>
          <w:szCs w:val="20"/>
        </w:rPr>
        <w:t>Se conoce sobre el Oficio 156-OCI-2019:</w:t>
      </w:r>
    </w:p>
    <w:p>
      <w:pPr>
        <w:pStyle w:val="Xmsonormal"/>
        <w:shd w:val="clear" w:color="auto" w:fill="FFFFFF"/>
        <w:jc w:val="right"/>
        <w:rPr>
          <w:rFonts w:ascii="Arial" w:hAnsi="Arial" w:cs="Arial"/>
          <w:sz w:val="20"/>
          <w:szCs w:val="20"/>
        </w:rPr>
      </w:pPr>
      <w:r>
        <w:rPr>
          <w:rFonts w:cs="Arial" w:ascii="Arial" w:hAnsi="Arial"/>
          <w:sz w:val="20"/>
          <w:szCs w:val="20"/>
        </w:rPr>
        <w:t>San José, 29 de octubre de 2019</w:t>
      </w:r>
    </w:p>
    <w:p>
      <w:pPr>
        <w:pStyle w:val="Xmsonormal"/>
        <w:shd w:val="clear" w:color="auto" w:fill="FFFFFF"/>
        <w:jc w:val="right"/>
        <w:rPr>
          <w:rFonts w:ascii="Arial" w:hAnsi="Arial" w:cs="Arial"/>
          <w:sz w:val="20"/>
          <w:szCs w:val="20"/>
        </w:rPr>
      </w:pPr>
      <w:r>
        <w:rPr>
          <w:rFonts w:cs="Arial" w:ascii="Arial" w:hAnsi="Arial"/>
          <w:sz w:val="20"/>
          <w:szCs w:val="20"/>
        </w:rPr>
        <w:t>Oficio N°156-OCI-2019</w:t>
      </w:r>
    </w:p>
    <w:p>
      <w:pPr>
        <w:pStyle w:val="NormalWeb"/>
        <w:spacing w:before="280" w:after="280"/>
        <w:rPr>
          <w:rFonts w:ascii="Arial" w:hAnsi="Arial" w:cs="Arial"/>
          <w:sz w:val="20"/>
          <w:szCs w:val="20"/>
        </w:rPr>
      </w:pPr>
      <w:r>
        <w:rPr>
          <w:rFonts w:cs="Arial" w:ascii="Arial" w:hAnsi="Arial"/>
          <w:sz w:val="20"/>
          <w:szCs w:val="20"/>
        </w:rPr>
      </w:r>
    </w:p>
    <w:p>
      <w:pPr>
        <w:pStyle w:val="Xmsonormal"/>
        <w:shd w:val="clear" w:color="auto" w:fill="FFFFFF"/>
        <w:rPr>
          <w:rFonts w:ascii="Arial" w:hAnsi="Arial" w:cs="Arial"/>
          <w:b/>
          <w:b/>
          <w:sz w:val="20"/>
          <w:szCs w:val="20"/>
        </w:rPr>
      </w:pPr>
      <w:r>
        <w:rPr>
          <w:rFonts w:cs="Arial" w:ascii="Arial" w:hAnsi="Arial"/>
          <w:b/>
          <w:sz w:val="20"/>
          <w:szCs w:val="20"/>
        </w:rPr>
        <w:t>Máster Melissa Benavides Víquez</w:t>
      </w:r>
    </w:p>
    <w:p>
      <w:pPr>
        <w:pStyle w:val="Xmsonormal"/>
        <w:shd w:val="clear" w:color="auto" w:fill="FFFFFF"/>
        <w:rPr>
          <w:rFonts w:ascii="Arial" w:hAnsi="Arial" w:cs="Arial"/>
          <w:b/>
          <w:b/>
          <w:sz w:val="20"/>
          <w:szCs w:val="20"/>
        </w:rPr>
      </w:pPr>
      <w:r>
        <w:rPr>
          <w:rFonts w:cs="Arial" w:ascii="Arial" w:hAnsi="Arial"/>
          <w:b/>
          <w:sz w:val="20"/>
          <w:szCs w:val="20"/>
        </w:rPr>
        <w:t>Coordinadora</w:t>
      </w:r>
    </w:p>
    <w:p>
      <w:pPr>
        <w:pStyle w:val="Xmsonormal"/>
        <w:shd w:val="clear" w:color="auto" w:fill="FFFFFF"/>
        <w:rPr>
          <w:rFonts w:ascii="Arial" w:hAnsi="Arial" w:cs="Arial"/>
          <w:b/>
          <w:b/>
          <w:sz w:val="20"/>
          <w:szCs w:val="20"/>
        </w:rPr>
      </w:pPr>
      <w:r>
        <w:rPr>
          <w:rFonts w:cs="Arial" w:ascii="Arial" w:hAnsi="Arial"/>
          <w:b/>
          <w:sz w:val="20"/>
          <w:szCs w:val="20"/>
        </w:rPr>
        <w:t>Unidad de Acceso a la Justicia</w:t>
      </w:r>
    </w:p>
    <w:p>
      <w:pPr>
        <w:pStyle w:val="Xmsonormal"/>
        <w:shd w:val="clear" w:color="auto" w:fill="FFFFFF"/>
        <w:rPr>
          <w:rFonts w:ascii="Arial" w:hAnsi="Arial" w:cs="Arial"/>
          <w:sz w:val="20"/>
          <w:szCs w:val="20"/>
        </w:rPr>
      </w:pPr>
      <w:r>
        <w:rPr>
          <w:rFonts w:cs="Arial" w:ascii="Arial" w:hAnsi="Arial"/>
          <w:sz w:val="20"/>
          <w:szCs w:val="20"/>
        </w:rPr>
      </w:r>
    </w:p>
    <w:p>
      <w:pPr>
        <w:pStyle w:val="Xmsonormal"/>
        <w:shd w:val="clear" w:color="auto" w:fill="FFFFFF"/>
        <w:rPr>
          <w:rFonts w:ascii="Arial" w:hAnsi="Arial" w:cs="Arial"/>
          <w:sz w:val="20"/>
          <w:szCs w:val="20"/>
        </w:rPr>
      </w:pPr>
      <w:r>
        <w:rPr>
          <w:rFonts w:cs="Arial" w:ascii="Arial" w:hAnsi="Arial"/>
          <w:sz w:val="20"/>
          <w:szCs w:val="20"/>
        </w:rPr>
      </w:r>
    </w:p>
    <w:p>
      <w:pPr>
        <w:pStyle w:val="Xmsonormal"/>
        <w:shd w:val="clear" w:color="auto" w:fill="FFFFFF"/>
        <w:rPr>
          <w:rFonts w:ascii="Arial" w:hAnsi="Arial" w:cs="Arial"/>
          <w:sz w:val="20"/>
          <w:szCs w:val="20"/>
        </w:rPr>
      </w:pPr>
      <w:r>
        <w:rPr>
          <w:rFonts w:cs="Arial" w:ascii="Arial" w:hAnsi="Arial"/>
          <w:sz w:val="20"/>
          <w:szCs w:val="20"/>
        </w:rPr>
      </w:r>
    </w:p>
    <w:p>
      <w:pPr>
        <w:pStyle w:val="Xmsonormal"/>
        <w:shd w:val="clear" w:color="auto" w:fill="FFFFFF"/>
        <w:rPr>
          <w:rFonts w:ascii="Arial" w:hAnsi="Arial" w:cs="Arial"/>
          <w:sz w:val="20"/>
          <w:szCs w:val="20"/>
        </w:rPr>
      </w:pPr>
      <w:r>
        <w:rPr>
          <w:rFonts w:cs="Arial" w:ascii="Arial" w:hAnsi="Arial"/>
          <w:sz w:val="20"/>
          <w:szCs w:val="20"/>
        </w:rPr>
        <w:t>Estimada señora(ita) Benavides Víquez:</w:t>
      </w:r>
    </w:p>
    <w:p>
      <w:pPr>
        <w:pStyle w:val="Xmsonormal"/>
        <w:shd w:val="clear" w:color="auto" w:fill="FFFFFF"/>
        <w:rPr>
          <w:rFonts w:ascii="Arial" w:hAnsi="Arial" w:cs="Arial"/>
          <w:sz w:val="20"/>
          <w:szCs w:val="20"/>
        </w:rPr>
      </w:pPr>
      <w:r>
        <w:rPr>
          <w:rFonts w:cs="Arial" w:ascii="Arial" w:hAnsi="Arial"/>
          <w:b/>
          <w:bCs/>
          <w:sz w:val="20"/>
          <w:szCs w:val="20"/>
        </w:rPr>
        <w:t> </w:t>
      </w:r>
    </w:p>
    <w:p>
      <w:pPr>
        <w:pStyle w:val="Xmsonormal"/>
        <w:shd w:val="clear" w:color="auto" w:fill="FFFFFF"/>
        <w:rPr>
          <w:rFonts w:ascii="Arial" w:hAnsi="Arial" w:cs="Arial"/>
          <w:sz w:val="20"/>
          <w:szCs w:val="20"/>
        </w:rPr>
      </w:pPr>
      <w:r>
        <w:rPr>
          <w:rFonts w:cs="Arial" w:ascii="Arial" w:hAnsi="Arial"/>
          <w:sz w:val="20"/>
          <w:szCs w:val="20"/>
        </w:rPr>
      </w:r>
    </w:p>
    <w:p>
      <w:pPr>
        <w:pStyle w:val="Xmsonormal"/>
        <w:shd w:val="clear" w:color="auto" w:fill="FFFFFF"/>
        <w:spacing w:lineRule="auto" w:line="360"/>
        <w:jc w:val="both"/>
        <w:rPr>
          <w:rFonts w:ascii="Arial" w:hAnsi="Arial" w:cs="Arial"/>
          <w:sz w:val="20"/>
          <w:szCs w:val="20"/>
        </w:rPr>
      </w:pPr>
      <w:r>
        <w:rPr>
          <w:rFonts w:cs="Arial" w:ascii="Arial" w:hAnsi="Arial"/>
          <w:sz w:val="20"/>
          <w:szCs w:val="20"/>
        </w:rPr>
        <w:t>Reciba un cordial saludo. Por medio de la presente se da respuesta a la gestión recibida mediante Oficio CACC-346-2019 del 21 de octubre pasado, sobre el acuerdo tomado por la Subcomisión de Acceso a la Justicia de Pueblos Indígenas celebrada el pasado 01 de octubre de 2019, artículo XXVII.</w:t>
      </w:r>
    </w:p>
    <w:p>
      <w:pPr>
        <w:pStyle w:val="Xmsonormal"/>
        <w:shd w:val="clear" w:color="auto" w:fill="FFFFFF"/>
        <w:spacing w:lineRule="auto" w:line="360"/>
        <w:jc w:val="both"/>
        <w:rPr>
          <w:rFonts w:ascii="Arial" w:hAnsi="Arial" w:cs="Arial"/>
          <w:sz w:val="20"/>
          <w:szCs w:val="20"/>
        </w:rPr>
      </w:pPr>
      <w:r>
        <w:rPr>
          <w:rFonts w:cs="Arial" w:ascii="Arial" w:hAnsi="Arial"/>
          <w:sz w:val="20"/>
          <w:szCs w:val="20"/>
        </w:rPr>
      </w:r>
    </w:p>
    <w:p>
      <w:pPr>
        <w:pStyle w:val="Xmsonormal"/>
        <w:shd w:val="clear" w:color="auto" w:fill="FFFFFF"/>
        <w:spacing w:lineRule="auto" w:line="360"/>
        <w:jc w:val="both"/>
        <w:rPr>
          <w:rFonts w:ascii="Arial" w:hAnsi="Arial" w:cs="Arial"/>
          <w:sz w:val="20"/>
          <w:szCs w:val="20"/>
        </w:rPr>
      </w:pPr>
      <w:r>
        <w:rPr>
          <w:rFonts w:cs="Arial" w:ascii="Arial" w:hAnsi="Arial"/>
          <w:sz w:val="20"/>
          <w:szCs w:val="20"/>
        </w:rPr>
        <w:t xml:space="preserve">La Oficina de Control Interno estará programando lo solicitado en el Oficio CACC-346-2019, dentro de los estudios contemplados en uno de nuestros objetivos del PAO 2020.  Lo anterior sin demérito de que se realicen las primeras coordinaciones con ustedes en lo que resta del presente año. </w:t>
      </w:r>
    </w:p>
    <w:p>
      <w:pPr>
        <w:pStyle w:val="Xmsonormal"/>
        <w:shd w:val="clear" w:color="auto" w:fill="FFFFFF"/>
        <w:spacing w:lineRule="auto" w:line="360"/>
        <w:rPr>
          <w:rFonts w:ascii="Arial" w:hAnsi="Arial" w:cs="Arial"/>
          <w:sz w:val="20"/>
          <w:szCs w:val="20"/>
        </w:rPr>
      </w:pPr>
      <w:r>
        <w:rPr>
          <w:rFonts w:cs="Arial" w:ascii="Arial" w:hAnsi="Arial"/>
          <w:sz w:val="20"/>
          <w:szCs w:val="20"/>
        </w:rPr>
      </w:r>
    </w:p>
    <w:p>
      <w:pPr>
        <w:pStyle w:val="Xmsonormal"/>
        <w:shd w:val="clear" w:color="auto" w:fill="FFFFFF"/>
        <w:spacing w:lineRule="auto" w:line="360"/>
        <w:rPr>
          <w:rFonts w:ascii="Arial" w:hAnsi="Arial" w:cs="Arial"/>
          <w:sz w:val="20"/>
          <w:szCs w:val="20"/>
        </w:rPr>
      </w:pPr>
      <w:r>
        <w:rPr>
          <w:rFonts w:cs="Arial" w:ascii="Arial" w:hAnsi="Arial"/>
          <w:sz w:val="20"/>
          <w:szCs w:val="20"/>
        </w:rPr>
        <w:t>Sin otro particular, atentamente.</w:t>
      </w:r>
    </w:p>
    <w:p>
      <w:pPr>
        <w:pStyle w:val="Xmsonormal"/>
        <w:shd w:val="clear" w:color="auto" w:fill="FFFFFF"/>
        <w:spacing w:lineRule="auto" w:line="360"/>
        <w:rPr>
          <w:rFonts w:ascii="Arial" w:hAnsi="Arial" w:cs="Arial"/>
          <w:sz w:val="20"/>
          <w:szCs w:val="20"/>
        </w:rPr>
      </w:pPr>
      <w:r>
        <w:rPr>
          <w:rFonts w:cs="Arial" w:ascii="Arial" w:hAnsi="Arial"/>
          <w:sz w:val="20"/>
          <w:szCs w:val="20"/>
        </w:rPr>
      </w:r>
    </w:p>
    <w:p>
      <w:pPr>
        <w:pStyle w:val="Xmsonormal"/>
        <w:shd w:val="clear" w:color="auto" w:fill="FFFFFF"/>
        <w:spacing w:lineRule="auto" w:line="360"/>
        <w:rPr>
          <w:rFonts w:ascii="Arial" w:hAnsi="Arial" w:cs="Arial"/>
          <w:sz w:val="20"/>
          <w:szCs w:val="20"/>
        </w:rPr>
      </w:pPr>
      <w:r>
        <w:rPr>
          <w:rFonts w:cs="Arial" w:ascii="Arial" w:hAnsi="Arial"/>
          <w:sz w:val="20"/>
          <w:szCs w:val="20"/>
        </w:rPr>
      </w:r>
    </w:p>
    <w:p>
      <w:pPr>
        <w:pStyle w:val="Xmsonormal"/>
        <w:shd w:val="clear" w:color="auto" w:fill="FFFFFF"/>
        <w:rPr>
          <w:rFonts w:ascii="Arial" w:hAnsi="Arial" w:cs="Arial"/>
          <w:b/>
          <w:b/>
          <w:i/>
          <w:i/>
          <w:sz w:val="20"/>
          <w:szCs w:val="20"/>
        </w:rPr>
      </w:pPr>
      <w:r>
        <w:rPr>
          <w:rFonts w:cs="Arial" w:ascii="Arial" w:hAnsi="Arial"/>
          <w:b/>
          <w:i/>
          <w:sz w:val="20"/>
          <w:szCs w:val="20"/>
        </w:rPr>
        <w:t>Lic. Hermes Zamora Atencio</w:t>
      </w:r>
    </w:p>
    <w:p>
      <w:pPr>
        <w:pStyle w:val="Xmsonormal"/>
        <w:shd w:val="clear" w:color="auto" w:fill="FFFFFF"/>
        <w:rPr>
          <w:rFonts w:ascii="Arial" w:hAnsi="Arial" w:cs="Arial"/>
          <w:b/>
          <w:b/>
          <w:i/>
          <w:i/>
          <w:sz w:val="20"/>
          <w:szCs w:val="20"/>
        </w:rPr>
      </w:pPr>
      <w:r>
        <w:rPr>
          <w:rFonts w:cs="Arial" w:ascii="Arial" w:hAnsi="Arial"/>
          <w:b/>
          <w:i/>
          <w:sz w:val="20"/>
          <w:szCs w:val="20"/>
        </w:rPr>
        <w:t>Jefe a.í., Oficina de Control Interno</w:t>
      </w:r>
    </w:p>
    <w:p>
      <w:pPr>
        <w:pStyle w:val="Xmsonormal"/>
        <w:shd w:val="clear" w:color="auto" w:fill="FFFFFF"/>
        <w:rPr>
          <w:rFonts w:ascii="Arial" w:hAnsi="Arial" w:cs="Arial"/>
          <w:b/>
          <w:b/>
          <w:i/>
          <w:i/>
          <w:sz w:val="20"/>
          <w:szCs w:val="20"/>
        </w:rPr>
      </w:pPr>
      <w:r>
        <w:rPr>
          <w:rFonts w:cs="Arial" w:ascii="Arial" w:hAnsi="Arial"/>
          <w:b/>
          <w:i/>
          <w:sz w:val="20"/>
          <w:szCs w:val="20"/>
        </w:rPr>
        <w:t>Consejo Superior</w:t>
      </w:r>
    </w:p>
    <w:p>
      <w:pPr>
        <w:pStyle w:val="Xmsonormal"/>
        <w:shd w:val="clear" w:color="auto" w:fill="FFFFFF"/>
        <w:spacing w:lineRule="auto" w:line="360"/>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jc w:val="both"/>
        <w:rPr>
          <w:rFonts w:ascii="Arial" w:hAnsi="Arial" w:cs="Arial"/>
          <w:sz w:val="20"/>
          <w:szCs w:val="20"/>
        </w:rPr>
      </w:pPr>
      <w:r>
        <w:rPr/>
        <w:object>
          <v:shape id="ole_rId105" style="width:75.15pt;height:48.85pt" o:ole="">
            <v:imagedata r:id="rId106" o:title=""/>
          </v:shape>
          <o:OLEObject Type="Embed" ProgID="Package" ShapeID="ole_rId105" DrawAspect="Icon" ObjectID="_854040256" r:id="rId105"/>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2° Comunicar a la Oficina de Control Interno la disposición de la Subcomisión de Acceso a la Justicia de Pueblos Indígenas para iniciar las coordinaciones que estimen necesarias para la construcción de la Circular referida a los Controles Mínimos de los despachos jurisdiccionales sobre la atención de los procesos vinculados con población indígena así como la gestión administrativa respectiva. 3° Comuníquese este acuerdo a la Oficina de Control Interno por medio de la Unidad de Acceso a la Justicia.-</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XVII</w:t>
      </w:r>
    </w:p>
    <w:p>
      <w:pPr>
        <w:pStyle w:val="Normal"/>
        <w:jc w:val="both"/>
        <w:rPr>
          <w:rFonts w:ascii="Arial" w:hAnsi="Arial" w:cs="Arial"/>
          <w:sz w:val="20"/>
          <w:szCs w:val="20"/>
        </w:rPr>
      </w:pPr>
      <w:r>
        <w:rPr>
          <w:rFonts w:cs="Arial" w:ascii="Arial" w:hAnsi="Arial"/>
          <w:sz w:val="20"/>
          <w:szCs w:val="20"/>
        </w:rPr>
        <w:t>Se conoce la Circular 188-19:</w:t>
      </w:r>
    </w:p>
    <w:p>
      <w:pPr>
        <w:pStyle w:val="Normal"/>
        <w:jc w:val="center"/>
        <w:rPr>
          <w:rFonts w:ascii="Arial" w:hAnsi="Arial" w:cs="Arial"/>
          <w:b/>
          <w:b/>
          <w:bCs/>
          <w:sz w:val="20"/>
          <w:szCs w:val="20"/>
          <w:u w:val="single"/>
          <w:lang w:val="es-ES"/>
        </w:rPr>
      </w:pPr>
      <w:r>
        <w:rPr>
          <w:rFonts w:cs="Arial" w:ascii="Arial" w:hAnsi="Arial"/>
          <w:b/>
          <w:bCs/>
          <w:sz w:val="20"/>
          <w:szCs w:val="20"/>
          <w:u w:val="single"/>
          <w:lang w:val="es-ES"/>
        </w:rPr>
        <w:t>CIRCULAR No. 188-2019</w:t>
      </w:r>
    </w:p>
    <w:p>
      <w:pPr>
        <w:pStyle w:val="Normal"/>
        <w:jc w:val="both"/>
        <w:rPr>
          <w:rFonts w:ascii="Arial" w:hAnsi="Arial" w:cs="Arial"/>
          <w:b/>
          <w:b/>
          <w:bCs/>
          <w:sz w:val="20"/>
          <w:szCs w:val="20"/>
          <w:u w:val="single"/>
          <w:lang w:val="es-ES"/>
        </w:rPr>
      </w:pPr>
      <w:r>
        <w:rPr>
          <w:rFonts w:cs="Arial" w:ascii="Arial" w:hAnsi="Arial"/>
          <w:b/>
          <w:bCs/>
          <w:sz w:val="20"/>
          <w:szCs w:val="20"/>
          <w:u w:val="single"/>
          <w:lang w:val="es-ES"/>
        </w:rPr>
      </w:r>
    </w:p>
    <w:p>
      <w:pPr>
        <w:pStyle w:val="Normal"/>
        <w:ind w:firstLine="709"/>
        <w:jc w:val="both"/>
        <w:rPr>
          <w:rFonts w:ascii="Arial" w:hAnsi="Arial" w:eastAsia="Batang" w:cs="Arial"/>
          <w:sz w:val="20"/>
          <w:szCs w:val="20"/>
        </w:rPr>
      </w:pPr>
      <w:r>
        <w:rPr>
          <w:rFonts w:cs="Arial" w:ascii="Arial" w:hAnsi="Arial"/>
          <w:b/>
          <w:bCs/>
          <w:sz w:val="20"/>
          <w:szCs w:val="20"/>
          <w:u w:val="single"/>
          <w:lang w:val="es-ES"/>
        </w:rPr>
        <w:t>Asunto</w:t>
      </w:r>
      <w:r>
        <w:rPr>
          <w:rFonts w:cs="Arial" w:ascii="Arial" w:hAnsi="Arial"/>
          <w:bCs/>
          <w:sz w:val="20"/>
          <w:szCs w:val="20"/>
          <w:lang w:val="es-ES"/>
        </w:rPr>
        <w:t>:</w:t>
        <w:tab/>
        <w:t xml:space="preserve">Modificación a la Circular N° 123-2019 Sobre los </w:t>
      </w:r>
      <w:r>
        <w:rPr>
          <w:rFonts w:eastAsia="Batang" w:cs="Arial" w:ascii="Arial" w:hAnsi="Arial"/>
          <w:sz w:val="20"/>
          <w:szCs w:val="20"/>
        </w:rPr>
        <w:t>20 ejes de acción, recomendados por la Comisión de Acceso a la Justicia, con ocasión del cumplimiento de las Medidas Cautelares N° 321-12 del 30 de abril de 2015, establecidas por la Comisión Interamericana de Derechos Humanos (CIDH) contra Costa Rica.</w:t>
      </w:r>
    </w:p>
    <w:p>
      <w:pPr>
        <w:pStyle w:val="Normal"/>
        <w:jc w:val="center"/>
        <w:rPr>
          <w:rFonts w:ascii="Arial" w:hAnsi="Arial" w:cs="Arial"/>
          <w:b/>
          <w:b/>
          <w:bCs/>
          <w:sz w:val="20"/>
          <w:szCs w:val="20"/>
          <w:u w:val="single"/>
          <w:lang w:val="es-ES"/>
        </w:rPr>
      </w:pPr>
      <w:r>
        <w:rPr>
          <w:rFonts w:cs="Arial" w:ascii="Arial" w:hAnsi="Arial"/>
          <w:b/>
          <w:bCs/>
          <w:sz w:val="20"/>
          <w:szCs w:val="20"/>
          <w:u w:val="single"/>
          <w:lang w:val="es-ES"/>
        </w:rPr>
      </w:r>
    </w:p>
    <w:p>
      <w:pPr>
        <w:pStyle w:val="Normal"/>
        <w:jc w:val="center"/>
        <w:rPr>
          <w:rFonts w:ascii="Arial" w:hAnsi="Arial" w:cs="Arial"/>
          <w:b/>
          <w:b/>
          <w:bCs/>
          <w:sz w:val="20"/>
          <w:szCs w:val="20"/>
          <w:u w:val="single"/>
          <w:lang w:val="es-ES"/>
        </w:rPr>
      </w:pPr>
      <w:r>
        <w:rPr>
          <w:rFonts w:cs="Arial" w:ascii="Arial" w:hAnsi="Arial"/>
          <w:b/>
          <w:bCs/>
          <w:sz w:val="20"/>
          <w:szCs w:val="20"/>
          <w:u w:val="single"/>
          <w:lang w:val="es-ES"/>
        </w:rPr>
        <w:t>AL MINISTERIO PÚBLICO, DEFENSA PÚBLICA, DIRECCIONES GENERAL DEL ORGANISMO DE INVESTIGACIÓN JUDICIAL, GESTIÓN HUMANA, PLANIFICACIÓN, DE TECNOLOGÍA DE LA INFORMACIÓN, DIRECCIÓN EJECUTIVA, ESCUELA JUDICIAL Y DESPACHOS JUDICIALES DEL PAÍS</w:t>
      </w:r>
    </w:p>
    <w:p>
      <w:pPr>
        <w:pStyle w:val="Normal"/>
        <w:jc w:val="center"/>
        <w:rPr>
          <w:rFonts w:ascii="Arial" w:hAnsi="Arial" w:cs="Arial"/>
          <w:b/>
          <w:b/>
          <w:bCs/>
          <w:sz w:val="20"/>
          <w:szCs w:val="20"/>
          <w:u w:val="single"/>
        </w:rPr>
      </w:pPr>
      <w:r>
        <w:rPr>
          <w:rFonts w:cs="Arial" w:ascii="Arial" w:hAnsi="Arial"/>
          <w:b/>
          <w:bCs/>
          <w:sz w:val="20"/>
          <w:szCs w:val="20"/>
          <w:u w:val="single"/>
        </w:rPr>
      </w:r>
    </w:p>
    <w:p>
      <w:pPr>
        <w:pStyle w:val="Normal"/>
        <w:jc w:val="center"/>
        <w:rPr>
          <w:rFonts w:ascii="Arial" w:hAnsi="Arial" w:cs="Arial"/>
          <w:b/>
          <w:b/>
          <w:bCs/>
          <w:sz w:val="20"/>
          <w:szCs w:val="20"/>
          <w:lang w:val="es-ES"/>
        </w:rPr>
      </w:pPr>
      <w:r>
        <w:rPr>
          <w:rFonts w:cs="Arial" w:ascii="Arial" w:hAnsi="Arial"/>
          <w:b/>
          <w:bCs/>
          <w:sz w:val="20"/>
          <w:szCs w:val="20"/>
          <w:u w:val="single"/>
          <w:lang w:val="es-ES"/>
        </w:rPr>
        <w:t>SE LES HACE SABER QUE</w:t>
      </w:r>
      <w:r>
        <w:rPr>
          <w:rFonts w:cs="Arial" w:ascii="Arial" w:hAnsi="Arial"/>
          <w:b/>
          <w:bCs/>
          <w:sz w:val="20"/>
          <w:szCs w:val="20"/>
          <w:lang w:val="es-ES"/>
        </w:rPr>
        <w:t>:</w:t>
      </w:r>
    </w:p>
    <w:p>
      <w:pPr>
        <w:pStyle w:val="Normal"/>
        <w:jc w:val="center"/>
        <w:rPr>
          <w:rFonts w:ascii="Arial" w:hAnsi="Arial" w:cs="Arial"/>
          <w:b/>
          <w:b/>
          <w:bCs/>
          <w:sz w:val="20"/>
          <w:szCs w:val="20"/>
          <w:lang w:val="es-ES"/>
        </w:rPr>
      </w:pPr>
      <w:r>
        <w:rPr>
          <w:rFonts w:cs="Arial" w:ascii="Arial" w:hAnsi="Arial"/>
          <w:b/>
          <w:bCs/>
          <w:sz w:val="20"/>
          <w:szCs w:val="20"/>
          <w:lang w:val="es-ES"/>
        </w:rPr>
      </w:r>
    </w:p>
    <w:p>
      <w:pPr>
        <w:pStyle w:val="Normal"/>
        <w:ind w:firstLine="709"/>
        <w:jc w:val="both"/>
        <w:rPr>
          <w:rFonts w:ascii="Arial" w:hAnsi="Arial" w:eastAsia="Batang" w:cs="Arial"/>
          <w:sz w:val="20"/>
          <w:szCs w:val="20"/>
        </w:rPr>
      </w:pPr>
      <w:r>
        <w:rPr>
          <w:rFonts w:cs="Arial" w:ascii="Arial" w:hAnsi="Arial"/>
          <w:sz w:val="20"/>
          <w:szCs w:val="20"/>
          <w:lang w:val="es-ES"/>
        </w:rPr>
        <w:t xml:space="preserve">La Corte Plena, en sesión Nº 20-19 celebrada el 27 de mayo de 2019, artículo XIX, dispuso </w:t>
      </w:r>
      <w:r>
        <w:rPr>
          <w:rFonts w:eastAsia="Batang" w:cs="Arial" w:ascii="Arial" w:hAnsi="Arial"/>
          <w:sz w:val="20"/>
          <w:szCs w:val="20"/>
        </w:rPr>
        <w:t>aprobar los 21 ejes de acción, recomendados por la Comisión de Acceso a la Justicia, que deberán ser desarrollados por las Direcciones del Ministerio Público, Defensa Pública, Organismo de Investigación Judicial, Gestión Humana, Planificación, Dirección Ejecutiva, Tecnología de la Información, Escuela Judicial y el Sector Jurisdiccional, con ocasión del encuentro realizado entre representantes del Estado y Personas Indígenas Bribri de Salitre y Térraba, en cumplimiento de las Medidas Cautelares N° 321-12 del 30 de abril de 2015, establecidas por la Comisión Interamericana de Derechos Humanos (CIDH) contra Costa Rica.</w:t>
      </w:r>
    </w:p>
    <w:p>
      <w:pPr>
        <w:pStyle w:val="Normal"/>
        <w:ind w:firstLine="709"/>
        <w:jc w:val="both"/>
        <w:rPr>
          <w:rFonts w:ascii="Arial" w:hAnsi="Arial" w:eastAsia="Batang" w:cs="Arial"/>
          <w:sz w:val="20"/>
          <w:szCs w:val="20"/>
        </w:rPr>
      </w:pPr>
      <w:r>
        <w:rPr>
          <w:rFonts w:eastAsia="Batang" w:cs="Arial" w:ascii="Arial" w:hAnsi="Arial"/>
          <w:sz w:val="20"/>
          <w:szCs w:val="20"/>
        </w:rPr>
        <w:t>En sesión N° 42-19 celebrada el 7 de octubre en curso, artículo VII, se dispuso realizar la publicación nuevamente de la Circular 123-2019 correspondiente a los ejes de acción recomendados por la Comisión de Acceso a la Justicia, eliminando el eje número 20 por encontrarse repetido.</w:t>
      </w:r>
    </w:p>
    <w:p>
      <w:pPr>
        <w:pStyle w:val="Normal"/>
        <w:ind w:firstLine="709"/>
        <w:jc w:val="both"/>
        <w:rPr>
          <w:rFonts w:ascii="Arial" w:hAnsi="Arial" w:eastAsia="Batang" w:cs="Arial"/>
          <w:sz w:val="20"/>
          <w:szCs w:val="20"/>
        </w:rPr>
      </w:pPr>
      <w:r>
        <w:rPr>
          <w:rFonts w:eastAsia="Batang" w:cs="Arial" w:ascii="Arial" w:hAnsi="Arial"/>
          <w:sz w:val="20"/>
          <w:szCs w:val="20"/>
        </w:rPr>
      </w:r>
    </w:p>
    <w:p>
      <w:pPr>
        <w:pStyle w:val="Normal"/>
        <w:ind w:firstLine="709"/>
        <w:jc w:val="both"/>
        <w:rPr>
          <w:rFonts w:ascii="Arial" w:hAnsi="Arial" w:eastAsia="Batang" w:cs="Arial"/>
          <w:sz w:val="20"/>
          <w:szCs w:val="20"/>
        </w:rPr>
      </w:pPr>
      <w:r>
        <w:rPr>
          <w:rFonts w:eastAsia="Batang" w:cs="Arial" w:ascii="Arial" w:hAnsi="Arial"/>
          <w:sz w:val="20"/>
          <w:szCs w:val="20"/>
        </w:rPr>
        <w:t>Los citados ejes son los siguientes:</w:t>
      </w:r>
    </w:p>
    <w:p>
      <w:pPr>
        <w:pStyle w:val="Normal"/>
        <w:ind w:firstLine="709"/>
        <w:jc w:val="both"/>
        <w:rPr>
          <w:rFonts w:ascii="Arial" w:hAnsi="Arial" w:eastAsia="Batang" w:cs="Arial"/>
          <w:sz w:val="20"/>
          <w:szCs w:val="20"/>
        </w:rPr>
      </w:pPr>
      <w:r>
        <w:rPr>
          <w:rFonts w:eastAsia="Batang" w:cs="Arial" w:ascii="Arial" w:hAnsi="Arial"/>
          <w:sz w:val="20"/>
          <w:szCs w:val="20"/>
        </w:rPr>
      </w:r>
      <w:bookmarkStart w:id="3" w:name="_Hlk22190564"/>
      <w:bookmarkStart w:id="4" w:name="_Hlk22190564"/>
      <w:bookmarkEnd w:id="4"/>
    </w:p>
    <w:p>
      <w:pPr>
        <w:pStyle w:val="Normal"/>
        <w:ind w:left="851" w:right="851" w:firstLine="709"/>
        <w:jc w:val="both"/>
        <w:rPr>
          <w:rFonts w:ascii="Arial" w:hAnsi="Arial" w:cs="Arial"/>
          <w:bCs/>
          <w:sz w:val="20"/>
          <w:szCs w:val="20"/>
          <w:lang w:val="es-ES"/>
        </w:rPr>
      </w:pPr>
      <w:r>
        <w:rPr>
          <w:rFonts w:cs="Arial" w:ascii="Arial" w:hAnsi="Arial"/>
          <w:b/>
          <w:sz w:val="20"/>
          <w:szCs w:val="20"/>
          <w:lang w:val="es-ES"/>
        </w:rPr>
        <w:t>1.</w:t>
      </w:r>
      <w:r>
        <w:rPr>
          <w:rFonts w:cs="Arial" w:ascii="Arial" w:hAnsi="Arial"/>
          <w:bCs/>
          <w:sz w:val="20"/>
          <w:szCs w:val="20"/>
          <w:lang w:val="es-ES"/>
        </w:rPr>
        <w:t xml:space="preserve"> Concertar con las personas indígenas beneficiarias de las Medidas Cautelares N° 321-12 emitidas por la CIDH contra Costa Rica, las acciones a seguir para garantizar la vida y seguridad personal de los miembros del pueblo indígena Teribe y Bribrí de Salitre; e informarles las que ya se han adoptado para investigar los presuntos hechos que dieron lugar a tales medidas para evitar su repetición. Lo anterior, con el objetivo de dar cumplimiento a los mandatos de la CIDH y construir confianza y diálogo intercultural. En la medida de lo posible, realizar las sesiones de trabajo en los territorios indígenas involucrados, con la colaboración de personas traductoras que faciliten la comunicación efectiva y transparente. Se sugiere valorar sean las principales jefaturas institucionales quienes ejecuten esta labor.</w:t>
      </w:r>
    </w:p>
    <w:p>
      <w:pPr>
        <w:pStyle w:val="Normal"/>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2.</w:t>
      </w:r>
      <w:r>
        <w:rPr>
          <w:rFonts w:cs="Arial" w:ascii="Arial" w:hAnsi="Arial"/>
          <w:bCs/>
          <w:sz w:val="20"/>
          <w:szCs w:val="20"/>
          <w:lang w:val="es-ES"/>
        </w:rPr>
        <w:t xml:space="preserve"> Identificar y analizar los riesgos relevantes asociados al logro de los objetivos y las metas institucionales vinculadas con la población indígena, establecidas en el Plan Estratégico Institucional 2019/2024 (ejes transversales acceso a la justicia y justicia abierta, entre otros); el efecto posible de tales riesgos, su importancia y la probabilidad de que ocurran, y decidir las acciones que se tomarán para administrarlos a fin de continuar con la adopción de las medidas necesarias para ubicarse por lo menos en un nivel de riesgo organizacional aceptable. Además, establecer los mecanismos operativos que minimicen el riesgo en las acciones por ejecutar en relación con la tramitación y resolución de los procesos judiciales en los que sean parte pueblos indígenas, priorizando aquellos en los que sean parte miembros del pueblo indígena Teribe y Bribrí de Salitre.</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3.</w:t>
      </w:r>
      <w:r>
        <w:rPr>
          <w:rFonts w:cs="Arial" w:ascii="Arial" w:hAnsi="Arial"/>
          <w:bCs/>
          <w:sz w:val="20"/>
          <w:szCs w:val="20"/>
          <w:lang w:val="es-ES"/>
        </w:rPr>
        <w:t xml:space="preserve"> Documentar, mantener actualizados y divulgar internamente, las políticas, normas y procedimientos de control que garanticen el cumplimiento del sistema de control interno institucional y la prevención de todo aspecto que conlleve a desviar los objetivos y las metas trazados por la institución en el desempeño de sus funciones vinculadas con los procesos judiciales en los que intervengan personas indígenas, priorizando aquellos en los que sean parte miembros del pueblo indígena Teribe y Bribrí de Salitre.</w:t>
      </w:r>
    </w:p>
    <w:p>
      <w:pPr>
        <w:pStyle w:val="Normal"/>
        <w:tabs>
          <w:tab w:val="clear" w:pos="708"/>
          <w:tab w:val="left" w:pos="952" w:leader="none"/>
        </w:tabs>
        <w:ind w:left="851" w:right="851" w:firstLine="709"/>
        <w:jc w:val="both"/>
        <w:rPr>
          <w:rFonts w:ascii="Arial" w:hAnsi="Arial" w:cs="Arial"/>
          <w:b/>
          <w:b/>
          <w:sz w:val="20"/>
          <w:szCs w:val="20"/>
          <w:lang w:val="es-ES"/>
        </w:rPr>
      </w:pPr>
      <w:r>
        <w:rPr>
          <w:rFonts w:cs="Arial" w:ascii="Arial" w:hAnsi="Arial"/>
          <w:b/>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4.</w:t>
      </w:r>
      <w:r>
        <w:rPr>
          <w:rFonts w:cs="Arial" w:ascii="Arial" w:hAnsi="Arial"/>
          <w:bCs/>
          <w:sz w:val="20"/>
          <w:szCs w:val="20"/>
          <w:lang w:val="es-ES"/>
        </w:rPr>
        <w:t xml:space="preserve"> Establecer un sistema de información que permita tener una gestión documental institucional en el desarrollo de las actividades, con el fin de prevenir cualquier desvío en los objetivos trazados en relación con la tramitación y resolución de los procesos judiciales vinculados en los que sean parte miembros del pueblo indígena Teribe y Bribrí de Salitre.</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5.</w:t>
      </w:r>
      <w:r>
        <w:rPr>
          <w:rFonts w:cs="Arial" w:ascii="Arial" w:hAnsi="Arial"/>
          <w:bCs/>
          <w:sz w:val="20"/>
          <w:szCs w:val="20"/>
          <w:lang w:val="es-ES"/>
        </w:rPr>
        <w:t xml:space="preserve"> Incluir en las estadísticas institucionales indicadores que visibilicen los procesos judiciales que estén vinculados con personas indígenas, incorporando además información relativa a los pueblos relacionados, los territorios, entre otros datos de interés para la toma de decisiones.</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ind w:left="851" w:right="851" w:firstLine="709"/>
        <w:jc w:val="both"/>
        <w:rPr>
          <w:rFonts w:ascii="Arial" w:hAnsi="Arial" w:cs="Arial"/>
          <w:bCs/>
          <w:sz w:val="20"/>
          <w:szCs w:val="20"/>
          <w:lang w:val="es-ES"/>
        </w:rPr>
      </w:pPr>
      <w:r>
        <w:rPr>
          <w:rFonts w:cs="Arial" w:ascii="Arial" w:hAnsi="Arial"/>
          <w:b/>
          <w:sz w:val="20"/>
          <w:szCs w:val="20"/>
          <w:lang w:val="es-ES"/>
        </w:rPr>
        <w:t>6.</w:t>
      </w:r>
      <w:r>
        <w:rPr>
          <w:rFonts w:cs="Arial" w:ascii="Arial" w:hAnsi="Arial"/>
          <w:bCs/>
          <w:sz w:val="20"/>
          <w:szCs w:val="20"/>
          <w:lang w:val="es-ES"/>
        </w:rPr>
        <w:t xml:space="preserve"> Con absoluto respeto al principio de independencia judicial, emitir circulares dirigidas a todas las personas servidoras judiciales en las que se les reitere su deber de ser garantes del acceso efectivo a la justicia de los pueblos indígenas, la no discriminación y eliminación de barreras, a saber: </w:t>
      </w:r>
      <w:r>
        <w:rPr>
          <w:rFonts w:cs="Arial" w:ascii="Arial" w:hAnsi="Arial"/>
          <w:b/>
          <w:sz w:val="20"/>
          <w:szCs w:val="20"/>
          <w:lang w:val="es-ES"/>
        </w:rPr>
        <w:t>i)</w:t>
      </w:r>
      <w:r>
        <w:rPr>
          <w:rFonts w:cs="Arial" w:ascii="Arial" w:hAnsi="Arial"/>
          <w:bCs/>
          <w:sz w:val="20"/>
          <w:szCs w:val="20"/>
          <w:lang w:val="es-ES"/>
        </w:rPr>
        <w:t xml:space="preserve"> asegurar que los miembros de la comunidad puedan comprender y hacerse comprender en los procedimientos legales iniciados, facilitándoles intérpretes u otros medios eficaces para tal fin; </w:t>
      </w:r>
      <w:r>
        <w:rPr>
          <w:rFonts w:cs="Arial" w:ascii="Arial" w:hAnsi="Arial"/>
          <w:b/>
          <w:sz w:val="20"/>
          <w:szCs w:val="20"/>
          <w:lang w:val="es-ES"/>
        </w:rPr>
        <w:t>ii)</w:t>
      </w:r>
      <w:r>
        <w:rPr>
          <w:rFonts w:cs="Arial" w:ascii="Arial" w:hAnsi="Arial"/>
          <w:bCs/>
          <w:sz w:val="20"/>
          <w:szCs w:val="20"/>
          <w:lang w:val="es-ES"/>
        </w:rPr>
        <w:t xml:space="preserve"> proporcionar el acceso a los pueblos indígenas y tribales a asistencia técnica y legal en relación con su derecho a la propiedad colectiva, en el supuesto de que estos se encontrasen en una situación de vulnerabilidad que les impediría conseguirla, y </w:t>
      </w:r>
      <w:r>
        <w:rPr>
          <w:rFonts w:cs="Arial" w:ascii="Arial" w:hAnsi="Arial"/>
          <w:b/>
          <w:sz w:val="20"/>
          <w:szCs w:val="20"/>
          <w:lang w:val="es-ES"/>
        </w:rPr>
        <w:t>iii)</w:t>
      </w:r>
      <w:r>
        <w:rPr>
          <w:rFonts w:cs="Arial" w:ascii="Arial" w:hAnsi="Arial"/>
          <w:bCs/>
          <w:sz w:val="20"/>
          <w:szCs w:val="20"/>
          <w:lang w:val="es-ES"/>
        </w:rPr>
        <w:t xml:space="preserve"> facilitar el acceso físico a las instituciones administrativas y judiciales, o a los organismos encargados de garantizar el derecho a la propiedad colectiva de los pueblos indígenas y tribales, así como facilitar la participación de los pueblos 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Indígenas de Costa Rica.</w:t>
      </w:r>
    </w:p>
    <w:p>
      <w:pPr>
        <w:pStyle w:val="Normal"/>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7.</w:t>
      </w:r>
      <w:r>
        <w:rPr>
          <w:rFonts w:cs="Arial" w:ascii="Arial" w:hAnsi="Arial"/>
          <w:bCs/>
          <w:sz w:val="20"/>
          <w:szCs w:val="20"/>
          <w:lang w:val="es-ES"/>
        </w:rPr>
        <w:t xml:space="preserve"> Con absoluto respeto al principio de independencia judicial y los principios de Bangalore sobre la conducta judicial, entre otros, establecer políticas y prácticas de gestión de recursos humanos apropiadas, principalmente en cuanto a contratación, vinculación, entrenamiento, evaluación, promoción  y acciones disciplinarias; todo de conformidad con el ordenamiento jurídico y técnico aplicable, en lo relacionado con la aplicación del Derecho Indígena, con el objetivo de ofrecer a las personas usuarias indígenas una justicia pronta, cumplida, sin denegación y accesible; priorizando lo vinculado con los procesos judiciales en los que sean parte miembros del pueblo indígena Teribe y Bribrí de Salitre.</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8.</w:t>
      </w:r>
      <w:r>
        <w:rPr>
          <w:rFonts w:cs="Arial" w:ascii="Arial" w:hAnsi="Arial"/>
          <w:bCs/>
          <w:sz w:val="20"/>
          <w:szCs w:val="20"/>
          <w:lang w:val="es-ES"/>
        </w:rPr>
        <w:t xml:space="preserve"> 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ind w:left="851" w:right="851" w:firstLine="709"/>
        <w:jc w:val="both"/>
        <w:rPr>
          <w:rFonts w:ascii="Arial" w:hAnsi="Arial" w:cs="Arial"/>
          <w:bCs/>
          <w:sz w:val="20"/>
          <w:szCs w:val="20"/>
          <w:lang w:val="es-ES"/>
        </w:rPr>
      </w:pPr>
      <w:r>
        <w:rPr>
          <w:rFonts w:cs="Arial" w:ascii="Arial" w:hAnsi="Arial"/>
          <w:b/>
          <w:sz w:val="20"/>
          <w:szCs w:val="20"/>
          <w:lang w:val="es-ES"/>
        </w:rPr>
        <w:t>9.</w:t>
      </w:r>
      <w:r>
        <w:rPr>
          <w:rFonts w:cs="Arial" w:ascii="Arial" w:hAnsi="Arial"/>
          <w:bCs/>
          <w:sz w:val="20"/>
          <w:szCs w:val="20"/>
          <w:lang w:val="es-ES"/>
        </w:rPr>
        <w:t xml:space="preserve"> Realizar encuentros entre representantes del pueblo indígena Teribe y Bribrí de Salitre y personas funcionarias judiciales con competencia para conocer procesos judiciales vinculados con esa población, a efecto de que las personas indígenas capaciten a las y los 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pPr>
        <w:pStyle w:val="Normal"/>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10.</w:t>
      </w:r>
      <w:r>
        <w:rPr>
          <w:rFonts w:cs="Arial" w:ascii="Arial" w:hAnsi="Arial"/>
          <w:bCs/>
          <w:sz w:val="20"/>
          <w:szCs w:val="20"/>
          <w:lang w:val="es-ES"/>
        </w:rPr>
        <w:t xml:space="preserve"> Verificar que en los contenidos de los diseños de las capacitaciones en Derecho Indígena, se incluya al menos:</w:t>
      </w:r>
    </w:p>
    <w:p>
      <w:pPr>
        <w:pStyle w:val="Normal"/>
        <w:widowControl w:val="false"/>
        <w:numPr>
          <w:ilvl w:val="0"/>
          <w:numId w:val="1"/>
        </w:numPr>
        <w:tabs>
          <w:tab w:val="clear" w:pos="708"/>
          <w:tab w:val="left" w:pos="1662" w:leader="none"/>
        </w:tabs>
        <w:suppressAutoHyphens w:val="true"/>
        <w:spacing w:lineRule="auto" w:line="240" w:before="0" w:after="0"/>
        <w:ind w:left="851" w:right="851" w:firstLine="709"/>
        <w:jc w:val="both"/>
        <w:rPr>
          <w:rFonts w:ascii="Arial" w:hAnsi="Arial" w:cs="Arial"/>
          <w:bCs/>
          <w:sz w:val="20"/>
          <w:szCs w:val="20"/>
          <w:lang w:val="es-ES"/>
        </w:rPr>
      </w:pPr>
      <w:r>
        <w:rPr>
          <w:rFonts w:cs="Arial" w:ascii="Arial" w:hAnsi="Arial"/>
          <w:bCs/>
          <w:sz w:val="20"/>
          <w:szCs w:val="20"/>
          <w:lang w:val="es-ES"/>
        </w:rPr>
        <w:t>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pPr>
        <w:pStyle w:val="Normal"/>
        <w:widowControl w:val="false"/>
        <w:numPr>
          <w:ilvl w:val="0"/>
          <w:numId w:val="1"/>
        </w:numPr>
        <w:tabs>
          <w:tab w:val="clear" w:pos="708"/>
          <w:tab w:val="left" w:pos="1662" w:leader="none"/>
        </w:tabs>
        <w:suppressAutoHyphens w:val="true"/>
        <w:spacing w:lineRule="auto" w:line="240" w:before="0" w:after="0"/>
        <w:ind w:left="851" w:right="851" w:firstLine="709"/>
        <w:jc w:val="both"/>
        <w:rPr>
          <w:rFonts w:ascii="Arial" w:hAnsi="Arial" w:cs="Arial"/>
          <w:bCs/>
          <w:sz w:val="20"/>
          <w:szCs w:val="20"/>
          <w:lang w:val="es-ES"/>
        </w:rPr>
      </w:pPr>
      <w:r>
        <w:rPr>
          <w:rFonts w:cs="Arial" w:ascii="Arial" w:hAnsi="Arial"/>
          <w:bCs/>
          <w:sz w:val="20"/>
          <w:szCs w:val="20"/>
          <w:lang w:val="es-ES"/>
        </w:rPr>
        <w:t>Jurisprudencia de la Corte Interamericana de Derechos Humanos vinculada con pueblos Indígenas incluyendo la Opinión Consultiva 23-2017,</w:t>
      </w:r>
    </w:p>
    <w:p>
      <w:pPr>
        <w:pStyle w:val="Normal"/>
        <w:widowControl w:val="false"/>
        <w:numPr>
          <w:ilvl w:val="0"/>
          <w:numId w:val="1"/>
        </w:numPr>
        <w:tabs>
          <w:tab w:val="clear" w:pos="708"/>
          <w:tab w:val="left" w:pos="1662" w:leader="none"/>
        </w:tabs>
        <w:suppressAutoHyphens w:val="true"/>
        <w:spacing w:lineRule="auto" w:line="240" w:before="0" w:after="0"/>
        <w:ind w:left="851" w:right="851" w:firstLine="709"/>
        <w:jc w:val="both"/>
        <w:rPr>
          <w:rFonts w:ascii="Arial" w:hAnsi="Arial" w:cs="Arial"/>
          <w:bCs/>
          <w:sz w:val="20"/>
          <w:szCs w:val="20"/>
          <w:lang w:val="es-ES"/>
        </w:rPr>
      </w:pPr>
      <w:r>
        <w:rPr>
          <w:rFonts w:cs="Arial" w:ascii="Arial" w:hAnsi="Arial"/>
          <w:bCs/>
          <w:sz w:val="20"/>
          <w:szCs w:val="20"/>
          <w:lang w:val="es-ES"/>
        </w:rPr>
        <w:t>Constitución Política, Ley Indígena, Ley de Acceso a la Justicia de los Pueblos Indígenas, entre otras</w:t>
      </w:r>
    </w:p>
    <w:p>
      <w:pPr>
        <w:pStyle w:val="Normal"/>
        <w:widowControl w:val="false"/>
        <w:numPr>
          <w:ilvl w:val="0"/>
          <w:numId w:val="1"/>
        </w:numPr>
        <w:tabs>
          <w:tab w:val="clear" w:pos="708"/>
          <w:tab w:val="left" w:pos="1662" w:leader="none"/>
        </w:tabs>
        <w:suppressAutoHyphens w:val="true"/>
        <w:spacing w:lineRule="auto" w:line="240" w:before="0" w:after="0"/>
        <w:ind w:left="851" w:right="851" w:firstLine="709"/>
        <w:jc w:val="both"/>
        <w:rPr>
          <w:rFonts w:ascii="Arial" w:hAnsi="Arial" w:cs="Arial"/>
          <w:bCs/>
          <w:sz w:val="20"/>
          <w:szCs w:val="20"/>
          <w:lang w:val="es-ES"/>
        </w:rPr>
      </w:pPr>
      <w:r>
        <w:rPr>
          <w:rFonts w:cs="Arial" w:ascii="Arial" w:hAnsi="Arial"/>
          <w:bCs/>
          <w:sz w:val="20"/>
          <w:szCs w:val="20"/>
          <w:lang w:val="es-ES"/>
        </w:rPr>
        <w:t>Jurisprudencia de las Salas de Casación y de la Sala Constitucional de la Corte Suprema de Justicia.</w:t>
      </w:r>
    </w:p>
    <w:p>
      <w:pPr>
        <w:pStyle w:val="Normal"/>
        <w:widowControl w:val="false"/>
        <w:numPr>
          <w:ilvl w:val="0"/>
          <w:numId w:val="1"/>
        </w:numPr>
        <w:tabs>
          <w:tab w:val="clear" w:pos="708"/>
          <w:tab w:val="left" w:pos="952" w:leader="none"/>
        </w:tabs>
        <w:suppressAutoHyphens w:val="true"/>
        <w:spacing w:lineRule="auto" w:line="240" w:before="0" w:after="0"/>
        <w:ind w:left="851" w:right="851" w:firstLine="709"/>
        <w:jc w:val="both"/>
        <w:rPr>
          <w:rFonts w:ascii="Arial" w:hAnsi="Arial" w:cs="Arial"/>
          <w:bCs/>
          <w:sz w:val="20"/>
          <w:szCs w:val="20"/>
          <w:lang w:val="es-ES"/>
        </w:rPr>
      </w:pPr>
      <w:r>
        <w:rPr>
          <w:rFonts w:cs="Arial" w:ascii="Arial" w:hAnsi="Arial"/>
          <w:bCs/>
          <w:sz w:val="20"/>
          <w:szCs w:val="20"/>
          <w:lang w:val="es-ES"/>
        </w:rPr>
        <w:t>Lineamientos y circulares de Corte Plena y del Consejo Superior vinculados con las reglas para los procesos en los que estén involucradas personas indígenas; además, los alcances y distinción entre el sistema monista y el pluralismo jurídico.</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ind w:left="851" w:right="851" w:firstLine="709"/>
        <w:jc w:val="both"/>
        <w:rPr>
          <w:rFonts w:ascii="Arial" w:hAnsi="Arial" w:cs="Arial"/>
          <w:bCs/>
          <w:sz w:val="20"/>
          <w:szCs w:val="20"/>
          <w:lang w:val="es-ES"/>
        </w:rPr>
      </w:pPr>
      <w:r>
        <w:rPr>
          <w:rFonts w:cs="Arial" w:ascii="Arial" w:hAnsi="Arial"/>
          <w:b/>
          <w:sz w:val="20"/>
          <w:szCs w:val="20"/>
          <w:lang w:val="es-ES"/>
        </w:rPr>
        <w:t>11.</w:t>
      </w:r>
      <w:r>
        <w:rPr>
          <w:rFonts w:cs="Arial" w:ascii="Arial" w:hAnsi="Arial"/>
          <w:bCs/>
          <w:sz w:val="20"/>
          <w:szCs w:val="20"/>
          <w:lang w:val="es-ES"/>
        </w:rPr>
        <w:t xml:space="preserve"> 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Institución tiene experiencia pues para tal seguimiento del impacto de la capacitación se diseñó el Manual para realizar las evaluaciones de resultados de la capacitación judicial en el desempeño laboral por parte de la Escuela Judicial.</w:t>
      </w:r>
    </w:p>
    <w:p>
      <w:pPr>
        <w:pStyle w:val="Normal"/>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12.</w:t>
      </w:r>
      <w:r>
        <w:rPr>
          <w:rFonts w:cs="Arial" w:ascii="Arial" w:hAnsi="Arial"/>
          <w:bCs/>
          <w:sz w:val="20"/>
          <w:szCs w:val="20"/>
          <w:lang w:val="es-ES"/>
        </w:rPr>
        <w:t xml:space="preserve"> 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13.</w:t>
      </w:r>
      <w:r>
        <w:rPr>
          <w:rFonts w:cs="Arial" w:ascii="Arial" w:hAnsi="Arial"/>
          <w:bCs/>
          <w:sz w:val="20"/>
          <w:szCs w:val="20"/>
          <w:lang w:val="es-ES"/>
        </w:rPr>
        <w:t xml:space="preserve"> 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14.</w:t>
      </w:r>
      <w:r>
        <w:rPr>
          <w:rFonts w:cs="Arial" w:ascii="Arial" w:hAnsi="Arial"/>
          <w:bCs/>
          <w:sz w:val="20"/>
          <w:szCs w:val="20"/>
          <w:lang w:val="es-ES"/>
        </w:rPr>
        <w:t xml:space="preserve"> Valorar la posibilidad de establecer acuerdos interinstitucionales entre el Poder Judicial, el Poder Ejecutivo (y sus instituciones) y el Poder Legislativo, así como las Universidades estatales, a fin de que las acciones que se ejecuten vinculadas con personas indígenas, especialmente las relacionadas con las medidas cautelares de la CIDH, estén previamente coordinadas y sean consultadas a las personas indígenas.</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15.</w:t>
      </w:r>
      <w:r>
        <w:rPr>
          <w:rFonts w:cs="Arial" w:ascii="Arial" w:hAnsi="Arial"/>
          <w:bCs/>
          <w:sz w:val="20"/>
          <w:szCs w:val="20"/>
          <w:lang w:val="es-ES"/>
        </w:rPr>
        <w:t xml:space="preserve"> Instar al Instituto de Desarrollo Rural y al Ministerio de Justicia y Paz para que valoren la posibilidad de capacitar a las personas juzgadoras, defensoras públicas y fiscalas con competencia para conocer procesos en los que intervengan personas indígenas del pueblo indígena Teribe y Bribrí de Salitre, sobre las acciones emprendidas en el Plan de Recuperación de Tierras Indígenas y sistemas catastrales y registrales vinculados.</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16.</w:t>
      </w:r>
      <w:r>
        <w:rPr>
          <w:rFonts w:cs="Arial" w:ascii="Arial" w:hAnsi="Arial"/>
          <w:bCs/>
          <w:sz w:val="20"/>
          <w:szCs w:val="20"/>
          <w:lang w:val="es-ES"/>
        </w:rPr>
        <w:t xml:space="preserve"> Analizar opciones para brindar protección y seguridad a las personas indígenas beneficiarias de las medidas cautelares, dentro de sus territorios y acordes a sus costumbres.</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17.</w:t>
      </w:r>
      <w:r>
        <w:rPr>
          <w:rFonts w:cs="Arial" w:ascii="Arial" w:hAnsi="Arial"/>
          <w:bCs/>
          <w:sz w:val="20"/>
          <w:szCs w:val="20"/>
          <w:lang w:val="es-ES"/>
        </w:rPr>
        <w:t xml:space="preserve"> Realizar sesiones periódicas en las que se informe a miembros del pueblo indígena Teribe y Bribrí de Salitre beneficiarias de las medidas cautelares de la CIDH sobre los avances alcanzados.</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ind w:left="851" w:right="851" w:firstLine="709"/>
        <w:jc w:val="both"/>
        <w:rPr>
          <w:rFonts w:ascii="Arial" w:hAnsi="Arial" w:cs="Arial"/>
          <w:bCs/>
          <w:sz w:val="20"/>
          <w:szCs w:val="20"/>
          <w:lang w:val="es-ES"/>
        </w:rPr>
      </w:pPr>
      <w:r>
        <w:rPr>
          <w:rFonts w:cs="Arial" w:ascii="Arial" w:hAnsi="Arial"/>
          <w:b/>
          <w:sz w:val="20"/>
          <w:szCs w:val="20"/>
          <w:lang w:val="es-ES"/>
        </w:rPr>
        <w:t>18.</w:t>
      </w:r>
      <w:r>
        <w:rPr>
          <w:rFonts w:cs="Arial" w:ascii="Arial" w:hAnsi="Arial"/>
          <w:bCs/>
          <w:sz w:val="20"/>
          <w:szCs w:val="20"/>
          <w:lang w:val="es-ES"/>
        </w:rPr>
        <w:t xml:space="preserve"> Actualizar el convenio interinstitucional entre el Poder Judicial y la Universidad de Costa Rica con el objetivo de que incluya la Facultad de Derecho y la Escuela de Antropología para fortalecer el programa de peritajes culturales y de capacitaciones a las personas servidoras judiciales, con posibilidades de establecer acciones conjuntas con otras Escuelas de la UCR que podrían ofrecer insumos importantes en los peritajes culturales.</w:t>
      </w:r>
    </w:p>
    <w:p>
      <w:pPr>
        <w:pStyle w:val="Normal"/>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19.</w:t>
      </w:r>
      <w:r>
        <w:rPr>
          <w:rFonts w:cs="Arial" w:ascii="Arial" w:hAnsi="Arial"/>
          <w:bCs/>
          <w:sz w:val="20"/>
          <w:szCs w:val="20"/>
          <w:lang w:val="es-ES"/>
        </w:rPr>
        <w:t xml:space="preserve"> 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Cs/>
          <w:sz w:val="20"/>
          <w:szCs w:val="20"/>
          <w:lang w:val="es-ES"/>
        </w:rPr>
      </w:r>
    </w:p>
    <w:p>
      <w:pPr>
        <w:pStyle w:val="Normal"/>
        <w:tabs>
          <w:tab w:val="clear" w:pos="708"/>
          <w:tab w:val="left" w:pos="952" w:leader="none"/>
        </w:tabs>
        <w:ind w:left="851" w:right="851" w:firstLine="709"/>
        <w:jc w:val="both"/>
        <w:rPr>
          <w:rFonts w:ascii="Arial" w:hAnsi="Arial" w:cs="Arial"/>
          <w:bCs/>
          <w:sz w:val="20"/>
          <w:szCs w:val="20"/>
          <w:lang w:val="es-ES"/>
        </w:rPr>
      </w:pPr>
      <w:r>
        <w:rPr>
          <w:rFonts w:cs="Arial" w:ascii="Arial" w:hAnsi="Arial"/>
          <w:b/>
          <w:sz w:val="20"/>
          <w:szCs w:val="20"/>
          <w:lang w:val="es-ES"/>
        </w:rPr>
        <w:t xml:space="preserve"> </w:t>
      </w:r>
      <w:r>
        <w:rPr>
          <w:rFonts w:cs="Arial" w:ascii="Arial" w:hAnsi="Arial"/>
          <w:b/>
          <w:sz w:val="20"/>
          <w:szCs w:val="20"/>
          <w:lang w:val="es-ES"/>
        </w:rPr>
        <w:t xml:space="preserve">20. </w:t>
      </w:r>
      <w:r>
        <w:rPr>
          <w:rFonts w:cs="Arial" w:ascii="Arial" w:hAnsi="Arial"/>
          <w:bCs/>
          <w:sz w:val="20"/>
          <w:szCs w:val="20"/>
          <w:lang w:val="es-ES"/>
        </w:rPr>
        <w:t>Participar como parte del Estado en los encuentros que se realicen entre las personas indígenas beneficiarias de las medidas y otras instituciones del Estado.”</w:t>
      </w:r>
    </w:p>
    <w:p>
      <w:pPr>
        <w:pStyle w:val="Normal"/>
        <w:ind w:left="851" w:right="851" w:firstLine="709"/>
        <w:jc w:val="both"/>
        <w:rPr>
          <w:rFonts w:ascii="Arial" w:hAnsi="Arial" w:cs="Arial"/>
          <w:b/>
          <w:b/>
          <w:bCs/>
          <w:sz w:val="20"/>
          <w:szCs w:val="20"/>
          <w:lang w:val="es-ES"/>
        </w:rPr>
      </w:pPr>
      <w:r>
        <w:rPr>
          <w:rFonts w:cs="Arial" w:ascii="Arial" w:hAnsi="Arial"/>
          <w:b/>
          <w:bCs/>
          <w:sz w:val="20"/>
          <w:szCs w:val="20"/>
          <w:lang w:val="es-ES"/>
        </w:rPr>
      </w:r>
    </w:p>
    <w:p>
      <w:pPr>
        <w:pStyle w:val="Normal"/>
        <w:ind w:left="851" w:right="851" w:firstLine="709"/>
        <w:jc w:val="both"/>
        <w:rPr>
          <w:rFonts w:ascii="Arial" w:hAnsi="Arial" w:cs="Arial"/>
          <w:b/>
          <w:b/>
          <w:bCs/>
          <w:sz w:val="20"/>
          <w:szCs w:val="20"/>
          <w:lang w:val="es-ES"/>
        </w:rPr>
      </w:pPr>
      <w:r>
        <w:rPr>
          <w:rFonts w:cs="Arial" w:ascii="Arial" w:hAnsi="Arial"/>
          <w:b/>
          <w:bCs/>
          <w:sz w:val="20"/>
          <w:szCs w:val="20"/>
          <w:lang w:val="es-ES"/>
        </w:rPr>
      </w:r>
    </w:p>
    <w:p>
      <w:pPr>
        <w:pStyle w:val="Normal"/>
        <w:ind w:left="851" w:right="851" w:hanging="0"/>
        <w:jc w:val="both"/>
        <w:rPr>
          <w:rFonts w:ascii="Arial" w:hAnsi="Arial" w:eastAsia="Times New Roman" w:cs="Arial"/>
          <w:sz w:val="20"/>
          <w:szCs w:val="20"/>
          <w:lang w:val="es-ES" w:eastAsia="es-ES"/>
        </w:rPr>
      </w:pPr>
      <w:r>
        <w:rPr>
          <w:rFonts w:cs="Arial" w:ascii="Arial" w:hAnsi="Arial"/>
          <w:b/>
          <w:bCs/>
          <w:sz w:val="20"/>
          <w:szCs w:val="20"/>
          <w:lang w:val="es-ES"/>
        </w:rPr>
        <w:t>San José, 17 de octubre de 2019</w:t>
      </w:r>
    </w:p>
    <w:p>
      <w:pPr>
        <w:pStyle w:val="Ttulo55"/>
        <w:keepNext w:val="false"/>
        <w:tabs>
          <w:tab w:val="clear" w:pos="0"/>
        </w:tabs>
        <w:ind w:left="851" w:hanging="0"/>
        <w:rPr>
          <w:rFonts w:ascii="Arial" w:hAnsi="Arial" w:eastAsia="Times New Roman" w:cs="Arial"/>
          <w:i w:val="false"/>
          <w:i w:val="false"/>
          <w:iCs w:val="false"/>
          <w:sz w:val="20"/>
          <w:szCs w:val="20"/>
          <w:u w:val="none"/>
          <w:shd w:fill="auto" w:val="clear"/>
        </w:rPr>
      </w:pPr>
      <w:r>
        <w:rPr>
          <w:rFonts w:eastAsia="Times New Roman" w:cs="Arial" w:ascii="Arial" w:hAnsi="Arial"/>
          <w:i w:val="false"/>
          <w:iCs w:val="false"/>
          <w:sz w:val="20"/>
          <w:szCs w:val="20"/>
          <w:u w:val="none"/>
          <w:shd w:fill="auto" w:val="clear"/>
        </w:rPr>
        <w:t>Licda. Silvia Navarro Romanini</w:t>
      </w:r>
    </w:p>
    <w:p>
      <w:pPr>
        <w:pStyle w:val="Ttulo55"/>
        <w:keepNext w:val="false"/>
        <w:tabs>
          <w:tab w:val="clear" w:pos="0"/>
        </w:tabs>
        <w:ind w:left="851" w:hanging="0"/>
        <w:rPr>
          <w:rFonts w:ascii="Arial" w:hAnsi="Arial" w:eastAsia="Times New Roman" w:cs="Arial"/>
          <w:i w:val="false"/>
          <w:i w:val="false"/>
          <w:iCs w:val="false"/>
          <w:sz w:val="20"/>
          <w:szCs w:val="20"/>
          <w:u w:val="none"/>
          <w:shd w:fill="auto" w:val="clear"/>
        </w:rPr>
      </w:pPr>
      <w:r>
        <w:rPr>
          <w:rFonts w:eastAsia="Times New Roman" w:cs="Arial" w:ascii="Arial" w:hAnsi="Arial"/>
          <w:i w:val="false"/>
          <w:iCs w:val="false"/>
          <w:sz w:val="20"/>
          <w:szCs w:val="20"/>
          <w:u w:val="none"/>
          <w:shd w:fill="auto" w:val="clear"/>
        </w:rPr>
        <w:t>Secretaria General</w:t>
      </w:r>
    </w:p>
    <w:p>
      <w:pPr>
        <w:pStyle w:val="Normal"/>
        <w:ind w:left="851" w:hanging="0"/>
        <w:jc w:val="center"/>
        <w:rPr>
          <w:rFonts w:ascii="Arial" w:hAnsi="Arial" w:cs="Arial"/>
          <w:b/>
          <w:b/>
          <w:bCs/>
          <w:sz w:val="20"/>
          <w:szCs w:val="20"/>
          <w:lang w:val="es-ES"/>
        </w:rPr>
      </w:pPr>
      <w:r>
        <w:rPr>
          <w:rFonts w:cs="Arial" w:ascii="Arial" w:hAnsi="Arial"/>
          <w:b/>
          <w:bCs/>
          <w:sz w:val="20"/>
          <w:szCs w:val="20"/>
          <w:lang w:val="es-ES"/>
        </w:rPr>
        <w:t>Corte Suprema de Justicia</w:t>
      </w:r>
    </w:p>
    <w:p>
      <w:pPr>
        <w:pStyle w:val="NormalWeb"/>
        <w:spacing w:before="0" w:after="0"/>
        <w:ind w:left="142" w:right="141" w:hanging="0"/>
        <w:jc w:val="both"/>
        <w:rPr>
          <w:rFonts w:ascii="Arial" w:hAnsi="Arial" w:cs="Arial"/>
          <w:b/>
          <w:b/>
          <w:bCs/>
          <w:sz w:val="20"/>
          <w:szCs w:val="20"/>
          <w:lang w:val="es-ES"/>
        </w:rPr>
      </w:pPr>
      <w:r>
        <w:rPr>
          <w:rFonts w:cs="Arial" w:ascii="Arial" w:hAnsi="Arial"/>
          <w:sz w:val="20"/>
          <w:szCs w:val="20"/>
          <w:lang w:val="es-ES"/>
        </w:rPr>
        <w:t>fpr</w:t>
      </w:r>
    </w:p>
    <w:p>
      <w:pPr>
        <w:pStyle w:val="NormalWeb"/>
        <w:spacing w:before="0" w:after="0"/>
        <w:ind w:left="142" w:right="141" w:hanging="0"/>
        <w:jc w:val="both"/>
        <w:rPr>
          <w:rFonts w:ascii="Arial" w:hAnsi="Arial" w:cs="Arial"/>
          <w:sz w:val="20"/>
          <w:szCs w:val="20"/>
          <w:lang w:val="es-ES"/>
        </w:rPr>
      </w:pPr>
      <w:r>
        <w:rPr>
          <w:rFonts w:cs="Arial" w:ascii="Arial" w:hAnsi="Arial"/>
          <w:sz w:val="20"/>
          <w:szCs w:val="20"/>
          <w:lang w:val="es-ES"/>
        </w:rPr>
        <w:t>Ref: (5484-19 y 6338-19)</w:t>
      </w:r>
    </w:p>
    <w:p>
      <w:pPr>
        <w:pStyle w:val="Normal"/>
        <w:jc w:val="both"/>
        <w:rPr>
          <w:rFonts w:ascii="Arial" w:hAnsi="Arial" w:cs="Arial"/>
          <w:sz w:val="20"/>
          <w:szCs w:val="20"/>
        </w:rPr>
      </w:pPr>
      <w:r>
        <w:rPr/>
        <w:object>
          <v:shape id="ole_rId107" style="width:75.15pt;height:48.85pt" o:ole="">
            <v:imagedata r:id="rId108" o:title=""/>
          </v:shape>
          <o:OLEObject Type="Embed" ProgID="Package" ShapeID="ole_rId107" DrawAspect="Icon" ObjectID="_1682059641" r:id="rId107"/>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XVIII</w:t>
      </w:r>
    </w:p>
    <w:p>
      <w:pPr>
        <w:pStyle w:val="Normal"/>
        <w:jc w:val="both"/>
        <w:rPr>
          <w:rFonts w:ascii="Arial" w:hAnsi="Arial" w:cs="Arial"/>
          <w:sz w:val="20"/>
          <w:szCs w:val="20"/>
        </w:rPr>
      </w:pPr>
      <w:r>
        <w:rPr>
          <w:rFonts w:cs="Arial" w:ascii="Arial" w:hAnsi="Arial"/>
          <w:sz w:val="20"/>
          <w:szCs w:val="20"/>
        </w:rPr>
        <w:t>Se conoce de la Circular 192-19:</w:t>
      </w:r>
    </w:p>
    <w:p>
      <w:pPr>
        <w:pStyle w:val="Normal"/>
        <w:ind w:left="708" w:firstLine="709"/>
        <w:jc w:val="center"/>
        <w:rPr>
          <w:rFonts w:ascii="Arial" w:hAnsi="Arial" w:cs="Arial"/>
          <w:b/>
          <w:b/>
          <w:bCs/>
          <w:sz w:val="20"/>
          <w:szCs w:val="20"/>
          <w:u w:val="single"/>
          <w:lang w:val="es-ES"/>
        </w:rPr>
      </w:pPr>
      <w:r>
        <w:rPr>
          <w:rFonts w:cs="Arial" w:ascii="Arial" w:hAnsi="Arial"/>
          <w:b/>
          <w:bCs/>
          <w:sz w:val="20"/>
          <w:szCs w:val="20"/>
          <w:u w:val="single"/>
          <w:lang w:val="es-ES"/>
        </w:rPr>
        <w:t>CIRCULAR No. 192-2019</w:t>
      </w:r>
    </w:p>
    <w:p>
      <w:pPr>
        <w:pStyle w:val="Normal"/>
        <w:ind w:left="708" w:firstLine="709"/>
        <w:jc w:val="both"/>
        <w:rPr>
          <w:rFonts w:ascii="Arial" w:hAnsi="Arial" w:cs="Arial"/>
          <w:sz w:val="20"/>
          <w:szCs w:val="20"/>
          <w:lang w:val="es-ES" w:eastAsia="zh-CN"/>
        </w:rPr>
      </w:pPr>
      <w:bookmarkStart w:id="5" w:name="_Hlk22815979"/>
      <w:r>
        <w:rPr>
          <w:rFonts w:cs="Arial" w:ascii="Arial" w:hAnsi="Arial"/>
          <w:b/>
          <w:bCs/>
          <w:sz w:val="20"/>
          <w:szCs w:val="20"/>
          <w:u w:val="single"/>
          <w:lang w:val="es-ES"/>
        </w:rPr>
        <w:t>Asunto</w:t>
      </w:r>
      <w:r>
        <w:rPr>
          <w:rFonts w:cs="Arial" w:ascii="Arial" w:hAnsi="Arial"/>
          <w:sz w:val="20"/>
          <w:szCs w:val="20"/>
          <w:lang w:val="es-ES"/>
        </w:rPr>
        <w:t>: Deber de las personas servidoras judiciales de utilizar lenguaje claro y sencillo</w:t>
      </w:r>
      <w:bookmarkEnd w:id="5"/>
      <w:r>
        <w:rPr>
          <w:rFonts w:cs="Arial" w:ascii="Arial" w:hAnsi="Arial"/>
          <w:sz w:val="20"/>
          <w:szCs w:val="20"/>
          <w:lang w:val="es-ES"/>
        </w:rPr>
        <w:t xml:space="preserve"> en la atención de personas indígenas.</w:t>
      </w:r>
    </w:p>
    <w:p>
      <w:pPr>
        <w:pStyle w:val="Normal"/>
        <w:ind w:left="708" w:firstLine="709"/>
        <w:jc w:val="both"/>
        <w:rPr>
          <w:rFonts w:ascii="Arial" w:hAnsi="Arial" w:cs="Arial"/>
          <w:sz w:val="20"/>
          <w:szCs w:val="20"/>
          <w:lang w:val="es-ES"/>
        </w:rPr>
      </w:pPr>
      <w:r>
        <w:rPr>
          <w:rFonts w:cs="Arial" w:ascii="Arial" w:hAnsi="Arial"/>
          <w:sz w:val="20"/>
          <w:szCs w:val="20"/>
          <w:lang w:val="es-ES"/>
        </w:rPr>
        <w:t xml:space="preserve">    </w:t>
      </w:r>
    </w:p>
    <w:p>
      <w:pPr>
        <w:pStyle w:val="Normal"/>
        <w:ind w:left="708" w:firstLine="709"/>
        <w:jc w:val="both"/>
        <w:rPr>
          <w:rFonts w:ascii="Arial" w:hAnsi="Arial" w:cs="Arial"/>
          <w:sz w:val="20"/>
          <w:szCs w:val="20"/>
          <w:lang w:val="es-ES"/>
        </w:rPr>
      </w:pPr>
      <w:r>
        <w:rPr>
          <w:rFonts w:cs="Arial" w:ascii="Arial" w:hAnsi="Arial"/>
          <w:sz w:val="20"/>
          <w:szCs w:val="20"/>
          <w:lang w:val="es-ES"/>
        </w:rPr>
      </w:r>
    </w:p>
    <w:p>
      <w:pPr>
        <w:pStyle w:val="Normal"/>
        <w:ind w:left="708" w:firstLine="709"/>
        <w:jc w:val="both"/>
        <w:rPr>
          <w:rFonts w:ascii="Arial" w:hAnsi="Arial" w:cs="Arial"/>
          <w:b/>
          <w:b/>
          <w:bCs/>
          <w:sz w:val="20"/>
          <w:szCs w:val="20"/>
          <w:u w:val="single"/>
          <w:lang w:val="es-ES"/>
        </w:rPr>
      </w:pPr>
      <w:r>
        <w:rPr>
          <w:rFonts w:cs="Arial" w:ascii="Arial" w:hAnsi="Arial"/>
          <w:b/>
          <w:bCs/>
          <w:sz w:val="20"/>
          <w:szCs w:val="20"/>
          <w:u w:val="single"/>
          <w:lang w:val="es-ES"/>
        </w:rPr>
        <w:t xml:space="preserve">A LOS DESPACHOS JUDICIALES DEL PAÍS </w:t>
      </w:r>
    </w:p>
    <w:p>
      <w:pPr>
        <w:pStyle w:val="Normal"/>
        <w:ind w:left="708" w:firstLine="709"/>
        <w:jc w:val="both"/>
        <w:rPr>
          <w:rFonts w:ascii="Arial" w:hAnsi="Arial" w:cs="Arial"/>
          <w:b/>
          <w:b/>
          <w:bCs/>
          <w:sz w:val="20"/>
          <w:szCs w:val="20"/>
          <w:lang w:val="es-ES"/>
        </w:rPr>
      </w:pPr>
      <w:r>
        <w:rPr>
          <w:rFonts w:cs="Arial" w:ascii="Arial" w:hAnsi="Arial"/>
          <w:b/>
          <w:bCs/>
          <w:sz w:val="20"/>
          <w:szCs w:val="20"/>
          <w:u w:val="single"/>
          <w:lang w:val="es-ES"/>
        </w:rPr>
        <w:t>SE LES HACE SABER QUE</w:t>
      </w:r>
      <w:r>
        <w:rPr>
          <w:rFonts w:cs="Arial" w:ascii="Arial" w:hAnsi="Arial"/>
          <w:b/>
          <w:bCs/>
          <w:sz w:val="20"/>
          <w:szCs w:val="20"/>
          <w:lang w:val="es-ES"/>
        </w:rPr>
        <w:t>:</w:t>
      </w:r>
    </w:p>
    <w:p>
      <w:pPr>
        <w:pStyle w:val="Textodebloque2"/>
        <w:ind w:left="708" w:right="0" w:firstLine="709"/>
        <w:rPr>
          <w:rFonts w:ascii="Arial" w:hAnsi="Arial" w:cs="Arial"/>
          <w:sz w:val="20"/>
          <w:szCs w:val="20"/>
          <w:lang w:val="es-ES"/>
        </w:rPr>
      </w:pPr>
      <w:r>
        <w:rPr>
          <w:rFonts w:cs="Arial" w:ascii="Arial" w:hAnsi="Arial"/>
          <w:sz w:val="20"/>
          <w:szCs w:val="20"/>
          <w:lang w:val="es-ES"/>
        </w:rPr>
      </w:r>
    </w:p>
    <w:p>
      <w:pPr>
        <w:pStyle w:val="Textodebloque2"/>
        <w:ind w:left="708" w:right="0" w:firstLine="709"/>
        <w:rPr>
          <w:rFonts w:ascii="Arial" w:hAnsi="Arial" w:cs="Arial"/>
          <w:sz w:val="20"/>
          <w:szCs w:val="20"/>
          <w:lang w:val="es-ES"/>
        </w:rPr>
      </w:pPr>
      <w:r>
        <w:rPr>
          <w:rFonts w:cs="Arial" w:ascii="Arial" w:hAnsi="Arial"/>
          <w:sz w:val="20"/>
          <w:szCs w:val="20"/>
          <w:lang w:val="es-ES"/>
        </w:rPr>
        <w:t xml:space="preserve">El Consejo Superior del Poder Judicial en sesión No. 89-19 celebrada el 15 de octubre de 2019, artículo LXXXIV, dispuso acoger la recomendación remitida por la Unidad de Acceso a la Justicia, en oficio CACC-301-2019, del 4 de octubre de 2019, respecto a instar a las personas servidoras judiciales que atiendan procesos vinculados con personas indígenas para que en las resoluciones que emitan en forma escrita u oral y en las audiencias, utilicen un lenguaje claro y sencillo; comprensible para esa población y para las personas traductoras e intérpretes a fin de facilitar el proceso de transmisión de la información. </w:t>
      </w:r>
    </w:p>
    <w:p>
      <w:pPr>
        <w:pStyle w:val="Normal"/>
        <w:ind w:left="1559" w:right="851" w:firstLine="567"/>
        <w:jc w:val="both"/>
        <w:rPr>
          <w:rFonts w:ascii="Arial" w:hAnsi="Arial" w:cs="Arial"/>
          <w:sz w:val="20"/>
          <w:szCs w:val="20"/>
          <w:lang w:val="es-ES"/>
        </w:rPr>
      </w:pPr>
      <w:r>
        <w:rPr>
          <w:rFonts w:cs="Arial" w:ascii="Arial" w:hAnsi="Arial"/>
          <w:sz w:val="20"/>
          <w:szCs w:val="20"/>
          <w:lang w:val="es-ES"/>
        </w:rPr>
      </w:r>
    </w:p>
    <w:p>
      <w:pPr>
        <w:pStyle w:val="Normal"/>
        <w:ind w:left="1559" w:right="851" w:firstLine="567"/>
        <w:jc w:val="both"/>
        <w:rPr>
          <w:rFonts w:ascii="Arial" w:hAnsi="Arial" w:cs="Arial"/>
          <w:sz w:val="20"/>
          <w:szCs w:val="20"/>
          <w:lang w:val="es-ES" w:eastAsia="es-ES"/>
        </w:rPr>
      </w:pPr>
      <w:r>
        <w:rPr>
          <w:rFonts w:cs="Arial" w:ascii="Arial" w:hAnsi="Arial"/>
          <w:b/>
          <w:bCs/>
          <w:sz w:val="20"/>
          <w:szCs w:val="20"/>
          <w:lang w:val="es-ES"/>
        </w:rPr>
        <w:t>San José, 24 de octubre de 2019</w:t>
      </w:r>
    </w:p>
    <w:p>
      <w:pPr>
        <w:pStyle w:val="Ttulo51"/>
        <w:keepNext w:val="false"/>
        <w:shd w:fill="FFFFFF" w:val="clear"/>
        <w:ind w:left="1559" w:right="851" w:hanging="0"/>
        <w:jc w:val="both"/>
        <w:rPr>
          <w:rFonts w:ascii="Arial" w:hAnsi="Arial" w:cs="Arial"/>
          <w:i w:val="false"/>
          <w:i w:val="false"/>
          <w:iCs w:val="false"/>
          <w:sz w:val="20"/>
          <w:szCs w:val="20"/>
          <w:u w:val="none"/>
          <w:lang w:val="es-ES" w:eastAsia="zh-CN"/>
        </w:rPr>
      </w:pPr>
      <w:r>
        <w:rPr>
          <w:rFonts w:cs="Arial" w:ascii="Arial" w:hAnsi="Arial"/>
          <w:i w:val="false"/>
          <w:iCs w:val="false"/>
          <w:sz w:val="20"/>
          <w:szCs w:val="20"/>
          <w:u w:val="none"/>
          <w:lang w:val="es-ES"/>
        </w:rPr>
        <w:t>Lic. Carlos Toscano Mora Rodríguez</w:t>
      </w:r>
    </w:p>
    <w:p>
      <w:pPr>
        <w:pStyle w:val="Ttulo51"/>
        <w:keepNext w:val="false"/>
        <w:shd w:fill="FFFFFF" w:val="clear"/>
        <w:ind w:left="1559" w:right="851" w:hanging="0"/>
        <w:jc w:val="both"/>
        <w:rPr>
          <w:rFonts w:ascii="Arial" w:hAnsi="Arial" w:cs="Arial"/>
          <w:i w:val="false"/>
          <w:i w:val="false"/>
          <w:iCs w:val="false"/>
          <w:sz w:val="20"/>
          <w:szCs w:val="20"/>
          <w:u w:val="none"/>
          <w:lang w:val="es-ES"/>
        </w:rPr>
      </w:pPr>
      <w:r>
        <w:rPr>
          <w:rFonts w:cs="Arial" w:ascii="Arial" w:hAnsi="Arial"/>
          <w:i w:val="false"/>
          <w:iCs w:val="false"/>
          <w:sz w:val="20"/>
          <w:szCs w:val="20"/>
          <w:u w:val="none"/>
          <w:lang w:val="es-ES"/>
        </w:rPr>
        <w:t>Subsecretario General interino</w:t>
      </w:r>
    </w:p>
    <w:p>
      <w:pPr>
        <w:pStyle w:val="Normal"/>
        <w:ind w:left="1559" w:right="851" w:hanging="0"/>
        <w:jc w:val="both"/>
        <w:rPr>
          <w:rFonts w:ascii="Arial" w:hAnsi="Arial" w:cs="Arial"/>
          <w:b/>
          <w:b/>
          <w:bCs/>
          <w:sz w:val="20"/>
          <w:szCs w:val="20"/>
          <w:lang w:val="es-ES"/>
        </w:rPr>
      </w:pPr>
      <w:r>
        <w:rPr>
          <w:rFonts w:cs="Arial" w:ascii="Arial" w:hAnsi="Arial"/>
          <w:b/>
          <w:bCs/>
          <w:sz w:val="20"/>
          <w:szCs w:val="20"/>
          <w:lang w:val="es-ES"/>
        </w:rPr>
        <w:t>Corte Suprema de Justicia</w:t>
      </w:r>
    </w:p>
    <w:p>
      <w:pPr>
        <w:pStyle w:val="Normal"/>
        <w:ind w:left="708" w:hanging="0"/>
        <w:jc w:val="both"/>
        <w:rPr>
          <w:rFonts w:ascii="Arial" w:hAnsi="Arial" w:cs="Arial"/>
          <w:sz w:val="20"/>
          <w:szCs w:val="20"/>
          <w:lang w:val="es-ES"/>
        </w:rPr>
      </w:pPr>
      <w:r>
        <w:rPr>
          <w:rFonts w:cs="Arial" w:ascii="Arial" w:hAnsi="Arial"/>
          <w:sz w:val="20"/>
          <w:szCs w:val="20"/>
          <w:lang w:val="es-ES"/>
        </w:rPr>
        <w:t>Refs.: 5484-19 / 12851-19-19</w:t>
      </w:r>
    </w:p>
    <w:p>
      <w:pPr>
        <w:pStyle w:val="Normal"/>
        <w:ind w:left="708" w:hanging="0"/>
        <w:jc w:val="both"/>
        <w:rPr>
          <w:rFonts w:ascii="Arial" w:hAnsi="Arial" w:cs="Arial"/>
          <w:sz w:val="20"/>
          <w:szCs w:val="20"/>
          <w:lang w:val="es-ES"/>
        </w:rPr>
      </w:pPr>
      <w:r>
        <w:rPr>
          <w:rFonts w:cs="Arial" w:ascii="Arial" w:hAnsi="Arial"/>
          <w:sz w:val="20"/>
          <w:szCs w:val="20"/>
          <w:lang w:val="es-ES"/>
        </w:rPr>
        <w:t>VFS</w:t>
      </w:r>
    </w:p>
    <w:p>
      <w:pPr>
        <w:pStyle w:val="Normal"/>
        <w:ind w:left="708" w:hanging="0"/>
        <w:jc w:val="both"/>
        <w:rPr>
          <w:rFonts w:ascii="Arial" w:hAnsi="Arial" w:cs="Arial"/>
          <w:sz w:val="20"/>
          <w:szCs w:val="20"/>
          <w:lang w:val="es-ES"/>
        </w:rPr>
      </w:pPr>
      <w:r>
        <w:rPr/>
        <w:object>
          <v:shape id="ole_rId109" style="width:75.15pt;height:48.85pt" o:ole="">
            <v:imagedata r:id="rId110" o:title=""/>
          </v:shape>
          <o:OLEObject Type="Embed" ProgID="Package" ShapeID="ole_rId109" DrawAspect="Icon" ObjectID="_541025213" r:id="rId109"/>
        </w:objec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XIX</w:t>
      </w:r>
    </w:p>
    <w:p>
      <w:pPr>
        <w:pStyle w:val="Normal"/>
        <w:jc w:val="both"/>
        <w:rPr>
          <w:rFonts w:ascii="Arial" w:hAnsi="Arial" w:cs="Arial"/>
          <w:sz w:val="20"/>
          <w:szCs w:val="20"/>
        </w:rPr>
      </w:pPr>
      <w:r>
        <w:rPr>
          <w:rFonts w:cs="Arial" w:ascii="Arial" w:hAnsi="Arial"/>
          <w:sz w:val="20"/>
          <w:szCs w:val="20"/>
        </w:rPr>
        <w:t>Solicitud a Fiscalía Indígena para que expongan experiencia en territorios indígenas en comunicado electrónico enviado el 31 de octubre pasado.</w:t>
      </w:r>
    </w:p>
    <w:p>
      <w:pPr>
        <w:pStyle w:val="Normal"/>
        <w:jc w:val="both"/>
        <w:rPr>
          <w:rFonts w:ascii="Arial" w:hAnsi="Arial" w:cs="Arial"/>
          <w:sz w:val="20"/>
          <w:szCs w:val="20"/>
        </w:rPr>
      </w:pPr>
      <w:r>
        <w:rPr/>
        <w:object>
          <v:shape id="ole_rId111" style="width:75.15pt;height:48.85pt" o:ole="">
            <v:imagedata r:id="rId112" o:title=""/>
          </v:shape>
          <o:OLEObject Type="Embed" ProgID="Package" ShapeID="ole_rId111" DrawAspect="Icon" ObjectID="_1311243369" r:id="rId111"/>
        </w:object>
      </w:r>
    </w:p>
    <w:p>
      <w:pPr>
        <w:pStyle w:val="Normal"/>
        <w:jc w:val="both"/>
        <w:rPr>
          <w:rFonts w:ascii="Arial" w:hAnsi="Arial" w:cs="Arial"/>
          <w:sz w:val="20"/>
          <w:szCs w:val="20"/>
        </w:rPr>
      </w:pPr>
      <w:r>
        <w:rPr>
          <w:rFonts w:cs="Arial" w:ascii="Arial" w:hAnsi="Arial"/>
          <w:sz w:val="20"/>
          <w:szCs w:val="20"/>
        </w:rPr>
        <w:t>Se informa por parte del representante de la Fiscalía Indígena que es una práctica que se hace por parte de la Fiscalía a los territorios indígenas en forma periódica con la colaboración de la Oficina de Protección de Víctimas. Hasta el momento se han hecho 16 visitas a territorios indígenas, especialmente el seguimiento a las MC 321-12 de la CIDH:Cabagra, Rey Curré, Salitre y Boruca; así como Colegios y centros educativos. No se visitó Térraba. Se le da un taller a las personas que asisten y se incluye un tema, en este caso el de violencia. Hay una amplia participación de estudiantes y se dejan documentos donde se exponen los teléfonos de la Fiscalía con una traducción del artículo 71 del CPP, con la colaboración de Alí García. Se atienden denuncias y consultas en general de agrario y otros temas. Se hacen enlaces con otras oficinas como con doña Ligia Jiménez.</w: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w:t>
      </w:r>
    </w:p>
    <w:p>
      <w:pPr>
        <w:pStyle w:val="Normal"/>
        <w:jc w:val="both"/>
        <w:rPr>
          <w:rFonts w:ascii="Arial" w:hAnsi="Arial" w:cs="Arial"/>
          <w:sz w:val="20"/>
          <w:szCs w:val="20"/>
        </w:rPr>
      </w:pPr>
      <w:r>
        <w:rPr>
          <w:rFonts w:cs="Arial" w:ascii="Arial" w:hAnsi="Arial"/>
          <w:sz w:val="20"/>
          <w:szCs w:val="20"/>
        </w:rPr>
        <w:t>Informa la jueza Damaris Vargas que se remitió solicitud a la Dirección de Planificación para que se incluya en el Sistema de Información Georeferencial la ubicación de los territorios indígenas.</w:t>
      </w:r>
    </w:p>
    <w:p>
      <w:pPr>
        <w:pStyle w:val="Normal"/>
        <w:rPr>
          <w:rFonts w:ascii="Arial" w:hAnsi="Arial" w:cs="Arial"/>
          <w:sz w:val="20"/>
          <w:szCs w:val="20"/>
        </w:rPr>
      </w:pPr>
      <w:r>
        <w:rPr>
          <w:rFonts w:cs="Arial" w:ascii="Arial" w:hAnsi="Arial"/>
          <w:sz w:val="20"/>
          <w:szCs w:val="20"/>
        </w:rPr>
      </w:r>
    </w:p>
    <w:p>
      <w:pPr>
        <w:pStyle w:val="Normal"/>
        <w:rPr>
          <w:rFonts w:ascii="Arial" w:hAnsi="Arial" w:eastAsia="Times New Roman" w:cs="Arial"/>
          <w:sz w:val="20"/>
          <w:szCs w:val="20"/>
          <w:lang w:val="es-ES" w:eastAsia="es-CR"/>
        </w:rPr>
      </w:pPr>
      <w:r>
        <w:rPr>
          <w:rFonts w:eastAsia="Times New Roman" w:cs="Arial" w:ascii="Arial" w:hAnsi="Arial"/>
          <w:b/>
          <w:bCs/>
          <w:sz w:val="20"/>
          <w:szCs w:val="20"/>
          <w:lang w:val="es-ES"/>
        </w:rPr>
        <w:t>De:</w:t>
      </w:r>
      <w:r>
        <w:rPr>
          <w:rFonts w:eastAsia="Times New Roman" w:cs="Arial" w:ascii="Arial" w:hAnsi="Arial"/>
          <w:sz w:val="20"/>
          <w:szCs w:val="20"/>
          <w:lang w:val="es-ES"/>
        </w:rPr>
        <w:t xml:space="preserve"> Damaris Vargas Vásquez &lt;dvargas@Poder-Judicial.go.cr&gt; </w:t>
        <w:br/>
      </w:r>
      <w:r>
        <w:rPr>
          <w:rFonts w:eastAsia="Times New Roman" w:cs="Arial" w:ascii="Arial" w:hAnsi="Arial"/>
          <w:b/>
          <w:bCs/>
          <w:sz w:val="20"/>
          <w:szCs w:val="20"/>
          <w:lang w:val="es-ES"/>
        </w:rPr>
        <w:t>Enviado el:</w:t>
      </w:r>
      <w:r>
        <w:rPr>
          <w:rFonts w:eastAsia="Times New Roman" w:cs="Arial" w:ascii="Arial" w:hAnsi="Arial"/>
          <w:sz w:val="20"/>
          <w:szCs w:val="20"/>
          <w:lang w:val="es-ES"/>
        </w:rPr>
        <w:t xml:space="preserve"> jueves, 31 de octubre de 2019 05:04 a.m.</w:t>
        <w:br/>
      </w:r>
      <w:r>
        <w:rPr>
          <w:rFonts w:eastAsia="Times New Roman" w:cs="Arial" w:ascii="Arial" w:hAnsi="Arial"/>
          <w:b/>
          <w:bCs/>
          <w:sz w:val="20"/>
          <w:szCs w:val="20"/>
          <w:lang w:val="es-ES"/>
        </w:rPr>
        <w:t>Para:</w:t>
      </w:r>
      <w:r>
        <w:rPr>
          <w:rFonts w:eastAsia="Times New Roman" w:cs="Arial" w:ascii="Arial" w:hAnsi="Arial"/>
          <w:sz w:val="20"/>
          <w:szCs w:val="20"/>
          <w:lang w:val="es-ES"/>
        </w:rPr>
        <w:t xml:space="preserve"> Allan Pow Hing Cordero &lt;apowhing@Poder-Judicial.go.cr&gt;</w:t>
        <w:br/>
      </w:r>
      <w:r>
        <w:rPr>
          <w:rFonts w:eastAsia="Times New Roman" w:cs="Arial" w:ascii="Arial" w:hAnsi="Arial"/>
          <w:b/>
          <w:bCs/>
          <w:sz w:val="20"/>
          <w:szCs w:val="20"/>
          <w:lang w:val="es-ES"/>
        </w:rPr>
        <w:t>CC:</w:t>
      </w:r>
      <w:r>
        <w:rPr>
          <w:rFonts w:eastAsia="Times New Roman" w:cs="Arial" w:ascii="Arial" w:hAnsi="Arial"/>
          <w:sz w:val="20"/>
          <w:szCs w:val="20"/>
          <w:lang w:val="es-ES"/>
        </w:rPr>
        <w:t xml:space="preserve"> Acceso a la Justicia &lt;accesojusticia@Poder-Judicial.go.cr&gt;; Luis Guillermo Rivas Loáiciga &lt;lgrivas@Poder-Judicial.go.cr&gt;; Damaris Vargas Vásquez &lt;dvargas@Poder-Judicial.go.cr&gt;</w:t>
        <w:br/>
      </w:r>
      <w:r>
        <w:rPr>
          <w:rFonts w:eastAsia="Times New Roman" w:cs="Arial" w:ascii="Arial" w:hAnsi="Arial"/>
          <w:b/>
          <w:bCs/>
          <w:sz w:val="20"/>
          <w:szCs w:val="20"/>
          <w:lang w:val="es-ES"/>
        </w:rPr>
        <w:t>Asunto:</w:t>
      </w:r>
      <w:r>
        <w:rPr>
          <w:rFonts w:eastAsia="Times New Roman" w:cs="Arial" w:ascii="Arial" w:hAnsi="Arial"/>
          <w:sz w:val="20"/>
          <w:szCs w:val="20"/>
          <w:lang w:val="es-ES"/>
        </w:rPr>
        <w:t xml:space="preserve"> RV: Actualidad Judicial, Miércoles 30 de Octubre de 2019</w:t>
      </w:r>
    </w:p>
    <w:p>
      <w:pPr>
        <w:pStyle w:val="Normal"/>
        <w:jc w:val="both"/>
        <w:rPr>
          <w:rFonts w:ascii="Arial" w:hAnsi="Arial" w:cs="Arial"/>
          <w:sz w:val="20"/>
          <w:szCs w:val="20"/>
        </w:rPr>
      </w:pPr>
      <w:r>
        <w:rPr>
          <w:rFonts w:cs="Arial" w:ascii="Arial" w:hAnsi="Arial"/>
          <w:sz w:val="20"/>
          <w:szCs w:val="20"/>
        </w:rPr>
        <w:t>Estimado don Allan.</w:t>
      </w:r>
    </w:p>
    <w:p>
      <w:pPr>
        <w:pStyle w:val="Normal"/>
        <w:jc w:val="both"/>
        <w:rPr>
          <w:rFonts w:ascii="Arial" w:hAnsi="Arial" w:cs="Arial"/>
          <w:sz w:val="20"/>
          <w:szCs w:val="20"/>
        </w:rPr>
      </w:pPr>
      <w:r>
        <w:rPr>
          <w:rFonts w:cs="Arial" w:ascii="Arial" w:hAnsi="Arial"/>
          <w:sz w:val="20"/>
          <w:szCs w:val="20"/>
        </w:rPr>
        <w:t>Buenos días. Consulto sobre la posibilidad de que en el Sistema de Información Georeferencial se identifique la ubicación oficial de los territorios indígenas de Costa Rica. Sería de mucha utilidad para los despachos Agrarios, y demás oficinas con competencia para conocer procesos vinculados con la población indígena.</w:t>
      </w:r>
    </w:p>
    <w:p>
      <w:pPr>
        <w:pStyle w:val="Normal"/>
        <w:jc w:val="both"/>
        <w:rPr>
          <w:rFonts w:ascii="Arial" w:hAnsi="Arial" w:cs="Arial"/>
          <w:sz w:val="20"/>
          <w:szCs w:val="20"/>
        </w:rPr>
      </w:pPr>
      <w:r>
        <w:rPr>
          <w:rFonts w:cs="Arial" w:ascii="Arial" w:hAnsi="Arial"/>
          <w:sz w:val="20"/>
          <w:szCs w:val="20"/>
        </w:rPr>
        <w:t>Desde la Subcomisión de Acceso a la Justicia de Pueblos Indígenas se esta en la mayor disposición para colaborarle en lo que sea necesario, de la misma forma que en la Comisión de la Jurisdicción Agraria.</w:t>
      </w:r>
    </w:p>
    <w:p>
      <w:pPr>
        <w:pStyle w:val="Normal"/>
        <w:jc w:val="both"/>
        <w:rPr>
          <w:rFonts w:ascii="Arial" w:hAnsi="Arial" w:cs="Arial"/>
          <w:sz w:val="20"/>
          <w:szCs w:val="20"/>
          <w:lang w:eastAsia="es-CR"/>
        </w:rPr>
      </w:pPr>
      <w:r>
        <w:rPr>
          <w:rFonts w:cs="Arial" w:ascii="Arial" w:hAnsi="Arial"/>
          <w:sz w:val="20"/>
          <w:szCs w:val="20"/>
        </w:rPr>
        <w:t>Saludos cordiales,</w:t>
      </w:r>
    </w:p>
    <w:p>
      <w:pPr>
        <w:pStyle w:val="Normal"/>
        <w:ind w:left="708" w:hanging="0"/>
        <w:rPr>
          <w:rFonts w:ascii="Arial" w:hAnsi="Arial" w:cs="Arial"/>
          <w:i/>
          <w:i/>
          <w:iCs/>
          <w:sz w:val="20"/>
          <w:szCs w:val="20"/>
        </w:rPr>
      </w:pPr>
      <w:r>
        <w:rPr>
          <w:rFonts w:cs="Arial" w:ascii="Arial" w:hAnsi="Arial"/>
          <w:i/>
          <w:iCs/>
          <w:sz w:val="20"/>
          <w:szCs w:val="20"/>
        </w:rPr>
      </w:r>
    </w:p>
    <w:p>
      <w:pPr>
        <w:pStyle w:val="Normal"/>
        <w:rPr>
          <w:rFonts w:ascii="Arial" w:hAnsi="Arial" w:cs="Arial"/>
          <w:i/>
          <w:i/>
          <w:iCs/>
          <w:sz w:val="20"/>
          <w:szCs w:val="20"/>
        </w:rPr>
      </w:pPr>
      <w:r>
        <w:rPr>
          <w:rFonts w:cs="Arial" w:ascii="Arial" w:hAnsi="Arial"/>
          <w:i/>
          <w:iCs/>
          <w:sz w:val="20"/>
          <w:szCs w:val="20"/>
        </w:rPr>
        <w:t>Damaris Vargas Vásquez</w:t>
      </w:r>
    </w:p>
    <w:p>
      <w:pPr>
        <w:pStyle w:val="Normal"/>
        <w:jc w:val="both"/>
        <w:rPr>
          <w:rFonts w:ascii="Arial" w:hAnsi="Arial" w:cs="Arial"/>
          <w:sz w:val="20"/>
          <w:szCs w:val="20"/>
        </w:rPr>
      </w:pPr>
      <w:r>
        <w:rPr>
          <w:rFonts w:cs="Arial" w:ascii="Arial" w:hAnsi="Arial"/>
          <w:sz w:val="20"/>
          <w:szCs w:val="20"/>
        </w:rPr>
      </w:r>
    </w:p>
    <w:p>
      <w:pPr>
        <w:pStyle w:val="Normal"/>
        <w:jc w:val="both"/>
        <w:rPr>
          <w:rFonts w:ascii="Arial" w:hAnsi="Arial" w:cs="Arial"/>
          <w:sz w:val="20"/>
          <w:szCs w:val="20"/>
        </w:rPr>
      </w:pPr>
      <w:r>
        <w:rPr/>
        <w:object>
          <v:shape id="ole_rId113" style="width:75.15pt;height:48.85pt" o:ole="">
            <v:imagedata r:id="rId114" o:title=""/>
          </v:shape>
          <o:OLEObject Type="Embed" ProgID="Package" ShapeID="ole_rId113" DrawAspect="Icon" ObjectID="_1363011845" r:id="rId113"/>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xml:space="preserve">: 1° Se toma nota. 2° Solicitar al Ingenidero Allam Paw Hing Cordero de la Dirección de Planificación informe de avances de la gestión planteada. 3° Comunicar este acuerdo al señor  Hing Cordero por medio de la Unidad de Acceso a la Justicia. </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XXI</w:t>
      </w:r>
    </w:p>
    <w:p>
      <w:pPr>
        <w:pStyle w:val="Normal"/>
        <w:jc w:val="both"/>
        <w:rPr>
          <w:rFonts w:ascii="Arial" w:hAnsi="Arial" w:cs="Arial"/>
          <w:sz w:val="20"/>
          <w:szCs w:val="20"/>
        </w:rPr>
      </w:pPr>
      <w:r>
        <w:rPr>
          <w:rFonts w:cs="Arial" w:ascii="Arial" w:hAnsi="Arial"/>
          <w:sz w:val="20"/>
          <w:szCs w:val="20"/>
        </w:rPr>
        <w:t>Se conoce de la propuesta de campaña planteada por el Departamento de Prensa y Comunicación Organizacional y de las sugerencias enviadas por la Defensa Pública, la Fiscalía Indígena, entre otras personas integrantes de la Subcomisión de Acceso a la Justicia de Pueblos Indígenas.</w:t>
      </w:r>
    </w:p>
    <w:p>
      <w:pPr>
        <w:pStyle w:val="Normal"/>
        <w:jc w:val="both"/>
        <w:rPr>
          <w:rFonts w:ascii="Arial" w:hAnsi="Arial" w:cs="Arial"/>
          <w:sz w:val="20"/>
          <w:szCs w:val="20"/>
        </w:rPr>
      </w:pPr>
      <w:r>
        <w:rPr/>
        <w:object>
          <v:shape id="ole_rId115" style="width:75.15pt;height:48.85pt" o:ole="">
            <v:imagedata r:id="rId116" o:title=""/>
          </v:shape>
          <o:OLEObject Type="Embed" ProgID="Package" ShapeID="ole_rId115" DrawAspect="Icon" ObjectID="_859316232" r:id="rId115"/>
        </w:object>
      </w:r>
      <w:r>
        <w:rPr/>
        <w:object>
          <v:shape id="ole_rId117" style="width:75.15pt;height:48.85pt" o:ole="">
            <v:imagedata r:id="rId118" o:title=""/>
          </v:shape>
          <o:OLEObject Type="Embed" ProgID="Package" ShapeID="ole_rId117" DrawAspect="Icon" ObjectID="_2101383529" r:id="rId117"/>
        </w:object>
      </w:r>
      <w:r>
        <w:rPr/>
        <w:object>
          <v:shape id="ole_rId119" style="width:75.15pt;height:48.85pt" o:ole="">
            <v:imagedata r:id="rId120" o:title=""/>
          </v:shape>
          <o:OLEObject Type="Embed" ProgID="Package" ShapeID="ole_rId119" DrawAspect="Icon" ObjectID="_529451446" r:id="rId119"/>
        </w:object>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1° Se toma nota. 2° Solicitar al Departamento de Prensa y Comunicación Organizacional por medio de la Unidad de Acceso a la Justicia valorar incorporar las sugerencias planteadas a la campaña propuesta. 3° Comuníquese este acuerdo por medio de la Unidad de Acceso a la Justicia.</w:t>
      </w:r>
    </w:p>
    <w:p>
      <w:pPr>
        <w:pStyle w:val="Normal"/>
        <w:jc w:val="both"/>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XXII</w:t>
      </w:r>
    </w:p>
    <w:p>
      <w:pPr>
        <w:pStyle w:val="Normal"/>
        <w:jc w:val="both"/>
        <w:rPr>
          <w:rFonts w:ascii="Arial" w:hAnsi="Arial" w:cs="Arial"/>
          <w:sz w:val="20"/>
          <w:szCs w:val="20"/>
        </w:rPr>
      </w:pPr>
      <w:r>
        <w:rPr>
          <w:rFonts w:cs="Arial" w:ascii="Arial" w:hAnsi="Arial"/>
          <w:sz w:val="20"/>
          <w:szCs w:val="20"/>
        </w:rPr>
        <w:t>Se conoce gestión formulada por la integrante, Antropóloga Valeria Varas del INAMU:</w:t>
      </w:r>
    </w:p>
    <w:p>
      <w:pPr>
        <w:pStyle w:val="Normal"/>
        <w:rPr>
          <w:rFonts w:ascii="Arial" w:hAnsi="Arial" w:eastAsia="Times New Roman" w:cs="Arial"/>
          <w:sz w:val="20"/>
          <w:szCs w:val="20"/>
          <w:lang w:val="es-ES" w:eastAsia="es-CR"/>
        </w:rPr>
      </w:pPr>
      <w:r>
        <w:rPr>
          <w:rFonts w:eastAsia="Times New Roman" w:cs="Arial" w:ascii="Arial" w:hAnsi="Arial"/>
          <w:b/>
          <w:bCs/>
          <w:sz w:val="20"/>
          <w:szCs w:val="20"/>
          <w:lang w:val="es-ES"/>
        </w:rPr>
        <w:t>De:</w:t>
      </w:r>
      <w:r>
        <w:rPr>
          <w:rFonts w:eastAsia="Times New Roman" w:cs="Arial" w:ascii="Arial" w:hAnsi="Arial"/>
          <w:sz w:val="20"/>
          <w:szCs w:val="20"/>
          <w:lang w:val="es-ES"/>
        </w:rPr>
        <w:t xml:space="preserve"> Ilse Valeria Varas Rojas &lt;vvaras@inamu.go.cr&gt; </w:t>
        <w:br/>
      </w:r>
      <w:r>
        <w:rPr>
          <w:rFonts w:eastAsia="Times New Roman" w:cs="Arial" w:ascii="Arial" w:hAnsi="Arial"/>
          <w:b/>
          <w:bCs/>
          <w:sz w:val="20"/>
          <w:szCs w:val="20"/>
          <w:lang w:val="es-ES"/>
        </w:rPr>
        <w:t>Enviado el:</w:t>
      </w:r>
      <w:r>
        <w:rPr>
          <w:rFonts w:eastAsia="Times New Roman" w:cs="Arial" w:ascii="Arial" w:hAnsi="Arial"/>
          <w:sz w:val="20"/>
          <w:szCs w:val="20"/>
          <w:lang w:val="es-ES"/>
        </w:rPr>
        <w:t xml:space="preserve"> viernes, 01 de noviembre de 2019 09:11 a.m.</w:t>
        <w:br/>
      </w:r>
      <w:r>
        <w:rPr>
          <w:rFonts w:eastAsia="Times New Roman" w:cs="Arial" w:ascii="Arial" w:hAnsi="Arial"/>
          <w:b/>
          <w:bCs/>
          <w:sz w:val="20"/>
          <w:szCs w:val="20"/>
          <w:lang w:val="es-ES"/>
        </w:rPr>
        <w:t>Para:</w:t>
      </w:r>
      <w:r>
        <w:rPr>
          <w:rFonts w:eastAsia="Times New Roman" w:cs="Arial" w:ascii="Arial" w:hAnsi="Arial"/>
          <w:sz w:val="20"/>
          <w:szCs w:val="20"/>
          <w:lang w:val="es-ES"/>
        </w:rPr>
        <w:t xml:space="preserve"> Damaris Vargas Vásquez &lt;dvargas@Poder-Judicial.go.cr&gt;</w:t>
        <w:br/>
      </w:r>
      <w:r>
        <w:rPr>
          <w:rFonts w:eastAsia="Times New Roman" w:cs="Arial" w:ascii="Arial" w:hAnsi="Arial"/>
          <w:b/>
          <w:bCs/>
          <w:sz w:val="20"/>
          <w:szCs w:val="20"/>
          <w:lang w:val="es-ES"/>
        </w:rPr>
        <w:t>CC:</w:t>
      </w:r>
      <w:r>
        <w:rPr>
          <w:rFonts w:eastAsia="Times New Roman" w:cs="Arial" w:ascii="Arial" w:hAnsi="Arial"/>
          <w:sz w:val="20"/>
          <w:szCs w:val="20"/>
          <w:lang w:val="es-ES"/>
        </w:rPr>
        <w:t xml:space="preserve"> Katherine Salazar Duarte &lt;ksalazard@Poder-Judicial.go.cr&gt;; Angie Calderón Chaves &lt;acalderonc@Poder-Judicial.go.cr&gt;</w:t>
        <w:br/>
      </w:r>
      <w:r>
        <w:rPr>
          <w:rFonts w:eastAsia="Times New Roman" w:cs="Arial" w:ascii="Arial" w:hAnsi="Arial"/>
          <w:b/>
          <w:bCs/>
          <w:sz w:val="20"/>
          <w:szCs w:val="20"/>
          <w:lang w:val="es-ES"/>
        </w:rPr>
        <w:t>Asunto:</w:t>
      </w:r>
      <w:r>
        <w:rPr>
          <w:rFonts w:eastAsia="Times New Roman" w:cs="Arial" w:ascii="Arial" w:hAnsi="Arial"/>
          <w:sz w:val="20"/>
          <w:szCs w:val="20"/>
          <w:lang w:val="es-ES"/>
        </w:rPr>
        <w:t xml:space="preserve"> RE: Oficio CACC-304-2019 Valeria Varas Rojas- Acuerdo Subcomisión de Pueblos Indígenas</w:t>
      </w:r>
    </w:p>
    <w:p>
      <w:pPr>
        <w:pStyle w:val="Normal"/>
        <w:rPr>
          <w:rFonts w:ascii="Arial" w:hAnsi="Arial" w:cs="Arial"/>
          <w:sz w:val="20"/>
          <w:szCs w:val="20"/>
        </w:rPr>
      </w:pPr>
      <w:r>
        <w:rPr>
          <w:rFonts w:cs="Arial" w:ascii="Arial" w:hAnsi="Arial"/>
          <w:sz w:val="20"/>
          <w:szCs w:val="20"/>
        </w:rPr>
        <w:t>Muy buenos días a todas.</w:t>
      </w:r>
    </w:p>
    <w:p>
      <w:pPr>
        <w:pStyle w:val="Normal"/>
        <w:rPr>
          <w:rFonts w:ascii="Arial" w:hAnsi="Arial" w:cs="Arial"/>
          <w:sz w:val="20"/>
          <w:szCs w:val="20"/>
        </w:rPr>
      </w:pPr>
      <w:r>
        <w:rPr>
          <w:rFonts w:cs="Arial" w:ascii="Arial" w:hAnsi="Arial"/>
          <w:sz w:val="20"/>
          <w:szCs w:val="20"/>
        </w:rPr>
        <w:t>En relación a la solicitud de  contactar a algunas mujeres indígenas para que traduzcan y hagan de intérpretes en los juicios, tengo unas interesadas que me han mandado sus contactos y que a continuación les entrego. No está de más sugerirles, de la manera más respetuosa, que es importante que se les deje muy clara la condición de pago y espero que el asunto de la factura electrónica esté resuelto ya que para ellas es casi imposible conseguirla y luego estar reportando a Hacienda sus ingresos mensuales. El hacer de intérpretes, les hace mucha ilusión así que espero que todo resulte muy bien.</w:t>
      </w:r>
    </w:p>
    <w:p>
      <w:pPr>
        <w:pStyle w:val="Normal"/>
        <w:rPr>
          <w:rFonts w:ascii="Arial" w:hAnsi="Arial" w:cs="Arial"/>
          <w:sz w:val="20"/>
          <w:szCs w:val="20"/>
        </w:rPr>
      </w:pPr>
      <w:r>
        <w:rPr>
          <w:rFonts w:cs="Arial" w:ascii="Arial" w:hAnsi="Arial"/>
          <w:sz w:val="20"/>
          <w:szCs w:val="20"/>
        </w:rPr>
        <w:t xml:space="preserve">Aún nos falta el XVIII Foro Nacional de Mujeres Indígenas que se realizará el 3 y 4 de diciembre, en donde puedo consultar por más mujeres interesadas. </w:t>
      </w:r>
    </w:p>
    <w:p>
      <w:pPr>
        <w:pStyle w:val="Normal"/>
        <w:ind w:left="708" w:hanging="0"/>
        <w:rPr>
          <w:rFonts w:ascii="Arial" w:hAnsi="Arial" w:cs="Arial"/>
          <w:sz w:val="20"/>
          <w:szCs w:val="20"/>
        </w:rPr>
      </w:pPr>
      <w:r>
        <w:rPr>
          <w:rFonts w:cs="Arial" w:ascii="Arial" w:hAnsi="Arial"/>
          <w:sz w:val="20"/>
          <w:szCs w:val="20"/>
        </w:rPr>
        <w:t> </w:t>
      </w:r>
    </w:p>
    <w:tbl>
      <w:tblPr>
        <w:tblW w:w="8818" w:type="dxa"/>
        <w:jc w:val="left"/>
        <w:tblInd w:w="708" w:type="dxa"/>
        <w:tblLayout w:type="fixed"/>
        <w:tblCellMar>
          <w:top w:w="0" w:type="dxa"/>
          <w:left w:w="108" w:type="dxa"/>
          <w:bottom w:w="0" w:type="dxa"/>
          <w:right w:w="108" w:type="dxa"/>
        </w:tblCellMar>
        <w:tblLook w:firstRow="1" w:noVBand="1" w:lastRow="0" w:firstColumn="1" w:lastColumn="0" w:noHBand="0" w:val="04a0"/>
      </w:tblPr>
      <w:tblGrid>
        <w:gridCol w:w="2213"/>
        <w:gridCol w:w="1223"/>
        <w:gridCol w:w="1240"/>
        <w:gridCol w:w="2043"/>
        <w:gridCol w:w="1104"/>
        <w:gridCol w:w="994"/>
      </w:tblGrid>
      <w:tr>
        <w:trPr/>
        <w:tc>
          <w:tcPr>
            <w:tcW w:w="2213" w:type="dxa"/>
            <w:tcBorders>
              <w:top w:val="single" w:sz="8" w:space="0" w:color="000000"/>
              <w:left w:val="single" w:sz="8" w:space="0" w:color="000000"/>
              <w:bottom w:val="single" w:sz="8" w:space="0" w:color="000000"/>
              <w:right w:val="single" w:sz="8" w:space="0" w:color="000000"/>
            </w:tcBorders>
          </w:tcPr>
          <w:p>
            <w:pPr>
              <w:pStyle w:val="Normal"/>
              <w:widowControl w:val="false"/>
              <w:spacing w:before="0" w:after="160"/>
              <w:jc w:val="center"/>
              <w:rPr>
                <w:rFonts w:ascii="Arial" w:hAnsi="Arial" w:cs="Arial"/>
                <w:sz w:val="20"/>
                <w:szCs w:val="20"/>
              </w:rPr>
            </w:pPr>
            <w:r>
              <w:rPr>
                <w:rFonts w:cs="Arial" w:ascii="Arial" w:hAnsi="Arial"/>
                <w:b/>
                <w:bCs/>
                <w:sz w:val="20"/>
                <w:szCs w:val="20"/>
              </w:rPr>
              <w:t>Nombre</w:t>
            </w:r>
          </w:p>
        </w:tc>
        <w:tc>
          <w:tcPr>
            <w:tcW w:w="1223" w:type="dxa"/>
            <w:tcBorders>
              <w:top w:val="single" w:sz="8" w:space="0" w:color="000000"/>
              <w:bottom w:val="single" w:sz="8" w:space="0" w:color="000000"/>
              <w:right w:val="single" w:sz="8" w:space="0" w:color="000000"/>
            </w:tcBorders>
          </w:tcPr>
          <w:p>
            <w:pPr>
              <w:pStyle w:val="Normal"/>
              <w:widowControl w:val="false"/>
              <w:spacing w:before="0" w:after="160"/>
              <w:jc w:val="center"/>
              <w:rPr>
                <w:rFonts w:ascii="Arial" w:hAnsi="Arial" w:cs="Arial"/>
                <w:sz w:val="20"/>
                <w:szCs w:val="20"/>
              </w:rPr>
            </w:pPr>
            <w:r>
              <w:rPr>
                <w:rFonts w:cs="Arial" w:ascii="Arial" w:hAnsi="Arial"/>
                <w:b/>
                <w:bCs/>
                <w:sz w:val="20"/>
                <w:szCs w:val="20"/>
              </w:rPr>
              <w:t>teléfono</w:t>
            </w:r>
          </w:p>
        </w:tc>
        <w:tc>
          <w:tcPr>
            <w:tcW w:w="1240" w:type="dxa"/>
            <w:tcBorders>
              <w:top w:val="single" w:sz="8" w:space="0" w:color="000000"/>
              <w:bottom w:val="single" w:sz="8" w:space="0" w:color="000000"/>
              <w:right w:val="single" w:sz="8" w:space="0" w:color="000000"/>
            </w:tcBorders>
          </w:tcPr>
          <w:p>
            <w:pPr>
              <w:pStyle w:val="Normal"/>
              <w:widowControl w:val="false"/>
              <w:spacing w:before="0" w:after="160"/>
              <w:jc w:val="center"/>
              <w:rPr>
                <w:rFonts w:ascii="Arial" w:hAnsi="Arial" w:cs="Arial"/>
                <w:sz w:val="20"/>
                <w:szCs w:val="20"/>
              </w:rPr>
            </w:pPr>
            <w:r>
              <w:rPr>
                <w:rFonts w:cs="Arial" w:ascii="Arial" w:hAnsi="Arial"/>
                <w:b/>
                <w:bCs/>
                <w:sz w:val="20"/>
                <w:szCs w:val="20"/>
              </w:rPr>
              <w:t>cédula</w:t>
            </w:r>
          </w:p>
        </w:tc>
        <w:tc>
          <w:tcPr>
            <w:tcW w:w="2043" w:type="dxa"/>
            <w:tcBorders>
              <w:top w:val="single" w:sz="8" w:space="0" w:color="000000"/>
              <w:bottom w:val="single" w:sz="8" w:space="0" w:color="000000"/>
              <w:right w:val="single" w:sz="8" w:space="0" w:color="000000"/>
            </w:tcBorders>
          </w:tcPr>
          <w:p>
            <w:pPr>
              <w:pStyle w:val="Normal"/>
              <w:widowControl w:val="false"/>
              <w:spacing w:before="0" w:after="160"/>
              <w:jc w:val="center"/>
              <w:rPr>
                <w:rFonts w:ascii="Arial" w:hAnsi="Arial" w:cs="Arial"/>
                <w:sz w:val="20"/>
                <w:szCs w:val="20"/>
              </w:rPr>
            </w:pPr>
            <w:r>
              <w:rPr>
                <w:rFonts w:cs="Arial" w:ascii="Arial" w:hAnsi="Arial"/>
                <w:b/>
                <w:bCs/>
                <w:sz w:val="20"/>
                <w:szCs w:val="20"/>
              </w:rPr>
              <w:t>Lugar donde vive</w:t>
            </w:r>
          </w:p>
        </w:tc>
        <w:tc>
          <w:tcPr>
            <w:tcW w:w="1104" w:type="dxa"/>
            <w:tcBorders>
              <w:top w:val="single" w:sz="8" w:space="0" w:color="000000"/>
              <w:bottom w:val="single" w:sz="8" w:space="0" w:color="000000"/>
              <w:right w:val="single" w:sz="8" w:space="0" w:color="000000"/>
            </w:tcBorders>
          </w:tcPr>
          <w:p>
            <w:pPr>
              <w:pStyle w:val="Normal"/>
              <w:widowControl w:val="false"/>
              <w:spacing w:before="0" w:after="160"/>
              <w:jc w:val="center"/>
              <w:rPr>
                <w:rFonts w:ascii="Arial" w:hAnsi="Arial" w:cs="Arial"/>
                <w:sz w:val="20"/>
                <w:szCs w:val="20"/>
              </w:rPr>
            </w:pPr>
            <w:r>
              <w:rPr>
                <w:rFonts w:cs="Arial" w:ascii="Arial" w:hAnsi="Arial"/>
                <w:b/>
                <w:bCs/>
                <w:sz w:val="20"/>
                <w:szCs w:val="20"/>
              </w:rPr>
              <w:t>Pueblo indígena</w:t>
            </w:r>
          </w:p>
        </w:tc>
        <w:tc>
          <w:tcPr>
            <w:tcW w:w="994" w:type="dxa"/>
            <w:tcBorders>
              <w:top w:val="single" w:sz="8" w:space="0" w:color="000000"/>
              <w:bottom w:val="single" w:sz="8" w:space="0" w:color="000000"/>
              <w:right w:val="single" w:sz="8" w:space="0" w:color="000000"/>
            </w:tcBorders>
          </w:tcPr>
          <w:p>
            <w:pPr>
              <w:pStyle w:val="Normal"/>
              <w:widowControl w:val="false"/>
              <w:spacing w:before="0" w:after="160"/>
              <w:jc w:val="center"/>
              <w:rPr>
                <w:rFonts w:ascii="Arial" w:hAnsi="Arial" w:cs="Arial"/>
                <w:sz w:val="20"/>
                <w:szCs w:val="20"/>
              </w:rPr>
            </w:pPr>
            <w:r>
              <w:rPr>
                <w:rFonts w:cs="Arial" w:ascii="Arial" w:hAnsi="Arial"/>
                <w:b/>
                <w:bCs/>
                <w:sz w:val="20"/>
                <w:szCs w:val="20"/>
              </w:rPr>
              <w:t>Idioma</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Elizabeth Herrera Martínez</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b/>
                <w:b/>
                <w:bCs/>
                <w:sz w:val="20"/>
                <w:szCs w:val="20"/>
              </w:rPr>
            </w:pPr>
            <w:r>
              <w:rPr>
                <w:rFonts w:cs="Arial" w:ascii="Arial" w:hAnsi="Arial"/>
                <w:b/>
                <w:bCs/>
                <w:sz w:val="20"/>
                <w:szCs w:val="20"/>
              </w:rPr>
              <w:t>Valor 001</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3-362-295</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Jicoteca de Tayutic, Alto Chirripó</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Cabecar</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Cabecar</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Ileana Moya Obando</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b/>
                <w:bCs/>
                <w:sz w:val="20"/>
                <w:szCs w:val="20"/>
              </w:rPr>
              <w:t>Valor 002</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3-0427-0270</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Jicoteca de Tayutic, Alto Chirripó</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Cabecar</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Cabecar</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Martha Eugenia Palacio Palacio</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b/>
                <w:bCs/>
                <w:sz w:val="20"/>
                <w:szCs w:val="20"/>
              </w:rPr>
              <w:t>Valor 003</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6 0308 0029</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Altos Laguna</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Ngäbe</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Ngäbere </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Domitila Carrera Caballero</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b/>
                <w:bCs/>
                <w:sz w:val="20"/>
                <w:szCs w:val="20"/>
              </w:rPr>
              <w:t>Valor 004</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9 100 408</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Altos Laguna  </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Ngäbe</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Ngäbere </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Ofelina Bejarano Aguirre</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b/>
                <w:bCs/>
                <w:sz w:val="20"/>
                <w:szCs w:val="20"/>
              </w:rPr>
              <w:t>Valor 005</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9 105 315</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Altos Laguna  </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Ngäbe</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Ngäbere </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Nelly Gallardo Carpintero </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b/>
                <w:bCs/>
                <w:sz w:val="20"/>
                <w:szCs w:val="20"/>
              </w:rPr>
              <w:t>Valor 006</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9 104 255</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La Casona</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Ngäbe</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Ngäbere </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Diana Carolina Bejarano</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b/>
                <w:bCs/>
                <w:sz w:val="20"/>
                <w:szCs w:val="20"/>
              </w:rPr>
              <w:t>Valor 007</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6 0421 0929</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La Casona</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Ngäbe</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Ngäbere </w:t>
            </w:r>
          </w:p>
        </w:tc>
      </w:tr>
      <w:tr>
        <w:trPr/>
        <w:tc>
          <w:tcPr>
            <w:tcW w:w="2213" w:type="dxa"/>
            <w:tcBorders>
              <w:left w:val="single" w:sz="8" w:space="0" w:color="000000"/>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Rosibel Rodríguez Gallardo</w:t>
            </w:r>
          </w:p>
        </w:tc>
        <w:tc>
          <w:tcPr>
            <w:tcW w:w="122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b/>
                <w:bCs/>
                <w:sz w:val="20"/>
                <w:szCs w:val="20"/>
              </w:rPr>
              <w:t>Valor 008</w:t>
            </w:r>
          </w:p>
        </w:tc>
        <w:tc>
          <w:tcPr>
            <w:tcW w:w="1240"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6 0047 0947</w:t>
            </w:r>
          </w:p>
        </w:tc>
        <w:tc>
          <w:tcPr>
            <w:tcW w:w="2043"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La Casona</w:t>
            </w:r>
          </w:p>
        </w:tc>
        <w:tc>
          <w:tcPr>
            <w:tcW w:w="110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Ngäbe</w:t>
            </w:r>
          </w:p>
        </w:tc>
        <w:tc>
          <w:tcPr>
            <w:tcW w:w="994" w:type="dxa"/>
            <w:tcBorders>
              <w:bottom w:val="single" w:sz="8" w:space="0" w:color="000000"/>
              <w:right w:val="single" w:sz="8" w:space="0" w:color="000000"/>
            </w:tcBorders>
          </w:tcPr>
          <w:p>
            <w:pPr>
              <w:pStyle w:val="Normal"/>
              <w:widowControl w:val="false"/>
              <w:spacing w:before="0" w:after="160"/>
              <w:rPr>
                <w:rFonts w:ascii="Arial" w:hAnsi="Arial" w:cs="Arial"/>
                <w:sz w:val="20"/>
                <w:szCs w:val="20"/>
              </w:rPr>
            </w:pPr>
            <w:r>
              <w:rPr>
                <w:rFonts w:cs="Arial" w:ascii="Arial" w:hAnsi="Arial"/>
                <w:sz w:val="20"/>
                <w:szCs w:val="20"/>
              </w:rPr>
              <w:t xml:space="preserve">Ngäbere </w:t>
            </w:r>
          </w:p>
        </w:tc>
      </w:tr>
    </w:tbl>
    <w:p>
      <w:pPr>
        <w:pStyle w:val="Normal"/>
        <w:ind w:left="708" w:hanging="0"/>
        <w:rPr>
          <w:rFonts w:ascii="Arial" w:hAnsi="Arial" w:cs="Arial"/>
          <w:sz w:val="20"/>
          <w:szCs w:val="20"/>
        </w:rPr>
      </w:pPr>
      <w:r>
        <w:rPr>
          <w:rFonts w:cs="Arial" w:ascii="Arial" w:hAnsi="Arial"/>
          <w:sz w:val="20"/>
          <w:szCs w:val="20"/>
        </w:rPr>
        <w:t> </w:t>
      </w:r>
    </w:p>
    <w:p>
      <w:pPr>
        <w:pStyle w:val="Normal"/>
        <w:ind w:left="708" w:hanging="0"/>
        <w:rPr>
          <w:rFonts w:ascii="Arial" w:hAnsi="Arial" w:cs="Arial"/>
          <w:sz w:val="20"/>
          <w:szCs w:val="20"/>
        </w:rPr>
      </w:pPr>
      <w:r>
        <w:rPr>
          <w:rFonts w:cs="Arial" w:ascii="Arial" w:hAnsi="Arial"/>
          <w:sz w:val="20"/>
          <w:szCs w:val="20"/>
        </w:rPr>
        <w:t>A su disposición como siempre</w:t>
      </w:r>
    </w:p>
    <w:p>
      <w:pPr>
        <w:pStyle w:val="Normal"/>
        <w:ind w:left="708" w:hanging="0"/>
        <w:rPr>
          <w:rFonts w:ascii="Arial" w:hAnsi="Arial" w:cs="Arial"/>
          <w:sz w:val="20"/>
          <w:szCs w:val="20"/>
        </w:rPr>
      </w:pPr>
      <w:r>
        <w:rPr>
          <w:rFonts w:cs="Arial" w:ascii="Arial" w:hAnsi="Arial"/>
          <w:sz w:val="20"/>
          <w:szCs w:val="20"/>
        </w:rPr>
        <w:t>Atentamente</w:t>
      </w:r>
    </w:p>
    <w:p>
      <w:pPr>
        <w:pStyle w:val="Normal"/>
        <w:ind w:left="708" w:hanging="0"/>
        <w:rPr>
          <w:rFonts w:ascii="Arial" w:hAnsi="Arial" w:cs="Arial"/>
          <w:sz w:val="20"/>
          <w:szCs w:val="20"/>
        </w:rPr>
      </w:pPr>
      <w:r>
        <w:rPr/>
        <w:drawing>
          <wp:inline distT="0" distB="0" distL="0" distR="0">
            <wp:extent cx="4895850" cy="762000"/>
            <wp:effectExtent l="0" t="0" r="0" b="0"/>
            <wp:docPr id="22" name="Imagen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7" descr=""/>
                    <pic:cNvPicPr>
                      <a:picLocks noChangeAspect="1" noChangeArrowheads="1"/>
                    </pic:cNvPicPr>
                  </pic:nvPicPr>
                  <pic:blipFill>
                    <a:blip r:embed="rId121"/>
                    <a:stretch>
                      <a:fillRect/>
                    </a:stretch>
                  </pic:blipFill>
                  <pic:spPr bwMode="auto">
                    <a:xfrm>
                      <a:off x="0" y="0"/>
                      <a:ext cx="4895850" cy="762000"/>
                    </a:xfrm>
                    <a:prstGeom prst="rect">
                      <a:avLst/>
                    </a:prstGeom>
                  </pic:spPr>
                </pic:pic>
              </a:graphicData>
            </a:graphic>
          </wp:inline>
        </w:drawing>
      </w:r>
    </w:p>
    <w:p>
      <w:pPr>
        <w:pStyle w:val="Normal"/>
        <w:rPr>
          <w:rFonts w:ascii="Arial" w:hAnsi="Arial" w:cs="Arial"/>
          <w:b/>
          <w:b/>
          <w:sz w:val="20"/>
          <w:szCs w:val="20"/>
        </w:rPr>
      </w:pPr>
      <w:r>
        <w:rPr/>
        <w:object>
          <v:shape id="ole_rId122" style="width:75.15pt;height:48.85pt" o:ole="">
            <v:imagedata r:id="rId123" o:title=""/>
          </v:shape>
          <o:OLEObject Type="Embed" ProgID="Package" ShapeID="ole_rId122" DrawAspect="Icon" ObjectID="_1400020947" r:id="rId122"/>
        </w:object>
      </w:r>
    </w:p>
    <w:p>
      <w:pPr>
        <w:pStyle w:val="Normal"/>
        <w:rPr>
          <w:rFonts w:ascii="Arial" w:hAnsi="Arial" w:cs="Arial"/>
          <w:bCs/>
          <w:sz w:val="20"/>
          <w:szCs w:val="20"/>
        </w:rPr>
      </w:pPr>
      <w:r>
        <w:rPr>
          <w:rFonts w:cs="Arial" w:ascii="Arial" w:hAnsi="Arial"/>
          <w:bCs/>
          <w:sz w:val="20"/>
          <w:szCs w:val="20"/>
        </w:rPr>
        <w:t>De la gestión de la señora Varas se dio traslado al señor Wilbert Kidd, Subdirector Ejecutivo, quien remitió el siguiente comunicado electrónico:</w:t>
      </w:r>
    </w:p>
    <w:p>
      <w:pPr>
        <w:pStyle w:val="Normal"/>
        <w:rPr>
          <w:rFonts w:ascii="Arial" w:hAnsi="Arial" w:eastAsia="Times New Roman" w:cs="Arial"/>
          <w:sz w:val="20"/>
          <w:szCs w:val="20"/>
          <w:lang w:val="es-ES" w:eastAsia="es-CR"/>
        </w:rPr>
      </w:pPr>
      <w:r>
        <w:rPr>
          <w:rFonts w:eastAsia="Times New Roman" w:cs="Arial" w:ascii="Arial" w:hAnsi="Arial"/>
          <w:b/>
          <w:bCs/>
          <w:sz w:val="20"/>
          <w:szCs w:val="20"/>
          <w:lang w:val="es-ES"/>
        </w:rPr>
        <w:t>De:</w:t>
      </w:r>
      <w:r>
        <w:rPr>
          <w:rFonts w:eastAsia="Times New Roman" w:cs="Arial" w:ascii="Arial" w:hAnsi="Arial"/>
          <w:sz w:val="20"/>
          <w:szCs w:val="20"/>
          <w:lang w:val="es-ES"/>
        </w:rPr>
        <w:t xml:space="preserve"> Wilbert Kidd Alvarado &lt;wkidd@Poder-Judicial.go.cr&gt; </w:t>
        <w:br/>
      </w:r>
      <w:r>
        <w:rPr>
          <w:rFonts w:eastAsia="Times New Roman" w:cs="Arial" w:ascii="Arial" w:hAnsi="Arial"/>
          <w:b/>
          <w:bCs/>
          <w:sz w:val="20"/>
          <w:szCs w:val="20"/>
          <w:lang w:val="es-ES"/>
        </w:rPr>
        <w:t>Enviado el:</w:t>
      </w:r>
      <w:r>
        <w:rPr>
          <w:rFonts w:eastAsia="Times New Roman" w:cs="Arial" w:ascii="Arial" w:hAnsi="Arial"/>
          <w:sz w:val="20"/>
          <w:szCs w:val="20"/>
          <w:lang w:val="es-ES"/>
        </w:rPr>
        <w:t xml:space="preserve"> martes, 05 de noviembre de 2019 07:34 a.m.</w:t>
        <w:br/>
      </w:r>
      <w:r>
        <w:rPr>
          <w:rFonts w:eastAsia="Times New Roman" w:cs="Arial" w:ascii="Arial" w:hAnsi="Arial"/>
          <w:b/>
          <w:bCs/>
          <w:sz w:val="20"/>
          <w:szCs w:val="20"/>
          <w:lang w:val="es-ES"/>
        </w:rPr>
        <w:t>Para:</w:t>
      </w:r>
      <w:r>
        <w:rPr>
          <w:rFonts w:eastAsia="Times New Roman" w:cs="Arial" w:ascii="Arial" w:hAnsi="Arial"/>
          <w:sz w:val="20"/>
          <w:szCs w:val="20"/>
          <w:lang w:val="es-ES"/>
        </w:rPr>
        <w:t xml:space="preserve"> Oficina de Peritos &lt;oficina_peritos@Poder-Judicial.go.cr&gt;</w:t>
        <w:br/>
      </w:r>
      <w:r>
        <w:rPr>
          <w:rFonts w:eastAsia="Times New Roman" w:cs="Arial" w:ascii="Arial" w:hAnsi="Arial"/>
          <w:b/>
          <w:bCs/>
          <w:sz w:val="20"/>
          <w:szCs w:val="20"/>
          <w:lang w:val="es-ES"/>
        </w:rPr>
        <w:t>CC:</w:t>
      </w:r>
      <w:r>
        <w:rPr>
          <w:rFonts w:eastAsia="Times New Roman" w:cs="Arial" w:ascii="Arial" w:hAnsi="Arial"/>
          <w:sz w:val="20"/>
          <w:szCs w:val="20"/>
          <w:lang w:val="es-ES"/>
        </w:rPr>
        <w:t xml:space="preserve"> Damaris Vargas Vásquez &lt;dvargas@Poder-Judicial.go.cr&gt;</w:t>
        <w:br/>
      </w:r>
      <w:r>
        <w:rPr>
          <w:rFonts w:eastAsia="Times New Roman" w:cs="Arial" w:ascii="Arial" w:hAnsi="Arial"/>
          <w:b/>
          <w:bCs/>
          <w:sz w:val="20"/>
          <w:szCs w:val="20"/>
          <w:lang w:val="es-ES"/>
        </w:rPr>
        <w:t>Asunto:</w:t>
      </w:r>
      <w:r>
        <w:rPr>
          <w:rFonts w:eastAsia="Times New Roman" w:cs="Arial" w:ascii="Arial" w:hAnsi="Arial"/>
          <w:sz w:val="20"/>
          <w:szCs w:val="20"/>
          <w:lang w:val="es-ES"/>
        </w:rPr>
        <w:t xml:space="preserve"> RV: Oficio CACC-304-2019 Valeria Varas Rojas- Acuerdo Subcomisión de Pueblos Indígenas</w:t>
      </w:r>
    </w:p>
    <w:p>
      <w:pPr>
        <w:pStyle w:val="Normal"/>
        <w:rPr>
          <w:rFonts w:ascii="Arial" w:hAnsi="Arial" w:cs="Arial"/>
          <w:sz w:val="20"/>
          <w:szCs w:val="20"/>
        </w:rPr>
      </w:pPr>
      <w:r>
        <w:rPr>
          <w:rFonts w:cs="Arial" w:ascii="Arial" w:hAnsi="Arial"/>
          <w:sz w:val="20"/>
          <w:szCs w:val="20"/>
        </w:rPr>
        <w:t>Buenos días con Roy: Por favor suministrar la información para la inscripción y los trámites a realizar ante Tributación para el tema de la factura electrónica, gracias</w:t>
      </w:r>
    </w:p>
    <w:p>
      <w:pPr>
        <w:pStyle w:val="Normal"/>
        <w:ind w:left="708" w:hanging="0"/>
        <w:rPr>
          <w:rFonts w:ascii="Arial" w:hAnsi="Arial" w:cs="Arial"/>
          <w:sz w:val="20"/>
          <w:szCs w:val="20"/>
        </w:rPr>
      </w:pPr>
      <w:r>
        <w:rPr>
          <w:rFonts w:cs="Arial" w:ascii="Arial" w:hAnsi="Arial"/>
          <w:sz w:val="20"/>
          <w:szCs w:val="20"/>
        </w:rPr>
      </w:r>
    </w:p>
    <w:p>
      <w:pPr>
        <w:pStyle w:val="Normal"/>
        <w:ind w:left="708" w:hanging="0"/>
        <w:rPr>
          <w:rFonts w:ascii="Arial" w:hAnsi="Arial" w:cs="Arial"/>
          <w:sz w:val="20"/>
          <w:szCs w:val="20"/>
          <w:lang w:eastAsia="es-CR"/>
        </w:rPr>
      </w:pPr>
      <w:r>
        <w:rPr/>
        <w:drawing>
          <wp:inline distT="0" distB="0" distL="0" distR="0">
            <wp:extent cx="3765550" cy="692150"/>
            <wp:effectExtent l="0" t="0" r="0" b="0"/>
            <wp:docPr id="23" name="Imagen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8" descr=""/>
                    <pic:cNvPicPr>
                      <a:picLocks noChangeAspect="1" noChangeArrowheads="1"/>
                    </pic:cNvPicPr>
                  </pic:nvPicPr>
                  <pic:blipFill>
                    <a:blip r:embed="rId124"/>
                    <a:stretch>
                      <a:fillRect/>
                    </a:stretch>
                  </pic:blipFill>
                  <pic:spPr bwMode="auto">
                    <a:xfrm>
                      <a:off x="0" y="0"/>
                      <a:ext cx="3765550" cy="692150"/>
                    </a:xfrm>
                    <a:prstGeom prst="rect">
                      <a:avLst/>
                    </a:prstGeom>
                  </pic:spPr>
                </pic:pic>
              </a:graphicData>
            </a:graphic>
          </wp:inline>
        </w:drawing>
      </w:r>
    </w:p>
    <w:p>
      <w:pPr>
        <w:pStyle w:val="Normal"/>
        <w:rPr>
          <w:rFonts w:ascii="Arial" w:hAnsi="Arial" w:cs="Arial"/>
          <w:b/>
          <w:b/>
          <w:sz w:val="20"/>
          <w:szCs w:val="20"/>
        </w:rPr>
      </w:pPr>
      <w:r>
        <w:rPr>
          <w:rFonts w:cs="Arial" w:ascii="Arial" w:hAnsi="Arial"/>
          <w:b/>
          <w:sz w:val="20"/>
          <w:szCs w:val="20"/>
        </w:rPr>
      </w:r>
    </w:p>
    <w:p>
      <w:pPr>
        <w:pStyle w:val="Normal"/>
        <w:jc w:val="both"/>
        <w:rPr>
          <w:rFonts w:ascii="Arial" w:hAnsi="Arial" w:cs="Arial"/>
          <w:bCs/>
          <w:sz w:val="20"/>
          <w:szCs w:val="20"/>
        </w:rPr>
      </w:pPr>
      <w:r>
        <w:rPr>
          <w:rFonts w:cs="Arial" w:ascii="Arial" w:hAnsi="Arial"/>
          <w:b/>
          <w:sz w:val="20"/>
          <w:szCs w:val="20"/>
        </w:rPr>
        <w:t>SE ACUERDA</w:t>
      </w:r>
      <w:r>
        <w:rPr>
          <w:rFonts w:cs="Arial" w:ascii="Arial" w:hAnsi="Arial"/>
          <w:bCs/>
          <w:sz w:val="20"/>
          <w:szCs w:val="20"/>
        </w:rPr>
        <w:t xml:space="preserve">: 1° Se toma nota y se dispone solicitar al licenciado Wilbert Kidd Allvarado un informe del seguimiento dado a la gestión planteada por la antropóloga Valeria Varas. 2° Comuníquese este acuerdo a la señora Varas y al señor Kidd por medio de la Unidad de Acceso a la Justicia. </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XXIII</w:t>
      </w:r>
    </w:p>
    <w:p>
      <w:pPr>
        <w:pStyle w:val="Normal"/>
        <w:jc w:val="both"/>
        <w:rPr>
          <w:rFonts w:ascii="Arial" w:hAnsi="Arial" w:cs="Arial"/>
          <w:sz w:val="20"/>
          <w:szCs w:val="20"/>
        </w:rPr>
      </w:pPr>
      <w:r>
        <w:rPr>
          <w:rFonts w:cs="Arial" w:ascii="Arial" w:hAnsi="Arial"/>
          <w:sz w:val="20"/>
          <w:szCs w:val="20"/>
        </w:rPr>
        <w:t>Se conoce alegato de persona indígena sobre detención ilegal, traslado de ésta a la Contraloría de Servicios y respuesta de la Contraloría y seguimiento:</w:t>
      </w:r>
    </w:p>
    <w:p>
      <w:pPr>
        <w:pStyle w:val="Xmsonormal"/>
        <w:ind w:left="2124" w:hanging="0"/>
        <w:rPr>
          <w:rFonts w:ascii="Arial" w:hAnsi="Arial" w:cs="Arial"/>
          <w:sz w:val="20"/>
          <w:szCs w:val="20"/>
        </w:rPr>
      </w:pPr>
      <w:r>
        <w:rPr>
          <w:rFonts w:cs="Arial" w:ascii="Arial" w:hAnsi="Arial"/>
          <w:sz w:val="20"/>
          <w:szCs w:val="20"/>
        </w:rPr>
      </w:r>
    </w:p>
    <w:p>
      <w:pPr>
        <w:pStyle w:val="Xmsonormal"/>
        <w:rPr>
          <w:rFonts w:ascii="Arial" w:hAnsi="Arial" w:cs="Arial"/>
          <w:sz w:val="20"/>
          <w:szCs w:val="20"/>
        </w:rPr>
      </w:pPr>
      <w:r>
        <w:rPr>
          <w:rFonts w:cs="Arial" w:ascii="Arial" w:hAnsi="Arial"/>
          <w:b/>
          <w:bCs/>
          <w:sz w:val="20"/>
          <w:szCs w:val="20"/>
          <w:lang w:val="es-ES"/>
        </w:rPr>
        <w:t>De:</w:t>
      </w:r>
      <w:r>
        <w:rPr>
          <w:rFonts w:cs="Arial" w:ascii="Arial" w:hAnsi="Arial"/>
          <w:sz w:val="20"/>
          <w:szCs w:val="20"/>
          <w:lang w:val="es-ES"/>
        </w:rPr>
        <w:t xml:space="preserve"> Damaris Vargas Vásquez &lt;</w:t>
      </w:r>
      <w:hyperlink r:id="rId125">
        <w:r>
          <w:rPr>
            <w:rStyle w:val="EnlacedeInternet"/>
            <w:rFonts w:cs="Arial" w:ascii="Arial" w:hAnsi="Arial"/>
            <w:color w:val="auto"/>
            <w:sz w:val="20"/>
            <w:szCs w:val="20"/>
          </w:rPr>
          <w:t>dvargas@Poder-Judicial.go.cr</w:t>
        </w:r>
      </w:hyperlink>
      <w:r>
        <w:rPr>
          <w:rFonts w:cs="Arial" w:ascii="Arial" w:hAnsi="Arial"/>
          <w:sz w:val="20"/>
          <w:szCs w:val="20"/>
          <w:lang w:val="es-ES"/>
        </w:rPr>
        <w:t xml:space="preserve">&gt; </w:t>
        <w:br/>
      </w:r>
      <w:r>
        <w:rPr>
          <w:rFonts w:cs="Arial" w:ascii="Arial" w:hAnsi="Arial"/>
          <w:b/>
          <w:bCs/>
          <w:sz w:val="20"/>
          <w:szCs w:val="20"/>
          <w:lang w:val="es-ES"/>
        </w:rPr>
        <w:t>Enviado el:</w:t>
      </w:r>
      <w:r>
        <w:rPr>
          <w:rFonts w:cs="Arial" w:ascii="Arial" w:hAnsi="Arial"/>
          <w:sz w:val="20"/>
          <w:szCs w:val="20"/>
          <w:lang w:val="es-ES"/>
        </w:rPr>
        <w:t xml:space="preserve"> lunes, 14 de octubre de 2019 13:54</w:t>
        <w:br/>
      </w:r>
      <w:r>
        <w:rPr>
          <w:rFonts w:cs="Arial" w:ascii="Arial" w:hAnsi="Arial"/>
          <w:b/>
          <w:bCs/>
          <w:sz w:val="20"/>
          <w:szCs w:val="20"/>
          <w:lang w:val="es-ES"/>
        </w:rPr>
        <w:t>Para:</w:t>
      </w:r>
      <w:r>
        <w:rPr>
          <w:rFonts w:cs="Arial" w:ascii="Arial" w:hAnsi="Arial"/>
          <w:sz w:val="20"/>
          <w:szCs w:val="20"/>
          <w:lang w:val="es-ES"/>
        </w:rPr>
        <w:t xml:space="preserve"> Erick Alfaro Romero &lt;</w:t>
      </w:r>
      <w:hyperlink r:id="rId126">
        <w:r>
          <w:rPr>
            <w:rStyle w:val="EnlacedeInternet"/>
            <w:rFonts w:cs="Arial" w:ascii="Arial" w:hAnsi="Arial"/>
            <w:color w:val="auto"/>
            <w:sz w:val="20"/>
            <w:szCs w:val="20"/>
          </w:rPr>
          <w:t>ealfaror@Poder-Judicial.go.cr</w:t>
        </w:r>
      </w:hyperlink>
      <w:r>
        <w:rPr>
          <w:rFonts w:cs="Arial" w:ascii="Arial" w:hAnsi="Arial"/>
          <w:sz w:val="20"/>
          <w:szCs w:val="20"/>
          <w:lang w:val="es-ES"/>
        </w:rPr>
        <w:t>&gt;; Carlos Romero Rivera &lt;</w:t>
      </w:r>
      <w:hyperlink r:id="rId127">
        <w:r>
          <w:rPr>
            <w:rStyle w:val="EnlacedeInternet"/>
            <w:rFonts w:cs="Arial" w:ascii="Arial" w:hAnsi="Arial"/>
            <w:color w:val="auto"/>
            <w:sz w:val="20"/>
            <w:szCs w:val="20"/>
          </w:rPr>
          <w:t>cromero@poder-judicial.go.cr</w:t>
        </w:r>
      </w:hyperlink>
      <w:r>
        <w:rPr>
          <w:rFonts w:cs="Arial" w:ascii="Arial" w:hAnsi="Arial"/>
          <w:sz w:val="20"/>
          <w:szCs w:val="20"/>
          <w:lang w:val="es-ES"/>
        </w:rPr>
        <w:t>&gt;; Contraloría de Servicios de San José &lt;</w:t>
      </w:r>
      <w:hyperlink r:id="rId128">
        <w:r>
          <w:rPr>
            <w:rStyle w:val="EnlacedeInternet"/>
            <w:rFonts w:cs="Arial" w:ascii="Arial" w:hAnsi="Arial"/>
            <w:color w:val="auto"/>
            <w:sz w:val="20"/>
            <w:szCs w:val="20"/>
          </w:rPr>
          <w:t>contraloriapj@Poder-Judicial.go.cr</w:t>
        </w:r>
      </w:hyperlink>
      <w:r>
        <w:rPr>
          <w:rFonts w:cs="Arial" w:ascii="Arial" w:hAnsi="Arial"/>
          <w:sz w:val="20"/>
          <w:szCs w:val="20"/>
          <w:lang w:val="es-ES"/>
        </w:rPr>
        <w:t>&gt;; Contraloría de Servicios de Pérez Zeledón &lt;</w:t>
      </w:r>
      <w:hyperlink r:id="rId129">
        <w:r>
          <w:rPr>
            <w:rStyle w:val="EnlacedeInternet"/>
            <w:rFonts w:cs="Arial" w:ascii="Arial" w:hAnsi="Arial"/>
            <w:color w:val="auto"/>
            <w:sz w:val="20"/>
            <w:szCs w:val="20"/>
          </w:rPr>
          <w:t>pze-contraloria@Poder-Judicial.go.cr</w:t>
        </w:r>
      </w:hyperlink>
      <w:r>
        <w:rPr>
          <w:rFonts w:cs="Arial" w:ascii="Arial" w:hAnsi="Arial"/>
          <w:sz w:val="20"/>
          <w:szCs w:val="20"/>
          <w:lang w:val="es-ES"/>
        </w:rPr>
        <w:t>&gt;</w:t>
        <w:br/>
      </w:r>
      <w:r>
        <w:rPr>
          <w:rFonts w:cs="Arial" w:ascii="Arial" w:hAnsi="Arial"/>
          <w:b/>
          <w:bCs/>
          <w:sz w:val="20"/>
          <w:szCs w:val="20"/>
          <w:lang w:val="es-ES"/>
        </w:rPr>
        <w:t>CC:</w:t>
      </w:r>
      <w:r>
        <w:rPr>
          <w:rFonts w:cs="Arial" w:ascii="Arial" w:hAnsi="Arial"/>
          <w:sz w:val="20"/>
          <w:szCs w:val="20"/>
          <w:lang w:val="es-ES"/>
        </w:rPr>
        <w:t xml:space="preserve"> Presidencia de la Corte &lt;</w:t>
      </w:r>
      <w:hyperlink r:id="rId130">
        <w:r>
          <w:rPr>
            <w:rStyle w:val="EnlacedeInternet"/>
            <w:rFonts w:cs="Arial" w:ascii="Arial" w:hAnsi="Arial"/>
            <w:color w:val="auto"/>
            <w:sz w:val="20"/>
            <w:szCs w:val="20"/>
          </w:rPr>
          <w:t>presidencia@Poder-Judicial.go.cr</w:t>
        </w:r>
      </w:hyperlink>
      <w:r>
        <w:rPr>
          <w:rFonts w:cs="Arial" w:ascii="Arial" w:hAnsi="Arial"/>
          <w:sz w:val="20"/>
          <w:szCs w:val="20"/>
          <w:lang w:val="es-ES"/>
        </w:rPr>
        <w:t>&gt;; Despacho de la Presidencia de la Corte &lt;</w:t>
      </w:r>
      <w:hyperlink r:id="rId131">
        <w:r>
          <w:rPr>
            <w:rStyle w:val="EnlacedeInternet"/>
            <w:rFonts w:cs="Arial" w:ascii="Arial" w:hAnsi="Arial"/>
            <w:color w:val="auto"/>
            <w:sz w:val="20"/>
            <w:szCs w:val="20"/>
          </w:rPr>
          <w:t>despacho_pre@Poder-Judicial.go.cr</w:t>
        </w:r>
      </w:hyperlink>
      <w:r>
        <w:rPr>
          <w:rFonts w:cs="Arial" w:ascii="Arial" w:hAnsi="Arial"/>
          <w:sz w:val="20"/>
          <w:szCs w:val="20"/>
          <w:lang w:val="es-ES"/>
        </w:rPr>
        <w:t>&gt;; Acceso a la Justicia &lt;</w:t>
      </w:r>
      <w:hyperlink r:id="rId132">
        <w:r>
          <w:rPr>
            <w:rStyle w:val="EnlacedeInternet"/>
            <w:rFonts w:cs="Arial" w:ascii="Arial" w:hAnsi="Arial"/>
            <w:color w:val="auto"/>
            <w:sz w:val="20"/>
            <w:szCs w:val="20"/>
          </w:rPr>
          <w:t>accesojusticia@Poder-Judicial.go.cr</w:t>
        </w:r>
      </w:hyperlink>
      <w:r>
        <w:rPr>
          <w:rFonts w:cs="Arial" w:ascii="Arial" w:hAnsi="Arial"/>
          <w:sz w:val="20"/>
          <w:szCs w:val="20"/>
          <w:lang w:val="es-ES"/>
        </w:rPr>
        <w:t>&gt;; Fiscalía de Asuntos Indígenas &lt;</w:t>
      </w:r>
      <w:hyperlink r:id="rId133">
        <w:r>
          <w:rPr>
            <w:rStyle w:val="EnlacedeInternet"/>
            <w:rFonts w:cs="Arial" w:ascii="Arial" w:hAnsi="Arial"/>
            <w:color w:val="auto"/>
            <w:sz w:val="20"/>
            <w:szCs w:val="20"/>
          </w:rPr>
          <w:t>fai-mp@Poder-Judicial.go.cr</w:t>
        </w:r>
      </w:hyperlink>
      <w:r>
        <w:rPr>
          <w:rFonts w:cs="Arial" w:ascii="Arial" w:hAnsi="Arial"/>
          <w:sz w:val="20"/>
          <w:szCs w:val="20"/>
          <w:lang w:val="es-ES"/>
        </w:rPr>
        <w:t>&gt;; Fiscalía General &lt;</w:t>
      </w:r>
      <w:hyperlink r:id="rId134">
        <w:r>
          <w:rPr>
            <w:rStyle w:val="EnlacedeInternet"/>
            <w:rFonts w:cs="Arial" w:ascii="Arial" w:hAnsi="Arial"/>
            <w:color w:val="auto"/>
            <w:sz w:val="20"/>
            <w:szCs w:val="20"/>
          </w:rPr>
          <w:t>fgeneral@Poder-Judicial.go.cr</w:t>
        </w:r>
      </w:hyperlink>
      <w:r>
        <w:rPr>
          <w:rFonts w:cs="Arial" w:ascii="Arial" w:hAnsi="Arial"/>
          <w:sz w:val="20"/>
          <w:szCs w:val="20"/>
          <w:lang w:val="es-ES"/>
        </w:rPr>
        <w:t>&gt;; Organismo de Investigación Judicial &lt;</w:t>
      </w:r>
      <w:hyperlink r:id="rId135">
        <w:r>
          <w:rPr>
            <w:rStyle w:val="EnlacedeInternet"/>
            <w:rFonts w:cs="Arial" w:ascii="Arial" w:hAnsi="Arial"/>
            <w:color w:val="auto"/>
            <w:sz w:val="20"/>
            <w:szCs w:val="20"/>
          </w:rPr>
          <w:t>oij@Poder-Judicial.go.cr</w:t>
        </w:r>
      </w:hyperlink>
      <w:r>
        <w:rPr>
          <w:rFonts w:cs="Arial" w:ascii="Arial" w:hAnsi="Arial"/>
          <w:sz w:val="20"/>
          <w:szCs w:val="20"/>
          <w:lang w:val="es-ES"/>
        </w:rPr>
        <w:t>&gt;; Subcomisión de Pueblos Indígenas &lt;</w:t>
      </w:r>
      <w:hyperlink r:id="rId136">
        <w:r>
          <w:rPr>
            <w:rStyle w:val="EnlacedeInternet"/>
            <w:rFonts w:cs="Arial" w:ascii="Arial" w:hAnsi="Arial"/>
            <w:color w:val="auto"/>
            <w:sz w:val="20"/>
            <w:szCs w:val="20"/>
          </w:rPr>
          <w:t>spindigenas@Poder-Judicial.go.cr</w:t>
        </w:r>
      </w:hyperlink>
      <w:r>
        <w:rPr>
          <w:rFonts w:cs="Arial" w:ascii="Arial" w:hAnsi="Arial"/>
          <w:sz w:val="20"/>
          <w:szCs w:val="20"/>
          <w:lang w:val="es-ES"/>
        </w:rPr>
        <w:t>&gt;; gustavo oreamuno vignet &lt;</w:t>
      </w:r>
      <w:hyperlink r:id="rId137">
        <w:r>
          <w:rPr>
            <w:rStyle w:val="EnlacedeInternet"/>
            <w:rFonts w:cs="Arial" w:ascii="Arial" w:hAnsi="Arial"/>
            <w:color w:val="auto"/>
            <w:sz w:val="20"/>
            <w:szCs w:val="20"/>
          </w:rPr>
          <w:t>tavoreamuno72@gmail.com</w:t>
        </w:r>
      </w:hyperlink>
      <w:r>
        <w:rPr>
          <w:rFonts w:cs="Arial" w:ascii="Arial" w:hAnsi="Arial"/>
          <w:sz w:val="20"/>
          <w:szCs w:val="20"/>
          <w:lang w:val="es-ES"/>
        </w:rPr>
        <w:t>&gt;</w:t>
        <w:br/>
      </w:r>
      <w:r>
        <w:rPr>
          <w:rFonts w:cs="Arial" w:ascii="Arial" w:hAnsi="Arial"/>
          <w:b/>
          <w:bCs/>
          <w:sz w:val="20"/>
          <w:szCs w:val="20"/>
          <w:lang w:val="es-ES"/>
        </w:rPr>
        <w:t>Asunto:</w:t>
      </w:r>
      <w:r>
        <w:rPr>
          <w:rFonts w:cs="Arial" w:ascii="Arial" w:hAnsi="Arial"/>
          <w:sz w:val="20"/>
          <w:szCs w:val="20"/>
          <w:lang w:val="es-ES"/>
        </w:rPr>
        <w:t xml:space="preserve"> RV: Detención ilegal de Efraín Fernándes de China Kicha</w:t>
      </w:r>
    </w:p>
    <w:p>
      <w:pPr>
        <w:pStyle w:val="Xmsonormal"/>
        <w:ind w:left="2124" w:hanging="0"/>
        <w:rPr>
          <w:rFonts w:ascii="Arial" w:hAnsi="Arial" w:cs="Arial"/>
          <w:sz w:val="20"/>
          <w:szCs w:val="20"/>
        </w:rPr>
      </w:pPr>
      <w:r>
        <w:rPr>
          <w:rFonts w:cs="Arial" w:ascii="Arial" w:hAnsi="Arial"/>
          <w:sz w:val="20"/>
          <w:szCs w:val="20"/>
        </w:rPr>
        <w:t> </w:t>
      </w:r>
    </w:p>
    <w:p>
      <w:pPr>
        <w:pStyle w:val="Xmsonormal"/>
        <w:ind w:left="2124" w:hanging="0"/>
        <w:jc w:val="right"/>
        <w:rPr>
          <w:rFonts w:ascii="Arial" w:hAnsi="Arial" w:cs="Arial"/>
          <w:sz w:val="20"/>
          <w:szCs w:val="20"/>
        </w:rPr>
      </w:pPr>
      <w:r>
        <w:rPr>
          <w:rFonts w:cs="Arial" w:ascii="Arial" w:hAnsi="Arial"/>
          <w:b/>
          <w:bCs/>
          <w:sz w:val="20"/>
          <w:szCs w:val="20"/>
        </w:rPr>
        <w:t>San José, 14 de octubre de 2019</w:t>
      </w:r>
    </w:p>
    <w:p>
      <w:pPr>
        <w:pStyle w:val="Xmsonormal"/>
        <w:rPr>
          <w:rFonts w:ascii="Arial" w:hAnsi="Arial" w:cs="Arial"/>
          <w:sz w:val="20"/>
          <w:szCs w:val="20"/>
        </w:rPr>
      </w:pPr>
      <w:r>
        <w:rPr>
          <w:rFonts w:cs="Arial" w:ascii="Arial" w:hAnsi="Arial"/>
          <w:b/>
          <w:bCs/>
          <w:sz w:val="20"/>
          <w:szCs w:val="20"/>
        </w:rPr>
        <w:t>Señor</w:t>
      </w:r>
    </w:p>
    <w:p>
      <w:pPr>
        <w:pStyle w:val="Xmsonormal"/>
        <w:rPr>
          <w:rFonts w:ascii="Arial" w:hAnsi="Arial" w:cs="Arial"/>
          <w:sz w:val="20"/>
          <w:szCs w:val="20"/>
        </w:rPr>
      </w:pPr>
      <w:r>
        <w:rPr>
          <w:rFonts w:cs="Arial" w:ascii="Arial" w:hAnsi="Arial"/>
          <w:b/>
          <w:bCs/>
          <w:sz w:val="20"/>
          <w:szCs w:val="20"/>
        </w:rPr>
        <w:t>Lic. Erick Alfaro Romero</w:t>
      </w:r>
    </w:p>
    <w:p>
      <w:pPr>
        <w:pStyle w:val="Xmsonormal"/>
        <w:rPr>
          <w:rFonts w:ascii="Arial" w:hAnsi="Arial" w:cs="Arial"/>
          <w:sz w:val="20"/>
          <w:szCs w:val="20"/>
        </w:rPr>
      </w:pPr>
      <w:r>
        <w:rPr>
          <w:rFonts w:cs="Arial" w:ascii="Arial" w:hAnsi="Arial"/>
          <w:b/>
          <w:bCs/>
          <w:sz w:val="20"/>
          <w:szCs w:val="20"/>
        </w:rPr>
        <w:t xml:space="preserve">Contralor de Servicios </w:t>
      </w:r>
    </w:p>
    <w:p>
      <w:pPr>
        <w:pStyle w:val="Xmsonormal"/>
        <w:rPr>
          <w:rFonts w:ascii="Arial" w:hAnsi="Arial" w:cs="Arial"/>
          <w:sz w:val="20"/>
          <w:szCs w:val="20"/>
        </w:rPr>
      </w:pPr>
      <w:r>
        <w:rPr>
          <w:rFonts w:cs="Arial" w:ascii="Arial" w:hAnsi="Arial"/>
          <w:b/>
          <w:bCs/>
          <w:sz w:val="20"/>
          <w:szCs w:val="20"/>
        </w:rPr>
        <w:t>Poder Judicial</w:t>
      </w:r>
    </w:p>
    <w:p>
      <w:pPr>
        <w:pStyle w:val="Xmsonormal"/>
        <w:ind w:left="2124" w:hanging="0"/>
        <w:rPr>
          <w:rFonts w:ascii="Arial" w:hAnsi="Arial" w:cs="Arial"/>
          <w:sz w:val="20"/>
          <w:szCs w:val="20"/>
        </w:rPr>
      </w:pPr>
      <w:r>
        <w:rPr>
          <w:rFonts w:cs="Arial" w:ascii="Arial" w:hAnsi="Arial"/>
          <w:b/>
          <w:bCs/>
          <w:sz w:val="20"/>
          <w:szCs w:val="20"/>
        </w:rPr>
        <w:t> </w:t>
      </w:r>
    </w:p>
    <w:p>
      <w:pPr>
        <w:pStyle w:val="Xmsonormal"/>
        <w:rPr>
          <w:rFonts w:ascii="Arial" w:hAnsi="Arial" w:cs="Arial"/>
          <w:sz w:val="20"/>
          <w:szCs w:val="20"/>
        </w:rPr>
      </w:pPr>
      <w:r>
        <w:rPr>
          <w:rFonts w:cs="Arial" w:ascii="Arial" w:hAnsi="Arial"/>
          <w:b/>
          <w:bCs/>
          <w:sz w:val="20"/>
          <w:szCs w:val="20"/>
        </w:rPr>
        <w:t>Señor</w:t>
      </w:r>
    </w:p>
    <w:p>
      <w:pPr>
        <w:pStyle w:val="Xmsonormal"/>
        <w:rPr>
          <w:rFonts w:ascii="Arial" w:hAnsi="Arial" w:cs="Arial"/>
          <w:sz w:val="20"/>
          <w:szCs w:val="20"/>
        </w:rPr>
      </w:pPr>
      <w:r>
        <w:rPr>
          <w:rFonts w:cs="Arial" w:ascii="Arial" w:hAnsi="Arial"/>
          <w:b/>
          <w:bCs/>
          <w:sz w:val="20"/>
          <w:szCs w:val="20"/>
        </w:rPr>
        <w:t>Lic. Carlos Romero Rivera</w:t>
      </w:r>
    </w:p>
    <w:p>
      <w:pPr>
        <w:pStyle w:val="Xmsonormal"/>
        <w:rPr>
          <w:rFonts w:ascii="Arial" w:hAnsi="Arial" w:cs="Arial"/>
          <w:sz w:val="20"/>
          <w:szCs w:val="20"/>
        </w:rPr>
      </w:pPr>
      <w:r>
        <w:rPr>
          <w:rFonts w:cs="Arial" w:ascii="Arial" w:hAnsi="Arial"/>
          <w:b/>
          <w:bCs/>
          <w:sz w:val="20"/>
          <w:szCs w:val="20"/>
        </w:rPr>
        <w:t>Sub Contralor de Servicios</w:t>
      </w:r>
    </w:p>
    <w:p>
      <w:pPr>
        <w:pStyle w:val="Xmsonormal"/>
        <w:rPr>
          <w:rFonts w:ascii="Arial" w:hAnsi="Arial" w:cs="Arial"/>
          <w:sz w:val="20"/>
          <w:szCs w:val="20"/>
        </w:rPr>
      </w:pPr>
      <w:r>
        <w:rPr>
          <w:rFonts w:cs="Arial" w:ascii="Arial" w:hAnsi="Arial"/>
          <w:b/>
          <w:bCs/>
          <w:sz w:val="20"/>
          <w:szCs w:val="20"/>
        </w:rPr>
        <w:t>Primer Circuito Judicial de la Zona Sur</w:t>
      </w:r>
    </w:p>
    <w:p>
      <w:pPr>
        <w:pStyle w:val="Xmsonormal"/>
        <w:ind w:left="2124" w:hanging="0"/>
        <w:rPr>
          <w:rFonts w:ascii="Arial" w:hAnsi="Arial" w:cs="Arial"/>
          <w:sz w:val="20"/>
          <w:szCs w:val="20"/>
        </w:rPr>
      </w:pPr>
      <w:r>
        <w:rPr>
          <w:rFonts w:cs="Arial" w:ascii="Arial" w:hAnsi="Arial"/>
          <w:b/>
          <w:bCs/>
          <w:sz w:val="20"/>
          <w:szCs w:val="20"/>
        </w:rPr>
        <w:t> </w:t>
      </w:r>
    </w:p>
    <w:p>
      <w:pPr>
        <w:pStyle w:val="Xmsonormal"/>
        <w:rPr>
          <w:rFonts w:ascii="Arial" w:hAnsi="Arial" w:cs="Arial"/>
          <w:sz w:val="20"/>
          <w:szCs w:val="20"/>
        </w:rPr>
      </w:pPr>
      <w:r>
        <w:rPr>
          <w:rFonts w:cs="Arial" w:ascii="Arial" w:hAnsi="Arial"/>
          <w:b/>
          <w:bCs/>
          <w:sz w:val="20"/>
          <w:szCs w:val="20"/>
        </w:rPr>
        <w:t>Estimados Señores:</w:t>
      </w:r>
    </w:p>
    <w:p>
      <w:pPr>
        <w:pStyle w:val="Xmsonormal"/>
        <w:ind w:left="2124" w:firstLine="708"/>
        <w:jc w:val="both"/>
        <w:rPr>
          <w:rFonts w:ascii="Arial" w:hAnsi="Arial" w:cs="Arial"/>
          <w:sz w:val="20"/>
          <w:szCs w:val="20"/>
        </w:rPr>
      </w:pPr>
      <w:r>
        <w:rPr>
          <w:rFonts w:cs="Arial" w:ascii="Arial" w:hAnsi="Arial"/>
          <w:sz w:val="20"/>
          <w:szCs w:val="20"/>
        </w:rPr>
        <w:t> </w:t>
      </w:r>
    </w:p>
    <w:p>
      <w:pPr>
        <w:pStyle w:val="Xmsonormal"/>
        <w:jc w:val="both"/>
        <w:rPr>
          <w:rFonts w:ascii="Arial" w:hAnsi="Arial" w:cs="Arial"/>
          <w:sz w:val="20"/>
          <w:szCs w:val="20"/>
        </w:rPr>
      </w:pPr>
      <w:r>
        <w:rPr>
          <w:rFonts w:cs="Arial" w:ascii="Arial" w:hAnsi="Arial"/>
          <w:sz w:val="20"/>
          <w:szCs w:val="20"/>
        </w:rPr>
        <w:t xml:space="preserve">Reciban un cordial saludo. A la vez, en mi condición de Coordinadora de la Subcomisión de Acceso a la Justicia de Pueblos Indígenas, traslado para su conocimiento en el carácter de Contralor de Servicios del Poder Judicial y Subcontralor de Servicios del Primer Circuito Judicial de la Zona Sur, respectivamente, la gestión formulada ante la suscrita por el señor Gustavo Oreamuno V., en presentación de Ditsö, Coordinadora de Lucha Sur Sur, mediante comunicado electrónico del </w:t>
      </w:r>
      <w:r>
        <w:rPr>
          <w:rFonts w:cs="Arial" w:ascii="Arial" w:hAnsi="Arial"/>
          <w:sz w:val="20"/>
          <w:szCs w:val="20"/>
          <w:lang w:val="es-ES"/>
        </w:rPr>
        <w:t xml:space="preserve">14 de octubre de 2019, 12:23 p.m. sobre </w:t>
      </w:r>
      <w:r>
        <w:rPr>
          <w:rFonts w:cs="Arial" w:ascii="Arial" w:hAnsi="Arial"/>
          <w:i/>
          <w:iCs/>
          <w:sz w:val="20"/>
          <w:szCs w:val="20"/>
          <w:lang w:val="es-ES"/>
        </w:rPr>
        <w:t>“D</w:t>
      </w:r>
      <w:r>
        <w:rPr>
          <w:rFonts w:cs="Arial" w:ascii="Arial" w:hAnsi="Arial"/>
          <w:i/>
          <w:iCs/>
          <w:sz w:val="20"/>
          <w:szCs w:val="20"/>
        </w:rPr>
        <w:t>etención ilegal de Efraín Fernández Zúñiga, originarios Cabecar de China Kicha, ocurrida el lunes 14 de octubre de 2019</w:t>
      </w:r>
      <w:r>
        <w:rPr>
          <w:rFonts w:cs="Arial" w:ascii="Arial" w:hAnsi="Arial"/>
          <w:sz w:val="20"/>
          <w:szCs w:val="20"/>
        </w:rPr>
        <w:t>.”</w:t>
      </w:r>
    </w:p>
    <w:p>
      <w:pPr>
        <w:pStyle w:val="Xmsonormal"/>
        <w:ind w:left="2124" w:firstLine="708"/>
        <w:jc w:val="both"/>
        <w:rPr>
          <w:rFonts w:ascii="Arial" w:hAnsi="Arial" w:cs="Arial"/>
          <w:sz w:val="20"/>
          <w:szCs w:val="20"/>
        </w:rPr>
      </w:pPr>
      <w:r>
        <w:rPr>
          <w:rFonts w:cs="Arial" w:ascii="Arial" w:hAnsi="Arial"/>
          <w:sz w:val="20"/>
          <w:szCs w:val="20"/>
        </w:rPr>
        <w:t> </w:t>
      </w:r>
    </w:p>
    <w:p>
      <w:pPr>
        <w:pStyle w:val="Xmsonormal"/>
        <w:jc w:val="both"/>
        <w:rPr>
          <w:rFonts w:ascii="Arial" w:hAnsi="Arial" w:cs="Arial"/>
          <w:sz w:val="20"/>
          <w:szCs w:val="20"/>
        </w:rPr>
      </w:pPr>
      <w:r>
        <w:rPr>
          <w:rFonts w:cs="Arial" w:ascii="Arial" w:hAnsi="Arial"/>
          <w:sz w:val="20"/>
          <w:szCs w:val="20"/>
        </w:rPr>
        <w:t>Traslado la información anterior con el objetivo de que se le dé seguimiento conforme a sus competencias. Lo anterior, con fundamento en los artículos 6, 11 y 16 del Reglamento de Creación, Organización y Funcionamiento de la Contraloría de Servicios del Poder Judicial; 7 de las Reglas Prácticas para facilitar el acceso a la justicia de las Poblaciones Indígenas; Circular 123-19 de Corte Plena; Ley de Acceso a la Justicia de Pueblos Indígenas de Costa Rica, y la normativa nacional e internacional que regula los derechos de los pueblos indígenas. Además, las Medidas Cautelares 321-12 de la Comisión Interamericana de Derechos Humanos contra el Estado.</w:t>
      </w:r>
    </w:p>
    <w:p>
      <w:pPr>
        <w:pStyle w:val="Xmsonormal"/>
        <w:ind w:left="2124" w:firstLine="708"/>
        <w:jc w:val="both"/>
        <w:rPr>
          <w:rFonts w:ascii="Arial" w:hAnsi="Arial" w:cs="Arial"/>
          <w:sz w:val="20"/>
          <w:szCs w:val="20"/>
        </w:rPr>
      </w:pPr>
      <w:r>
        <w:rPr>
          <w:rFonts w:cs="Arial" w:ascii="Arial" w:hAnsi="Arial"/>
          <w:sz w:val="20"/>
          <w:szCs w:val="20"/>
          <w:lang w:val="es-ES"/>
        </w:rPr>
        <w:t> </w:t>
      </w:r>
    </w:p>
    <w:p>
      <w:pPr>
        <w:pStyle w:val="Xmsonormal"/>
        <w:jc w:val="both"/>
        <w:rPr>
          <w:rFonts w:ascii="Arial" w:hAnsi="Arial" w:cs="Arial"/>
          <w:sz w:val="20"/>
          <w:szCs w:val="20"/>
        </w:rPr>
      </w:pPr>
      <w:r>
        <w:rPr>
          <w:rFonts w:cs="Arial" w:ascii="Arial" w:hAnsi="Arial"/>
          <w:sz w:val="20"/>
          <w:szCs w:val="20"/>
          <w:lang w:val="es-ES"/>
        </w:rPr>
        <w:t>Quedo a la orden.</w:t>
      </w:r>
    </w:p>
    <w:p>
      <w:pPr>
        <w:pStyle w:val="Xmsonormal"/>
        <w:ind w:left="2124" w:firstLine="708"/>
        <w:jc w:val="both"/>
        <w:rPr>
          <w:rFonts w:ascii="Arial" w:hAnsi="Arial" w:cs="Arial"/>
          <w:sz w:val="20"/>
          <w:szCs w:val="20"/>
        </w:rPr>
      </w:pPr>
      <w:r>
        <w:rPr>
          <w:rFonts w:cs="Arial" w:ascii="Arial" w:hAnsi="Arial"/>
          <w:sz w:val="20"/>
          <w:szCs w:val="20"/>
          <w:lang w:val="es-ES"/>
        </w:rPr>
        <w:t> </w:t>
      </w:r>
    </w:p>
    <w:p>
      <w:pPr>
        <w:pStyle w:val="Xmsonormal"/>
        <w:ind w:left="2124" w:firstLine="708"/>
        <w:jc w:val="both"/>
        <w:rPr>
          <w:rFonts w:ascii="Arial" w:hAnsi="Arial" w:cs="Arial"/>
          <w:sz w:val="20"/>
          <w:szCs w:val="20"/>
        </w:rPr>
      </w:pPr>
      <w:r>
        <w:rPr>
          <w:rFonts w:cs="Arial" w:ascii="Arial" w:hAnsi="Arial"/>
          <w:sz w:val="20"/>
          <w:szCs w:val="20"/>
          <w:lang w:val="es-ES"/>
        </w:rPr>
        <w:t> </w:t>
      </w:r>
    </w:p>
    <w:p>
      <w:pPr>
        <w:pStyle w:val="Xmsonormal"/>
        <w:ind w:left="2124" w:hanging="0"/>
        <w:jc w:val="both"/>
        <w:rPr>
          <w:rFonts w:ascii="Arial" w:hAnsi="Arial" w:cs="Arial"/>
          <w:sz w:val="20"/>
          <w:szCs w:val="20"/>
        </w:rPr>
      </w:pPr>
      <w:r>
        <w:rPr>
          <w:rFonts w:cs="Arial" w:ascii="Arial" w:hAnsi="Arial"/>
          <w:i/>
          <w:iCs/>
          <w:sz w:val="20"/>
          <w:szCs w:val="20"/>
          <w:lang w:val="es-ES"/>
        </w:rPr>
        <w:t> </w:t>
      </w:r>
    </w:p>
    <w:p>
      <w:pPr>
        <w:pStyle w:val="Xmsonormal"/>
        <w:ind w:left="2124" w:hanging="0"/>
        <w:jc w:val="center"/>
        <w:rPr>
          <w:rFonts w:ascii="Arial" w:hAnsi="Arial" w:cs="Arial"/>
          <w:sz w:val="20"/>
          <w:szCs w:val="20"/>
        </w:rPr>
      </w:pPr>
      <w:r>
        <w:rPr>
          <w:rFonts w:cs="Arial" w:ascii="Arial" w:hAnsi="Arial"/>
          <w:b/>
          <w:bCs/>
          <w:i/>
          <w:iCs/>
          <w:sz w:val="20"/>
          <w:szCs w:val="20"/>
          <w:lang w:val="es-ES"/>
        </w:rPr>
        <w:t>Jueza Damaris Vargas Vásquez</w:t>
      </w:r>
    </w:p>
    <w:p>
      <w:pPr>
        <w:pStyle w:val="Xmsonormal"/>
        <w:ind w:left="2124" w:hanging="0"/>
        <w:jc w:val="center"/>
        <w:rPr>
          <w:rFonts w:ascii="Arial" w:hAnsi="Arial" w:cs="Arial"/>
          <w:sz w:val="20"/>
          <w:szCs w:val="20"/>
        </w:rPr>
      </w:pPr>
      <w:r>
        <w:rPr>
          <w:rFonts w:cs="Arial" w:ascii="Arial" w:hAnsi="Arial"/>
          <w:b/>
          <w:bCs/>
          <w:i/>
          <w:iCs/>
          <w:sz w:val="20"/>
          <w:szCs w:val="20"/>
        </w:rPr>
        <w:t>Coordinadora</w:t>
      </w:r>
    </w:p>
    <w:p>
      <w:pPr>
        <w:pStyle w:val="Xmsonormal"/>
        <w:ind w:left="2124" w:hanging="0"/>
        <w:jc w:val="center"/>
        <w:rPr>
          <w:rFonts w:ascii="Arial" w:hAnsi="Arial" w:cs="Arial"/>
          <w:sz w:val="20"/>
          <w:szCs w:val="20"/>
        </w:rPr>
      </w:pPr>
      <w:r>
        <w:rPr>
          <w:rFonts w:cs="Arial" w:ascii="Arial" w:hAnsi="Arial"/>
          <w:b/>
          <w:bCs/>
          <w:i/>
          <w:iCs/>
          <w:sz w:val="20"/>
          <w:szCs w:val="20"/>
        </w:rPr>
        <w:t>Subcomisión de Acceso a la Justicia de Pueblos Indígenas</w:t>
      </w:r>
    </w:p>
    <w:p>
      <w:pPr>
        <w:pStyle w:val="Xmsonormal"/>
        <w:ind w:left="2124" w:hanging="0"/>
        <w:jc w:val="both"/>
        <w:rPr>
          <w:rFonts w:ascii="Arial" w:hAnsi="Arial" w:cs="Arial"/>
          <w:sz w:val="20"/>
          <w:szCs w:val="20"/>
        </w:rPr>
      </w:pPr>
      <w:r>
        <w:rPr>
          <w:rFonts w:cs="Arial" w:ascii="Arial" w:hAnsi="Arial"/>
          <w:i/>
          <w:iCs/>
          <w:sz w:val="20"/>
          <w:szCs w:val="20"/>
        </w:rPr>
        <w:t> </w:t>
      </w:r>
    </w:p>
    <w:p>
      <w:pPr>
        <w:pStyle w:val="Xmsonormal"/>
        <w:ind w:left="2124" w:hanging="0"/>
        <w:rPr>
          <w:rFonts w:ascii="Arial" w:hAnsi="Arial" w:cs="Arial"/>
          <w:sz w:val="20"/>
          <w:szCs w:val="20"/>
        </w:rPr>
      </w:pPr>
      <w:r>
        <w:rPr>
          <w:rFonts w:cs="Arial" w:ascii="Arial" w:hAnsi="Arial"/>
          <w:sz w:val="20"/>
          <w:szCs w:val="20"/>
        </w:rPr>
        <w:t> </w:t>
      </w:r>
    </w:p>
    <w:p>
      <w:pPr>
        <w:pStyle w:val="Xmsonormal"/>
        <w:numPr>
          <w:ilvl w:val="0"/>
          <w:numId w:val="0"/>
        </w:numPr>
        <w:outlineLvl w:val="0"/>
        <w:rPr>
          <w:rFonts w:ascii="Arial" w:hAnsi="Arial" w:cs="Arial"/>
          <w:sz w:val="20"/>
          <w:szCs w:val="20"/>
        </w:rPr>
      </w:pPr>
      <w:r>
        <w:rPr>
          <w:rFonts w:cs="Arial" w:ascii="Arial" w:hAnsi="Arial"/>
          <w:b/>
          <w:bCs/>
          <w:sz w:val="20"/>
          <w:szCs w:val="20"/>
          <w:lang w:val="es-ES"/>
        </w:rPr>
        <w:t>De:</w:t>
      </w:r>
      <w:r>
        <w:rPr>
          <w:rFonts w:cs="Arial" w:ascii="Arial" w:hAnsi="Arial"/>
          <w:sz w:val="20"/>
          <w:szCs w:val="20"/>
          <w:lang w:val="es-ES"/>
        </w:rPr>
        <w:t xml:space="preserve"> Damaris Vargas Vásquez </w:t>
        <w:br/>
      </w:r>
      <w:r>
        <w:rPr>
          <w:rFonts w:cs="Arial" w:ascii="Arial" w:hAnsi="Arial"/>
          <w:b/>
          <w:bCs/>
          <w:sz w:val="20"/>
          <w:szCs w:val="20"/>
          <w:lang w:val="es-ES"/>
        </w:rPr>
        <w:t>Enviado el:</w:t>
      </w:r>
      <w:r>
        <w:rPr>
          <w:rFonts w:cs="Arial" w:ascii="Arial" w:hAnsi="Arial"/>
          <w:sz w:val="20"/>
          <w:szCs w:val="20"/>
          <w:lang w:val="es-ES"/>
        </w:rPr>
        <w:t xml:space="preserve"> lunes, 14 de octubre de 2019 01:29 p.m.</w:t>
        <w:br/>
      </w:r>
      <w:r>
        <w:rPr>
          <w:rFonts w:cs="Arial" w:ascii="Arial" w:hAnsi="Arial"/>
          <w:b/>
          <w:bCs/>
          <w:sz w:val="20"/>
          <w:szCs w:val="20"/>
          <w:lang w:val="es-ES"/>
        </w:rPr>
        <w:t>Para:</w:t>
      </w:r>
      <w:r>
        <w:rPr>
          <w:rFonts w:cs="Arial" w:ascii="Arial" w:hAnsi="Arial"/>
          <w:sz w:val="20"/>
          <w:szCs w:val="20"/>
          <w:lang w:val="es-ES"/>
        </w:rPr>
        <w:t xml:space="preserve"> Alvaro Paniagua &lt;</w:t>
      </w:r>
      <w:hyperlink r:id="rId138">
        <w:r>
          <w:rPr>
            <w:rStyle w:val="EnlacedeInternet"/>
            <w:rFonts w:cs="Arial" w:ascii="Arial" w:hAnsi="Arial"/>
            <w:color w:val="auto"/>
            <w:sz w:val="20"/>
            <w:szCs w:val="20"/>
          </w:rPr>
          <w:t>apaniagua@dhr.go.cr</w:t>
        </w:r>
      </w:hyperlink>
      <w:r>
        <w:rPr>
          <w:rFonts w:cs="Arial" w:ascii="Arial" w:hAnsi="Arial"/>
          <w:sz w:val="20"/>
          <w:szCs w:val="20"/>
          <w:lang w:val="es-ES"/>
        </w:rPr>
        <w:t>&gt;; Acceso a la Justicia &lt;</w:t>
      </w:r>
      <w:hyperlink r:id="rId139">
        <w:r>
          <w:rPr>
            <w:rStyle w:val="EnlacedeInternet"/>
            <w:rFonts w:cs="Arial" w:ascii="Arial" w:hAnsi="Arial"/>
            <w:color w:val="auto"/>
            <w:sz w:val="20"/>
            <w:szCs w:val="20"/>
          </w:rPr>
          <w:t>accesojusticia@Poder-Judicial.go.cr</w:t>
        </w:r>
      </w:hyperlink>
      <w:r>
        <w:rPr>
          <w:rFonts w:cs="Arial" w:ascii="Arial" w:hAnsi="Arial"/>
          <w:sz w:val="20"/>
          <w:szCs w:val="20"/>
          <w:lang w:val="es-ES"/>
        </w:rPr>
        <w:t>&gt;; Alice H Shackelford &lt;</w:t>
      </w:r>
      <w:hyperlink r:id="rId140">
        <w:r>
          <w:rPr>
            <w:rStyle w:val="EnlacedeInternet"/>
            <w:rFonts w:cs="Arial" w:ascii="Arial" w:hAnsi="Arial"/>
            <w:color w:val="auto"/>
            <w:sz w:val="20"/>
            <w:szCs w:val="20"/>
          </w:rPr>
          <w:t>alice.harding.shackelford@one.un.org</w:t>
        </w:r>
      </w:hyperlink>
      <w:r>
        <w:rPr>
          <w:rFonts w:cs="Arial" w:ascii="Arial" w:hAnsi="Arial"/>
          <w:sz w:val="20"/>
          <w:szCs w:val="20"/>
          <w:lang w:val="es-ES"/>
        </w:rPr>
        <w:t xml:space="preserve">&gt;; </w:t>
      </w:r>
      <w:hyperlink r:id="rId141">
        <w:r>
          <w:rPr>
            <w:rStyle w:val="EnlacedeInternet"/>
            <w:rFonts w:cs="Arial" w:ascii="Arial" w:hAnsi="Arial"/>
            <w:color w:val="auto"/>
            <w:sz w:val="20"/>
            <w:szCs w:val="20"/>
          </w:rPr>
          <w:t>cidhoea@oas.org</w:t>
        </w:r>
      </w:hyperlink>
      <w:r>
        <w:rPr>
          <w:rFonts w:cs="Arial" w:ascii="Arial" w:hAnsi="Arial"/>
          <w:sz w:val="20"/>
          <w:szCs w:val="20"/>
          <w:lang w:val="es-ES"/>
        </w:rPr>
        <w:t>; Consejo de Mayores Iriria &lt;</w:t>
      </w:r>
      <w:hyperlink r:id="rId142">
        <w:r>
          <w:rPr>
            <w:rStyle w:val="EnlacedeInternet"/>
            <w:rFonts w:cs="Arial" w:ascii="Arial" w:hAnsi="Arial"/>
            <w:color w:val="auto"/>
            <w:sz w:val="20"/>
            <w:szCs w:val="20"/>
          </w:rPr>
          <w:t>consejomayores.iriria@gmail.com</w:t>
        </w:r>
      </w:hyperlink>
      <w:r>
        <w:rPr>
          <w:rFonts w:cs="Arial" w:ascii="Arial" w:hAnsi="Arial"/>
          <w:sz w:val="20"/>
          <w:szCs w:val="20"/>
          <w:lang w:val="es-ES"/>
        </w:rPr>
        <w:t>&gt;; Viceministerio Presidencia &lt;</w:t>
      </w:r>
      <w:hyperlink r:id="rId143">
        <w:r>
          <w:rPr>
            <w:rStyle w:val="EnlacedeInternet"/>
            <w:rFonts w:cs="Arial" w:ascii="Arial" w:hAnsi="Arial"/>
            <w:color w:val="auto"/>
            <w:sz w:val="20"/>
            <w:szCs w:val="20"/>
          </w:rPr>
          <w:t>dialogociudadano@presidencia.go.cr</w:t>
        </w:r>
      </w:hyperlink>
      <w:r>
        <w:rPr>
          <w:rFonts w:cs="Arial" w:ascii="Arial" w:hAnsi="Arial"/>
          <w:sz w:val="20"/>
          <w:szCs w:val="20"/>
          <w:lang w:val="es-ES"/>
        </w:rPr>
        <w:t xml:space="preserve">&gt;; </w:t>
      </w:r>
      <w:hyperlink r:id="rId144">
        <w:r>
          <w:rPr>
            <w:rStyle w:val="EnlacedeInternet"/>
            <w:rFonts w:cs="Arial" w:ascii="Arial" w:hAnsi="Arial"/>
            <w:color w:val="auto"/>
            <w:sz w:val="20"/>
            <w:szCs w:val="20"/>
          </w:rPr>
          <w:t>felipeculturabribri@gmail.com</w:t>
        </w:r>
      </w:hyperlink>
      <w:r>
        <w:rPr>
          <w:rFonts w:cs="Arial" w:ascii="Arial" w:hAnsi="Arial"/>
          <w:sz w:val="20"/>
          <w:szCs w:val="20"/>
          <w:lang w:val="es-ES"/>
        </w:rPr>
        <w:t xml:space="preserve">; </w:t>
      </w:r>
      <w:hyperlink r:id="rId145">
        <w:r>
          <w:rPr>
            <w:rStyle w:val="EnlacedeInternet"/>
            <w:rFonts w:cs="Arial" w:ascii="Arial" w:hAnsi="Arial"/>
            <w:color w:val="auto"/>
            <w:sz w:val="20"/>
            <w:szCs w:val="20"/>
          </w:rPr>
          <w:t>indigenous@ohchr.org</w:t>
        </w:r>
      </w:hyperlink>
      <w:r>
        <w:rPr>
          <w:rFonts w:cs="Arial" w:ascii="Arial" w:hAnsi="Arial"/>
          <w:sz w:val="20"/>
          <w:szCs w:val="20"/>
          <w:lang w:val="es-ES"/>
        </w:rPr>
        <w:t>; Marjorie Herrera &lt;</w:t>
      </w:r>
      <w:hyperlink r:id="rId146">
        <w:r>
          <w:rPr>
            <w:rStyle w:val="EnlacedeInternet"/>
            <w:rFonts w:cs="Arial" w:ascii="Arial" w:hAnsi="Arial"/>
            <w:color w:val="auto"/>
            <w:sz w:val="20"/>
            <w:szCs w:val="20"/>
          </w:rPr>
          <w:t>mherrera@dhr.go.cr</w:t>
        </w:r>
      </w:hyperlink>
      <w:r>
        <w:rPr>
          <w:rFonts w:cs="Arial" w:ascii="Arial" w:hAnsi="Arial"/>
          <w:sz w:val="20"/>
          <w:szCs w:val="20"/>
          <w:lang w:val="es-ES"/>
        </w:rPr>
        <w:t xml:space="preserve">&gt;; </w:t>
      </w:r>
      <w:hyperlink r:id="rId147">
        <w:r>
          <w:rPr>
            <w:rStyle w:val="EnlacedeInternet"/>
            <w:rFonts w:cs="Arial" w:ascii="Arial" w:hAnsi="Arial"/>
            <w:color w:val="auto"/>
            <w:sz w:val="20"/>
            <w:szCs w:val="20"/>
          </w:rPr>
          <w:t>patrimorac@hotmail.com</w:t>
        </w:r>
      </w:hyperlink>
      <w:r>
        <w:rPr>
          <w:rFonts w:cs="Arial" w:ascii="Arial" w:hAnsi="Arial"/>
          <w:sz w:val="20"/>
          <w:szCs w:val="20"/>
          <w:lang w:val="es-ES"/>
        </w:rPr>
        <w:t>; Roberth Morales &lt;</w:t>
      </w:r>
      <w:hyperlink r:id="rId148">
        <w:r>
          <w:rPr>
            <w:rStyle w:val="EnlacedeInternet"/>
            <w:rFonts w:cs="Arial" w:ascii="Arial" w:hAnsi="Arial"/>
            <w:color w:val="auto"/>
            <w:sz w:val="20"/>
            <w:szCs w:val="20"/>
          </w:rPr>
          <w:t>roberthmv1974@gmail.com</w:t>
        </w:r>
      </w:hyperlink>
      <w:r>
        <w:rPr>
          <w:rFonts w:cs="Arial" w:ascii="Arial" w:hAnsi="Arial"/>
          <w:sz w:val="20"/>
          <w:szCs w:val="20"/>
          <w:lang w:val="es-ES"/>
        </w:rPr>
        <w:t>&gt;; Vanessa Jimenez &lt;</w:t>
      </w:r>
      <w:hyperlink r:id="rId149">
        <w:r>
          <w:rPr>
            <w:rStyle w:val="EnlacedeInternet"/>
            <w:rFonts w:cs="Arial" w:ascii="Arial" w:hAnsi="Arial"/>
            <w:color w:val="auto"/>
            <w:sz w:val="20"/>
            <w:szCs w:val="20"/>
          </w:rPr>
          <w:t>vjimenez342@gmail.com</w:t>
        </w:r>
      </w:hyperlink>
      <w:r>
        <w:rPr>
          <w:rFonts w:cs="Arial" w:ascii="Arial" w:hAnsi="Arial"/>
          <w:sz w:val="20"/>
          <w:szCs w:val="20"/>
          <w:lang w:val="es-ES"/>
        </w:rPr>
        <w:t>&gt;; Melissa Benavides Víquez &lt;</w:t>
      </w:r>
      <w:hyperlink r:id="rId150">
        <w:r>
          <w:rPr>
            <w:rStyle w:val="EnlacedeInternet"/>
            <w:rFonts w:cs="Arial" w:ascii="Arial" w:hAnsi="Arial"/>
            <w:color w:val="auto"/>
            <w:sz w:val="20"/>
            <w:szCs w:val="20"/>
          </w:rPr>
          <w:t>mbenavidesv@Poder-Judicial.go.cr</w:t>
        </w:r>
      </w:hyperlink>
      <w:r>
        <w:rPr>
          <w:rFonts w:cs="Arial" w:ascii="Arial" w:hAnsi="Arial"/>
          <w:sz w:val="20"/>
          <w:szCs w:val="20"/>
          <w:lang w:val="es-ES"/>
        </w:rPr>
        <w:t>&gt;; Ricardo Araya &lt;</w:t>
      </w:r>
      <w:hyperlink r:id="rId151">
        <w:r>
          <w:rPr>
            <w:rStyle w:val="EnlacedeInternet"/>
            <w:rFonts w:cs="Arial" w:ascii="Arial" w:hAnsi="Arial"/>
            <w:color w:val="auto"/>
            <w:sz w:val="20"/>
            <w:szCs w:val="20"/>
          </w:rPr>
          <w:t>cerrodeoro@gmail.com</w:t>
        </w:r>
      </w:hyperlink>
      <w:r>
        <w:rPr>
          <w:rFonts w:cs="Arial" w:ascii="Arial" w:hAnsi="Arial"/>
          <w:sz w:val="20"/>
          <w:szCs w:val="20"/>
          <w:lang w:val="es-ES"/>
        </w:rPr>
        <w:t>&gt;; gustavo oreamuno vignet &lt;</w:t>
      </w:r>
      <w:hyperlink r:id="rId152">
        <w:r>
          <w:rPr>
            <w:rStyle w:val="EnlacedeInternet"/>
            <w:rFonts w:cs="Arial" w:ascii="Arial" w:hAnsi="Arial"/>
            <w:color w:val="auto"/>
            <w:sz w:val="20"/>
            <w:szCs w:val="20"/>
          </w:rPr>
          <w:t>tavoreamuno72@gmail.com</w:t>
        </w:r>
      </w:hyperlink>
      <w:r>
        <w:rPr>
          <w:rFonts w:cs="Arial" w:ascii="Arial" w:hAnsi="Arial"/>
          <w:sz w:val="20"/>
          <w:szCs w:val="20"/>
          <w:lang w:val="es-ES"/>
        </w:rPr>
        <w:t>&gt;</w:t>
        <w:br/>
      </w:r>
      <w:r>
        <w:rPr>
          <w:rFonts w:cs="Arial" w:ascii="Arial" w:hAnsi="Arial"/>
          <w:b/>
          <w:bCs/>
          <w:sz w:val="20"/>
          <w:szCs w:val="20"/>
          <w:lang w:val="es-ES"/>
        </w:rPr>
        <w:t>CC:</w:t>
      </w:r>
      <w:r>
        <w:rPr>
          <w:rFonts w:cs="Arial" w:ascii="Arial" w:hAnsi="Arial"/>
          <w:sz w:val="20"/>
          <w:szCs w:val="20"/>
          <w:lang w:val="es-ES"/>
        </w:rPr>
        <w:t xml:space="preserve"> Presidencia de la Corte &lt;</w:t>
      </w:r>
      <w:hyperlink r:id="rId153">
        <w:r>
          <w:rPr>
            <w:rStyle w:val="EnlacedeInternet"/>
            <w:rFonts w:cs="Arial" w:ascii="Arial" w:hAnsi="Arial"/>
            <w:color w:val="auto"/>
            <w:sz w:val="20"/>
            <w:szCs w:val="20"/>
          </w:rPr>
          <w:t>presidencia@Poder-Judicial.go.cr</w:t>
        </w:r>
      </w:hyperlink>
      <w:r>
        <w:rPr>
          <w:rFonts w:cs="Arial" w:ascii="Arial" w:hAnsi="Arial"/>
          <w:sz w:val="20"/>
          <w:szCs w:val="20"/>
          <w:lang w:val="es-ES"/>
        </w:rPr>
        <w:t>&gt;; Despacho de la Presidencia de la Corte &lt;</w:t>
      </w:r>
      <w:hyperlink r:id="rId154">
        <w:r>
          <w:rPr>
            <w:rStyle w:val="EnlacedeInternet"/>
            <w:rFonts w:cs="Arial" w:ascii="Arial" w:hAnsi="Arial"/>
            <w:color w:val="auto"/>
            <w:sz w:val="20"/>
            <w:szCs w:val="20"/>
          </w:rPr>
          <w:t>despacho_pre@Poder-Judicial.go.cr</w:t>
        </w:r>
      </w:hyperlink>
      <w:r>
        <w:rPr>
          <w:rFonts w:cs="Arial" w:ascii="Arial" w:hAnsi="Arial"/>
          <w:sz w:val="20"/>
          <w:szCs w:val="20"/>
          <w:lang w:val="es-ES"/>
        </w:rPr>
        <w:t>&gt;; Acceso a la Justicia &lt;</w:t>
      </w:r>
      <w:hyperlink r:id="rId155">
        <w:r>
          <w:rPr>
            <w:rStyle w:val="EnlacedeInternet"/>
            <w:rFonts w:cs="Arial" w:ascii="Arial" w:hAnsi="Arial"/>
            <w:color w:val="auto"/>
            <w:sz w:val="20"/>
            <w:szCs w:val="20"/>
          </w:rPr>
          <w:t>accesojusticia@Poder-Judicial.go.cr</w:t>
        </w:r>
      </w:hyperlink>
      <w:r>
        <w:rPr>
          <w:rFonts w:cs="Arial" w:ascii="Arial" w:hAnsi="Arial"/>
          <w:sz w:val="20"/>
          <w:szCs w:val="20"/>
          <w:lang w:val="es-ES"/>
        </w:rPr>
        <w:t>&gt;</w:t>
        <w:br/>
      </w:r>
      <w:r>
        <w:rPr>
          <w:rFonts w:cs="Arial" w:ascii="Arial" w:hAnsi="Arial"/>
          <w:b/>
          <w:bCs/>
          <w:sz w:val="20"/>
          <w:szCs w:val="20"/>
          <w:lang w:val="es-ES"/>
        </w:rPr>
        <w:t>Asunto:</w:t>
      </w:r>
      <w:r>
        <w:rPr>
          <w:rFonts w:cs="Arial" w:ascii="Arial" w:hAnsi="Arial"/>
          <w:sz w:val="20"/>
          <w:szCs w:val="20"/>
          <w:lang w:val="es-ES"/>
        </w:rPr>
        <w:t xml:space="preserve"> RV: Detención ilegal de Efraín Fernándes de China Kicha</w:t>
      </w:r>
    </w:p>
    <w:p>
      <w:pPr>
        <w:pStyle w:val="Xmsonormal"/>
        <w:ind w:left="2832" w:hanging="0"/>
        <w:rPr>
          <w:rFonts w:ascii="Arial" w:hAnsi="Arial" w:cs="Arial"/>
          <w:sz w:val="20"/>
          <w:szCs w:val="20"/>
        </w:rPr>
      </w:pPr>
      <w:r>
        <w:rPr>
          <w:rFonts w:cs="Arial" w:ascii="Arial" w:hAnsi="Arial"/>
          <w:sz w:val="20"/>
          <w:szCs w:val="20"/>
        </w:rPr>
        <w:t> </w:t>
      </w:r>
    </w:p>
    <w:p>
      <w:pPr>
        <w:pStyle w:val="Xmsonormal"/>
        <w:rPr>
          <w:rFonts w:ascii="Arial" w:hAnsi="Arial" w:cs="Arial"/>
          <w:sz w:val="20"/>
          <w:szCs w:val="20"/>
        </w:rPr>
      </w:pPr>
      <w:r>
        <w:rPr>
          <w:rFonts w:cs="Arial" w:ascii="Arial" w:hAnsi="Arial"/>
          <w:sz w:val="20"/>
          <w:szCs w:val="20"/>
        </w:rPr>
        <w:t>Señor</w:t>
      </w:r>
    </w:p>
    <w:p>
      <w:pPr>
        <w:pStyle w:val="Xmsonormal"/>
        <w:rPr>
          <w:rFonts w:ascii="Arial" w:hAnsi="Arial" w:cs="Arial"/>
          <w:sz w:val="20"/>
          <w:szCs w:val="20"/>
        </w:rPr>
      </w:pPr>
      <w:r>
        <w:rPr>
          <w:rFonts w:cs="Arial" w:ascii="Arial" w:hAnsi="Arial"/>
          <w:sz w:val="20"/>
          <w:szCs w:val="20"/>
        </w:rPr>
        <w:t>Gustavo Oreamuno V</w:t>
      </w:r>
    </w:p>
    <w:p>
      <w:pPr>
        <w:pStyle w:val="Xmsonormal"/>
        <w:rPr>
          <w:rFonts w:ascii="Arial" w:hAnsi="Arial" w:cs="Arial"/>
          <w:sz w:val="20"/>
          <w:szCs w:val="20"/>
        </w:rPr>
      </w:pPr>
      <w:r>
        <w:rPr>
          <w:rFonts w:cs="Arial" w:ascii="Arial" w:hAnsi="Arial"/>
          <w:sz w:val="20"/>
          <w:szCs w:val="20"/>
        </w:rPr>
        <w:t>Ditsö</w:t>
      </w:r>
    </w:p>
    <w:p>
      <w:pPr>
        <w:pStyle w:val="Xmsonormal"/>
        <w:rPr>
          <w:rFonts w:ascii="Arial" w:hAnsi="Arial" w:cs="Arial"/>
          <w:sz w:val="20"/>
          <w:szCs w:val="20"/>
        </w:rPr>
      </w:pPr>
      <w:r>
        <w:rPr>
          <w:rFonts w:cs="Arial" w:ascii="Arial" w:hAnsi="Arial"/>
          <w:sz w:val="20"/>
          <w:szCs w:val="20"/>
        </w:rPr>
        <w:t>Coordinadora de Lucha Sur Sur</w:t>
      </w:r>
    </w:p>
    <w:p>
      <w:pPr>
        <w:pStyle w:val="Xmsonormal"/>
        <w:ind w:left="3540" w:hanging="0"/>
        <w:rPr>
          <w:rFonts w:ascii="Arial" w:hAnsi="Arial" w:cs="Arial"/>
          <w:sz w:val="20"/>
          <w:szCs w:val="20"/>
        </w:rPr>
      </w:pPr>
      <w:r>
        <w:rPr>
          <w:rFonts w:cs="Arial" w:ascii="Arial" w:hAnsi="Arial"/>
          <w:sz w:val="20"/>
          <w:szCs w:val="20"/>
        </w:rPr>
        <w:t> </w:t>
      </w:r>
    </w:p>
    <w:p>
      <w:pPr>
        <w:pStyle w:val="Xmsonormal"/>
        <w:jc w:val="both"/>
        <w:rPr>
          <w:rFonts w:ascii="Arial" w:hAnsi="Arial" w:cs="Arial"/>
          <w:sz w:val="20"/>
          <w:szCs w:val="20"/>
        </w:rPr>
      </w:pPr>
      <w:r>
        <w:rPr>
          <w:rFonts w:cs="Arial" w:ascii="Arial" w:hAnsi="Arial"/>
          <w:sz w:val="20"/>
          <w:szCs w:val="20"/>
        </w:rPr>
        <w:t xml:space="preserve">Reciba un atento saludo. Acuso recibido de la información enviada mediante comunicado electrónico del </w:t>
      </w:r>
      <w:r>
        <w:rPr>
          <w:rFonts w:cs="Arial" w:ascii="Arial" w:hAnsi="Arial"/>
          <w:sz w:val="20"/>
          <w:szCs w:val="20"/>
          <w:lang w:val="es-ES"/>
        </w:rPr>
        <w:t>14 de octubre de 2019 12:23 p.m. sobre “D</w:t>
      </w:r>
      <w:r>
        <w:rPr>
          <w:rFonts w:cs="Arial" w:ascii="Arial" w:hAnsi="Arial"/>
          <w:sz w:val="20"/>
          <w:szCs w:val="20"/>
        </w:rPr>
        <w:t>etención ilegal de Efraín Fernández Zúñiga, originarios Cabecar de China Kicha, ocurrida el lunes 14 de octubre de 2019.”</w:t>
      </w:r>
    </w:p>
    <w:p>
      <w:pPr>
        <w:pStyle w:val="Xmsonormal"/>
        <w:ind w:left="3540" w:hanging="0"/>
        <w:rPr>
          <w:rFonts w:ascii="Arial" w:hAnsi="Arial" w:cs="Arial"/>
          <w:sz w:val="20"/>
          <w:szCs w:val="20"/>
        </w:rPr>
      </w:pPr>
      <w:r>
        <w:rPr>
          <w:rFonts w:cs="Arial" w:ascii="Arial" w:hAnsi="Arial"/>
          <w:sz w:val="20"/>
          <w:szCs w:val="20"/>
        </w:rPr>
        <w:t> </w:t>
      </w:r>
    </w:p>
    <w:p>
      <w:pPr>
        <w:pStyle w:val="Xmsonormal"/>
        <w:rPr>
          <w:rFonts w:ascii="Arial" w:hAnsi="Arial" w:cs="Arial"/>
          <w:sz w:val="20"/>
          <w:szCs w:val="20"/>
        </w:rPr>
      </w:pPr>
      <w:r>
        <w:rPr>
          <w:rFonts w:cs="Arial" w:ascii="Arial" w:hAnsi="Arial"/>
          <w:sz w:val="20"/>
          <w:szCs w:val="20"/>
        </w:rPr>
        <w:t>Saludos cordiales,</w:t>
      </w:r>
    </w:p>
    <w:p>
      <w:pPr>
        <w:pStyle w:val="Xmsonormal"/>
        <w:ind w:left="3540" w:hanging="0"/>
        <w:rPr>
          <w:rFonts w:ascii="Arial" w:hAnsi="Arial" w:cs="Arial"/>
          <w:sz w:val="20"/>
          <w:szCs w:val="20"/>
        </w:rPr>
      </w:pPr>
      <w:r>
        <w:rPr>
          <w:rFonts w:cs="Arial" w:ascii="Arial" w:hAnsi="Arial"/>
          <w:i/>
          <w:iCs/>
          <w:sz w:val="20"/>
          <w:szCs w:val="20"/>
        </w:rPr>
        <w:t> </w:t>
      </w:r>
    </w:p>
    <w:p>
      <w:pPr>
        <w:pStyle w:val="Xmsonormal"/>
        <w:rPr>
          <w:rFonts w:ascii="Arial" w:hAnsi="Arial" w:cs="Arial"/>
          <w:sz w:val="20"/>
          <w:szCs w:val="20"/>
        </w:rPr>
      </w:pPr>
      <w:r>
        <w:rPr>
          <w:rFonts w:cs="Arial" w:ascii="Arial" w:hAnsi="Arial"/>
          <w:i/>
          <w:iCs/>
          <w:sz w:val="20"/>
          <w:szCs w:val="20"/>
        </w:rPr>
        <w:t>Damaris Vargas Vásquez</w:t>
      </w:r>
    </w:p>
    <w:p>
      <w:pPr>
        <w:pStyle w:val="Xmsonormal"/>
        <w:rPr>
          <w:rFonts w:ascii="Arial" w:hAnsi="Arial" w:cs="Arial"/>
          <w:sz w:val="20"/>
          <w:szCs w:val="20"/>
        </w:rPr>
      </w:pPr>
      <w:r>
        <w:rPr>
          <w:rFonts w:cs="Arial" w:ascii="Arial" w:hAnsi="Arial"/>
          <w:i/>
          <w:iCs/>
          <w:sz w:val="20"/>
          <w:szCs w:val="20"/>
        </w:rPr>
        <w:t>Coordinadora Subcomisión Acceso a la Justicia de Pueblos Indígenas</w:t>
      </w:r>
    </w:p>
    <w:p>
      <w:pPr>
        <w:pStyle w:val="Xmsonormal"/>
        <w:rPr>
          <w:rFonts w:ascii="Arial" w:hAnsi="Arial" w:cs="Arial"/>
          <w:sz w:val="20"/>
          <w:szCs w:val="20"/>
        </w:rPr>
      </w:pPr>
      <w:r>
        <w:rPr>
          <w:rFonts w:cs="Arial" w:ascii="Arial" w:hAnsi="Arial"/>
          <w:i/>
          <w:iCs/>
          <w:sz w:val="20"/>
          <w:szCs w:val="20"/>
        </w:rPr>
        <w:t>Poder Judicial</w:t>
      </w:r>
    </w:p>
    <w:p>
      <w:pPr>
        <w:pStyle w:val="Xmsonormal"/>
        <w:rPr>
          <w:rFonts w:ascii="Arial" w:hAnsi="Arial" w:cs="Arial"/>
          <w:sz w:val="20"/>
          <w:szCs w:val="20"/>
        </w:rPr>
      </w:pPr>
      <w:r>
        <w:rPr>
          <w:rFonts w:cs="Arial" w:ascii="Arial" w:hAnsi="Arial"/>
          <w:i/>
          <w:iCs/>
          <w:sz w:val="20"/>
          <w:szCs w:val="20"/>
        </w:rPr>
        <w:t>Teléfonos (506) 22953081 y (506) 88118561</w:t>
      </w:r>
    </w:p>
    <w:p>
      <w:pPr>
        <w:pStyle w:val="Xmsonormal"/>
        <w:ind w:left="3540" w:hanging="0"/>
        <w:rPr>
          <w:rFonts w:ascii="Arial" w:hAnsi="Arial" w:cs="Arial"/>
          <w:sz w:val="20"/>
          <w:szCs w:val="20"/>
        </w:rPr>
      </w:pPr>
      <w:r>
        <w:rPr>
          <w:rFonts w:cs="Arial" w:ascii="Arial" w:hAnsi="Arial"/>
          <w:b/>
          <w:bCs/>
          <w:i/>
          <w:iCs/>
          <w:sz w:val="20"/>
          <w:szCs w:val="20"/>
        </w:rPr>
        <w:t> </w:t>
      </w:r>
    </w:p>
    <w:p>
      <w:pPr>
        <w:pStyle w:val="Xmsonormal"/>
        <w:ind w:left="3540" w:hanging="0"/>
        <w:rPr>
          <w:rFonts w:ascii="Arial" w:hAnsi="Arial" w:cs="Arial"/>
          <w:sz w:val="20"/>
          <w:szCs w:val="20"/>
        </w:rPr>
      </w:pPr>
      <w:r>
        <w:rPr>
          <w:rFonts w:cs="Arial" w:ascii="Arial" w:hAnsi="Arial"/>
          <w:sz w:val="20"/>
          <w:szCs w:val="20"/>
        </w:rPr>
        <w:t> </w:t>
      </w:r>
    </w:p>
    <w:p>
      <w:pPr>
        <w:pStyle w:val="Xmsonormal"/>
        <w:numPr>
          <w:ilvl w:val="0"/>
          <w:numId w:val="0"/>
        </w:numPr>
        <w:outlineLvl w:val="0"/>
        <w:rPr>
          <w:rFonts w:ascii="Arial" w:hAnsi="Arial" w:cs="Arial"/>
          <w:sz w:val="20"/>
          <w:szCs w:val="20"/>
        </w:rPr>
      </w:pPr>
      <w:r>
        <w:rPr>
          <w:rFonts w:cs="Arial" w:ascii="Arial" w:hAnsi="Arial"/>
          <w:b/>
          <w:bCs/>
          <w:sz w:val="20"/>
          <w:szCs w:val="20"/>
          <w:lang w:val="es-ES"/>
        </w:rPr>
        <w:t>De:</w:t>
      </w:r>
      <w:r>
        <w:rPr>
          <w:rFonts w:cs="Arial" w:ascii="Arial" w:hAnsi="Arial"/>
          <w:sz w:val="20"/>
          <w:szCs w:val="20"/>
          <w:lang w:val="es-ES"/>
        </w:rPr>
        <w:t xml:space="preserve"> gustavo oreamuno vignet &lt;</w:t>
      </w:r>
      <w:hyperlink r:id="rId156">
        <w:r>
          <w:rPr>
            <w:rStyle w:val="EnlacedeInternet"/>
            <w:rFonts w:cs="Arial" w:ascii="Arial" w:hAnsi="Arial"/>
            <w:color w:val="auto"/>
            <w:sz w:val="20"/>
            <w:szCs w:val="20"/>
          </w:rPr>
          <w:t>tavoreamuno72@gmail.com</w:t>
        </w:r>
      </w:hyperlink>
      <w:r>
        <w:rPr>
          <w:rFonts w:cs="Arial" w:ascii="Arial" w:hAnsi="Arial"/>
          <w:sz w:val="20"/>
          <w:szCs w:val="20"/>
          <w:lang w:val="es-ES"/>
        </w:rPr>
        <w:t xml:space="preserve">&gt; </w:t>
        <w:br/>
      </w:r>
      <w:r>
        <w:rPr>
          <w:rFonts w:cs="Arial" w:ascii="Arial" w:hAnsi="Arial"/>
          <w:b/>
          <w:bCs/>
          <w:sz w:val="20"/>
          <w:szCs w:val="20"/>
          <w:lang w:val="es-ES"/>
        </w:rPr>
        <w:t>Enviado el:</w:t>
      </w:r>
      <w:r>
        <w:rPr>
          <w:rFonts w:cs="Arial" w:ascii="Arial" w:hAnsi="Arial"/>
          <w:sz w:val="20"/>
          <w:szCs w:val="20"/>
          <w:lang w:val="es-ES"/>
        </w:rPr>
        <w:t xml:space="preserve"> lunes, 14 de octubre de 2019 12:23 p.m.</w:t>
        <w:br/>
      </w:r>
      <w:r>
        <w:rPr>
          <w:rFonts w:cs="Arial" w:ascii="Arial" w:hAnsi="Arial"/>
          <w:b/>
          <w:bCs/>
          <w:sz w:val="20"/>
          <w:szCs w:val="20"/>
          <w:lang w:val="es-ES"/>
        </w:rPr>
        <w:t>Para:</w:t>
      </w:r>
      <w:r>
        <w:rPr>
          <w:rFonts w:cs="Arial" w:ascii="Arial" w:hAnsi="Arial"/>
          <w:sz w:val="20"/>
          <w:szCs w:val="20"/>
          <w:lang w:val="es-ES"/>
        </w:rPr>
        <w:t xml:space="preserve"> Damaris Vargas Vásquez &lt;</w:t>
      </w:r>
      <w:hyperlink r:id="rId157">
        <w:r>
          <w:rPr>
            <w:rStyle w:val="EnlacedeInternet"/>
            <w:rFonts w:cs="Arial" w:ascii="Arial" w:hAnsi="Arial"/>
            <w:color w:val="auto"/>
            <w:sz w:val="20"/>
            <w:szCs w:val="20"/>
          </w:rPr>
          <w:t>dvargas@Poder-Judicial.go.cr</w:t>
        </w:r>
      </w:hyperlink>
      <w:r>
        <w:rPr>
          <w:rFonts w:cs="Arial" w:ascii="Arial" w:hAnsi="Arial"/>
          <w:sz w:val="20"/>
          <w:szCs w:val="20"/>
          <w:lang w:val="es-ES"/>
        </w:rPr>
        <w:t>&gt;; Alvaro Paniagua &lt;</w:t>
      </w:r>
      <w:hyperlink r:id="rId158">
        <w:r>
          <w:rPr>
            <w:rStyle w:val="EnlacedeInternet"/>
            <w:rFonts w:cs="Arial" w:ascii="Arial" w:hAnsi="Arial"/>
            <w:color w:val="auto"/>
            <w:sz w:val="20"/>
            <w:szCs w:val="20"/>
          </w:rPr>
          <w:t>apaniagua@dhr.go.cr</w:t>
        </w:r>
      </w:hyperlink>
      <w:r>
        <w:rPr>
          <w:rFonts w:cs="Arial" w:ascii="Arial" w:hAnsi="Arial"/>
          <w:sz w:val="20"/>
          <w:szCs w:val="20"/>
          <w:lang w:val="es-ES"/>
        </w:rPr>
        <w:t>&gt;; Acceso a la Justicia &lt;</w:t>
      </w:r>
      <w:hyperlink r:id="rId159">
        <w:r>
          <w:rPr>
            <w:rStyle w:val="EnlacedeInternet"/>
            <w:rFonts w:cs="Arial" w:ascii="Arial" w:hAnsi="Arial"/>
            <w:color w:val="auto"/>
            <w:sz w:val="20"/>
            <w:szCs w:val="20"/>
          </w:rPr>
          <w:t>accesojusticia@Poder-Judicial.go.cr</w:t>
        </w:r>
      </w:hyperlink>
      <w:r>
        <w:rPr>
          <w:rFonts w:cs="Arial" w:ascii="Arial" w:hAnsi="Arial"/>
          <w:sz w:val="20"/>
          <w:szCs w:val="20"/>
          <w:lang w:val="es-ES"/>
        </w:rPr>
        <w:t>&gt;; Alice H Shackelford &lt;</w:t>
      </w:r>
      <w:hyperlink r:id="rId160">
        <w:r>
          <w:rPr>
            <w:rStyle w:val="EnlacedeInternet"/>
            <w:rFonts w:cs="Arial" w:ascii="Arial" w:hAnsi="Arial"/>
            <w:color w:val="auto"/>
            <w:sz w:val="20"/>
            <w:szCs w:val="20"/>
          </w:rPr>
          <w:t>alice.harding.shackelford@one.un.org</w:t>
        </w:r>
      </w:hyperlink>
      <w:r>
        <w:rPr>
          <w:rFonts w:cs="Arial" w:ascii="Arial" w:hAnsi="Arial"/>
          <w:sz w:val="20"/>
          <w:szCs w:val="20"/>
          <w:lang w:val="es-ES"/>
        </w:rPr>
        <w:t xml:space="preserve">&gt;; </w:t>
      </w:r>
      <w:hyperlink r:id="rId161">
        <w:r>
          <w:rPr>
            <w:rStyle w:val="EnlacedeInternet"/>
            <w:rFonts w:cs="Arial" w:ascii="Arial" w:hAnsi="Arial"/>
            <w:color w:val="auto"/>
            <w:sz w:val="20"/>
            <w:szCs w:val="20"/>
          </w:rPr>
          <w:t>cidhoea@oas.org</w:t>
        </w:r>
      </w:hyperlink>
      <w:r>
        <w:rPr>
          <w:rFonts w:cs="Arial" w:ascii="Arial" w:hAnsi="Arial"/>
          <w:sz w:val="20"/>
          <w:szCs w:val="20"/>
          <w:lang w:val="es-ES"/>
        </w:rPr>
        <w:t>; Consejo de Mayores Iriria &lt;</w:t>
      </w:r>
      <w:hyperlink r:id="rId162">
        <w:r>
          <w:rPr>
            <w:rStyle w:val="EnlacedeInternet"/>
            <w:rFonts w:cs="Arial" w:ascii="Arial" w:hAnsi="Arial"/>
            <w:color w:val="auto"/>
            <w:sz w:val="20"/>
            <w:szCs w:val="20"/>
          </w:rPr>
          <w:t>consejomayores.iriria@gmail.com</w:t>
        </w:r>
      </w:hyperlink>
      <w:r>
        <w:rPr>
          <w:rFonts w:cs="Arial" w:ascii="Arial" w:hAnsi="Arial"/>
          <w:sz w:val="20"/>
          <w:szCs w:val="20"/>
          <w:lang w:val="es-ES"/>
        </w:rPr>
        <w:t>&gt;; Viceministerio Presidencia &lt;</w:t>
      </w:r>
      <w:hyperlink r:id="rId163">
        <w:r>
          <w:rPr>
            <w:rStyle w:val="EnlacedeInternet"/>
            <w:rFonts w:cs="Arial" w:ascii="Arial" w:hAnsi="Arial"/>
            <w:color w:val="auto"/>
            <w:sz w:val="20"/>
            <w:szCs w:val="20"/>
          </w:rPr>
          <w:t>dialogociudadano@presidencia.go.cr</w:t>
        </w:r>
      </w:hyperlink>
      <w:r>
        <w:rPr>
          <w:rFonts w:cs="Arial" w:ascii="Arial" w:hAnsi="Arial"/>
          <w:sz w:val="20"/>
          <w:szCs w:val="20"/>
          <w:lang w:val="es-ES"/>
        </w:rPr>
        <w:t xml:space="preserve">&gt;; </w:t>
      </w:r>
      <w:hyperlink r:id="rId164">
        <w:r>
          <w:rPr>
            <w:rStyle w:val="EnlacedeInternet"/>
            <w:rFonts w:cs="Arial" w:ascii="Arial" w:hAnsi="Arial"/>
            <w:color w:val="auto"/>
            <w:sz w:val="20"/>
            <w:szCs w:val="20"/>
          </w:rPr>
          <w:t>felipeculturabribri@gmail.com</w:t>
        </w:r>
      </w:hyperlink>
      <w:r>
        <w:rPr>
          <w:rFonts w:cs="Arial" w:ascii="Arial" w:hAnsi="Arial"/>
          <w:sz w:val="20"/>
          <w:szCs w:val="20"/>
          <w:lang w:val="es-ES"/>
        </w:rPr>
        <w:t xml:space="preserve">; </w:t>
      </w:r>
      <w:hyperlink r:id="rId165">
        <w:r>
          <w:rPr>
            <w:rStyle w:val="EnlacedeInternet"/>
            <w:rFonts w:cs="Arial" w:ascii="Arial" w:hAnsi="Arial"/>
            <w:color w:val="auto"/>
            <w:sz w:val="20"/>
            <w:szCs w:val="20"/>
          </w:rPr>
          <w:t>indigenous@ohchr.org</w:t>
        </w:r>
      </w:hyperlink>
      <w:r>
        <w:rPr>
          <w:rFonts w:cs="Arial" w:ascii="Arial" w:hAnsi="Arial"/>
          <w:sz w:val="20"/>
          <w:szCs w:val="20"/>
          <w:lang w:val="es-ES"/>
        </w:rPr>
        <w:t>; Marjorie Herrera &lt;</w:t>
      </w:r>
      <w:hyperlink r:id="rId166">
        <w:r>
          <w:rPr>
            <w:rStyle w:val="EnlacedeInternet"/>
            <w:rFonts w:cs="Arial" w:ascii="Arial" w:hAnsi="Arial"/>
            <w:color w:val="auto"/>
            <w:sz w:val="20"/>
            <w:szCs w:val="20"/>
          </w:rPr>
          <w:t>mherrera@dhr.go.cr</w:t>
        </w:r>
      </w:hyperlink>
      <w:r>
        <w:rPr>
          <w:rFonts w:cs="Arial" w:ascii="Arial" w:hAnsi="Arial"/>
          <w:sz w:val="20"/>
          <w:szCs w:val="20"/>
          <w:lang w:val="es-ES"/>
        </w:rPr>
        <w:t xml:space="preserve">&gt;; </w:t>
      </w:r>
      <w:hyperlink r:id="rId167">
        <w:r>
          <w:rPr>
            <w:rStyle w:val="EnlacedeInternet"/>
            <w:rFonts w:cs="Arial" w:ascii="Arial" w:hAnsi="Arial"/>
            <w:color w:val="auto"/>
            <w:sz w:val="20"/>
            <w:szCs w:val="20"/>
          </w:rPr>
          <w:t>patrimorac@hotmail.com</w:t>
        </w:r>
      </w:hyperlink>
      <w:r>
        <w:rPr>
          <w:rFonts w:cs="Arial" w:ascii="Arial" w:hAnsi="Arial"/>
          <w:sz w:val="20"/>
          <w:szCs w:val="20"/>
          <w:lang w:val="es-ES"/>
        </w:rPr>
        <w:t>; Roberth Morales &lt;</w:t>
      </w:r>
      <w:hyperlink r:id="rId168">
        <w:r>
          <w:rPr>
            <w:rStyle w:val="EnlacedeInternet"/>
            <w:rFonts w:cs="Arial" w:ascii="Arial" w:hAnsi="Arial"/>
            <w:color w:val="auto"/>
            <w:sz w:val="20"/>
            <w:szCs w:val="20"/>
          </w:rPr>
          <w:t>roberthmv1974@gmail.com</w:t>
        </w:r>
      </w:hyperlink>
      <w:r>
        <w:rPr>
          <w:rFonts w:cs="Arial" w:ascii="Arial" w:hAnsi="Arial"/>
          <w:sz w:val="20"/>
          <w:szCs w:val="20"/>
          <w:lang w:val="es-ES"/>
        </w:rPr>
        <w:t>&gt;; Vanessa Jimenez &lt;</w:t>
      </w:r>
      <w:hyperlink r:id="rId169">
        <w:r>
          <w:rPr>
            <w:rStyle w:val="EnlacedeInternet"/>
            <w:rFonts w:cs="Arial" w:ascii="Arial" w:hAnsi="Arial"/>
            <w:color w:val="auto"/>
            <w:sz w:val="20"/>
            <w:szCs w:val="20"/>
          </w:rPr>
          <w:t>vjimenez342@gmail.com</w:t>
        </w:r>
      </w:hyperlink>
      <w:r>
        <w:rPr>
          <w:rFonts w:cs="Arial" w:ascii="Arial" w:hAnsi="Arial"/>
          <w:sz w:val="20"/>
          <w:szCs w:val="20"/>
          <w:lang w:val="es-ES"/>
        </w:rPr>
        <w:t>&gt;; Melissa Benavides Víquez &lt;</w:t>
      </w:r>
      <w:hyperlink r:id="rId170">
        <w:r>
          <w:rPr>
            <w:rStyle w:val="EnlacedeInternet"/>
            <w:rFonts w:cs="Arial" w:ascii="Arial" w:hAnsi="Arial"/>
            <w:color w:val="auto"/>
            <w:sz w:val="20"/>
            <w:szCs w:val="20"/>
          </w:rPr>
          <w:t>mbenavidesv@Poder-Judicial.go.cr</w:t>
        </w:r>
      </w:hyperlink>
      <w:r>
        <w:rPr>
          <w:rFonts w:cs="Arial" w:ascii="Arial" w:hAnsi="Arial"/>
          <w:sz w:val="20"/>
          <w:szCs w:val="20"/>
          <w:lang w:val="es-ES"/>
        </w:rPr>
        <w:t>&gt;; Ricardo Araya &lt;</w:t>
      </w:r>
      <w:hyperlink r:id="rId171">
        <w:r>
          <w:rPr>
            <w:rStyle w:val="EnlacedeInternet"/>
            <w:rFonts w:cs="Arial" w:ascii="Arial" w:hAnsi="Arial"/>
            <w:color w:val="auto"/>
            <w:sz w:val="20"/>
            <w:szCs w:val="20"/>
          </w:rPr>
          <w:t>cerrodeoro@gmail.com</w:t>
        </w:r>
      </w:hyperlink>
      <w:r>
        <w:rPr>
          <w:rFonts w:cs="Arial" w:ascii="Arial" w:hAnsi="Arial"/>
          <w:sz w:val="20"/>
          <w:szCs w:val="20"/>
          <w:lang w:val="es-ES"/>
        </w:rPr>
        <w:t>&gt;; gustavo oreamuno vignet &lt;</w:t>
      </w:r>
      <w:hyperlink r:id="rId172">
        <w:r>
          <w:rPr>
            <w:rStyle w:val="EnlacedeInternet"/>
            <w:rFonts w:cs="Arial" w:ascii="Arial" w:hAnsi="Arial"/>
            <w:color w:val="auto"/>
            <w:sz w:val="20"/>
            <w:szCs w:val="20"/>
          </w:rPr>
          <w:t>tavoreamuno72@gmail.com</w:t>
        </w:r>
      </w:hyperlink>
      <w:r>
        <w:rPr>
          <w:rFonts w:cs="Arial" w:ascii="Arial" w:hAnsi="Arial"/>
          <w:sz w:val="20"/>
          <w:szCs w:val="20"/>
          <w:lang w:val="es-ES"/>
        </w:rPr>
        <w:t>&gt;</w:t>
        <w:br/>
      </w:r>
      <w:r>
        <w:rPr>
          <w:rFonts w:cs="Arial" w:ascii="Arial" w:hAnsi="Arial"/>
          <w:b/>
          <w:bCs/>
          <w:sz w:val="20"/>
          <w:szCs w:val="20"/>
          <w:lang w:val="es-ES"/>
        </w:rPr>
        <w:t>Asunto:</w:t>
      </w:r>
      <w:r>
        <w:rPr>
          <w:rFonts w:cs="Arial" w:ascii="Arial" w:hAnsi="Arial"/>
          <w:sz w:val="20"/>
          <w:szCs w:val="20"/>
          <w:lang w:val="es-ES"/>
        </w:rPr>
        <w:t xml:space="preserve"> Detención ilegal de Efraín Fernándes de China Kicha</w:t>
      </w:r>
    </w:p>
    <w:p>
      <w:pPr>
        <w:pStyle w:val="Xmsonormal"/>
        <w:ind w:left="3588" w:hanging="0"/>
        <w:rPr>
          <w:rFonts w:ascii="Arial" w:hAnsi="Arial" w:cs="Arial"/>
          <w:sz w:val="20"/>
          <w:szCs w:val="20"/>
        </w:rPr>
      </w:pPr>
      <w:r>
        <w:rPr>
          <w:rFonts w:cs="Arial" w:ascii="Arial" w:hAnsi="Arial"/>
          <w:sz w:val="20"/>
          <w:szCs w:val="20"/>
        </w:rPr>
        <w:t> </w:t>
      </w:r>
    </w:p>
    <w:p>
      <w:pPr>
        <w:pStyle w:val="Xmsonormal"/>
        <w:rPr>
          <w:rFonts w:ascii="Arial" w:hAnsi="Arial" w:cs="Arial"/>
          <w:sz w:val="20"/>
          <w:szCs w:val="20"/>
        </w:rPr>
      </w:pPr>
      <w:r>
        <w:rPr>
          <w:rFonts w:cs="Arial" w:ascii="Arial" w:hAnsi="Arial"/>
          <w:sz w:val="20"/>
          <w:szCs w:val="20"/>
        </w:rPr>
        <w:t>Señores</w:t>
      </w:r>
    </w:p>
    <w:p>
      <w:pPr>
        <w:pStyle w:val="Xmsonormal"/>
        <w:rPr>
          <w:rFonts w:ascii="Arial" w:hAnsi="Arial" w:cs="Arial"/>
          <w:sz w:val="20"/>
          <w:szCs w:val="20"/>
        </w:rPr>
      </w:pPr>
      <w:r>
        <w:rPr>
          <w:rFonts w:cs="Arial" w:ascii="Arial" w:hAnsi="Arial"/>
          <w:sz w:val="20"/>
          <w:szCs w:val="20"/>
        </w:rPr>
        <w:t>Poder Ejecutivo y Judicial de la República de Costa Rica</w:t>
      </w:r>
    </w:p>
    <w:p>
      <w:pPr>
        <w:pStyle w:val="Xmsonormal"/>
        <w:rPr>
          <w:rFonts w:ascii="Arial" w:hAnsi="Arial" w:cs="Arial"/>
          <w:sz w:val="20"/>
          <w:szCs w:val="20"/>
        </w:rPr>
      </w:pPr>
      <w:r>
        <w:rPr>
          <w:rFonts w:cs="Arial" w:ascii="Arial" w:hAnsi="Arial"/>
          <w:sz w:val="20"/>
          <w:szCs w:val="20"/>
        </w:rPr>
        <w:t>ONU - Costa Rica</w:t>
      </w:r>
    </w:p>
    <w:p>
      <w:pPr>
        <w:pStyle w:val="Xmsonormal"/>
        <w:rPr>
          <w:rFonts w:ascii="Arial" w:hAnsi="Arial" w:cs="Arial"/>
          <w:sz w:val="20"/>
          <w:szCs w:val="20"/>
        </w:rPr>
      </w:pPr>
      <w:r>
        <w:rPr>
          <w:rFonts w:cs="Arial" w:ascii="Arial" w:hAnsi="Arial"/>
          <w:sz w:val="20"/>
          <w:szCs w:val="20"/>
        </w:rPr>
        <w:t>Defensoría de los Habitantes</w:t>
      </w:r>
    </w:p>
    <w:p>
      <w:pPr>
        <w:pStyle w:val="Xmsonormal"/>
        <w:ind w:left="3588" w:hanging="0"/>
        <w:rPr>
          <w:rFonts w:ascii="Arial" w:hAnsi="Arial" w:cs="Arial"/>
          <w:sz w:val="20"/>
          <w:szCs w:val="20"/>
        </w:rPr>
      </w:pPr>
      <w:r>
        <w:rPr>
          <w:rFonts w:cs="Arial" w:ascii="Arial" w:hAnsi="Arial"/>
          <w:sz w:val="20"/>
          <w:szCs w:val="20"/>
        </w:rPr>
        <w:t> </w:t>
      </w:r>
    </w:p>
    <w:p>
      <w:pPr>
        <w:pStyle w:val="Xmsonormal"/>
        <w:rPr>
          <w:rFonts w:ascii="Arial" w:hAnsi="Arial" w:cs="Arial"/>
          <w:sz w:val="20"/>
          <w:szCs w:val="20"/>
        </w:rPr>
      </w:pPr>
      <w:r>
        <w:rPr>
          <w:rFonts w:cs="Arial" w:ascii="Arial" w:hAnsi="Arial"/>
          <w:sz w:val="20"/>
          <w:szCs w:val="20"/>
        </w:rPr>
        <w:t>Reciban un cordial saludo de parte de las organizaciones remitentes; en adjuntos enviamos información sobre la detención ilegal de Efraín Fernández Zúñiga, originarios Cabecar de China Kicha, ocurrida el lunes 14 de octubre de 2019.</w:t>
      </w:r>
    </w:p>
    <w:p>
      <w:pPr>
        <w:pStyle w:val="Xmsonormal"/>
        <w:ind w:left="3588" w:hanging="0"/>
        <w:rPr>
          <w:rFonts w:ascii="Arial" w:hAnsi="Arial" w:cs="Arial"/>
          <w:sz w:val="20"/>
          <w:szCs w:val="20"/>
        </w:rPr>
      </w:pPr>
      <w:r>
        <w:rPr>
          <w:rFonts w:cs="Arial" w:ascii="Arial" w:hAnsi="Arial"/>
          <w:sz w:val="20"/>
          <w:szCs w:val="20"/>
        </w:rPr>
        <w:t> </w:t>
      </w:r>
    </w:p>
    <w:p>
      <w:pPr>
        <w:pStyle w:val="Xmsonormal"/>
        <w:rPr>
          <w:rFonts w:ascii="Arial" w:hAnsi="Arial" w:cs="Arial"/>
          <w:sz w:val="20"/>
          <w:szCs w:val="20"/>
        </w:rPr>
      </w:pPr>
      <w:r>
        <w:rPr>
          <w:rFonts w:cs="Arial" w:ascii="Arial" w:hAnsi="Arial"/>
          <w:sz w:val="20"/>
          <w:szCs w:val="20"/>
        </w:rPr>
        <w:t xml:space="preserve">Agradeciendo su atención </w:t>
      </w:r>
    </w:p>
    <w:p>
      <w:pPr>
        <w:pStyle w:val="Xmsonormal"/>
        <w:ind w:left="3588" w:hanging="0"/>
        <w:rPr>
          <w:rFonts w:ascii="Arial" w:hAnsi="Arial" w:cs="Arial"/>
          <w:sz w:val="20"/>
          <w:szCs w:val="20"/>
        </w:rPr>
      </w:pPr>
      <w:r>
        <w:rPr>
          <w:rFonts w:cs="Arial" w:ascii="Arial" w:hAnsi="Arial"/>
          <w:sz w:val="20"/>
          <w:szCs w:val="20"/>
        </w:rPr>
        <w:t> </w:t>
      </w:r>
    </w:p>
    <w:p>
      <w:pPr>
        <w:pStyle w:val="Xmsonormal"/>
        <w:rPr>
          <w:rFonts w:ascii="Arial" w:hAnsi="Arial" w:cs="Arial"/>
          <w:sz w:val="20"/>
          <w:szCs w:val="20"/>
        </w:rPr>
      </w:pPr>
      <w:r>
        <w:rPr>
          <w:rFonts w:cs="Arial" w:ascii="Arial" w:hAnsi="Arial"/>
          <w:sz w:val="20"/>
          <w:szCs w:val="20"/>
        </w:rPr>
        <w:t>Gustavo Oreamuno V</w:t>
      </w:r>
    </w:p>
    <w:p>
      <w:pPr>
        <w:pStyle w:val="Xmsonormal"/>
        <w:rPr>
          <w:rFonts w:ascii="Arial" w:hAnsi="Arial" w:cs="Arial"/>
          <w:sz w:val="20"/>
          <w:szCs w:val="20"/>
        </w:rPr>
      </w:pPr>
      <w:r>
        <w:rPr>
          <w:rFonts w:cs="Arial" w:ascii="Arial" w:hAnsi="Arial"/>
          <w:sz w:val="20"/>
          <w:szCs w:val="20"/>
        </w:rPr>
        <w:t>Ditsö</w:t>
      </w:r>
    </w:p>
    <w:p>
      <w:pPr>
        <w:pStyle w:val="Xmsonormal"/>
        <w:rPr>
          <w:rFonts w:ascii="Arial" w:hAnsi="Arial" w:cs="Arial"/>
          <w:sz w:val="20"/>
          <w:szCs w:val="20"/>
        </w:rPr>
      </w:pPr>
      <w:r>
        <w:rPr>
          <w:rFonts w:cs="Arial" w:ascii="Arial" w:hAnsi="Arial"/>
          <w:sz w:val="20"/>
          <w:szCs w:val="20"/>
        </w:rPr>
        <w:t>Coordinadora de Lucha Sur Sur</w:t>
      </w:r>
    </w:p>
    <w:p>
      <w:pPr>
        <w:pStyle w:val="Normal"/>
        <w:jc w:val="both"/>
        <w:rPr>
          <w:rFonts w:ascii="Arial" w:hAnsi="Arial" w:cs="Arial"/>
          <w:sz w:val="20"/>
          <w:szCs w:val="20"/>
        </w:rPr>
      </w:pPr>
      <w:r>
        <w:rPr>
          <w:rFonts w:cs="Arial" w:ascii="Arial" w:hAnsi="Arial"/>
          <w:sz w:val="20"/>
          <w:szCs w:val="20"/>
        </w:rPr>
      </w:r>
    </w:p>
    <w:p>
      <w:pPr>
        <w:pStyle w:val="Normal"/>
        <w:jc w:val="both"/>
        <w:rPr>
          <w:rFonts w:ascii="Arial" w:hAnsi="Arial" w:cs="Arial"/>
          <w:sz w:val="20"/>
          <w:szCs w:val="20"/>
        </w:rPr>
      </w:pPr>
      <w:r>
        <w:rPr>
          <w:rFonts w:cs="Arial" w:ascii="Arial" w:hAnsi="Arial"/>
          <w:sz w:val="20"/>
          <w:szCs w:val="20"/>
        </w:rPr>
        <w:t>Damaris Vargas informa que se comunicó al gestionante el seguimiento dado a su gestión.</w: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XXIV</w:t>
      </w:r>
    </w:p>
    <w:p>
      <w:pPr>
        <w:pStyle w:val="Normal"/>
        <w:jc w:val="both"/>
        <w:rPr>
          <w:rFonts w:ascii="Arial" w:hAnsi="Arial" w:cs="Arial"/>
          <w:bCs/>
          <w:sz w:val="20"/>
          <w:szCs w:val="20"/>
        </w:rPr>
      </w:pPr>
      <w:r>
        <w:rPr>
          <w:rFonts w:cs="Arial" w:ascii="Arial" w:hAnsi="Arial"/>
          <w:bCs/>
          <w:sz w:val="20"/>
          <w:szCs w:val="20"/>
        </w:rPr>
        <w:t>Damaris Vargas informa sobre resultados de visita realizada por la Comisión de la Jurisdicción Agraria para divulgar el Código Procesal Agrario y la Subcomisión de Acceso a la Justicia de Pueblos Indígenas a Bribri de Talamanca el 1 de noviembre de 2019.</w: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XXV</w:t>
      </w:r>
    </w:p>
    <w:p>
      <w:pPr>
        <w:pStyle w:val="Normal"/>
        <w:jc w:val="both"/>
        <w:rPr>
          <w:rFonts w:ascii="Arial" w:hAnsi="Arial" w:cs="Arial"/>
          <w:bCs/>
          <w:sz w:val="20"/>
          <w:szCs w:val="20"/>
        </w:rPr>
      </w:pPr>
      <w:r>
        <w:rPr>
          <w:rFonts w:cs="Arial" w:ascii="Arial" w:hAnsi="Arial"/>
          <w:bCs/>
          <w:sz w:val="20"/>
          <w:szCs w:val="20"/>
        </w:rPr>
        <w:t>Se informa sobre actividad de capacitación sobre Acceso a la Justicia y acciones afirmativas del Código Procesal Agrario dirigida a personas técnicas judiciales agrarias, organizado por la Unidad de Acceso a la Justicia y la Comisión de la Jurisdicción Agraria con la colaboración de la Escuela Judicial, programada para el mes de diciembre de 2019.</w: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
          <w:b/>
          <w:sz w:val="20"/>
          <w:szCs w:val="20"/>
          <w:highlight w:val="yellow"/>
          <w:u w:val="single"/>
        </w:rPr>
      </w:pPr>
      <w:r>
        <w:rPr>
          <w:rFonts w:cs="Arial" w:ascii="Arial" w:hAnsi="Arial"/>
          <w:b/>
          <w:sz w:val="20"/>
          <w:szCs w:val="20"/>
          <w:highlight w:val="yellow"/>
          <w:u w:val="single"/>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XXVI</w:t>
      </w:r>
    </w:p>
    <w:p>
      <w:pPr>
        <w:pStyle w:val="Normal"/>
        <w:jc w:val="both"/>
        <w:rPr>
          <w:rFonts w:ascii="Arial" w:hAnsi="Arial" w:cs="Arial"/>
          <w:bCs/>
          <w:sz w:val="20"/>
          <w:szCs w:val="20"/>
        </w:rPr>
      </w:pPr>
      <w:r>
        <w:rPr>
          <w:rFonts w:cs="Arial" w:ascii="Arial" w:hAnsi="Arial"/>
          <w:bCs/>
          <w:sz w:val="20"/>
          <w:szCs w:val="20"/>
        </w:rPr>
        <w:t>Informe de Damaris Vargas acerca de solicitud hecha a la Comisión de Acceso a la Justicia para que se emita una revista digital donde periódicamente se esté informando sobre los avances en las acciones vinculadas con el acceso a la justicia de las personas indígenas.</w: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 y se dispone solicitar a la Unidad de Acceso a la Justicia informar sobre los avances de la gestión formulada.-</w:t>
      </w:r>
    </w:p>
    <w:p>
      <w:pPr>
        <w:pStyle w:val="Normal"/>
        <w:rPr>
          <w:rFonts w:ascii="Arial" w:hAnsi="Arial" w:cs="Arial"/>
          <w:bCs/>
          <w:sz w:val="20"/>
          <w:szCs w:val="20"/>
        </w:rPr>
      </w:pPr>
      <w:r>
        <w:rPr>
          <w:rFonts w:cs="Arial" w:ascii="Arial" w:hAnsi="Arial"/>
          <w:bCs/>
          <w:sz w:val="20"/>
          <w:szCs w:val="20"/>
        </w:rPr>
      </w:r>
    </w:p>
    <w:p>
      <w:pPr>
        <w:pStyle w:val="Normal"/>
        <w:rPr>
          <w:rFonts w:ascii="Arial" w:hAnsi="Arial" w:cs="Arial"/>
          <w:b/>
          <w:b/>
          <w:sz w:val="20"/>
          <w:szCs w:val="20"/>
          <w:u w:val="single"/>
        </w:rPr>
      </w:pPr>
      <w:r>
        <w:rPr>
          <w:rFonts w:cs="Arial" w:ascii="Arial" w:hAnsi="Arial"/>
          <w:b/>
          <w:sz w:val="20"/>
          <w:szCs w:val="20"/>
          <w:highlight w:val="yellow"/>
          <w:u w:val="single"/>
        </w:rPr>
        <w:t>ARTICULO X</w:t>
      </w:r>
      <w:r>
        <w:rPr>
          <w:rFonts w:cs="Arial" w:ascii="Arial" w:hAnsi="Arial"/>
          <w:b/>
          <w:sz w:val="20"/>
          <w:szCs w:val="20"/>
          <w:u w:val="single"/>
        </w:rPr>
        <w:t>XXVII</w:t>
      </w:r>
    </w:p>
    <w:p>
      <w:pPr>
        <w:pStyle w:val="Normal"/>
        <w:jc w:val="both"/>
        <w:rPr>
          <w:rFonts w:ascii="Arial" w:hAnsi="Arial" w:cs="Arial"/>
          <w:bCs/>
          <w:sz w:val="20"/>
          <w:szCs w:val="20"/>
        </w:rPr>
      </w:pPr>
      <w:r>
        <w:rPr>
          <w:rFonts w:cs="Arial" w:ascii="Arial" w:hAnsi="Arial"/>
          <w:bCs/>
          <w:sz w:val="20"/>
          <w:szCs w:val="20"/>
        </w:rPr>
        <w:t>Informe de Damaris Vargas acerca de reunión sostenida con la señora Melissa Benavides, Coordinadora de la Unidad de Acceso a la Justicia y con Allam Paw Hing de la Dirección de Planificación y su equipo de trabajo sobre la Política Institucional de Indígenas y su construcción conforme al modelo de MIDEPLAN.</w:t>
      </w:r>
    </w:p>
    <w:p>
      <w:pPr>
        <w:pStyle w:val="Normal"/>
        <w:rPr>
          <w:rFonts w:ascii="Arial" w:hAnsi="Arial" w:cs="Arial"/>
          <w:bCs/>
          <w:sz w:val="20"/>
          <w:szCs w:val="20"/>
        </w:rPr>
      </w:pPr>
      <w:r>
        <w:rPr>
          <w:rFonts w:cs="Arial" w:ascii="Arial" w:hAnsi="Arial"/>
          <w:b/>
          <w:sz w:val="20"/>
          <w:szCs w:val="20"/>
        </w:rPr>
        <w:t>SE ACUERDA</w:t>
      </w:r>
      <w:r>
        <w:rPr>
          <w:rFonts w:cs="Arial" w:ascii="Arial" w:hAnsi="Arial"/>
          <w:bCs/>
          <w:sz w:val="20"/>
          <w:szCs w:val="20"/>
        </w:rPr>
        <w:t>: Se toma nota.-</w:t>
      </w:r>
    </w:p>
    <w:p>
      <w:pPr>
        <w:pStyle w:val="Normal"/>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i/>
          <w:iCs/>
          <w:sz w:val="20"/>
          <w:szCs w:val="20"/>
        </w:rPr>
        <w:t>Se da por</w:t>
      </w:r>
      <w:r>
        <w:rPr>
          <w:rFonts w:cs="Arial" w:ascii="Arial" w:hAnsi="Arial"/>
          <w:bCs/>
          <w:sz w:val="20"/>
          <w:szCs w:val="20"/>
        </w:rPr>
        <w:t xml:space="preserve"> terminada la sesión al ser las 16:40 horas.-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center"/>
        <w:rPr>
          <w:rFonts w:ascii="Arial" w:hAnsi="Arial" w:cs="Arial"/>
          <w:b/>
          <w:b/>
          <w:i/>
          <w:i/>
          <w:iCs/>
          <w:sz w:val="20"/>
          <w:szCs w:val="20"/>
        </w:rPr>
      </w:pPr>
      <w:r>
        <w:rPr>
          <w:rFonts w:cs="Arial" w:ascii="Arial" w:hAnsi="Arial"/>
          <w:b/>
          <w:i/>
          <w:iCs/>
          <w:sz w:val="20"/>
          <w:szCs w:val="20"/>
        </w:rPr>
        <w:t>Jueza Damaris Vargas Vásquez</w:t>
      </w:r>
    </w:p>
    <w:p>
      <w:pPr>
        <w:pStyle w:val="Normal"/>
        <w:jc w:val="center"/>
        <w:rPr>
          <w:rFonts w:ascii="Arial" w:hAnsi="Arial" w:cs="Arial"/>
          <w:b/>
          <w:b/>
          <w:i/>
          <w:i/>
          <w:iCs/>
          <w:sz w:val="20"/>
          <w:szCs w:val="20"/>
        </w:rPr>
      </w:pPr>
      <w:r>
        <w:rPr>
          <w:rFonts w:cs="Arial" w:ascii="Arial" w:hAnsi="Arial"/>
          <w:b/>
          <w:i/>
          <w:iCs/>
          <w:sz w:val="20"/>
          <w:szCs w:val="20"/>
        </w:rPr>
        <w:t>Coordinadora</w:t>
      </w:r>
    </w:p>
    <w:p>
      <w:pPr>
        <w:pStyle w:val="Normal"/>
        <w:spacing w:before="0" w:after="160"/>
        <w:jc w:val="center"/>
        <w:rPr>
          <w:rFonts w:ascii="Arial" w:hAnsi="Arial" w:cs="Arial"/>
          <w:b/>
          <w:b/>
          <w:i/>
          <w:i/>
          <w:iCs/>
          <w:sz w:val="20"/>
          <w:szCs w:val="20"/>
        </w:rPr>
      </w:pPr>
      <w:r>
        <w:rPr>
          <w:rFonts w:cs="Arial" w:ascii="Arial" w:hAnsi="Arial"/>
          <w:b/>
          <w:i/>
          <w:iCs/>
          <w:sz w:val="20"/>
          <w:szCs w:val="20"/>
        </w:rPr>
        <w:t>Subcomisión de Acceso a la Justicia de Pueblos Indígenas</w:t>
      </w:r>
    </w:p>
    <w:sectPr>
      <w:headerReference w:type="default" r:id="rId173"/>
      <w:type w:val="nextPage"/>
      <w:pgSz w:w="12240" w:h="15840"/>
      <w:pgMar w:left="1701" w:right="1701" w:header="708" w:top="1417" w:footer="0"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Arial">
    <w:charset w:val="00"/>
    <w:family w:val="roman"/>
    <w:pitch w:val="variable"/>
  </w:font>
  <w:font w:name="Courier New">
    <w:charset w:val="00"/>
    <w:family w:val="roman"/>
    <w:pitch w:val="variable"/>
  </w:font>
  <w:font w:name="Segoe UI">
    <w:charset w:val="00"/>
    <w:family w:val="roman"/>
    <w:pitch w:val="variable"/>
  </w:font>
  <w:font w:name="Liberation Sans">
    <w:altName w:val="Arial"/>
    <w:charset w:val="00"/>
    <w:family w:val="swiss"/>
    <w:pitch w:val="variable"/>
  </w:font>
  <w:font w:name="Tahoma">
    <w:charset w:val="00"/>
    <w:family w:val="roman"/>
    <w:pitch w:val="variable"/>
  </w:font>
  <w:font w:name="Verdana">
    <w:charset w:val="00"/>
    <w:family w:val="roman"/>
    <w:pitch w:val="variable"/>
  </w:font>
  <w:font w:name="Georgia">
    <w:charset w:val="00"/>
    <w:family w:val="roman"/>
    <w:pitch w:val="variable"/>
  </w:font>
  <w:font w:name="Book Antiqua">
    <w:charset w:val="00"/>
    <w:family w:val="roman"/>
    <w:pitch w:val="variable"/>
  </w:font>
  <w:font w:name="Segoe UI Symbol">
    <w:charset w:val="00"/>
    <w:family w:val="roman"/>
    <w:pitch w:val="variable"/>
  </w:font>
  <w:font w:name="Symbol">
    <w:charset w:val="02"/>
    <w:family w:val="auto"/>
    <w:pitch w:val="default"/>
  </w:font>
  <w:font w:name="Courier New">
    <w:charset w:val="01"/>
    <w:family w:val="modern"/>
    <w:pitch w:val="fixed"/>
  </w:font>
  <w:font w:name="Wingdings">
    <w:charset w:val="02"/>
    <w:family w:val="auto"/>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before="0" w:after="0"/>
      <w:ind w:right="8" w:hanging="0"/>
      <w:jc w:val="center"/>
      <w:rPr/>
    </w:pPr>
    <w:r>
      <w:rPr>
        <w:rFonts w:eastAsia="Calibri" w:cs="Calibri"/>
        <w:b/>
        <w:i/>
      </w:rPr>
      <w:t xml:space="preserve">Subcomisión de Acceso a la Justicia de Pueblos Indígenas </w:t>
    </w:r>
  </w:p>
  <w:p>
    <w:pPr>
      <w:pStyle w:val="Normal"/>
      <w:spacing w:lineRule="auto" w:line="237" w:before="0" w:after="0"/>
      <w:ind w:left="3791" w:right="2392" w:hanging="814"/>
      <w:rPr/>
    </w:pPr>
    <w:r>
      <w:rPr>
        <w:rFonts w:eastAsia="Calibri" w:cs="Calibri"/>
        <w:b/>
        <w:i/>
      </w:rPr>
      <w:t xml:space="preserve">Comisión de Acceso a la Justicia Poder Judicial </w:t>
    </w:r>
  </w:p>
  <w:p>
    <w:pPr>
      <w:pStyle w:val="Normal"/>
      <w:spacing w:before="0" w:after="0"/>
      <w:rPr/>
    </w:pPr>
    <w:r>
      <w:rPr>
        <w:rFonts w:eastAsia="Calibri" w:cs="Calibri"/>
      </w:rPr>
      <w:t xml:space="preserve"> </w:t>
    </w:r>
  </w:p>
  <w:p>
    <w:pPr>
      <w:pStyle w:val="Normal"/>
      <w:spacing w:before="0" w:after="0"/>
      <w:rPr/>
    </w:pPr>
    <w:r>
      <w:rPr>
        <w:rFonts w:eastAsia="Calibri" w:cs="Calibri"/>
      </w:rPr>
      <w:t xml:space="preserve"> </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lowerLetter"/>
      <w:lvlText w:val="%1."/>
      <w:lvlJc w:val="left"/>
      <w:pPr>
        <w:tabs>
          <w:tab w:val="num" w:pos="0"/>
        </w:tabs>
        <w:ind w:left="1662" w:hanging="360"/>
      </w:pPr>
      <w:rPr>
        <w:sz w:val="22"/>
        <w:spacing w:val="-1"/>
        <w:szCs w:val="22"/>
        <w:w w:val="116"/>
        <w:rFonts w:ascii="Georgia" w:hAnsi="Georgia" w:eastAsia="Georgia" w:cs="Georgia"/>
        <w:lang w:val="es-CR" w:eastAsia="es-CR" w:bidi="es-CR"/>
      </w:rPr>
    </w:lvl>
    <w:lvl w:ilvl="1">
      <w:start w:val="0"/>
      <w:numFmt w:val="bullet"/>
      <w:lvlText w:val=""/>
      <w:lvlJc w:val="left"/>
      <w:pPr>
        <w:tabs>
          <w:tab w:val="num" w:pos="0"/>
        </w:tabs>
        <w:ind w:left="2424" w:hanging="360"/>
      </w:pPr>
      <w:rPr>
        <w:rFonts w:ascii="Symbol" w:hAnsi="Symbol" w:cs="Symbol" w:hint="default"/>
      </w:rPr>
    </w:lvl>
    <w:lvl w:ilvl="2">
      <w:start w:val="0"/>
      <w:numFmt w:val="bullet"/>
      <w:lvlText w:val=""/>
      <w:lvlJc w:val="left"/>
      <w:pPr>
        <w:tabs>
          <w:tab w:val="num" w:pos="0"/>
        </w:tabs>
        <w:ind w:left="3188" w:hanging="360"/>
      </w:pPr>
      <w:rPr>
        <w:rFonts w:ascii="Symbol" w:hAnsi="Symbol" w:cs="Symbol" w:hint="default"/>
      </w:rPr>
    </w:lvl>
    <w:lvl w:ilvl="3">
      <w:start w:val="0"/>
      <w:numFmt w:val="bullet"/>
      <w:lvlText w:val=""/>
      <w:lvlJc w:val="left"/>
      <w:pPr>
        <w:tabs>
          <w:tab w:val="num" w:pos="0"/>
        </w:tabs>
        <w:ind w:left="3952" w:hanging="360"/>
      </w:pPr>
      <w:rPr>
        <w:rFonts w:ascii="Symbol" w:hAnsi="Symbol" w:cs="Symbol" w:hint="default"/>
      </w:rPr>
    </w:lvl>
    <w:lvl w:ilvl="4">
      <w:start w:val="0"/>
      <w:numFmt w:val="bullet"/>
      <w:lvlText w:val=""/>
      <w:lvlJc w:val="left"/>
      <w:pPr>
        <w:tabs>
          <w:tab w:val="num" w:pos="0"/>
        </w:tabs>
        <w:ind w:left="4716" w:hanging="360"/>
      </w:pPr>
      <w:rPr>
        <w:rFonts w:ascii="Symbol" w:hAnsi="Symbol" w:cs="Symbol" w:hint="default"/>
      </w:rPr>
    </w:lvl>
    <w:lvl w:ilvl="5">
      <w:start w:val="0"/>
      <w:numFmt w:val="bullet"/>
      <w:lvlText w:val=""/>
      <w:lvlJc w:val="left"/>
      <w:pPr>
        <w:tabs>
          <w:tab w:val="num" w:pos="0"/>
        </w:tabs>
        <w:ind w:left="5480" w:hanging="360"/>
      </w:pPr>
      <w:rPr>
        <w:rFonts w:ascii="Symbol" w:hAnsi="Symbol" w:cs="Symbol" w:hint="default"/>
      </w:rPr>
    </w:lvl>
    <w:lvl w:ilvl="6">
      <w:start w:val="0"/>
      <w:numFmt w:val="bullet"/>
      <w:lvlText w:val=""/>
      <w:lvlJc w:val="left"/>
      <w:pPr>
        <w:tabs>
          <w:tab w:val="num" w:pos="0"/>
        </w:tabs>
        <w:ind w:left="6244" w:hanging="360"/>
      </w:pPr>
      <w:rPr>
        <w:rFonts w:ascii="Symbol" w:hAnsi="Symbol" w:cs="Symbol" w:hint="default"/>
      </w:rPr>
    </w:lvl>
    <w:lvl w:ilvl="7">
      <w:start w:val="0"/>
      <w:numFmt w:val="bullet"/>
      <w:lvlText w:val=""/>
      <w:lvlJc w:val="left"/>
      <w:pPr>
        <w:tabs>
          <w:tab w:val="num" w:pos="0"/>
        </w:tabs>
        <w:ind w:left="7008" w:hanging="360"/>
      </w:pPr>
      <w:rPr>
        <w:rFonts w:ascii="Symbol" w:hAnsi="Symbol" w:cs="Symbol" w:hint="default"/>
      </w:rPr>
    </w:lvl>
    <w:lvl w:ilvl="8">
      <w:start w:val="0"/>
      <w:numFmt w:val="bullet"/>
      <w:lvlText w:val=""/>
      <w:lvlJc w:val="left"/>
      <w:pPr>
        <w:tabs>
          <w:tab w:val="num" w:pos="0"/>
        </w:tabs>
        <w:ind w:left="7772" w:hanging="360"/>
      </w:pPr>
      <w:rPr>
        <w:rFonts w:ascii="Symbol" w:hAnsi="Symbol" w:cs="Symbol" w:hint="default"/>
      </w:rPr>
    </w:lvl>
  </w:abstractNum>
  <w:abstractNum w:abstractNumId="2">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2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5c23f4"/>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910a94"/>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paragraph" w:styleId="Ttulo2">
    <w:name w:val="Heading 2"/>
    <w:basedOn w:val="Normal"/>
    <w:next w:val="Normal"/>
    <w:link w:val="Ttulo2Car"/>
    <w:qFormat/>
    <w:rsid w:val="005c23f4"/>
    <w:pPr>
      <w:keepNext w:val="true"/>
      <w:suppressAutoHyphens w:val="true"/>
      <w:spacing w:lineRule="auto" w:line="240" w:before="240" w:after="60"/>
      <w:outlineLvl w:val="1"/>
    </w:pPr>
    <w:rPr>
      <w:rFonts w:ascii="Arial" w:hAnsi="Arial" w:eastAsia="Times New Roman" w:cs="Arial"/>
      <w:b/>
      <w:bCs/>
      <w:i/>
      <w:iCs/>
      <w:sz w:val="28"/>
      <w:szCs w:val="28"/>
      <w:lang w:val="es-ES" w:eastAsia="ar-SA"/>
    </w:rPr>
  </w:style>
  <w:style w:type="paragraph" w:styleId="Ttulo3">
    <w:name w:val="Heading 3"/>
    <w:basedOn w:val="Normal"/>
    <w:next w:val="Normal"/>
    <w:link w:val="Ttulo3Car"/>
    <w:uiPriority w:val="9"/>
    <w:unhideWhenUsed/>
    <w:qFormat/>
    <w:rsid w:val="005c23f4"/>
    <w:pPr>
      <w:keepNext w:val="true"/>
      <w:keepLines/>
      <w:spacing w:before="40" w:after="0"/>
      <w:outlineLvl w:val="2"/>
    </w:pPr>
    <w:rPr>
      <w:rFonts w:ascii="Calibri Light" w:hAnsi="Calibri Light" w:eastAsia="" w:cs="" w:asciiTheme="majorHAnsi" w:cstheme="majorBidi" w:eastAsiaTheme="majorEastAsia" w:hAnsiTheme="majorHAnsi"/>
      <w:color w:val="1F4D78" w:themeColor="accent1" w:themeShade="7f"/>
      <w:sz w:val="24"/>
      <w:szCs w:val="24"/>
    </w:rPr>
  </w:style>
  <w:style w:type="paragraph" w:styleId="Ttulo4">
    <w:name w:val="Heading 4"/>
    <w:basedOn w:val="Normal"/>
    <w:link w:val="Ttulo4Car"/>
    <w:uiPriority w:val="9"/>
    <w:qFormat/>
    <w:rsid w:val="00fa5a6f"/>
    <w:pPr>
      <w:spacing w:lineRule="auto" w:line="240" w:beforeAutospacing="1" w:after="120"/>
      <w:outlineLvl w:val="3"/>
    </w:pPr>
    <w:rPr>
      <w:rFonts w:ascii="Times New Roman" w:hAnsi="Times New Roman" w:eastAsia="Times New Roman" w:cs="Times New Roman"/>
      <w:b/>
      <w:bCs/>
      <w:color w:val="333333"/>
      <w:sz w:val="24"/>
      <w:szCs w:val="24"/>
      <w:lang w:eastAsia="es-CR"/>
    </w:rPr>
  </w:style>
  <w:style w:type="paragraph" w:styleId="Ttulo5">
    <w:name w:val="Heading 5"/>
    <w:basedOn w:val="Normal"/>
    <w:link w:val="Ttulo5Car"/>
    <w:uiPriority w:val="9"/>
    <w:qFormat/>
    <w:rsid w:val="00fa5a6f"/>
    <w:pPr>
      <w:spacing w:lineRule="auto" w:line="240" w:beforeAutospacing="1" w:after="120"/>
      <w:outlineLvl w:val="4"/>
    </w:pPr>
    <w:rPr>
      <w:rFonts w:ascii="Times New Roman" w:hAnsi="Times New Roman" w:eastAsia="Times New Roman" w:cs="Times New Roman"/>
      <w:b/>
      <w:bCs/>
      <w:color w:val="333333"/>
      <w:sz w:val="23"/>
      <w:szCs w:val="23"/>
      <w:lang w:eastAsia="es-CR"/>
    </w:rPr>
  </w:style>
  <w:style w:type="paragraph" w:styleId="Ttulo6">
    <w:name w:val="Heading 6"/>
    <w:basedOn w:val="Normal"/>
    <w:link w:val="Ttulo6Car"/>
    <w:uiPriority w:val="9"/>
    <w:qFormat/>
    <w:rsid w:val="00fa5a6f"/>
    <w:pPr>
      <w:spacing w:lineRule="auto" w:line="240" w:beforeAutospacing="1" w:afterAutospacing="1"/>
      <w:outlineLvl w:val="5"/>
    </w:pPr>
    <w:rPr>
      <w:rFonts w:ascii="Times New Roman" w:hAnsi="Times New Roman" w:eastAsia="Times New Roman" w:cs="Times New Roman"/>
      <w:sz w:val="24"/>
      <w:szCs w:val="24"/>
      <w:lang w:eastAsia="es-CR"/>
    </w:rPr>
  </w:style>
  <w:style w:type="paragraph" w:styleId="Ttulo7">
    <w:name w:val="Heading 7"/>
    <w:basedOn w:val="Normal"/>
    <w:next w:val="Normal"/>
    <w:link w:val="Ttulo7Car"/>
    <w:uiPriority w:val="9"/>
    <w:semiHidden/>
    <w:unhideWhenUsed/>
    <w:qFormat/>
    <w:rsid w:val="00285001"/>
    <w:pPr>
      <w:keepNext w:val="true"/>
      <w:keepLines/>
      <w:spacing w:before="40" w:after="0"/>
      <w:outlineLvl w:val="6"/>
    </w:pPr>
    <w:rPr>
      <w:rFonts w:ascii="Calibri Light" w:hAnsi="Calibri Light" w:eastAsia="" w:cs="" w:asciiTheme="majorHAnsi" w:cstheme="majorBidi" w:eastAsiaTheme="majorEastAsia" w:hAnsiTheme="majorHAnsi"/>
      <w:i/>
      <w:iCs/>
      <w:color w:val="1F4D78" w:themeColor="accent1" w:themeShade="7f"/>
    </w:rPr>
  </w:style>
  <w:style w:type="character" w:styleId="DefaultParagraphFont" w:default="1">
    <w:name w:val="Default Paragraph Font"/>
    <w:uiPriority w:val="1"/>
    <w:semiHidden/>
    <w:unhideWhenUsed/>
    <w:qFormat/>
    <w:rPr/>
  </w:style>
  <w:style w:type="character" w:styleId="Ttulo2Car" w:customStyle="1">
    <w:name w:val="Título 2 Car"/>
    <w:basedOn w:val="DefaultParagraphFont"/>
    <w:link w:val="Ttulo2"/>
    <w:qFormat/>
    <w:rsid w:val="005c23f4"/>
    <w:rPr>
      <w:rFonts w:ascii="Arial" w:hAnsi="Arial" w:eastAsia="Times New Roman" w:cs="Arial"/>
      <w:b/>
      <w:bCs/>
      <w:i/>
      <w:iCs/>
      <w:sz w:val="28"/>
      <w:szCs w:val="28"/>
      <w:lang w:val="es-ES" w:eastAsia="ar-SA"/>
    </w:rPr>
  </w:style>
  <w:style w:type="character" w:styleId="Ttulo3Car" w:customStyle="1">
    <w:name w:val="Título 3 Car"/>
    <w:basedOn w:val="DefaultParagraphFont"/>
    <w:link w:val="Ttulo3"/>
    <w:uiPriority w:val="9"/>
    <w:qFormat/>
    <w:rsid w:val="005c23f4"/>
    <w:rPr>
      <w:rFonts w:ascii="Calibri Light" w:hAnsi="Calibri Light" w:eastAsia="" w:cs="" w:asciiTheme="majorHAnsi" w:cstheme="majorBidi" w:eastAsiaTheme="majorEastAsia" w:hAnsiTheme="majorHAnsi"/>
      <w:color w:val="1F4D78" w:themeColor="accent1" w:themeShade="7f"/>
      <w:sz w:val="24"/>
      <w:szCs w:val="24"/>
    </w:rPr>
  </w:style>
  <w:style w:type="character" w:styleId="Strong">
    <w:name w:val="Strong"/>
    <w:basedOn w:val="DefaultParagraphFont"/>
    <w:uiPriority w:val="22"/>
    <w:qFormat/>
    <w:rsid w:val="00107f52"/>
    <w:rPr>
      <w:b/>
      <w:bCs/>
    </w:rPr>
  </w:style>
  <w:style w:type="character" w:styleId="EnlacedeInternet">
    <w:name w:val="Enlace de Internet"/>
    <w:basedOn w:val="DefaultParagraphFont"/>
    <w:uiPriority w:val="99"/>
    <w:semiHidden/>
    <w:unhideWhenUsed/>
    <w:rsid w:val="00e459e6"/>
    <w:rPr>
      <w:color w:val="0563C1"/>
      <w:u w:val="single"/>
    </w:rPr>
  </w:style>
  <w:style w:type="character" w:styleId="Ttulo1Car" w:customStyle="1">
    <w:name w:val="Título 1 Car"/>
    <w:basedOn w:val="DefaultParagraphFont"/>
    <w:link w:val="Ttulo1"/>
    <w:uiPriority w:val="9"/>
    <w:qFormat/>
    <w:rsid w:val="00910a94"/>
    <w:rPr>
      <w:rFonts w:ascii="Calibri Light" w:hAnsi="Calibri Light" w:eastAsia="" w:cs="" w:asciiTheme="majorHAnsi" w:cstheme="majorBidi" w:eastAsiaTheme="majorEastAsia" w:hAnsiTheme="majorHAnsi"/>
      <w:color w:val="2E74B5" w:themeColor="accent1" w:themeShade="bf"/>
      <w:sz w:val="32"/>
      <w:szCs w:val="32"/>
    </w:rPr>
  </w:style>
  <w:style w:type="character" w:styleId="Ttulo4Car" w:customStyle="1">
    <w:name w:val="Título 4 Car"/>
    <w:basedOn w:val="DefaultParagraphFont"/>
    <w:link w:val="Ttulo4"/>
    <w:uiPriority w:val="9"/>
    <w:qFormat/>
    <w:rsid w:val="00fa5a6f"/>
    <w:rPr>
      <w:rFonts w:ascii="Times New Roman" w:hAnsi="Times New Roman" w:eastAsia="Times New Roman" w:cs="Times New Roman"/>
      <w:b/>
      <w:bCs/>
      <w:color w:val="333333"/>
      <w:sz w:val="24"/>
      <w:szCs w:val="24"/>
      <w:lang w:eastAsia="es-CR"/>
    </w:rPr>
  </w:style>
  <w:style w:type="character" w:styleId="Ttulo5Car" w:customStyle="1">
    <w:name w:val="Título 5 Car"/>
    <w:basedOn w:val="DefaultParagraphFont"/>
    <w:link w:val="Ttulo5"/>
    <w:uiPriority w:val="9"/>
    <w:qFormat/>
    <w:rsid w:val="00fa5a6f"/>
    <w:rPr>
      <w:rFonts w:ascii="Times New Roman" w:hAnsi="Times New Roman" w:eastAsia="Times New Roman" w:cs="Times New Roman"/>
      <w:b/>
      <w:bCs/>
      <w:color w:val="333333"/>
      <w:sz w:val="23"/>
      <w:szCs w:val="23"/>
      <w:lang w:eastAsia="es-CR"/>
    </w:rPr>
  </w:style>
  <w:style w:type="character" w:styleId="Ttulo6Car" w:customStyle="1">
    <w:name w:val="Título 6 Car"/>
    <w:basedOn w:val="DefaultParagraphFont"/>
    <w:link w:val="Ttulo6"/>
    <w:uiPriority w:val="9"/>
    <w:qFormat/>
    <w:rsid w:val="00fa5a6f"/>
    <w:rPr>
      <w:rFonts w:ascii="Times New Roman" w:hAnsi="Times New Roman" w:eastAsia="Times New Roman" w:cs="Times New Roman"/>
      <w:sz w:val="24"/>
      <w:szCs w:val="24"/>
      <w:lang w:eastAsia="es-CR"/>
    </w:rPr>
  </w:style>
  <w:style w:type="character" w:styleId="EnlacedeInternetvisitado">
    <w:name w:val="Enlace de Internet visitado"/>
    <w:basedOn w:val="DefaultParagraphFont"/>
    <w:uiPriority w:val="99"/>
    <w:semiHidden/>
    <w:unhideWhenUsed/>
    <w:rsid w:val="00fa5a6f"/>
    <w:rPr>
      <w:color w:val="0D499C"/>
      <w:u w:val="single"/>
    </w:rPr>
  </w:style>
  <w:style w:type="character" w:styleId="Destacado">
    <w:name w:val="Destacado"/>
    <w:basedOn w:val="DefaultParagraphFont"/>
    <w:uiPriority w:val="20"/>
    <w:qFormat/>
    <w:rsid w:val="00fa5a6f"/>
    <w:rPr>
      <w:i/>
      <w:iCs/>
    </w:rPr>
  </w:style>
  <w:style w:type="character" w:styleId="HTMLconformatoprevioCar" w:customStyle="1">
    <w:name w:val="HTML con formato previo Car"/>
    <w:basedOn w:val="DefaultParagraphFont"/>
    <w:link w:val="HTMLconformatoprevio"/>
    <w:uiPriority w:val="99"/>
    <w:semiHidden/>
    <w:qFormat/>
    <w:rsid w:val="00fa5a6f"/>
    <w:rPr>
      <w:rFonts w:ascii="Courier New" w:hAnsi="Courier New" w:eastAsia="Times New Roman" w:cs="Courier New"/>
      <w:sz w:val="20"/>
      <w:szCs w:val="20"/>
      <w:lang w:eastAsia="es-CR"/>
    </w:rPr>
  </w:style>
  <w:style w:type="character" w:styleId="Captiondate1" w:customStyle="1">
    <w:name w:val="captiondate1"/>
    <w:basedOn w:val="DefaultParagraphFont"/>
    <w:qFormat/>
    <w:rsid w:val="00fa5a6f"/>
    <w:rPr>
      <w:color w:val="FFCC66"/>
    </w:rPr>
  </w:style>
  <w:style w:type="character" w:styleId="Vidtitlename" w:customStyle="1">
    <w:name w:val="vidtitlename"/>
    <w:basedOn w:val="DefaultParagraphFont"/>
    <w:qFormat/>
    <w:rsid w:val="00fa5a6f"/>
    <w:rPr/>
  </w:style>
  <w:style w:type="character" w:styleId="Footnote1" w:customStyle="1">
    <w:name w:val="footnote1"/>
    <w:basedOn w:val="DefaultParagraphFont"/>
    <w:qFormat/>
    <w:rsid w:val="00fa5a6f"/>
    <w:rPr>
      <w:sz w:val="20"/>
      <w:szCs w:val="20"/>
    </w:rPr>
  </w:style>
  <w:style w:type="character" w:styleId="Vidtitlename1" w:customStyle="1">
    <w:name w:val="vidtitlename1"/>
    <w:basedOn w:val="DefaultParagraphFont"/>
    <w:qFormat/>
    <w:rsid w:val="00fa5a6f"/>
    <w:rPr>
      <w:b/>
      <w:bCs/>
      <w:sz w:val="26"/>
      <w:szCs w:val="26"/>
    </w:rPr>
  </w:style>
  <w:style w:type="character" w:styleId="Footnote4" w:customStyle="1">
    <w:name w:val="footnote4"/>
    <w:basedOn w:val="DefaultParagraphFont"/>
    <w:qFormat/>
    <w:rsid w:val="00fa5a6f"/>
    <w:rPr>
      <w:sz w:val="19"/>
      <w:szCs w:val="19"/>
    </w:rPr>
  </w:style>
  <w:style w:type="character" w:styleId="ZPrincipiodelformularioCar" w:customStyle="1">
    <w:name w:val="z-Principio del formulario Car"/>
    <w:basedOn w:val="DefaultParagraphFont"/>
    <w:link w:val="z-Principiodelformulario"/>
    <w:uiPriority w:val="99"/>
    <w:semiHidden/>
    <w:qFormat/>
    <w:rsid w:val="00fa5a6f"/>
    <w:rPr>
      <w:rFonts w:ascii="Arial" w:hAnsi="Arial" w:eastAsia="Times New Roman" w:cs="Arial"/>
      <w:vanish/>
      <w:sz w:val="16"/>
      <w:szCs w:val="16"/>
      <w:lang w:eastAsia="es-CR"/>
    </w:rPr>
  </w:style>
  <w:style w:type="character" w:styleId="ZFinaldelformularioCar" w:customStyle="1">
    <w:name w:val="z-Final del formulario Car"/>
    <w:basedOn w:val="DefaultParagraphFont"/>
    <w:link w:val="z-Finaldelformulario"/>
    <w:uiPriority w:val="99"/>
    <w:semiHidden/>
    <w:qFormat/>
    <w:rsid w:val="00fa5a6f"/>
    <w:rPr>
      <w:rFonts w:ascii="Arial" w:hAnsi="Arial" w:eastAsia="Times New Roman" w:cs="Arial"/>
      <w:vanish/>
      <w:sz w:val="16"/>
      <w:szCs w:val="16"/>
      <w:lang w:eastAsia="es-CR"/>
    </w:rPr>
  </w:style>
  <w:style w:type="character" w:styleId="Anunciotxtcomunicados" w:customStyle="1">
    <w:name w:val="anunciotxtcomunicados"/>
    <w:basedOn w:val="DefaultParagraphFont"/>
    <w:qFormat/>
    <w:rsid w:val="00fa5a6f"/>
    <w:rPr/>
  </w:style>
  <w:style w:type="character" w:styleId="Ttulo7Car" w:customStyle="1">
    <w:name w:val="Título 7 Car"/>
    <w:basedOn w:val="DefaultParagraphFont"/>
    <w:link w:val="Ttulo7"/>
    <w:uiPriority w:val="9"/>
    <w:semiHidden/>
    <w:qFormat/>
    <w:rsid w:val="00285001"/>
    <w:rPr>
      <w:rFonts w:ascii="Calibri Light" w:hAnsi="Calibri Light" w:eastAsia="" w:cs="" w:asciiTheme="majorHAnsi" w:cstheme="majorBidi" w:eastAsiaTheme="majorEastAsia" w:hAnsiTheme="majorHAnsi"/>
      <w:i/>
      <w:iCs/>
      <w:color w:val="1F4D78" w:themeColor="accent1" w:themeShade="7f"/>
    </w:rPr>
  </w:style>
  <w:style w:type="character" w:styleId="Ancladenotaalpie">
    <w:name w:val="Ancla de nota al pie"/>
    <w:rPr>
      <w:vertAlign w:val="superscript"/>
    </w:rPr>
  </w:style>
  <w:style w:type="character" w:styleId="FootnoteCharacters">
    <w:name w:val="Footnote Characters"/>
    <w:qFormat/>
    <w:rsid w:val="00b55941"/>
    <w:rPr>
      <w:vertAlign w:val="superscript"/>
    </w:rPr>
  </w:style>
  <w:style w:type="character" w:styleId="TextonotapieCar" w:customStyle="1">
    <w:name w:val="Texto nota pie Car"/>
    <w:basedOn w:val="DefaultParagraphFont"/>
    <w:link w:val="Textonotapie"/>
    <w:qFormat/>
    <w:rsid w:val="00b55941"/>
    <w:rPr>
      <w:rFonts w:ascii="Times New Roman" w:hAnsi="Times New Roman" w:eastAsia="Times New Roman" w:cs="Times New Roman"/>
      <w:sz w:val="20"/>
      <w:szCs w:val="20"/>
      <w:lang w:val="es-ES" w:eastAsia="zh-CN"/>
    </w:rPr>
  </w:style>
  <w:style w:type="character" w:styleId="TextoindependienteCar" w:customStyle="1">
    <w:name w:val="Texto independiente Car"/>
    <w:basedOn w:val="DefaultParagraphFont"/>
    <w:link w:val="Textoindependiente"/>
    <w:qFormat/>
    <w:rsid w:val="00661572"/>
    <w:rPr>
      <w:rFonts w:ascii="Times New Roman" w:hAnsi="Times New Roman" w:eastAsia="Times New Roman" w:cs="Times New Roman"/>
      <w:sz w:val="24"/>
      <w:szCs w:val="24"/>
      <w:lang w:val="es-ES" w:eastAsia="ar-SA"/>
    </w:rPr>
  </w:style>
  <w:style w:type="character" w:styleId="EncabezadoCar" w:customStyle="1">
    <w:name w:val="Encabezado Car"/>
    <w:basedOn w:val="DefaultParagraphFont"/>
    <w:link w:val="Encabezado"/>
    <w:uiPriority w:val="99"/>
    <w:semiHidden/>
    <w:qFormat/>
    <w:rsid w:val="00f732e0"/>
    <w:rPr>
      <w:rFonts w:ascii="Times New Roman" w:hAnsi="Times New Roman" w:cs="Times New Roman"/>
      <w:sz w:val="24"/>
      <w:szCs w:val="24"/>
      <w:lang w:eastAsia="es-CR"/>
    </w:rPr>
  </w:style>
  <w:style w:type="character" w:styleId="PrrafodelistaCar" w:customStyle="1">
    <w:name w:val="Párrafo de lista Car"/>
    <w:basedOn w:val="DefaultParagraphFont"/>
    <w:link w:val="Prrafodelista"/>
    <w:uiPriority w:val="34"/>
    <w:qFormat/>
    <w:locked/>
    <w:rsid w:val="00265ec1"/>
    <w:rPr/>
  </w:style>
  <w:style w:type="character" w:styleId="TextodegloboCar" w:customStyle="1">
    <w:name w:val="Texto de globo Car"/>
    <w:basedOn w:val="DefaultParagraphFont"/>
    <w:link w:val="Textodeglobo"/>
    <w:uiPriority w:val="99"/>
    <w:semiHidden/>
    <w:qFormat/>
    <w:rsid w:val="00633432"/>
    <w:rPr>
      <w:rFonts w:ascii="Segoe UI" w:hAnsi="Segoe UI" w:cs="Segoe UI"/>
      <w:sz w:val="18"/>
      <w:szCs w:val="18"/>
    </w:rPr>
  </w:style>
  <w:style w:type="character" w:styleId="Textoindependiente2Car" w:customStyle="1">
    <w:name w:val="Texto independiente 2 Car"/>
    <w:basedOn w:val="DefaultParagraphFont"/>
    <w:link w:val="Textoindependiente2"/>
    <w:uiPriority w:val="99"/>
    <w:semiHidden/>
    <w:qFormat/>
    <w:rsid w:val="00c5416b"/>
    <w:rPr/>
  </w:style>
  <w:style w:type="character" w:styleId="NormalWebCar" w:customStyle="1">
    <w:name w:val="Normal (Web) Car"/>
    <w:link w:val="NormalWeb"/>
    <w:qFormat/>
    <w:locked/>
    <w:rsid w:val="00c407dd"/>
    <w:rPr>
      <w:rFonts w:ascii="Times New Roman" w:hAnsi="Times New Roman" w:cs="Times New Roman"/>
      <w:sz w:val="24"/>
      <w:szCs w:val="24"/>
      <w:lang w:eastAsia="es-CR"/>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661572"/>
    <w:pPr>
      <w:suppressAutoHyphens w:val="true"/>
      <w:spacing w:lineRule="auto" w:line="240" w:before="0" w:after="120"/>
    </w:pPr>
    <w:rPr>
      <w:rFonts w:ascii="Times New Roman" w:hAnsi="Times New Roman" w:eastAsia="Times New Roman" w:cs="Times New Roman"/>
      <w:sz w:val="24"/>
      <w:szCs w:val="24"/>
      <w:lang w:val="es-ES" w:eastAsia="ar-SA"/>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NoSpacing">
    <w:name w:val="No Spacing"/>
    <w:uiPriority w:val="1"/>
    <w:qFormat/>
    <w:rsid w:val="005c23f4"/>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NormalWeb">
    <w:name w:val="Normal (Web)"/>
    <w:basedOn w:val="Normal"/>
    <w:link w:val="NormalWebCar"/>
    <w:uiPriority w:val="99"/>
    <w:unhideWhenUsed/>
    <w:qFormat/>
    <w:rsid w:val="00107f52"/>
    <w:pPr>
      <w:spacing w:lineRule="auto" w:line="240" w:beforeAutospacing="1" w:afterAutospacing="1"/>
    </w:pPr>
    <w:rPr>
      <w:rFonts w:ascii="Times New Roman" w:hAnsi="Times New Roman" w:cs="Times New Roman"/>
      <w:sz w:val="24"/>
      <w:szCs w:val="24"/>
      <w:lang w:eastAsia="es-CR"/>
    </w:rPr>
  </w:style>
  <w:style w:type="paragraph" w:styleId="Western" w:customStyle="1">
    <w:name w:val="western"/>
    <w:basedOn w:val="Normal"/>
    <w:uiPriority w:val="99"/>
    <w:semiHidden/>
    <w:qFormat/>
    <w:rsid w:val="00e459e6"/>
    <w:pPr>
      <w:spacing w:lineRule="auto" w:line="240" w:before="0" w:after="0"/>
    </w:pPr>
    <w:rPr>
      <w:rFonts w:ascii="Calibri" w:hAnsi="Calibri" w:cs="Times New Roman"/>
      <w:lang w:eastAsia="es-CR"/>
    </w:rPr>
  </w:style>
  <w:style w:type="paragraph" w:styleId="HTMLPreformatted">
    <w:name w:val="HTML Preformatted"/>
    <w:basedOn w:val="Normal"/>
    <w:link w:val="HTMLconformatoprevioCar"/>
    <w:uiPriority w:val="99"/>
    <w:semiHidden/>
    <w:unhideWhenUsed/>
    <w:qFormat/>
    <w:rsid w:val="00fa5a6f"/>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pPr>
    <w:rPr>
      <w:rFonts w:ascii="Courier New" w:hAnsi="Courier New" w:eastAsia="Times New Roman" w:cs="Courier New"/>
      <w:sz w:val="20"/>
      <w:szCs w:val="20"/>
      <w:lang w:eastAsia="es-CR"/>
    </w:rPr>
  </w:style>
  <w:style w:type="paragraph" w:styleId="Last" w:customStyle="1">
    <w:name w:val="las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title" w:customStyle="1">
    <w:name w:val="vid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cusfield" w:customStyle="1">
    <w:name w:val="focusfield"/>
    <w:basedOn w:val="Normal"/>
    <w:qFormat/>
    <w:rsid w:val="00fa5a6f"/>
    <w:pPr>
      <w:pBdr>
        <w:top w:val="dotted" w:sz="6" w:space="0" w:color="C3C3C3"/>
        <w:left w:val="dotted" w:sz="6" w:space="0" w:color="C3C3C3"/>
        <w:bottom w:val="dotted" w:sz="6" w:space="0" w:color="C3C3C3"/>
        <w:right w:val="dotted" w:sz="6" w:space="0" w:color="C3C3C3"/>
      </w:pBdr>
      <w:spacing w:lineRule="auto" w:line="240" w:beforeAutospacing="1" w:afterAutospacing="1"/>
    </w:pPr>
    <w:rPr>
      <w:rFonts w:ascii="Times New Roman" w:hAnsi="Times New Roman" w:eastAsia="Times New Roman" w:cs="Times New Roman"/>
      <w:sz w:val="24"/>
      <w:szCs w:val="24"/>
      <w:lang w:eastAsia="es-CR"/>
    </w:rPr>
  </w:style>
  <w:style w:type="paragraph" w:styleId="Idlefield" w:customStyle="1">
    <w:name w:val="idlefield"/>
    <w:basedOn w:val="Normal"/>
    <w:qFormat/>
    <w:rsid w:val="00fa5a6f"/>
    <w:pPr>
      <w:pBdr>
        <w:top w:val="dotted" w:sz="6" w:space="0" w:color="D3D1D1"/>
        <w:left w:val="dotted" w:sz="6" w:space="0" w:color="D3D1D1"/>
        <w:bottom w:val="dotted" w:sz="6" w:space="0" w:color="D3D1D1"/>
        <w:right w:val="dotted" w:sz="6" w:space="0" w:color="D3D1D1"/>
      </w:pBdr>
      <w:spacing w:lineRule="auto" w:line="240" w:beforeAutospacing="1" w:afterAutospacing="1"/>
    </w:pPr>
    <w:rPr>
      <w:rFonts w:ascii="Times New Roman" w:hAnsi="Times New Roman" w:eastAsia="Times New Roman" w:cs="Times New Roman"/>
      <w:sz w:val="24"/>
      <w:szCs w:val="24"/>
      <w:lang w:eastAsia="es-CR"/>
    </w:rPr>
  </w:style>
  <w:style w:type="paragraph" w:styleId="Tabdata" w:customStyle="1">
    <w:name w:val="tabdata"/>
    <w:basedOn w:val="Normal"/>
    <w:qFormat/>
    <w:rsid w:val="00fa5a6f"/>
    <w:pPr>
      <w:pBdr>
        <w:bottom w:val="dotted" w:sz="6" w:space="0" w:color="ACA899"/>
      </w:pBdr>
      <w:spacing w:lineRule="auto" w:line="240" w:beforeAutospacing="1" w:afterAutospacing="1"/>
      <w:ind w:left="90" w:hanging="0"/>
    </w:pPr>
    <w:rPr>
      <w:rFonts w:ascii="Times New Roman" w:hAnsi="Times New Roman" w:eastAsia="Times New Roman" w:cs="Times New Roman"/>
      <w:sz w:val="24"/>
      <w:szCs w:val="24"/>
      <w:lang w:eastAsia="es-CR"/>
    </w:rPr>
  </w:style>
  <w:style w:type="paragraph" w:styleId="Slogan" w:customStyle="1">
    <w:name w:val="slogan"/>
    <w:basedOn w:val="Normal"/>
    <w:qFormat/>
    <w:rsid w:val="00fa5a6f"/>
    <w:pPr>
      <w:spacing w:lineRule="auto" w:line="240" w:beforeAutospacing="1" w:afterAutospacing="1"/>
    </w:pPr>
    <w:rPr>
      <w:rFonts w:ascii="Tahoma" w:hAnsi="Tahoma" w:eastAsia="Times New Roman" w:cs="Tahoma"/>
      <w:color w:val="F47B29"/>
      <w:sz w:val="17"/>
      <w:szCs w:val="17"/>
      <w:lang w:eastAsia="es-CR"/>
    </w:rPr>
  </w:style>
  <w:style w:type="paragraph" w:styleId="Sfmenu" w:customStyle="1">
    <w:name w:val="sf-menu"/>
    <w:basedOn w:val="Normal"/>
    <w:qFormat/>
    <w:rsid w:val="00fa5a6f"/>
    <w:pPr>
      <w:pBdr>
        <w:top w:val="dotted" w:sz="6" w:space="0" w:color="D3D1D1"/>
        <w:bottom w:val="dotted" w:sz="6" w:space="0" w:color="D3D1D1"/>
      </w:pBdr>
      <w:shd w:val="clear" w:color="auto" w:fill="FFFFFF"/>
      <w:spacing w:lineRule="auto" w:line="240" w:before="0" w:after="0"/>
    </w:pPr>
    <w:rPr>
      <w:rFonts w:ascii="Times New Roman" w:hAnsi="Times New Roman" w:eastAsia="Times New Roman" w:cs="Times New Roman"/>
      <w:sz w:val="24"/>
      <w:szCs w:val="24"/>
      <w:lang w:eastAsia="es-CR"/>
    </w:rPr>
  </w:style>
  <w:style w:type="paragraph" w:styleId="Sfsubindicator" w:customStyle="1">
    <w:name w:val="sf-sub-indicator"/>
    <w:basedOn w:val="Normal"/>
    <w:qFormat/>
    <w:rsid w:val="00fa5a6f"/>
    <w:pPr>
      <w:spacing w:lineRule="auto" w:line="240" w:beforeAutospacing="1" w:afterAutospacing="1"/>
      <w:ind w:firstLine="22384"/>
    </w:pPr>
    <w:rPr>
      <w:rFonts w:ascii="Times New Roman" w:hAnsi="Times New Roman" w:eastAsia="Times New Roman" w:cs="Times New Roman"/>
      <w:sz w:val="24"/>
      <w:szCs w:val="24"/>
      <w:lang w:eastAsia="es-CR"/>
    </w:rPr>
  </w:style>
  <w:style w:type="paragraph" w:styleId="Megawrapperone" w:customStyle="1">
    <w:name w:val="megawrapper_one"/>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wrappertwo" w:customStyle="1">
    <w:name w:val="megawrapper_two"/>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wrapperthree" w:customStyle="1">
    <w:name w:val="megawrapper_three"/>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wrapperfour" w:customStyle="1">
    <w:name w:val="megawrapper_four"/>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column1" w:customStyle="1">
    <w:name w:val="megacolumn_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column2" w:customStyle="1">
    <w:name w:val="megacolumn_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column3" w:customStyle="1">
    <w:name w:val="megacolumn_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column4" w:customStyle="1">
    <w:name w:val="megacolumn_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footer" w:customStyle="1">
    <w:name w:val="megafooter"/>
    <w:basedOn w:val="Normal"/>
    <w:qFormat/>
    <w:rsid w:val="00fa5a6f"/>
    <w:pPr>
      <w:spacing w:lineRule="auto" w:line="240" w:beforeAutospacing="1" w:afterAutospacing="1"/>
    </w:pPr>
    <w:rPr>
      <w:rFonts w:ascii="Times New Roman" w:hAnsi="Times New Roman" w:eastAsia="Times New Roman" w:cs="Times New Roman"/>
      <w:color w:val="333333"/>
      <w:sz w:val="24"/>
      <w:szCs w:val="24"/>
      <w:lang w:eastAsia="es-CR"/>
    </w:rPr>
  </w:style>
  <w:style w:type="paragraph" w:styleId="Megac" w:customStyle="1">
    <w:name w:val="mega_c"/>
    <w:basedOn w:val="Normal"/>
    <w:qFormat/>
    <w:rsid w:val="00fa5a6f"/>
    <w:pPr>
      <w:pBdr>
        <w:right w:val="dotted" w:sz="6" w:space="0" w:color="D3D1D1"/>
      </w:pBdr>
      <w:spacing w:lineRule="auto" w:line="240" w:beforeAutospacing="1" w:afterAutospacing="1"/>
    </w:pPr>
    <w:rPr>
      <w:rFonts w:ascii="Times New Roman" w:hAnsi="Times New Roman" w:eastAsia="Times New Roman" w:cs="Times New Roman"/>
      <w:sz w:val="24"/>
      <w:szCs w:val="24"/>
      <w:lang w:eastAsia="es-CR"/>
    </w:rPr>
  </w:style>
  <w:style w:type="paragraph" w:styleId="Cycler" w:customStyle="1">
    <w:name w:val="cycler"/>
    <w:basedOn w:val="Normal"/>
    <w:qFormat/>
    <w:rsid w:val="00fa5a6f"/>
    <w:pPr>
      <w:spacing w:lineRule="auto" w:line="240" w:beforeAutospacing="1" w:afterAutospacing="1"/>
    </w:pPr>
    <w:rPr>
      <w:rFonts w:ascii="Verdana" w:hAnsi="Verdana" w:eastAsia="Times New Roman" w:cs="Times New Roman"/>
      <w:sz w:val="24"/>
      <w:szCs w:val="24"/>
      <w:lang w:eastAsia="es-CR"/>
    </w:rPr>
  </w:style>
  <w:style w:type="paragraph" w:styleId="Captiondate" w:customStyle="1">
    <w:name w:val="captiondate"/>
    <w:basedOn w:val="Normal"/>
    <w:qFormat/>
    <w:rsid w:val="00fa5a6f"/>
    <w:pPr>
      <w:spacing w:lineRule="auto" w:line="240" w:beforeAutospacing="1" w:afterAutospacing="1"/>
    </w:pPr>
    <w:rPr>
      <w:rFonts w:ascii="Times New Roman" w:hAnsi="Times New Roman" w:eastAsia="Times New Roman" w:cs="Times New Roman"/>
      <w:color w:val="FFCC66"/>
      <w:sz w:val="24"/>
      <w:szCs w:val="24"/>
      <w:lang w:eastAsia="es-CR"/>
    </w:rPr>
  </w:style>
  <w:style w:type="paragraph" w:styleId="Headtitle" w:customStyle="1">
    <w:name w:val="headtitle"/>
    <w:basedOn w:val="Normal"/>
    <w:qFormat/>
    <w:rsid w:val="00fa5a6f"/>
    <w:pPr>
      <w:spacing w:lineRule="auto" w:line="240" w:before="192" w:after="0"/>
      <w:ind w:left="192" w:hanging="0"/>
    </w:pPr>
    <w:rPr>
      <w:rFonts w:ascii="Times New Roman" w:hAnsi="Times New Roman" w:eastAsia="Times New Roman" w:cs="Times New Roman"/>
      <w:b/>
      <w:bCs/>
      <w:color w:val="777777"/>
      <w:sz w:val="24"/>
      <w:szCs w:val="24"/>
      <w:lang w:eastAsia="es-CR"/>
    </w:rPr>
  </w:style>
  <w:style w:type="paragraph" w:styleId="Areaitem" w:customStyle="1">
    <w:name w:val="areaitem"/>
    <w:basedOn w:val="Normal"/>
    <w:qFormat/>
    <w:rsid w:val="00fa5a6f"/>
    <w:pPr>
      <w:spacing w:lineRule="auto" w:line="240" w:before="0" w:after="288"/>
    </w:pPr>
    <w:rPr>
      <w:rFonts w:ascii="Times New Roman" w:hAnsi="Times New Roman" w:eastAsia="Times New Roman" w:cs="Times New Roman"/>
      <w:sz w:val="24"/>
      <w:szCs w:val="24"/>
      <w:lang w:eastAsia="es-CR"/>
    </w:rPr>
  </w:style>
  <w:style w:type="paragraph" w:styleId="Boxbluegrid" w:customStyle="1">
    <w:name w:val="boxbluegrid"/>
    <w:basedOn w:val="Normal"/>
    <w:qFormat/>
    <w:rsid w:val="00fa5a6f"/>
    <w:pPr>
      <w:pBdr>
        <w:top w:val="single" w:sz="6" w:space="0" w:color="D1DFEF"/>
        <w:left w:val="single" w:sz="6" w:space="0" w:color="D1DFEF"/>
        <w:bottom w:val="single" w:sz="6" w:space="0" w:color="D1DFEF"/>
        <w:right w:val="single" w:sz="6" w:space="0" w:color="D1DFEF"/>
      </w:pBdr>
      <w:shd w:val="clear" w:color="auto" w:fill="EFF4FC"/>
      <w:spacing w:lineRule="auto" w:line="240" w:before="0" w:after="240"/>
      <w:ind w:left="240" w:hanging="0"/>
    </w:pPr>
    <w:rPr>
      <w:rFonts w:ascii="Times New Roman" w:hAnsi="Times New Roman" w:eastAsia="Times New Roman" w:cs="Times New Roman"/>
      <w:sz w:val="24"/>
      <w:szCs w:val="24"/>
      <w:lang w:eastAsia="es-CR"/>
    </w:rPr>
  </w:style>
  <w:style w:type="paragraph" w:styleId="Thirdwidth" w:customStyle="1">
    <w:name w:val="thirdwidth"/>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oxgrid" w:customStyle="1">
    <w:name w:val="boxgrid"/>
    <w:basedOn w:val="Normal"/>
    <w:qFormat/>
    <w:rsid w:val="00fa5a6f"/>
    <w:pPr>
      <w:pBdr>
        <w:top w:val="single" w:sz="6" w:space="0" w:color="CCCCCC"/>
        <w:left w:val="single" w:sz="6" w:space="0" w:color="CCCCCC"/>
        <w:bottom w:val="single" w:sz="6" w:space="0" w:color="CCCCCC"/>
        <w:right w:val="single" w:sz="6" w:space="0" w:color="CCCCCC"/>
      </w:pBdr>
      <w:spacing w:lineRule="auto" w:line="240" w:before="120" w:after="120"/>
      <w:ind w:left="120" w:right="120" w:hanging="0"/>
    </w:pPr>
    <w:rPr>
      <w:rFonts w:ascii="Times New Roman" w:hAnsi="Times New Roman" w:eastAsia="Times New Roman" w:cs="Times New Roman"/>
      <w:sz w:val="24"/>
      <w:szCs w:val="24"/>
      <w:lang w:eastAsia="es-CR"/>
    </w:rPr>
  </w:style>
  <w:style w:type="paragraph" w:styleId="Boxcaption" w:customStyle="1">
    <w:name w:val="boxcaption"/>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Introtext" w:customStyle="1">
    <w:name w:val="introtex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ociallinks" w:customStyle="1">
    <w:name w:val="sociallinks"/>
    <w:basedOn w:val="Normal"/>
    <w:qFormat/>
    <w:rsid w:val="00fa5a6f"/>
    <w:pPr>
      <w:spacing w:lineRule="auto" w:line="240" w:before="0" w:after="0"/>
      <w:ind w:left="240" w:hanging="0"/>
    </w:pPr>
    <w:rPr>
      <w:rFonts w:ascii="Times New Roman" w:hAnsi="Times New Roman" w:eastAsia="Times New Roman" w:cs="Times New Roman"/>
      <w:sz w:val="24"/>
      <w:szCs w:val="24"/>
      <w:lang w:eastAsia="es-CR"/>
    </w:rPr>
  </w:style>
  <w:style w:type="paragraph" w:styleId="Socialicons" w:customStyle="1">
    <w:name w:val="socialicons"/>
    <w:basedOn w:val="Normal"/>
    <w:qFormat/>
    <w:rsid w:val="00fa5a6f"/>
    <w:pPr>
      <w:spacing w:lineRule="auto" w:line="240" w:beforeAutospacing="1" w:afterAutospacing="1"/>
      <w:textAlignment w:val="center"/>
    </w:pPr>
    <w:rPr>
      <w:rFonts w:ascii="Times New Roman" w:hAnsi="Times New Roman" w:eastAsia="Times New Roman" w:cs="Times New Roman"/>
      <w:sz w:val="24"/>
      <w:szCs w:val="24"/>
      <w:lang w:eastAsia="es-CR"/>
    </w:rPr>
  </w:style>
  <w:style w:type="paragraph" w:styleId="Haiti" w:customStyle="1">
    <w:name w:val="haiti"/>
    <w:basedOn w:val="Normal"/>
    <w:qFormat/>
    <w:rsid w:val="00fa5a6f"/>
    <w:pPr>
      <w:spacing w:lineRule="auto" w:line="240" w:before="0" w:after="240"/>
      <w:ind w:left="240" w:hanging="0"/>
    </w:pPr>
    <w:rPr>
      <w:rFonts w:ascii="Times New Roman" w:hAnsi="Times New Roman" w:eastAsia="Times New Roman" w:cs="Times New Roman"/>
      <w:sz w:val="24"/>
      <w:szCs w:val="24"/>
      <w:lang w:eastAsia="es-CR"/>
    </w:rPr>
  </w:style>
  <w:style w:type="paragraph" w:styleId="Flags" w:customStyle="1">
    <w:name w:val="flags"/>
    <w:basedOn w:val="Normal"/>
    <w:qFormat/>
    <w:rsid w:val="00fa5a6f"/>
    <w:pPr>
      <w:spacing w:lineRule="auto" w:line="240" w:beforeAutospacing="1" w:afterAutospacing="1"/>
      <w:ind w:left="240" w:hanging="0"/>
    </w:pPr>
    <w:rPr>
      <w:rFonts w:ascii="Times New Roman" w:hAnsi="Times New Roman" w:eastAsia="Times New Roman" w:cs="Times New Roman"/>
      <w:sz w:val="24"/>
      <w:szCs w:val="24"/>
      <w:lang w:eastAsia="es-CR"/>
    </w:rPr>
  </w:style>
  <w:style w:type="paragraph" w:styleId="Special" w:customStyle="1">
    <w:name w:val="special"/>
    <w:basedOn w:val="Normal"/>
    <w:qFormat/>
    <w:rsid w:val="00fa5a6f"/>
    <w:pPr>
      <w:spacing w:lineRule="auto" w:line="240" w:before="0" w:after="240"/>
      <w:ind w:left="240" w:hanging="0"/>
    </w:pPr>
    <w:rPr>
      <w:rFonts w:ascii="Times New Roman" w:hAnsi="Times New Roman" w:eastAsia="Times New Roman" w:cs="Times New Roman"/>
      <w:sz w:val="24"/>
      <w:szCs w:val="24"/>
      <w:lang w:eastAsia="es-CR"/>
    </w:rPr>
  </w:style>
  <w:style w:type="paragraph" w:styleId="Feedmenu" w:customStyle="1">
    <w:name w:val="feed_menu"/>
    <w:basedOn w:val="Normal"/>
    <w:qFormat/>
    <w:rsid w:val="00fa5a6f"/>
    <w:pPr>
      <w:spacing w:lineRule="auto" w:line="240" w:before="0" w:after="0"/>
      <w:textAlignment w:val="center"/>
    </w:pPr>
    <w:rPr>
      <w:rFonts w:ascii="Times New Roman" w:hAnsi="Times New Roman" w:eastAsia="Times New Roman" w:cs="Times New Roman"/>
      <w:sz w:val="24"/>
      <w:szCs w:val="24"/>
      <w:lang w:eastAsia="es-CR"/>
    </w:rPr>
  </w:style>
  <w:style w:type="paragraph" w:styleId="Uitabs" w:customStyle="1">
    <w:name w:val="ui-tab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ldsidebarcontainer" w:customStyle="1">
    <w:name w:val="child_sidebarcontain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ldsidebartabs" w:customStyle="1">
    <w:name w:val="child_sidebartabs"/>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Gfctitle" w:customStyle="1">
    <w:name w:val="gfc-title"/>
    <w:basedOn w:val="Normal"/>
    <w:qFormat/>
    <w:rsid w:val="00fa5a6f"/>
    <w:pPr>
      <w:spacing w:lineRule="auto" w:line="240" w:beforeAutospacing="1" w:afterAutospacing="1"/>
    </w:pPr>
    <w:rPr>
      <w:rFonts w:ascii="Times New Roman" w:hAnsi="Times New Roman" w:eastAsia="Times New Roman" w:cs="Times New Roman"/>
      <w:b/>
      <w:bCs/>
      <w:sz w:val="24"/>
      <w:szCs w:val="24"/>
      <w:lang w:eastAsia="es-CR"/>
    </w:rPr>
  </w:style>
  <w:style w:type="paragraph" w:styleId="Gftitle" w:customStyle="1">
    <w:name w:val="gf-title"/>
    <w:basedOn w:val="Normal"/>
    <w:qFormat/>
    <w:rsid w:val="00fa5a6f"/>
    <w:pPr>
      <w:spacing w:lineRule="auto" w:line="240" w:beforeAutospacing="1" w:afterAutospacing="1"/>
    </w:pPr>
    <w:rPr>
      <w:rFonts w:ascii="Times New Roman" w:hAnsi="Times New Roman" w:eastAsia="Times New Roman" w:cs="Times New Roman"/>
      <w:b/>
      <w:bCs/>
      <w:sz w:val="24"/>
      <w:szCs w:val="24"/>
      <w:lang w:eastAsia="es-CR"/>
    </w:rPr>
  </w:style>
  <w:style w:type="paragraph" w:styleId="Ytvideoitem" w:customStyle="1">
    <w:name w:val="ytvideoitem"/>
    <w:basedOn w:val="Normal"/>
    <w:qFormat/>
    <w:rsid w:val="00fa5a6f"/>
    <w:pPr>
      <w:shd w:val="clear" w:color="auto" w:fill="FFFFFF"/>
      <w:spacing w:lineRule="auto" w:line="240" w:before="0" w:after="0"/>
    </w:pPr>
    <w:rPr>
      <w:rFonts w:ascii="Times New Roman" w:hAnsi="Times New Roman" w:eastAsia="Times New Roman" w:cs="Times New Roman"/>
      <w:sz w:val="24"/>
      <w:szCs w:val="24"/>
      <w:lang w:eastAsia="es-CR"/>
    </w:rPr>
  </w:style>
  <w:style w:type="paragraph" w:styleId="Trighttabcontain" w:customStyle="1">
    <w:name w:val="trighttabcontai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ottomtabs" w:customStyle="1">
    <w:name w:val="bottomtabs"/>
    <w:basedOn w:val="Normal"/>
    <w:qFormat/>
    <w:rsid w:val="00fa5a6f"/>
    <w:pPr>
      <w:spacing w:lineRule="auto" w:line="240" w:before="120" w:after="0"/>
    </w:pPr>
    <w:rPr>
      <w:rFonts w:ascii="Times New Roman" w:hAnsi="Times New Roman" w:eastAsia="Times New Roman" w:cs="Times New Roman"/>
      <w:b/>
      <w:bCs/>
      <w:sz w:val="16"/>
      <w:szCs w:val="16"/>
      <w:lang w:eastAsia="es-CR"/>
    </w:rPr>
  </w:style>
  <w:style w:type="paragraph" w:styleId="Bottomtabcontain" w:customStyle="1">
    <w:name w:val="bottomtabcontain"/>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Topics" w:customStyle="1">
    <w:name w:val="topic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esources" w:customStyle="1">
    <w:name w:val="resource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Getinvolved" w:customStyle="1">
    <w:name w:val="getinvolv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ocialmedia" w:customStyle="1">
    <w:name w:val="socialmedia"/>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arginr" w:customStyle="1">
    <w:name w:val="marginr"/>
    <w:basedOn w:val="Normal"/>
    <w:qFormat/>
    <w:rsid w:val="00fa5a6f"/>
    <w:pPr>
      <w:spacing w:lineRule="auto" w:line="240" w:beforeAutospacing="1" w:afterAutospacing="1"/>
      <w:ind w:right="240" w:hanging="0"/>
    </w:pPr>
    <w:rPr>
      <w:rFonts w:ascii="Times New Roman" w:hAnsi="Times New Roman" w:eastAsia="Times New Roman" w:cs="Times New Roman"/>
      <w:sz w:val="24"/>
      <w:szCs w:val="24"/>
      <w:lang w:eastAsia="es-CR"/>
    </w:rPr>
  </w:style>
  <w:style w:type="paragraph" w:styleId="Marginl" w:customStyle="1">
    <w:name w:val="marginl"/>
    <w:basedOn w:val="Normal"/>
    <w:qFormat/>
    <w:rsid w:val="00fa5a6f"/>
    <w:pPr>
      <w:spacing w:lineRule="auto" w:line="240" w:beforeAutospacing="1" w:afterAutospacing="1"/>
      <w:ind w:left="240" w:hanging="0"/>
    </w:pPr>
    <w:rPr>
      <w:rFonts w:ascii="Times New Roman" w:hAnsi="Times New Roman" w:eastAsia="Times New Roman" w:cs="Times New Roman"/>
      <w:sz w:val="24"/>
      <w:szCs w:val="24"/>
      <w:lang w:eastAsia="es-CR"/>
    </w:rPr>
  </w:style>
  <w:style w:type="paragraph" w:styleId="Dottedlinedv" w:customStyle="1">
    <w:name w:val="dotted-line-dv"/>
    <w:basedOn w:val="Normal"/>
    <w:qFormat/>
    <w:rsid w:val="00fa5a6f"/>
    <w:pPr>
      <w:pBdr>
        <w:bottom w:val="dotted" w:sz="6" w:space="0" w:color="CCCCCC"/>
      </w:pBdr>
      <w:spacing w:lineRule="auto" w:line="240" w:beforeAutospacing="1" w:afterAutospacing="1"/>
    </w:pPr>
    <w:rPr>
      <w:rFonts w:ascii="Times New Roman" w:hAnsi="Times New Roman" w:eastAsia="Times New Roman" w:cs="Times New Roman"/>
      <w:sz w:val="24"/>
      <w:szCs w:val="24"/>
      <w:lang w:eastAsia="es-CR"/>
    </w:rPr>
  </w:style>
  <w:style w:type="paragraph" w:styleId="Plainbox" w:customStyle="1">
    <w:name w:val="plainbox"/>
    <w:basedOn w:val="Normal"/>
    <w:qFormat/>
    <w:rsid w:val="00fa5a6f"/>
    <w:pPr>
      <w:pBdr>
        <w:top w:val="single" w:sz="6" w:space="0" w:color="CCCCCC"/>
        <w:left w:val="single" w:sz="6" w:space="0" w:color="CCCCCC"/>
        <w:bottom w:val="single" w:sz="6" w:space="0" w:color="CCCCCC"/>
        <w:right w:val="single" w:sz="6" w:space="0" w:color="CCCCCC"/>
      </w:pBdr>
      <w:spacing w:lineRule="auto" w:line="240" w:beforeAutospacing="1" w:afterAutospacing="1"/>
    </w:pPr>
    <w:rPr>
      <w:rFonts w:ascii="Times New Roman" w:hAnsi="Times New Roman" w:eastAsia="Times New Roman" w:cs="Times New Roman"/>
      <w:sz w:val="24"/>
      <w:szCs w:val="24"/>
      <w:lang w:eastAsia="es-CR"/>
    </w:rPr>
  </w:style>
  <w:style w:type="paragraph" w:styleId="Smallertxt" w:customStyle="1">
    <w:name w:val="smallertxt"/>
    <w:basedOn w:val="Normal"/>
    <w:qFormat/>
    <w:rsid w:val="00fa5a6f"/>
    <w:pPr>
      <w:spacing w:lineRule="auto" w:line="240" w:beforeAutospacing="1" w:afterAutospacing="1"/>
    </w:pPr>
    <w:rPr>
      <w:rFonts w:ascii="Times New Roman" w:hAnsi="Times New Roman" w:eastAsia="Times New Roman" w:cs="Times New Roman"/>
      <w:sz w:val="20"/>
      <w:szCs w:val="20"/>
      <w:lang w:eastAsia="es-CR"/>
    </w:rPr>
  </w:style>
  <w:style w:type="paragraph" w:styleId="Arrowtop" w:customStyle="1">
    <w:name w:val="arrowtop"/>
    <w:basedOn w:val="Normal"/>
    <w:qFormat/>
    <w:rsid w:val="00fa5a6f"/>
    <w:pPr>
      <w:spacing w:lineRule="auto" w:line="240" w:beforeAutospacing="1" w:afterAutospacing="1"/>
    </w:pPr>
    <w:rPr>
      <w:rFonts w:ascii="Times New Roman" w:hAnsi="Times New Roman" w:eastAsia="Times New Roman" w:cs="Times New Roman"/>
      <w:b/>
      <w:bCs/>
      <w:sz w:val="24"/>
      <w:szCs w:val="24"/>
      <w:lang w:eastAsia="es-CR"/>
    </w:rPr>
  </w:style>
  <w:style w:type="paragraph" w:styleId="Pagetabs" w:customStyle="1">
    <w:name w:val="pagetabs"/>
    <w:basedOn w:val="Normal"/>
    <w:qFormat/>
    <w:rsid w:val="00fa5a6f"/>
    <w:pPr>
      <w:spacing w:lineRule="auto" w:line="240" w:before="0" w:after="0"/>
      <w:ind w:left="120" w:hanging="0"/>
    </w:pPr>
    <w:rPr>
      <w:rFonts w:ascii="Times New Roman" w:hAnsi="Times New Roman" w:eastAsia="Times New Roman" w:cs="Times New Roman"/>
      <w:lang w:eastAsia="es-CR"/>
    </w:rPr>
  </w:style>
  <w:style w:type="paragraph" w:styleId="Pagetabcontain" w:customStyle="1">
    <w:name w:val="pagetabcontain"/>
    <w:basedOn w:val="Normal"/>
    <w:qFormat/>
    <w:rsid w:val="00fa5a6f"/>
    <w:pPr>
      <w:shd w:val="clear" w:color="auto" w:fill="E3E9F0"/>
      <w:spacing w:lineRule="auto" w:line="240" w:before="0" w:after="240"/>
    </w:pPr>
    <w:rPr>
      <w:rFonts w:ascii="Times New Roman" w:hAnsi="Times New Roman" w:eastAsia="Times New Roman" w:cs="Times New Roman"/>
      <w:sz w:val="24"/>
      <w:szCs w:val="24"/>
      <w:lang w:eastAsia="es-CR"/>
    </w:rPr>
  </w:style>
  <w:style w:type="paragraph" w:styleId="Leftcollist" w:customStyle="1">
    <w:name w:val="leftcollis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ightcollist" w:customStyle="1">
    <w:name w:val="rightcollis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elatedlinks" w:customStyle="1">
    <w:name w:val="relatedlinks"/>
    <w:basedOn w:val="Normal"/>
    <w:qFormat/>
    <w:rsid w:val="00fa5a6f"/>
    <w:pPr>
      <w:pBdr>
        <w:top w:val="single" w:sz="6" w:space="0" w:color="F47B29"/>
        <w:left w:val="single" w:sz="6" w:space="0" w:color="F47B29"/>
        <w:bottom w:val="single" w:sz="6" w:space="0" w:color="F47B29"/>
        <w:right w:val="single" w:sz="6" w:space="0" w:color="F47B29"/>
      </w:pBdr>
      <w:spacing w:lineRule="auto" w:line="240" w:before="0" w:after="240"/>
      <w:ind w:left="72" w:hanging="0"/>
    </w:pPr>
    <w:rPr>
      <w:rFonts w:ascii="Times New Roman" w:hAnsi="Times New Roman" w:eastAsia="Times New Roman" w:cs="Times New Roman"/>
      <w:sz w:val="24"/>
      <w:szCs w:val="24"/>
      <w:lang w:eastAsia="es-CR"/>
    </w:rPr>
  </w:style>
  <w:style w:type="paragraph" w:styleId="Rellinksblue" w:customStyle="1">
    <w:name w:val="rellinksblue"/>
    <w:basedOn w:val="Normal"/>
    <w:qFormat/>
    <w:rsid w:val="00fa5a6f"/>
    <w:pPr>
      <w:spacing w:lineRule="auto" w:line="240" w:before="0" w:after="72"/>
      <w:ind w:left="72" w:hanging="0"/>
    </w:pPr>
    <w:rPr>
      <w:rFonts w:ascii="Times New Roman" w:hAnsi="Times New Roman" w:eastAsia="Times New Roman" w:cs="Times New Roman"/>
      <w:sz w:val="24"/>
      <w:szCs w:val="24"/>
      <w:lang w:eastAsia="es-CR"/>
    </w:rPr>
  </w:style>
  <w:style w:type="paragraph" w:styleId="Boxblue" w:customStyle="1">
    <w:name w:val="boxblue"/>
    <w:basedOn w:val="Normal"/>
    <w:qFormat/>
    <w:rsid w:val="00fa5a6f"/>
    <w:pPr>
      <w:pBdr>
        <w:top w:val="single" w:sz="6" w:space="0" w:color="D1DFEF"/>
        <w:left w:val="single" w:sz="6" w:space="0" w:color="D1DFEF"/>
        <w:bottom w:val="single" w:sz="6" w:space="0" w:color="D1DFEF"/>
        <w:right w:val="single" w:sz="6" w:space="0" w:color="D1DFEF"/>
      </w:pBdr>
      <w:shd w:val="clear" w:color="auto" w:fill="EFF4FC"/>
      <w:spacing w:lineRule="auto" w:line="240" w:before="0" w:after="72"/>
      <w:ind w:left="72" w:hanging="0"/>
    </w:pPr>
    <w:rPr>
      <w:rFonts w:ascii="Times New Roman" w:hAnsi="Times New Roman" w:eastAsia="Times New Roman" w:cs="Times New Roman"/>
      <w:sz w:val="24"/>
      <w:szCs w:val="24"/>
      <w:lang w:eastAsia="es-CR"/>
    </w:rPr>
  </w:style>
  <w:style w:type="paragraph" w:styleId="Halfwidth" w:customStyle="1">
    <w:name w:val="halfwidth"/>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otline" w:customStyle="1">
    <w:name w:val="footline"/>
    <w:basedOn w:val="Normal"/>
    <w:qFormat/>
    <w:rsid w:val="00fa5a6f"/>
    <w:pPr>
      <w:pBdr>
        <w:bottom w:val="single" w:sz="6" w:space="0" w:color="333333"/>
      </w:pBdr>
      <w:spacing w:lineRule="auto" w:line="240" w:beforeAutospacing="1" w:afterAutospacing="1"/>
    </w:pPr>
    <w:rPr>
      <w:rFonts w:ascii="Times New Roman" w:hAnsi="Times New Roman" w:eastAsia="Times New Roman" w:cs="Times New Roman"/>
      <w:sz w:val="24"/>
      <w:szCs w:val="24"/>
      <w:lang w:eastAsia="es-CR"/>
    </w:rPr>
  </w:style>
  <w:style w:type="paragraph" w:styleId="Footnote" w:customStyle="1">
    <w:name w:val="footnote"/>
    <w:basedOn w:val="Normal"/>
    <w:qFormat/>
    <w:rsid w:val="00fa5a6f"/>
    <w:pPr>
      <w:spacing w:lineRule="auto" w:line="240" w:beforeAutospacing="1" w:afterAutospacing="1"/>
    </w:pPr>
    <w:rPr>
      <w:rFonts w:ascii="Times New Roman" w:hAnsi="Times New Roman" w:eastAsia="Times New Roman" w:cs="Times New Roman"/>
      <w:sz w:val="20"/>
      <w:szCs w:val="20"/>
      <w:lang w:eastAsia="es-CR"/>
    </w:rPr>
  </w:style>
  <w:style w:type="paragraph" w:styleId="Campaign" w:customStyle="1">
    <w:name w:val="campaign"/>
    <w:basedOn w:val="Normal"/>
    <w:qFormat/>
    <w:rsid w:val="00fa5a6f"/>
    <w:pPr>
      <w:spacing w:lineRule="auto" w:line="300" w:before="75" w:after="75"/>
      <w:ind w:left="75" w:right="75" w:hanging="0"/>
    </w:pPr>
    <w:rPr>
      <w:rFonts w:ascii="Times New Roman" w:hAnsi="Times New Roman" w:eastAsia="Times New Roman" w:cs="Times New Roman"/>
      <w:sz w:val="24"/>
      <w:szCs w:val="24"/>
      <w:lang w:eastAsia="es-CR"/>
    </w:rPr>
  </w:style>
  <w:style w:type="paragraph" w:styleId="Txtcenter" w:customStyle="1">
    <w:name w:val="txtcenter"/>
    <w:basedOn w:val="Normal"/>
    <w:qFormat/>
    <w:rsid w:val="00fa5a6f"/>
    <w:pPr>
      <w:spacing w:lineRule="auto" w:line="240" w:beforeAutospacing="1" w:afterAutospacing="1"/>
      <w:jc w:val="center"/>
    </w:pPr>
    <w:rPr>
      <w:rFonts w:ascii="Times New Roman" w:hAnsi="Times New Roman" w:eastAsia="Times New Roman" w:cs="Times New Roman"/>
      <w:sz w:val="24"/>
      <w:szCs w:val="24"/>
      <w:lang w:eastAsia="es-CR"/>
    </w:rPr>
  </w:style>
  <w:style w:type="paragraph" w:styleId="Txtleft" w:customStyle="1">
    <w:name w:val="txtlef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xtright" w:customStyle="1">
    <w:name w:val="txtright"/>
    <w:basedOn w:val="Normal"/>
    <w:qFormat/>
    <w:rsid w:val="00fa5a6f"/>
    <w:pPr>
      <w:spacing w:lineRule="auto" w:line="240" w:beforeAutospacing="1" w:afterAutospacing="1"/>
      <w:jc w:val="right"/>
    </w:pPr>
    <w:rPr>
      <w:rFonts w:ascii="Times New Roman" w:hAnsi="Times New Roman" w:eastAsia="Times New Roman" w:cs="Times New Roman"/>
      <w:sz w:val="24"/>
      <w:szCs w:val="24"/>
      <w:lang w:eastAsia="es-CR"/>
    </w:rPr>
  </w:style>
  <w:style w:type="paragraph" w:styleId="Chartvline" w:customStyle="1">
    <w:name w:val="chartvline"/>
    <w:basedOn w:val="Normal"/>
    <w:qFormat/>
    <w:rsid w:val="00fa5a6f"/>
    <w:pPr>
      <w:pBdr>
        <w:right w:val="single" w:sz="6" w:space="0" w:color="333333"/>
      </w:pBdr>
      <w:spacing w:lineRule="auto" w:line="240" w:before="0" w:after="0"/>
    </w:pPr>
    <w:rPr>
      <w:rFonts w:ascii="Times New Roman" w:hAnsi="Times New Roman" w:eastAsia="Times New Roman" w:cs="Times New Roman"/>
      <w:sz w:val="24"/>
      <w:szCs w:val="24"/>
      <w:lang w:eastAsia="es-CR"/>
    </w:rPr>
  </w:style>
  <w:style w:type="paragraph" w:styleId="Foot" w:customStyle="1">
    <w:name w:val="foot"/>
    <w:basedOn w:val="Normal"/>
    <w:qFormat/>
    <w:rsid w:val="00fa5a6f"/>
    <w:pPr>
      <w:pBdr>
        <w:top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Dnn" w:customStyle="1">
    <w:name w:val="dn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opicscol" w:customStyle="1">
    <w:name w:val="topicscol"/>
    <w:basedOn w:val="Normal"/>
    <w:qFormat/>
    <w:rsid w:val="00fa5a6f"/>
    <w:pPr>
      <w:pBdr>
        <w:top w:val="single" w:sz="6" w:space="10" w:color="CCCCCC"/>
        <w:left w:val="single" w:sz="6" w:space="10" w:color="CCCCCC"/>
        <w:bottom w:val="single" w:sz="6" w:space="10" w:color="CCCCCC"/>
        <w:right w:val="single" w:sz="6" w:space="10" w:color="CCCCCC"/>
      </w:pBdr>
      <w:shd w:val="clear" w:color="auto" w:fill="F4F4F4"/>
      <w:spacing w:lineRule="auto" w:line="240" w:before="0" w:after="0"/>
      <w:ind w:right="120" w:hanging="0"/>
    </w:pPr>
    <w:rPr>
      <w:rFonts w:ascii="Times New Roman" w:hAnsi="Times New Roman" w:eastAsia="Times New Roman" w:cs="Times New Roman"/>
      <w:sz w:val="24"/>
      <w:szCs w:val="24"/>
      <w:lang w:eastAsia="es-CR"/>
    </w:rPr>
  </w:style>
  <w:style w:type="paragraph" w:styleId="Middlecol" w:customStyle="1">
    <w:name w:val="middle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diarelated" w:customStyle="1">
    <w:name w:val="mediarelated"/>
    <w:basedOn w:val="Normal"/>
    <w:qFormat/>
    <w:rsid w:val="00fa5a6f"/>
    <w:pPr>
      <w:pBdr>
        <w:top w:val="single" w:sz="6" w:space="0" w:color="F47B29"/>
        <w:left w:val="single" w:sz="6" w:space="0" w:color="F47B29"/>
        <w:bottom w:val="single" w:sz="6" w:space="0" w:color="F47B29"/>
        <w:right w:val="single" w:sz="6" w:space="0" w:color="F47B29"/>
      </w:pBdr>
      <w:spacing w:lineRule="auto" w:line="240" w:beforeAutospacing="1" w:afterAutospacing="1"/>
    </w:pPr>
    <w:rPr>
      <w:rFonts w:ascii="Times New Roman" w:hAnsi="Times New Roman" w:eastAsia="Times New Roman" w:cs="Times New Roman"/>
      <w:sz w:val="24"/>
      <w:szCs w:val="24"/>
      <w:lang w:eastAsia="es-CR"/>
    </w:rPr>
  </w:style>
  <w:style w:type="paragraph" w:styleId="Noscriptmessage" w:customStyle="1">
    <w:name w:val="noscript-message"/>
    <w:basedOn w:val="Normal"/>
    <w:qFormat/>
    <w:rsid w:val="00fa5a6f"/>
    <w:pPr>
      <w:pBdr>
        <w:top w:val="single" w:sz="6" w:space="11" w:color="5477A7"/>
        <w:bottom w:val="single" w:sz="6" w:space="11" w:color="5477A7"/>
      </w:pBdr>
      <w:shd w:val="clear" w:color="auto" w:fill="FCE9C0"/>
      <w:spacing w:lineRule="auto" w:line="240" w:beforeAutospacing="1" w:after="120"/>
    </w:pPr>
    <w:rPr>
      <w:rFonts w:ascii="Times New Roman" w:hAnsi="Times New Roman" w:eastAsia="Times New Roman" w:cs="Times New Roman"/>
      <w:sz w:val="19"/>
      <w:szCs w:val="19"/>
      <w:lang w:eastAsia="es-CR"/>
    </w:rPr>
  </w:style>
  <w:style w:type="paragraph" w:styleId="Topicon" w:customStyle="1">
    <w:name w:val="topicon"/>
    <w:basedOn w:val="Normal"/>
    <w:qFormat/>
    <w:rsid w:val="00fa5a6f"/>
    <w:pPr>
      <w:spacing w:lineRule="auto" w:line="240" w:before="36" w:afterAutospacing="1"/>
      <w:ind w:left="60" w:hanging="0"/>
    </w:pPr>
    <w:rPr>
      <w:rFonts w:ascii="Times New Roman" w:hAnsi="Times New Roman" w:eastAsia="Times New Roman" w:cs="Times New Roman"/>
      <w:sz w:val="24"/>
      <w:szCs w:val="24"/>
      <w:lang w:eastAsia="es-CR"/>
    </w:rPr>
  </w:style>
  <w:style w:type="paragraph" w:styleId="Listbg" w:customStyle="1">
    <w:name w:val="listbg"/>
    <w:basedOn w:val="Normal"/>
    <w:qFormat/>
    <w:rsid w:val="00fa5a6f"/>
    <w:pPr>
      <w:spacing w:lineRule="auto" w:line="240" w:beforeAutospacing="1" w:afterAutospacing="1"/>
      <w:ind w:left="135" w:hanging="0"/>
    </w:pPr>
    <w:rPr>
      <w:rFonts w:ascii="Times New Roman" w:hAnsi="Times New Roman" w:eastAsia="Times New Roman" w:cs="Times New Roman"/>
      <w:sz w:val="24"/>
      <w:szCs w:val="24"/>
      <w:lang w:eastAsia="es-CR"/>
    </w:rPr>
  </w:style>
  <w:style w:type="paragraph" w:styleId="Txtjustify" w:customStyle="1">
    <w:name w:val="txtjustify"/>
    <w:basedOn w:val="Normal"/>
    <w:qFormat/>
    <w:rsid w:val="00fa5a6f"/>
    <w:pPr>
      <w:spacing w:lineRule="auto" w:line="240" w:beforeAutospacing="1" w:afterAutospacing="1"/>
      <w:jc w:val="both"/>
    </w:pPr>
    <w:rPr>
      <w:rFonts w:ascii="Times New Roman" w:hAnsi="Times New Roman" w:eastAsia="Times New Roman" w:cs="Times New Roman"/>
      <w:sz w:val="24"/>
      <w:szCs w:val="24"/>
      <w:lang w:eastAsia="es-CR"/>
    </w:rPr>
  </w:style>
  <w:style w:type="paragraph" w:styleId="Dottedline" w:customStyle="1">
    <w:name w:val="dotted-line"/>
    <w:basedOn w:val="Normal"/>
    <w:qFormat/>
    <w:rsid w:val="00fa5a6f"/>
    <w:pPr>
      <w:pBdr>
        <w:bottom w:val="dotted" w:sz="6" w:space="0" w:color="CCCCCC"/>
      </w:pBdr>
      <w:spacing w:lineRule="auto" w:line="240" w:beforeAutospacing="1" w:afterAutospacing="1"/>
    </w:pPr>
    <w:rPr>
      <w:rFonts w:ascii="Times New Roman" w:hAnsi="Times New Roman" w:eastAsia="Times New Roman" w:cs="Times New Roman"/>
      <w:sz w:val="24"/>
      <w:szCs w:val="24"/>
      <w:lang w:eastAsia="es-CR"/>
    </w:rPr>
  </w:style>
  <w:style w:type="paragraph" w:styleId="Sidebartabs" w:customStyle="1">
    <w:name w:val="sidebartabs"/>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Sidebarcontainer" w:customStyle="1">
    <w:name w:val="sidebarcontainer"/>
    <w:basedOn w:val="Normal"/>
    <w:qFormat/>
    <w:rsid w:val="00fa5a6f"/>
    <w:pPr>
      <w:pBdr>
        <w:top w:val="single" w:sz="6" w:space="0" w:color="CCCCCC"/>
        <w:left w:val="single" w:sz="6" w:space="0" w:color="CCCCCC"/>
        <w:bottom w:val="single" w:sz="6" w:space="0" w:color="CCCCCC"/>
        <w:right w:val="single" w:sz="6" w:space="0" w:color="CCCCCC"/>
      </w:pBd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Transparent" w:customStyle="1">
    <w:name w:val="transpar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ellinkslightblue" w:customStyle="1">
    <w:name w:val="rellinkslightblue"/>
    <w:basedOn w:val="Normal"/>
    <w:qFormat/>
    <w:rsid w:val="00fa5a6f"/>
    <w:pPr>
      <w:pBdr>
        <w:top w:val="single" w:sz="6" w:space="0" w:color="859EC0"/>
        <w:left w:val="single" w:sz="6" w:space="0" w:color="859EC0"/>
        <w:bottom w:val="single" w:sz="6" w:space="0" w:color="859EC0"/>
        <w:right w:val="single" w:sz="6" w:space="0" w:color="859EC0"/>
      </w:pBdr>
      <w:spacing w:lineRule="auto" w:line="240" w:before="0" w:after="216"/>
    </w:pPr>
    <w:rPr>
      <w:rFonts w:ascii="Times New Roman" w:hAnsi="Times New Roman" w:eastAsia="Times New Roman" w:cs="Times New Roman"/>
      <w:sz w:val="24"/>
      <w:szCs w:val="24"/>
      <w:lang w:eastAsia="es-CR"/>
    </w:rPr>
  </w:style>
  <w:style w:type="paragraph" w:styleId="Cluetipdefault" w:customStyle="1">
    <w:name w:val="cluetip-default"/>
    <w:basedOn w:val="Normal"/>
    <w:qFormat/>
    <w:rsid w:val="00fa5a6f"/>
    <w:pPr>
      <w:shd w:val="clear" w:color="auto" w:fill="FFFFFF"/>
      <w:spacing w:lineRule="auto" w:line="240" w:beforeAutospacing="1" w:afterAutospacing="1"/>
    </w:pPr>
    <w:rPr>
      <w:rFonts w:ascii="Verdana" w:hAnsi="Verdana" w:eastAsia="Times New Roman" w:cs="Times New Roman"/>
      <w:lang w:eastAsia="es-CR"/>
    </w:rPr>
  </w:style>
  <w:style w:type="paragraph" w:styleId="Colorrojo" w:customStyle="1">
    <w:name w:val="colorrojo"/>
    <w:basedOn w:val="Normal"/>
    <w:qFormat/>
    <w:rsid w:val="00fa5a6f"/>
    <w:pPr>
      <w:spacing w:lineRule="auto" w:line="240" w:beforeAutospacing="1" w:afterAutospacing="1"/>
    </w:pPr>
    <w:rPr>
      <w:rFonts w:ascii="Times New Roman" w:hAnsi="Times New Roman" w:eastAsia="Times New Roman" w:cs="Times New Roman"/>
      <w:color w:val="CC0000"/>
      <w:sz w:val="24"/>
      <w:szCs w:val="24"/>
      <w:lang w:eastAsia="es-CR"/>
    </w:rPr>
  </w:style>
  <w:style w:type="paragraph" w:styleId="Colordestacado" w:customStyle="1">
    <w:name w:val="colordestacado"/>
    <w:basedOn w:val="Normal"/>
    <w:qFormat/>
    <w:rsid w:val="00fa5a6f"/>
    <w:pPr>
      <w:shd w:val="clear" w:color="auto" w:fill="72BF44"/>
      <w:spacing w:lineRule="auto" w:line="240" w:beforeAutospacing="1" w:afterAutospacing="1"/>
    </w:pPr>
    <w:rPr>
      <w:rFonts w:ascii="Times New Roman" w:hAnsi="Times New Roman" w:eastAsia="Times New Roman" w:cs="Times New Roman"/>
      <w:color w:val="333333"/>
      <w:sz w:val="24"/>
      <w:szCs w:val="24"/>
      <w:lang w:eastAsia="es-CR"/>
    </w:rPr>
  </w:style>
  <w:style w:type="paragraph" w:styleId="Titulodestacados" w:customStyle="1">
    <w:name w:val="titulodestacados"/>
    <w:basedOn w:val="Normal"/>
    <w:qFormat/>
    <w:rsid w:val="00fa5a6f"/>
    <w:pPr>
      <w:shd w:val="clear" w:color="auto" w:fill="72BF44"/>
      <w:spacing w:lineRule="auto" w:line="240" w:beforeAutospacing="1" w:afterAutospacing="1"/>
    </w:pPr>
    <w:rPr>
      <w:rFonts w:ascii="Verdana" w:hAnsi="Verdana" w:eastAsia="Times New Roman" w:cs="Times New Roman"/>
      <w:b/>
      <w:bCs/>
      <w:color w:val="FFFFFF"/>
      <w:sz w:val="20"/>
      <w:szCs w:val="20"/>
      <w:lang w:eastAsia="es-CR"/>
    </w:rPr>
  </w:style>
  <w:style w:type="paragraph" w:styleId="Informesitem" w:customStyle="1">
    <w:name w:val="informesitem"/>
    <w:basedOn w:val="Normal"/>
    <w:qFormat/>
    <w:rsid w:val="00fa5a6f"/>
    <w:pPr>
      <w:spacing w:lineRule="auto" w:line="240" w:before="150" w:afterAutospacing="1"/>
      <w:ind w:left="150" w:hanging="0"/>
    </w:pPr>
    <w:rPr>
      <w:rFonts w:ascii="Times New Roman" w:hAnsi="Times New Roman" w:eastAsia="Times New Roman" w:cs="Times New Roman"/>
      <w:sz w:val="24"/>
      <w:szCs w:val="24"/>
      <w:lang w:eastAsia="es-CR"/>
    </w:rPr>
  </w:style>
  <w:style w:type="paragraph" w:styleId="Informesfoto" w:customStyle="1">
    <w:name w:val="informesfoto"/>
    <w:basedOn w:val="Normal"/>
    <w:qFormat/>
    <w:rsid w:val="00fa5a6f"/>
    <w:pPr>
      <w:shd w:val="clear" w:color="auto" w:fill="FFFFFF"/>
      <w:spacing w:lineRule="auto" w:line="240" w:beforeAutospacing="1" w:afterAutospacing="1"/>
      <w:jc w:val="center"/>
    </w:pPr>
    <w:rPr>
      <w:rFonts w:ascii="Times New Roman" w:hAnsi="Times New Roman" w:eastAsia="Times New Roman" w:cs="Times New Roman"/>
      <w:sz w:val="24"/>
      <w:szCs w:val="24"/>
      <w:lang w:eastAsia="es-CR"/>
    </w:rPr>
  </w:style>
  <w:style w:type="paragraph" w:styleId="Informestxt" w:customStyle="1">
    <w:name w:val="informestxt"/>
    <w:basedOn w:val="Normal"/>
    <w:qFormat/>
    <w:rsid w:val="00fa5a6f"/>
    <w:pPr>
      <w:shd w:val="clear" w:color="auto" w:fill="859EC0"/>
      <w:spacing w:lineRule="auto" w:line="240" w:beforeAutospacing="1" w:afterAutospacing="1"/>
      <w:jc w:val="center"/>
    </w:pPr>
    <w:rPr>
      <w:rFonts w:ascii="Times New Roman" w:hAnsi="Times New Roman" w:eastAsia="Times New Roman" w:cs="Times New Roman"/>
      <w:sz w:val="24"/>
      <w:szCs w:val="24"/>
      <w:lang w:eastAsia="es-CR"/>
    </w:rPr>
  </w:style>
  <w:style w:type="paragraph" w:styleId="Anuncioitem" w:customStyle="1">
    <w:name w:val="anuncioitem"/>
    <w:basedOn w:val="Normal"/>
    <w:qFormat/>
    <w:rsid w:val="00fa5a6f"/>
    <w:pPr>
      <w:shd w:val="clear" w:color="auto" w:fill="859EC0"/>
      <w:spacing w:lineRule="atLeast" w:line="240" w:before="150" w:afterAutospacing="1"/>
      <w:ind w:left="150" w:hanging="0"/>
    </w:pPr>
    <w:rPr>
      <w:rFonts w:ascii="Times New Roman" w:hAnsi="Times New Roman" w:eastAsia="Times New Roman" w:cs="Times New Roman"/>
      <w:sz w:val="18"/>
      <w:szCs w:val="18"/>
      <w:lang w:eastAsia="es-CR"/>
    </w:rPr>
  </w:style>
  <w:style w:type="paragraph" w:styleId="Anunciotitul" w:customStyle="1">
    <w:name w:val="anunciotitul"/>
    <w:basedOn w:val="Normal"/>
    <w:qFormat/>
    <w:rsid w:val="00fa5a6f"/>
    <w:pPr>
      <w:shd w:val="clear" w:color="auto" w:fill="5C7DAB"/>
      <w:spacing w:lineRule="auto" w:line="240" w:beforeAutospacing="1" w:afterAutospacing="1"/>
    </w:pPr>
    <w:rPr>
      <w:rFonts w:ascii="Times New Roman" w:hAnsi="Times New Roman" w:eastAsia="Times New Roman" w:cs="Times New Roman"/>
      <w:b/>
      <w:bCs/>
      <w:caps/>
      <w:color w:val="FFFFFF"/>
      <w:sz w:val="17"/>
      <w:szCs w:val="17"/>
      <w:lang w:eastAsia="es-CR"/>
    </w:rPr>
  </w:style>
  <w:style w:type="paragraph" w:styleId="Anunciofecha" w:customStyle="1">
    <w:name w:val="anunciofecha"/>
    <w:basedOn w:val="Normal"/>
    <w:qFormat/>
    <w:rsid w:val="00fa5a6f"/>
    <w:pPr>
      <w:shd w:val="clear" w:color="auto" w:fill="97ACCA"/>
      <w:spacing w:lineRule="auto" w:line="240" w:beforeAutospacing="1" w:afterAutospacing="1"/>
    </w:pPr>
    <w:rPr>
      <w:rFonts w:ascii="Times New Roman" w:hAnsi="Times New Roman" w:eastAsia="Times New Roman" w:cs="Times New Roman"/>
      <w:color w:val="354A68"/>
      <w:sz w:val="17"/>
      <w:szCs w:val="17"/>
      <w:lang w:eastAsia="es-CR"/>
    </w:rPr>
  </w:style>
  <w:style w:type="paragraph" w:styleId="Masinformacion" w:customStyle="1">
    <w:name w:val="masinformacion"/>
    <w:basedOn w:val="Normal"/>
    <w:qFormat/>
    <w:rsid w:val="00fa5a6f"/>
    <w:pPr>
      <w:spacing w:lineRule="auto" w:line="240" w:before="150" w:afterAutospacing="1"/>
      <w:jc w:val="right"/>
    </w:pPr>
    <w:rPr>
      <w:rFonts w:ascii="Times New Roman" w:hAnsi="Times New Roman" w:eastAsia="Times New Roman" w:cs="Times New Roman"/>
      <w:color w:val="CCCCCC"/>
      <w:sz w:val="24"/>
      <w:szCs w:val="24"/>
      <w:lang w:eastAsia="es-CR"/>
    </w:rPr>
  </w:style>
  <w:style w:type="paragraph" w:styleId="Titulodestacadoscomunicados" w:customStyle="1">
    <w:name w:val="titulodestacadoscomunicados"/>
    <w:basedOn w:val="Normal"/>
    <w:qFormat/>
    <w:rsid w:val="00fa5a6f"/>
    <w:pPr>
      <w:shd w:val="clear" w:color="auto" w:fill="54A890"/>
      <w:spacing w:lineRule="auto" w:line="240" w:beforeAutospacing="1" w:afterAutospacing="1"/>
    </w:pPr>
    <w:rPr>
      <w:rFonts w:ascii="Verdana" w:hAnsi="Verdana" w:eastAsia="Times New Roman" w:cs="Times New Roman"/>
      <w:b/>
      <w:bCs/>
      <w:color w:val="FFFFFF"/>
      <w:sz w:val="18"/>
      <w:szCs w:val="18"/>
      <w:lang w:eastAsia="es-CR"/>
    </w:rPr>
  </w:style>
  <w:style w:type="paragraph" w:styleId="Anuncioitemcomunicados" w:customStyle="1">
    <w:name w:val="anuncioitemcomunicados"/>
    <w:basedOn w:val="Normal"/>
    <w:qFormat/>
    <w:rsid w:val="00fa5a6f"/>
    <w:pPr>
      <w:shd w:val="clear" w:color="auto" w:fill="FCFCFC"/>
      <w:spacing w:lineRule="auto" w:line="240" w:before="150" w:afterAutospacing="1"/>
      <w:ind w:left="150" w:hanging="0"/>
    </w:pPr>
    <w:rPr>
      <w:rFonts w:ascii="Times New Roman" w:hAnsi="Times New Roman" w:eastAsia="Times New Roman" w:cs="Times New Roman"/>
      <w:sz w:val="24"/>
      <w:szCs w:val="24"/>
      <w:lang w:eastAsia="es-CR"/>
    </w:rPr>
  </w:style>
  <w:style w:type="paragraph" w:styleId="Titlecomunicados" w:customStyle="1">
    <w:name w:val="titlecomunicados"/>
    <w:basedOn w:val="Normal"/>
    <w:qFormat/>
    <w:rsid w:val="00fa5a6f"/>
    <w:pPr>
      <w:spacing w:lineRule="auto" w:line="240" w:before="300" w:afterAutospacing="1"/>
    </w:pPr>
    <w:rPr>
      <w:rFonts w:ascii="Georgia" w:hAnsi="Georgia" w:eastAsia="Times New Roman" w:cs="Times New Roman"/>
      <w:sz w:val="29"/>
      <w:szCs w:val="29"/>
      <w:lang w:eastAsia="es-CR"/>
    </w:rPr>
  </w:style>
  <w:style w:type="paragraph" w:styleId="Fechacomunicados" w:customStyle="1">
    <w:name w:val="fechacomunicados"/>
    <w:basedOn w:val="Normal"/>
    <w:qFormat/>
    <w:rsid w:val="00fa5a6f"/>
    <w:pPr>
      <w:spacing w:lineRule="auto" w:line="240" w:beforeAutospacing="1" w:afterAutospacing="1"/>
    </w:pPr>
    <w:rPr>
      <w:rFonts w:ascii="Times New Roman" w:hAnsi="Times New Roman" w:eastAsia="Times New Roman" w:cs="Times New Roman"/>
      <w:color w:val="666666"/>
      <w:sz w:val="17"/>
      <w:szCs w:val="17"/>
      <w:lang w:eastAsia="es-CR"/>
    </w:rPr>
  </w:style>
  <w:style w:type="paragraph" w:styleId="Feedblockcidh" w:customStyle="1">
    <w:name w:val="feedblockcidh"/>
    <w:basedOn w:val="Normal"/>
    <w:qFormat/>
    <w:rsid w:val="00fa5a6f"/>
    <w:pPr>
      <w:shd w:val="clear" w:color="auto" w:fill="E6EAED"/>
      <w:spacing w:lineRule="auto" w:line="240" w:beforeAutospacing="1" w:after="225"/>
    </w:pPr>
    <w:rPr>
      <w:rFonts w:ascii="Times New Roman" w:hAnsi="Times New Roman" w:eastAsia="Times New Roman" w:cs="Times New Roman"/>
      <w:sz w:val="24"/>
      <w:szCs w:val="24"/>
      <w:lang w:eastAsia="es-CR"/>
    </w:rPr>
  </w:style>
  <w:style w:type="paragraph" w:styleId="Destacadoderecha" w:customStyle="1">
    <w:name w:val="destacadoderecha"/>
    <w:basedOn w:val="Normal"/>
    <w:qFormat/>
    <w:rsid w:val="00fa5a6f"/>
    <w:pPr>
      <w:shd w:val="clear" w:color="auto" w:fill="72BF44"/>
      <w:spacing w:lineRule="auto" w:line="240" w:beforeAutospacing="1" w:after="150"/>
    </w:pPr>
    <w:rPr>
      <w:rFonts w:ascii="Verdana" w:hAnsi="Verdana" w:eastAsia="Times New Roman" w:cs="Times New Roman"/>
      <w:color w:val="FFFFFF"/>
      <w:sz w:val="17"/>
      <w:szCs w:val="17"/>
      <w:lang w:eastAsia="es-CR"/>
    </w:rPr>
  </w:style>
  <w:style w:type="paragraph" w:styleId="Funcionariositem" w:customStyle="1">
    <w:name w:val="funcionariositem"/>
    <w:basedOn w:val="Normal"/>
    <w:qFormat/>
    <w:rsid w:val="00fa5a6f"/>
    <w:pPr>
      <w:spacing w:lineRule="auto" w:line="240" w:before="300" w:afterAutospacing="1"/>
    </w:pPr>
    <w:rPr>
      <w:rFonts w:ascii="Times New Roman" w:hAnsi="Times New Roman" w:eastAsia="Times New Roman" w:cs="Times New Roman"/>
      <w:sz w:val="24"/>
      <w:szCs w:val="24"/>
      <w:lang w:eastAsia="es-CR"/>
    </w:rPr>
  </w:style>
  <w:style w:type="paragraph" w:styleId="Sesionesitem" w:customStyle="1">
    <w:name w:val="sesionesitem"/>
    <w:basedOn w:val="Normal"/>
    <w:qFormat/>
    <w:rsid w:val="00fa5a6f"/>
    <w:pPr>
      <w:shd w:val="clear" w:color="auto" w:fill="E6EAED"/>
      <w:spacing w:lineRule="auto" w:line="240" w:beforeAutospacing="1" w:after="225"/>
    </w:pPr>
    <w:rPr>
      <w:rFonts w:ascii="Times New Roman" w:hAnsi="Times New Roman" w:eastAsia="Times New Roman" w:cs="Times New Roman"/>
      <w:sz w:val="18"/>
      <w:szCs w:val="18"/>
      <w:lang w:eastAsia="es-CR"/>
    </w:rPr>
  </w:style>
  <w:style w:type="paragraph" w:styleId="Sesionesitemtitle" w:customStyle="1">
    <w:name w:val="sesionesitemtitle"/>
    <w:basedOn w:val="Normal"/>
    <w:qFormat/>
    <w:rsid w:val="00fa5a6f"/>
    <w:pPr>
      <w:shd w:val="clear" w:color="auto" w:fill="F4F5F7"/>
      <w:spacing w:lineRule="auto" w:line="240" w:beforeAutospacing="1" w:afterAutospacing="1"/>
    </w:pPr>
    <w:rPr>
      <w:rFonts w:ascii="Times New Roman" w:hAnsi="Times New Roman" w:eastAsia="Times New Roman" w:cs="Times New Roman"/>
      <w:b/>
      <w:bCs/>
      <w:color w:val="006699"/>
      <w:sz w:val="20"/>
      <w:szCs w:val="20"/>
      <w:lang w:eastAsia="es-CR"/>
    </w:rPr>
  </w:style>
  <w:style w:type="paragraph" w:styleId="Informestematicositem" w:customStyle="1">
    <w:name w:val="informestematicositem"/>
    <w:basedOn w:val="Normal"/>
    <w:qFormat/>
    <w:rsid w:val="00fa5a6f"/>
    <w:pPr>
      <w:pBdr>
        <w:top w:val="single" w:sz="48" w:space="4" w:color="E6EAED"/>
        <w:left w:val="single" w:sz="12" w:space="6" w:color="E6EAED"/>
        <w:bottom w:val="single" w:sz="12" w:space="8" w:color="E6EAED"/>
        <w:right w:val="single" w:sz="12" w:space="6" w:color="E6EAED"/>
      </w:pBdr>
      <w:spacing w:lineRule="auto" w:line="240" w:before="150" w:afterAutospacing="1"/>
      <w:ind w:right="150" w:hanging="0"/>
      <w:jc w:val="center"/>
    </w:pPr>
    <w:rPr>
      <w:rFonts w:ascii="Times New Roman" w:hAnsi="Times New Roman" w:eastAsia="Times New Roman" w:cs="Times New Roman"/>
      <w:sz w:val="24"/>
      <w:szCs w:val="24"/>
      <w:lang w:eastAsia="es-CR"/>
    </w:rPr>
  </w:style>
  <w:style w:type="paragraph" w:styleId="Playercontentplayer" w:customStyle="1">
    <w:name w:val="playercontentplayer"/>
    <w:basedOn w:val="Normal"/>
    <w:qFormat/>
    <w:rsid w:val="00fa5a6f"/>
    <w:pPr>
      <w:pBdr>
        <w:top w:val="single" w:sz="6" w:space="15" w:color="72BF44"/>
        <w:left w:val="single" w:sz="6" w:space="0" w:color="72BF44"/>
        <w:bottom w:val="single" w:sz="6" w:space="0" w:color="72BF44"/>
        <w:right w:val="single" w:sz="6" w:space="0" w:color="72BF44"/>
      </w:pBdr>
      <w:spacing w:lineRule="auto" w:line="240" w:beforeAutospacing="1" w:afterAutospacing="1"/>
      <w:jc w:val="center"/>
    </w:pPr>
    <w:rPr>
      <w:rFonts w:ascii="Times New Roman" w:hAnsi="Times New Roman" w:eastAsia="Times New Roman" w:cs="Times New Roman"/>
      <w:sz w:val="24"/>
      <w:szCs w:val="24"/>
      <w:lang w:eastAsia="es-CR"/>
    </w:rPr>
  </w:style>
  <w:style w:type="paragraph" w:styleId="Playernota" w:customStyle="1">
    <w:name w:val="playernota"/>
    <w:basedOn w:val="Normal"/>
    <w:qFormat/>
    <w:rsid w:val="00fa5a6f"/>
    <w:pPr>
      <w:pBdr>
        <w:top w:val="single" w:sz="6" w:space="0" w:color="72BF44"/>
        <w:left w:val="single" w:sz="6" w:space="0" w:color="72BF44"/>
        <w:bottom w:val="single" w:sz="6" w:space="0" w:color="72BF44"/>
        <w:right w:val="single" w:sz="6" w:space="0" w:color="72BF44"/>
      </w:pBdr>
      <w:spacing w:lineRule="auto" w:line="240" w:beforeAutospacing="1" w:afterAutospacing="1"/>
      <w:jc w:val="center"/>
    </w:pPr>
    <w:rPr>
      <w:rFonts w:ascii="Times New Roman" w:hAnsi="Times New Roman" w:eastAsia="Times New Roman" w:cs="Times New Roman"/>
      <w:sz w:val="24"/>
      <w:szCs w:val="24"/>
      <w:lang w:eastAsia="es-CR"/>
    </w:rPr>
  </w:style>
  <w:style w:type="paragraph" w:styleId="Txtlinkword" w:customStyle="1">
    <w:name w:val="txtlinkword"/>
    <w:basedOn w:val="Normal"/>
    <w:qFormat/>
    <w:rsid w:val="00fa5a6f"/>
    <w:pPr>
      <w:spacing w:lineRule="auto" w:line="240" w:beforeAutospacing="1" w:afterAutospacing="1"/>
    </w:pPr>
    <w:rPr>
      <w:rFonts w:ascii="Times New Roman" w:hAnsi="Times New Roman" w:eastAsia="Times New Roman" w:cs="Times New Roman"/>
      <w:color w:val="999999"/>
      <w:sz w:val="17"/>
      <w:szCs w:val="17"/>
      <w:lang w:eastAsia="es-CR"/>
    </w:rPr>
  </w:style>
  <w:style w:type="paragraph" w:styleId="Feedblockitem" w:customStyle="1">
    <w:name w:val="feedblockitem"/>
    <w:basedOn w:val="Normal"/>
    <w:qFormat/>
    <w:rsid w:val="00fa5a6f"/>
    <w:pPr>
      <w:shd w:val="clear" w:color="auto" w:fill="E6EAED"/>
      <w:spacing w:lineRule="auto" w:line="240" w:before="75" w:after="150"/>
      <w:ind w:left="150" w:hanging="0"/>
    </w:pPr>
    <w:rPr>
      <w:rFonts w:ascii="Times New Roman" w:hAnsi="Times New Roman" w:eastAsia="Times New Roman" w:cs="Times New Roman"/>
      <w:sz w:val="18"/>
      <w:szCs w:val="18"/>
      <w:lang w:eastAsia="es-CR"/>
    </w:rPr>
  </w:style>
  <w:style w:type="paragraph" w:styleId="Feedblockitemsmall" w:customStyle="1">
    <w:name w:val="feedblockitemsmall"/>
    <w:basedOn w:val="Normal"/>
    <w:qFormat/>
    <w:rsid w:val="00fa5a6f"/>
    <w:pPr>
      <w:spacing w:lineRule="auto" w:line="240" w:beforeAutospacing="1" w:afterAutospacing="1"/>
    </w:pPr>
    <w:rPr>
      <w:rFonts w:ascii="Times New Roman" w:hAnsi="Times New Roman" w:eastAsia="Times New Roman" w:cs="Times New Roman"/>
      <w:sz w:val="15"/>
      <w:szCs w:val="15"/>
      <w:lang w:eastAsia="es-CR"/>
    </w:rPr>
  </w:style>
  <w:style w:type="paragraph" w:styleId="Feedblockitemtitle" w:customStyle="1">
    <w:name w:val="feedblockitemtitle"/>
    <w:basedOn w:val="Normal"/>
    <w:qFormat/>
    <w:rsid w:val="00fa5a6f"/>
    <w:pPr>
      <w:spacing w:lineRule="auto" w:line="240" w:beforeAutospacing="1" w:afterAutospacing="1"/>
    </w:pPr>
    <w:rPr>
      <w:rFonts w:ascii="Times New Roman" w:hAnsi="Times New Roman" w:eastAsia="Times New Roman" w:cs="Times New Roman"/>
      <w:b/>
      <w:bCs/>
      <w:color w:val="006699"/>
      <w:sz w:val="20"/>
      <w:szCs w:val="20"/>
      <w:lang w:eastAsia="es-CR"/>
    </w:rPr>
  </w:style>
  <w:style w:type="paragraph" w:styleId="Feedblockitemdatos" w:customStyle="1">
    <w:name w:val="feedblockitemdatos"/>
    <w:basedOn w:val="Normal"/>
    <w:qFormat/>
    <w:rsid w:val="00fa5a6f"/>
    <w:pPr>
      <w:pBdr>
        <w:right w:val="single" w:sz="6" w:space="0" w:color="CCCCCC"/>
      </w:pBdr>
      <w:spacing w:lineRule="atLeast" w:line="270" w:beforeAutospacing="1" w:afterAutospacing="1"/>
      <w:ind w:left="150" w:hanging="0"/>
    </w:pPr>
    <w:rPr>
      <w:rFonts w:ascii="Tahoma" w:hAnsi="Tahoma" w:eastAsia="Times New Roman" w:cs="Tahoma"/>
      <w:sz w:val="18"/>
      <w:szCs w:val="18"/>
      <w:lang w:eastAsia="es-CR"/>
    </w:rPr>
  </w:style>
  <w:style w:type="paragraph" w:styleId="Feedblockitemlinks" w:customStyle="1">
    <w:name w:val="feedblockitemlinks"/>
    <w:basedOn w:val="Normal"/>
    <w:qFormat/>
    <w:rsid w:val="00fa5a6f"/>
    <w:pPr>
      <w:pBdr>
        <w:right w:val="single" w:sz="6" w:space="0" w:color="CCCCCC"/>
      </w:pBdr>
      <w:spacing w:lineRule="auto" w:line="240" w:beforeAutospacing="1" w:afterAutospacing="1"/>
      <w:jc w:val="center"/>
    </w:pPr>
    <w:rPr>
      <w:rFonts w:ascii="Tahoma" w:hAnsi="Tahoma" w:eastAsia="Times New Roman" w:cs="Tahoma"/>
      <w:sz w:val="18"/>
      <w:szCs w:val="18"/>
      <w:lang w:eastAsia="es-CR"/>
    </w:rPr>
  </w:style>
  <w:style w:type="paragraph" w:styleId="Recuadroancho" w:customStyle="1">
    <w:name w:val="recuadroancho"/>
    <w:basedOn w:val="Normal"/>
    <w:qFormat/>
    <w:rsid w:val="00fa5a6f"/>
    <w:pPr>
      <w:shd w:val="clear" w:color="auto" w:fill="E9E8DA"/>
      <w:spacing w:lineRule="auto" w:line="240" w:before="150" w:after="150"/>
    </w:pPr>
    <w:rPr>
      <w:rFonts w:ascii="Georgia" w:hAnsi="Georgia" w:eastAsia="Times New Roman" w:cs="Times New Roman"/>
      <w:sz w:val="24"/>
      <w:szCs w:val="24"/>
      <w:lang w:eastAsia="es-CR"/>
    </w:rPr>
  </w:style>
  <w:style w:type="paragraph" w:styleId="Recursosfinancieros" w:customStyle="1">
    <w:name w:val="recursosfinancieros"/>
    <w:basedOn w:val="Normal"/>
    <w:qFormat/>
    <w:rsid w:val="00fa5a6f"/>
    <w:pPr>
      <w:shd w:val="clear" w:color="auto" w:fill="E9E8DA"/>
      <w:spacing w:lineRule="auto" w:line="240" w:before="45" w:after="90"/>
    </w:pPr>
    <w:rPr>
      <w:rFonts w:ascii="Times New Roman" w:hAnsi="Times New Roman" w:eastAsia="Times New Roman" w:cs="Times New Roman"/>
      <w:sz w:val="24"/>
      <w:szCs w:val="24"/>
      <w:lang w:eastAsia="es-CR"/>
    </w:rPr>
  </w:style>
  <w:style w:type="paragraph" w:styleId="Botoningresar" w:customStyle="1">
    <w:name w:val="botoningresar"/>
    <w:basedOn w:val="Normal"/>
    <w:qFormat/>
    <w:rsid w:val="00fa5a6f"/>
    <w:pPr>
      <w:shd w:val="clear" w:color="auto" w:fill="039AA4"/>
      <w:spacing w:lineRule="auto" w:line="240" w:beforeAutospacing="1" w:afterAutospacing="1"/>
      <w:ind w:left="3000" w:hanging="0"/>
    </w:pPr>
    <w:rPr>
      <w:rFonts w:ascii="Times New Roman" w:hAnsi="Times New Roman" w:eastAsia="Times New Roman" w:cs="Times New Roman"/>
      <w:sz w:val="24"/>
      <w:szCs w:val="24"/>
      <w:lang w:eastAsia="es-CR"/>
    </w:rPr>
  </w:style>
  <w:style w:type="paragraph" w:styleId="Cluetiparrows" w:customStyle="1">
    <w:name w:val="cluetip-arrows"/>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jtip" w:customStyle="1">
    <w:name w:val="cluetip-jti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luetiprounded" w:customStyle="1">
    <w:name w:val="cluetip-rounded"/>
    <w:basedOn w:val="Normal"/>
    <w:qFormat/>
    <w:rsid w:val="00fa5a6f"/>
    <w:pPr>
      <w:spacing w:lineRule="auto" w:line="240" w:before="150" w:afterAutospacing="1"/>
      <w:ind w:left="180" w:hanging="0"/>
    </w:pPr>
    <w:rPr>
      <w:rFonts w:ascii="Times New Roman" w:hAnsi="Times New Roman" w:eastAsia="Times New Roman" w:cs="Times New Roman"/>
      <w:sz w:val="24"/>
      <w:szCs w:val="24"/>
      <w:lang w:eastAsia="es-CR"/>
    </w:rPr>
  </w:style>
  <w:style w:type="paragraph" w:styleId="Fancyboxmargin" w:customStyle="1">
    <w:name w:val="fancybox-margin"/>
    <w:basedOn w:val="Normal"/>
    <w:qFormat/>
    <w:rsid w:val="00fa5a6f"/>
    <w:pPr>
      <w:spacing w:lineRule="auto" w:line="240" w:beforeAutospacing="1" w:afterAutospacing="1"/>
      <w:ind w:right="255" w:hanging="0"/>
    </w:pPr>
    <w:rPr>
      <w:rFonts w:ascii="Times New Roman" w:hAnsi="Times New Roman" w:eastAsia="Times New Roman" w:cs="Times New Roman"/>
      <w:sz w:val="24"/>
      <w:szCs w:val="24"/>
      <w:lang w:eastAsia="es-CR"/>
    </w:rPr>
  </w:style>
  <w:style w:type="paragraph" w:styleId="Grid" w:customStyle="1">
    <w:name w:val="gri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or1" w:customStyle="1">
    <w:name w:val="color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or2" w:customStyle="1">
    <w:name w:val="color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or3" w:customStyle="1">
    <w:name w:val="color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mment" w:customStyle="1">
    <w:name w:val="comm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andingtitle" w:customStyle="1">
    <w:name w:val="landing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 w:customStyle="1">
    <w:name w:val="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2" w:customStyle="1">
    <w:name w:val="col-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Descripcin1" w:customStyle="1">
    <w:name w:val="Descripción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Newsitem" w:customStyle="1">
    <w:name w:val="newsitem"/>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hotocaption" w:customStyle="1">
    <w:name w:val="photocaptio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eftcol" w:customStyle="1">
    <w:name w:val="left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ightcol" w:customStyle="1">
    <w:name w:val="right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nav" w:customStyle="1">
    <w:name w:val="ui-tabs-nav"/>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 w:customStyle="1">
    <w:name w:val="tab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panel" w:customStyle="1">
    <w:name w:val="ui-tabs-pane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three" w:customStyle="1">
    <w:name w:val="tabcolthre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four" w:customStyle="1">
    <w:name w:val="tabcolfou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uesto1" w:customStyle="1">
    <w:name w:val="Puesto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2" w:customStyle="1">
    <w:name w:val="title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3" w:customStyle="1">
    <w:name w:val="title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hover" w:customStyle="1">
    <w:name w:val="ui-state-hov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default" w:customStyle="1">
    <w:name w:val="ui-state-defaul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lected" w:customStyle="1">
    <w:name w:val="select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mall" w:customStyle="1">
    <w:name w:val="smal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Webcasticon" w:customStyle="1">
    <w:name w:val="webcastico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witter" w:customStyle="1">
    <w:name w:val="twitt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acebook" w:customStyle="1">
    <w:name w:val="facebook"/>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lickr" w:customStyle="1">
    <w:name w:val="flick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meo" w:customStyle="1">
    <w:name w:val="vimeo"/>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Youtube" w:customStyle="1">
    <w:name w:val="youtub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ourcecaption" w:customStyle="1">
    <w:name w:val="sourcecaptio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title" w:customStyle="1">
    <w:name w:val="area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ainpic" w:customStyle="1">
    <w:name w:val="main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oxpic" w:customStyle="1">
    <w:name w:val="box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arginb1" w:customStyle="1">
    <w:name w:val="marginb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Indicaterequired" w:customStyle="1">
    <w:name w:val="indicate-requir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ceinlineerror" w:customStyle="1">
    <w:name w:val="mce_inline_erro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Noterequired" w:customStyle="1">
    <w:name w:val="note-requir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cfieldgroup" w:customStyle="1">
    <w:name w:val="mc-field-gro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hreecols" w:customStyle="1">
    <w:name w:val="three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urcols" w:customStyle="1">
    <w:name w:val="four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wocols" w:customStyle="1">
    <w:name w:val="two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encols" w:customStyle="1">
    <w:name w:val="seven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s" w:customStyle="1">
    <w:name w:val="sg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scols" w:customStyle="1">
    <w:name w:val="as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enlines" w:customStyle="1">
    <w:name w:val="sevenline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e" w:customStyle="1">
    <w:name w:val="line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eh" w:customStyle="1">
    <w:name w:val="lineeh"/>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a" w:customStyle="1">
    <w:name w:val="linea"/>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b" w:customStyle="1">
    <w:name w:val="lineb"/>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cols" w:customStyle="1">
    <w:name w:val="sev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cnct" w:customStyle="1">
    <w:name w:val="linecnc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roof" w:customStyle="1">
    <w:name w:val="lineroof"/>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col" w:customStyle="1">
    <w:name w:val="chief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 w:customStyle="1">
    <w:name w:val="sg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titlethin" w:customStyle="1">
    <w:name w:val="areatitlethi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sg2015wrap" w:customStyle="1">
    <w:name w:val="vidsg2015wra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spopup" w:customStyle="1">
    <w:name w:val="vidspop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ow" w:customStyle="1">
    <w:name w:val="show"/>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 w:customStyle="1">
    <w:name w:val="hid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riendfeedtext" w:customStyle="1">
    <w:name w:val="friendfeed_tex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riendfeeddate" w:customStyle="1">
    <w:name w:val="friendfeed_dat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focus" w:customStyle="1">
    <w:name w:val="ui-state-focu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active" w:customStyle="1">
    <w:name w:val="ui-state-activ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1" w:customStyle="1">
    <w:name w:val="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21" w:customStyle="1">
    <w:name w:val="col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3" w:customStyle="1">
    <w:name w:val="col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4" w:customStyle="1">
    <w:name w:val="col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5" w:customStyle="1">
    <w:name w:val="col5"/>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6" w:customStyle="1">
    <w:name w:val="col6"/>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7" w:customStyle="1">
    <w:name w:val="col7"/>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xt" w:customStyle="1">
    <w:name w:val="linex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rink" w:customStyle="1">
    <w:name w:val="shrink"/>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row" w:customStyle="1">
    <w:name w:val="chiefrow"/>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cnt" w:customStyle="1">
    <w:name w:val="chiefc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pic" w:customStyle="1">
    <w:name w:val="chief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group" w:customStyle="1">
    <w:name w:val="sggro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group" w:customStyle="1">
    <w:name w:val="ssorgro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cwrap" w:customStyle="1">
    <w:name w:val="picwra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blurb" w:customStyle="1">
    <w:name w:val="vblurb"/>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slinks" w:customStyle="1">
    <w:name w:val="vidslink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pic" w:customStyle="1">
    <w:name w:val="vid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csg" w:customStyle="1">
    <w:name w:val="linecsg"/>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asg" w:customStyle="1">
    <w:name w:val="lineasg"/>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hlf" w:customStyle="1">
    <w:name w:val="linehlf"/>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Executivebox" w:customStyle="1">
    <w:name w:val="executivebox"/>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ntent" w:customStyle="1">
    <w:name w:val="sgcont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tree" w:customStyle="1">
    <w:name w:val="ssortre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content" w:customStyle="1">
    <w:name w:val="ssorcont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Img80" w:customStyle="1">
    <w:name w:val="img80"/>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video" w:customStyle="1">
    <w:name w:val="areavideo"/>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tnopen" w:customStyle="1">
    <w:name w:val="btnope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cnt" w:customStyle="1">
    <w:name w:val="ssorc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pic" w:customStyle="1">
    <w:name w:val="ssor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llars" w:customStyle="1">
    <w:name w:val="pillar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umn" w:customStyle="1">
    <w:name w:val="colum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astcol" w:customStyle="1">
    <w:name w:val="last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llartitle" w:customStyle="1">
    <w:name w:val="pillar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ghlight" w:customStyle="1">
    <w:name w:val="highlight"/>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tabshide" w:customStyle="1">
    <w:name w:val="ui-tabs-hid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idhsocial" w:customStyle="1">
    <w:name w:val="cidh_socia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lected1" w:customStyle="1">
    <w:name w:val="selected1"/>
    <w:basedOn w:val="Normal"/>
    <w:qFormat/>
    <w:rsid w:val="00fa5a6f"/>
    <w:pPr>
      <w:spacing w:lineRule="auto" w:line="240" w:beforeAutospacing="1" w:afterAutospacing="1"/>
    </w:pPr>
    <w:rPr>
      <w:rFonts w:ascii="Times New Roman" w:hAnsi="Times New Roman" w:eastAsia="Times New Roman" w:cs="Times New Roman"/>
      <w:color w:val="F47B29"/>
      <w:sz w:val="24"/>
      <w:szCs w:val="24"/>
      <w:lang w:eastAsia="es-CR"/>
    </w:rPr>
  </w:style>
  <w:style w:type="paragraph" w:styleId="Last1" w:customStyle="1">
    <w:name w:val="last1"/>
    <w:basedOn w:val="Normal"/>
    <w:qFormat/>
    <w:rsid w:val="00fa5a6f"/>
    <w:pPr>
      <w:pBdr>
        <w:bottom w:val="single" w:sz="6" w:space="18" w:color="B7DDF2"/>
      </w:pBdr>
      <w:spacing w:lineRule="auto" w:line="240" w:beforeAutospacing="1" w:after="120"/>
    </w:pPr>
    <w:rPr>
      <w:rFonts w:ascii="Times New Roman" w:hAnsi="Times New Roman" w:eastAsia="Times New Roman" w:cs="Times New Roman"/>
      <w:color w:val="666666"/>
      <w:lang w:eastAsia="es-CR"/>
    </w:rPr>
  </w:style>
  <w:style w:type="paragraph" w:styleId="Small1" w:customStyle="1">
    <w:name w:val="small1"/>
    <w:basedOn w:val="Normal"/>
    <w:qFormat/>
    <w:rsid w:val="00fa5a6f"/>
    <w:pPr>
      <w:spacing w:lineRule="auto" w:line="240" w:beforeAutospacing="1" w:after="120"/>
      <w:jc w:val="right"/>
    </w:pPr>
    <w:rPr>
      <w:rFonts w:ascii="Times New Roman" w:hAnsi="Times New Roman" w:eastAsia="Times New Roman" w:cs="Times New Roman"/>
      <w:color w:val="666666"/>
      <w:sz w:val="17"/>
      <w:szCs w:val="17"/>
      <w:lang w:eastAsia="es-CR"/>
    </w:rPr>
  </w:style>
  <w:style w:type="paragraph" w:styleId="Webcasticon1" w:customStyle="1">
    <w:name w:val="webcasticon1"/>
    <w:basedOn w:val="Normal"/>
    <w:qFormat/>
    <w:rsid w:val="00fa5a6f"/>
    <w:pPr>
      <w:spacing w:lineRule="auto" w:line="240" w:beforeAutospacing="1" w:afterAutospacing="1"/>
      <w:ind w:left="120" w:hanging="0"/>
    </w:pPr>
    <w:rPr>
      <w:rFonts w:ascii="Times New Roman" w:hAnsi="Times New Roman" w:eastAsia="Times New Roman" w:cs="Times New Roman"/>
      <w:sz w:val="24"/>
      <w:szCs w:val="24"/>
      <w:lang w:eastAsia="es-CR"/>
    </w:rPr>
  </w:style>
  <w:style w:type="paragraph" w:styleId="Webcasticon2" w:customStyle="1">
    <w:name w:val="webcasticon2"/>
    <w:basedOn w:val="Normal"/>
    <w:qFormat/>
    <w:rsid w:val="00fa5a6f"/>
    <w:pPr>
      <w:spacing w:lineRule="auto" w:line="240" w:beforeAutospacing="1" w:afterAutospacing="1"/>
      <w:ind w:left="120" w:hanging="0"/>
    </w:pPr>
    <w:rPr>
      <w:rFonts w:ascii="Times New Roman" w:hAnsi="Times New Roman" w:eastAsia="Times New Roman" w:cs="Times New Roman"/>
      <w:sz w:val="24"/>
      <w:szCs w:val="24"/>
      <w:lang w:eastAsia="es-CR"/>
    </w:rPr>
  </w:style>
  <w:style w:type="paragraph" w:styleId="Show1" w:customStyle="1">
    <w:name w:val="show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1" w:customStyle="1">
    <w:name w:val="hide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2" w:customStyle="1">
    <w:name w:val="hide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3" w:customStyle="1">
    <w:name w:val="hide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ow2" w:customStyle="1">
    <w:name w:val="show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ow3" w:customStyle="1">
    <w:name w:val="show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wrapperfour1" w:customStyle="1">
    <w:name w:val="megawrapper_four1"/>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Last2" w:customStyle="1">
    <w:name w:val="last2"/>
    <w:basedOn w:val="Normal"/>
    <w:qFormat/>
    <w:rsid w:val="00fa5a6f"/>
    <w:pPr>
      <w:spacing w:lineRule="auto" w:line="240" w:beforeAutospacing="1" w:after="210"/>
    </w:pPr>
    <w:rPr>
      <w:rFonts w:ascii="Times New Roman" w:hAnsi="Times New Roman" w:eastAsia="Times New Roman" w:cs="Times New Roman"/>
      <w:sz w:val="24"/>
      <w:szCs w:val="24"/>
      <w:lang w:eastAsia="es-CR"/>
    </w:rPr>
  </w:style>
  <w:style w:type="paragraph" w:styleId="Caption1" w:customStyle="1">
    <w:name w:val="caption1"/>
    <w:basedOn w:val="Normal"/>
    <w:qFormat/>
    <w:rsid w:val="00fa5a6f"/>
    <w:pPr>
      <w:spacing w:lineRule="auto" w:line="240" w:before="72" w:after="0"/>
    </w:pPr>
    <w:rPr>
      <w:rFonts w:ascii="Times New Roman" w:hAnsi="Times New Roman" w:eastAsia="Times New Roman" w:cs="Times New Roman"/>
      <w:color w:val="FFFFFF"/>
      <w:sz w:val="24"/>
      <w:szCs w:val="24"/>
      <w:lang w:eastAsia="es-CR"/>
    </w:rPr>
  </w:style>
  <w:style w:type="paragraph" w:styleId="Comment1" w:customStyle="1">
    <w:name w:val="comment1"/>
    <w:basedOn w:val="Normal"/>
    <w:qFormat/>
    <w:rsid w:val="00fa5a6f"/>
    <w:pPr>
      <w:spacing w:lineRule="auto" w:line="240" w:beforeAutospacing="1" w:afterAutospacing="1"/>
    </w:pPr>
    <w:rPr>
      <w:rFonts w:ascii="Times New Roman" w:hAnsi="Times New Roman" w:eastAsia="Times New Roman" w:cs="Times New Roman"/>
      <w:color w:val="008000"/>
      <w:sz w:val="24"/>
      <w:szCs w:val="24"/>
      <w:lang w:eastAsia="es-CR"/>
    </w:rPr>
  </w:style>
  <w:style w:type="paragraph" w:styleId="Landingtitle1" w:customStyle="1">
    <w:name w:val="landingtitle1"/>
    <w:basedOn w:val="Normal"/>
    <w:qFormat/>
    <w:rsid w:val="00fa5a6f"/>
    <w:pPr>
      <w:shd w:val="clear" w:color="auto" w:fill="EFEFEF"/>
      <w:spacing w:lineRule="auto" w:line="240" w:beforeAutospacing="1" w:after="120"/>
    </w:pPr>
    <w:rPr>
      <w:rFonts w:ascii="Times New Roman" w:hAnsi="Times New Roman" w:eastAsia="Times New Roman" w:cs="Times New Roman"/>
      <w:sz w:val="23"/>
      <w:szCs w:val="23"/>
      <w:lang w:eastAsia="es-CR"/>
    </w:rPr>
  </w:style>
  <w:style w:type="paragraph" w:styleId="Col111" w:customStyle="1">
    <w:name w:val="col-11"/>
    <w:basedOn w:val="Normal"/>
    <w:qFormat/>
    <w:rsid w:val="00fa5a6f"/>
    <w:pPr>
      <w:spacing w:lineRule="auto" w:line="240" w:beforeAutospacing="1" w:afterAutospacing="1"/>
    </w:pPr>
    <w:rPr>
      <w:rFonts w:ascii="Times New Roman" w:hAnsi="Times New Roman" w:eastAsia="Times New Roman" w:cs="Times New Roman"/>
      <w:sz w:val="18"/>
      <w:szCs w:val="18"/>
      <w:lang w:eastAsia="es-CR"/>
    </w:rPr>
  </w:style>
  <w:style w:type="paragraph" w:styleId="Col211" w:customStyle="1">
    <w:name w:val="col-21"/>
    <w:basedOn w:val="Normal"/>
    <w:qFormat/>
    <w:rsid w:val="00fa5a6f"/>
    <w:pPr>
      <w:spacing w:lineRule="auto" w:line="240" w:beforeAutospacing="1" w:afterAutospacing="1"/>
    </w:pPr>
    <w:rPr>
      <w:rFonts w:ascii="Times New Roman" w:hAnsi="Times New Roman" w:eastAsia="Times New Roman" w:cs="Times New Roman"/>
      <w:sz w:val="18"/>
      <w:szCs w:val="18"/>
      <w:lang w:eastAsia="es-CR"/>
    </w:rPr>
  </w:style>
  <w:style w:type="paragraph" w:styleId="Socialicons1" w:customStyle="1">
    <w:name w:val="socialicons1"/>
    <w:basedOn w:val="Normal"/>
    <w:qFormat/>
    <w:rsid w:val="00fa5a6f"/>
    <w:pPr>
      <w:spacing w:lineRule="auto" w:line="240" w:before="240" w:after="240"/>
      <w:ind w:left="4500" w:right="4500" w:hanging="0"/>
      <w:textAlignment w:val="center"/>
    </w:pPr>
    <w:rPr>
      <w:rFonts w:ascii="Times New Roman" w:hAnsi="Times New Roman" w:eastAsia="Times New Roman" w:cs="Times New Roman"/>
      <w:sz w:val="24"/>
      <w:szCs w:val="24"/>
      <w:lang w:eastAsia="es-CR"/>
    </w:rPr>
  </w:style>
  <w:style w:type="paragraph" w:styleId="Cidhsocial1" w:customStyle="1">
    <w:name w:val="cidh_social1"/>
    <w:basedOn w:val="Normal"/>
    <w:qFormat/>
    <w:rsid w:val="00fa5a6f"/>
    <w:pPr>
      <w:spacing w:lineRule="auto" w:line="240" w:before="240" w:after="240"/>
      <w:ind w:left="5250" w:right="5250" w:hanging="0"/>
    </w:pPr>
    <w:rPr>
      <w:rFonts w:ascii="Times New Roman" w:hAnsi="Times New Roman" w:eastAsia="Times New Roman" w:cs="Times New Roman"/>
      <w:sz w:val="24"/>
      <w:szCs w:val="24"/>
      <w:lang w:eastAsia="es-CR"/>
    </w:rPr>
  </w:style>
  <w:style w:type="paragraph" w:styleId="Twitter1" w:customStyle="1">
    <w:name w:val="twitter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Facebook1" w:customStyle="1">
    <w:name w:val="facebook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Flickr1" w:customStyle="1">
    <w:name w:val="flickr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Vimeo1" w:customStyle="1">
    <w:name w:val="vimeo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Youtube1" w:customStyle="1">
    <w:name w:val="youtube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Caption2" w:customStyle="1">
    <w:name w:val="caption2"/>
    <w:basedOn w:val="Normal"/>
    <w:qFormat/>
    <w:rsid w:val="00fa5a6f"/>
    <w:pPr>
      <w:spacing w:lineRule="auto" w:line="240" w:before="0" w:afterAutospacing="1"/>
    </w:pPr>
    <w:rPr>
      <w:rFonts w:ascii="Times New Roman" w:hAnsi="Times New Roman" w:eastAsia="Times New Roman" w:cs="Times New Roman"/>
      <w:sz w:val="17"/>
      <w:szCs w:val="17"/>
      <w:lang w:eastAsia="es-CR"/>
    </w:rPr>
  </w:style>
  <w:style w:type="paragraph" w:styleId="Newsitem1" w:customStyle="1">
    <w:name w:val="newsitem1"/>
    <w:basedOn w:val="Normal"/>
    <w:qFormat/>
    <w:rsid w:val="00fa5a6f"/>
    <w:pPr>
      <w:spacing w:lineRule="auto" w:line="240" w:before="0" w:after="48"/>
      <w:ind w:right="240" w:hanging="0"/>
    </w:pPr>
    <w:rPr>
      <w:rFonts w:ascii="Times New Roman" w:hAnsi="Times New Roman" w:eastAsia="Times New Roman" w:cs="Times New Roman"/>
      <w:sz w:val="17"/>
      <w:szCs w:val="17"/>
      <w:lang w:eastAsia="es-CR"/>
    </w:rPr>
  </w:style>
  <w:style w:type="paragraph" w:styleId="Photocaption1" w:customStyle="1">
    <w:name w:val="photocaption1"/>
    <w:basedOn w:val="Normal"/>
    <w:qFormat/>
    <w:rsid w:val="00fa5a6f"/>
    <w:pPr>
      <w:spacing w:lineRule="auto" w:line="240" w:before="72" w:after="48"/>
      <w:ind w:left="240" w:right="360" w:hanging="0"/>
    </w:pPr>
    <w:rPr>
      <w:rFonts w:ascii="Times New Roman" w:hAnsi="Times New Roman" w:eastAsia="Times New Roman" w:cs="Times New Roman"/>
      <w:sz w:val="17"/>
      <w:szCs w:val="17"/>
      <w:lang w:eastAsia="es-CR"/>
    </w:rPr>
  </w:style>
  <w:style w:type="paragraph" w:styleId="Leftcol1" w:customStyle="1">
    <w:name w:val="leftcol1"/>
    <w:basedOn w:val="Normal"/>
    <w:qFormat/>
    <w:rsid w:val="00fa5a6f"/>
    <w:pPr>
      <w:pBdr>
        <w:right w:val="dotted" w:sz="6" w:space="0" w:color="AFAFAF"/>
      </w:pBdr>
      <w:spacing w:lineRule="auto" w:line="240" w:before="0" w:afterAutospacing="1"/>
      <w:ind w:left="120" w:hanging="0"/>
    </w:pPr>
    <w:rPr>
      <w:rFonts w:ascii="Times New Roman" w:hAnsi="Times New Roman" w:eastAsia="Times New Roman" w:cs="Times New Roman"/>
      <w:sz w:val="17"/>
      <w:szCs w:val="17"/>
      <w:lang w:eastAsia="es-CR"/>
    </w:rPr>
  </w:style>
  <w:style w:type="paragraph" w:styleId="Rightcol1" w:customStyle="1">
    <w:name w:val="rightcol1"/>
    <w:basedOn w:val="Normal"/>
    <w:qFormat/>
    <w:rsid w:val="00fa5a6f"/>
    <w:pPr>
      <w:spacing w:lineRule="auto" w:line="240" w:before="0" w:afterAutospacing="1"/>
    </w:pPr>
    <w:rPr>
      <w:rFonts w:ascii="Times New Roman" w:hAnsi="Times New Roman" w:eastAsia="Times New Roman" w:cs="Times New Roman"/>
      <w:sz w:val="17"/>
      <w:szCs w:val="17"/>
      <w:lang w:eastAsia="es-CR"/>
    </w:rPr>
  </w:style>
  <w:style w:type="paragraph" w:styleId="Friendfeedtext1" w:customStyle="1">
    <w:name w:val="friendfeed_text1"/>
    <w:basedOn w:val="Normal"/>
    <w:qFormat/>
    <w:rsid w:val="00fa5a6f"/>
    <w:pPr>
      <w:spacing w:lineRule="auto" w:line="240" w:before="0" w:after="75"/>
      <w:ind w:left="330" w:hanging="0"/>
    </w:pPr>
    <w:rPr>
      <w:rFonts w:ascii="Times New Roman" w:hAnsi="Times New Roman" w:eastAsia="Times New Roman" w:cs="Times New Roman"/>
      <w:sz w:val="17"/>
      <w:szCs w:val="17"/>
      <w:lang w:eastAsia="es-CR"/>
    </w:rPr>
  </w:style>
  <w:style w:type="paragraph" w:styleId="Friendfeeddate1" w:customStyle="1">
    <w:name w:val="friendfeed_date1"/>
    <w:basedOn w:val="Normal"/>
    <w:qFormat/>
    <w:rsid w:val="00fa5a6f"/>
    <w:pPr>
      <w:spacing w:lineRule="auto" w:line="240" w:beforeAutospacing="1" w:afterAutospacing="1"/>
    </w:pPr>
    <w:rPr>
      <w:rFonts w:ascii="Times New Roman" w:hAnsi="Times New Roman" w:eastAsia="Times New Roman" w:cs="Times New Roman"/>
      <w:color w:val="333333"/>
      <w:sz w:val="20"/>
      <w:szCs w:val="20"/>
      <w:lang w:eastAsia="es-CR"/>
    </w:rPr>
  </w:style>
  <w:style w:type="paragraph" w:styleId="Uitabsnav1" w:customStyle="1">
    <w:name w:val="ui-tabs-nav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hide1" w:customStyle="1">
    <w:name w:val="ui-tabs-hide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Uitabspanel1" w:customStyle="1">
    <w:name w:val="ui-tabs-panel1"/>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tabspanel2" w:customStyle="1">
    <w:name w:val="ui-tabs-panel2"/>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statehover1" w:customStyle="1">
    <w:name w:val="ui-state-hover1"/>
    <w:basedOn w:val="Normal"/>
    <w:qFormat/>
    <w:rsid w:val="00fa5a6f"/>
    <w:pPr>
      <w:spacing w:lineRule="auto" w:line="240" w:before="120" w:after="120"/>
    </w:pPr>
    <w:rPr>
      <w:rFonts w:ascii="Times New Roman" w:hAnsi="Times New Roman" w:eastAsia="Times New Roman" w:cs="Times New Roman"/>
      <w:lang w:eastAsia="es-CR"/>
    </w:rPr>
  </w:style>
  <w:style w:type="paragraph" w:styleId="Sourcecaption1" w:customStyle="1">
    <w:name w:val="sourcecaption1"/>
    <w:basedOn w:val="Normal"/>
    <w:qFormat/>
    <w:rsid w:val="00fa5a6f"/>
    <w:pPr>
      <w:spacing w:lineRule="auto" w:line="240" w:before="120" w:after="120"/>
    </w:pPr>
    <w:rPr>
      <w:rFonts w:ascii="Times New Roman" w:hAnsi="Times New Roman" w:eastAsia="Times New Roman" w:cs="Times New Roman"/>
      <w:color w:val="5477A7"/>
      <w:sz w:val="20"/>
      <w:szCs w:val="20"/>
      <w:lang w:eastAsia="es-CR"/>
    </w:rPr>
  </w:style>
  <w:style w:type="paragraph" w:styleId="Sourcecaption2" w:customStyle="1">
    <w:name w:val="sourcecaption2"/>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Sourcecaption3" w:customStyle="1">
    <w:name w:val="sourcecaption3"/>
    <w:basedOn w:val="Normal"/>
    <w:qFormat/>
    <w:rsid w:val="00fa5a6f"/>
    <w:pPr>
      <w:spacing w:lineRule="auto" w:line="240" w:beforeAutospacing="1" w:after="192"/>
    </w:pPr>
    <w:rPr>
      <w:rFonts w:ascii="Times New Roman" w:hAnsi="Times New Roman" w:eastAsia="Times New Roman" w:cs="Times New Roman"/>
      <w:color w:val="5477A7"/>
      <w:sz w:val="14"/>
      <w:szCs w:val="14"/>
      <w:lang w:eastAsia="es-CR"/>
    </w:rPr>
  </w:style>
  <w:style w:type="paragraph" w:styleId="Caption3" w:customStyle="1">
    <w:name w:val="caption3"/>
    <w:basedOn w:val="Normal"/>
    <w:qFormat/>
    <w:rsid w:val="00fa5a6f"/>
    <w:pPr>
      <w:spacing w:lineRule="auto" w:line="240" w:before="120" w:after="120"/>
    </w:pPr>
    <w:rPr>
      <w:rFonts w:ascii="Times New Roman" w:hAnsi="Times New Roman" w:eastAsia="Times New Roman" w:cs="Times New Roman"/>
      <w:color w:val="5477A7"/>
      <w:sz w:val="20"/>
      <w:szCs w:val="20"/>
      <w:lang w:eastAsia="es-CR"/>
    </w:rPr>
  </w:style>
  <w:style w:type="paragraph" w:styleId="Captiondate2" w:customStyle="1">
    <w:name w:val="captiondate2"/>
    <w:basedOn w:val="Normal"/>
    <w:qFormat/>
    <w:rsid w:val="00fa5a6f"/>
    <w:pPr>
      <w:spacing w:lineRule="auto" w:line="240" w:before="120" w:after="120"/>
    </w:pPr>
    <w:rPr>
      <w:rFonts w:ascii="Times New Roman" w:hAnsi="Times New Roman" w:eastAsia="Times New Roman" w:cs="Times New Roman"/>
      <w:color w:val="999999"/>
      <w:lang w:eastAsia="es-CR"/>
    </w:rPr>
  </w:style>
  <w:style w:type="paragraph" w:styleId="Newsitem2" w:customStyle="1">
    <w:name w:val="newsitem2"/>
    <w:basedOn w:val="Normal"/>
    <w:qFormat/>
    <w:rsid w:val="00fa5a6f"/>
    <w:pPr>
      <w:spacing w:lineRule="auto" w:line="240" w:before="0" w:after="120"/>
    </w:pPr>
    <w:rPr>
      <w:rFonts w:ascii="Times New Roman" w:hAnsi="Times New Roman" w:eastAsia="Times New Roman" w:cs="Times New Roman"/>
      <w:lang w:eastAsia="es-CR"/>
    </w:rPr>
  </w:style>
  <w:style w:type="paragraph" w:styleId="Newsitem3" w:customStyle="1">
    <w:name w:val="newsitem3"/>
    <w:basedOn w:val="Normal"/>
    <w:qFormat/>
    <w:rsid w:val="00fa5a6f"/>
    <w:pPr>
      <w:spacing w:lineRule="auto" w:line="240" w:before="0" w:after="120"/>
    </w:pPr>
    <w:rPr>
      <w:rFonts w:ascii="Times New Roman" w:hAnsi="Times New Roman" w:eastAsia="Times New Roman" w:cs="Times New Roman"/>
      <w:sz w:val="24"/>
      <w:szCs w:val="24"/>
      <w:lang w:eastAsia="es-CR"/>
    </w:rPr>
  </w:style>
  <w:style w:type="paragraph" w:styleId="Newsitem4" w:customStyle="1">
    <w:name w:val="newsitem4"/>
    <w:basedOn w:val="Normal"/>
    <w:qFormat/>
    <w:rsid w:val="00fa5a6f"/>
    <w:pPr>
      <w:spacing w:lineRule="auto" w:line="240" w:before="0" w:after="120"/>
    </w:pPr>
    <w:rPr>
      <w:rFonts w:ascii="Times New Roman" w:hAnsi="Times New Roman" w:eastAsia="Times New Roman" w:cs="Times New Roman"/>
      <w:sz w:val="16"/>
      <w:szCs w:val="16"/>
      <w:lang w:eastAsia="es-CR"/>
    </w:rPr>
  </w:style>
  <w:style w:type="paragraph" w:styleId="Photocaption2" w:customStyle="1">
    <w:name w:val="photocaption2"/>
    <w:basedOn w:val="Normal"/>
    <w:qFormat/>
    <w:rsid w:val="00fa5a6f"/>
    <w:pPr>
      <w:spacing w:lineRule="auto" w:line="240" w:before="72" w:after="48"/>
    </w:pPr>
    <w:rPr>
      <w:rFonts w:ascii="Times New Roman" w:hAnsi="Times New Roman" w:eastAsia="Times New Roman" w:cs="Times New Roman"/>
      <w:lang w:eastAsia="es-CR"/>
    </w:rPr>
  </w:style>
  <w:style w:type="paragraph" w:styleId="Photocaption3" w:customStyle="1">
    <w:name w:val="photocaption3"/>
    <w:basedOn w:val="Normal"/>
    <w:qFormat/>
    <w:rsid w:val="00fa5a6f"/>
    <w:pPr>
      <w:spacing w:lineRule="auto" w:line="240" w:before="72" w:after="48"/>
    </w:pPr>
    <w:rPr>
      <w:rFonts w:ascii="Times New Roman" w:hAnsi="Times New Roman" w:eastAsia="Times New Roman" w:cs="Times New Roman"/>
      <w:sz w:val="24"/>
      <w:szCs w:val="24"/>
      <w:lang w:eastAsia="es-CR"/>
    </w:rPr>
  </w:style>
  <w:style w:type="paragraph" w:styleId="Photocaption4" w:customStyle="1">
    <w:name w:val="photocaption4"/>
    <w:basedOn w:val="Normal"/>
    <w:qFormat/>
    <w:rsid w:val="00fa5a6f"/>
    <w:pPr>
      <w:spacing w:lineRule="auto" w:line="240" w:before="72" w:after="48"/>
    </w:pPr>
    <w:rPr>
      <w:rFonts w:ascii="Times New Roman" w:hAnsi="Times New Roman" w:eastAsia="Times New Roman" w:cs="Times New Roman"/>
      <w:sz w:val="16"/>
      <w:szCs w:val="16"/>
      <w:lang w:eastAsia="es-CR"/>
    </w:rPr>
  </w:style>
  <w:style w:type="paragraph" w:styleId="Uitabspanel3" w:customStyle="1">
    <w:name w:val="ui-tabs-panel3"/>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statehover2" w:customStyle="1">
    <w:name w:val="ui-state-hover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aption4" w:customStyle="1">
    <w:name w:val="caption4"/>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Uitabspanel4" w:customStyle="1">
    <w:name w:val="ui-tabs-panel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hover3" w:customStyle="1">
    <w:name w:val="ui-state-hover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default1" w:customStyle="1">
    <w:name w:val="ui-state-default1"/>
    <w:basedOn w:val="Normal"/>
    <w:qFormat/>
    <w:rsid w:val="00fa5a6f"/>
    <w:pPr>
      <w:shd w:val="clear" w:color="auto" w:fill="F8F8F8"/>
      <w:spacing w:lineRule="auto" w:line="240" w:beforeAutospacing="1" w:afterAutospacing="1"/>
    </w:pPr>
    <w:rPr>
      <w:rFonts w:ascii="Times New Roman" w:hAnsi="Times New Roman" w:eastAsia="Times New Roman" w:cs="Times New Roman"/>
      <w:sz w:val="24"/>
      <w:szCs w:val="24"/>
      <w:lang w:eastAsia="es-CR"/>
    </w:rPr>
  </w:style>
  <w:style w:type="paragraph" w:styleId="Tabcol1" w:customStyle="1">
    <w:name w:val="tabcol1"/>
    <w:basedOn w:val="Normal"/>
    <w:qFormat/>
    <w:rsid w:val="00fa5a6f"/>
    <w:pPr>
      <w:shd w:val="clear" w:color="auto" w:fill="FFFFFF"/>
      <w:spacing w:lineRule="auto" w:line="240" w:before="0" w:after="0"/>
      <w:ind w:right="120" w:hanging="0"/>
    </w:pPr>
    <w:rPr>
      <w:rFonts w:ascii="Times New Roman" w:hAnsi="Times New Roman" w:eastAsia="Times New Roman" w:cs="Times New Roman"/>
      <w:sz w:val="24"/>
      <w:szCs w:val="24"/>
      <w:lang w:eastAsia="es-CR"/>
    </w:rPr>
  </w:style>
  <w:style w:type="paragraph" w:styleId="Caption5" w:customStyle="1">
    <w:name w:val="caption5"/>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Areatitle1" w:customStyle="1">
    <w:name w:val="areatitle1"/>
    <w:basedOn w:val="Normal"/>
    <w:qFormat/>
    <w:rsid w:val="00fa5a6f"/>
    <w:pPr>
      <w:spacing w:lineRule="auto" w:line="240" w:beforeAutospacing="1" w:afterAutospacing="1"/>
    </w:pPr>
    <w:rPr>
      <w:rFonts w:ascii="Times New Roman" w:hAnsi="Times New Roman" w:eastAsia="Times New Roman" w:cs="Times New Roman"/>
      <w:b/>
      <w:bCs/>
      <w:sz w:val="26"/>
      <w:szCs w:val="26"/>
      <w:lang w:eastAsia="es-CR"/>
    </w:rPr>
  </w:style>
  <w:style w:type="paragraph" w:styleId="Pillars1" w:customStyle="1">
    <w:name w:val="pillars1"/>
    <w:basedOn w:val="Normal"/>
    <w:qFormat/>
    <w:rsid w:val="00fa5a6f"/>
    <w:pPr>
      <w:spacing w:lineRule="auto" w:line="240" w:before="192" w:after="192"/>
      <w:ind w:left="144" w:right="144" w:hanging="0"/>
    </w:pPr>
    <w:rPr>
      <w:rFonts w:ascii="Times New Roman" w:hAnsi="Times New Roman" w:eastAsia="Times New Roman" w:cs="Times New Roman"/>
      <w:sz w:val="19"/>
      <w:szCs w:val="19"/>
      <w:lang w:eastAsia="es-CR"/>
    </w:rPr>
  </w:style>
  <w:style w:type="paragraph" w:styleId="Column1" w:customStyle="1">
    <w:name w:val="column1"/>
    <w:basedOn w:val="Normal"/>
    <w:qFormat/>
    <w:rsid w:val="00fa5a6f"/>
    <w:pPr>
      <w:shd w:val="clear" w:color="auto" w:fill="FFFFFF"/>
      <w:spacing w:lineRule="auto" w:line="240" w:before="0" w:after="0"/>
      <w:ind w:left="96" w:right="96" w:hanging="0"/>
    </w:pPr>
    <w:rPr>
      <w:rFonts w:ascii="Times New Roman" w:hAnsi="Times New Roman" w:eastAsia="Times New Roman" w:cs="Times New Roman"/>
      <w:sz w:val="24"/>
      <w:szCs w:val="24"/>
      <w:lang w:eastAsia="es-CR"/>
    </w:rPr>
  </w:style>
  <w:style w:type="paragraph" w:styleId="Lastcol1" w:customStyle="1">
    <w:name w:val="lastcol1"/>
    <w:basedOn w:val="Normal"/>
    <w:qFormat/>
    <w:rsid w:val="00fa5a6f"/>
    <w:pPr>
      <w:spacing w:lineRule="auto" w:line="240" w:before="0" w:after="0"/>
      <w:ind w:left="120" w:hanging="0"/>
    </w:pPr>
    <w:rPr>
      <w:rFonts w:ascii="Times New Roman" w:hAnsi="Times New Roman" w:eastAsia="Times New Roman" w:cs="Times New Roman"/>
      <w:sz w:val="24"/>
      <w:szCs w:val="24"/>
      <w:lang w:eastAsia="es-CR"/>
    </w:rPr>
  </w:style>
  <w:style w:type="paragraph" w:styleId="Pillartitle1" w:customStyle="1">
    <w:name w:val="pillartitle1"/>
    <w:basedOn w:val="Normal"/>
    <w:qFormat/>
    <w:rsid w:val="00fa5a6f"/>
    <w:pPr>
      <w:spacing w:lineRule="auto" w:line="240" w:before="192" w:after="0"/>
      <w:ind w:left="144" w:right="144" w:hanging="0"/>
    </w:pPr>
    <w:rPr>
      <w:rFonts w:ascii="Times New Roman" w:hAnsi="Times New Roman" w:eastAsia="Times New Roman" w:cs="Times New Roman"/>
      <w:color w:val="FFFFFF"/>
      <w:sz w:val="19"/>
      <w:szCs w:val="19"/>
      <w:lang w:eastAsia="es-CR"/>
    </w:rPr>
  </w:style>
  <w:style w:type="paragraph" w:styleId="Pillartitle2" w:customStyle="1">
    <w:name w:val="pillartitle2"/>
    <w:basedOn w:val="Normal"/>
    <w:qFormat/>
    <w:rsid w:val="00fa5a6f"/>
    <w:pPr>
      <w:spacing w:lineRule="auto" w:line="240" w:before="192" w:after="0"/>
      <w:ind w:left="144" w:right="144" w:hanging="0"/>
    </w:pPr>
    <w:rPr>
      <w:rFonts w:ascii="Times New Roman" w:hAnsi="Times New Roman" w:eastAsia="Times New Roman" w:cs="Times New Roman"/>
      <w:color w:val="FFFFFF"/>
      <w:sz w:val="19"/>
      <w:szCs w:val="19"/>
      <w:lang w:eastAsia="es-CR"/>
    </w:rPr>
  </w:style>
  <w:style w:type="paragraph" w:styleId="Title1" w:customStyle="1">
    <w:name w:val="title1"/>
    <w:basedOn w:val="Normal"/>
    <w:qFormat/>
    <w:rsid w:val="00fa5a6f"/>
    <w:pPr>
      <w:shd w:val="clear" w:color="auto" w:fill="5477A7"/>
      <w:spacing w:lineRule="auto" w:line="240" w:before="0" w:after="120"/>
    </w:pPr>
    <w:rPr>
      <w:rFonts w:ascii="Times New Roman" w:hAnsi="Times New Roman" w:eastAsia="Times New Roman" w:cs="Times New Roman"/>
      <w:b/>
      <w:bCs/>
      <w:color w:val="FFFFFF"/>
      <w:sz w:val="24"/>
      <w:szCs w:val="24"/>
      <w:lang w:eastAsia="es-CR"/>
    </w:rPr>
  </w:style>
  <w:style w:type="paragraph" w:styleId="Title4" w:customStyle="1">
    <w:name w:val="title4"/>
    <w:basedOn w:val="Normal"/>
    <w:qFormat/>
    <w:rsid w:val="00fa5a6f"/>
    <w:pPr>
      <w:shd w:val="clear" w:color="auto" w:fill="859EC0"/>
      <w:spacing w:lineRule="auto" w:line="240" w:before="0" w:after="120"/>
    </w:pPr>
    <w:rPr>
      <w:rFonts w:ascii="Times New Roman" w:hAnsi="Times New Roman" w:eastAsia="Times New Roman" w:cs="Times New Roman"/>
      <w:b/>
      <w:bCs/>
      <w:color w:val="FFFFFF"/>
      <w:sz w:val="24"/>
      <w:szCs w:val="24"/>
      <w:lang w:eastAsia="es-CR"/>
    </w:rPr>
  </w:style>
  <w:style w:type="paragraph" w:styleId="Title21" w:customStyle="1">
    <w:name w:val="title21"/>
    <w:basedOn w:val="Normal"/>
    <w:qFormat/>
    <w:rsid w:val="00fa5a6f"/>
    <w:pPr>
      <w:shd w:val="clear" w:color="auto" w:fill="859EC0"/>
      <w:spacing w:lineRule="auto" w:line="240" w:before="0" w:after="120"/>
    </w:pPr>
    <w:rPr>
      <w:rFonts w:ascii="Times New Roman" w:hAnsi="Times New Roman" w:eastAsia="Times New Roman" w:cs="Times New Roman"/>
      <w:b/>
      <w:bCs/>
      <w:color w:val="FFFFFF"/>
      <w:sz w:val="24"/>
      <w:szCs w:val="24"/>
      <w:lang w:eastAsia="es-CR"/>
    </w:rPr>
  </w:style>
  <w:style w:type="paragraph" w:styleId="Title31" w:customStyle="1">
    <w:name w:val="title31"/>
    <w:basedOn w:val="Normal"/>
    <w:qFormat/>
    <w:rsid w:val="00fa5a6f"/>
    <w:pPr>
      <w:shd w:val="clear" w:color="auto" w:fill="F5F5EF"/>
      <w:spacing w:lineRule="auto" w:line="240" w:before="0" w:after="120"/>
    </w:pPr>
    <w:rPr>
      <w:rFonts w:ascii="Times New Roman" w:hAnsi="Times New Roman" w:eastAsia="Times New Roman" w:cs="Times New Roman"/>
      <w:b/>
      <w:bCs/>
      <w:color w:val="000000"/>
      <w:sz w:val="24"/>
      <w:szCs w:val="24"/>
      <w:lang w:eastAsia="es-CR"/>
    </w:rPr>
  </w:style>
  <w:style w:type="paragraph" w:styleId="Mainpic1" w:customStyle="1">
    <w:name w:val="mainpic1"/>
    <w:basedOn w:val="Normal"/>
    <w:qFormat/>
    <w:rsid w:val="00fa5a6f"/>
    <w:pPr>
      <w:spacing w:lineRule="auto" w:line="240" w:before="0" w:after="120"/>
      <w:ind w:left="120" w:right="240" w:hanging="0"/>
    </w:pPr>
    <w:rPr>
      <w:rFonts w:ascii="Times New Roman" w:hAnsi="Times New Roman" w:eastAsia="Times New Roman" w:cs="Times New Roman"/>
      <w:sz w:val="24"/>
      <w:szCs w:val="24"/>
      <w:lang w:eastAsia="es-CR"/>
    </w:rPr>
  </w:style>
  <w:style w:type="paragraph" w:styleId="Boxpic1" w:customStyle="1">
    <w:name w:val="boxpic1"/>
    <w:basedOn w:val="Normal"/>
    <w:qFormat/>
    <w:rsid w:val="00fa5a6f"/>
    <w:pPr>
      <w:spacing w:lineRule="auto" w:line="240" w:before="0" w:after="240"/>
      <w:ind w:right="120" w:hanging="0"/>
    </w:pPr>
    <w:rPr>
      <w:rFonts w:ascii="Times New Roman" w:hAnsi="Times New Roman" w:eastAsia="Times New Roman" w:cs="Times New Roman"/>
      <w:sz w:val="24"/>
      <w:szCs w:val="24"/>
      <w:lang w:eastAsia="es-CR"/>
    </w:rPr>
  </w:style>
  <w:style w:type="paragraph" w:styleId="Marginb11" w:customStyle="1">
    <w:name w:val="marginb11"/>
    <w:basedOn w:val="Normal"/>
    <w:qFormat/>
    <w:rsid w:val="00fa5a6f"/>
    <w:pPr>
      <w:spacing w:lineRule="auto" w:line="240" w:beforeAutospacing="1" w:after="240"/>
    </w:pPr>
    <w:rPr>
      <w:rFonts w:ascii="Times New Roman" w:hAnsi="Times New Roman" w:eastAsia="Times New Roman" w:cs="Times New Roman"/>
      <w:sz w:val="24"/>
      <w:szCs w:val="24"/>
      <w:lang w:eastAsia="es-CR"/>
    </w:rPr>
  </w:style>
  <w:style w:type="paragraph" w:styleId="Caption6" w:customStyle="1">
    <w:name w:val="caption6"/>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Captiondate3" w:customStyle="1">
    <w:name w:val="captiondate3"/>
    <w:basedOn w:val="Normal"/>
    <w:qFormat/>
    <w:rsid w:val="00fa5a6f"/>
    <w:pPr>
      <w:spacing w:lineRule="auto" w:line="240" w:beforeAutospacing="1" w:afterAutospacing="1"/>
    </w:pPr>
    <w:rPr>
      <w:rFonts w:ascii="Times New Roman" w:hAnsi="Times New Roman" w:eastAsia="Times New Roman" w:cs="Times New Roman"/>
      <w:color w:val="37567F"/>
      <w:sz w:val="24"/>
      <w:szCs w:val="24"/>
      <w:lang w:eastAsia="es-CR"/>
    </w:rPr>
  </w:style>
  <w:style w:type="paragraph" w:styleId="Uitabs1" w:customStyle="1">
    <w:name w:val="ui-tab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panel5" w:customStyle="1">
    <w:name w:val="ui-tabs-panel5"/>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three1" w:customStyle="1">
    <w:name w:val="tabcolthree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four1" w:customStyle="1">
    <w:name w:val="tabcolfour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eftcollist1" w:customStyle="1">
    <w:name w:val="leftcollis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ightcollist1" w:customStyle="1">
    <w:name w:val="rightcollis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5" w:customStyle="1">
    <w:name w:val="title5"/>
    <w:basedOn w:val="Normal"/>
    <w:qFormat/>
    <w:rsid w:val="00fa5a6f"/>
    <w:pPr>
      <w:spacing w:lineRule="auto" w:line="240" w:before="72" w:after="72"/>
    </w:pPr>
    <w:rPr>
      <w:rFonts w:ascii="Times New Roman" w:hAnsi="Times New Roman" w:eastAsia="Times New Roman" w:cs="Times New Roman"/>
      <w:lang w:eastAsia="es-CR"/>
    </w:rPr>
  </w:style>
  <w:style w:type="paragraph" w:styleId="Footline1" w:customStyle="1">
    <w:name w:val="footline1"/>
    <w:basedOn w:val="Normal"/>
    <w:qFormat/>
    <w:rsid w:val="00fa5a6f"/>
    <w:pPr>
      <w:pBdr>
        <w:bottom w:val="single" w:sz="6" w:space="0" w:color="333333"/>
      </w:pBdr>
      <w:spacing w:lineRule="auto" w:line="240" w:before="72" w:after="72"/>
    </w:pPr>
    <w:rPr>
      <w:rFonts w:ascii="Times New Roman" w:hAnsi="Times New Roman" w:eastAsia="Times New Roman" w:cs="Times New Roman"/>
      <w:sz w:val="24"/>
      <w:szCs w:val="24"/>
      <w:lang w:eastAsia="es-CR"/>
    </w:rPr>
  </w:style>
  <w:style w:type="paragraph" w:styleId="Footline2" w:customStyle="1">
    <w:name w:val="footline2"/>
    <w:basedOn w:val="Normal"/>
    <w:qFormat/>
    <w:rsid w:val="00fa5a6f"/>
    <w:pPr>
      <w:pBdr>
        <w:bottom w:val="single" w:sz="6" w:space="0" w:color="333333"/>
      </w:pBdr>
      <w:spacing w:lineRule="auto" w:line="240" w:beforeAutospacing="1" w:afterAutospacing="1"/>
    </w:pPr>
    <w:rPr>
      <w:rFonts w:ascii="Times New Roman" w:hAnsi="Times New Roman" w:eastAsia="Times New Roman" w:cs="Times New Roman"/>
      <w:sz w:val="24"/>
      <w:szCs w:val="24"/>
      <w:lang w:eastAsia="es-CR"/>
    </w:rPr>
  </w:style>
  <w:style w:type="paragraph" w:styleId="Footnote2" w:customStyle="1">
    <w:name w:val="footnote2"/>
    <w:basedOn w:val="Normal"/>
    <w:qFormat/>
    <w:rsid w:val="00fa5a6f"/>
    <w:pPr>
      <w:spacing w:lineRule="auto" w:line="240" w:before="72" w:after="72"/>
    </w:pPr>
    <w:rPr>
      <w:rFonts w:ascii="Times New Roman" w:hAnsi="Times New Roman" w:eastAsia="Times New Roman" w:cs="Times New Roman"/>
      <w:sz w:val="18"/>
      <w:szCs w:val="18"/>
      <w:lang w:eastAsia="es-CR"/>
    </w:rPr>
  </w:style>
  <w:style w:type="paragraph" w:styleId="Footnote3" w:customStyle="1">
    <w:name w:val="footnote3"/>
    <w:basedOn w:val="Normal"/>
    <w:qFormat/>
    <w:rsid w:val="00fa5a6f"/>
    <w:pPr>
      <w:spacing w:lineRule="auto" w:line="240" w:beforeAutospacing="1" w:afterAutospacing="1"/>
    </w:pPr>
    <w:rPr>
      <w:rFonts w:ascii="Times New Roman" w:hAnsi="Times New Roman" w:eastAsia="Times New Roman" w:cs="Times New Roman"/>
      <w:sz w:val="18"/>
      <w:szCs w:val="18"/>
      <w:lang w:eastAsia="es-CR"/>
    </w:rPr>
  </w:style>
  <w:style w:type="paragraph" w:styleId="Caption7" w:customStyle="1">
    <w:name w:val="caption7"/>
    <w:basedOn w:val="Normal"/>
    <w:qFormat/>
    <w:rsid w:val="00fa5a6f"/>
    <w:pPr>
      <w:spacing w:lineRule="auto" w:line="240" w:before="72" w:after="72"/>
    </w:pPr>
    <w:rPr>
      <w:rFonts w:ascii="Times New Roman" w:hAnsi="Times New Roman" w:eastAsia="Times New Roman" w:cs="Times New Roman"/>
      <w:sz w:val="17"/>
      <w:szCs w:val="17"/>
      <w:lang w:eastAsia="es-CR"/>
    </w:rPr>
  </w:style>
  <w:style w:type="paragraph" w:styleId="Caption8" w:customStyle="1">
    <w:name w:val="caption8"/>
    <w:basedOn w:val="Normal"/>
    <w:qFormat/>
    <w:rsid w:val="00fa5a6f"/>
    <w:pPr>
      <w:spacing w:lineRule="auto" w:line="240" w:beforeAutospacing="1" w:afterAutospacing="1"/>
    </w:pPr>
    <w:rPr>
      <w:rFonts w:ascii="Times New Roman" w:hAnsi="Times New Roman" w:eastAsia="Times New Roman" w:cs="Times New Roman"/>
      <w:sz w:val="17"/>
      <w:szCs w:val="17"/>
      <w:lang w:eastAsia="es-CR"/>
    </w:rPr>
  </w:style>
  <w:style w:type="paragraph" w:styleId="Title6" w:customStyle="1">
    <w:name w:val="title6"/>
    <w:basedOn w:val="Normal"/>
    <w:qFormat/>
    <w:rsid w:val="00fa5a6f"/>
    <w:pPr>
      <w:spacing w:lineRule="auto" w:line="240" w:beforeAutospacing="1" w:afterAutospacing="1"/>
    </w:pPr>
    <w:rPr>
      <w:rFonts w:ascii="Times New Roman" w:hAnsi="Times New Roman" w:eastAsia="Times New Roman" w:cs="Times New Roman"/>
      <w:lang w:eastAsia="es-CR"/>
    </w:rPr>
  </w:style>
  <w:style w:type="paragraph" w:styleId="Title7" w:customStyle="1">
    <w:name w:val="title7"/>
    <w:basedOn w:val="Normal"/>
    <w:qFormat/>
    <w:rsid w:val="00fa5a6f"/>
    <w:pPr>
      <w:spacing w:lineRule="auto" w:line="240" w:before="72" w:after="72"/>
    </w:pPr>
    <w:rPr>
      <w:rFonts w:ascii="Times New Roman" w:hAnsi="Times New Roman" w:eastAsia="Times New Roman" w:cs="Times New Roman"/>
      <w:lang w:eastAsia="es-CR"/>
    </w:rPr>
  </w:style>
  <w:style w:type="paragraph" w:styleId="Indicaterequired1" w:customStyle="1">
    <w:name w:val="indicate-required1"/>
    <w:basedOn w:val="Normal"/>
    <w:qFormat/>
    <w:rsid w:val="00fa5a6f"/>
    <w:pPr>
      <w:spacing w:lineRule="auto" w:line="240" w:before="192" w:after="0"/>
    </w:pPr>
    <w:rPr>
      <w:rFonts w:ascii="Times New Roman" w:hAnsi="Times New Roman" w:eastAsia="Times New Roman" w:cs="Times New Roman"/>
      <w:b/>
      <w:bCs/>
      <w:color w:val="CC0000"/>
      <w:sz w:val="24"/>
      <w:szCs w:val="24"/>
      <w:lang w:eastAsia="es-CR"/>
    </w:rPr>
  </w:style>
  <w:style w:type="paragraph" w:styleId="Mceinlineerror1" w:customStyle="1">
    <w:name w:val="mce_inline_error1"/>
    <w:basedOn w:val="Normal"/>
    <w:qFormat/>
    <w:rsid w:val="00fa5a6f"/>
    <w:pPr>
      <w:spacing w:lineRule="auto" w:line="240" w:beforeAutospacing="1" w:afterAutospacing="1"/>
    </w:pPr>
    <w:rPr>
      <w:rFonts w:ascii="Times New Roman" w:hAnsi="Times New Roman" w:eastAsia="Times New Roman" w:cs="Times New Roman"/>
      <w:b/>
      <w:bCs/>
      <w:color w:val="CC0000"/>
      <w:sz w:val="24"/>
      <w:szCs w:val="24"/>
      <w:lang w:eastAsia="es-CR"/>
    </w:rPr>
  </w:style>
  <w:style w:type="paragraph" w:styleId="Noterequired1" w:customStyle="1">
    <w:name w:val="note-required1"/>
    <w:basedOn w:val="Normal"/>
    <w:qFormat/>
    <w:rsid w:val="00fa5a6f"/>
    <w:pPr>
      <w:spacing w:lineRule="auto" w:line="240" w:beforeAutospacing="1" w:afterAutospacing="1"/>
    </w:pPr>
    <w:rPr>
      <w:rFonts w:ascii="Times New Roman" w:hAnsi="Times New Roman" w:eastAsia="Times New Roman" w:cs="Times New Roman"/>
      <w:b/>
      <w:bCs/>
      <w:color w:val="CC0000"/>
      <w:sz w:val="24"/>
      <w:szCs w:val="24"/>
      <w:lang w:eastAsia="es-CR"/>
    </w:rPr>
  </w:style>
  <w:style w:type="paragraph" w:styleId="Mcfieldgroup1" w:customStyle="1">
    <w:name w:val="mc-field-group1"/>
    <w:basedOn w:val="Normal"/>
    <w:qFormat/>
    <w:rsid w:val="00fa5a6f"/>
    <w:pPr>
      <w:spacing w:lineRule="auto" w:line="240" w:beforeAutospacing="1" w:after="192"/>
    </w:pPr>
    <w:rPr>
      <w:rFonts w:ascii="Times New Roman" w:hAnsi="Times New Roman" w:eastAsia="Times New Roman" w:cs="Times New Roman"/>
      <w:sz w:val="24"/>
      <w:szCs w:val="24"/>
      <w:lang w:eastAsia="es-CR"/>
    </w:rPr>
  </w:style>
  <w:style w:type="paragraph" w:styleId="Threecols1" w:customStyle="1">
    <w:name w:val="three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hreecols2" w:customStyle="1">
    <w:name w:val="three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urcols1" w:customStyle="1">
    <w:name w:val="four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urcols2" w:customStyle="1">
    <w:name w:val="four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wocols1" w:customStyle="1">
    <w:name w:val="two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12" w:customStyle="1">
    <w:name w:val="col11"/>
    <w:basedOn w:val="Normal"/>
    <w:qFormat/>
    <w:rsid w:val="00fa5a6f"/>
    <w:pPr>
      <w:spacing w:lineRule="auto" w:line="240" w:before="0" w:after="0"/>
      <w:ind w:right="264" w:hanging="0"/>
    </w:pPr>
    <w:rPr>
      <w:rFonts w:ascii="Times New Roman" w:hAnsi="Times New Roman" w:eastAsia="Times New Roman" w:cs="Times New Roman"/>
      <w:sz w:val="24"/>
      <w:szCs w:val="24"/>
      <w:lang w:eastAsia="es-CR"/>
    </w:rPr>
  </w:style>
  <w:style w:type="paragraph" w:styleId="Col212" w:customStyle="1">
    <w:name w:val="col21"/>
    <w:basedOn w:val="Normal"/>
    <w:qFormat/>
    <w:rsid w:val="00fa5a6f"/>
    <w:pPr>
      <w:spacing w:lineRule="auto" w:line="240" w:before="0" w:after="0"/>
      <w:ind w:right="192" w:hanging="0"/>
    </w:pPr>
    <w:rPr>
      <w:rFonts w:ascii="Times New Roman" w:hAnsi="Times New Roman" w:eastAsia="Times New Roman" w:cs="Times New Roman"/>
      <w:sz w:val="24"/>
      <w:szCs w:val="24"/>
      <w:lang w:eastAsia="es-CR"/>
    </w:rPr>
  </w:style>
  <w:style w:type="paragraph" w:styleId="Col31" w:customStyle="1">
    <w:name w:val="col31"/>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12" w:customStyle="1">
    <w:name w:val="col12"/>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22" w:customStyle="1">
    <w:name w:val="col22"/>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32" w:customStyle="1">
    <w:name w:val="col32"/>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41" w:customStyle="1">
    <w:name w:val="col41"/>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13" w:customStyle="1">
    <w:name w:val="col13"/>
    <w:basedOn w:val="Normal"/>
    <w:qFormat/>
    <w:rsid w:val="00fa5a6f"/>
    <w:pPr>
      <w:spacing w:lineRule="auto" w:line="240" w:before="0" w:after="0"/>
      <w:ind w:right="264" w:hanging="0"/>
    </w:pPr>
    <w:rPr>
      <w:rFonts w:ascii="Times New Roman" w:hAnsi="Times New Roman" w:eastAsia="Times New Roman" w:cs="Times New Roman"/>
      <w:sz w:val="24"/>
      <w:szCs w:val="24"/>
      <w:lang w:eastAsia="es-CR"/>
    </w:rPr>
  </w:style>
  <w:style w:type="paragraph" w:styleId="Col23" w:customStyle="1">
    <w:name w:val="col23"/>
    <w:basedOn w:val="Normal"/>
    <w:qFormat/>
    <w:rsid w:val="00fa5a6f"/>
    <w:pPr>
      <w:spacing w:lineRule="auto" w:line="240" w:before="0" w:after="0"/>
      <w:ind w:right="192" w:hanging="0"/>
    </w:pPr>
    <w:rPr>
      <w:rFonts w:ascii="Times New Roman" w:hAnsi="Times New Roman" w:eastAsia="Times New Roman" w:cs="Times New Roman"/>
      <w:sz w:val="24"/>
      <w:szCs w:val="24"/>
      <w:lang w:eastAsia="es-CR"/>
    </w:rPr>
  </w:style>
  <w:style w:type="paragraph" w:styleId="Col33" w:customStyle="1">
    <w:name w:val="col33"/>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14" w:customStyle="1">
    <w:name w:val="col14"/>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24" w:customStyle="1">
    <w:name w:val="col24"/>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34" w:customStyle="1">
    <w:name w:val="col34"/>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42" w:customStyle="1">
    <w:name w:val="col42"/>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Sevencols1" w:customStyle="1">
    <w:name w:val="seven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encols2" w:customStyle="1">
    <w:name w:val="seven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5" w:customStyle="1">
    <w:name w:val="col15"/>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25" w:customStyle="1">
    <w:name w:val="col25"/>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35" w:customStyle="1">
    <w:name w:val="col35"/>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43" w:customStyle="1">
    <w:name w:val="col43"/>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51" w:customStyle="1">
    <w:name w:val="col51"/>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61" w:customStyle="1">
    <w:name w:val="col61"/>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71" w:customStyle="1">
    <w:name w:val="col71"/>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Linext1" w:customStyle="1">
    <w:name w:val="linext1"/>
    <w:basedOn w:val="Normal"/>
    <w:qFormat/>
    <w:rsid w:val="00fa5a6f"/>
    <w:pPr>
      <w:pBdr>
        <w:righ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Linext2" w:customStyle="1">
    <w:name w:val="linext2"/>
    <w:basedOn w:val="Normal"/>
    <w:qFormat/>
    <w:rsid w:val="00fa5a6f"/>
    <w:pPr>
      <w:pBdr>
        <w:righ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Shrink1" w:customStyle="1">
    <w:name w:val="shrink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s1" w:customStyle="1">
    <w:name w:val="sg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s2" w:customStyle="1">
    <w:name w:val="sg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6" w:customStyle="1">
    <w:name w:val="col1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26" w:customStyle="1">
    <w:name w:val="col2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36" w:customStyle="1">
    <w:name w:val="col3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Linecsg1" w:customStyle="1">
    <w:name w:val="linecsg1"/>
    <w:basedOn w:val="Normal"/>
    <w:qFormat/>
    <w:rsid w:val="00fa5a6f"/>
    <w:pPr>
      <w:pBdr>
        <w:top w:val="single" w:sz="6" w:space="0" w:color="666666"/>
        <w:left w:val="single" w:sz="6" w:space="0" w:color="666666"/>
      </w:pBdr>
      <w:spacing w:lineRule="auto" w:line="240" w:before="20" w:afterAutospacing="1"/>
      <w:ind w:left="6120" w:hanging="0"/>
    </w:pPr>
    <w:rPr>
      <w:rFonts w:ascii="Times New Roman" w:hAnsi="Times New Roman" w:eastAsia="Times New Roman" w:cs="Times New Roman"/>
      <w:sz w:val="24"/>
      <w:szCs w:val="24"/>
      <w:lang w:eastAsia="es-CR"/>
    </w:rPr>
  </w:style>
  <w:style w:type="paragraph" w:styleId="Lineasg1" w:customStyle="1">
    <w:name w:val="lineasg1"/>
    <w:basedOn w:val="Normal"/>
    <w:qFormat/>
    <w:rsid w:val="00fa5a6f"/>
    <w:pPr>
      <w:pBdr>
        <w:top w:val="single" w:sz="6" w:space="0" w:color="666666"/>
        <w:right w:val="single" w:sz="6" w:space="0" w:color="666666"/>
      </w:pBdr>
      <w:spacing w:lineRule="auto" w:line="240" w:before="0" w:afterAutospacing="1"/>
      <w:ind w:right="6120" w:hanging="0"/>
    </w:pPr>
    <w:rPr>
      <w:rFonts w:ascii="Times New Roman" w:hAnsi="Times New Roman" w:eastAsia="Times New Roman" w:cs="Times New Roman"/>
      <w:sz w:val="24"/>
      <w:szCs w:val="24"/>
      <w:lang w:eastAsia="es-CR"/>
    </w:rPr>
  </w:style>
  <w:style w:type="paragraph" w:styleId="Linehlf1" w:customStyle="1">
    <w:name w:val="linehlf1"/>
    <w:basedOn w:val="Normal"/>
    <w:qFormat/>
    <w:rsid w:val="00fa5a6f"/>
    <w:pPr>
      <w:pBdr>
        <w:right w:val="single" w:sz="6" w:space="0" w:color="666666"/>
      </w:pBdr>
      <w:spacing w:lineRule="auto" w:line="240" w:before="0" w:afterAutospacing="1"/>
      <w:ind w:right="6120" w:hanging="0"/>
    </w:pPr>
    <w:rPr>
      <w:rFonts w:ascii="Times New Roman" w:hAnsi="Times New Roman" w:eastAsia="Times New Roman" w:cs="Times New Roman"/>
      <w:sz w:val="24"/>
      <w:szCs w:val="24"/>
      <w:lang w:eastAsia="es-CR"/>
    </w:rPr>
  </w:style>
  <w:style w:type="paragraph" w:styleId="Ascols1" w:customStyle="1">
    <w:name w:val="as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scols2" w:customStyle="1">
    <w:name w:val="as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7" w:customStyle="1">
    <w:name w:val="col17"/>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27" w:customStyle="1">
    <w:name w:val="col27"/>
    <w:basedOn w:val="Normal"/>
    <w:qFormat/>
    <w:rsid w:val="00fa5a6f"/>
    <w:pPr>
      <w:pBdr>
        <w:lef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Linehlf2" w:customStyle="1">
    <w:name w:val="linehlf2"/>
    <w:basedOn w:val="Normal"/>
    <w:qFormat/>
    <w:rsid w:val="00fa5a6f"/>
    <w:pPr>
      <w:pBdr>
        <w:top w:val="single" w:sz="6" w:space="0" w:color="666666"/>
      </w:pBdr>
      <w:spacing w:lineRule="auto" w:line="240" w:before="1650" w:afterAutospacing="1"/>
    </w:pPr>
    <w:rPr>
      <w:rFonts w:ascii="Times New Roman" w:hAnsi="Times New Roman" w:eastAsia="Times New Roman" w:cs="Times New Roman"/>
      <w:sz w:val="24"/>
      <w:szCs w:val="24"/>
      <w:lang w:eastAsia="es-CR"/>
    </w:rPr>
  </w:style>
  <w:style w:type="paragraph" w:styleId="Sevenlines1" w:customStyle="1">
    <w:name w:val="sevenlines1"/>
    <w:basedOn w:val="Normal"/>
    <w:qFormat/>
    <w:rsid w:val="00fa5a6f"/>
    <w:pPr>
      <w:pBdr>
        <w:top w:val="single" w:sz="6" w:space="0" w:color="666666"/>
      </w:pBdr>
      <w:spacing w:lineRule="auto" w:line="240" w:beforeAutospacing="1" w:afterAutospacing="1"/>
      <w:ind w:left="1185" w:hanging="0"/>
    </w:pPr>
    <w:rPr>
      <w:rFonts w:ascii="Times New Roman" w:hAnsi="Times New Roman" w:eastAsia="Times New Roman" w:cs="Times New Roman"/>
      <w:sz w:val="24"/>
      <w:szCs w:val="24"/>
      <w:lang w:eastAsia="es-CR"/>
    </w:rPr>
  </w:style>
  <w:style w:type="paragraph" w:styleId="Sevenlines2" w:customStyle="1">
    <w:name w:val="sevenlines2"/>
    <w:basedOn w:val="Normal"/>
    <w:qFormat/>
    <w:rsid w:val="00fa5a6f"/>
    <w:pPr>
      <w:pBdr>
        <w:top w:val="single" w:sz="6" w:space="0" w:color="666666"/>
      </w:pBdr>
      <w:spacing w:lineRule="auto" w:line="240" w:beforeAutospacing="1" w:afterAutospacing="1"/>
      <w:ind w:left="1185" w:hanging="0"/>
    </w:pPr>
    <w:rPr>
      <w:rFonts w:ascii="Times New Roman" w:hAnsi="Times New Roman" w:eastAsia="Times New Roman" w:cs="Times New Roman"/>
      <w:sz w:val="24"/>
      <w:szCs w:val="24"/>
      <w:lang w:eastAsia="es-CR"/>
    </w:rPr>
  </w:style>
  <w:style w:type="paragraph" w:styleId="Col18" w:customStyle="1">
    <w:name w:val="col18"/>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28" w:customStyle="1">
    <w:name w:val="col28"/>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37" w:customStyle="1">
    <w:name w:val="col37"/>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44" w:customStyle="1">
    <w:name w:val="col44"/>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52" w:customStyle="1">
    <w:name w:val="col52"/>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62" w:customStyle="1">
    <w:name w:val="col62"/>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72" w:customStyle="1">
    <w:name w:val="col72"/>
    <w:basedOn w:val="Normal"/>
    <w:qFormat/>
    <w:rsid w:val="00fa5a6f"/>
    <w:pPr>
      <w:pBdr>
        <w:lef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Shrink2" w:customStyle="1">
    <w:name w:val="shrink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e1" w:customStyle="1">
    <w:name w:val="linee1"/>
    <w:basedOn w:val="Normal"/>
    <w:qFormat/>
    <w:rsid w:val="00fa5a6f"/>
    <w:pPr>
      <w:pBdr>
        <w:top w:val="single" w:sz="6" w:space="0" w:color="666666"/>
      </w:pBdr>
      <w:spacing w:lineRule="auto" w:line="240" w:before="0" w:afterAutospacing="1"/>
      <w:ind w:left="-450" w:hanging="0"/>
    </w:pPr>
    <w:rPr>
      <w:rFonts w:ascii="Times New Roman" w:hAnsi="Times New Roman" w:eastAsia="Times New Roman" w:cs="Times New Roman"/>
      <w:sz w:val="24"/>
      <w:szCs w:val="24"/>
      <w:lang w:eastAsia="es-CR"/>
    </w:rPr>
  </w:style>
  <w:style w:type="paragraph" w:styleId="Lineeh1" w:customStyle="1">
    <w:name w:val="lineeh1"/>
    <w:basedOn w:val="Normal"/>
    <w:qFormat/>
    <w:rsid w:val="00fa5a6f"/>
    <w:pPr>
      <w:pBdr>
        <w:right w:val="single" w:sz="6" w:space="0" w:color="666666"/>
      </w:pBdr>
      <w:spacing w:lineRule="auto" w:line="240" w:before="1500" w:afterAutospacing="1"/>
    </w:pPr>
    <w:rPr>
      <w:rFonts w:ascii="Times New Roman" w:hAnsi="Times New Roman" w:eastAsia="Times New Roman" w:cs="Times New Roman"/>
      <w:sz w:val="24"/>
      <w:szCs w:val="24"/>
      <w:lang w:eastAsia="es-CR"/>
    </w:rPr>
  </w:style>
  <w:style w:type="paragraph" w:styleId="Linea1" w:customStyle="1">
    <w:name w:val="linea1"/>
    <w:basedOn w:val="Normal"/>
    <w:qFormat/>
    <w:rsid w:val="00fa5a6f"/>
    <w:pPr>
      <w:pBdr>
        <w:top w:val="single" w:sz="6" w:space="0" w:color="666666"/>
      </w:pBdr>
      <w:spacing w:lineRule="auto" w:line="240" w:before="0" w:afterAutospacing="1"/>
      <w:ind w:left="450" w:hanging="0"/>
    </w:pPr>
    <w:rPr>
      <w:rFonts w:ascii="Times New Roman" w:hAnsi="Times New Roman" w:eastAsia="Times New Roman" w:cs="Times New Roman"/>
      <w:sz w:val="24"/>
      <w:szCs w:val="24"/>
      <w:lang w:eastAsia="es-CR"/>
    </w:rPr>
  </w:style>
  <w:style w:type="paragraph" w:styleId="Lineb1" w:customStyle="1">
    <w:name w:val="lineb1"/>
    <w:basedOn w:val="Normal"/>
    <w:qFormat/>
    <w:rsid w:val="00fa5a6f"/>
    <w:pPr>
      <w:pBdr>
        <w:top w:val="single" w:sz="6" w:space="0" w:color="666666"/>
      </w:pBdr>
      <w:spacing w:lineRule="auto" w:line="240" w:before="0" w:afterAutospacing="1"/>
      <w:ind w:left="450" w:hanging="0"/>
    </w:pPr>
    <w:rPr>
      <w:rFonts w:ascii="Times New Roman" w:hAnsi="Times New Roman" w:eastAsia="Times New Roman" w:cs="Times New Roman"/>
      <w:sz w:val="24"/>
      <w:szCs w:val="24"/>
      <w:lang w:eastAsia="es-CR"/>
    </w:rPr>
  </w:style>
  <w:style w:type="paragraph" w:styleId="Sevcols1" w:customStyle="1">
    <w:name w:val="sevcols1"/>
    <w:basedOn w:val="Normal"/>
    <w:qFormat/>
    <w:rsid w:val="00fa5a6f"/>
    <w:pPr>
      <w:spacing w:lineRule="auto" w:line="240" w:beforeAutospacing="1" w:afterAutospacing="1"/>
      <w:ind w:left="244" w:hanging="0"/>
      <w:jc w:val="center"/>
    </w:pPr>
    <w:rPr>
      <w:rFonts w:ascii="Times New Roman" w:hAnsi="Times New Roman" w:eastAsia="Times New Roman" w:cs="Times New Roman"/>
      <w:sz w:val="24"/>
      <w:szCs w:val="24"/>
      <w:lang w:eastAsia="es-CR"/>
    </w:rPr>
  </w:style>
  <w:style w:type="paragraph" w:styleId="Col19" w:customStyle="1">
    <w:name w:val="col19"/>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29" w:customStyle="1">
    <w:name w:val="col29"/>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38" w:customStyle="1">
    <w:name w:val="col38"/>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45" w:customStyle="1">
    <w:name w:val="col45"/>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53" w:customStyle="1">
    <w:name w:val="col5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63" w:customStyle="1">
    <w:name w:val="col6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73" w:customStyle="1">
    <w:name w:val="col7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rink3" w:customStyle="1">
    <w:name w:val="shrink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xt3" w:customStyle="1">
    <w:name w:val="linext3"/>
    <w:basedOn w:val="Normal"/>
    <w:qFormat/>
    <w:rsid w:val="00fa5a6f"/>
    <w:pPr>
      <w:pBdr>
        <w:right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Linecnct1" w:customStyle="1">
    <w:name w:val="linecnct1"/>
    <w:basedOn w:val="Normal"/>
    <w:qFormat/>
    <w:rsid w:val="00fa5a6f"/>
    <w:pPr>
      <w:pBdr>
        <w:right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Lineroof1" w:customStyle="1">
    <w:name w:val="lineroof1"/>
    <w:basedOn w:val="Normal"/>
    <w:qFormat/>
    <w:rsid w:val="00fa5a6f"/>
    <w:pPr>
      <w:pBdr>
        <w:top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Chiefcol1" w:customStyle="1">
    <w:name w:val="chief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row1" w:customStyle="1">
    <w:name w:val="chiefrow1"/>
    <w:basedOn w:val="Normal"/>
    <w:qFormat/>
    <w:rsid w:val="00fa5a6f"/>
    <w:pPr>
      <w:spacing w:lineRule="auto" w:line="240" w:before="450" w:afterAutospacing="1"/>
    </w:pPr>
    <w:rPr>
      <w:rFonts w:ascii="Times New Roman" w:hAnsi="Times New Roman" w:eastAsia="Times New Roman" w:cs="Times New Roman"/>
      <w:sz w:val="24"/>
      <w:szCs w:val="24"/>
      <w:lang w:eastAsia="es-CR"/>
    </w:rPr>
  </w:style>
  <w:style w:type="paragraph" w:styleId="Chiefcnt1" w:customStyle="1">
    <w:name w:val="chiefcnt1"/>
    <w:basedOn w:val="Normal"/>
    <w:qFormat/>
    <w:rsid w:val="00fa5a6f"/>
    <w:pPr>
      <w:pBdr>
        <w:top w:val="single" w:sz="6" w:space="0" w:color="999999"/>
        <w:left w:val="single" w:sz="6" w:space="0" w:color="999999"/>
      </w:pBdr>
      <w:spacing w:lineRule="auto" w:line="240" w:before="0" w:afterAutospacing="1"/>
    </w:pPr>
    <w:rPr>
      <w:rFonts w:ascii="Times New Roman" w:hAnsi="Times New Roman" w:eastAsia="Times New Roman" w:cs="Times New Roman"/>
      <w:sz w:val="24"/>
      <w:szCs w:val="24"/>
      <w:lang w:eastAsia="es-CR"/>
    </w:rPr>
  </w:style>
  <w:style w:type="paragraph" w:styleId="Chiefpic1" w:customStyle="1">
    <w:name w:val="chiefpic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1" w:customStyle="1">
    <w:name w:val="sg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group1" w:customStyle="1">
    <w:name w:val="sggroup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Executivebox1" w:customStyle="1">
    <w:name w:val="executivebox1"/>
    <w:basedOn w:val="Normal"/>
    <w:qFormat/>
    <w:rsid w:val="00fa5a6f"/>
    <w:pPr>
      <w:pBdr>
        <w:top w:val="dotted" w:sz="6" w:space="0" w:color="999999"/>
        <w:left w:val="dotted" w:sz="6" w:space="0" w:color="999999"/>
        <w:bottom w:val="dotted" w:sz="6" w:space="0" w:color="999999"/>
        <w:right w:val="dotted" w:sz="6" w:space="0" w:color="999999"/>
      </w:pBdr>
      <w:spacing w:lineRule="auto" w:line="240" w:before="0" w:afterAutospacing="1"/>
      <w:ind w:left="-435" w:hanging="0"/>
    </w:pPr>
    <w:rPr>
      <w:rFonts w:ascii="Times New Roman" w:hAnsi="Times New Roman" w:eastAsia="Times New Roman" w:cs="Times New Roman"/>
      <w:sz w:val="24"/>
      <w:szCs w:val="24"/>
      <w:lang w:eastAsia="es-CR"/>
    </w:rPr>
  </w:style>
  <w:style w:type="paragraph" w:styleId="Ssorgroup1" w:customStyle="1">
    <w:name w:val="ssorgroup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ntent1" w:customStyle="1">
    <w:name w:val="sgconten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tree1" w:customStyle="1">
    <w:name w:val="ssortree1"/>
    <w:basedOn w:val="Normal"/>
    <w:qFormat/>
    <w:rsid w:val="00fa5a6f"/>
    <w:pPr>
      <w:pBdr>
        <w:right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Ssorcontent1" w:customStyle="1">
    <w:name w:val="ssorconten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cnt1" w:customStyle="1">
    <w:name w:val="ssorcnt1"/>
    <w:basedOn w:val="Normal"/>
    <w:qFormat/>
    <w:rsid w:val="00fa5a6f"/>
    <w:pPr>
      <w:pBdr>
        <w:bottom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Ssorpic1" w:customStyle="1">
    <w:name w:val="ssorpic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Grid1" w:customStyle="1">
    <w:name w:val="grid1"/>
    <w:basedOn w:val="Normal"/>
    <w:qFormat/>
    <w:rsid w:val="00fa5a6f"/>
    <w:pPr>
      <w:pBdr>
        <w:top w:val="single" w:sz="6" w:space="0" w:color="DFDFDF"/>
        <w:left w:val="single" w:sz="6" w:space="0" w:color="DFDFDF"/>
        <w:bottom w:val="single" w:sz="6" w:space="0" w:color="DFDFDF"/>
        <w:right w:val="single" w:sz="6" w:space="0" w:color="DFDFDF"/>
      </w:pBdr>
      <w:spacing w:lineRule="auto" w:line="240" w:beforeAutospacing="1" w:afterAutospacing="1"/>
    </w:pPr>
    <w:rPr>
      <w:rFonts w:ascii="Times New Roman" w:hAnsi="Times New Roman" w:eastAsia="Times New Roman" w:cs="Times New Roman"/>
      <w:sz w:val="24"/>
      <w:szCs w:val="24"/>
      <w:lang w:eastAsia="es-CR"/>
    </w:rPr>
  </w:style>
  <w:style w:type="paragraph" w:styleId="Color11" w:customStyle="1">
    <w:name w:val="color11"/>
    <w:basedOn w:val="Normal"/>
    <w:qFormat/>
    <w:rsid w:val="00fa5a6f"/>
    <w:pPr>
      <w:shd w:val="clear" w:color="auto" w:fill="E3E9F0"/>
      <w:spacing w:lineRule="auto" w:line="240" w:beforeAutospacing="1" w:afterAutospacing="1"/>
    </w:pPr>
    <w:rPr>
      <w:rFonts w:ascii="Times New Roman" w:hAnsi="Times New Roman" w:eastAsia="Times New Roman" w:cs="Times New Roman"/>
      <w:sz w:val="24"/>
      <w:szCs w:val="24"/>
      <w:lang w:eastAsia="es-CR"/>
    </w:rPr>
  </w:style>
  <w:style w:type="paragraph" w:styleId="Color21" w:customStyle="1">
    <w:name w:val="color21"/>
    <w:basedOn w:val="Normal"/>
    <w:qFormat/>
    <w:rsid w:val="00fa5a6f"/>
    <w:pPr>
      <w:shd w:val="clear" w:color="auto" w:fill="EFF4FC"/>
      <w:spacing w:lineRule="auto" w:line="240" w:beforeAutospacing="1" w:afterAutospacing="1"/>
    </w:pPr>
    <w:rPr>
      <w:rFonts w:ascii="Times New Roman" w:hAnsi="Times New Roman" w:eastAsia="Times New Roman" w:cs="Times New Roman"/>
      <w:sz w:val="24"/>
      <w:szCs w:val="24"/>
      <w:lang w:eastAsia="es-CR"/>
    </w:rPr>
  </w:style>
  <w:style w:type="paragraph" w:styleId="Color31" w:customStyle="1">
    <w:name w:val="color31"/>
    <w:basedOn w:val="Normal"/>
    <w:qFormat/>
    <w:rsid w:val="00fa5a6f"/>
    <w:pPr>
      <w:shd w:val="clear" w:color="auto" w:fill="D1DDEF"/>
      <w:spacing w:lineRule="auto" w:line="240" w:beforeAutospacing="1" w:afterAutospacing="1"/>
    </w:pPr>
    <w:rPr>
      <w:rFonts w:ascii="Times New Roman" w:hAnsi="Times New Roman" w:eastAsia="Times New Roman" w:cs="Times New Roman"/>
      <w:sz w:val="24"/>
      <w:szCs w:val="24"/>
      <w:lang w:eastAsia="es-CR"/>
    </w:rPr>
  </w:style>
  <w:style w:type="paragraph" w:styleId="Grid2" w:customStyle="1">
    <w:name w:val="grid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cwrap1" w:customStyle="1">
    <w:name w:val="picwrap1"/>
    <w:basedOn w:val="Normal"/>
    <w:qFormat/>
    <w:rsid w:val="00fa5a6f"/>
    <w:pPr>
      <w:spacing w:lineRule="auto" w:line="240" w:before="150" w:afterAutospacing="1"/>
    </w:pPr>
    <w:rPr>
      <w:rFonts w:ascii="Times New Roman" w:hAnsi="Times New Roman" w:eastAsia="Times New Roman" w:cs="Times New Roman"/>
      <w:sz w:val="24"/>
      <w:szCs w:val="24"/>
      <w:lang w:eastAsia="es-CR"/>
    </w:rPr>
  </w:style>
  <w:style w:type="paragraph" w:styleId="Img801" w:customStyle="1">
    <w:name w:val="img80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8" w:customStyle="1">
    <w:name w:val="title8"/>
    <w:basedOn w:val="Normal"/>
    <w:qFormat/>
    <w:rsid w:val="00fa5a6f"/>
    <w:pPr>
      <w:spacing w:lineRule="auto" w:line="240" w:before="72" w:after="72"/>
    </w:pPr>
    <w:rPr>
      <w:rFonts w:ascii="Times New Roman" w:hAnsi="Times New Roman" w:eastAsia="Times New Roman" w:cs="Times New Roman"/>
      <w:lang w:eastAsia="es-CR"/>
    </w:rPr>
  </w:style>
  <w:style w:type="paragraph" w:styleId="Title22" w:customStyle="1">
    <w:name w:val="title22"/>
    <w:basedOn w:val="Normal"/>
    <w:qFormat/>
    <w:rsid w:val="00fa5a6f"/>
    <w:pPr>
      <w:spacing w:lineRule="auto" w:line="240" w:before="72" w:after="72"/>
    </w:pPr>
    <w:rPr>
      <w:rFonts w:ascii="Times New Roman" w:hAnsi="Times New Roman" w:eastAsia="Times New Roman" w:cs="Times New Roman"/>
      <w:lang w:eastAsia="es-CR"/>
    </w:rPr>
  </w:style>
  <w:style w:type="paragraph" w:styleId="Title32" w:customStyle="1">
    <w:name w:val="title32"/>
    <w:basedOn w:val="Normal"/>
    <w:qFormat/>
    <w:rsid w:val="00fa5a6f"/>
    <w:pPr>
      <w:spacing w:lineRule="auto" w:line="240" w:before="72" w:after="72"/>
    </w:pPr>
    <w:rPr>
      <w:rFonts w:ascii="Times New Roman" w:hAnsi="Times New Roman" w:eastAsia="Times New Roman" w:cs="Times New Roman"/>
      <w:lang w:eastAsia="es-CR"/>
    </w:rPr>
  </w:style>
  <w:style w:type="paragraph" w:styleId="Uistatefocus1" w:customStyle="1">
    <w:name w:val="ui-state-focus1"/>
    <w:basedOn w:val="Normal"/>
    <w:qFormat/>
    <w:rsid w:val="00fa5a6f"/>
    <w:pPr>
      <w:shd w:val="clear" w:color="auto" w:fill="D1DBE9"/>
      <w:spacing w:lineRule="auto" w:line="240" w:beforeAutospacing="1" w:afterAutospacing="1"/>
    </w:pPr>
    <w:rPr>
      <w:rFonts w:ascii="Times New Roman" w:hAnsi="Times New Roman" w:eastAsia="Times New Roman" w:cs="Times New Roman"/>
      <w:b/>
      <w:bCs/>
      <w:color w:val="333333"/>
      <w:sz w:val="24"/>
      <w:szCs w:val="24"/>
      <w:lang w:eastAsia="es-CR"/>
    </w:rPr>
  </w:style>
  <w:style w:type="paragraph" w:styleId="Uistateactive1" w:customStyle="1">
    <w:name w:val="ui-state-active1"/>
    <w:basedOn w:val="Normal"/>
    <w:qFormat/>
    <w:rsid w:val="00fa5a6f"/>
    <w:pPr>
      <w:shd w:val="clear" w:color="auto" w:fill="D1DBE9"/>
      <w:spacing w:lineRule="auto" w:line="240" w:beforeAutospacing="1" w:afterAutospacing="1"/>
    </w:pPr>
    <w:rPr>
      <w:rFonts w:ascii="Times New Roman" w:hAnsi="Times New Roman" w:eastAsia="Times New Roman" w:cs="Times New Roman"/>
      <w:b/>
      <w:bCs/>
      <w:color w:val="333333"/>
      <w:sz w:val="24"/>
      <w:szCs w:val="24"/>
      <w:lang w:eastAsia="es-CR"/>
    </w:rPr>
  </w:style>
  <w:style w:type="paragraph" w:styleId="Uistatefocus2" w:customStyle="1">
    <w:name w:val="ui-state-focus2"/>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Uistateactive2" w:customStyle="1">
    <w:name w:val="ui-state-active2"/>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Uistateactive3" w:customStyle="1">
    <w:name w:val="ui-state-active3"/>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Uistatefocus3" w:customStyle="1">
    <w:name w:val="ui-state-focus3"/>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Areatitlethin1" w:customStyle="1">
    <w:name w:val="areatitlethin1"/>
    <w:basedOn w:val="Normal"/>
    <w:qFormat/>
    <w:rsid w:val="00fa5a6f"/>
    <w:pPr>
      <w:spacing w:lineRule="auto" w:line="240" w:beforeAutospacing="1" w:afterAutospacing="1"/>
    </w:pPr>
    <w:rPr>
      <w:rFonts w:ascii="Times New Roman" w:hAnsi="Times New Roman" w:eastAsia="Times New Roman" w:cs="Times New Roman"/>
      <w:b/>
      <w:bCs/>
      <w:sz w:val="26"/>
      <w:szCs w:val="26"/>
      <w:lang w:eastAsia="es-CR"/>
    </w:rPr>
  </w:style>
  <w:style w:type="paragraph" w:styleId="Uistatehover4" w:customStyle="1">
    <w:name w:val="ui-state-hover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aption9" w:customStyle="1">
    <w:name w:val="caption9"/>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Col46" w:customStyle="1">
    <w:name w:val="col4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Topicscol1" w:customStyle="1">
    <w:name w:val="topicscol1"/>
    <w:basedOn w:val="Normal"/>
    <w:qFormat/>
    <w:rsid w:val="00fa5a6f"/>
    <w:pPr>
      <w:pBdr>
        <w:top w:val="single" w:sz="6" w:space="10" w:color="CCCCCC"/>
        <w:left w:val="single" w:sz="6" w:space="10" w:color="CCCCCC"/>
        <w:bottom w:val="single" w:sz="6" w:space="10" w:color="CCCCCC"/>
        <w:right w:val="single" w:sz="6" w:space="10" w:color="CCCCCC"/>
      </w:pBdr>
      <w:shd w:val="clear" w:color="auto" w:fill="F4F4F4"/>
      <w:spacing w:lineRule="auto" w:line="240" w:before="0" w:after="0"/>
      <w:ind w:right="120" w:hanging="0"/>
    </w:pPr>
    <w:rPr>
      <w:rFonts w:ascii="Times New Roman" w:hAnsi="Times New Roman" w:eastAsia="Times New Roman" w:cs="Times New Roman"/>
      <w:sz w:val="24"/>
      <w:szCs w:val="24"/>
      <w:lang w:eastAsia="es-CR"/>
    </w:rPr>
  </w:style>
  <w:style w:type="paragraph" w:styleId="Topicscol2" w:customStyle="1">
    <w:name w:val="topicscol2"/>
    <w:basedOn w:val="Normal"/>
    <w:qFormat/>
    <w:rsid w:val="00fa5a6f"/>
    <w:pPr>
      <w:pBdr>
        <w:top w:val="single" w:sz="6" w:space="10" w:color="CCCCCC"/>
        <w:left w:val="single" w:sz="6" w:space="10" w:color="CCCCCC"/>
        <w:bottom w:val="single" w:sz="6" w:space="10" w:color="CCCCCC"/>
        <w:right w:val="single" w:sz="6" w:space="10" w:color="CCCCCC"/>
      </w:pBdr>
      <w:shd w:val="clear" w:color="auto" w:fill="F4F4F4"/>
      <w:spacing w:lineRule="auto" w:line="240" w:before="0" w:after="0"/>
      <w:ind w:right="120" w:hanging="0"/>
    </w:pPr>
    <w:rPr>
      <w:rFonts w:ascii="Times New Roman" w:hAnsi="Times New Roman" w:eastAsia="Times New Roman" w:cs="Times New Roman"/>
      <w:sz w:val="24"/>
      <w:szCs w:val="24"/>
      <w:lang w:eastAsia="es-CR"/>
    </w:rPr>
  </w:style>
  <w:style w:type="paragraph" w:styleId="Grid3" w:customStyle="1">
    <w:name w:val="grid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9" w:customStyle="1">
    <w:name w:val="title9"/>
    <w:basedOn w:val="Normal"/>
    <w:qFormat/>
    <w:rsid w:val="00fa5a6f"/>
    <w:pPr>
      <w:spacing w:lineRule="auto" w:line="240" w:before="72" w:after="72"/>
    </w:pPr>
    <w:rPr>
      <w:rFonts w:ascii="Times New Roman" w:hAnsi="Times New Roman" w:eastAsia="Times New Roman" w:cs="Times New Roman"/>
      <w:lang w:eastAsia="es-CR"/>
    </w:rPr>
  </w:style>
  <w:style w:type="paragraph" w:styleId="Caption10" w:customStyle="1">
    <w:name w:val="caption10"/>
    <w:basedOn w:val="Normal"/>
    <w:qFormat/>
    <w:rsid w:val="00fa5a6f"/>
    <w:pPr>
      <w:spacing w:lineRule="auto" w:line="240" w:before="72" w:after="72"/>
    </w:pPr>
    <w:rPr>
      <w:rFonts w:ascii="Times New Roman" w:hAnsi="Times New Roman" w:eastAsia="Times New Roman" w:cs="Times New Roman"/>
      <w:sz w:val="17"/>
      <w:szCs w:val="17"/>
      <w:lang w:eastAsia="es-CR"/>
    </w:rPr>
  </w:style>
  <w:style w:type="paragraph" w:styleId="Vblurb1" w:customStyle="1">
    <w:name w:val="vblurb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blurb2" w:customStyle="1">
    <w:name w:val="vblurb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blurb3" w:customStyle="1">
    <w:name w:val="vblurb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video1" w:customStyle="1">
    <w:name w:val="areavideo1"/>
    <w:basedOn w:val="Normal"/>
    <w:qFormat/>
    <w:rsid w:val="00fa5a6f"/>
    <w:pPr>
      <w:spacing w:lineRule="auto" w:line="240" w:beforeAutospacing="1" w:afterAutospacing="1"/>
    </w:pPr>
    <w:rPr>
      <w:rFonts w:ascii="Times New Roman" w:hAnsi="Times New Roman" w:eastAsia="Times New Roman" w:cs="Times New Roman"/>
      <w:color w:val="FFFFFF"/>
      <w:sz w:val="26"/>
      <w:szCs w:val="26"/>
      <w:lang w:eastAsia="es-CR"/>
    </w:rPr>
  </w:style>
  <w:style w:type="paragraph" w:styleId="Areavideo2" w:customStyle="1">
    <w:name w:val="areavideo2"/>
    <w:basedOn w:val="Normal"/>
    <w:qFormat/>
    <w:rsid w:val="00fa5a6f"/>
    <w:pPr>
      <w:spacing w:lineRule="auto" w:line="240" w:beforeAutospacing="1" w:afterAutospacing="1"/>
    </w:pPr>
    <w:rPr>
      <w:rFonts w:ascii="Times New Roman" w:hAnsi="Times New Roman" w:eastAsia="Times New Roman" w:cs="Times New Roman"/>
      <w:color w:val="FFFFFF"/>
      <w:sz w:val="26"/>
      <w:szCs w:val="26"/>
      <w:lang w:eastAsia="es-CR"/>
    </w:rPr>
  </w:style>
  <w:style w:type="paragraph" w:styleId="Areavideo3" w:customStyle="1">
    <w:name w:val="areavideo3"/>
    <w:basedOn w:val="Normal"/>
    <w:qFormat/>
    <w:rsid w:val="00fa5a6f"/>
    <w:pPr>
      <w:spacing w:lineRule="auto" w:line="240" w:beforeAutospacing="1" w:afterAutospacing="1"/>
    </w:pPr>
    <w:rPr>
      <w:rFonts w:ascii="Times New Roman" w:hAnsi="Times New Roman" w:eastAsia="Times New Roman" w:cs="Times New Roman"/>
      <w:color w:val="FFFFFF"/>
      <w:sz w:val="26"/>
      <w:szCs w:val="26"/>
      <w:lang w:eastAsia="es-CR"/>
    </w:rPr>
  </w:style>
  <w:style w:type="paragraph" w:styleId="Btnopen1" w:customStyle="1">
    <w:name w:val="btnopen1"/>
    <w:basedOn w:val="Normal"/>
    <w:qFormat/>
    <w:rsid w:val="00fa5a6f"/>
    <w:pPr>
      <w:spacing w:lineRule="auto" w:line="240" w:before="2250" w:afterAutospacing="1"/>
      <w:ind w:left="975" w:hanging="0"/>
    </w:pPr>
    <w:rPr>
      <w:rFonts w:ascii="Times New Roman" w:hAnsi="Times New Roman" w:eastAsia="Times New Roman" w:cs="Times New Roman"/>
      <w:vanish/>
      <w:sz w:val="24"/>
      <w:szCs w:val="24"/>
      <w:lang w:eastAsia="es-CR"/>
    </w:rPr>
  </w:style>
  <w:style w:type="paragraph" w:styleId="Btnopen2" w:customStyle="1">
    <w:name w:val="btnopen2"/>
    <w:basedOn w:val="Normal"/>
    <w:qFormat/>
    <w:rsid w:val="00fa5a6f"/>
    <w:pPr>
      <w:spacing w:lineRule="auto" w:line="240" w:before="2250" w:afterAutospacing="1"/>
      <w:ind w:left="975" w:hanging="0"/>
    </w:pPr>
    <w:rPr>
      <w:rFonts w:ascii="Times New Roman" w:hAnsi="Times New Roman" w:eastAsia="Times New Roman" w:cs="Times New Roman"/>
      <w:vanish/>
      <w:sz w:val="24"/>
      <w:szCs w:val="24"/>
      <w:lang w:eastAsia="es-CR"/>
    </w:rPr>
  </w:style>
  <w:style w:type="paragraph" w:styleId="Btnopen3" w:customStyle="1">
    <w:name w:val="btnopen3"/>
    <w:basedOn w:val="Normal"/>
    <w:qFormat/>
    <w:rsid w:val="00fa5a6f"/>
    <w:pPr>
      <w:spacing w:lineRule="auto" w:line="240" w:before="2250" w:afterAutospacing="1"/>
      <w:ind w:left="975" w:hanging="0"/>
    </w:pPr>
    <w:rPr>
      <w:rFonts w:ascii="Times New Roman" w:hAnsi="Times New Roman" w:eastAsia="Times New Roman" w:cs="Times New Roman"/>
      <w:vanish/>
      <w:sz w:val="24"/>
      <w:szCs w:val="24"/>
      <w:lang w:eastAsia="es-CR"/>
    </w:rPr>
  </w:style>
  <w:style w:type="paragraph" w:styleId="Vidsg2015wrap1" w:customStyle="1">
    <w:name w:val="vidsg2015wrap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title1" w:customStyle="1">
    <w:name w:val="vidtitle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Vidpic1" w:customStyle="1">
    <w:name w:val="vidpic1"/>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Vidspopup1" w:customStyle="1">
    <w:name w:val="vidspopup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Vidslinks1" w:customStyle="1">
    <w:name w:val="vidslinks1"/>
    <w:basedOn w:val="Normal"/>
    <w:qFormat/>
    <w:rsid w:val="00fa5a6f"/>
    <w:pPr>
      <w:spacing w:lineRule="auto" w:line="240" w:beforeAutospacing="1" w:afterAutospacing="1"/>
    </w:pPr>
    <w:rPr>
      <w:rFonts w:ascii="Times New Roman" w:hAnsi="Times New Roman" w:eastAsia="Times New Roman" w:cs="Times New Roman"/>
      <w:color w:val="FF6600"/>
      <w:sz w:val="26"/>
      <w:szCs w:val="26"/>
      <w:lang w:eastAsia="es-CR"/>
    </w:rPr>
  </w:style>
  <w:style w:type="paragraph" w:styleId="Cluetiparrows1" w:customStyle="1">
    <w:name w:val="cluetip-arrows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arrows2" w:customStyle="1">
    <w:name w:val="cluetip-arrows2"/>
    <w:basedOn w:val="Normal"/>
    <w:qFormat/>
    <w:rsid w:val="00fa5a6f"/>
    <w:pPr>
      <w:spacing w:lineRule="auto" w:line="240" w:beforeAutospacing="1" w:afterAutospacing="1"/>
      <w:ind w:right="-165" w:hanging="0"/>
    </w:pPr>
    <w:rPr>
      <w:rFonts w:ascii="Times New Roman" w:hAnsi="Times New Roman" w:eastAsia="Times New Roman" w:cs="Times New Roman"/>
      <w:vanish/>
      <w:sz w:val="24"/>
      <w:szCs w:val="24"/>
      <w:lang w:eastAsia="es-CR"/>
    </w:rPr>
  </w:style>
  <w:style w:type="paragraph" w:styleId="Cluetiparrows3" w:customStyle="1">
    <w:name w:val="cluetip-arrows3"/>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4" w:customStyle="1">
    <w:name w:val="cluetip-arrows4"/>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5" w:customStyle="1">
    <w:name w:val="cluetip-arrows5"/>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arrows6" w:customStyle="1">
    <w:name w:val="cluetip-arrows6"/>
    <w:basedOn w:val="Normal"/>
    <w:qFormat/>
    <w:rsid w:val="00fa5a6f"/>
    <w:pPr>
      <w:spacing w:lineRule="auto" w:line="240" w:beforeAutospacing="1" w:afterAutospacing="1"/>
      <w:ind w:right="-165" w:hanging="0"/>
    </w:pPr>
    <w:rPr>
      <w:rFonts w:ascii="Times New Roman" w:hAnsi="Times New Roman" w:eastAsia="Times New Roman" w:cs="Times New Roman"/>
      <w:vanish/>
      <w:sz w:val="24"/>
      <w:szCs w:val="24"/>
      <w:lang w:eastAsia="es-CR"/>
    </w:rPr>
  </w:style>
  <w:style w:type="paragraph" w:styleId="Cluetiparrows7" w:customStyle="1">
    <w:name w:val="cluetip-arrows7"/>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8" w:customStyle="1">
    <w:name w:val="cluetip-arrows8"/>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9" w:customStyle="1">
    <w:name w:val="cluetip-arrows9"/>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arrows10" w:customStyle="1">
    <w:name w:val="cluetip-arrows10"/>
    <w:basedOn w:val="Normal"/>
    <w:qFormat/>
    <w:rsid w:val="00fa5a6f"/>
    <w:pPr>
      <w:spacing w:lineRule="auto" w:line="240" w:beforeAutospacing="1" w:afterAutospacing="1"/>
      <w:ind w:left="180" w:hanging="0"/>
    </w:pPr>
    <w:rPr>
      <w:rFonts w:ascii="Times New Roman" w:hAnsi="Times New Roman" w:eastAsia="Times New Roman" w:cs="Times New Roman"/>
      <w:vanish/>
      <w:sz w:val="24"/>
      <w:szCs w:val="24"/>
      <w:lang w:eastAsia="es-CR"/>
    </w:rPr>
  </w:style>
  <w:style w:type="paragraph" w:styleId="Cluetiparrows11" w:customStyle="1">
    <w:name w:val="cluetip-arrows11"/>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12" w:customStyle="1">
    <w:name w:val="cluetip-arrows12"/>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HTMLTopofForm">
    <w:name w:val="HTML Top of Form"/>
    <w:basedOn w:val="Normal"/>
    <w:next w:val="Normal"/>
    <w:link w:val="z-PrincipiodelformularioCar"/>
    <w:uiPriority w:val="99"/>
    <w:semiHidden/>
    <w:unhideWhenUsed/>
    <w:qFormat/>
    <w:rsid w:val="00fa5a6f"/>
    <w:pPr>
      <w:pBdr>
        <w:bottom w:val="single" w:sz="6" w:space="1" w:color="000000"/>
      </w:pBdr>
      <w:spacing w:lineRule="auto" w:line="240" w:before="0" w:after="0"/>
      <w:jc w:val="center"/>
    </w:pPr>
    <w:rPr>
      <w:rFonts w:ascii="Arial" w:hAnsi="Arial" w:eastAsia="Times New Roman" w:cs="Arial"/>
      <w:vanish/>
      <w:sz w:val="16"/>
      <w:szCs w:val="16"/>
      <w:lang w:eastAsia="es-CR"/>
    </w:rPr>
  </w:style>
  <w:style w:type="paragraph" w:styleId="HTMLBottomofForm">
    <w:name w:val="HTML Bottom of Form"/>
    <w:basedOn w:val="Normal"/>
    <w:next w:val="Normal"/>
    <w:link w:val="z-FinaldelformularioCar"/>
    <w:uiPriority w:val="99"/>
    <w:semiHidden/>
    <w:unhideWhenUsed/>
    <w:qFormat/>
    <w:rsid w:val="00fa5a6f"/>
    <w:pPr>
      <w:pBdr>
        <w:top w:val="single" w:sz="6" w:space="1" w:color="000000"/>
      </w:pBdr>
      <w:spacing w:lineRule="auto" w:line="240" w:before="0" w:after="0"/>
      <w:jc w:val="center"/>
    </w:pPr>
    <w:rPr>
      <w:rFonts w:ascii="Arial" w:hAnsi="Arial" w:eastAsia="Times New Roman" w:cs="Arial"/>
      <w:vanish/>
      <w:sz w:val="16"/>
      <w:szCs w:val="16"/>
      <w:lang w:eastAsia="es-CR"/>
    </w:rPr>
  </w:style>
  <w:style w:type="paragraph" w:styleId="Txtright1" w:customStyle="1">
    <w:name w:val="txtright1"/>
    <w:basedOn w:val="Normal"/>
    <w:qFormat/>
    <w:rsid w:val="00fa5a6f"/>
    <w:pPr>
      <w:spacing w:lineRule="auto" w:line="240" w:before="192" w:after="192"/>
      <w:ind w:left="120" w:right="144" w:hanging="0"/>
      <w:jc w:val="right"/>
    </w:pPr>
    <w:rPr>
      <w:rFonts w:ascii="Times New Roman" w:hAnsi="Times New Roman" w:eastAsia="Times New Roman" w:cs="Times New Roman"/>
      <w:sz w:val="24"/>
      <w:szCs w:val="24"/>
      <w:lang w:eastAsia="es-CR"/>
    </w:rPr>
  </w:style>
  <w:style w:type="paragraph" w:styleId="Center" w:customStyle="1">
    <w:name w:val="cent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tandard" w:customStyle="1">
    <w:name w:val="Standard"/>
    <w:qFormat/>
    <w:rsid w:val="00b85b4d"/>
    <w:pPr>
      <w:widowControl w:val="false"/>
      <w:suppressAutoHyphens w:val="true"/>
      <w:bidi w:val="0"/>
      <w:spacing w:lineRule="auto" w:line="240" w:before="0" w:after="0"/>
      <w:jc w:val="left"/>
    </w:pPr>
    <w:rPr>
      <w:rFonts w:ascii="Times New Roman" w:hAnsi="Times New Roman" w:eastAsia="SimSun" w:cs="Mangal"/>
      <w:color w:val="auto"/>
      <w:kern w:val="2"/>
      <w:sz w:val="24"/>
      <w:szCs w:val="24"/>
      <w:lang w:eastAsia="zh-CN" w:bidi="hi-IN" w:val="es-CR"/>
    </w:rPr>
  </w:style>
  <w:style w:type="paragraph" w:styleId="Contenidodelatabla" w:customStyle="1">
    <w:name w:val="Contenido de la tabla"/>
    <w:basedOn w:val="Normal"/>
    <w:qFormat/>
    <w:rsid w:val="00b85b4d"/>
    <w:pPr>
      <w:suppressLineNumbers/>
      <w:suppressAutoHyphens w:val="true"/>
      <w:spacing w:lineRule="auto" w:line="240" w:before="0" w:after="0"/>
    </w:pPr>
    <w:rPr>
      <w:rFonts w:ascii="Times New Roman" w:hAnsi="Times New Roman" w:eastAsia="Times New Roman" w:cs="Times New Roman"/>
      <w:sz w:val="24"/>
      <w:szCs w:val="24"/>
      <w:lang w:val="es-ES" w:eastAsia="zh-CN"/>
    </w:rPr>
  </w:style>
  <w:style w:type="paragraph" w:styleId="Tulo1" w:customStyle="1">
    <w:name w:val="T稚ulo 1"/>
    <w:basedOn w:val="Normal"/>
    <w:qFormat/>
    <w:rsid w:val="00285001"/>
    <w:pPr>
      <w:keepNext w:val="true"/>
      <w:shd w:val="clear" w:color="auto" w:fill="FFFFFF"/>
      <w:spacing w:lineRule="auto" w:line="240" w:before="0" w:after="0"/>
      <w:jc w:val="both"/>
    </w:pPr>
    <w:rPr>
      <w:rFonts w:ascii="Arial" w:hAnsi="Arial" w:cs="Arial"/>
      <w:b/>
      <w:bCs/>
      <w:u w:val="single"/>
      <w:lang w:eastAsia="ar-SA"/>
    </w:rPr>
  </w:style>
  <w:style w:type="paragraph" w:styleId="Ttulo51" w:customStyle="1">
    <w:name w:val="Título 51"/>
    <w:basedOn w:val="Normal"/>
    <w:qFormat/>
    <w:rsid w:val="00285001"/>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Ttulo53" w:customStyle="1">
    <w:name w:val="Título 53"/>
    <w:basedOn w:val="Normal"/>
    <w:qFormat/>
    <w:rsid w:val="00285001"/>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ListParagraph">
    <w:name w:val="List Paragraph"/>
    <w:basedOn w:val="Normal"/>
    <w:link w:val="PrrafodelistaCar"/>
    <w:uiPriority w:val="34"/>
    <w:qFormat/>
    <w:rsid w:val="00e9564a"/>
    <w:pPr>
      <w:spacing w:before="0" w:after="160"/>
      <w:ind w:left="720" w:hanging="0"/>
      <w:contextualSpacing/>
    </w:pPr>
    <w:rPr/>
  </w:style>
  <w:style w:type="paragraph" w:styleId="Ttulo52" w:customStyle="1">
    <w:name w:val="Título 52"/>
    <w:basedOn w:val="Normal"/>
    <w:qFormat/>
    <w:rsid w:val="00843903"/>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Ttulo511" w:customStyle="1">
    <w:name w:val="Título 511"/>
    <w:next w:val="Normal"/>
    <w:qFormat/>
    <w:rsid w:val="0006176d"/>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Heading5" w:customStyle="1">
    <w:name w:val="heading5"/>
    <w:basedOn w:val="Normal"/>
    <w:qFormat/>
    <w:rsid w:val="00b55941"/>
    <w:pPr>
      <w:keepNext w:val="true"/>
      <w:shd w:val="clear" w:color="auto" w:fill="FFFFFF"/>
      <w:spacing w:lineRule="auto" w:line="240" w:before="0" w:after="0"/>
      <w:jc w:val="center"/>
    </w:pPr>
    <w:rPr>
      <w:rFonts w:ascii="Times New Roman" w:hAnsi="Times New Roman" w:eastAsia="Times New Roman" w:cs="Times New Roman"/>
      <w:b/>
      <w:bCs/>
      <w:i/>
      <w:iCs/>
      <w:sz w:val="26"/>
      <w:szCs w:val="26"/>
      <w:u w:val="single"/>
      <w:lang w:val="es-ES" w:eastAsia="zh-CN"/>
    </w:rPr>
  </w:style>
  <w:style w:type="paragraph" w:styleId="Notaalpie">
    <w:name w:val="Footnote Text"/>
    <w:basedOn w:val="Normal"/>
    <w:link w:val="TextonotapieCar"/>
    <w:qFormat/>
    <w:rsid w:val="00b55941"/>
    <w:pPr>
      <w:spacing w:lineRule="auto" w:line="240" w:before="0" w:after="0"/>
    </w:pPr>
    <w:rPr>
      <w:rFonts w:ascii="Times New Roman" w:hAnsi="Times New Roman" w:eastAsia="Times New Roman" w:cs="Times New Roman"/>
      <w:sz w:val="20"/>
      <w:szCs w:val="20"/>
      <w:lang w:val="es-ES" w:eastAsia="zh-CN"/>
    </w:rPr>
  </w:style>
  <w:style w:type="paragraph" w:styleId="Ttulo54" w:customStyle="1">
    <w:name w:val="Título 54"/>
    <w:next w:val="Normal"/>
    <w:qFormat/>
    <w:rsid w:val="00a8071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 w:customStyle="1">
    <w:name w:val="x_msonormal"/>
    <w:basedOn w:val="Normal"/>
    <w:qFormat/>
    <w:rsid w:val="00c77e75"/>
    <w:pPr>
      <w:spacing w:lineRule="auto" w:line="240" w:before="0" w:after="0"/>
    </w:pPr>
    <w:rPr>
      <w:rFonts w:ascii="Times New Roman" w:hAnsi="Times New Roman" w:cs="Times New Roman"/>
      <w:sz w:val="24"/>
      <w:szCs w:val="24"/>
      <w:lang w:eastAsia="es-CR"/>
    </w:rPr>
  </w:style>
  <w:style w:type="paragraph" w:styleId="Cabeceraypie">
    <w:name w:val="Cabecera y pie"/>
    <w:basedOn w:val="Normal"/>
    <w:qFormat/>
    <w:pPr/>
    <w:rPr/>
  </w:style>
  <w:style w:type="paragraph" w:styleId="Cabecera">
    <w:name w:val="Header"/>
    <w:basedOn w:val="Normal"/>
    <w:link w:val="EncabezadoCar"/>
    <w:uiPriority w:val="99"/>
    <w:semiHidden/>
    <w:unhideWhenUsed/>
    <w:rsid w:val="00f732e0"/>
    <w:pPr>
      <w:spacing w:lineRule="auto" w:line="240" w:before="0" w:after="0"/>
    </w:pPr>
    <w:rPr>
      <w:rFonts w:ascii="Times New Roman" w:hAnsi="Times New Roman" w:cs="Times New Roman"/>
      <w:sz w:val="24"/>
      <w:szCs w:val="24"/>
      <w:lang w:eastAsia="es-CR"/>
    </w:rPr>
  </w:style>
  <w:style w:type="paragraph" w:styleId="Xxmsonormal" w:customStyle="1">
    <w:name w:val="x_xmsonormal"/>
    <w:basedOn w:val="Normal"/>
    <w:qFormat/>
    <w:rsid w:val="00f732e0"/>
    <w:pPr>
      <w:spacing w:lineRule="auto" w:line="240" w:before="0" w:after="0"/>
    </w:pPr>
    <w:rPr>
      <w:rFonts w:ascii="Times New Roman" w:hAnsi="Times New Roman" w:cs="Times New Roman"/>
      <w:sz w:val="24"/>
      <w:szCs w:val="24"/>
      <w:lang w:eastAsia="es-CR"/>
    </w:rPr>
  </w:style>
  <w:style w:type="paragraph" w:styleId="Xmsolistparagraph" w:customStyle="1">
    <w:name w:val="x_msolistparagraph"/>
    <w:basedOn w:val="Normal"/>
    <w:uiPriority w:val="99"/>
    <w:qFormat/>
    <w:rsid w:val="00141457"/>
    <w:pPr>
      <w:spacing w:lineRule="auto" w:line="240" w:before="0" w:after="0"/>
      <w:ind w:left="720" w:hanging="0"/>
    </w:pPr>
    <w:rPr>
      <w:rFonts w:ascii="Calibri" w:hAnsi="Calibri" w:cs="Times New Roman"/>
      <w:lang w:eastAsia="es-CR"/>
    </w:rPr>
  </w:style>
  <w:style w:type="paragraph" w:styleId="Xmsoplaintext" w:customStyle="1">
    <w:name w:val="x_msoplaintext"/>
    <w:basedOn w:val="Normal"/>
    <w:uiPriority w:val="99"/>
    <w:semiHidden/>
    <w:qFormat/>
    <w:rsid w:val="00121dbb"/>
    <w:pPr>
      <w:spacing w:lineRule="auto" w:line="240" w:before="0" w:after="0"/>
    </w:pPr>
    <w:rPr>
      <w:rFonts w:ascii="Times New Roman" w:hAnsi="Times New Roman" w:cs="Times New Roman"/>
      <w:sz w:val="24"/>
      <w:szCs w:val="24"/>
      <w:lang w:eastAsia="es-CR"/>
    </w:rPr>
  </w:style>
  <w:style w:type="paragraph" w:styleId="Toa" w:customStyle="1">
    <w:name w:val="toa"/>
    <w:basedOn w:val="Normal"/>
    <w:qFormat/>
    <w:rsid w:val="00265ec1"/>
    <w:pPr>
      <w:tabs>
        <w:tab w:val="clear" w:pos="708"/>
        <w:tab w:val="left" w:pos="9000" w:leader="none"/>
        <w:tab w:val="right" w:pos="9360" w:leader="none"/>
      </w:tabs>
      <w:suppressAutoHyphens w:val="true"/>
      <w:spacing w:lineRule="auto" w:line="240" w:before="0" w:after="0"/>
    </w:pPr>
    <w:rPr>
      <w:rFonts w:ascii="Courier New" w:hAnsi="Courier New" w:eastAsia="Times New Roman" w:cs="Times New Roman"/>
      <w:sz w:val="20"/>
      <w:szCs w:val="20"/>
      <w:lang w:val="en-US" w:eastAsia="ar-SA"/>
    </w:rPr>
  </w:style>
  <w:style w:type="paragraph" w:styleId="BalloonText">
    <w:name w:val="Balloon Text"/>
    <w:basedOn w:val="Normal"/>
    <w:link w:val="TextodegloboCar"/>
    <w:uiPriority w:val="99"/>
    <w:semiHidden/>
    <w:unhideWhenUsed/>
    <w:qFormat/>
    <w:rsid w:val="00633432"/>
    <w:pPr>
      <w:spacing w:lineRule="auto" w:line="240" w:before="0" w:after="0"/>
    </w:pPr>
    <w:rPr>
      <w:rFonts w:ascii="Segoe UI" w:hAnsi="Segoe UI" w:cs="Segoe UI"/>
      <w:sz w:val="18"/>
      <w:szCs w:val="18"/>
    </w:rPr>
  </w:style>
  <w:style w:type="paragraph" w:styleId="Gmailmsolistparagraph" w:customStyle="1">
    <w:name w:val="gmail-msolistparagraph"/>
    <w:basedOn w:val="Normal"/>
    <w:qFormat/>
    <w:rsid w:val="00755fd4"/>
    <w:pPr>
      <w:spacing w:lineRule="auto" w:line="240" w:beforeAutospacing="1" w:afterAutospacing="1"/>
    </w:pPr>
    <w:rPr>
      <w:rFonts w:ascii="Calibri" w:hAnsi="Calibri" w:cs="Calibri"/>
      <w:lang w:eastAsia="es-CR"/>
    </w:rPr>
  </w:style>
  <w:style w:type="paragraph" w:styleId="Default" w:customStyle="1">
    <w:name w:val="Default"/>
    <w:qFormat/>
    <w:rsid w:val="00914308"/>
    <w:pPr>
      <w:widowControl/>
      <w:bidi w:val="0"/>
      <w:spacing w:lineRule="auto" w:line="240" w:before="0" w:after="0"/>
      <w:jc w:val="left"/>
    </w:pPr>
    <w:rPr>
      <w:rFonts w:ascii="Calibri" w:hAnsi="Calibri" w:cs="Calibri" w:eastAsia="Calibri"/>
      <w:color w:val="000000"/>
      <w:kern w:val="0"/>
      <w:sz w:val="24"/>
      <w:szCs w:val="24"/>
      <w:lang w:val="es-CR" w:eastAsia="en-US" w:bidi="ar-SA"/>
    </w:rPr>
  </w:style>
  <w:style w:type="paragraph" w:styleId="Xmsoheading7" w:customStyle="1">
    <w:name w:val="x_msoheading7"/>
    <w:basedOn w:val="Normal"/>
    <w:uiPriority w:val="99"/>
    <w:qFormat/>
    <w:rsid w:val="004c458d"/>
    <w:pPr>
      <w:keepNext w:val="true"/>
      <w:shd w:val="clear" w:color="auto" w:fill="FFFFFF"/>
      <w:spacing w:lineRule="auto" w:line="240" w:before="0" w:after="0"/>
      <w:jc w:val="right"/>
    </w:pPr>
    <w:rPr>
      <w:rFonts w:ascii="Arial" w:hAnsi="Arial" w:cs="Arial"/>
      <w:b/>
      <w:bCs/>
      <w:sz w:val="24"/>
      <w:szCs w:val="24"/>
      <w:u w:val="single"/>
      <w:lang w:eastAsia="es-CR"/>
    </w:rPr>
  </w:style>
  <w:style w:type="paragraph" w:styleId="Xmsobodytext" w:customStyle="1">
    <w:name w:val="x_msobodytext"/>
    <w:basedOn w:val="Normal"/>
    <w:uiPriority w:val="99"/>
    <w:qFormat/>
    <w:rsid w:val="004c458d"/>
    <w:pPr>
      <w:spacing w:lineRule="auto" w:line="240" w:before="0" w:after="120"/>
    </w:pPr>
    <w:rPr>
      <w:rFonts w:ascii="Times New Roman" w:hAnsi="Times New Roman" w:cs="Times New Roman"/>
      <w:sz w:val="24"/>
      <w:szCs w:val="24"/>
      <w:lang w:eastAsia="es-CR"/>
    </w:rPr>
  </w:style>
  <w:style w:type="paragraph" w:styleId="Xtulo1" w:customStyle="1">
    <w:name w:val="x_tulo1"/>
    <w:basedOn w:val="Normal"/>
    <w:uiPriority w:val="99"/>
    <w:qFormat/>
    <w:rsid w:val="004c458d"/>
    <w:pPr>
      <w:keepNext w:val="true"/>
      <w:shd w:val="clear" w:color="auto" w:fill="FFFFFF"/>
      <w:spacing w:lineRule="auto" w:line="240" w:before="0" w:after="0"/>
      <w:jc w:val="both"/>
    </w:pPr>
    <w:rPr>
      <w:rFonts w:ascii="Arial" w:hAnsi="Arial" w:cs="Arial"/>
      <w:b/>
      <w:bCs/>
      <w:u w:val="single"/>
      <w:lang w:eastAsia="es-CR"/>
    </w:rPr>
  </w:style>
  <w:style w:type="paragraph" w:styleId="Xttulo51" w:customStyle="1">
    <w:name w:val="x_ttulo51"/>
    <w:basedOn w:val="Normal"/>
    <w:uiPriority w:val="99"/>
    <w:qFormat/>
    <w:rsid w:val="004c458d"/>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Xttulo53" w:customStyle="1">
    <w:name w:val="x_ttulo53"/>
    <w:basedOn w:val="Normal"/>
    <w:uiPriority w:val="99"/>
    <w:qFormat/>
    <w:rsid w:val="004c458d"/>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BodyText2">
    <w:name w:val="Body Text 2"/>
    <w:basedOn w:val="Normal"/>
    <w:link w:val="Textoindependiente2Car"/>
    <w:uiPriority w:val="99"/>
    <w:semiHidden/>
    <w:unhideWhenUsed/>
    <w:qFormat/>
    <w:rsid w:val="00c5416b"/>
    <w:pPr>
      <w:spacing w:lineRule="auto" w:line="480" w:before="0" w:after="120"/>
    </w:pPr>
    <w:rPr/>
  </w:style>
  <w:style w:type="paragraph" w:styleId="Ttulo55" w:customStyle="1">
    <w:name w:val="Título 55"/>
    <w:next w:val="Normal"/>
    <w:qFormat/>
    <w:rsid w:val="00c407dd"/>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extodebloque2" w:customStyle="1">
    <w:name w:val="Texto de bloque2"/>
    <w:basedOn w:val="Normal"/>
    <w:qFormat/>
    <w:rsid w:val="00f4197b"/>
    <w:pPr>
      <w:spacing w:lineRule="auto" w:line="240" w:before="0" w:after="0"/>
      <w:ind w:left="851" w:right="851" w:firstLine="709"/>
      <w:jc w:val="both"/>
    </w:pPr>
    <w:rPr>
      <w:rFonts w:ascii="Times New Roman" w:hAnsi="Times New Roman" w:cs="Times New Roman"/>
      <w:sz w:val="24"/>
      <w:szCs w:val="24"/>
      <w:lang w:eastAsia="zh-CN"/>
    </w:rPr>
  </w:style>
  <w:style w:type="paragraph" w:styleId="Contenidodelmarco">
    <w:name w:val="Contenido del marco"/>
    <w:basedOn w:val="Normal"/>
    <w:qFormat/>
    <w:pPr/>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customStyle="1" w:styleId="TableGrid">
    <w:name w:val="TableGrid"/>
    <w:rsid w:val="00910a94"/>
    <w:pPr>
      <w:spacing w:after="0" w:line="240" w:lineRule="auto"/>
    </w:pPr>
    <w:rPr>
      <w:rFonts w:eastAsiaTheme="minorEastAsia"/>
      <w:lang w:eastAsia="es-CR"/>
    </w:rPr>
    <w:tblPr>
      <w:tblCellMar>
        <w:top w:w="0" w:type="dxa"/>
        <w:left w:w="0" w:type="dxa"/>
        <w:bottom w:w="0" w:type="dxa"/>
        <w:right w:w="0" w:type="dxa"/>
      </w:tblCellMar>
    </w:tblPr>
  </w:style>
  <w:style w:type="table" w:styleId="Cuadrculaclara-nfasis5">
    <w:name w:val="Light Grid Accent 5"/>
    <w:basedOn w:val="Tablanormal"/>
    <w:uiPriority w:val="62"/>
    <w:rsid w:val="006047af"/>
    <w:pPr>
      <w:spacing w:after="0" w:line="240" w:lineRule="auto"/>
    </w:pPr>
    <w:tblPr>
      <w:tblStyleRowBandSize w:val="1"/>
      <w:tblStyleColBandSize w:val="1"/>
      <w:tblBorders>
        <w:top w:val="single" w:color="4472C4" w:themeColor="accent5" w:sz="8" w:space="0"/>
        <w:left w:val="single" w:color="4472C4" w:themeColor="accent5" w:sz="8" w:space="0"/>
        <w:bottom w:val="single" w:color="4472C4" w:themeColor="accent5" w:sz="8" w:space="0"/>
        <w:right w:val="single" w:color="4472C4" w:themeColor="accent5" w:sz="8" w:space="0"/>
        <w:insideH w:val="single" w:color="4472C4" w:themeColor="accent5" w:sz="8" w:space="0"/>
        <w:insideV w:val="single" w:color="4472C4"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5" w:sz="8" w:space="0"/>
          <w:left w:val="single" w:color="4472C4" w:themeColor="accent5" w:sz="8" w:space="0"/>
          <w:bottom w:val="single" w:color="4472C4" w:themeColor="accent5" w:sz="18" w:space="0"/>
          <w:right w:val="single" w:color="4472C4" w:themeColor="accent5" w:sz="8" w:space="0"/>
          <w:insideH w:val="nil"/>
          <w:insideV w:val="single" w:color="4472C4"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5" w:sz="6" w:space="0"/>
          <w:left w:val="single" w:color="4472C4" w:themeColor="accent5" w:sz="8" w:space="0"/>
          <w:bottom w:val="single" w:color="4472C4" w:themeColor="accent5" w:sz="8" w:space="0"/>
          <w:right w:val="single" w:color="4472C4" w:themeColor="accent5" w:sz="8" w:space="0"/>
          <w:insideH w:val="nil"/>
          <w:insideV w:val="single" w:color="4472C4" w:themeColor="accent5"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tcPr>
    </w:tblStylePr>
    <w:tblStylePr w:type="band1Vert">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shd w:val="clear" w:color="auto" w:fill="D0DBF0" w:themeFill="accent5" w:themeFillTint="3f"/>
      </w:tcPr>
    </w:tblStylePr>
    <w:tblStylePr w:type="band1Horz">
      <w:tblPr/>
      <w:tcPr>
        <w:tcBorders>
          <w:top w:val="single" w:color="4472C4" w:themeColor="accent5" w:sz="8" w:space="0"/>
          <w:left w:val="single" w:color="4472C4" w:themeColor="accent5" w:sz="8" w:space="0"/>
          <w:bottom w:val="single" w:color="4472C4" w:themeColor="accent5" w:sz="8" w:space="0"/>
          <w:right w:val="single" w:color="4472C4" w:themeColor="accent5" w:sz="8" w:space="0"/>
          <w:insideV w:val="single" w:color="4472C4" w:themeColor="accent5" w:sz="8" w:space="0"/>
        </w:tcBorders>
        <w:shd w:val="clear" w:color="auto" w:fill="D0DBF0" w:themeFill="accent5" w:themeFillTint="3f"/>
      </w:tcPr>
    </w:tblStylePr>
    <w:tblStylePr w:type="band2Horz">
      <w:tblPr/>
      <w:tcPr>
        <w:tcBorders>
          <w:top w:val="single" w:color="4472C4" w:themeColor="accent5" w:sz="8" w:space="0"/>
          <w:left w:val="single" w:color="4472C4" w:themeColor="accent5" w:sz="8" w:space="0"/>
          <w:bottom w:val="single" w:color="4472C4" w:themeColor="accent5" w:sz="8" w:space="0"/>
          <w:right w:val="single" w:color="4472C4" w:themeColor="accent5" w:sz="8" w:space="0"/>
          <w:insideV w:val="single" w:color="4472C4" w:themeColor="accent5" w:sz="8" w:space="0"/>
        </w:tcBorders>
      </w:tcPr>
    </w:tblStylePr>
  </w:style>
  <w:style w:type="table" w:styleId="Tablaconcuadrcula">
    <w:name w:val="Table Grid"/>
    <w:basedOn w:val="Tablanormal"/>
    <w:uiPriority w:val="59"/>
    <w:rsid w:val="006047a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dyanne.marenco@cruzroja.or.cr" TargetMode="External"/><Relationship Id="rId3" Type="http://schemas.openxmlformats.org/officeDocument/2006/relationships/oleObject" Target="embeddings/oleObject1.bin"/><Relationship Id="rId4" Type="http://schemas.openxmlformats.org/officeDocument/2006/relationships/image" Target="media/image1.wmf"/><Relationship Id="rId5" Type="http://schemas.openxmlformats.org/officeDocument/2006/relationships/oleObject" Target="embeddings/oleObject2.bin"/><Relationship Id="rId6" Type="http://schemas.openxmlformats.org/officeDocument/2006/relationships/image" Target="media/image2.wmf"/><Relationship Id="rId7" Type="http://schemas.openxmlformats.org/officeDocument/2006/relationships/hyperlink" Target="mailto:tproca-sgdoc@poder-judicial.go.cr" TargetMode="External"/><Relationship Id="rId8" Type="http://schemas.openxmlformats.org/officeDocument/2006/relationships/hyperlink" Target="http://www.poder-judicial.go.cr/" TargetMode="External"/><Relationship Id="rId9" Type="http://schemas.openxmlformats.org/officeDocument/2006/relationships/hyperlink" Target="mailto:fr.ortiz@hotmail.com" TargetMode="External"/><Relationship Id="rId10" Type="http://schemas.openxmlformats.org/officeDocument/2006/relationships/hyperlink" Target="mailto:jechaves@Poder-Judicial.go.cr" TargetMode="External"/><Relationship Id="rId11" Type="http://schemas.openxmlformats.org/officeDocument/2006/relationships/hyperlink" Target="mailto:tproca-sgdoc@poder-judicial.go.cr" TargetMode="External"/><Relationship Id="rId12" Type="http://schemas.openxmlformats.org/officeDocument/2006/relationships/hyperlink" Target="http://www.poder-judicial.go.cr/" TargetMode="External"/><Relationship Id="rId13" Type="http://schemas.openxmlformats.org/officeDocument/2006/relationships/hyperlink" Target="mailto:fr.ortiz@hotmail.com" TargetMode="External"/><Relationship Id="rId14" Type="http://schemas.openxmlformats.org/officeDocument/2006/relationships/oleObject" Target="embeddings/oleObject3.doc"/><Relationship Id="rId15" Type="http://schemas.openxmlformats.org/officeDocument/2006/relationships/image" Target="media/image3.wmf"/><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oleObject" Target="embeddings/oleObject4.bin"/><Relationship Id="rId19" Type="http://schemas.openxmlformats.org/officeDocument/2006/relationships/image" Target="media/image6.wmf"/><Relationship Id="rId20" Type="http://schemas.openxmlformats.org/officeDocument/2006/relationships/oleObject" Target="embeddings/oleObject5.bin"/><Relationship Id="rId21" Type="http://schemas.openxmlformats.org/officeDocument/2006/relationships/image" Target="media/image7.wmf"/><Relationship Id="rId22" Type="http://schemas.openxmlformats.org/officeDocument/2006/relationships/image" Target="media/image8.wmf"/><Relationship Id="rId23" Type="http://schemas.openxmlformats.org/officeDocument/2006/relationships/image" Target="media/image9.wmf"/><Relationship Id="rId24" Type="http://schemas.openxmlformats.org/officeDocument/2006/relationships/oleObject" Target="embeddings/oleObject6.bin"/><Relationship Id="rId25" Type="http://schemas.openxmlformats.org/officeDocument/2006/relationships/image" Target="media/image10.wmf"/><Relationship Id="rId26" Type="http://schemas.openxmlformats.org/officeDocument/2006/relationships/oleObject" Target="embeddings/oleObject7.bin"/><Relationship Id="rId27" Type="http://schemas.openxmlformats.org/officeDocument/2006/relationships/image" Target="media/image11.wmf"/><Relationship Id="rId28" Type="http://schemas.openxmlformats.org/officeDocument/2006/relationships/oleObject" Target="embeddings/oleObject8.bin"/><Relationship Id="rId29" Type="http://schemas.openxmlformats.org/officeDocument/2006/relationships/image" Target="media/image12.wmf"/><Relationship Id="rId30" Type="http://schemas.openxmlformats.org/officeDocument/2006/relationships/oleObject" Target="embeddings/oleObject9.bin"/><Relationship Id="rId31" Type="http://schemas.openxmlformats.org/officeDocument/2006/relationships/image" Target="media/image13.wmf"/><Relationship Id="rId32" Type="http://schemas.openxmlformats.org/officeDocument/2006/relationships/hyperlink" Target="mailto:ybonilla@Poder-Judicial.go.cr" TargetMode="External"/><Relationship Id="rId33" Type="http://schemas.openxmlformats.org/officeDocument/2006/relationships/oleObject" Target="embeddings/oleObject10.bin"/><Relationship Id="rId34" Type="http://schemas.openxmlformats.org/officeDocument/2006/relationships/image" Target="media/image14.wmf"/><Relationship Id="rId35" Type="http://schemas.openxmlformats.org/officeDocument/2006/relationships/oleObject" Target="embeddings/oleObject11.bin"/><Relationship Id="rId36" Type="http://schemas.openxmlformats.org/officeDocument/2006/relationships/image" Target="media/image15.wmf"/><Relationship Id="rId37" Type="http://schemas.openxmlformats.org/officeDocument/2006/relationships/hyperlink" Target="mailto:lsoro@Poder-Judicial.go.cr" TargetMode="External"/><Relationship Id="rId38" Type="http://schemas.openxmlformats.org/officeDocument/2006/relationships/hyperlink" Target="mailto:yalvaradov@Poder-Judicial.go.cr" TargetMode="External"/><Relationship Id="rId39" Type="http://schemas.openxmlformats.org/officeDocument/2006/relationships/oleObject" Target="embeddings/oleObject12.bin"/><Relationship Id="rId40" Type="http://schemas.openxmlformats.org/officeDocument/2006/relationships/image" Target="media/image16.wmf"/><Relationship Id="rId41" Type="http://schemas.openxmlformats.org/officeDocument/2006/relationships/oleObject" Target="embeddings/oleObject13.bin"/><Relationship Id="rId42" Type="http://schemas.openxmlformats.org/officeDocument/2006/relationships/image" Target="media/image17.wmf"/><Relationship Id="rId43" Type="http://schemas.openxmlformats.org/officeDocument/2006/relationships/oleObject" Target="embeddings/oleObject14.bin"/><Relationship Id="rId44" Type="http://schemas.openxmlformats.org/officeDocument/2006/relationships/image" Target="media/image18.wmf"/><Relationship Id="rId45" Type="http://schemas.openxmlformats.org/officeDocument/2006/relationships/oleObject" Target="embeddings/oleObject15.bin"/><Relationship Id="rId46" Type="http://schemas.openxmlformats.org/officeDocument/2006/relationships/image" Target="media/image19.wmf"/><Relationship Id="rId47" Type="http://schemas.openxmlformats.org/officeDocument/2006/relationships/oleObject" Target="embeddings/oleObject16.bin"/><Relationship Id="rId48" Type="http://schemas.openxmlformats.org/officeDocument/2006/relationships/image" Target="media/image20.wmf"/><Relationship Id="rId49" Type="http://schemas.openxmlformats.org/officeDocument/2006/relationships/image" Target="media/image21.wmf"/><Relationship Id="rId50" Type="http://schemas.openxmlformats.org/officeDocument/2006/relationships/image" Target="media/image22.wmf"/><Relationship Id="rId51" Type="http://schemas.openxmlformats.org/officeDocument/2006/relationships/oleObject" Target="embeddings/oleObject17.bin"/><Relationship Id="rId52" Type="http://schemas.openxmlformats.org/officeDocument/2006/relationships/image" Target="media/image23.wmf"/><Relationship Id="rId53" Type="http://schemas.openxmlformats.org/officeDocument/2006/relationships/oleObject" Target="embeddings/oleObject18.bin"/><Relationship Id="rId54" Type="http://schemas.openxmlformats.org/officeDocument/2006/relationships/image" Target="media/image24.wmf"/><Relationship Id="rId55" Type="http://schemas.openxmlformats.org/officeDocument/2006/relationships/oleObject" Target="embeddings/oleObject19.bin"/><Relationship Id="rId56" Type="http://schemas.openxmlformats.org/officeDocument/2006/relationships/image" Target="media/image25.wmf"/><Relationship Id="rId57" Type="http://schemas.openxmlformats.org/officeDocument/2006/relationships/image" Target="media/image26.wmf"/><Relationship Id="rId58" Type="http://schemas.openxmlformats.org/officeDocument/2006/relationships/oleObject" Target="embeddings/oleObject20.bin"/><Relationship Id="rId59" Type="http://schemas.openxmlformats.org/officeDocument/2006/relationships/image" Target="media/image27.wmf"/><Relationship Id="rId60" Type="http://schemas.openxmlformats.org/officeDocument/2006/relationships/image" Target="media/image28.wmf"/><Relationship Id="rId61" Type="http://schemas.openxmlformats.org/officeDocument/2006/relationships/oleObject" Target="embeddings/oleObject21.bin"/><Relationship Id="rId62" Type="http://schemas.openxmlformats.org/officeDocument/2006/relationships/image" Target="media/image29.wmf"/><Relationship Id="rId63" Type="http://schemas.openxmlformats.org/officeDocument/2006/relationships/image" Target="media/image30.wmf"/><Relationship Id="rId64" Type="http://schemas.openxmlformats.org/officeDocument/2006/relationships/oleObject" Target="embeddings/oleObject22.bin"/><Relationship Id="rId65" Type="http://schemas.openxmlformats.org/officeDocument/2006/relationships/image" Target="media/image31.wmf"/><Relationship Id="rId66" Type="http://schemas.openxmlformats.org/officeDocument/2006/relationships/image" Target="media/image32.wmf"/><Relationship Id="rId67" Type="http://schemas.openxmlformats.org/officeDocument/2006/relationships/oleObject" Target="embeddings/oleObject23.bin"/><Relationship Id="rId68" Type="http://schemas.openxmlformats.org/officeDocument/2006/relationships/image" Target="media/image33.wmf"/><Relationship Id="rId69" Type="http://schemas.openxmlformats.org/officeDocument/2006/relationships/oleObject" Target="embeddings/oleObject24.bin"/><Relationship Id="rId70" Type="http://schemas.openxmlformats.org/officeDocument/2006/relationships/image" Target="media/image34.wmf"/><Relationship Id="rId71" Type="http://schemas.openxmlformats.org/officeDocument/2006/relationships/oleObject" Target="embeddings/oleObject25.bin"/><Relationship Id="rId72" Type="http://schemas.openxmlformats.org/officeDocument/2006/relationships/image" Target="media/image35.wmf"/><Relationship Id="rId73" Type="http://schemas.openxmlformats.org/officeDocument/2006/relationships/oleObject" Target="embeddings/oleObject26.bin"/><Relationship Id="rId74" Type="http://schemas.openxmlformats.org/officeDocument/2006/relationships/image" Target="media/image36.wmf"/><Relationship Id="rId75" Type="http://schemas.openxmlformats.org/officeDocument/2006/relationships/oleObject" Target="embeddings/oleObject27.bin"/><Relationship Id="rId76" Type="http://schemas.openxmlformats.org/officeDocument/2006/relationships/image" Target="media/image37.wmf"/><Relationship Id="rId77" Type="http://schemas.openxmlformats.org/officeDocument/2006/relationships/image" Target="media/image38.wmf"/><Relationship Id="rId78" Type="http://schemas.openxmlformats.org/officeDocument/2006/relationships/oleObject" Target="embeddings/oleObject28.bin"/><Relationship Id="rId79" Type="http://schemas.openxmlformats.org/officeDocument/2006/relationships/image" Target="media/image39.wmf"/><Relationship Id="rId80" Type="http://schemas.openxmlformats.org/officeDocument/2006/relationships/oleObject" Target="embeddings/oleObject29.bin"/><Relationship Id="rId81" Type="http://schemas.openxmlformats.org/officeDocument/2006/relationships/image" Target="media/image40.wmf"/><Relationship Id="rId82" Type="http://schemas.openxmlformats.org/officeDocument/2006/relationships/oleObject" Target="embeddings/oleObject30.bin"/><Relationship Id="rId83" Type="http://schemas.openxmlformats.org/officeDocument/2006/relationships/image" Target="media/image41.wmf"/><Relationship Id="rId84" Type="http://schemas.openxmlformats.org/officeDocument/2006/relationships/hyperlink" Target="mailto:ealfaror@Poder-Judicial.go.cr" TargetMode="External"/><Relationship Id="rId85" Type="http://schemas.openxmlformats.org/officeDocument/2006/relationships/hyperlink" Target="mailto:echavarriaa@Poder-Judicial.go.cr" TargetMode="External"/><Relationship Id="rId86" Type="http://schemas.openxmlformats.org/officeDocument/2006/relationships/hyperlink" Target="mailto:cromero@poder-judicial.go.cr" TargetMode="External"/><Relationship Id="rId87" Type="http://schemas.openxmlformats.org/officeDocument/2006/relationships/hyperlink" Target="mailto:bertareyesgu126@gmail.cm" TargetMode="External"/><Relationship Id="rId88" Type="http://schemas.openxmlformats.org/officeDocument/2006/relationships/oleObject" Target="embeddings/oleObject31.bin"/><Relationship Id="rId89" Type="http://schemas.openxmlformats.org/officeDocument/2006/relationships/image" Target="media/image42.wmf"/><Relationship Id="rId90" Type="http://schemas.openxmlformats.org/officeDocument/2006/relationships/hyperlink" Target="mailto:eatencio7@gmail.com" TargetMode="External"/><Relationship Id="rId91" Type="http://schemas.openxmlformats.org/officeDocument/2006/relationships/hyperlink" Target="mailto:dvargas@Poder-Judicial.go.cr" TargetMode="External"/><Relationship Id="rId92" Type="http://schemas.openxmlformats.org/officeDocument/2006/relationships/hyperlink" Target="mailto:dvargas@Poder-Judicial.go.cr" TargetMode="External"/><Relationship Id="rId93" Type="http://schemas.openxmlformats.org/officeDocument/2006/relationships/hyperlink" Target="mailto:contraloriapj@Poder-Judicial.go.cr" TargetMode="External"/><Relationship Id="rId94" Type="http://schemas.openxmlformats.org/officeDocument/2006/relationships/hyperlink" Target="mailto:cromero@poder-judicial.go.cr" TargetMode="External"/><Relationship Id="rId95" Type="http://schemas.openxmlformats.org/officeDocument/2006/relationships/hyperlink" Target="mailto:ealfaror@Poder-Judicial.go.cr" TargetMode="External"/><Relationship Id="rId96" Type="http://schemas.openxmlformats.org/officeDocument/2006/relationships/hyperlink" Target="mailto:eatencio7@gmail.com" TargetMode="External"/><Relationship Id="rId97" Type="http://schemas.openxmlformats.org/officeDocument/2006/relationships/oleObject" Target="embeddings/oleObject32.bin"/><Relationship Id="rId98" Type="http://schemas.openxmlformats.org/officeDocument/2006/relationships/image" Target="media/image43.wmf"/><Relationship Id="rId99" Type="http://schemas.openxmlformats.org/officeDocument/2006/relationships/oleObject" Target="embeddings/oleObject33.bin"/><Relationship Id="rId100" Type="http://schemas.openxmlformats.org/officeDocument/2006/relationships/image" Target="media/image44.wmf"/><Relationship Id="rId101" Type="http://schemas.openxmlformats.org/officeDocument/2006/relationships/oleObject" Target="embeddings/oleObject34.bin"/><Relationship Id="rId102" Type="http://schemas.openxmlformats.org/officeDocument/2006/relationships/image" Target="media/image45.wmf"/><Relationship Id="rId103" Type="http://schemas.openxmlformats.org/officeDocument/2006/relationships/oleObject" Target="embeddings/oleObject35.bin"/><Relationship Id="rId104" Type="http://schemas.openxmlformats.org/officeDocument/2006/relationships/image" Target="media/image46.wmf"/><Relationship Id="rId105" Type="http://schemas.openxmlformats.org/officeDocument/2006/relationships/oleObject" Target="embeddings/oleObject36.bin"/><Relationship Id="rId106" Type="http://schemas.openxmlformats.org/officeDocument/2006/relationships/image" Target="media/image47.wmf"/><Relationship Id="rId107" Type="http://schemas.openxmlformats.org/officeDocument/2006/relationships/oleObject" Target="embeddings/oleObject37.bin"/><Relationship Id="rId108" Type="http://schemas.openxmlformats.org/officeDocument/2006/relationships/image" Target="media/image48.wmf"/><Relationship Id="rId109" Type="http://schemas.openxmlformats.org/officeDocument/2006/relationships/oleObject" Target="embeddings/oleObject38.bin"/><Relationship Id="rId110" Type="http://schemas.openxmlformats.org/officeDocument/2006/relationships/image" Target="media/image49.wmf"/><Relationship Id="rId111" Type="http://schemas.openxmlformats.org/officeDocument/2006/relationships/oleObject" Target="embeddings/oleObject39.bin"/><Relationship Id="rId112" Type="http://schemas.openxmlformats.org/officeDocument/2006/relationships/image" Target="media/image50.wmf"/><Relationship Id="rId113" Type="http://schemas.openxmlformats.org/officeDocument/2006/relationships/oleObject" Target="embeddings/oleObject40.bin"/><Relationship Id="rId114" Type="http://schemas.openxmlformats.org/officeDocument/2006/relationships/image" Target="media/image51.wmf"/><Relationship Id="rId115" Type="http://schemas.openxmlformats.org/officeDocument/2006/relationships/oleObject" Target="embeddings/oleObject41.bin"/><Relationship Id="rId116" Type="http://schemas.openxmlformats.org/officeDocument/2006/relationships/image" Target="media/image52.wmf"/><Relationship Id="rId117" Type="http://schemas.openxmlformats.org/officeDocument/2006/relationships/oleObject" Target="embeddings/oleObject42.bin"/><Relationship Id="rId118" Type="http://schemas.openxmlformats.org/officeDocument/2006/relationships/image" Target="media/image53.wmf"/><Relationship Id="rId119" Type="http://schemas.openxmlformats.org/officeDocument/2006/relationships/oleObject" Target="embeddings/oleObject43.bin"/><Relationship Id="rId120" Type="http://schemas.openxmlformats.org/officeDocument/2006/relationships/image" Target="media/image54.wmf"/><Relationship Id="rId121" Type="http://schemas.openxmlformats.org/officeDocument/2006/relationships/image" Target="media/image55.jpeg"/><Relationship Id="rId122" Type="http://schemas.openxmlformats.org/officeDocument/2006/relationships/oleObject" Target="embeddings/oleObject44.bin"/><Relationship Id="rId123" Type="http://schemas.openxmlformats.org/officeDocument/2006/relationships/image" Target="media/image56.wmf"/><Relationship Id="rId124" Type="http://schemas.openxmlformats.org/officeDocument/2006/relationships/image" Target="media/image57.jpeg"/><Relationship Id="rId125" Type="http://schemas.openxmlformats.org/officeDocument/2006/relationships/hyperlink" Target="mailto:dvargas@Poder-Judicial.go.cr" TargetMode="External"/><Relationship Id="rId126" Type="http://schemas.openxmlformats.org/officeDocument/2006/relationships/hyperlink" Target="mailto:ealfaror@Poder-Judicial.go.cr" TargetMode="External"/><Relationship Id="rId127" Type="http://schemas.openxmlformats.org/officeDocument/2006/relationships/hyperlink" Target="mailto:cromero@poder-judicial.go.cr" TargetMode="External"/><Relationship Id="rId128" Type="http://schemas.openxmlformats.org/officeDocument/2006/relationships/hyperlink" Target="mailto:contraloriapj@Poder-Judicial.go.cr" TargetMode="External"/><Relationship Id="rId129" Type="http://schemas.openxmlformats.org/officeDocument/2006/relationships/hyperlink" Target="mailto:pze-contraloria@Poder-Judicial.go.cr" TargetMode="External"/><Relationship Id="rId130" Type="http://schemas.openxmlformats.org/officeDocument/2006/relationships/hyperlink" Target="mailto:presidencia@Poder-Judicial.go.cr" TargetMode="External"/><Relationship Id="rId131" Type="http://schemas.openxmlformats.org/officeDocument/2006/relationships/hyperlink" Target="mailto:despacho_pre@Poder-Judicial.go.cr" TargetMode="External"/><Relationship Id="rId132" Type="http://schemas.openxmlformats.org/officeDocument/2006/relationships/hyperlink" Target="mailto:accesojusticia@Poder-Judicial.go.cr" TargetMode="External"/><Relationship Id="rId133" Type="http://schemas.openxmlformats.org/officeDocument/2006/relationships/hyperlink" Target="mailto:fai-mp@Poder-Judicial.go.cr" TargetMode="External"/><Relationship Id="rId134" Type="http://schemas.openxmlformats.org/officeDocument/2006/relationships/hyperlink" Target="mailto:fgeneral@Poder-Judicial.go.cr" TargetMode="External"/><Relationship Id="rId135" Type="http://schemas.openxmlformats.org/officeDocument/2006/relationships/hyperlink" Target="mailto:oij@Poder-Judicial.go.cr" TargetMode="External"/><Relationship Id="rId136" Type="http://schemas.openxmlformats.org/officeDocument/2006/relationships/hyperlink" Target="mailto:spindigenas@Poder-Judicial.go.cr" TargetMode="External"/><Relationship Id="rId137" Type="http://schemas.openxmlformats.org/officeDocument/2006/relationships/hyperlink" Target="mailto:tavoreamuno72@gmail.com" TargetMode="External"/><Relationship Id="rId138" Type="http://schemas.openxmlformats.org/officeDocument/2006/relationships/hyperlink" Target="mailto:apaniagua@dhr.go.cr" TargetMode="External"/><Relationship Id="rId139" Type="http://schemas.openxmlformats.org/officeDocument/2006/relationships/hyperlink" Target="mailto:accesojusticia@Poder-Judicial.go.cr" TargetMode="External"/><Relationship Id="rId140" Type="http://schemas.openxmlformats.org/officeDocument/2006/relationships/hyperlink" Target="mailto:alice.harding.shackelford@one.un.org" TargetMode="External"/><Relationship Id="rId141" Type="http://schemas.openxmlformats.org/officeDocument/2006/relationships/hyperlink" Target="mailto:cidhoea@oas.org" TargetMode="External"/><Relationship Id="rId142" Type="http://schemas.openxmlformats.org/officeDocument/2006/relationships/hyperlink" Target="mailto:consejomayores.iriria@gmail.com" TargetMode="External"/><Relationship Id="rId143" Type="http://schemas.openxmlformats.org/officeDocument/2006/relationships/hyperlink" Target="mailto:dialogociudadano@presidencia.go.cr" TargetMode="External"/><Relationship Id="rId144" Type="http://schemas.openxmlformats.org/officeDocument/2006/relationships/hyperlink" Target="mailto:felipeculturabribri@gmail.com" TargetMode="External"/><Relationship Id="rId145" Type="http://schemas.openxmlformats.org/officeDocument/2006/relationships/hyperlink" Target="mailto:indigenous@ohchr.org" TargetMode="External"/><Relationship Id="rId146" Type="http://schemas.openxmlformats.org/officeDocument/2006/relationships/hyperlink" Target="mailto:mherrera@dhr.go.cr" TargetMode="External"/><Relationship Id="rId147" Type="http://schemas.openxmlformats.org/officeDocument/2006/relationships/hyperlink" Target="mailto:patrimorac@hotmail.com" TargetMode="External"/><Relationship Id="rId148" Type="http://schemas.openxmlformats.org/officeDocument/2006/relationships/hyperlink" Target="mailto:roberthmv1974@gmail.com" TargetMode="External"/><Relationship Id="rId149" Type="http://schemas.openxmlformats.org/officeDocument/2006/relationships/hyperlink" Target="mailto:vjimenez342@gmail.com" TargetMode="External"/><Relationship Id="rId150" Type="http://schemas.openxmlformats.org/officeDocument/2006/relationships/hyperlink" Target="mailto:mbenavidesv@Poder-Judicial.go.cr" TargetMode="External"/><Relationship Id="rId151" Type="http://schemas.openxmlformats.org/officeDocument/2006/relationships/hyperlink" Target="mailto:cerrodeoro@gmail.com" TargetMode="External"/><Relationship Id="rId152" Type="http://schemas.openxmlformats.org/officeDocument/2006/relationships/hyperlink" Target="mailto:tavoreamuno72@gmail.com" TargetMode="External"/><Relationship Id="rId153" Type="http://schemas.openxmlformats.org/officeDocument/2006/relationships/hyperlink" Target="mailto:presidencia@Poder-Judicial.go.cr" TargetMode="External"/><Relationship Id="rId154" Type="http://schemas.openxmlformats.org/officeDocument/2006/relationships/hyperlink" Target="mailto:despacho_pre@Poder-Judicial.go.cr" TargetMode="External"/><Relationship Id="rId155" Type="http://schemas.openxmlformats.org/officeDocument/2006/relationships/hyperlink" Target="mailto:accesojusticia@Poder-Judicial.go.cr" TargetMode="External"/><Relationship Id="rId156" Type="http://schemas.openxmlformats.org/officeDocument/2006/relationships/hyperlink" Target="mailto:tavoreamuno72@gmail.com" TargetMode="External"/><Relationship Id="rId157" Type="http://schemas.openxmlformats.org/officeDocument/2006/relationships/hyperlink" Target="mailto:dvargas@Poder-Judicial.go.cr" TargetMode="External"/><Relationship Id="rId158" Type="http://schemas.openxmlformats.org/officeDocument/2006/relationships/hyperlink" Target="mailto:apaniagua@dhr.go.cr" TargetMode="External"/><Relationship Id="rId159" Type="http://schemas.openxmlformats.org/officeDocument/2006/relationships/hyperlink" Target="mailto:accesojusticia@Poder-Judicial.go.cr" TargetMode="External"/><Relationship Id="rId160" Type="http://schemas.openxmlformats.org/officeDocument/2006/relationships/hyperlink" Target="mailto:alice.harding.shackelford@one.un.org" TargetMode="External"/><Relationship Id="rId161" Type="http://schemas.openxmlformats.org/officeDocument/2006/relationships/hyperlink" Target="mailto:cidhoea@oas.org" TargetMode="External"/><Relationship Id="rId162" Type="http://schemas.openxmlformats.org/officeDocument/2006/relationships/hyperlink" Target="mailto:consejomayores.iriria@gmail.com" TargetMode="External"/><Relationship Id="rId163" Type="http://schemas.openxmlformats.org/officeDocument/2006/relationships/hyperlink" Target="mailto:dialogociudadano@presidencia.go.cr" TargetMode="External"/><Relationship Id="rId164" Type="http://schemas.openxmlformats.org/officeDocument/2006/relationships/hyperlink" Target="mailto:felipeculturabribri@gmail.com" TargetMode="External"/><Relationship Id="rId165" Type="http://schemas.openxmlformats.org/officeDocument/2006/relationships/hyperlink" Target="mailto:indigenous@ohchr.org" TargetMode="External"/><Relationship Id="rId166" Type="http://schemas.openxmlformats.org/officeDocument/2006/relationships/hyperlink" Target="mailto:mherrera@dhr.go.cr" TargetMode="External"/><Relationship Id="rId167" Type="http://schemas.openxmlformats.org/officeDocument/2006/relationships/hyperlink" Target="mailto:patrimorac@hotmail.com" TargetMode="External"/><Relationship Id="rId168" Type="http://schemas.openxmlformats.org/officeDocument/2006/relationships/hyperlink" Target="mailto:roberthmv1974@gmail.com" TargetMode="External"/><Relationship Id="rId169" Type="http://schemas.openxmlformats.org/officeDocument/2006/relationships/hyperlink" Target="mailto:vjimenez342@gmail.com" TargetMode="External"/><Relationship Id="rId170" Type="http://schemas.openxmlformats.org/officeDocument/2006/relationships/hyperlink" Target="mailto:mbenavidesv@Poder-Judicial.go.cr" TargetMode="External"/><Relationship Id="rId171" Type="http://schemas.openxmlformats.org/officeDocument/2006/relationships/hyperlink" Target="mailto:cerrodeoro@gmail.com" TargetMode="External"/><Relationship Id="rId172" Type="http://schemas.openxmlformats.org/officeDocument/2006/relationships/hyperlink" Target="mailto:tavoreamuno72@gmail.com" TargetMode="External"/><Relationship Id="rId173" Type="http://schemas.openxmlformats.org/officeDocument/2006/relationships/header" Target="header1.xml"/><Relationship Id="rId174" Type="http://schemas.openxmlformats.org/officeDocument/2006/relationships/numbering" Target="numbering.xml"/><Relationship Id="rId175" Type="http://schemas.openxmlformats.org/officeDocument/2006/relationships/fontTable" Target="fontTable.xml"/><Relationship Id="rId176" Type="http://schemas.openxmlformats.org/officeDocument/2006/relationships/settings" Target="settings.xml"/><Relationship Id="rId177"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Application>LibreOffice/7.0.3.1$Windows_x86 LibreOffice_project/d7547858d014d4cf69878db179d326fc3483e082</Application>
  <Pages>48</Pages>
  <Words>17972</Words>
  <Characters>98197</Characters>
  <CharactersWithSpaces>116108</CharactersWithSpaces>
  <Paragraphs>832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2021-02-23T17:28:00Z</dcterms:created>
  <dc:creator>Damaris Vargas Vásquez</dc:creator>
  <dc:description/>
  <dc:language>es-CR</dc:language>
  <cp:lastModifiedBy>Francini Vindas Vargas</cp:lastModifiedBy>
  <cp:lastPrinted>2019-06-04T07:37:00Z</cp:lastPrinted>
  <dcterms:modified xsi:type="dcterms:W3CDTF">2021-02-23T17:28:00Z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