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36816" w14:textId="033A04CD" w:rsidR="00190BDD" w:rsidRPr="00DC1573" w:rsidRDefault="00190BDD" w:rsidP="00190BDD">
      <w:pPr>
        <w:tabs>
          <w:tab w:val="center" w:pos="4252"/>
          <w:tab w:val="right" w:pos="8504"/>
        </w:tabs>
        <w:jc w:val="center"/>
        <w:rPr>
          <w:rFonts w:ascii="Century Gothic" w:hAnsi="Century Gothic"/>
          <w:b/>
          <w:i/>
        </w:rPr>
      </w:pPr>
      <w:r w:rsidRPr="00DC1573">
        <w:rPr>
          <w:rFonts w:ascii="Century Gothic" w:hAnsi="Century Gothic"/>
          <w:noProof/>
        </w:rPr>
        <w:drawing>
          <wp:anchor distT="0" distB="0" distL="114300" distR="114300" simplePos="0" relativeHeight="251659264" behindDoc="1" locked="0" layoutInCell="1" allowOverlap="1" wp14:anchorId="4E32F713" wp14:editId="63D6D588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85800" cy="683260"/>
            <wp:effectExtent l="0" t="0" r="0" b="254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8580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1573">
        <w:rPr>
          <w:rFonts w:ascii="Century Gothic" w:hAnsi="Century Gothic"/>
          <w:noProof/>
        </w:rPr>
        <mc:AlternateContent>
          <mc:Choice Requires="wps">
            <w:drawing>
              <wp:anchor distT="0" distB="0" distL="114935" distR="114935" simplePos="0" relativeHeight="251658240" behindDoc="1" locked="0" layoutInCell="1" allowOverlap="1" wp14:anchorId="48FE609F" wp14:editId="62B07835">
                <wp:simplePos x="0" y="0"/>
                <wp:positionH relativeFrom="column">
                  <wp:posOffset>0</wp:posOffset>
                </wp:positionH>
                <wp:positionV relativeFrom="paragraph">
                  <wp:posOffset>-358140</wp:posOffset>
                </wp:positionV>
                <wp:extent cx="596900" cy="66294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ADD53" w14:textId="64437C24" w:rsidR="00190BDD" w:rsidRDefault="00190BDD" w:rsidP="00190BDD">
                            <w:pPr>
                              <w:ind w:right="3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CR" w:eastAsia="es-CR"/>
                              </w:rPr>
                              <w:drawing>
                                <wp:inline distT="0" distB="0" distL="0" distR="0" wp14:anchorId="61CD8E59" wp14:editId="7277429D">
                                  <wp:extent cx="590550" cy="666750"/>
                                  <wp:effectExtent l="0" t="0" r="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48FE609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-28.2pt;width:47pt;height:52.2pt;z-index:-251658240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" stroked="f">
                <v:textbox style="mso-fit-shape-to-text:t" inset="0,0,0,0">
                  <w:txbxContent>
                    <w:p w14:paraId="25DADD53" w14:textId="64437C24" w:rsidR="00190BDD" w:rsidRDefault="00190BDD" w:rsidP="00190BDD">
                      <w:pPr>
                        <w:ind w:right="3"/>
                      </w:pPr>
                      <w:r>
                        <w:rPr>
                          <w:noProof/>
                          <w:sz w:val="20"/>
                          <w:szCs w:val="20"/>
                          <w:lang w:val="es-CR" w:eastAsia="es-CR"/>
                        </w:rPr>
                        <w:drawing>
                          <wp:inline distT="0" distB="0" distL="0" distR="0" wp14:anchorId="61CD8E59" wp14:editId="7277429D">
                            <wp:extent cx="590550" cy="666750"/>
                            <wp:effectExtent l="0" t="0" r="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666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C1573">
        <w:rPr>
          <w:rFonts w:ascii="Century Gothic" w:hAnsi="Century Gothic"/>
          <w:b/>
          <w:i/>
        </w:rPr>
        <w:t xml:space="preserve">PODER JUDICIAL     </w:t>
      </w:r>
    </w:p>
    <w:p w14:paraId="64BA71A2" w14:textId="42BA6178" w:rsidR="00190BDD" w:rsidRPr="00DC1573" w:rsidRDefault="00190BDD" w:rsidP="00190BDD">
      <w:pPr>
        <w:tabs>
          <w:tab w:val="center" w:pos="4252"/>
          <w:tab w:val="right" w:pos="8504"/>
        </w:tabs>
        <w:jc w:val="center"/>
        <w:rPr>
          <w:rFonts w:ascii="Century Gothic" w:hAnsi="Century Gothic"/>
          <w:i/>
          <w:lang w:val="es-ES_tradnl"/>
        </w:rPr>
      </w:pPr>
      <w:r w:rsidRPr="00DC1573">
        <w:rPr>
          <w:rFonts w:ascii="Century Gothic" w:hAnsi="Century Gothic"/>
          <w:b/>
          <w:i/>
        </w:rPr>
        <w:t xml:space="preserve">                                                                                  </w:t>
      </w:r>
    </w:p>
    <w:p w14:paraId="0C774D79" w14:textId="573743BB" w:rsidR="00190BDD" w:rsidRPr="00DC1573" w:rsidRDefault="00190BDD" w:rsidP="00190BDD">
      <w:pPr>
        <w:keepNext/>
        <w:jc w:val="center"/>
        <w:rPr>
          <w:rFonts w:ascii="Century Gothic" w:hAnsi="Century Gothic"/>
          <w:b/>
          <w:i/>
        </w:rPr>
      </w:pPr>
      <w:r w:rsidRPr="00DC1573">
        <w:rPr>
          <w:rFonts w:ascii="Century Gothic" w:hAnsi="Century Gothic"/>
          <w:b/>
          <w:i/>
        </w:rPr>
        <w:t>SUBCOMISIÓN</w:t>
      </w:r>
    </w:p>
    <w:p w14:paraId="5FA6491D" w14:textId="383E56A8" w:rsidR="00190BDD" w:rsidRPr="00DC1573" w:rsidRDefault="00190BDD" w:rsidP="00190BDD">
      <w:pPr>
        <w:keepNext/>
        <w:jc w:val="center"/>
        <w:rPr>
          <w:rFonts w:ascii="Century Gothic" w:hAnsi="Century Gothic"/>
          <w:b/>
          <w:i/>
        </w:rPr>
      </w:pPr>
      <w:r w:rsidRPr="00DC1573">
        <w:rPr>
          <w:rFonts w:ascii="Century Gothic" w:hAnsi="Century Gothic"/>
          <w:b/>
          <w:i/>
        </w:rPr>
        <w:t xml:space="preserve">ACCESO A LA JUSTICIA DE </w:t>
      </w:r>
      <w:r w:rsidR="00417A92" w:rsidRPr="00DC1573">
        <w:rPr>
          <w:rFonts w:ascii="Century Gothic" w:hAnsi="Century Gothic"/>
          <w:b/>
          <w:i/>
        </w:rPr>
        <w:t>PERSONAS CON DISCAPACIDAD</w:t>
      </w:r>
    </w:p>
    <w:p w14:paraId="2778314D" w14:textId="1534636B" w:rsidR="003850E4" w:rsidRPr="00DC1573" w:rsidRDefault="003850E4" w:rsidP="00190BDD">
      <w:pPr>
        <w:pStyle w:val="Encabezado"/>
        <w:pBdr>
          <w:bottom w:val="single" w:sz="12" w:space="1" w:color="auto"/>
        </w:pBdr>
        <w:tabs>
          <w:tab w:val="clear" w:pos="4320"/>
          <w:tab w:val="clear" w:pos="8640"/>
          <w:tab w:val="left" w:pos="709"/>
          <w:tab w:val="center" w:pos="4419"/>
          <w:tab w:val="right" w:pos="8838"/>
        </w:tabs>
        <w:jc w:val="center"/>
        <w:rPr>
          <w:rFonts w:ascii="Century Gothic" w:hAnsi="Century Gothic" w:cs="Times New Roman"/>
          <w:lang w:val="fr-FR"/>
        </w:rPr>
      </w:pPr>
    </w:p>
    <w:p w14:paraId="58A7A314" w14:textId="77777777" w:rsidR="003850E4" w:rsidRPr="00DC1573" w:rsidRDefault="003850E4" w:rsidP="00190BDD">
      <w:pPr>
        <w:pStyle w:val="Encabezado"/>
        <w:tabs>
          <w:tab w:val="clear" w:pos="4320"/>
          <w:tab w:val="clear" w:pos="8640"/>
          <w:tab w:val="left" w:pos="709"/>
          <w:tab w:val="center" w:pos="4419"/>
          <w:tab w:val="right" w:pos="8838"/>
        </w:tabs>
        <w:jc w:val="center"/>
        <w:rPr>
          <w:rFonts w:ascii="Century Gothic" w:hAnsi="Century Gothic" w:cs="Times New Roman"/>
          <w:lang w:val="fr-FR"/>
        </w:rPr>
      </w:pPr>
    </w:p>
    <w:p w14:paraId="5E8A8CCE" w14:textId="6F4D4B59" w:rsidR="00190BDD" w:rsidRPr="00DC1573" w:rsidRDefault="00190BDD">
      <w:pPr>
        <w:rPr>
          <w:rFonts w:ascii="Century Gothic" w:hAnsi="Century Gothic"/>
          <w:lang w:val="fr-FR"/>
        </w:rPr>
      </w:pPr>
    </w:p>
    <w:p w14:paraId="035093D1" w14:textId="45435D6A" w:rsidR="003850E4" w:rsidRPr="00DC1573" w:rsidRDefault="003850E4">
      <w:pPr>
        <w:rPr>
          <w:rFonts w:ascii="Century Gothic" w:hAnsi="Century Gothic"/>
          <w:lang w:val="fr-FR"/>
        </w:rPr>
      </w:pPr>
    </w:p>
    <w:p w14:paraId="5A5F2108" w14:textId="50899BE0" w:rsidR="003850E4" w:rsidRPr="00DC1573" w:rsidRDefault="003850E4" w:rsidP="00BB3611">
      <w:pPr>
        <w:suppressAutoHyphens w:val="0"/>
        <w:autoSpaceDE w:val="0"/>
        <w:autoSpaceDN w:val="0"/>
        <w:adjustRightInd w:val="0"/>
        <w:ind w:firstLine="708"/>
        <w:jc w:val="right"/>
        <w:rPr>
          <w:rFonts w:ascii="Century Gothic" w:eastAsiaTheme="minorHAnsi" w:hAnsi="Century Gothic" w:cs="Tahoma"/>
          <w:b/>
          <w:bCs/>
          <w:lang w:val="fr-FR" w:eastAsia="en-US"/>
        </w:rPr>
      </w:pPr>
      <w:r w:rsidRPr="00DC1573">
        <w:rPr>
          <w:rFonts w:ascii="Century Gothic" w:eastAsiaTheme="minorHAnsi" w:hAnsi="Century Gothic" w:cs="Tahoma"/>
          <w:b/>
          <w:bCs/>
          <w:lang w:val="fr-FR" w:eastAsia="en-US"/>
        </w:rPr>
        <w:t>San José, 17 de</w:t>
      </w:r>
      <w:r w:rsidR="00417A92" w:rsidRPr="00DC1573">
        <w:rPr>
          <w:rFonts w:ascii="Century Gothic" w:eastAsiaTheme="minorHAnsi" w:hAnsi="Century Gothic" w:cs="Tahoma"/>
          <w:b/>
          <w:bCs/>
          <w:lang w:val="fr-FR" w:eastAsia="en-US"/>
        </w:rPr>
        <w:t xml:space="preserve"> seti</w:t>
      </w:r>
      <w:r w:rsidR="009779D4" w:rsidRPr="00DC1573">
        <w:rPr>
          <w:rFonts w:ascii="Century Gothic" w:eastAsiaTheme="minorHAnsi" w:hAnsi="Century Gothic" w:cs="Tahoma"/>
          <w:b/>
          <w:bCs/>
          <w:lang w:val="fr-FR" w:eastAsia="en-US"/>
        </w:rPr>
        <w:t>e</w:t>
      </w:r>
      <w:r w:rsidR="00417A92" w:rsidRPr="00DC1573">
        <w:rPr>
          <w:rFonts w:ascii="Century Gothic" w:eastAsiaTheme="minorHAnsi" w:hAnsi="Century Gothic" w:cs="Tahoma"/>
          <w:b/>
          <w:bCs/>
          <w:lang w:val="fr-FR" w:eastAsia="en-US"/>
        </w:rPr>
        <w:t>m</w:t>
      </w:r>
      <w:r w:rsidR="009779D4" w:rsidRPr="00DC1573">
        <w:rPr>
          <w:rFonts w:ascii="Century Gothic" w:eastAsiaTheme="minorHAnsi" w:hAnsi="Century Gothic" w:cs="Tahoma"/>
          <w:b/>
          <w:bCs/>
          <w:lang w:val="fr-FR" w:eastAsia="en-US"/>
        </w:rPr>
        <w:t>b</w:t>
      </w:r>
      <w:r w:rsidR="00417A92" w:rsidRPr="00DC1573">
        <w:rPr>
          <w:rFonts w:ascii="Century Gothic" w:eastAsiaTheme="minorHAnsi" w:hAnsi="Century Gothic" w:cs="Tahoma"/>
          <w:b/>
          <w:bCs/>
          <w:lang w:val="fr-FR" w:eastAsia="en-US"/>
        </w:rPr>
        <w:t>re</w:t>
      </w:r>
      <w:r w:rsidRPr="00DC1573">
        <w:rPr>
          <w:rFonts w:ascii="Century Gothic" w:eastAsiaTheme="minorHAnsi" w:hAnsi="Century Gothic" w:cs="Tahoma"/>
          <w:b/>
          <w:bCs/>
          <w:lang w:val="fr-FR" w:eastAsia="en-US"/>
        </w:rPr>
        <w:t xml:space="preserve"> de 2021</w:t>
      </w:r>
    </w:p>
    <w:p w14:paraId="0E830F12" w14:textId="4068420B" w:rsidR="003850E4" w:rsidRPr="00DC1573" w:rsidRDefault="003850E4" w:rsidP="00BB3611">
      <w:pPr>
        <w:suppressAutoHyphens w:val="0"/>
        <w:autoSpaceDE w:val="0"/>
        <w:autoSpaceDN w:val="0"/>
        <w:adjustRightInd w:val="0"/>
        <w:jc w:val="right"/>
        <w:rPr>
          <w:rFonts w:ascii="Century Gothic" w:eastAsiaTheme="minorHAnsi" w:hAnsi="Century Gothic" w:cs="Tahoma"/>
          <w:b/>
          <w:bCs/>
          <w:lang w:val="es-CR" w:eastAsia="en-US"/>
        </w:rPr>
      </w:pPr>
      <w:r w:rsidRPr="00DC1573">
        <w:rPr>
          <w:rFonts w:ascii="Century Gothic" w:eastAsiaTheme="minorHAnsi" w:hAnsi="Century Gothic" w:cs="Tahoma"/>
          <w:b/>
          <w:bCs/>
          <w:lang w:val="es-CR" w:eastAsia="en-US"/>
        </w:rPr>
        <w:t>Oficio N° DVV-SP-</w:t>
      </w:r>
      <w:r w:rsidR="00BB3611" w:rsidRPr="00DC1573">
        <w:rPr>
          <w:rFonts w:ascii="Century Gothic" w:eastAsiaTheme="minorHAnsi" w:hAnsi="Century Gothic" w:cs="Tahoma"/>
          <w:b/>
          <w:bCs/>
          <w:lang w:val="es-CR" w:eastAsia="en-US"/>
        </w:rPr>
        <w:t>7</w:t>
      </w:r>
      <w:r w:rsidR="00417A92" w:rsidRPr="00DC1573">
        <w:rPr>
          <w:rFonts w:ascii="Century Gothic" w:eastAsiaTheme="minorHAnsi" w:hAnsi="Century Gothic" w:cs="Tahoma"/>
          <w:b/>
          <w:bCs/>
          <w:lang w:val="es-CR" w:eastAsia="en-US"/>
        </w:rPr>
        <w:t>5</w:t>
      </w:r>
      <w:r w:rsidRPr="00DC1573">
        <w:rPr>
          <w:rFonts w:ascii="Century Gothic" w:eastAsiaTheme="minorHAnsi" w:hAnsi="Century Gothic" w:cs="Tahoma"/>
          <w:b/>
          <w:bCs/>
          <w:lang w:val="es-CR" w:eastAsia="en-US"/>
        </w:rPr>
        <w:t>-2021</w:t>
      </w:r>
    </w:p>
    <w:p w14:paraId="08448B03" w14:textId="77777777" w:rsidR="003850E4" w:rsidRPr="00DC1573" w:rsidRDefault="003850E4" w:rsidP="00BB3611">
      <w:pPr>
        <w:suppressAutoHyphens w:val="0"/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b/>
          <w:bCs/>
          <w:lang w:val="es-CR" w:eastAsia="en-US"/>
        </w:rPr>
      </w:pPr>
    </w:p>
    <w:p w14:paraId="54E5CCE0" w14:textId="77777777" w:rsidR="003850E4" w:rsidRPr="00DC1573" w:rsidRDefault="003850E4" w:rsidP="00BB3611">
      <w:pPr>
        <w:suppressAutoHyphens w:val="0"/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b/>
          <w:bCs/>
          <w:lang w:val="es-CR" w:eastAsia="en-US"/>
        </w:rPr>
      </w:pPr>
      <w:r w:rsidRPr="00DC1573">
        <w:rPr>
          <w:rFonts w:ascii="Century Gothic" w:eastAsiaTheme="minorHAnsi" w:hAnsi="Century Gothic" w:cs="Tahoma"/>
          <w:b/>
          <w:bCs/>
          <w:lang w:val="es-CR" w:eastAsia="en-US"/>
        </w:rPr>
        <w:t>Señora</w:t>
      </w:r>
    </w:p>
    <w:p w14:paraId="0EF19514" w14:textId="77777777" w:rsidR="003850E4" w:rsidRPr="00DC1573" w:rsidRDefault="003850E4" w:rsidP="00BB3611">
      <w:pPr>
        <w:suppressAutoHyphens w:val="0"/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b/>
          <w:bCs/>
          <w:lang w:val="es-CR" w:eastAsia="en-US"/>
        </w:rPr>
      </w:pPr>
      <w:r w:rsidRPr="00DC1573">
        <w:rPr>
          <w:rFonts w:ascii="Century Gothic" w:eastAsiaTheme="minorHAnsi" w:hAnsi="Century Gothic" w:cs="Tahoma"/>
          <w:b/>
          <w:bCs/>
          <w:lang w:val="es-CR" w:eastAsia="en-US"/>
        </w:rPr>
        <w:t>Licda. Silvia Navarro Romanini</w:t>
      </w:r>
    </w:p>
    <w:p w14:paraId="64F0E2BA" w14:textId="77777777" w:rsidR="003850E4" w:rsidRPr="00DC1573" w:rsidRDefault="003850E4" w:rsidP="00BB3611">
      <w:pPr>
        <w:suppressAutoHyphens w:val="0"/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b/>
          <w:bCs/>
          <w:lang w:val="es-CR" w:eastAsia="en-US"/>
        </w:rPr>
      </w:pPr>
      <w:r w:rsidRPr="00DC1573">
        <w:rPr>
          <w:rFonts w:ascii="Century Gothic" w:eastAsiaTheme="minorHAnsi" w:hAnsi="Century Gothic" w:cs="Tahoma"/>
          <w:b/>
          <w:bCs/>
          <w:lang w:val="es-CR" w:eastAsia="en-US"/>
        </w:rPr>
        <w:t>Secretaria General</w:t>
      </w:r>
    </w:p>
    <w:p w14:paraId="0836D7D5" w14:textId="4895A291" w:rsidR="003850E4" w:rsidRPr="00DC1573" w:rsidRDefault="003850E4" w:rsidP="00BB3611">
      <w:pPr>
        <w:suppressAutoHyphens w:val="0"/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b/>
          <w:bCs/>
          <w:lang w:val="es-CR" w:eastAsia="en-US"/>
        </w:rPr>
      </w:pPr>
      <w:r w:rsidRPr="00DC1573">
        <w:rPr>
          <w:rFonts w:ascii="Century Gothic" w:eastAsiaTheme="minorHAnsi" w:hAnsi="Century Gothic" w:cs="Tahoma"/>
          <w:b/>
          <w:bCs/>
          <w:lang w:val="es-CR" w:eastAsia="en-US"/>
        </w:rPr>
        <w:t>Corte Suprema de Justicia</w:t>
      </w:r>
    </w:p>
    <w:p w14:paraId="2F8A8286" w14:textId="77777777" w:rsidR="003850E4" w:rsidRPr="00DC1573" w:rsidRDefault="003850E4" w:rsidP="00BB3611">
      <w:pPr>
        <w:suppressAutoHyphens w:val="0"/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b/>
          <w:bCs/>
          <w:lang w:val="es-CR" w:eastAsia="en-US"/>
        </w:rPr>
      </w:pPr>
    </w:p>
    <w:p w14:paraId="446396F5" w14:textId="6EA22BF3" w:rsidR="003850E4" w:rsidRPr="00DC1573" w:rsidRDefault="003850E4" w:rsidP="0079329B">
      <w:pPr>
        <w:suppressAutoHyphens w:val="0"/>
        <w:autoSpaceDE w:val="0"/>
        <w:autoSpaceDN w:val="0"/>
        <w:adjustRightInd w:val="0"/>
        <w:ind w:left="4248"/>
        <w:jc w:val="both"/>
        <w:rPr>
          <w:rFonts w:ascii="Century Gothic" w:eastAsiaTheme="minorHAnsi" w:hAnsi="Century Gothic" w:cs="Tahoma"/>
          <w:b/>
          <w:bCs/>
          <w:i/>
          <w:iCs/>
          <w:lang w:val="es-CR" w:eastAsia="en-US"/>
        </w:rPr>
      </w:pPr>
      <w:r w:rsidRPr="00DC1573">
        <w:rPr>
          <w:rFonts w:ascii="Century Gothic" w:eastAsiaTheme="minorHAnsi" w:hAnsi="Century Gothic" w:cs="Tahoma"/>
          <w:b/>
          <w:bCs/>
          <w:u w:val="single"/>
          <w:lang w:val="es-CR" w:eastAsia="en-US"/>
        </w:rPr>
        <w:t>Asunto</w:t>
      </w:r>
      <w:r w:rsidRPr="00DC1573">
        <w:rPr>
          <w:rFonts w:ascii="Century Gothic" w:eastAsiaTheme="minorHAnsi" w:hAnsi="Century Gothic" w:cs="Tahoma"/>
          <w:b/>
          <w:bCs/>
          <w:lang w:val="es-CR" w:eastAsia="en-US"/>
        </w:rPr>
        <w:t xml:space="preserve">: </w:t>
      </w:r>
      <w:r w:rsidRPr="00DC1573">
        <w:rPr>
          <w:rFonts w:ascii="Century Gothic" w:eastAsiaTheme="minorHAnsi" w:hAnsi="Century Gothic" w:cs="Tahoma"/>
          <w:b/>
          <w:bCs/>
          <w:i/>
          <w:iCs/>
          <w:lang w:val="es-CR" w:eastAsia="en-US"/>
        </w:rPr>
        <w:t>Informe de Labores I</w:t>
      </w:r>
      <w:r w:rsidR="0079329B" w:rsidRPr="00DC1573">
        <w:rPr>
          <w:rFonts w:ascii="Century Gothic" w:eastAsiaTheme="minorHAnsi" w:hAnsi="Century Gothic" w:cs="Tahoma"/>
          <w:b/>
          <w:bCs/>
          <w:i/>
          <w:iCs/>
          <w:lang w:val="es-CR" w:eastAsia="en-US"/>
        </w:rPr>
        <w:t>II</w:t>
      </w:r>
      <w:r w:rsidRPr="00DC1573">
        <w:rPr>
          <w:rFonts w:ascii="Century Gothic" w:eastAsiaTheme="minorHAnsi" w:hAnsi="Century Gothic" w:cs="Tahoma"/>
          <w:b/>
          <w:bCs/>
          <w:i/>
          <w:iCs/>
          <w:lang w:val="es-CR" w:eastAsia="en-US"/>
        </w:rPr>
        <w:t xml:space="preserve"> Trimestre 2021Subcomisión de Acceso a la Justicia de</w:t>
      </w:r>
      <w:r w:rsidR="0079329B" w:rsidRPr="00DC1573">
        <w:rPr>
          <w:rFonts w:ascii="Century Gothic" w:eastAsiaTheme="minorHAnsi" w:hAnsi="Century Gothic" w:cs="Tahoma"/>
          <w:b/>
          <w:bCs/>
          <w:i/>
          <w:iCs/>
          <w:lang w:val="es-CR" w:eastAsia="en-US"/>
        </w:rPr>
        <w:t xml:space="preserve"> </w:t>
      </w:r>
      <w:r w:rsidR="00417A92" w:rsidRPr="00DC1573">
        <w:rPr>
          <w:rFonts w:ascii="Century Gothic" w:eastAsiaTheme="minorHAnsi" w:hAnsi="Century Gothic" w:cs="Tahoma"/>
          <w:b/>
          <w:bCs/>
          <w:i/>
          <w:iCs/>
          <w:lang w:val="es-CR" w:eastAsia="en-US"/>
        </w:rPr>
        <w:t xml:space="preserve">Personas </w:t>
      </w:r>
      <w:r w:rsidR="0079329B" w:rsidRPr="00DC1573">
        <w:rPr>
          <w:rFonts w:ascii="Century Gothic" w:eastAsiaTheme="minorHAnsi" w:hAnsi="Century Gothic" w:cs="Tahoma"/>
          <w:b/>
          <w:bCs/>
          <w:i/>
          <w:iCs/>
          <w:lang w:val="es-CR" w:eastAsia="en-US"/>
        </w:rPr>
        <w:t>en situación de</w:t>
      </w:r>
      <w:r w:rsidR="00417A92" w:rsidRPr="00DC1573">
        <w:rPr>
          <w:rFonts w:ascii="Century Gothic" w:eastAsiaTheme="minorHAnsi" w:hAnsi="Century Gothic" w:cs="Tahoma"/>
          <w:b/>
          <w:bCs/>
          <w:i/>
          <w:iCs/>
          <w:lang w:val="es-CR" w:eastAsia="en-US"/>
        </w:rPr>
        <w:t xml:space="preserve"> Discapacidad</w:t>
      </w:r>
      <w:r w:rsidR="00BF7E84">
        <w:rPr>
          <w:rFonts w:ascii="Century Gothic" w:eastAsiaTheme="minorHAnsi" w:hAnsi="Century Gothic" w:cs="Tahoma"/>
          <w:b/>
          <w:bCs/>
          <w:i/>
          <w:iCs/>
          <w:lang w:val="es-CR" w:eastAsia="en-US"/>
        </w:rPr>
        <w:t xml:space="preserve"> del Poder Judicial</w:t>
      </w:r>
    </w:p>
    <w:p w14:paraId="110D2B0D" w14:textId="41393B9C" w:rsidR="003850E4" w:rsidRPr="00DC1573" w:rsidRDefault="003850E4" w:rsidP="00BB3611">
      <w:pPr>
        <w:suppressAutoHyphens w:val="0"/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b/>
          <w:bCs/>
          <w:i/>
          <w:iCs/>
          <w:lang w:val="es-CR" w:eastAsia="en-US"/>
        </w:rPr>
      </w:pPr>
    </w:p>
    <w:p w14:paraId="46450404" w14:textId="5EC98ECD" w:rsidR="003850E4" w:rsidRPr="00DC1573" w:rsidRDefault="003850E4" w:rsidP="00BB3611">
      <w:pPr>
        <w:suppressAutoHyphens w:val="0"/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b/>
          <w:bCs/>
          <w:lang w:val="es-CR" w:eastAsia="en-US"/>
        </w:rPr>
      </w:pPr>
      <w:r w:rsidRPr="00DC1573">
        <w:rPr>
          <w:rFonts w:ascii="Century Gothic" w:eastAsiaTheme="minorHAnsi" w:hAnsi="Century Gothic" w:cs="Tahoma"/>
          <w:b/>
          <w:bCs/>
          <w:lang w:val="es-CR" w:eastAsia="en-US"/>
        </w:rPr>
        <w:t>Estimada Señora:</w:t>
      </w:r>
    </w:p>
    <w:p w14:paraId="75784708" w14:textId="77777777" w:rsidR="00BB3611" w:rsidRPr="00DC1573" w:rsidRDefault="00BB3611" w:rsidP="00BB3611">
      <w:pPr>
        <w:suppressAutoHyphens w:val="0"/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b/>
          <w:bCs/>
          <w:lang w:val="es-CR" w:eastAsia="en-US"/>
        </w:rPr>
      </w:pPr>
    </w:p>
    <w:p w14:paraId="15642008" w14:textId="6EC4654E" w:rsidR="00417A92" w:rsidRPr="00DC1573" w:rsidRDefault="00417A92" w:rsidP="00417A92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Remito por su digno medio a las magistradas y los magistrados integrantes de Corte Plena el Informe de Labores </w:t>
      </w:r>
      <w:r w:rsidR="00A853BB" w:rsidRPr="00DC1573">
        <w:rPr>
          <w:rFonts w:ascii="Century Gothic" w:hAnsi="Century Gothic" w:cs="Tahoma"/>
          <w:color w:val="auto"/>
        </w:rPr>
        <w:t>del III</w:t>
      </w:r>
      <w:r w:rsidRPr="00DC1573">
        <w:rPr>
          <w:rFonts w:ascii="Century Gothic" w:hAnsi="Century Gothic" w:cs="Tahoma"/>
          <w:color w:val="auto"/>
        </w:rPr>
        <w:t xml:space="preserve"> Trimestre de 2021 de la Subcomisión de Acceso a la Justicia de Personas en situación de Discapacidad, en cumplimiento del artículo 21 del Reglamento General de Comisiones de la Corte Suprema de Justicia, el cual dispone: </w:t>
      </w:r>
    </w:p>
    <w:p w14:paraId="35B1E8C8" w14:textId="77777777" w:rsidR="00417A92" w:rsidRPr="00DC1573" w:rsidRDefault="00417A92" w:rsidP="00417A92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0CE00031" w14:textId="30FF4CCA" w:rsidR="00417A92" w:rsidRPr="00DC1573" w:rsidRDefault="00417A92" w:rsidP="00417A92">
      <w:pPr>
        <w:pStyle w:val="Default"/>
        <w:ind w:left="567" w:right="567"/>
        <w:jc w:val="both"/>
        <w:rPr>
          <w:rFonts w:ascii="Century Gothic" w:hAnsi="Century Gothic" w:cs="Tahoma"/>
          <w:i/>
          <w:iCs/>
          <w:color w:val="auto"/>
        </w:rPr>
      </w:pPr>
      <w:r w:rsidRPr="00DC1573">
        <w:rPr>
          <w:rFonts w:ascii="Century Gothic" w:hAnsi="Century Gothic" w:cs="Tahoma"/>
          <w:i/>
          <w:iCs/>
          <w:color w:val="auto"/>
        </w:rPr>
        <w:t xml:space="preserve">Artículo 21°. - Todas las Comisiones deberán presentar a la Corte Plena un informe trimestral de sus actividades, sin perjuicio de los que la propia Corte les pida. Las Especiales lo harán, además, al concluir sus encargos o el plazo para concluirlos. El mismo deber de información trimestral, pesará sobre los Magistrados, funcionarios o personas que representen a la Corte en Comisiones Interinstitucionales. La omisión en informar será sancionada disciplinariamente y, además, en caso de reincidencia causará la separación del responsable o responsables de la respectiva omisión. </w:t>
      </w:r>
    </w:p>
    <w:p w14:paraId="08741133" w14:textId="77777777" w:rsidR="00417A92" w:rsidRPr="00DC1573" w:rsidRDefault="00417A92" w:rsidP="00417A92">
      <w:pPr>
        <w:pStyle w:val="Default"/>
        <w:ind w:left="567" w:right="567"/>
        <w:jc w:val="both"/>
        <w:rPr>
          <w:rFonts w:ascii="Century Gothic" w:hAnsi="Century Gothic" w:cs="Tahoma"/>
          <w:i/>
          <w:iCs/>
          <w:color w:val="auto"/>
        </w:rPr>
      </w:pPr>
      <w:r w:rsidRPr="00DC1573">
        <w:rPr>
          <w:rFonts w:ascii="Century Gothic" w:hAnsi="Century Gothic"/>
        </w:rPr>
        <w:br w:type="page"/>
      </w:r>
    </w:p>
    <w:p w14:paraId="67C48A3F" w14:textId="77777777" w:rsidR="00417A92" w:rsidRPr="00DC1573" w:rsidRDefault="00417A92" w:rsidP="00417A92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lastRenderedPageBreak/>
        <w:t xml:space="preserve"> </w:t>
      </w:r>
    </w:p>
    <w:p w14:paraId="79F87FFB" w14:textId="77777777" w:rsidR="00417A92" w:rsidRPr="00DC1573" w:rsidRDefault="00417A92" w:rsidP="00417A92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1C27D564" w14:textId="77777777" w:rsidR="00A853BB" w:rsidRPr="00DC1573" w:rsidRDefault="00417A92" w:rsidP="00417A92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Además, en cumplimiento de lo acordado por Corte Plena en sesión 57-2014 de 8 de diciembre de 2014, Artículo XIX, en el que se aprobó el Informe de Advertencia de la Auditoría Judicial N° 512-44-AEE-2014 del 21 de mayo de dicho año, y se dispuso: </w:t>
      </w:r>
    </w:p>
    <w:p w14:paraId="02CEF191" w14:textId="77777777" w:rsidR="00A853BB" w:rsidRPr="00DC1573" w:rsidRDefault="00A853BB" w:rsidP="00417A92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43E0651B" w14:textId="5815FAED" w:rsidR="00417A92" w:rsidRPr="00DC1573" w:rsidRDefault="00417A92" w:rsidP="00A853BB">
      <w:pPr>
        <w:pStyle w:val="Default"/>
        <w:ind w:left="708"/>
        <w:jc w:val="both"/>
        <w:rPr>
          <w:rFonts w:ascii="Century Gothic" w:hAnsi="Century Gothic" w:cs="Tahoma"/>
          <w:i/>
          <w:iCs/>
          <w:color w:val="auto"/>
        </w:rPr>
      </w:pPr>
      <w:r w:rsidRPr="00DC1573">
        <w:rPr>
          <w:rFonts w:ascii="Century Gothic" w:hAnsi="Century Gothic" w:cs="Tahoma"/>
          <w:i/>
          <w:iCs/>
          <w:color w:val="auto"/>
        </w:rPr>
        <w:t xml:space="preserve">“Se acordó: 2.) Solicitar a la Secretaría General de la Corte, lo siguiente: a) Mantener el control actualizado de las Comisiones, a efecto que conste el nombre de las personas que las integran, la persona coordinadora, y la que asume la secretaría de cada una y el plazo de nombramiento de sus integrantes, entre otros aspectos que se consideren necesarios…” </w:t>
      </w:r>
    </w:p>
    <w:p w14:paraId="1293868B" w14:textId="77777777" w:rsidR="00417A92" w:rsidRPr="00DC1573" w:rsidRDefault="00417A92" w:rsidP="00417A92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2F9223CD" w14:textId="508444A6" w:rsidR="00417A92" w:rsidRPr="00DC1573" w:rsidRDefault="00417A92" w:rsidP="00417A92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Con ocasión de lo anterior, le </w:t>
      </w:r>
      <w:r w:rsidR="00A853BB" w:rsidRPr="00DC1573">
        <w:rPr>
          <w:rFonts w:ascii="Century Gothic" w:hAnsi="Century Gothic" w:cs="Tahoma"/>
          <w:color w:val="auto"/>
        </w:rPr>
        <w:t>comunico:</w:t>
      </w:r>
    </w:p>
    <w:p w14:paraId="14743D40" w14:textId="77777777" w:rsidR="00417A92" w:rsidRPr="00DC1573" w:rsidRDefault="00417A92" w:rsidP="00417A92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4A5E888E" w14:textId="77777777" w:rsidR="00417A92" w:rsidRPr="00DC1573" w:rsidRDefault="00417A92" w:rsidP="00417A92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 </w:t>
      </w:r>
    </w:p>
    <w:p w14:paraId="27A9944B" w14:textId="77777777" w:rsidR="00417A92" w:rsidRPr="00DC1573" w:rsidRDefault="00417A92" w:rsidP="00417A92">
      <w:pPr>
        <w:pStyle w:val="Default"/>
        <w:jc w:val="both"/>
        <w:rPr>
          <w:rFonts w:ascii="Century Gothic" w:hAnsi="Century Gothic" w:cs="Tahoma"/>
          <w:b/>
          <w:bCs/>
          <w:color w:val="auto"/>
        </w:rPr>
      </w:pPr>
    </w:p>
    <w:p w14:paraId="5DB341C4" w14:textId="10A43866" w:rsidR="00A853BB" w:rsidRPr="00DC1573" w:rsidRDefault="00417A92" w:rsidP="00A853BB">
      <w:pPr>
        <w:pStyle w:val="Default"/>
        <w:jc w:val="center"/>
        <w:rPr>
          <w:rFonts w:ascii="Century Gothic" w:hAnsi="Century Gothic" w:cs="Tahoma"/>
          <w:b/>
          <w:bCs/>
          <w:color w:val="auto"/>
        </w:rPr>
      </w:pPr>
      <w:r w:rsidRPr="00DC1573">
        <w:rPr>
          <w:rFonts w:ascii="Century Gothic" w:hAnsi="Century Gothic" w:cs="Tahoma"/>
          <w:b/>
          <w:bCs/>
          <w:color w:val="auto"/>
        </w:rPr>
        <w:t>Informe de Labores</w:t>
      </w:r>
      <w:r w:rsidR="00A853BB" w:rsidRPr="00DC1573">
        <w:rPr>
          <w:rFonts w:ascii="Century Gothic" w:hAnsi="Century Gothic" w:cs="Tahoma"/>
          <w:b/>
          <w:bCs/>
          <w:color w:val="auto"/>
        </w:rPr>
        <w:t xml:space="preserve"> Subcomisión de Acceso a la Justicia de Personas en situación de Discapacidad</w:t>
      </w:r>
    </w:p>
    <w:p w14:paraId="4EEA8021" w14:textId="52545FE6" w:rsidR="00417A92" w:rsidRPr="00DC1573" w:rsidRDefault="00417A92" w:rsidP="00417A92">
      <w:pPr>
        <w:pStyle w:val="Default"/>
        <w:jc w:val="center"/>
        <w:rPr>
          <w:rFonts w:ascii="Century Gothic" w:hAnsi="Century Gothic" w:cs="Tahoma"/>
          <w:b/>
          <w:bCs/>
          <w:color w:val="auto"/>
        </w:rPr>
      </w:pPr>
      <w:r w:rsidRPr="00DC1573">
        <w:rPr>
          <w:rFonts w:ascii="Century Gothic" w:hAnsi="Century Gothic" w:cs="Tahoma"/>
          <w:b/>
          <w:bCs/>
          <w:color w:val="auto"/>
        </w:rPr>
        <w:t>I</w:t>
      </w:r>
      <w:r w:rsidR="00A853BB" w:rsidRPr="00DC1573">
        <w:rPr>
          <w:rFonts w:ascii="Century Gothic" w:hAnsi="Century Gothic" w:cs="Tahoma"/>
          <w:b/>
          <w:bCs/>
          <w:color w:val="auto"/>
        </w:rPr>
        <w:t>III</w:t>
      </w:r>
      <w:r w:rsidRPr="00DC1573">
        <w:rPr>
          <w:rFonts w:ascii="Century Gothic" w:hAnsi="Century Gothic" w:cs="Tahoma"/>
          <w:b/>
          <w:bCs/>
          <w:color w:val="auto"/>
        </w:rPr>
        <w:t xml:space="preserve"> Trimestre 2021</w:t>
      </w:r>
    </w:p>
    <w:p w14:paraId="15425832" w14:textId="77777777" w:rsidR="00417A92" w:rsidRPr="00DC1573" w:rsidRDefault="00417A92" w:rsidP="00417A92">
      <w:pPr>
        <w:pStyle w:val="Default"/>
        <w:jc w:val="center"/>
        <w:rPr>
          <w:rFonts w:ascii="Century Gothic" w:hAnsi="Century Gothic" w:cs="Tahoma"/>
          <w:color w:val="auto"/>
        </w:rPr>
      </w:pPr>
    </w:p>
    <w:p w14:paraId="436BDA49" w14:textId="77777777" w:rsidR="00417A92" w:rsidRPr="00DC1573" w:rsidRDefault="00417A92" w:rsidP="00417A92">
      <w:pPr>
        <w:pStyle w:val="Default"/>
        <w:jc w:val="center"/>
        <w:rPr>
          <w:rFonts w:ascii="Century Gothic" w:hAnsi="Century Gothic" w:cs="Tahoma"/>
          <w:color w:val="auto"/>
        </w:rPr>
      </w:pPr>
    </w:p>
    <w:p w14:paraId="436CF7D5" w14:textId="486D3405" w:rsidR="00417A92" w:rsidRPr="00DC1573" w:rsidRDefault="00417A92" w:rsidP="00A853BB">
      <w:pPr>
        <w:pStyle w:val="Default"/>
        <w:numPr>
          <w:ilvl w:val="0"/>
          <w:numId w:val="1"/>
        </w:numPr>
        <w:rPr>
          <w:rFonts w:ascii="Century Gothic" w:hAnsi="Century Gothic" w:cs="Tahoma"/>
          <w:b/>
          <w:bCs/>
          <w:color w:val="auto"/>
        </w:rPr>
      </w:pPr>
      <w:r w:rsidRPr="00DC1573">
        <w:rPr>
          <w:rFonts w:ascii="Century Gothic" w:hAnsi="Century Gothic" w:cs="Tahoma"/>
          <w:b/>
          <w:bCs/>
          <w:color w:val="auto"/>
        </w:rPr>
        <w:t xml:space="preserve">Antecedentes </w:t>
      </w:r>
    </w:p>
    <w:p w14:paraId="5E4A05A2" w14:textId="401494BF" w:rsidR="00417A92" w:rsidRPr="00DC1573" w:rsidRDefault="00417A92" w:rsidP="009779D4">
      <w:pPr>
        <w:pStyle w:val="Default"/>
        <w:rPr>
          <w:rFonts w:ascii="Century Gothic" w:hAnsi="Century Gothic" w:cs="Tahoma"/>
          <w:color w:val="auto"/>
        </w:rPr>
      </w:pPr>
    </w:p>
    <w:p w14:paraId="24A3C868" w14:textId="634E6D2F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>El inicio de la gestión de la Subcomisión de Acceso a la Justicia de Personas con Discapacidad se remonta al año 2007 como parte de la entonces Comisión de</w:t>
      </w:r>
      <w:r w:rsidR="009779D4" w:rsidRPr="00DC1573">
        <w:rPr>
          <w:rFonts w:ascii="Century Gothic" w:hAnsi="Century Gothic" w:cs="Tahoma"/>
          <w:color w:val="auto"/>
        </w:rPr>
        <w:t xml:space="preserve"> </w:t>
      </w:r>
      <w:r w:rsidRPr="00DC1573">
        <w:rPr>
          <w:rFonts w:ascii="Century Gothic" w:hAnsi="Century Gothic" w:cs="Tahoma"/>
          <w:color w:val="auto"/>
        </w:rPr>
        <w:t xml:space="preserve">Accesibilidad, con el objetivo de materializar el derecho constitucional de acceso a la justicia y tutela judicial efectiva, establecido en el artículo 41 de la Constitución Política y en los convenios internacionales de derechos humanos de las personas en situación de Discapacidad. </w:t>
      </w:r>
    </w:p>
    <w:p w14:paraId="52BF907F" w14:textId="1A172B9C" w:rsidR="00A853BB" w:rsidRPr="00DC1573" w:rsidRDefault="00A853BB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05F0C07D" w14:textId="4665C5BB" w:rsidR="00A853BB" w:rsidRPr="00DC1573" w:rsidRDefault="00A853BB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>Desde esa fecha hasta la actualidad se ha conformado como una Subcomisión a cargo de la Comisión de Acceso a la Justicia.</w:t>
      </w:r>
    </w:p>
    <w:p w14:paraId="0DE8E1DF" w14:textId="54C9F87B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3A2DEAD9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6086F69A" w14:textId="1D0967BE" w:rsidR="00417A92" w:rsidRPr="00DC1573" w:rsidRDefault="00417A92" w:rsidP="00D64110">
      <w:pPr>
        <w:pStyle w:val="Default"/>
        <w:numPr>
          <w:ilvl w:val="0"/>
          <w:numId w:val="1"/>
        </w:numPr>
        <w:jc w:val="both"/>
        <w:rPr>
          <w:rFonts w:ascii="Century Gothic" w:hAnsi="Century Gothic" w:cs="Tahoma"/>
          <w:b/>
          <w:bCs/>
          <w:color w:val="auto"/>
        </w:rPr>
      </w:pPr>
      <w:r w:rsidRPr="00DC1573">
        <w:rPr>
          <w:rFonts w:ascii="Century Gothic" w:hAnsi="Century Gothic" w:cs="Tahoma"/>
          <w:b/>
          <w:bCs/>
          <w:color w:val="auto"/>
        </w:rPr>
        <w:t xml:space="preserve">Coordinación de la Subcomisión de Acceso a la Justicia de Personas en </w:t>
      </w:r>
      <w:r w:rsidR="00A853BB" w:rsidRPr="00DC1573">
        <w:rPr>
          <w:rFonts w:ascii="Century Gothic" w:hAnsi="Century Gothic" w:cs="Tahoma"/>
          <w:b/>
          <w:bCs/>
          <w:color w:val="auto"/>
        </w:rPr>
        <w:t>s</w:t>
      </w:r>
      <w:r w:rsidRPr="00DC1573">
        <w:rPr>
          <w:rFonts w:ascii="Century Gothic" w:hAnsi="Century Gothic" w:cs="Tahoma"/>
          <w:b/>
          <w:bCs/>
          <w:color w:val="auto"/>
        </w:rPr>
        <w:t xml:space="preserve">ituación de Discapacidad </w:t>
      </w:r>
    </w:p>
    <w:p w14:paraId="34AF669C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b/>
          <w:bCs/>
          <w:color w:val="auto"/>
        </w:rPr>
      </w:pPr>
    </w:p>
    <w:p w14:paraId="3A056175" w14:textId="7FA4FBE4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Desde su inicio hasta </w:t>
      </w:r>
      <w:r w:rsidR="00A853BB" w:rsidRPr="00DC1573">
        <w:rPr>
          <w:rFonts w:ascii="Century Gothic" w:hAnsi="Century Gothic" w:cs="Tahoma"/>
          <w:color w:val="auto"/>
        </w:rPr>
        <w:t xml:space="preserve">el </w:t>
      </w:r>
      <w:r w:rsidRPr="00DC1573">
        <w:rPr>
          <w:rFonts w:ascii="Century Gothic" w:hAnsi="Century Gothic" w:cs="Tahoma"/>
          <w:color w:val="auto"/>
        </w:rPr>
        <w:t xml:space="preserve">2018, la Coordinación de la Subcomisión de Acceso a la Justicia de Personas en situación de Discapacidad correspondió a la exmagistrada Carmen María Escoto Fernández, según se desprende del acuerdo de Corte Plena tomado en sesión N° 19-12 de 28 de mayo de 2012, </w:t>
      </w:r>
      <w:r w:rsidRPr="00DC1573">
        <w:rPr>
          <w:rFonts w:ascii="Century Gothic" w:hAnsi="Century Gothic" w:cs="Tahoma"/>
          <w:color w:val="auto"/>
        </w:rPr>
        <w:lastRenderedPageBreak/>
        <w:t xml:space="preserve">en el que, además, la Comisión de Accesibilidad se transformó en Comisión de Acceso a la Justicia. </w:t>
      </w:r>
    </w:p>
    <w:p w14:paraId="7B78A004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7F25B098" w14:textId="142C7265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 Al concluir su gestión la exmagistrada Escoto Fernández, Corte Plena</w:t>
      </w:r>
      <w:r w:rsidR="009779D4" w:rsidRPr="00DC1573">
        <w:rPr>
          <w:rFonts w:ascii="Century Gothic" w:hAnsi="Century Gothic" w:cs="Tahoma"/>
          <w:color w:val="auto"/>
        </w:rPr>
        <w:t xml:space="preserve"> </w:t>
      </w:r>
      <w:r w:rsidRPr="00DC1573">
        <w:rPr>
          <w:rFonts w:ascii="Century Gothic" w:hAnsi="Century Gothic" w:cs="Tahoma"/>
          <w:color w:val="auto"/>
        </w:rPr>
        <w:t>dispuso la designación de la suscrita, magistrada Damaris Vargas Vásquez, como</w:t>
      </w:r>
      <w:r w:rsidR="009779D4" w:rsidRPr="00DC1573">
        <w:rPr>
          <w:rFonts w:ascii="Century Gothic" w:hAnsi="Century Gothic" w:cs="Tahoma"/>
          <w:color w:val="auto"/>
        </w:rPr>
        <w:t xml:space="preserve"> </w:t>
      </w:r>
      <w:r w:rsidRPr="00DC1573">
        <w:rPr>
          <w:rFonts w:ascii="Century Gothic" w:hAnsi="Century Gothic" w:cs="Tahoma"/>
          <w:color w:val="auto"/>
        </w:rPr>
        <w:t>Coordinadora de la Subcomisión de Acceso a la Justicia de Personas en Situación de</w:t>
      </w:r>
      <w:r w:rsidR="00A853BB" w:rsidRPr="00DC1573">
        <w:rPr>
          <w:rFonts w:ascii="Century Gothic" w:hAnsi="Century Gothic" w:cs="Tahoma"/>
          <w:color w:val="auto"/>
        </w:rPr>
        <w:t xml:space="preserve"> </w:t>
      </w:r>
      <w:r w:rsidRPr="00DC1573">
        <w:rPr>
          <w:rFonts w:ascii="Century Gothic" w:hAnsi="Century Gothic" w:cs="Tahoma"/>
          <w:color w:val="auto"/>
        </w:rPr>
        <w:t>Discapacidad, función que he asumido desde ese momento hasta la actualidad.</w:t>
      </w:r>
    </w:p>
    <w:p w14:paraId="057B899D" w14:textId="776C86FD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 </w:t>
      </w:r>
    </w:p>
    <w:p w14:paraId="6263A99E" w14:textId="5C9563AC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En Informes de Labores anteriores, he informado a Corte Plena por medio de la Secretaría General de la Corte Suprema de Justicia, la conclusión de los dos años de nombramiento de la suscrita como Coordinadora, </w:t>
      </w:r>
      <w:r w:rsidR="00A853BB" w:rsidRPr="00DC1573">
        <w:rPr>
          <w:rFonts w:ascii="Century Gothic" w:hAnsi="Century Gothic" w:cs="Tahoma"/>
          <w:color w:val="auto"/>
        </w:rPr>
        <w:t xml:space="preserve">y los dos años de reelección </w:t>
      </w:r>
      <w:r w:rsidRPr="00DC1573">
        <w:rPr>
          <w:rFonts w:ascii="Century Gothic" w:hAnsi="Century Gothic" w:cs="Tahoma"/>
          <w:color w:val="auto"/>
        </w:rPr>
        <w:t xml:space="preserve">a los que hace referencia el artículo 14 del Reglamento General de Comisiones de la Corte Suprema de Justicia, para lo de su cargo. </w:t>
      </w:r>
    </w:p>
    <w:p w14:paraId="522406E5" w14:textId="6244686E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4B296578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76A70601" w14:textId="13982968" w:rsidR="00417A92" w:rsidRPr="00DC1573" w:rsidRDefault="00417A92" w:rsidP="00B44770">
      <w:pPr>
        <w:pStyle w:val="Default"/>
        <w:numPr>
          <w:ilvl w:val="0"/>
          <w:numId w:val="1"/>
        </w:numPr>
        <w:jc w:val="both"/>
        <w:rPr>
          <w:rFonts w:ascii="Century Gothic" w:hAnsi="Century Gothic" w:cs="Tahoma"/>
          <w:b/>
          <w:bCs/>
          <w:color w:val="auto"/>
        </w:rPr>
      </w:pPr>
      <w:r w:rsidRPr="00DC1573">
        <w:rPr>
          <w:rFonts w:ascii="Century Gothic" w:hAnsi="Century Gothic" w:cs="Tahoma"/>
          <w:b/>
          <w:bCs/>
          <w:color w:val="auto"/>
        </w:rPr>
        <w:t xml:space="preserve">Integrantes de la Subcomisión de Acceso a la Justicia de Personas en </w:t>
      </w:r>
      <w:r w:rsidR="00A853BB" w:rsidRPr="00DC1573">
        <w:rPr>
          <w:rFonts w:ascii="Century Gothic" w:hAnsi="Century Gothic" w:cs="Tahoma"/>
          <w:b/>
          <w:bCs/>
          <w:color w:val="auto"/>
        </w:rPr>
        <w:t>S</w:t>
      </w:r>
      <w:r w:rsidRPr="00DC1573">
        <w:rPr>
          <w:rFonts w:ascii="Century Gothic" w:hAnsi="Century Gothic" w:cs="Tahoma"/>
          <w:b/>
          <w:bCs/>
          <w:color w:val="auto"/>
        </w:rPr>
        <w:t xml:space="preserve">ituación de Discapacidad </w:t>
      </w:r>
    </w:p>
    <w:p w14:paraId="009E3A6B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331998C9" w14:textId="3D857605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La Subcomisión está integrada por personas representantes de los diferentes ámbitos del Poder Judicial según la lista que se expone de seguido. Además, la integran personas representantes de </w:t>
      </w:r>
      <w:r w:rsidR="00A853BB" w:rsidRPr="00DC1573">
        <w:rPr>
          <w:rFonts w:ascii="Century Gothic" w:hAnsi="Century Gothic" w:cs="Tahoma"/>
          <w:color w:val="auto"/>
        </w:rPr>
        <w:t>las siguientes</w:t>
      </w:r>
      <w:r w:rsidRPr="00DC1573">
        <w:rPr>
          <w:rFonts w:ascii="Century Gothic" w:hAnsi="Century Gothic" w:cs="Tahoma"/>
          <w:color w:val="auto"/>
        </w:rPr>
        <w:t xml:space="preserve"> instituciones</w:t>
      </w:r>
      <w:r w:rsidR="00A853BB" w:rsidRPr="00DC1573">
        <w:rPr>
          <w:rFonts w:ascii="Century Gothic" w:hAnsi="Century Gothic" w:cs="Tahoma"/>
          <w:color w:val="auto"/>
        </w:rPr>
        <w:t>:</w:t>
      </w:r>
      <w:r w:rsidRPr="00DC1573">
        <w:rPr>
          <w:rFonts w:ascii="Century Gothic" w:hAnsi="Century Gothic" w:cs="Tahoma"/>
          <w:color w:val="auto"/>
        </w:rPr>
        <w:t xml:space="preserve"> Consejo Nacional de Discapacidad, Ministerio de Trabajo</w:t>
      </w:r>
      <w:r w:rsidR="00A853BB" w:rsidRPr="00DC1573">
        <w:rPr>
          <w:rFonts w:ascii="Century Gothic" w:hAnsi="Century Gothic" w:cs="Tahoma"/>
          <w:color w:val="auto"/>
        </w:rPr>
        <w:t xml:space="preserve">, </w:t>
      </w:r>
      <w:r w:rsidRPr="00DC1573">
        <w:rPr>
          <w:rFonts w:ascii="Century Gothic" w:hAnsi="Century Gothic" w:cs="Tahoma"/>
          <w:color w:val="auto"/>
        </w:rPr>
        <w:t>Defensoría de los Habitantes de la República,</w:t>
      </w:r>
      <w:r w:rsidR="00A853BB" w:rsidRPr="00DC1573">
        <w:rPr>
          <w:rFonts w:ascii="Century Gothic" w:hAnsi="Century Gothic" w:cs="Tahoma"/>
          <w:color w:val="auto"/>
        </w:rPr>
        <w:t xml:space="preserve"> y de</w:t>
      </w:r>
      <w:r w:rsidRPr="00DC1573">
        <w:rPr>
          <w:rFonts w:ascii="Century Gothic" w:hAnsi="Century Gothic" w:cs="Tahoma"/>
          <w:color w:val="auto"/>
        </w:rPr>
        <w:t xml:space="preserve"> la sociedad civil</w:t>
      </w:r>
      <w:r w:rsidR="00A853BB" w:rsidRPr="00DC1573">
        <w:rPr>
          <w:rFonts w:ascii="Century Gothic" w:hAnsi="Century Gothic" w:cs="Tahoma"/>
          <w:color w:val="auto"/>
        </w:rPr>
        <w:t>.</w:t>
      </w:r>
    </w:p>
    <w:p w14:paraId="4809C3AA" w14:textId="54A34BB3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39A42B0C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El siguiente es el listado de las personas que integran la Subcomisión: </w:t>
      </w:r>
    </w:p>
    <w:p w14:paraId="6A14407A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25FA6F59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 </w:t>
      </w:r>
    </w:p>
    <w:tbl>
      <w:tblPr>
        <w:tblStyle w:val="Tablaconcuadrcula6concolores-nfasis1"/>
        <w:tblW w:w="9199" w:type="dxa"/>
        <w:tblLook w:val="04A0" w:firstRow="1" w:lastRow="0" w:firstColumn="1" w:lastColumn="0" w:noHBand="0" w:noVBand="1"/>
      </w:tblPr>
      <w:tblGrid>
        <w:gridCol w:w="9199"/>
      </w:tblGrid>
      <w:tr w:rsidR="0000134F" w:rsidRPr="00DC1573" w14:paraId="421F7CF0" w14:textId="77777777" w:rsidTr="00E96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7E767A32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color w:val="4472C4"/>
                <w:sz w:val="16"/>
                <w:szCs w:val="16"/>
                <w:lang w:val="es-CR" w:eastAsia="es-CR"/>
              </w:rPr>
              <w:t>INTEGRANTES </w:t>
            </w:r>
          </w:p>
        </w:tc>
      </w:tr>
      <w:tr w:rsidR="0000134F" w:rsidRPr="00DC1573" w14:paraId="589CCA89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4D08D60F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Comisión de Acceso a la Justicia: Sr. Jorge Olaso Alvarez, Magistrado Coordinador de la Comisión, Sala Segunda </w:t>
            </w:r>
          </w:p>
        </w:tc>
      </w:tr>
      <w:tr w:rsidR="0000134F" w:rsidRPr="00DC1573" w14:paraId="657D6A2F" w14:textId="77777777" w:rsidTr="00E9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1212E1E2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Comisión de Acceso a la Justicia: Sra. Damaris Vargas Vásquez, Coordinadora de la Subcomisión Acceso a la Justicia de Personas con Discapacidad e integrante de la Comisión de Acceso a la Justicia por la Sala Primera </w:t>
            </w:r>
          </w:p>
        </w:tc>
      </w:tr>
      <w:tr w:rsidR="0000134F" w:rsidRPr="00DC1573" w14:paraId="20119C86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175F7FA4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Comisión de Acceso a la Justicia: Sr. Paul Rueda Leal, Integrante Comisión de Acceso a la Justicia por la Sala Constitucional </w:t>
            </w:r>
          </w:p>
        </w:tc>
      </w:tr>
      <w:tr w:rsidR="0000134F" w:rsidRPr="00DC1573" w14:paraId="412052C3" w14:textId="77777777" w:rsidTr="00E9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5EAE7115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Comisión de Acceso a la Justicia: Magistrado Gerardo Rubén Alfaro, Integrante de la Comisión de Acceso a la Justicia por la Sala Tercera </w:t>
            </w:r>
          </w:p>
        </w:tc>
      </w:tr>
      <w:tr w:rsidR="0000134F" w:rsidRPr="00DC1573" w14:paraId="24FA26E0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1013E812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Consejo Superior: Sra.  Sandra Pizarro Gutiérrez</w:t>
            </w:r>
          </w:p>
        </w:tc>
      </w:tr>
      <w:tr w:rsidR="0000134F" w:rsidRPr="00DC1573" w14:paraId="12F9A612" w14:textId="77777777" w:rsidTr="00E9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2BB219D2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 xml:space="preserve">Unidad de Acceso a la Justicia: Sra. Angie Calderón, Coordinadora </w:t>
            </w:r>
          </w:p>
          <w:p w14:paraId="6A955AD6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 xml:space="preserve">Suplentes: Sra. Nora Lía Mora Lizano </w:t>
            </w:r>
          </w:p>
        </w:tc>
      </w:tr>
      <w:tr w:rsidR="0000134F" w:rsidRPr="00DC1573" w14:paraId="6906EA74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0E64AEFF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 xml:space="preserve">Dirección de la Defensa Pública: Sr. Juan Carlos Pérez Murillo </w:t>
            </w:r>
          </w:p>
          <w:p w14:paraId="479A37CA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Sra. Gabriela Abarca Morán </w:t>
            </w:r>
          </w:p>
          <w:p w14:paraId="025B2158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Sra. Damaris Cruz Obregón</w:t>
            </w:r>
          </w:p>
        </w:tc>
      </w:tr>
      <w:tr w:rsidR="0000134F" w:rsidRPr="00DC1573" w14:paraId="1F968F55" w14:textId="77777777" w:rsidTr="00E9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</w:tcPr>
          <w:p w14:paraId="495D5236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lastRenderedPageBreak/>
              <w:t>Dirección del Ministerio Público: Sr. Warner Molina Ruiz</w:t>
            </w:r>
          </w:p>
          <w:p w14:paraId="1C27B4F1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Sra. Mayela Pérez Delgado</w:t>
            </w:r>
          </w:p>
          <w:p w14:paraId="3A55346E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Sra. Evelyn Chavarría Brenes</w:t>
            </w:r>
          </w:p>
        </w:tc>
      </w:tr>
      <w:tr w:rsidR="0000134F" w:rsidRPr="00DC1573" w14:paraId="1585913B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</w:tcPr>
          <w:p w14:paraId="6E05831F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Dirección del Organismo de Investigación Judicial: Sr. Walter Espinoza Espinoza</w:t>
            </w:r>
          </w:p>
          <w:p w14:paraId="648434E5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Sra. Yorleny Ferreto Solano</w:t>
            </w:r>
          </w:p>
        </w:tc>
      </w:tr>
      <w:tr w:rsidR="0000134F" w:rsidRPr="00DC1573" w14:paraId="646287F9" w14:textId="77777777" w:rsidTr="00E9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402134FD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Dirección Ejecutiva: Sra. Ana Eugenia Romero Jenkins</w:t>
            </w:r>
          </w:p>
          <w:p w14:paraId="54FA9C5C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 xml:space="preserve">Suplente: Sr. Wilbert Kidd Alvarado, </w:t>
            </w:r>
            <w:proofErr w:type="gramStart"/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Subdirector</w:t>
            </w:r>
            <w:proofErr w:type="gramEnd"/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 xml:space="preserve"> </w:t>
            </w:r>
          </w:p>
          <w:p w14:paraId="2D4D5615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Sra. Katherine Hernández Molina </w:t>
            </w:r>
          </w:p>
        </w:tc>
      </w:tr>
      <w:tr w:rsidR="0000134F" w:rsidRPr="00DC1573" w14:paraId="040B7D52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33075285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Dirección de Planificación:  Sra. Nacira Valverde Bermúdez</w:t>
            </w:r>
          </w:p>
          <w:p w14:paraId="3AF583D8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 xml:space="preserve">Suplente: Sr. Dixon Li Morales, </w:t>
            </w:r>
            <w:proofErr w:type="gramStart"/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Subdirector</w:t>
            </w:r>
            <w:proofErr w:type="gramEnd"/>
          </w:p>
          <w:p w14:paraId="77CFD2E7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Ginethe Retana</w:t>
            </w:r>
          </w:p>
          <w:p w14:paraId="7ADAD529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n-US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n-US" w:eastAsia="es-CR"/>
              </w:rPr>
              <w:t>Sr. Allan Pow Hing Cordero</w:t>
            </w:r>
          </w:p>
        </w:tc>
      </w:tr>
      <w:tr w:rsidR="0000134F" w:rsidRPr="00DC1573" w14:paraId="11F22A53" w14:textId="77777777" w:rsidTr="00E9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47D35961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Judicatura y Dirección del Centro de Apoyo, Coordinación y Mejoramiento de la Función Jurisdiccional: Maricruz Chacón Cubillo</w:t>
            </w:r>
          </w:p>
          <w:p w14:paraId="1218A69F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Sr. Cristian Alberto Martínez Hernández</w:t>
            </w:r>
          </w:p>
          <w:p w14:paraId="56BCE712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Jueza Shirley Víquez Vargas, Tribunal de Familia</w:t>
            </w:r>
          </w:p>
        </w:tc>
      </w:tr>
      <w:tr w:rsidR="0000134F" w:rsidRPr="00DC1573" w14:paraId="29A5C49C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</w:tcPr>
          <w:p w14:paraId="124E5E37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 xml:space="preserve">Dirección de Gestión Humana: Sra. Roxana Arrieta Meléndez, </w:t>
            </w:r>
            <w:proofErr w:type="gramStart"/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Directora</w:t>
            </w:r>
            <w:proofErr w:type="gramEnd"/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 xml:space="preserve"> de G.H. y Coordinadora Comisión Institucional de Empleabilidad </w:t>
            </w:r>
          </w:p>
          <w:p w14:paraId="63810FF6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Sra. Alejandra Isabel Jerez Soto </w:t>
            </w:r>
          </w:p>
        </w:tc>
      </w:tr>
      <w:tr w:rsidR="0000134F" w:rsidRPr="00DC1573" w14:paraId="7F24A8B1" w14:textId="77777777" w:rsidTr="00E9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</w:tcPr>
          <w:p w14:paraId="57746751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Dirección de Tecnología de la Información: Sra. Kattia Morales</w:t>
            </w:r>
          </w:p>
          <w:p w14:paraId="27AC75AE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Sr. Orlando Castrillo, Subdirector Tecnología de la Información </w:t>
            </w:r>
          </w:p>
        </w:tc>
      </w:tr>
      <w:tr w:rsidR="0000134F" w:rsidRPr="00DC1573" w14:paraId="068123A6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</w:tcPr>
          <w:p w14:paraId="3C687939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Dirección de la Escuela Judicial: Sra. Rebeca Guardia Morales</w:t>
            </w:r>
          </w:p>
          <w:p w14:paraId="0EFF6158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Sra. María Lourdes Acuña Aguilar</w:t>
            </w:r>
          </w:p>
          <w:p w14:paraId="76461414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Sra. Ana Barboza</w:t>
            </w:r>
          </w:p>
        </w:tc>
      </w:tr>
      <w:tr w:rsidR="0000134F" w:rsidRPr="00DC1573" w14:paraId="46ACE2C0" w14:textId="77777777" w:rsidTr="00E9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</w:tcPr>
          <w:p w14:paraId="23415114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Contraloría de Servicios: Sr. Erick Alfaro Romero</w:t>
            </w:r>
          </w:p>
          <w:p w14:paraId="1BD02178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Sr. Gustavo Solano </w:t>
            </w:r>
          </w:p>
          <w:p w14:paraId="1AA0AAB9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Sra. Ericka Chavarría Astorga</w:t>
            </w:r>
          </w:p>
        </w:tc>
      </w:tr>
      <w:tr w:rsidR="0000134F" w:rsidRPr="00DC1573" w14:paraId="71D512CC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</w:tcPr>
          <w:p w14:paraId="7183C55A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Departamento de Prensa y Comunicación Organizacional: Sr. Hugo Vega</w:t>
            </w:r>
          </w:p>
          <w:p w14:paraId="6736F339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Sra. Maureen González Barrantes</w:t>
            </w:r>
          </w:p>
        </w:tc>
      </w:tr>
      <w:tr w:rsidR="0000134F" w:rsidRPr="00DC1573" w14:paraId="1B874FA1" w14:textId="77777777" w:rsidTr="00E9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</w:tcPr>
          <w:p w14:paraId="163F0250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Centro de Información Jurisprudencial: Sra. Patricia Bonilla Rodríguez</w:t>
            </w:r>
          </w:p>
        </w:tc>
      </w:tr>
      <w:tr w:rsidR="0000134F" w:rsidRPr="00DC1573" w14:paraId="3A573A88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310692CE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Sociedad Civil: Sra. Wendy Patricia Barrantes Jiménez </w:t>
            </w:r>
          </w:p>
        </w:tc>
      </w:tr>
      <w:tr w:rsidR="0000134F" w:rsidRPr="00DC1573" w14:paraId="414C3285" w14:textId="77777777" w:rsidTr="00E9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3F6D5676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Oficina de Control Interno: Sr. Hugo Hernández Alfaro</w:t>
            </w:r>
          </w:p>
          <w:p w14:paraId="609ACBA6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Suplente: Sra. Indira Alfaro Castillo</w:t>
            </w:r>
          </w:p>
        </w:tc>
      </w:tr>
      <w:tr w:rsidR="0000134F" w:rsidRPr="00DC1573" w14:paraId="0EEAB2EB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</w:tcPr>
          <w:p w14:paraId="233AE1D3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Departamento de Medicina Legal: Sr. Franz Vega Zúñiga</w:t>
            </w:r>
          </w:p>
          <w:p w14:paraId="24F61666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fr-F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fr-FR" w:eastAsia="es-CR"/>
              </w:rPr>
              <w:t>Suplente : Sr. Kennette Villalobos León </w:t>
            </w:r>
          </w:p>
        </w:tc>
      </w:tr>
      <w:tr w:rsidR="0000134F" w:rsidRPr="00DC1573" w14:paraId="463A32A4" w14:textId="77777777" w:rsidTr="00E9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</w:tcPr>
          <w:p w14:paraId="5CDE8A6E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Auditoría Judicial (Función Asesora): Sr. Roberth García González</w:t>
            </w:r>
          </w:p>
          <w:p w14:paraId="60718C7A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lastRenderedPageBreak/>
              <w:t xml:space="preserve">Suplente: Jeremy Eduarte </w:t>
            </w:r>
            <w:proofErr w:type="gramStart"/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Alemán</w:t>
            </w:r>
            <w:proofErr w:type="gramEnd"/>
          </w:p>
        </w:tc>
      </w:tr>
      <w:tr w:rsidR="0000134F" w:rsidRPr="00DC1573" w14:paraId="763E8A84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41B5A9C6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lastRenderedPageBreak/>
              <w:t>Consejo Nacional de Discapacidad: Sra. Andrea Sanchez Montero</w:t>
            </w:r>
          </w:p>
          <w:p w14:paraId="713EF5DB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fr-F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fr-FR" w:eastAsia="es-CR"/>
              </w:rPr>
              <w:t>Suplente : Sra. Grettel Oses Gutiérrez</w:t>
            </w:r>
          </w:p>
        </w:tc>
      </w:tr>
      <w:tr w:rsidR="0000134F" w:rsidRPr="00DC1573" w14:paraId="61A707AF" w14:textId="77777777" w:rsidTr="00E96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  <w:hideMark/>
          </w:tcPr>
          <w:p w14:paraId="5854D733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Defensoría de los Habitantes de la República: Sr. Otto Lépiz, Coordinador del Mecanismo Nacional de Supervisión de las Convención sobre los Derechos de las Personas con Discapacidad de la Defensoría de los Habitantes de la República</w:t>
            </w:r>
          </w:p>
        </w:tc>
      </w:tr>
      <w:tr w:rsidR="0000134F" w:rsidRPr="00DC1573" w14:paraId="4F4FAB72" w14:textId="77777777" w:rsidTr="00E96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9" w:type="dxa"/>
          </w:tcPr>
          <w:p w14:paraId="5FDE9EDC" w14:textId="77777777" w:rsidR="0000134F" w:rsidRPr="00DC1573" w:rsidRDefault="0000134F" w:rsidP="009779D4">
            <w:pPr>
              <w:suppressAutoHyphens w:val="0"/>
              <w:spacing w:after="160"/>
              <w:jc w:val="both"/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</w:pPr>
            <w:r w:rsidRPr="00DC1573">
              <w:rPr>
                <w:rFonts w:ascii="Century Gothic" w:eastAsiaTheme="minorEastAsia" w:hAnsi="Century Gothic" w:cs="Tahoma"/>
                <w:b w:val="0"/>
                <w:bCs w:val="0"/>
                <w:i/>
                <w:iCs/>
                <w:sz w:val="16"/>
                <w:szCs w:val="16"/>
                <w:lang w:val="es-CR" w:eastAsia="es-CR"/>
              </w:rPr>
              <w:t>Ministerio de Trabajo: Sra. Ericka Alvarez Ramírez</w:t>
            </w:r>
          </w:p>
        </w:tc>
      </w:tr>
    </w:tbl>
    <w:p w14:paraId="138E79CF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7FDDCDBA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21ADE056" w14:textId="5EBD4D50" w:rsidR="00417A92" w:rsidRPr="00DC1573" w:rsidRDefault="00417A92" w:rsidP="00E96E4F">
      <w:pPr>
        <w:pStyle w:val="Default"/>
        <w:numPr>
          <w:ilvl w:val="0"/>
          <w:numId w:val="1"/>
        </w:numPr>
        <w:jc w:val="both"/>
        <w:rPr>
          <w:rFonts w:ascii="Century Gothic" w:hAnsi="Century Gothic" w:cs="Tahoma"/>
          <w:b/>
          <w:bCs/>
          <w:color w:val="auto"/>
        </w:rPr>
      </w:pPr>
      <w:r w:rsidRPr="00DC1573">
        <w:rPr>
          <w:rFonts w:ascii="Century Gothic" w:hAnsi="Century Gothic" w:cs="Tahoma"/>
          <w:b/>
          <w:bCs/>
          <w:color w:val="auto"/>
        </w:rPr>
        <w:t xml:space="preserve">Actas y sesiones de la Subcomisión de Acceso a la Justicia de Personas en Situación de Discapacidad </w:t>
      </w:r>
    </w:p>
    <w:p w14:paraId="2684197D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4ADF3608" w14:textId="77777777" w:rsidR="00E96E4F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>La Subcomisión sesiona mensualmente, en cumplimiento del Reglamento General de Comisiones de la Corte Suprema de Justicia por medio de la herramienta Microsoft</w:t>
      </w:r>
      <w:r w:rsidR="00E96E4F" w:rsidRPr="00DC1573">
        <w:rPr>
          <w:rFonts w:ascii="Century Gothic" w:hAnsi="Century Gothic" w:cs="Tahoma"/>
          <w:color w:val="auto"/>
        </w:rPr>
        <w:t xml:space="preserve"> </w:t>
      </w:r>
      <w:r w:rsidRPr="00DC1573">
        <w:rPr>
          <w:rFonts w:ascii="Century Gothic" w:hAnsi="Century Gothic" w:cs="Tahoma"/>
          <w:color w:val="auto"/>
        </w:rPr>
        <w:t xml:space="preserve">Teams. </w:t>
      </w:r>
    </w:p>
    <w:p w14:paraId="6419C853" w14:textId="77777777" w:rsidR="00E96E4F" w:rsidRPr="00DC1573" w:rsidRDefault="00E96E4F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1C4F9ED2" w14:textId="6ED2E66F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Las siguientes son las fechas </w:t>
      </w:r>
      <w:r w:rsidR="00E96E4F" w:rsidRPr="00DC1573">
        <w:rPr>
          <w:rFonts w:ascii="Century Gothic" w:hAnsi="Century Gothic" w:cs="Tahoma"/>
          <w:color w:val="auto"/>
        </w:rPr>
        <w:t xml:space="preserve">y los enlaces de las actas </w:t>
      </w:r>
      <w:r w:rsidRPr="00DC1573">
        <w:rPr>
          <w:rFonts w:ascii="Century Gothic" w:hAnsi="Century Gothic" w:cs="Tahoma"/>
          <w:color w:val="auto"/>
        </w:rPr>
        <w:t xml:space="preserve">de las sesiones realizadas durante el </w:t>
      </w:r>
      <w:r w:rsidR="00E96E4F" w:rsidRPr="00DC1573">
        <w:rPr>
          <w:rFonts w:ascii="Century Gothic" w:hAnsi="Century Gothic" w:cs="Tahoma"/>
          <w:color w:val="auto"/>
        </w:rPr>
        <w:t>III T</w:t>
      </w:r>
      <w:r w:rsidRPr="00DC1573">
        <w:rPr>
          <w:rFonts w:ascii="Century Gothic" w:hAnsi="Century Gothic" w:cs="Tahoma"/>
          <w:color w:val="auto"/>
        </w:rPr>
        <w:t>rimestre de 2021</w:t>
      </w:r>
      <w:r w:rsidR="00E96E4F" w:rsidRPr="00DC1573">
        <w:rPr>
          <w:rFonts w:ascii="Century Gothic" w:hAnsi="Century Gothic" w:cs="Tahoma"/>
          <w:color w:val="auto"/>
        </w:rPr>
        <w:t>, debidamente firmadas</w:t>
      </w:r>
      <w:r w:rsidRPr="00DC1573">
        <w:rPr>
          <w:rFonts w:ascii="Century Gothic" w:hAnsi="Century Gothic" w:cs="Tahoma"/>
          <w:color w:val="auto"/>
        </w:rPr>
        <w:t xml:space="preserve">: </w:t>
      </w:r>
    </w:p>
    <w:p w14:paraId="7E457727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49F9073B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03"/>
        <w:gridCol w:w="1573"/>
        <w:gridCol w:w="6186"/>
      </w:tblGrid>
      <w:tr w:rsidR="009779D4" w:rsidRPr="00DC1573" w14:paraId="62242B3A" w14:textId="77777777" w:rsidTr="009779D4">
        <w:tc>
          <w:tcPr>
            <w:tcW w:w="1535" w:type="dxa"/>
          </w:tcPr>
          <w:p w14:paraId="3000DE4A" w14:textId="77777777" w:rsidR="009779D4" w:rsidRPr="00DC1573" w:rsidRDefault="009779D4" w:rsidP="009779D4">
            <w:pPr>
              <w:pStyle w:val="Default"/>
              <w:jc w:val="both"/>
              <w:rPr>
                <w:rFonts w:ascii="Century Gothic" w:hAnsi="Century Gothic" w:cs="Tahoma"/>
                <w:b/>
                <w:bCs/>
              </w:rPr>
            </w:pPr>
            <w:r w:rsidRPr="00DC1573">
              <w:rPr>
                <w:rFonts w:ascii="Century Gothic" w:hAnsi="Century Gothic" w:cs="Tahoma"/>
                <w:b/>
                <w:bCs/>
              </w:rPr>
              <w:t>Actas</w:t>
            </w:r>
          </w:p>
        </w:tc>
        <w:tc>
          <w:tcPr>
            <w:tcW w:w="1914" w:type="dxa"/>
          </w:tcPr>
          <w:p w14:paraId="2C5C8377" w14:textId="77777777" w:rsidR="009779D4" w:rsidRPr="00DC1573" w:rsidRDefault="009779D4" w:rsidP="009779D4">
            <w:pPr>
              <w:pStyle w:val="Default"/>
              <w:jc w:val="both"/>
              <w:rPr>
                <w:rFonts w:ascii="Century Gothic" w:hAnsi="Century Gothic" w:cs="Tahoma"/>
                <w:b/>
                <w:bCs/>
              </w:rPr>
            </w:pPr>
            <w:r w:rsidRPr="00DC1573">
              <w:rPr>
                <w:rFonts w:ascii="Century Gothic" w:hAnsi="Century Gothic" w:cs="Tahoma"/>
                <w:b/>
                <w:bCs/>
              </w:rPr>
              <w:t>Fecha de Sesión</w:t>
            </w:r>
          </w:p>
        </w:tc>
        <w:tc>
          <w:tcPr>
            <w:tcW w:w="5613" w:type="dxa"/>
          </w:tcPr>
          <w:p w14:paraId="742C4A1D" w14:textId="77777777" w:rsidR="009779D4" w:rsidRPr="00DC1573" w:rsidRDefault="009779D4" w:rsidP="009779D4">
            <w:pPr>
              <w:pStyle w:val="Default"/>
              <w:jc w:val="both"/>
              <w:rPr>
                <w:rFonts w:ascii="Century Gothic" w:hAnsi="Century Gothic" w:cs="Tahoma"/>
                <w:b/>
                <w:bCs/>
              </w:rPr>
            </w:pPr>
            <w:r w:rsidRPr="00DC1573">
              <w:rPr>
                <w:rFonts w:ascii="Century Gothic" w:hAnsi="Century Gothic" w:cs="Tahoma"/>
                <w:b/>
                <w:bCs/>
              </w:rPr>
              <w:t>Enlace del Acta</w:t>
            </w:r>
          </w:p>
        </w:tc>
      </w:tr>
      <w:tr w:rsidR="009779D4" w:rsidRPr="00DC1573" w14:paraId="32D1E837" w14:textId="77777777" w:rsidTr="009779D4">
        <w:tc>
          <w:tcPr>
            <w:tcW w:w="1535" w:type="dxa"/>
          </w:tcPr>
          <w:p w14:paraId="209B311B" w14:textId="54CD001C" w:rsidR="009779D4" w:rsidRPr="00DC1573" w:rsidRDefault="009779D4" w:rsidP="009779D4">
            <w:pPr>
              <w:pStyle w:val="Default"/>
              <w:jc w:val="both"/>
              <w:rPr>
                <w:rFonts w:ascii="Century Gothic" w:hAnsi="Century Gothic" w:cs="Tahoma"/>
              </w:rPr>
            </w:pPr>
            <w:r w:rsidRPr="00DC1573">
              <w:rPr>
                <w:rFonts w:ascii="Century Gothic" w:hAnsi="Century Gothic" w:cs="Tahoma"/>
              </w:rPr>
              <w:t>Acta 7-2021</w:t>
            </w:r>
          </w:p>
        </w:tc>
        <w:tc>
          <w:tcPr>
            <w:tcW w:w="1914" w:type="dxa"/>
          </w:tcPr>
          <w:p w14:paraId="7CB794E6" w14:textId="2B6AEC72" w:rsidR="009779D4" w:rsidRPr="00DC1573" w:rsidRDefault="009779D4" w:rsidP="009779D4">
            <w:pPr>
              <w:pStyle w:val="Default"/>
              <w:jc w:val="both"/>
              <w:rPr>
                <w:rFonts w:ascii="Century Gothic" w:hAnsi="Century Gothic" w:cs="Tahoma"/>
              </w:rPr>
            </w:pPr>
            <w:r w:rsidRPr="00DC1573">
              <w:rPr>
                <w:rFonts w:ascii="Century Gothic" w:hAnsi="Century Gothic" w:cs="Tahoma"/>
              </w:rPr>
              <w:t>6-7-2021</w:t>
            </w:r>
          </w:p>
        </w:tc>
        <w:tc>
          <w:tcPr>
            <w:tcW w:w="5613" w:type="dxa"/>
          </w:tcPr>
          <w:p w14:paraId="3A6A1B2D" w14:textId="1BEE928C" w:rsidR="009779D4" w:rsidRPr="00DC1573" w:rsidRDefault="006C0B7B" w:rsidP="009779D4">
            <w:pPr>
              <w:pStyle w:val="Default"/>
              <w:jc w:val="both"/>
              <w:rPr>
                <w:rFonts w:ascii="Century Gothic" w:hAnsi="Century Gothic" w:cs="Tahoma"/>
              </w:rPr>
            </w:pPr>
            <w:hyperlink r:id="rId11" w:history="1">
              <w:r w:rsidR="009779D4" w:rsidRPr="00DC1573">
                <w:rPr>
                  <w:rStyle w:val="Hipervnculo"/>
                  <w:rFonts w:ascii="Century Gothic" w:hAnsi="Century Gothic" w:cs="Tahoma"/>
                </w:rPr>
                <w:t>\\SJ10004-734451\Informes_para_comunicar\DISCAPACIDAD</w:t>
              </w:r>
            </w:hyperlink>
          </w:p>
          <w:p w14:paraId="659C28B1" w14:textId="7FA00EF0" w:rsidR="009779D4" w:rsidRPr="00DC1573" w:rsidRDefault="009779D4" w:rsidP="009779D4">
            <w:pPr>
              <w:pStyle w:val="Default"/>
              <w:jc w:val="both"/>
              <w:rPr>
                <w:rFonts w:ascii="Century Gothic" w:hAnsi="Century Gothic" w:cs="Tahoma"/>
              </w:rPr>
            </w:pPr>
          </w:p>
        </w:tc>
      </w:tr>
      <w:tr w:rsidR="009779D4" w:rsidRPr="00DC1573" w14:paraId="4508913D" w14:textId="77777777" w:rsidTr="009779D4">
        <w:tc>
          <w:tcPr>
            <w:tcW w:w="1535" w:type="dxa"/>
          </w:tcPr>
          <w:p w14:paraId="39C65E9F" w14:textId="67C78C11" w:rsidR="009779D4" w:rsidRPr="00DC1573" w:rsidRDefault="009779D4" w:rsidP="009779D4">
            <w:pPr>
              <w:pStyle w:val="Default"/>
              <w:jc w:val="both"/>
              <w:rPr>
                <w:rFonts w:ascii="Century Gothic" w:hAnsi="Century Gothic" w:cs="Tahoma"/>
              </w:rPr>
            </w:pPr>
            <w:r w:rsidRPr="00DC1573">
              <w:rPr>
                <w:rFonts w:ascii="Century Gothic" w:hAnsi="Century Gothic" w:cs="Tahoma"/>
              </w:rPr>
              <w:t>Acta 8-2021</w:t>
            </w:r>
          </w:p>
        </w:tc>
        <w:tc>
          <w:tcPr>
            <w:tcW w:w="1914" w:type="dxa"/>
          </w:tcPr>
          <w:p w14:paraId="0A28CF09" w14:textId="5F2149F2" w:rsidR="009779D4" w:rsidRPr="00DC1573" w:rsidRDefault="009779D4" w:rsidP="009779D4">
            <w:pPr>
              <w:pStyle w:val="Default"/>
              <w:jc w:val="both"/>
              <w:rPr>
                <w:rFonts w:ascii="Century Gothic" w:hAnsi="Century Gothic" w:cs="Tahoma"/>
              </w:rPr>
            </w:pPr>
            <w:r w:rsidRPr="00DC1573">
              <w:rPr>
                <w:rFonts w:ascii="Century Gothic" w:hAnsi="Century Gothic" w:cs="Tahoma"/>
              </w:rPr>
              <w:t>3-8-2021</w:t>
            </w:r>
          </w:p>
        </w:tc>
        <w:tc>
          <w:tcPr>
            <w:tcW w:w="5613" w:type="dxa"/>
          </w:tcPr>
          <w:p w14:paraId="5D10F5EC" w14:textId="23BB80A1" w:rsidR="009779D4" w:rsidRPr="00DC1573" w:rsidRDefault="006C0B7B" w:rsidP="009779D4">
            <w:pPr>
              <w:pStyle w:val="Default"/>
              <w:jc w:val="both"/>
              <w:rPr>
                <w:rFonts w:ascii="Century Gothic" w:hAnsi="Century Gothic" w:cs="Tahoma"/>
              </w:rPr>
            </w:pPr>
            <w:hyperlink r:id="rId12" w:history="1">
              <w:r w:rsidR="009779D4" w:rsidRPr="00DC1573">
                <w:rPr>
                  <w:rStyle w:val="Hipervnculo"/>
                  <w:rFonts w:ascii="Century Gothic" w:hAnsi="Century Gothic" w:cs="Tahoma"/>
                </w:rPr>
                <w:t>\\SJ10004-734451\Informes_para_comunicar\DISCAPACIDAD</w:t>
              </w:r>
            </w:hyperlink>
          </w:p>
          <w:p w14:paraId="0F3A2776" w14:textId="5EAE3AC1" w:rsidR="009779D4" w:rsidRPr="00DC1573" w:rsidRDefault="009779D4" w:rsidP="009779D4">
            <w:pPr>
              <w:pStyle w:val="Default"/>
              <w:jc w:val="both"/>
              <w:rPr>
                <w:rFonts w:ascii="Century Gothic" w:hAnsi="Century Gothic" w:cs="Tahoma"/>
              </w:rPr>
            </w:pPr>
          </w:p>
        </w:tc>
      </w:tr>
      <w:tr w:rsidR="009779D4" w:rsidRPr="00DC1573" w14:paraId="1AF2505F" w14:textId="77777777" w:rsidTr="009779D4">
        <w:tc>
          <w:tcPr>
            <w:tcW w:w="1535" w:type="dxa"/>
          </w:tcPr>
          <w:p w14:paraId="74B8B3EA" w14:textId="5EAB114D" w:rsidR="009779D4" w:rsidRPr="00DC1573" w:rsidRDefault="009779D4" w:rsidP="009779D4">
            <w:pPr>
              <w:pStyle w:val="Default"/>
              <w:jc w:val="both"/>
              <w:rPr>
                <w:rFonts w:ascii="Century Gothic" w:hAnsi="Century Gothic" w:cs="Tahoma"/>
              </w:rPr>
            </w:pPr>
            <w:r w:rsidRPr="00DC1573">
              <w:rPr>
                <w:rFonts w:ascii="Century Gothic" w:hAnsi="Century Gothic" w:cs="Tahoma"/>
              </w:rPr>
              <w:t>Acta 9-2021</w:t>
            </w:r>
          </w:p>
        </w:tc>
        <w:tc>
          <w:tcPr>
            <w:tcW w:w="1914" w:type="dxa"/>
          </w:tcPr>
          <w:p w14:paraId="6CDB0148" w14:textId="2E940567" w:rsidR="009779D4" w:rsidRPr="00DC1573" w:rsidRDefault="009779D4" w:rsidP="009779D4">
            <w:pPr>
              <w:pStyle w:val="Default"/>
              <w:jc w:val="both"/>
              <w:rPr>
                <w:rFonts w:ascii="Century Gothic" w:hAnsi="Century Gothic" w:cs="Tahoma"/>
              </w:rPr>
            </w:pPr>
            <w:r w:rsidRPr="00DC1573">
              <w:rPr>
                <w:rFonts w:ascii="Century Gothic" w:hAnsi="Century Gothic" w:cs="Tahoma"/>
              </w:rPr>
              <w:t>8-9-2021</w:t>
            </w:r>
          </w:p>
        </w:tc>
        <w:tc>
          <w:tcPr>
            <w:tcW w:w="5613" w:type="dxa"/>
          </w:tcPr>
          <w:p w14:paraId="05842F7D" w14:textId="5A6359D7" w:rsidR="009779D4" w:rsidRPr="00DC1573" w:rsidRDefault="006C0B7B" w:rsidP="009779D4">
            <w:pPr>
              <w:pStyle w:val="Default"/>
              <w:jc w:val="both"/>
              <w:rPr>
                <w:rFonts w:ascii="Century Gothic" w:hAnsi="Century Gothic" w:cs="Tahoma"/>
              </w:rPr>
            </w:pPr>
            <w:hyperlink r:id="rId13" w:history="1">
              <w:r w:rsidR="009779D4" w:rsidRPr="00DC1573">
                <w:rPr>
                  <w:rStyle w:val="Hipervnculo"/>
                  <w:rFonts w:ascii="Century Gothic" w:hAnsi="Century Gothic" w:cs="Tahoma"/>
                </w:rPr>
                <w:t>\\SJ10004-734451\Informes_para_comunicar\DISCAPACIDAD</w:t>
              </w:r>
            </w:hyperlink>
          </w:p>
          <w:p w14:paraId="5CDCBAAC" w14:textId="29A3A1D5" w:rsidR="009779D4" w:rsidRPr="00DC1573" w:rsidRDefault="009779D4" w:rsidP="009779D4">
            <w:pPr>
              <w:pStyle w:val="Default"/>
              <w:jc w:val="both"/>
              <w:rPr>
                <w:rFonts w:ascii="Century Gothic" w:hAnsi="Century Gothic" w:cs="Tahoma"/>
              </w:rPr>
            </w:pPr>
          </w:p>
        </w:tc>
      </w:tr>
    </w:tbl>
    <w:p w14:paraId="71974A35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0C34C804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5FEA015E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Se anexan a este oficio las actas respectivas debidamente firmadas </w:t>
      </w:r>
    </w:p>
    <w:p w14:paraId="2F434AAB" w14:textId="77777777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1580F454" w14:textId="48796761" w:rsidR="00E96E4F" w:rsidRPr="00DC1573" w:rsidRDefault="00417A92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Los acuerdos responden a la gestión de los riesgos incorporados en el SEVRI de la Subcomisión y al cumplimiento de los objetivos y metas </w:t>
      </w:r>
      <w:r w:rsidR="00E96E4F" w:rsidRPr="00DC1573">
        <w:rPr>
          <w:rFonts w:ascii="Century Gothic" w:hAnsi="Century Gothic" w:cs="Tahoma"/>
          <w:color w:val="auto"/>
        </w:rPr>
        <w:t>d</w:t>
      </w:r>
      <w:r w:rsidRPr="00DC1573">
        <w:rPr>
          <w:rFonts w:ascii="Century Gothic" w:hAnsi="Century Gothic" w:cs="Tahoma"/>
          <w:color w:val="auto"/>
        </w:rPr>
        <w:t xml:space="preserve">el PAO 2021 de la Comisión de Acceso a la Justicia, relacionados con la temática Discapacidad. </w:t>
      </w:r>
    </w:p>
    <w:p w14:paraId="7A19DD29" w14:textId="77777777" w:rsidR="00DC1573" w:rsidRPr="00DC1573" w:rsidRDefault="00DC1573" w:rsidP="00DC1573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6792D59B" w14:textId="07198BEE" w:rsidR="00DC1573" w:rsidRPr="00DC1573" w:rsidRDefault="00DC1573" w:rsidP="00DC1573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>Las actas se remiten a la Comisión de Acceso a la Justicia por medio de la Unidad de Acceso a la Justicia; y una vez verificada la protección de datos, se publican en la página web de la Comisión.</w:t>
      </w:r>
    </w:p>
    <w:p w14:paraId="50554F79" w14:textId="73D6BAA2" w:rsidR="00155B31" w:rsidRPr="00DC1573" w:rsidRDefault="00155B31" w:rsidP="009779D4">
      <w:pPr>
        <w:pStyle w:val="Default"/>
        <w:jc w:val="both"/>
        <w:rPr>
          <w:rFonts w:ascii="Century Gothic" w:hAnsi="Century Gothic" w:cs="Tahoma"/>
          <w:b/>
          <w:bCs/>
          <w:color w:val="auto"/>
        </w:rPr>
      </w:pPr>
    </w:p>
    <w:p w14:paraId="0FC2C55A" w14:textId="3185BE0A" w:rsidR="00155B31" w:rsidRPr="00DC1573" w:rsidRDefault="00155B31" w:rsidP="00155B31">
      <w:pPr>
        <w:pStyle w:val="Default"/>
        <w:numPr>
          <w:ilvl w:val="0"/>
          <w:numId w:val="1"/>
        </w:numPr>
        <w:jc w:val="both"/>
        <w:rPr>
          <w:rFonts w:ascii="Century Gothic" w:hAnsi="Century Gothic" w:cs="Tahoma"/>
          <w:b/>
          <w:bCs/>
          <w:color w:val="auto"/>
        </w:rPr>
      </w:pPr>
      <w:r w:rsidRPr="00DC1573">
        <w:rPr>
          <w:rFonts w:ascii="Century Gothic" w:hAnsi="Century Gothic" w:cs="Tahoma"/>
          <w:b/>
          <w:bCs/>
          <w:color w:val="auto"/>
        </w:rPr>
        <w:t>Avances de la Política de Acceso a la Justicia de Personas en situación de Discapacidad y su Plan de Acción</w:t>
      </w:r>
    </w:p>
    <w:p w14:paraId="57E3AC33" w14:textId="77777777" w:rsidR="00E96E4F" w:rsidRPr="00DC1573" w:rsidRDefault="00E96E4F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204B5287" w14:textId="731F9C4C" w:rsidR="00155B31" w:rsidRPr="00DC1573" w:rsidRDefault="00E96E4F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 xml:space="preserve">Se ha dado </w:t>
      </w:r>
      <w:r w:rsidR="00417A92" w:rsidRPr="00DC1573">
        <w:rPr>
          <w:rFonts w:ascii="Century Gothic" w:hAnsi="Century Gothic" w:cs="Tahoma"/>
          <w:color w:val="auto"/>
        </w:rPr>
        <w:t xml:space="preserve">seguimiento </w:t>
      </w:r>
      <w:r w:rsidRPr="00DC1573">
        <w:rPr>
          <w:rFonts w:ascii="Century Gothic" w:hAnsi="Century Gothic" w:cs="Tahoma"/>
          <w:color w:val="auto"/>
        </w:rPr>
        <w:t>al</w:t>
      </w:r>
      <w:r w:rsidR="00417A92" w:rsidRPr="00DC1573">
        <w:rPr>
          <w:rFonts w:ascii="Century Gothic" w:hAnsi="Century Gothic" w:cs="Tahoma"/>
          <w:color w:val="auto"/>
        </w:rPr>
        <w:t xml:space="preserve"> Proyecto Actualización de la Política de Acceso a la Justicia de Personas con Discapacidad aprobado por Corte Plena</w:t>
      </w:r>
      <w:r w:rsidRPr="00DC1573">
        <w:rPr>
          <w:rFonts w:ascii="Century Gothic" w:hAnsi="Century Gothic" w:cs="Tahoma"/>
          <w:color w:val="auto"/>
        </w:rPr>
        <w:t xml:space="preserve"> con el apoyo del Consejo Nacional de Discapacidad, ente rector de Discapacidad en el ámbito nacional. Para tal efecto se realizó un Taller liderado por CONAPDIS los días 18 y 25 de agosto y 1 de setiembre de 2021 de las 8 a las 12 horas. De igual forma, se han sostenido sesiones de trabajo con el Alto Comisionado de las Naciones Unidas, Despacho de la Presidencia y la Oficina de Cooperación y Relaciones Internacionales con el objetivo de conseguir cooperación internacional para la ejecución del Proyecto de Política de Acceso a la Justicia de Personas en situación de Discapacidad </w:t>
      </w:r>
      <w:r w:rsidR="00155B31" w:rsidRPr="00DC1573">
        <w:rPr>
          <w:rFonts w:ascii="Century Gothic" w:hAnsi="Century Gothic" w:cs="Tahoma"/>
          <w:color w:val="auto"/>
        </w:rPr>
        <w:t xml:space="preserve">y su Plan de Acción, que </w:t>
      </w:r>
      <w:r w:rsidRPr="00DC1573">
        <w:rPr>
          <w:rFonts w:ascii="Century Gothic" w:hAnsi="Century Gothic" w:cs="Tahoma"/>
          <w:color w:val="auto"/>
        </w:rPr>
        <w:t>también incluye</w:t>
      </w:r>
      <w:r w:rsidR="00155B31" w:rsidRPr="00DC1573">
        <w:rPr>
          <w:rFonts w:ascii="Century Gothic" w:hAnsi="Century Gothic" w:cs="Tahoma"/>
          <w:color w:val="auto"/>
        </w:rPr>
        <w:t xml:space="preserve"> el Plan de Equiparación de Oportunidades de Personas en situación de Discapacidad, según asesoría técnica de CONAPDIS. </w:t>
      </w:r>
    </w:p>
    <w:p w14:paraId="08322350" w14:textId="4D465479" w:rsidR="00155B31" w:rsidRPr="00DC1573" w:rsidRDefault="00155B31" w:rsidP="009779D4">
      <w:pPr>
        <w:pStyle w:val="Default"/>
        <w:jc w:val="both"/>
        <w:rPr>
          <w:rFonts w:ascii="Century Gothic" w:hAnsi="Century Gothic"/>
        </w:rPr>
      </w:pPr>
      <w:r w:rsidRPr="00DC1573">
        <w:rPr>
          <w:rFonts w:ascii="Century Gothic" w:hAnsi="Century Gothic"/>
        </w:rPr>
        <w:object w:dxaOrig="1508" w:dyaOrig="984" w14:anchorId="415BB8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4pt;height:49.2pt" o:ole="">
            <v:imagedata r:id="rId14" o:title=""/>
          </v:shape>
          <o:OLEObject Type="Embed" ProgID="Word.Document.12" ShapeID="_x0000_i1025" DrawAspect="Icon" ObjectID="_1694753823" r:id="rId15">
            <o:FieldCodes>\s</o:FieldCodes>
          </o:OLEObject>
        </w:object>
      </w:r>
    </w:p>
    <w:p w14:paraId="1E237310" w14:textId="5101DCC4" w:rsidR="00DC1573" w:rsidRPr="00DC1573" w:rsidRDefault="00DC1573" w:rsidP="009779D4">
      <w:pPr>
        <w:pStyle w:val="Default"/>
        <w:jc w:val="both"/>
        <w:rPr>
          <w:rFonts w:ascii="Century Gothic" w:hAnsi="Century Gothic"/>
          <w:b/>
          <w:bCs/>
        </w:rPr>
      </w:pPr>
    </w:p>
    <w:p w14:paraId="4F7F2EA2" w14:textId="40FDE019" w:rsidR="00DC1573" w:rsidRPr="00DC1573" w:rsidRDefault="00DC1573" w:rsidP="00DC1573">
      <w:pPr>
        <w:pStyle w:val="Default"/>
        <w:numPr>
          <w:ilvl w:val="0"/>
          <w:numId w:val="1"/>
        </w:numPr>
        <w:jc w:val="both"/>
        <w:rPr>
          <w:rFonts w:ascii="Century Gothic" w:hAnsi="Century Gothic" w:cs="Tahoma"/>
          <w:b/>
          <w:bCs/>
          <w:color w:val="auto"/>
        </w:rPr>
      </w:pPr>
      <w:r w:rsidRPr="00DC1573">
        <w:rPr>
          <w:rFonts w:ascii="Century Gothic" w:hAnsi="Century Gothic"/>
          <w:b/>
          <w:bCs/>
        </w:rPr>
        <w:t>Avances en la participación del proceso de construcción de la Política Institucional de Empleabilidad a cargo de la Dirección de Gestión Humana y de la Comisión Institucional de Empleabilidad</w:t>
      </w:r>
    </w:p>
    <w:p w14:paraId="01DE6C8A" w14:textId="77777777" w:rsidR="00155B31" w:rsidRPr="00DC1573" w:rsidRDefault="00155B31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304CE996" w14:textId="77777777" w:rsidR="00BF7E84" w:rsidRDefault="00155B31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>El seguimiento de la Política de Empleabilidad del Poder Judicial está a cargo de la Dirección de Gestión Humana y de la Comisión Institucional de Empleabilidad. De esta última forma parte la Subcomisión de Acceso a la Justicia de Personas en situación de Discapacidad.</w:t>
      </w:r>
      <w:r w:rsidR="00DC1573" w:rsidRPr="00DC1573">
        <w:rPr>
          <w:rFonts w:ascii="Century Gothic" w:hAnsi="Century Gothic" w:cs="Tahoma"/>
          <w:color w:val="auto"/>
        </w:rPr>
        <w:t xml:space="preserve"> </w:t>
      </w:r>
    </w:p>
    <w:p w14:paraId="3E6ABF19" w14:textId="77777777" w:rsidR="00BF7E84" w:rsidRDefault="00BF7E84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4C1F2230" w14:textId="11A9E960" w:rsidR="00417A92" w:rsidRPr="00DC1573" w:rsidRDefault="00DC1573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>Con ocasión de ello, se presentó informe a Corte Plena solicitando aprobación para su construcción, aprovechando una solicitud de datos trasladado tanto al Magistrado Jorge Olaso Álvarez, Coordinador de la Comisión de Acceso a la Justicia como a la suscrita en la función dicha.</w:t>
      </w:r>
    </w:p>
    <w:p w14:paraId="041A9CAD" w14:textId="659B1647" w:rsidR="00155B31" w:rsidRPr="00DC1573" w:rsidRDefault="00155B31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/>
        </w:rPr>
        <w:object w:dxaOrig="1508" w:dyaOrig="984" w14:anchorId="6C9685E2">
          <v:shape id="_x0000_i1026" type="#_x0000_t75" style="width:75.5pt;height:49pt" o:ole="">
            <v:imagedata r:id="rId16" o:title=""/>
          </v:shape>
          <o:OLEObject Type="Embed" ProgID="Word.Document.12" ShapeID="_x0000_i1026" DrawAspect="Icon" ObjectID="_1694753824" r:id="rId17">
            <o:FieldCodes>\s</o:FieldCodes>
          </o:OLEObject>
        </w:object>
      </w:r>
    </w:p>
    <w:p w14:paraId="35315215" w14:textId="1D28CEE5" w:rsidR="00417A92" w:rsidRPr="00DC1573" w:rsidRDefault="00417A92" w:rsidP="009779D4">
      <w:pPr>
        <w:pStyle w:val="Default"/>
        <w:jc w:val="both"/>
        <w:rPr>
          <w:rFonts w:ascii="Century Gothic" w:hAnsi="Century Gothic" w:cs="Tahoma"/>
          <w:b/>
          <w:bCs/>
          <w:color w:val="auto"/>
        </w:rPr>
      </w:pPr>
    </w:p>
    <w:p w14:paraId="7C4686AF" w14:textId="1ED398D7" w:rsidR="00DC1573" w:rsidRPr="00DC1573" w:rsidRDefault="00DC1573" w:rsidP="00DC1573">
      <w:pPr>
        <w:pStyle w:val="Default"/>
        <w:numPr>
          <w:ilvl w:val="0"/>
          <w:numId w:val="1"/>
        </w:numPr>
        <w:jc w:val="both"/>
        <w:rPr>
          <w:rFonts w:ascii="Century Gothic" w:hAnsi="Century Gothic" w:cs="Tahoma"/>
          <w:b/>
          <w:bCs/>
          <w:color w:val="auto"/>
        </w:rPr>
      </w:pPr>
      <w:r w:rsidRPr="00DC1573">
        <w:rPr>
          <w:rFonts w:ascii="Century Gothic" w:hAnsi="Century Gothic" w:cs="Tahoma"/>
          <w:b/>
          <w:bCs/>
          <w:color w:val="auto"/>
        </w:rPr>
        <w:t>Remisión de Informe de Labores del II Semestre 2021 al Consejo Nacional de Discapacidad</w:t>
      </w:r>
    </w:p>
    <w:p w14:paraId="68BD7402" w14:textId="77777777" w:rsidR="00DC1573" w:rsidRPr="00DC1573" w:rsidRDefault="00DC1573" w:rsidP="00DC1573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73039F93" w14:textId="38A9E4DB" w:rsidR="00155B31" w:rsidRPr="00DC1573" w:rsidRDefault="00417A92" w:rsidP="00DC1573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>Se remitieron al CONAPDIS los informes respectivos, según se desprende de los acuerdos de las actas citadas</w:t>
      </w:r>
      <w:r w:rsidR="00E96E4F" w:rsidRPr="00DC1573">
        <w:rPr>
          <w:rFonts w:ascii="Century Gothic" w:hAnsi="Century Gothic" w:cs="Tahoma"/>
          <w:color w:val="auto"/>
        </w:rPr>
        <w:t>, entre ellos, el Informe del II Semestre de 2021</w:t>
      </w:r>
      <w:r w:rsidRPr="00DC1573">
        <w:rPr>
          <w:rFonts w:ascii="Century Gothic" w:hAnsi="Century Gothic" w:cs="Tahoma"/>
          <w:color w:val="auto"/>
        </w:rPr>
        <w:t xml:space="preserve">. </w:t>
      </w:r>
    </w:p>
    <w:p w14:paraId="4547CC4D" w14:textId="43D8EC5F" w:rsidR="00155B31" w:rsidRPr="00DC1573" w:rsidRDefault="00155B31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/>
        </w:rPr>
        <w:object w:dxaOrig="1508" w:dyaOrig="984" w14:anchorId="713CC831">
          <v:shape id="_x0000_i1027" type="#_x0000_t75" style="width:75.5pt;height:49pt" o:ole="">
            <v:imagedata r:id="rId18" o:title=""/>
          </v:shape>
          <o:OLEObject Type="Embed" ProgID="AcroExch.Document.DC" ShapeID="_x0000_i1027" DrawAspect="Icon" ObjectID="_1694753825" r:id="rId19"/>
        </w:object>
      </w:r>
    </w:p>
    <w:p w14:paraId="2A5F3B23" w14:textId="369B3976" w:rsidR="00155B31" w:rsidRPr="00DC1573" w:rsidRDefault="00155B31" w:rsidP="009779D4">
      <w:pPr>
        <w:pStyle w:val="Default"/>
        <w:jc w:val="both"/>
        <w:rPr>
          <w:rFonts w:ascii="Century Gothic" w:hAnsi="Century Gothic" w:cs="Tahoma"/>
          <w:b/>
          <w:bCs/>
          <w:color w:val="auto"/>
        </w:rPr>
      </w:pPr>
    </w:p>
    <w:p w14:paraId="7BF83709" w14:textId="3CE99644" w:rsidR="00DC1573" w:rsidRPr="00DC1573" w:rsidRDefault="00DC1573" w:rsidP="00DC1573">
      <w:pPr>
        <w:pStyle w:val="Default"/>
        <w:numPr>
          <w:ilvl w:val="0"/>
          <w:numId w:val="1"/>
        </w:numPr>
        <w:jc w:val="both"/>
        <w:rPr>
          <w:rFonts w:ascii="Century Gothic" w:hAnsi="Century Gothic" w:cs="Tahoma"/>
          <w:b/>
          <w:bCs/>
          <w:color w:val="auto"/>
        </w:rPr>
      </w:pPr>
      <w:r w:rsidRPr="00DC1573">
        <w:rPr>
          <w:rFonts w:ascii="Century Gothic" w:hAnsi="Century Gothic" w:cs="Tahoma"/>
          <w:b/>
          <w:bCs/>
          <w:color w:val="auto"/>
        </w:rPr>
        <w:t>Rendición de Informe 2020/2021 a la Asamblea Legislativa</w:t>
      </w:r>
    </w:p>
    <w:p w14:paraId="7ECE8233" w14:textId="77777777" w:rsidR="00DC1573" w:rsidRPr="00DC1573" w:rsidRDefault="00DC1573" w:rsidP="00DC1573">
      <w:pPr>
        <w:pStyle w:val="Default"/>
        <w:ind w:left="1080"/>
        <w:jc w:val="both"/>
        <w:rPr>
          <w:rFonts w:ascii="Century Gothic" w:hAnsi="Century Gothic" w:cs="Tahoma"/>
          <w:color w:val="auto"/>
        </w:rPr>
      </w:pPr>
    </w:p>
    <w:p w14:paraId="7B48E455" w14:textId="14878F17" w:rsidR="00DC1573" w:rsidRPr="00DC1573" w:rsidRDefault="00DC1573" w:rsidP="009779D4">
      <w:pPr>
        <w:pStyle w:val="Default"/>
        <w:jc w:val="both"/>
        <w:rPr>
          <w:rFonts w:ascii="Century Gothic" w:hAnsi="Century Gothic" w:cs="Tahoma"/>
          <w:color w:val="auto"/>
        </w:rPr>
      </w:pPr>
      <w:r w:rsidRPr="00DC1573">
        <w:rPr>
          <w:rFonts w:ascii="Century Gothic" w:hAnsi="Century Gothic" w:cs="Tahoma"/>
          <w:color w:val="auto"/>
        </w:rPr>
        <w:t>Se envió el Informe de Labores 2020/2021 del Poder Judicial el 1° de agosto de 2021 en cumplimiento de lo dispuesto en el Capítulo VIII de la Ley 7.600. Previo a ello se hicieron las coordinaciones respectivas con las oficinas institucionales e interinstitucionales a las que esa normativa hace referencia.</w:t>
      </w:r>
    </w:p>
    <w:p w14:paraId="2F89245F" w14:textId="0A55F7B1" w:rsidR="00DC1573" w:rsidRPr="00DC1573" w:rsidRDefault="002A732E" w:rsidP="009779D4">
      <w:pPr>
        <w:pStyle w:val="Default"/>
        <w:jc w:val="both"/>
        <w:rPr>
          <w:rFonts w:ascii="Century Gothic" w:hAnsi="Century Gothic" w:cs="Tahoma"/>
          <w:color w:val="auto"/>
        </w:rPr>
      </w:pPr>
      <w:r>
        <w:object w:dxaOrig="1508" w:dyaOrig="984" w14:anchorId="0647C4CF">
          <v:shape id="_x0000_i1028" type="#_x0000_t75" style="width:75.5pt;height:49pt" o:ole="">
            <v:imagedata r:id="rId20" o:title=""/>
          </v:shape>
          <o:OLEObject Type="Embed" ProgID="AcroExch.Document.DC" ShapeID="_x0000_i1028" DrawAspect="Icon" ObjectID="_1694753826" r:id="rId21"/>
        </w:object>
      </w:r>
    </w:p>
    <w:p w14:paraId="40B6CEE6" w14:textId="369CA917" w:rsidR="00DC1573" w:rsidRDefault="00DC1573" w:rsidP="009779D4">
      <w:pPr>
        <w:pStyle w:val="Default"/>
        <w:jc w:val="both"/>
        <w:rPr>
          <w:rFonts w:ascii="Century Gothic" w:hAnsi="Century Gothic" w:cs="Tahoma"/>
          <w:color w:val="auto"/>
        </w:rPr>
      </w:pPr>
    </w:p>
    <w:p w14:paraId="330FA32F" w14:textId="7883AC32" w:rsidR="0076542C" w:rsidRPr="00DC1573" w:rsidRDefault="0076542C" w:rsidP="009779D4">
      <w:pPr>
        <w:pStyle w:val="Default"/>
        <w:jc w:val="both"/>
        <w:rPr>
          <w:rFonts w:ascii="Century Gothic" w:hAnsi="Century Gothic" w:cs="Tahoma"/>
          <w:color w:val="auto"/>
        </w:rPr>
      </w:pPr>
      <w:r>
        <w:rPr>
          <w:rFonts w:ascii="Century Gothic" w:hAnsi="Century Gothic" w:cs="Tahoma"/>
          <w:color w:val="auto"/>
        </w:rPr>
        <w:t>Cualquier dato adicional se está en la mayor disposición de facilitarlo.</w:t>
      </w:r>
    </w:p>
    <w:p w14:paraId="231F8FDC" w14:textId="0CDEC237" w:rsidR="00E96E4F" w:rsidRPr="00DC1573" w:rsidRDefault="00E96E4F" w:rsidP="009779D4">
      <w:pPr>
        <w:pStyle w:val="Default"/>
        <w:jc w:val="both"/>
        <w:rPr>
          <w:rFonts w:ascii="Century Gothic" w:hAnsi="Century Gothic" w:cs="Tahoma"/>
        </w:rPr>
      </w:pPr>
    </w:p>
    <w:p w14:paraId="58CD82E8" w14:textId="526FF541" w:rsidR="00E96E4F" w:rsidRPr="00DC1573" w:rsidRDefault="00E96E4F" w:rsidP="009779D4">
      <w:pPr>
        <w:pStyle w:val="Default"/>
        <w:jc w:val="both"/>
        <w:rPr>
          <w:rFonts w:ascii="Century Gothic" w:hAnsi="Century Gothic" w:cs="Tahoma"/>
        </w:rPr>
      </w:pPr>
      <w:r w:rsidRPr="00DC1573">
        <w:rPr>
          <w:rFonts w:ascii="Century Gothic" w:hAnsi="Century Gothic" w:cs="Tahoma"/>
        </w:rPr>
        <w:t>Atentamente,</w:t>
      </w:r>
    </w:p>
    <w:p w14:paraId="2C20AF02" w14:textId="7CE6A4E2" w:rsidR="00E96E4F" w:rsidRPr="00DC1573" w:rsidRDefault="00E96E4F" w:rsidP="009779D4">
      <w:pPr>
        <w:pStyle w:val="Default"/>
        <w:jc w:val="both"/>
        <w:rPr>
          <w:rFonts w:ascii="Century Gothic" w:hAnsi="Century Gothic" w:cs="Tahoma"/>
        </w:rPr>
      </w:pPr>
    </w:p>
    <w:p w14:paraId="3750650B" w14:textId="2241230D" w:rsidR="00E96E4F" w:rsidRPr="00DC1573" w:rsidRDefault="00E96E4F" w:rsidP="009779D4">
      <w:pPr>
        <w:pStyle w:val="Default"/>
        <w:jc w:val="both"/>
        <w:rPr>
          <w:rFonts w:ascii="Century Gothic" w:hAnsi="Century Gothic" w:cs="Tahoma"/>
        </w:rPr>
      </w:pPr>
    </w:p>
    <w:p w14:paraId="6E26E90F" w14:textId="65C7E626" w:rsidR="00BF7E84" w:rsidRDefault="00BF7E84" w:rsidP="009779D4">
      <w:pPr>
        <w:pStyle w:val="Default"/>
        <w:jc w:val="both"/>
        <w:rPr>
          <w:rFonts w:ascii="Century Gothic" w:hAnsi="Century Gothic" w:cs="Tahoma"/>
        </w:rPr>
      </w:pPr>
    </w:p>
    <w:p w14:paraId="40D529D4" w14:textId="77777777" w:rsidR="00BF7E84" w:rsidRPr="00DC1573" w:rsidRDefault="00BF7E84" w:rsidP="009779D4">
      <w:pPr>
        <w:pStyle w:val="Default"/>
        <w:jc w:val="both"/>
        <w:rPr>
          <w:rFonts w:ascii="Century Gothic" w:hAnsi="Century Gothic" w:cs="Tahoma"/>
        </w:rPr>
      </w:pPr>
    </w:p>
    <w:p w14:paraId="65BBB475" w14:textId="77777777" w:rsidR="00DC1573" w:rsidRPr="00DC1573" w:rsidRDefault="00DC1573" w:rsidP="009779D4">
      <w:pPr>
        <w:pStyle w:val="Default"/>
        <w:jc w:val="both"/>
        <w:rPr>
          <w:rFonts w:ascii="Century Gothic" w:hAnsi="Century Gothic" w:cs="Tahoma"/>
        </w:rPr>
      </w:pPr>
    </w:p>
    <w:p w14:paraId="5922BA78" w14:textId="24587B84" w:rsidR="00E96E4F" w:rsidRPr="00DC1573" w:rsidRDefault="00E96E4F" w:rsidP="009779D4">
      <w:pPr>
        <w:pStyle w:val="Default"/>
        <w:jc w:val="both"/>
        <w:rPr>
          <w:rFonts w:ascii="Century Gothic" w:hAnsi="Century Gothic" w:cs="Tahoma"/>
        </w:rPr>
      </w:pPr>
    </w:p>
    <w:p w14:paraId="71873C56" w14:textId="1CB49A70" w:rsidR="00E96E4F" w:rsidRPr="00DC1573" w:rsidRDefault="00E96E4F" w:rsidP="00DC1573">
      <w:pPr>
        <w:pStyle w:val="Default"/>
        <w:jc w:val="center"/>
        <w:rPr>
          <w:rFonts w:ascii="Century Gothic" w:hAnsi="Century Gothic" w:cs="Tahoma"/>
          <w:b/>
          <w:bCs/>
        </w:rPr>
      </w:pPr>
      <w:r w:rsidRPr="00DC1573">
        <w:rPr>
          <w:rFonts w:ascii="Century Gothic" w:hAnsi="Century Gothic" w:cs="Tahoma"/>
          <w:b/>
          <w:bCs/>
        </w:rPr>
        <w:t>Magistrada Damaris Vargas Vásquez</w:t>
      </w:r>
    </w:p>
    <w:p w14:paraId="57957B93" w14:textId="74E5A489" w:rsidR="00E96E4F" w:rsidRPr="00DC1573" w:rsidRDefault="00E96E4F" w:rsidP="00DC1573">
      <w:pPr>
        <w:pStyle w:val="Default"/>
        <w:jc w:val="center"/>
        <w:rPr>
          <w:rFonts w:ascii="Century Gothic" w:hAnsi="Century Gothic" w:cs="Tahoma"/>
          <w:b/>
          <w:bCs/>
        </w:rPr>
      </w:pPr>
      <w:r w:rsidRPr="00DC1573">
        <w:rPr>
          <w:rFonts w:ascii="Century Gothic" w:hAnsi="Century Gothic" w:cs="Tahoma"/>
          <w:b/>
          <w:bCs/>
        </w:rPr>
        <w:t>Sala Primera de la Corte Suprema de Justicia</w:t>
      </w:r>
    </w:p>
    <w:p w14:paraId="7F22E79B" w14:textId="77777777" w:rsidR="00DC1573" w:rsidRPr="00DC1573" w:rsidRDefault="00E96E4F" w:rsidP="00DC1573">
      <w:pPr>
        <w:pStyle w:val="Default"/>
        <w:jc w:val="center"/>
        <w:rPr>
          <w:rFonts w:ascii="Century Gothic" w:hAnsi="Century Gothic" w:cs="Tahoma"/>
          <w:b/>
          <w:bCs/>
        </w:rPr>
      </w:pPr>
      <w:r w:rsidRPr="00DC1573">
        <w:rPr>
          <w:rFonts w:ascii="Century Gothic" w:hAnsi="Century Gothic" w:cs="Tahoma"/>
          <w:b/>
          <w:bCs/>
        </w:rPr>
        <w:t>Coo</w:t>
      </w:r>
      <w:r w:rsidR="00DC1573" w:rsidRPr="00DC1573">
        <w:rPr>
          <w:rFonts w:ascii="Century Gothic" w:hAnsi="Century Gothic" w:cs="Tahoma"/>
          <w:b/>
          <w:bCs/>
        </w:rPr>
        <w:t xml:space="preserve">rdinadora Subcomisión de Acceso a la Justicia de </w:t>
      </w:r>
    </w:p>
    <w:p w14:paraId="34023934" w14:textId="3F641FC0" w:rsidR="00E96E4F" w:rsidRPr="00DC1573" w:rsidRDefault="00DC1573" w:rsidP="00DC1573">
      <w:pPr>
        <w:pStyle w:val="Default"/>
        <w:jc w:val="center"/>
        <w:rPr>
          <w:rFonts w:ascii="Century Gothic" w:hAnsi="Century Gothic" w:cs="Tahoma"/>
          <w:b/>
          <w:bCs/>
        </w:rPr>
      </w:pPr>
      <w:r w:rsidRPr="00DC1573">
        <w:rPr>
          <w:rFonts w:ascii="Century Gothic" w:hAnsi="Century Gothic" w:cs="Tahoma"/>
          <w:b/>
          <w:bCs/>
        </w:rPr>
        <w:t>Personas en situación de Discapacidad</w:t>
      </w:r>
    </w:p>
    <w:p w14:paraId="06269CCF" w14:textId="125A5638" w:rsidR="00DC1573" w:rsidRPr="00DC1573" w:rsidRDefault="00DC1573" w:rsidP="009779D4">
      <w:pPr>
        <w:pStyle w:val="Default"/>
        <w:jc w:val="both"/>
        <w:rPr>
          <w:rFonts w:ascii="Century Gothic" w:hAnsi="Century Gothic" w:cs="Tahoma"/>
        </w:rPr>
      </w:pPr>
    </w:p>
    <w:p w14:paraId="2EAA4B7B" w14:textId="24F485B1" w:rsidR="00DC1573" w:rsidRPr="00DC1573" w:rsidRDefault="00DC1573" w:rsidP="009779D4">
      <w:pPr>
        <w:pStyle w:val="Default"/>
        <w:jc w:val="both"/>
        <w:rPr>
          <w:rFonts w:ascii="Century Gothic" w:hAnsi="Century Gothic" w:cs="Tahoma"/>
          <w:i/>
          <w:iCs/>
          <w:sz w:val="16"/>
          <w:szCs w:val="16"/>
        </w:rPr>
      </w:pPr>
      <w:r w:rsidRPr="00DC1573">
        <w:rPr>
          <w:rFonts w:ascii="Century Gothic" w:hAnsi="Century Gothic" w:cs="Tahoma"/>
          <w:i/>
          <w:iCs/>
          <w:sz w:val="16"/>
          <w:szCs w:val="16"/>
        </w:rPr>
        <w:t>Copias:</w:t>
      </w:r>
    </w:p>
    <w:p w14:paraId="53B9AF0A" w14:textId="3D0F9CD1" w:rsidR="00DC1573" w:rsidRPr="00DC1573" w:rsidRDefault="00DC1573" w:rsidP="009779D4">
      <w:pPr>
        <w:pStyle w:val="Default"/>
        <w:jc w:val="both"/>
        <w:rPr>
          <w:rFonts w:ascii="Century Gothic" w:hAnsi="Century Gothic" w:cs="Tahoma"/>
          <w:i/>
          <w:iCs/>
          <w:sz w:val="16"/>
          <w:szCs w:val="16"/>
        </w:rPr>
      </w:pPr>
      <w:r w:rsidRPr="00DC1573">
        <w:rPr>
          <w:rFonts w:ascii="Century Gothic" w:hAnsi="Century Gothic" w:cs="Tahoma"/>
          <w:i/>
          <w:iCs/>
          <w:sz w:val="16"/>
          <w:szCs w:val="16"/>
        </w:rPr>
        <w:t>Presidencia de la Corte</w:t>
      </w:r>
    </w:p>
    <w:p w14:paraId="1AFFE09C" w14:textId="306C8CDD" w:rsidR="00DC1573" w:rsidRPr="00DC1573" w:rsidRDefault="00DC1573" w:rsidP="009779D4">
      <w:pPr>
        <w:pStyle w:val="Default"/>
        <w:jc w:val="both"/>
        <w:rPr>
          <w:rFonts w:ascii="Century Gothic" w:hAnsi="Century Gothic" w:cs="Tahoma"/>
          <w:i/>
          <w:iCs/>
          <w:sz w:val="16"/>
          <w:szCs w:val="16"/>
        </w:rPr>
      </w:pPr>
      <w:r w:rsidRPr="00DC1573">
        <w:rPr>
          <w:rFonts w:ascii="Century Gothic" w:hAnsi="Century Gothic" w:cs="Tahoma"/>
          <w:i/>
          <w:iCs/>
          <w:sz w:val="16"/>
          <w:szCs w:val="16"/>
        </w:rPr>
        <w:t>Despacho de la Presidencia</w:t>
      </w:r>
    </w:p>
    <w:p w14:paraId="4F64B9F9" w14:textId="2562BBC4" w:rsidR="00DC1573" w:rsidRPr="00DC1573" w:rsidRDefault="00DC1573" w:rsidP="009779D4">
      <w:pPr>
        <w:pStyle w:val="Default"/>
        <w:jc w:val="both"/>
        <w:rPr>
          <w:rFonts w:ascii="Century Gothic" w:hAnsi="Century Gothic" w:cs="Tahoma"/>
          <w:i/>
          <w:iCs/>
          <w:sz w:val="16"/>
          <w:szCs w:val="16"/>
        </w:rPr>
      </w:pPr>
      <w:r w:rsidRPr="00DC1573">
        <w:rPr>
          <w:rFonts w:ascii="Century Gothic" w:hAnsi="Century Gothic" w:cs="Tahoma"/>
          <w:i/>
          <w:iCs/>
          <w:sz w:val="16"/>
          <w:szCs w:val="16"/>
        </w:rPr>
        <w:t>Comisión de Acceso a la Justicia</w:t>
      </w:r>
    </w:p>
    <w:p w14:paraId="57CA2246" w14:textId="141499F2" w:rsidR="00DC1573" w:rsidRPr="00DC1573" w:rsidRDefault="00DC1573" w:rsidP="009779D4">
      <w:pPr>
        <w:pStyle w:val="Default"/>
        <w:jc w:val="both"/>
        <w:rPr>
          <w:rFonts w:ascii="Century Gothic" w:hAnsi="Century Gothic" w:cs="Tahoma"/>
          <w:i/>
          <w:iCs/>
          <w:sz w:val="16"/>
          <w:szCs w:val="16"/>
        </w:rPr>
      </w:pPr>
      <w:r w:rsidRPr="00DC1573">
        <w:rPr>
          <w:rFonts w:ascii="Century Gothic" w:hAnsi="Century Gothic" w:cs="Tahoma"/>
          <w:i/>
          <w:iCs/>
          <w:sz w:val="16"/>
          <w:szCs w:val="16"/>
        </w:rPr>
        <w:t>Unidad de Acceso a la Justicia</w:t>
      </w:r>
    </w:p>
    <w:p w14:paraId="756293E1" w14:textId="73711100" w:rsidR="00DC1573" w:rsidRDefault="00DC1573" w:rsidP="009779D4">
      <w:pPr>
        <w:pStyle w:val="Default"/>
        <w:jc w:val="both"/>
        <w:rPr>
          <w:rFonts w:ascii="Century Gothic" w:hAnsi="Century Gothic" w:cs="Tahoma"/>
          <w:i/>
          <w:iCs/>
          <w:sz w:val="16"/>
          <w:szCs w:val="16"/>
        </w:rPr>
      </w:pPr>
      <w:r w:rsidRPr="00DC1573">
        <w:rPr>
          <w:rFonts w:ascii="Century Gothic" w:hAnsi="Century Gothic" w:cs="Tahoma"/>
          <w:i/>
          <w:iCs/>
          <w:sz w:val="16"/>
          <w:szCs w:val="16"/>
        </w:rPr>
        <w:t>Oficina de Cooperación y Relaciones Internacionales</w:t>
      </w:r>
    </w:p>
    <w:p w14:paraId="53A634EB" w14:textId="37042F70" w:rsidR="0076542C" w:rsidRPr="00DC1573" w:rsidRDefault="0076542C" w:rsidP="009779D4">
      <w:pPr>
        <w:pStyle w:val="Default"/>
        <w:jc w:val="both"/>
        <w:rPr>
          <w:rFonts w:ascii="Century Gothic" w:hAnsi="Century Gothic" w:cs="Tahoma"/>
          <w:i/>
          <w:iCs/>
          <w:sz w:val="16"/>
          <w:szCs w:val="16"/>
        </w:rPr>
      </w:pPr>
      <w:r>
        <w:rPr>
          <w:rFonts w:ascii="Century Gothic" w:hAnsi="Century Gothic" w:cs="Tahoma"/>
          <w:i/>
          <w:iCs/>
          <w:sz w:val="16"/>
          <w:szCs w:val="16"/>
        </w:rPr>
        <w:t>Dirección de Gestión Humana</w:t>
      </w:r>
    </w:p>
    <w:p w14:paraId="2BB1943E" w14:textId="0F0CBA19" w:rsidR="00DC1573" w:rsidRPr="00DC1573" w:rsidRDefault="00DC1573" w:rsidP="009779D4">
      <w:pPr>
        <w:pStyle w:val="Default"/>
        <w:jc w:val="both"/>
        <w:rPr>
          <w:rFonts w:ascii="Century Gothic" w:hAnsi="Century Gothic" w:cs="Tahoma"/>
          <w:i/>
          <w:iCs/>
          <w:sz w:val="16"/>
          <w:szCs w:val="16"/>
        </w:rPr>
      </w:pPr>
      <w:r w:rsidRPr="00DC1573">
        <w:rPr>
          <w:rFonts w:ascii="Century Gothic" w:hAnsi="Century Gothic" w:cs="Tahoma"/>
          <w:i/>
          <w:iCs/>
          <w:sz w:val="16"/>
          <w:szCs w:val="16"/>
        </w:rPr>
        <w:t>CONAPDIS</w:t>
      </w:r>
    </w:p>
    <w:p w14:paraId="764C02E8" w14:textId="4290BBBC" w:rsidR="00DC1573" w:rsidRPr="00DC1573" w:rsidRDefault="00DC1573" w:rsidP="009779D4">
      <w:pPr>
        <w:pStyle w:val="Default"/>
        <w:jc w:val="both"/>
        <w:rPr>
          <w:rFonts w:ascii="Century Gothic" w:hAnsi="Century Gothic" w:cs="Tahoma"/>
          <w:i/>
          <w:iCs/>
          <w:sz w:val="16"/>
          <w:szCs w:val="16"/>
        </w:rPr>
      </w:pPr>
      <w:r w:rsidRPr="00DC1573">
        <w:rPr>
          <w:rFonts w:ascii="Century Gothic" w:hAnsi="Century Gothic" w:cs="Tahoma"/>
          <w:i/>
          <w:iCs/>
          <w:sz w:val="16"/>
          <w:szCs w:val="16"/>
        </w:rPr>
        <w:t>Auditoría Judicial</w:t>
      </w:r>
    </w:p>
    <w:sectPr w:rsidR="00DC1573" w:rsidRPr="00DC1573" w:rsidSect="00A853BB">
      <w:footerReference w:type="default" r:id="rId22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CF618" w14:textId="77777777" w:rsidR="006C0B7B" w:rsidRDefault="006C0B7B" w:rsidP="002A732E">
      <w:r>
        <w:separator/>
      </w:r>
    </w:p>
  </w:endnote>
  <w:endnote w:type="continuationSeparator" w:id="0">
    <w:p w14:paraId="412FF401" w14:textId="77777777" w:rsidR="006C0B7B" w:rsidRDefault="006C0B7B" w:rsidP="002A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928496"/>
      <w:docPartObj>
        <w:docPartGallery w:val="Page Numbers (Bottom of Page)"/>
        <w:docPartUnique/>
      </w:docPartObj>
    </w:sdtPr>
    <w:sdtEndPr/>
    <w:sdtContent>
      <w:p w14:paraId="32376917" w14:textId="052F40CB" w:rsidR="002A732E" w:rsidRDefault="002A732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FAD344" w14:textId="77777777" w:rsidR="002A732E" w:rsidRDefault="002A73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52EC6" w14:textId="77777777" w:rsidR="006C0B7B" w:rsidRDefault="006C0B7B" w:rsidP="002A732E">
      <w:r>
        <w:separator/>
      </w:r>
    </w:p>
  </w:footnote>
  <w:footnote w:type="continuationSeparator" w:id="0">
    <w:p w14:paraId="3B15BFFA" w14:textId="77777777" w:rsidR="006C0B7B" w:rsidRDefault="006C0B7B" w:rsidP="002A7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13EED"/>
    <w:multiLevelType w:val="hybridMultilevel"/>
    <w:tmpl w:val="936AEBD6"/>
    <w:lvl w:ilvl="0" w:tplc="56BE4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DD"/>
    <w:rsid w:val="0000134F"/>
    <w:rsid w:val="00065E76"/>
    <w:rsid w:val="00155B31"/>
    <w:rsid w:val="00190BDD"/>
    <w:rsid w:val="002A732E"/>
    <w:rsid w:val="003850E4"/>
    <w:rsid w:val="00417A92"/>
    <w:rsid w:val="006C0B7B"/>
    <w:rsid w:val="006D03E5"/>
    <w:rsid w:val="006E0A7E"/>
    <w:rsid w:val="0076542C"/>
    <w:rsid w:val="0079329B"/>
    <w:rsid w:val="00881D21"/>
    <w:rsid w:val="00912957"/>
    <w:rsid w:val="00954F1C"/>
    <w:rsid w:val="009779D4"/>
    <w:rsid w:val="009B5C53"/>
    <w:rsid w:val="00A368F4"/>
    <w:rsid w:val="00A853BB"/>
    <w:rsid w:val="00BB3611"/>
    <w:rsid w:val="00BF7E84"/>
    <w:rsid w:val="00D25205"/>
    <w:rsid w:val="00D52496"/>
    <w:rsid w:val="00DC1573"/>
    <w:rsid w:val="00E72739"/>
    <w:rsid w:val="00E9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BB89"/>
  <w15:chartTrackingRefBased/>
  <w15:docId w15:val="{5EE74232-45FF-4446-B0B1-42AAF13A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B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190BDD"/>
    <w:rPr>
      <w:color w:val="000080"/>
      <w:u w:val="single"/>
    </w:rPr>
  </w:style>
  <w:style w:type="character" w:customStyle="1" w:styleId="EncabezadoCar1">
    <w:name w:val="Encabezado Car1"/>
    <w:aliases w:val="encabezado Car"/>
    <w:link w:val="Encabezado"/>
    <w:locked/>
    <w:rsid w:val="00190BDD"/>
    <w:rPr>
      <w:rFonts w:ascii="Arial" w:hAnsi="Arial" w:cs="Arial"/>
      <w:sz w:val="24"/>
      <w:szCs w:val="24"/>
      <w:u w:val="single"/>
      <w:shd w:val="clear" w:color="auto" w:fill="FFFFFF"/>
      <w:lang w:eastAsia="ar-SA"/>
    </w:rPr>
  </w:style>
  <w:style w:type="paragraph" w:styleId="Encabezado">
    <w:name w:val="header"/>
    <w:aliases w:val="encabezado"/>
    <w:basedOn w:val="Normal"/>
    <w:link w:val="EncabezadoCar1"/>
    <w:unhideWhenUsed/>
    <w:rsid w:val="00190BDD"/>
    <w:pPr>
      <w:widowControl w:val="0"/>
      <w:shd w:val="clear" w:color="auto" w:fill="FFFFFF"/>
      <w:tabs>
        <w:tab w:val="center" w:pos="4320"/>
        <w:tab w:val="right" w:pos="8640"/>
      </w:tabs>
      <w:autoSpaceDE w:val="0"/>
    </w:pPr>
    <w:rPr>
      <w:rFonts w:ascii="Arial" w:eastAsiaTheme="minorHAnsi" w:hAnsi="Arial" w:cs="Arial"/>
      <w:u w:val="single"/>
      <w:lang w:val="es-CR"/>
    </w:rPr>
  </w:style>
  <w:style w:type="character" w:customStyle="1" w:styleId="EncabezadoCar">
    <w:name w:val="Encabezado Car"/>
    <w:basedOn w:val="Fuentedeprrafopredeter"/>
    <w:uiPriority w:val="99"/>
    <w:semiHidden/>
    <w:rsid w:val="00190BDD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customStyle="1" w:styleId="Default">
    <w:name w:val="Default"/>
    <w:rsid w:val="003850E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A36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BB3611"/>
    <w:rPr>
      <w:color w:val="605E5C"/>
      <w:shd w:val="clear" w:color="auto" w:fill="E1DFDD"/>
    </w:rPr>
  </w:style>
  <w:style w:type="table" w:styleId="Tabladelista3-nfasis1">
    <w:name w:val="List Table 3 Accent 1"/>
    <w:basedOn w:val="Tablanormal"/>
    <w:uiPriority w:val="48"/>
    <w:rsid w:val="00E96E4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concuadrcula6concolores-nfasis1">
    <w:name w:val="Grid Table 6 Colorful Accent 1"/>
    <w:basedOn w:val="Tablanormal"/>
    <w:uiPriority w:val="51"/>
    <w:rsid w:val="00E96E4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2A73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732E"/>
    <w:rPr>
      <w:rFonts w:ascii="Times New Roman" w:eastAsia="Times New Roman" w:hAnsi="Times New Roman" w:cs="Times New Roman"/>
      <w:sz w:val="24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9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\\SJ10004-734451\Informes_para_comunicar\DISCAPACIDAD" TargetMode="Externa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hyperlink" Target="file:///\\SJ10004-734451\Informes_para_comunicar\DISCAPACIDAD" TargetMode="External"/><Relationship Id="rId17" Type="http://schemas.openxmlformats.org/officeDocument/2006/relationships/package" Target="embeddings/Microsoft_Word_Document1.docx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SJ10004-734451\Informes_para_comunicar\DISCAPACIDA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.docx"/><Relationship Id="rId23" Type="http://schemas.openxmlformats.org/officeDocument/2006/relationships/fontTable" Target="fontTable.xml"/><Relationship Id="rId10" Type="http://schemas.openxmlformats.org/officeDocument/2006/relationships/image" Target="media/image20.png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74A0E-0AA9-4D05-8E27-4633922C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1853</Words>
  <Characters>10195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Mena Cárdenas</dc:creator>
  <cp:keywords/>
  <dc:description/>
  <cp:lastModifiedBy>Angie Calderón Chaves</cp:lastModifiedBy>
  <cp:revision>2</cp:revision>
  <cp:lastPrinted>2021-09-20T18:02:00Z</cp:lastPrinted>
  <dcterms:created xsi:type="dcterms:W3CDTF">2021-10-03T14:03:00Z</dcterms:created>
  <dcterms:modified xsi:type="dcterms:W3CDTF">2021-10-03T14:03:00Z</dcterms:modified>
</cp:coreProperties>
</file>