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06986" w14:textId="545A95DA" w:rsidR="00A5789B" w:rsidRDefault="00497D37" w:rsidP="00A5789B">
      <w:pPr>
        <w:autoSpaceDE w:val="0"/>
        <w:autoSpaceDN w:val="0"/>
        <w:adjustRightInd w:val="0"/>
        <w:jc w:val="right"/>
        <w:rPr>
          <w:rFonts w:ascii="Calibri" w:eastAsia="Times New Roman" w:hAnsi="Calibri" w:cs="Times New Roman"/>
          <w:b/>
          <w:szCs w:val="24"/>
        </w:rPr>
      </w:pPr>
      <w:r>
        <w:rPr>
          <w:rFonts w:ascii="Calibri" w:eastAsia="Times New Roman" w:hAnsi="Calibri" w:cs="Times New Roman"/>
          <w:b/>
          <w:szCs w:val="24"/>
        </w:rPr>
        <w:t>05 de enero de 2022</w:t>
      </w:r>
    </w:p>
    <w:p w14:paraId="311979F6" w14:textId="77777777" w:rsidR="00497D37" w:rsidRDefault="00497D37" w:rsidP="00497D37">
      <w:pPr>
        <w:shd w:val="clear" w:color="auto" w:fill="B4C6E7" w:themeFill="accent1" w:themeFillTint="66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szCs w:val="24"/>
        </w:rPr>
      </w:pPr>
    </w:p>
    <w:p w14:paraId="5862AB3D" w14:textId="057A5FC6" w:rsidR="00A5789B" w:rsidRPr="00497D37" w:rsidRDefault="00497D37" w:rsidP="00497D37">
      <w:pPr>
        <w:shd w:val="clear" w:color="auto" w:fill="B4C6E7" w:themeFill="accent1" w:themeFillTint="66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32"/>
          <w:szCs w:val="32"/>
        </w:rPr>
      </w:pPr>
      <w:r w:rsidRPr="00497D37">
        <w:rPr>
          <w:rFonts w:ascii="Calibri" w:eastAsia="Times New Roman" w:hAnsi="Calibri" w:cs="Times New Roman"/>
          <w:b/>
          <w:sz w:val="32"/>
          <w:szCs w:val="32"/>
        </w:rPr>
        <w:t xml:space="preserve">Subcomisión de Acceso a la Justicia </w:t>
      </w:r>
      <w:r>
        <w:rPr>
          <w:rFonts w:ascii="Calibri" w:eastAsia="Times New Roman" w:hAnsi="Calibri" w:cs="Times New Roman"/>
          <w:b/>
          <w:sz w:val="32"/>
          <w:szCs w:val="32"/>
        </w:rPr>
        <w:t>para</w:t>
      </w:r>
      <w:r w:rsidRPr="00497D37">
        <w:rPr>
          <w:rFonts w:ascii="Calibri" w:eastAsia="Times New Roman" w:hAnsi="Calibri" w:cs="Times New Roman"/>
          <w:b/>
          <w:sz w:val="32"/>
          <w:szCs w:val="32"/>
        </w:rPr>
        <w:t xml:space="preserve"> Personas Adultas Mayores</w:t>
      </w:r>
    </w:p>
    <w:p w14:paraId="6852E4CA" w14:textId="0BD77651" w:rsidR="00A5789B" w:rsidRDefault="00497D37" w:rsidP="00497D37">
      <w:pPr>
        <w:autoSpaceDE w:val="0"/>
        <w:autoSpaceDN w:val="0"/>
        <w:adjustRightInd w:val="0"/>
        <w:spacing w:after="0" w:line="330" w:lineRule="atLeast"/>
        <w:ind w:firstLine="360"/>
        <w:jc w:val="both"/>
        <w:rPr>
          <w:rFonts w:ascii="Calibri" w:eastAsia="Times New Roman" w:hAnsi="Calibri" w:cs="Times New Roman"/>
          <w:color w:val="000000"/>
          <w:szCs w:val="24"/>
          <w:lang w:val="es-ES"/>
        </w:rPr>
      </w:pPr>
      <w:r>
        <w:rPr>
          <w:rFonts w:ascii="Calibri" w:eastAsia="Times New Roman" w:hAnsi="Calibri" w:cs="Times New Roman"/>
          <w:color w:val="222222"/>
          <w:szCs w:val="24"/>
          <w:lang w:val="es-ES"/>
        </w:rPr>
        <w:t>S</w:t>
      </w:r>
      <w:r w:rsidR="00A5789B" w:rsidRPr="00A5789B">
        <w:rPr>
          <w:rFonts w:ascii="Calibri" w:eastAsia="Times New Roman" w:hAnsi="Calibri" w:cs="Times New Roman"/>
          <w:color w:val="222222"/>
          <w:szCs w:val="24"/>
          <w:lang w:val="es-ES"/>
        </w:rPr>
        <w:t xml:space="preserve">e procede a informar lo siguiente: </w:t>
      </w:r>
      <w:r w:rsidR="00A5789B" w:rsidRPr="00A5789B">
        <w:rPr>
          <w:rFonts w:ascii="Calibri" w:eastAsia="Times New Roman" w:hAnsi="Calibri" w:cs="Times New Roman"/>
          <w:color w:val="000000"/>
          <w:szCs w:val="24"/>
          <w:lang w:val="es-ES"/>
        </w:rPr>
        <w:t> </w:t>
      </w:r>
    </w:p>
    <w:p w14:paraId="13E34B47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222222"/>
          <w:szCs w:val="24"/>
        </w:rPr>
      </w:pPr>
    </w:p>
    <w:p w14:paraId="4F20080D" w14:textId="63E2AAC9" w:rsidR="00A5789B" w:rsidRDefault="00A5789B" w:rsidP="00A5789B">
      <w:pPr>
        <w:numPr>
          <w:ilvl w:val="0"/>
          <w:numId w:val="1"/>
        </w:numPr>
        <w:autoSpaceDE w:val="0"/>
        <w:autoSpaceDN w:val="0"/>
        <w:adjustRightInd w:val="0"/>
        <w:spacing w:after="0" w:line="330" w:lineRule="atLeast"/>
        <w:ind w:left="1080" w:hanging="720"/>
        <w:rPr>
          <w:rFonts w:ascii="Calibri" w:eastAsia="Times New Roman" w:hAnsi="Calibri" w:cs="Times New Roman"/>
          <w:b/>
          <w:color w:val="222222"/>
          <w:szCs w:val="24"/>
          <w:lang w:val="es-ES"/>
        </w:rPr>
      </w:pP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>Persona Coordinadora de la Subcomisión, cargo que ocupa y desde cuando se desempeña como persona coordinadora.</w:t>
      </w:r>
    </w:p>
    <w:p w14:paraId="09BEC50D" w14:textId="77777777" w:rsidR="00497D37" w:rsidRPr="00A5789B" w:rsidRDefault="00497D37" w:rsidP="00497D37">
      <w:pPr>
        <w:autoSpaceDE w:val="0"/>
        <w:autoSpaceDN w:val="0"/>
        <w:adjustRightInd w:val="0"/>
        <w:spacing w:after="0" w:line="330" w:lineRule="atLeast"/>
        <w:ind w:left="1080"/>
        <w:rPr>
          <w:rFonts w:ascii="Calibri" w:eastAsia="Times New Roman" w:hAnsi="Calibri" w:cs="Times New Roman"/>
          <w:b/>
          <w:color w:val="222222"/>
          <w:szCs w:val="24"/>
          <w:lang w:val="es-ES"/>
        </w:rPr>
      </w:pPr>
    </w:p>
    <w:p w14:paraId="1AE1BF6E" w14:textId="4B05A4AE" w:rsidR="00A5789B" w:rsidRDefault="00A5789B" w:rsidP="00A5789B">
      <w:pPr>
        <w:autoSpaceDE w:val="0"/>
        <w:autoSpaceDN w:val="0"/>
        <w:adjustRightInd w:val="0"/>
        <w:spacing w:after="0" w:line="330" w:lineRule="atLeast"/>
        <w:ind w:firstLine="360"/>
        <w:jc w:val="both"/>
        <w:rPr>
          <w:rFonts w:ascii="Calibri" w:eastAsia="Times New Roman" w:hAnsi="Calibri" w:cs="Times New Roman"/>
          <w:color w:val="222222"/>
          <w:szCs w:val="24"/>
          <w:lang w:val="es-ES"/>
        </w:rPr>
      </w:pPr>
      <w:r w:rsidRPr="00A5789B">
        <w:rPr>
          <w:rFonts w:ascii="Calibri" w:eastAsia="Times New Roman" w:hAnsi="Calibri" w:cs="Times New Roman"/>
          <w:color w:val="222222"/>
          <w:szCs w:val="24"/>
          <w:lang w:val="es-ES"/>
        </w:rPr>
        <w:t xml:space="preserve">La persona coordinadora de la Subcomisión de Acceso a la Justicia, es la </w:t>
      </w:r>
      <w:r w:rsidR="00497D37">
        <w:rPr>
          <w:rFonts w:ascii="Calibri" w:eastAsia="Times New Roman" w:hAnsi="Calibri" w:cs="Times New Roman"/>
          <w:color w:val="222222"/>
          <w:szCs w:val="24"/>
          <w:lang w:val="es-ES"/>
        </w:rPr>
        <w:t>jueza y magistrada suplente Sandra María Pereira Retana</w:t>
      </w:r>
      <w:r w:rsidRPr="00A5789B">
        <w:rPr>
          <w:rFonts w:ascii="Calibri" w:eastAsia="Times New Roman" w:hAnsi="Calibri" w:cs="Times New Roman"/>
          <w:color w:val="222222"/>
          <w:szCs w:val="24"/>
          <w:lang w:val="es-ES"/>
        </w:rPr>
        <w:t>, quien fuera nombrada en sesión de Corte Plena</w:t>
      </w:r>
      <w:r w:rsidR="00497D37" w:rsidRPr="00497D37">
        <w:t xml:space="preserve"> </w:t>
      </w:r>
      <w:r w:rsidR="00497D37" w:rsidRPr="00B97D11">
        <w:rPr>
          <w:b/>
          <w:bCs/>
        </w:rPr>
        <w:t>N</w:t>
      </w:r>
      <w:r w:rsidR="00497D37">
        <w:rPr>
          <w:b/>
          <w:bCs/>
        </w:rPr>
        <w:t>o.</w:t>
      </w:r>
      <w:r w:rsidR="00497D37" w:rsidRPr="00B97D11">
        <w:rPr>
          <w:b/>
          <w:bCs/>
        </w:rPr>
        <w:t xml:space="preserve"> 46-2021 </w:t>
      </w:r>
      <w:r w:rsidR="00497D37" w:rsidRPr="00B97D11">
        <w:rPr>
          <w:bCs/>
        </w:rPr>
        <w:t>c</w:t>
      </w:r>
      <w:r w:rsidR="00497D37" w:rsidRPr="00B97D11">
        <w:t xml:space="preserve">elebrada el </w:t>
      </w:r>
      <w:r w:rsidR="00497D37" w:rsidRPr="00B97D11">
        <w:rPr>
          <w:b/>
        </w:rPr>
        <w:t>01 de noviembre</w:t>
      </w:r>
      <w:r w:rsidR="00497D37" w:rsidRPr="00B97D11">
        <w:rPr>
          <w:b/>
          <w:bCs/>
        </w:rPr>
        <w:t xml:space="preserve"> del 2021</w:t>
      </w:r>
      <w:r w:rsidR="00497D37">
        <w:rPr>
          <w:b/>
          <w:bCs/>
        </w:rPr>
        <w:t xml:space="preserve">, artículo VIII, </w:t>
      </w:r>
      <w:r w:rsidR="00497D37">
        <w:rPr>
          <w:rFonts w:ascii="Calibri" w:eastAsia="Times New Roman" w:hAnsi="Calibri" w:cs="Times New Roman"/>
          <w:color w:val="222222"/>
          <w:szCs w:val="24"/>
          <w:lang w:val="es-ES"/>
        </w:rPr>
        <w:t xml:space="preserve">cuya </w:t>
      </w:r>
      <w:r w:rsidRPr="00A5789B">
        <w:rPr>
          <w:rFonts w:ascii="Calibri" w:eastAsia="Times New Roman" w:hAnsi="Calibri" w:cs="Times New Roman"/>
          <w:color w:val="222222"/>
          <w:szCs w:val="24"/>
          <w:lang w:val="es-ES"/>
        </w:rPr>
        <w:t>designación es por dos años</w:t>
      </w:r>
      <w:r w:rsidR="00497D37">
        <w:rPr>
          <w:rFonts w:ascii="Calibri" w:eastAsia="Times New Roman" w:hAnsi="Calibri" w:cs="Times New Roman"/>
          <w:color w:val="222222"/>
          <w:szCs w:val="24"/>
          <w:lang w:val="es-ES"/>
        </w:rPr>
        <w:t xml:space="preserve">, </w:t>
      </w:r>
      <w:r w:rsidR="00497D37" w:rsidRPr="00B97D11">
        <w:rPr>
          <w:lang w:eastAsia="es-ES"/>
        </w:rPr>
        <w:t>a partir del 2 de noviembre de 2021 y hasta el 1 de noviembre de 2023</w:t>
      </w:r>
      <w:r w:rsidR="00497D37">
        <w:rPr>
          <w:lang w:eastAsia="es-ES"/>
        </w:rPr>
        <w:t>.</w:t>
      </w:r>
    </w:p>
    <w:p w14:paraId="5C72F425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ind w:firstLine="360"/>
        <w:jc w:val="both"/>
        <w:rPr>
          <w:rFonts w:ascii="Calibri" w:eastAsia="Times New Roman" w:hAnsi="Calibri" w:cs="Times New Roman"/>
          <w:color w:val="222222"/>
          <w:szCs w:val="24"/>
        </w:rPr>
      </w:pPr>
    </w:p>
    <w:p w14:paraId="6179973B" w14:textId="77777777" w:rsidR="00A5789B" w:rsidRPr="00A5789B" w:rsidRDefault="00A5789B" w:rsidP="00A5789B">
      <w:pPr>
        <w:numPr>
          <w:ilvl w:val="0"/>
          <w:numId w:val="1"/>
        </w:numPr>
        <w:autoSpaceDE w:val="0"/>
        <w:autoSpaceDN w:val="0"/>
        <w:adjustRightInd w:val="0"/>
        <w:spacing w:after="0" w:line="330" w:lineRule="atLeast"/>
        <w:ind w:left="1080" w:hanging="720"/>
        <w:rPr>
          <w:rFonts w:ascii="Calibri" w:eastAsia="Times New Roman" w:hAnsi="Calibri" w:cs="Times New Roman"/>
          <w:b/>
          <w:color w:val="222222"/>
          <w:szCs w:val="24"/>
          <w:lang w:val="es-ES"/>
        </w:rPr>
      </w:pP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>Lista de personas Integrantes de la Subcomisión, indicar institución a la que pertenecen. </w:t>
      </w:r>
    </w:p>
    <w:p w14:paraId="10AB9C16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ind w:left="1080"/>
        <w:rPr>
          <w:rFonts w:ascii="Calibri" w:eastAsia="Times New Roman" w:hAnsi="Calibri" w:cs="Times New Roman"/>
          <w:b/>
          <w:color w:val="222222"/>
          <w:szCs w:val="24"/>
          <w:lang w:val="es-ES"/>
        </w:rPr>
      </w:pPr>
    </w:p>
    <w:p w14:paraId="228FAFD1" w14:textId="77777777" w:rsidR="00A5789B" w:rsidRPr="00A5789B" w:rsidRDefault="00A5789B" w:rsidP="00A5789B">
      <w:pPr>
        <w:autoSpaceDE w:val="0"/>
        <w:autoSpaceDN w:val="0"/>
        <w:adjustRightInd w:val="0"/>
        <w:spacing w:line="254" w:lineRule="auto"/>
        <w:jc w:val="center"/>
        <w:rPr>
          <w:rFonts w:ascii="Calibri" w:eastAsia="Times New Roman" w:hAnsi="Calibri" w:cs="Times New Roman"/>
          <w:color w:val="000000"/>
          <w:szCs w:val="24"/>
          <w:u w:val="single"/>
        </w:rPr>
      </w:pPr>
      <w:r w:rsidRPr="00A5789B">
        <w:rPr>
          <w:rFonts w:ascii="Calibri" w:eastAsia="Times New Roman" w:hAnsi="Calibri" w:cs="Times New Roman"/>
          <w:color w:val="000000"/>
          <w:szCs w:val="24"/>
          <w:u w:val="single"/>
        </w:rPr>
        <w:t>INTEGRANTES SUBCOMISIÓN DE ACCESO A LA JUSTICIA DE PERSONAS ADULTAS MAYORES </w:t>
      </w:r>
    </w:p>
    <w:tbl>
      <w:tblPr>
        <w:tblW w:w="8755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528"/>
      </w:tblGrid>
      <w:tr w:rsidR="00A5789B" w:rsidRPr="00A5789B" w14:paraId="742380C7" w14:textId="77777777" w:rsidTr="00497D37">
        <w:tc>
          <w:tcPr>
            <w:tcW w:w="3227" w:type="dxa"/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7D58A4C3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  <w:lang w:val="es-ES"/>
              </w:rPr>
              <w:t>Nombre</w:t>
            </w: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528" w:type="dxa"/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4CB5C3C0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  <w:lang w:val="es-ES"/>
              </w:rPr>
              <w:t>Despacho</w:t>
            </w: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A5789B" w:rsidRPr="00A5789B" w14:paraId="6289DFDD" w14:textId="77777777" w:rsidTr="00497D37">
        <w:tc>
          <w:tcPr>
            <w:tcW w:w="3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03EF1" w14:textId="69B029C4" w:rsidR="00A5789B" w:rsidRPr="00A5789B" w:rsidRDefault="00497D37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Sandra María Pereira Retana 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B65B7" w14:textId="5DD62395" w:rsidR="00A5789B" w:rsidRPr="00A5789B" w:rsidRDefault="00497D37" w:rsidP="00497D3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Coordinadora</w:t>
            </w:r>
          </w:p>
        </w:tc>
      </w:tr>
      <w:tr w:rsidR="00A5789B" w:rsidRPr="00A5789B" w14:paraId="345F10BD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5E5E1EF0" w14:textId="6C9BE2BA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Deyanira Martínez Bolívar, 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5BD5CE7A" w14:textId="4C47768D" w:rsidR="00A5789B" w:rsidRPr="00A5789B" w:rsidRDefault="00497D37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Integrante </w:t>
            </w:r>
            <w:r w:rsidR="00A5789B"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Magistrada Suplente </w:t>
            </w:r>
          </w:p>
        </w:tc>
      </w:tr>
      <w:tr w:rsidR="00A5789B" w:rsidRPr="00A5789B" w14:paraId="3E9DC6E9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07695834" w14:textId="7B200363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Cindy Campos Coto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6F698846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Jueza, Pensiones Alimentarias y Violencia Doméstica, Escazú </w:t>
            </w:r>
          </w:p>
        </w:tc>
      </w:tr>
      <w:tr w:rsidR="00A5789B" w:rsidRPr="00A5789B" w14:paraId="106FE269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619458F2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Mayela Pérez Delgado 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132513A8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Ministerio Público </w:t>
            </w:r>
          </w:p>
        </w:tc>
      </w:tr>
      <w:tr w:rsidR="00A5789B" w:rsidRPr="00A5789B" w14:paraId="717A9B63" w14:textId="77777777" w:rsidTr="00497D37">
        <w:trPr>
          <w:trHeight w:val="90"/>
        </w:trPr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31A9834D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Ericka Chavarría Astorga 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4F1EF3C5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Contraloría de Servicios </w:t>
            </w:r>
          </w:p>
        </w:tc>
      </w:tr>
      <w:tr w:rsidR="00A5789B" w:rsidRPr="00A5789B" w14:paraId="15C06025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7F54C040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Karla Vanessa Sancho 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7160483E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OIJ </w:t>
            </w:r>
          </w:p>
        </w:tc>
      </w:tr>
      <w:tr w:rsidR="00A5789B" w:rsidRPr="00A5789B" w14:paraId="07C37904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0C567B3F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Gabriel Quirós Calderón 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6CC2C9C5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OIJ-SAPSO </w:t>
            </w:r>
          </w:p>
        </w:tc>
      </w:tr>
      <w:tr w:rsidR="00A5789B" w:rsidRPr="00A5789B" w14:paraId="0833E71A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3AA4DA3A" w14:textId="7254F94F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Angie Calderón Chaves 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6154AB13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Unidad de Acceso a la Justicia </w:t>
            </w:r>
          </w:p>
        </w:tc>
      </w:tr>
      <w:tr w:rsidR="00A5789B" w:rsidRPr="00A5789B" w14:paraId="45068F00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33119CF3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proofErr w:type="spellStart"/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Mileidy</w:t>
            </w:r>
            <w:proofErr w:type="spellEnd"/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García Solano 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45BED538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Servicios de Salud</w:t>
            </w:r>
          </w:p>
        </w:tc>
      </w:tr>
      <w:tr w:rsidR="00A5789B" w:rsidRPr="00A5789B" w14:paraId="18BA826C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7272755D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Rodolfo Brenes Blanco, 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2C0D63CD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Defensa Pública </w:t>
            </w:r>
          </w:p>
        </w:tc>
      </w:tr>
      <w:tr w:rsidR="00A5789B" w:rsidRPr="00A5789B" w14:paraId="00B662DA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4E103310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Ruth Bermúdez Molina, 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5E83C8AC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Gestión Humana </w:t>
            </w:r>
          </w:p>
        </w:tc>
      </w:tr>
      <w:tr w:rsidR="00A5789B" w:rsidRPr="00A5789B" w14:paraId="341AD1BA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6CC53E30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Lupita Chaves Cervantes  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65EF9B04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Ex integrante Consejo Superior-Jubilada </w:t>
            </w:r>
          </w:p>
        </w:tc>
      </w:tr>
      <w:tr w:rsidR="00A5789B" w:rsidRPr="00A5789B" w14:paraId="3FF69163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3AA668F1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Rebeca Ramírez Corrales 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1D14BF2B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Colegio de Psicólogos  </w:t>
            </w:r>
          </w:p>
        </w:tc>
      </w:tr>
      <w:tr w:rsidR="00A5789B" w:rsidRPr="00A5789B" w14:paraId="7F437E56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26E6ABBD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Yolanda Mora Artavia 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7A573970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Jubilada, Representante Colegio de Abogados</w:t>
            </w:r>
          </w:p>
        </w:tc>
      </w:tr>
      <w:tr w:rsidR="00A5789B" w:rsidRPr="00A5789B" w14:paraId="2BB5B8D4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1D9E6602" w14:textId="3C1DA6C5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Flor Murillo Rodríguez 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60BC1D1D" w14:textId="77777777" w:rsidR="00A5789B" w:rsidRPr="00A5789B" w:rsidRDefault="00A5789B" w:rsidP="00A5789B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szCs w:val="24"/>
              </w:rPr>
              <w:t>Ministerio de Salud</w:t>
            </w:r>
          </w:p>
        </w:tc>
      </w:tr>
      <w:tr w:rsidR="00A5789B" w:rsidRPr="00A5789B" w14:paraId="28BC2D66" w14:textId="77777777" w:rsidTr="00497D37">
        <w:tc>
          <w:tcPr>
            <w:tcW w:w="3227" w:type="dxa"/>
            <w:tcMar>
              <w:left w:w="108" w:type="dxa"/>
              <w:right w:w="108" w:type="dxa"/>
            </w:tcMar>
            <w:vAlign w:val="center"/>
          </w:tcPr>
          <w:p w14:paraId="758067F1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Andrea </w:t>
            </w:r>
            <w:proofErr w:type="spellStart"/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Dotta</w:t>
            </w:r>
            <w:proofErr w:type="spellEnd"/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Brenes</w:t>
            </w:r>
          </w:p>
        </w:tc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14:paraId="2B1A3DA8" w14:textId="63BAA32C" w:rsidR="00A5789B" w:rsidRPr="00A5789B" w:rsidRDefault="00A5789B" w:rsidP="00497D3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szCs w:val="24"/>
              </w:rPr>
              <w:t>Asociación Gerontológica costarricense</w:t>
            </w:r>
            <w:r w:rsidR="00497D37">
              <w:rPr>
                <w:rFonts w:ascii="Calibri" w:eastAsia="Times New Roman" w:hAnsi="Calibri" w:cs="Times New Roman"/>
                <w:szCs w:val="24"/>
              </w:rPr>
              <w:t xml:space="preserve">, </w:t>
            </w:r>
            <w:r w:rsidRPr="00A5789B">
              <w:rPr>
                <w:rFonts w:ascii="Calibri" w:eastAsia="Times New Roman" w:hAnsi="Calibri" w:cs="Times New Roman"/>
                <w:szCs w:val="24"/>
              </w:rPr>
              <w:t>AGECO</w:t>
            </w:r>
          </w:p>
        </w:tc>
      </w:tr>
    </w:tbl>
    <w:p w14:paraId="562673F3" w14:textId="77777777" w:rsidR="00A5789B" w:rsidRPr="00A5789B" w:rsidRDefault="00A5789B" w:rsidP="00A5789B">
      <w:pPr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Cs w:val="24"/>
        </w:rPr>
      </w:pPr>
    </w:p>
    <w:p w14:paraId="1C3B1F93" w14:textId="769A4A01" w:rsidR="00A5789B" w:rsidRDefault="00A5789B" w:rsidP="00A5789B">
      <w:pPr>
        <w:autoSpaceDE w:val="0"/>
        <w:autoSpaceDN w:val="0"/>
        <w:adjustRightInd w:val="0"/>
        <w:spacing w:after="0" w:line="330" w:lineRule="atLeast"/>
        <w:ind w:left="1080"/>
        <w:rPr>
          <w:rFonts w:ascii="Calibri" w:eastAsia="Times New Roman" w:hAnsi="Calibri" w:cs="Times New Roman"/>
          <w:color w:val="222222"/>
          <w:szCs w:val="24"/>
        </w:rPr>
      </w:pPr>
    </w:p>
    <w:p w14:paraId="1815F0BE" w14:textId="77777777" w:rsidR="00497D37" w:rsidRPr="00A5789B" w:rsidRDefault="00497D37" w:rsidP="00A5789B">
      <w:pPr>
        <w:autoSpaceDE w:val="0"/>
        <w:autoSpaceDN w:val="0"/>
        <w:adjustRightInd w:val="0"/>
        <w:spacing w:after="0" w:line="330" w:lineRule="atLeast"/>
        <w:ind w:left="1080"/>
        <w:rPr>
          <w:rFonts w:ascii="Calibri" w:eastAsia="Times New Roman" w:hAnsi="Calibri" w:cs="Times New Roman"/>
          <w:color w:val="222222"/>
          <w:szCs w:val="24"/>
        </w:rPr>
      </w:pPr>
    </w:p>
    <w:p w14:paraId="23370C44" w14:textId="77777777" w:rsidR="00A5789B" w:rsidRPr="00A5789B" w:rsidRDefault="00A5789B" w:rsidP="00A5789B">
      <w:pPr>
        <w:numPr>
          <w:ilvl w:val="0"/>
          <w:numId w:val="1"/>
        </w:numPr>
        <w:autoSpaceDE w:val="0"/>
        <w:autoSpaceDN w:val="0"/>
        <w:adjustRightInd w:val="0"/>
        <w:spacing w:after="0" w:line="330" w:lineRule="atLeast"/>
        <w:ind w:left="1080" w:hanging="720"/>
        <w:rPr>
          <w:rFonts w:ascii="Calibri" w:eastAsia="Times New Roman" w:hAnsi="Calibri" w:cs="Times New Roman"/>
          <w:b/>
          <w:color w:val="222222"/>
          <w:szCs w:val="24"/>
          <w:lang w:val="es-ES"/>
        </w:rPr>
      </w:pP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>Periodicidad de las sesiones.</w:t>
      </w:r>
    </w:p>
    <w:p w14:paraId="11DE5995" w14:textId="52A0994A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jc w:val="both"/>
        <w:rPr>
          <w:rFonts w:ascii="Calibri" w:eastAsia="Times New Roman" w:hAnsi="Calibri" w:cs="Times New Roman"/>
          <w:color w:val="222222"/>
          <w:szCs w:val="24"/>
          <w:lang w:val="es-ES"/>
        </w:rPr>
      </w:pPr>
      <w:r w:rsidRPr="00A5789B">
        <w:rPr>
          <w:rFonts w:ascii="Calibri" w:eastAsia="Times New Roman" w:hAnsi="Calibri" w:cs="Times New Roman"/>
          <w:color w:val="222222"/>
          <w:szCs w:val="24"/>
          <w:lang w:val="es-ES"/>
        </w:rPr>
        <w:t>Normalmente las sesiones se realizan cada dos meses.</w:t>
      </w:r>
      <w:r w:rsidR="00497D37">
        <w:rPr>
          <w:rFonts w:ascii="Calibri" w:eastAsia="Times New Roman" w:hAnsi="Calibri" w:cs="Times New Roman"/>
          <w:color w:val="222222"/>
          <w:szCs w:val="24"/>
          <w:lang w:val="es-ES"/>
        </w:rPr>
        <w:t xml:space="preserve"> De requerirse se programan sesiones extraordinarias para atender cualquier necesidad que pueda surgir. Las sesiones se realizaron los días miércoles, en la II Audiencia por medio de la plataforma </w:t>
      </w:r>
      <w:proofErr w:type="spellStart"/>
      <w:r w:rsidR="00497D37">
        <w:rPr>
          <w:rFonts w:ascii="Calibri" w:eastAsia="Times New Roman" w:hAnsi="Calibri" w:cs="Times New Roman"/>
          <w:color w:val="222222"/>
          <w:szCs w:val="24"/>
          <w:lang w:val="es-ES"/>
        </w:rPr>
        <w:t>Teams</w:t>
      </w:r>
      <w:proofErr w:type="spellEnd"/>
      <w:r w:rsidR="00497D37">
        <w:rPr>
          <w:rFonts w:ascii="Calibri" w:eastAsia="Times New Roman" w:hAnsi="Calibri" w:cs="Times New Roman"/>
          <w:color w:val="222222"/>
          <w:szCs w:val="24"/>
          <w:lang w:val="es-ES"/>
        </w:rPr>
        <w:t xml:space="preserve">. </w:t>
      </w:r>
    </w:p>
    <w:p w14:paraId="1A1F6A8B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ind w:left="1080"/>
        <w:rPr>
          <w:rFonts w:ascii="Calibri" w:eastAsia="Times New Roman" w:hAnsi="Calibri" w:cs="Times New Roman"/>
          <w:color w:val="222222"/>
          <w:szCs w:val="24"/>
        </w:rPr>
      </w:pPr>
    </w:p>
    <w:p w14:paraId="42471FED" w14:textId="47A4DA8B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rPr>
          <w:rFonts w:ascii="Calibri" w:eastAsia="Times New Roman" w:hAnsi="Calibri" w:cs="Times New Roman"/>
          <w:color w:val="222222"/>
          <w:szCs w:val="24"/>
        </w:rPr>
      </w:pP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>IV.           Acta</w:t>
      </w:r>
      <w:r w:rsidR="00497D37">
        <w:rPr>
          <w:rFonts w:ascii="Calibri" w:eastAsia="Times New Roman" w:hAnsi="Calibri" w:cs="Times New Roman"/>
          <w:b/>
          <w:color w:val="222222"/>
          <w:szCs w:val="24"/>
          <w:lang w:val="es-ES"/>
        </w:rPr>
        <w:t>s de las sesiones realizadas durante el cuarto trimestre de 2022.</w:t>
      </w: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 xml:space="preserve"> </w:t>
      </w:r>
    </w:p>
    <w:p w14:paraId="4BEDC0E0" w14:textId="1A60D9BE" w:rsidR="00A5789B" w:rsidRPr="00A5789B" w:rsidRDefault="00A5789B" w:rsidP="00A5789B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  <w:r w:rsidRPr="00A5789B">
        <w:rPr>
          <w:rFonts w:ascii="Calibri" w:eastAsia="Times New Roman" w:hAnsi="Calibri" w:cs="Times New Roman"/>
          <w:szCs w:val="24"/>
        </w:rPr>
        <w:tab/>
      </w:r>
      <w:r w:rsidR="00497D37">
        <w:rPr>
          <w:rFonts w:ascii="Calibri" w:eastAsia="Times New Roman" w:hAnsi="Calibri" w:cs="Times New Roman"/>
          <w:szCs w:val="24"/>
        </w:rPr>
        <w:object w:dxaOrig="1508" w:dyaOrig="983" w14:anchorId="58B32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5pt;height:49pt" o:ole="">
            <v:imagedata r:id="rId7" o:title=""/>
          </v:shape>
          <o:OLEObject Type="Embed" ProgID="Acrobat.Document.DC" ShapeID="_x0000_i1027" DrawAspect="Icon" ObjectID="_1702895906" r:id="rId8"/>
        </w:object>
      </w:r>
      <w:r w:rsidR="00497D37">
        <w:rPr>
          <w:rFonts w:ascii="Calibri" w:eastAsia="Times New Roman" w:hAnsi="Calibri" w:cs="Times New Roman"/>
          <w:szCs w:val="24"/>
        </w:rPr>
        <w:object w:dxaOrig="1508" w:dyaOrig="983" w14:anchorId="4A75F4F8">
          <v:shape id="_x0000_i1028" type="#_x0000_t75" style="width:75.5pt;height:49pt" o:ole="">
            <v:imagedata r:id="rId9" o:title=""/>
          </v:shape>
          <o:OLEObject Type="Embed" ProgID="Acrobat.Document.DC" ShapeID="_x0000_i1028" DrawAspect="Icon" ObjectID="_1702895907" r:id="rId10"/>
        </w:object>
      </w:r>
    </w:p>
    <w:p w14:paraId="370F3B7E" w14:textId="136EA221" w:rsidR="00277BDE" w:rsidRDefault="00A5789B" w:rsidP="00497D37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Cs w:val="24"/>
        </w:rPr>
      </w:pPr>
      <w:r w:rsidRPr="00A5789B">
        <w:rPr>
          <w:rFonts w:ascii="Calibri" w:eastAsia="Times New Roman" w:hAnsi="Calibri" w:cs="Times New Roman"/>
          <w:szCs w:val="24"/>
        </w:rPr>
        <w:t>Sin otro particular se suscribe atentamente</w:t>
      </w:r>
      <w:r w:rsidR="00497D37">
        <w:rPr>
          <w:rFonts w:ascii="Calibri" w:eastAsia="Times New Roman" w:hAnsi="Calibri" w:cs="Times New Roman"/>
          <w:szCs w:val="24"/>
        </w:rPr>
        <w:t xml:space="preserve">. </w:t>
      </w:r>
    </w:p>
    <w:p w14:paraId="164E9293" w14:textId="3779C805" w:rsidR="00497D37" w:rsidRPr="00497D37" w:rsidRDefault="00497D37" w:rsidP="00497D37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**Confeccionado en Unidad de Acceso a la Justicia. </w:t>
      </w:r>
    </w:p>
    <w:sectPr w:rsidR="00497D37" w:rsidRPr="00497D37" w:rsidSect="00216087">
      <w:footerReference w:type="default" r:id="rId11"/>
      <w:pgSz w:w="12240" w:h="15840"/>
      <w:pgMar w:top="1417" w:right="1700" w:bottom="1417" w:left="170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5951B" w14:textId="77777777" w:rsidR="000E4B56" w:rsidRDefault="000E4B56" w:rsidP="00497D37">
      <w:pPr>
        <w:spacing w:after="0" w:line="240" w:lineRule="auto"/>
      </w:pPr>
      <w:r>
        <w:separator/>
      </w:r>
    </w:p>
  </w:endnote>
  <w:endnote w:type="continuationSeparator" w:id="0">
    <w:p w14:paraId="5B78DCD1" w14:textId="77777777" w:rsidR="000E4B56" w:rsidRDefault="000E4B56" w:rsidP="0049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9238843"/>
      <w:docPartObj>
        <w:docPartGallery w:val="Page Numbers (Bottom of Page)"/>
        <w:docPartUnique/>
      </w:docPartObj>
    </w:sdtPr>
    <w:sdtContent>
      <w:p w14:paraId="6E732839" w14:textId="38C1EE5B" w:rsidR="00497D37" w:rsidRDefault="00497D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061637" w14:textId="77777777" w:rsidR="00497D37" w:rsidRDefault="00497D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A22E0" w14:textId="77777777" w:rsidR="000E4B56" w:rsidRDefault="000E4B56" w:rsidP="00497D37">
      <w:pPr>
        <w:spacing w:after="0" w:line="240" w:lineRule="auto"/>
      </w:pPr>
      <w:r>
        <w:separator/>
      </w:r>
    </w:p>
  </w:footnote>
  <w:footnote w:type="continuationSeparator" w:id="0">
    <w:p w14:paraId="499FB47B" w14:textId="77777777" w:rsidR="000E4B56" w:rsidRDefault="000E4B56" w:rsidP="00497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E4DDE"/>
    <w:multiLevelType w:val="multilevel"/>
    <w:tmpl w:val="EA1CD5B8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B"/>
    <w:rsid w:val="000E4B56"/>
    <w:rsid w:val="00277BDE"/>
    <w:rsid w:val="00497D37"/>
    <w:rsid w:val="00A5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7451"/>
  <w15:chartTrackingRefBased/>
  <w15:docId w15:val="{B003FC24-3C33-4EE0-8E9C-ACB56082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D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D37"/>
  </w:style>
  <w:style w:type="paragraph" w:styleId="Piedepgina">
    <w:name w:val="footer"/>
    <w:basedOn w:val="Normal"/>
    <w:link w:val="PiedepginaCar"/>
    <w:uiPriority w:val="99"/>
    <w:unhideWhenUsed/>
    <w:rsid w:val="00497D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Calderón Chaves</dc:creator>
  <cp:keywords/>
  <dc:description/>
  <cp:lastModifiedBy>Angie Calderón Chaves</cp:lastModifiedBy>
  <cp:revision>2</cp:revision>
  <dcterms:created xsi:type="dcterms:W3CDTF">2022-01-05T19:50:00Z</dcterms:created>
  <dcterms:modified xsi:type="dcterms:W3CDTF">2022-01-05T19:50:00Z</dcterms:modified>
</cp:coreProperties>
</file>