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62215" w:rsidRDefault="006C360F">
      <w:pPr>
        <w:jc w:val="center"/>
        <w:rPr>
          <w:b/>
          <w:bCs/>
        </w:rPr>
      </w:pPr>
      <w:r>
        <w:rPr>
          <w:b/>
          <w:bCs/>
          <w:noProof/>
        </w:rPr>
        <w:drawing>
          <wp:anchor distT="0" distB="0" distL="0" distR="0" simplePos="0" relativeHeight="2" behindDoc="0" locked="0" layoutInCell="0" allowOverlap="1" wp14:anchorId="6B6E3DFD" wp14:editId="7F4D1428">
            <wp:simplePos x="0" y="0"/>
            <wp:positionH relativeFrom="column">
              <wp:posOffset>1431290</wp:posOffset>
            </wp:positionH>
            <wp:positionV relativeFrom="paragraph">
              <wp:posOffset>-792480</wp:posOffset>
            </wp:positionV>
            <wp:extent cx="2610485" cy="1205230"/>
            <wp:effectExtent l="0" t="0" r="0" b="0"/>
            <wp:wrapNone/>
            <wp:docPr id="1" name="Imagen 3" descr="Identidad-grafica-Acceso-a-la-Justicia-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3" descr="Identidad-grafica-Acceso-a-la-Justicia-RGB"/>
                    <pic:cNvPicPr>
                      <a:picLocks noChangeAspect="1" noChangeArrowheads="1"/>
                    </pic:cNvPicPr>
                  </pic:nvPicPr>
                  <pic:blipFill>
                    <a:blip r:embed="rId6"/>
                    <a:stretch>
                      <a:fillRect/>
                    </a:stretch>
                  </pic:blipFill>
                  <pic:spPr bwMode="auto">
                    <a:xfrm>
                      <a:off x="0" y="0"/>
                      <a:ext cx="2610485" cy="1205230"/>
                    </a:xfrm>
                    <a:prstGeom prst="rect">
                      <a:avLst/>
                    </a:prstGeom>
                  </pic:spPr>
                </pic:pic>
              </a:graphicData>
            </a:graphic>
          </wp:anchor>
        </w:drawing>
      </w:r>
    </w:p>
    <w:p w:rsidR="00A62215" w:rsidRDefault="006C360F">
      <w:pPr>
        <w:jc w:val="center"/>
        <w:rPr>
          <w:rFonts w:cstheme="minorHAnsi"/>
          <w:b/>
          <w:bCs/>
          <w:sz w:val="28"/>
          <w:szCs w:val="28"/>
        </w:rPr>
      </w:pPr>
      <w:r>
        <w:rPr>
          <w:rFonts w:cstheme="minorHAnsi"/>
          <w:b/>
          <w:bCs/>
          <w:sz w:val="28"/>
          <w:szCs w:val="28"/>
        </w:rPr>
        <w:t>_______________________________________________________________</w:t>
      </w:r>
    </w:p>
    <w:p w:rsidR="00A62215" w:rsidRDefault="006C360F">
      <w:pPr>
        <w:jc w:val="center"/>
        <w:rPr>
          <w:b/>
          <w:bCs/>
        </w:rPr>
      </w:pPr>
      <w:r>
        <w:rPr>
          <w:rFonts w:cstheme="minorHAnsi"/>
          <w:b/>
          <w:bCs/>
          <w:sz w:val="28"/>
          <w:szCs w:val="28"/>
        </w:rPr>
        <w:t>ACTA O1-SAJPAM-2021</w:t>
      </w:r>
    </w:p>
    <w:p w:rsidR="00A62215" w:rsidRDefault="006C360F">
      <w:pPr>
        <w:jc w:val="center"/>
        <w:rPr>
          <w:b/>
          <w:bCs/>
        </w:rPr>
      </w:pPr>
      <w:r>
        <w:rPr>
          <w:rFonts w:cstheme="minorHAnsi"/>
          <w:b/>
          <w:bCs/>
          <w:sz w:val="28"/>
          <w:szCs w:val="28"/>
        </w:rPr>
        <w:t>Sesión Virtual Ordinaria - Plataforma Microsoft Teams</w:t>
      </w:r>
    </w:p>
    <w:p w:rsidR="00A62215" w:rsidRDefault="006C360F">
      <w:pPr>
        <w:jc w:val="center"/>
        <w:rPr>
          <w:rFonts w:cstheme="minorHAnsi"/>
          <w:b/>
          <w:bCs/>
          <w:sz w:val="28"/>
          <w:szCs w:val="28"/>
        </w:rPr>
      </w:pPr>
      <w:r>
        <w:rPr>
          <w:rFonts w:cstheme="minorHAnsi"/>
          <w:b/>
          <w:bCs/>
          <w:sz w:val="28"/>
          <w:szCs w:val="28"/>
        </w:rPr>
        <w:t>Subcomisión para el Acceso a la Justicia de Personas Mayores</w:t>
      </w:r>
    </w:p>
    <w:p w:rsidR="00A62215" w:rsidRDefault="006C360F">
      <w:pPr>
        <w:jc w:val="center"/>
        <w:rPr>
          <w:rFonts w:cstheme="minorHAnsi"/>
          <w:b/>
          <w:bCs/>
          <w:sz w:val="28"/>
          <w:szCs w:val="28"/>
        </w:rPr>
      </w:pPr>
      <w:r>
        <w:rPr>
          <w:rFonts w:cstheme="minorHAnsi"/>
          <w:b/>
          <w:bCs/>
          <w:sz w:val="28"/>
          <w:szCs w:val="28"/>
        </w:rPr>
        <w:t>Miércoles 17 de febrero de 2021, II Audiencia</w:t>
      </w:r>
    </w:p>
    <w:p w:rsidR="00A62215" w:rsidRDefault="006C360F">
      <w:pPr>
        <w:jc w:val="center"/>
        <w:rPr>
          <w:rFonts w:cstheme="minorHAnsi"/>
          <w:b/>
          <w:bCs/>
          <w:sz w:val="28"/>
          <w:szCs w:val="28"/>
        </w:rPr>
      </w:pPr>
      <w:r>
        <w:rPr>
          <w:rFonts w:cstheme="minorHAnsi"/>
          <w:b/>
          <w:bCs/>
          <w:sz w:val="28"/>
          <w:szCs w:val="28"/>
        </w:rPr>
        <w:t>_______________________________________________________________</w:t>
      </w:r>
    </w:p>
    <w:p w:rsidR="00A62215" w:rsidRDefault="00A62215">
      <w:pPr>
        <w:tabs>
          <w:tab w:val="left" w:pos="1635"/>
        </w:tabs>
        <w:spacing w:line="360" w:lineRule="auto"/>
        <w:jc w:val="both"/>
        <w:rPr>
          <w:rFonts w:ascii="Calibri" w:hAnsi="Calibri" w:cs="Calibri"/>
          <w:shd w:val="clear" w:color="auto" w:fill="FFFFFF"/>
        </w:rPr>
      </w:pPr>
    </w:p>
    <w:p w:rsidR="00A62215" w:rsidRDefault="006C360F">
      <w:pPr>
        <w:tabs>
          <w:tab w:val="left" w:pos="1635"/>
        </w:tabs>
        <w:spacing w:line="360" w:lineRule="auto"/>
        <w:jc w:val="both"/>
        <w:rPr>
          <w:rFonts w:cstheme="minorHAnsi"/>
          <w:b/>
          <w:bCs/>
          <w:sz w:val="24"/>
          <w:szCs w:val="24"/>
          <w:u w:val="single"/>
        </w:rPr>
      </w:pPr>
      <w:r>
        <w:rPr>
          <w:rFonts w:ascii="Calibri" w:hAnsi="Calibri" w:cstheme="minorHAnsi"/>
          <w:b/>
          <w:bCs/>
          <w:shd w:val="clear" w:color="auto" w:fill="FFFFFF"/>
        </w:rPr>
        <w:t>Al ser las catorce horas del miércoles diecisiete da inicio la sesión virtual de febrero de la Subcomisión para el Acceso a la Justicia de Personas Adultas Mayores, con las siguientes personas participantes:</w:t>
      </w:r>
    </w:p>
    <w:p w:rsidR="00A62215" w:rsidRDefault="00A62215">
      <w:pPr>
        <w:tabs>
          <w:tab w:val="left" w:pos="1635"/>
        </w:tabs>
        <w:spacing w:line="360" w:lineRule="auto"/>
        <w:jc w:val="both"/>
        <w:rPr>
          <w:rFonts w:ascii="Calibri" w:hAnsi="Calibri" w:cs="Calibri"/>
          <w:shd w:val="clear" w:color="auto" w:fill="FFFFFF"/>
        </w:rPr>
      </w:pPr>
    </w:p>
    <w:tbl>
      <w:tblPr>
        <w:tblW w:w="9520" w:type="dxa"/>
        <w:tblLayout w:type="fixed"/>
        <w:tblLook w:val="04A0" w:firstRow="1" w:lastRow="0" w:firstColumn="1" w:lastColumn="0" w:noHBand="0" w:noVBand="1"/>
      </w:tblPr>
      <w:tblGrid>
        <w:gridCol w:w="3823"/>
        <w:gridCol w:w="2977"/>
        <w:gridCol w:w="2720"/>
      </w:tblGrid>
      <w:tr w:rsidR="00A62215">
        <w:tc>
          <w:tcPr>
            <w:tcW w:w="3823" w:type="dxa"/>
            <w:shd w:val="clear" w:color="auto" w:fill="FBE4D5" w:themeFill="accent2" w:themeFillTint="33"/>
          </w:tcPr>
          <w:p w:rsidR="00A62215" w:rsidRDefault="006C360F">
            <w:pPr>
              <w:widowControl w:val="0"/>
              <w:spacing w:after="0" w:line="240" w:lineRule="auto"/>
              <w:jc w:val="center"/>
              <w:rPr>
                <w:rFonts w:ascii="Calibri" w:hAnsi="Calibri" w:cs="Times New Roman"/>
                <w:b/>
                <w:bCs/>
                <w:lang w:val="es-ES"/>
              </w:rPr>
            </w:pPr>
            <w:r>
              <w:rPr>
                <w:rFonts w:ascii="Calibri" w:hAnsi="Calibri" w:cs="Times New Roman"/>
                <w:b/>
                <w:bCs/>
                <w:lang w:val="es-ES"/>
              </w:rPr>
              <w:t>Nombre</w:t>
            </w:r>
          </w:p>
        </w:tc>
        <w:tc>
          <w:tcPr>
            <w:tcW w:w="2977" w:type="dxa"/>
            <w:shd w:val="clear" w:color="auto" w:fill="FBE4D5" w:themeFill="accent2" w:themeFillTint="33"/>
          </w:tcPr>
          <w:p w:rsidR="00A62215" w:rsidRDefault="006C360F">
            <w:pPr>
              <w:widowControl w:val="0"/>
              <w:spacing w:after="0" w:line="240" w:lineRule="auto"/>
              <w:jc w:val="center"/>
              <w:rPr>
                <w:rFonts w:ascii="Calibri" w:hAnsi="Calibri" w:cs="Times New Roman"/>
                <w:b/>
                <w:bCs/>
                <w:lang w:val="es-ES"/>
              </w:rPr>
            </w:pPr>
            <w:r>
              <w:rPr>
                <w:rFonts w:ascii="Calibri" w:hAnsi="Calibri" w:cs="Times New Roman"/>
                <w:b/>
                <w:bCs/>
                <w:lang w:val="es-ES"/>
              </w:rPr>
              <w:t>Presente</w:t>
            </w:r>
          </w:p>
        </w:tc>
        <w:tc>
          <w:tcPr>
            <w:tcW w:w="2720" w:type="dxa"/>
            <w:shd w:val="clear" w:color="auto" w:fill="FBE4D5" w:themeFill="accent2" w:themeFillTint="33"/>
          </w:tcPr>
          <w:p w:rsidR="00A62215" w:rsidRDefault="006C360F">
            <w:pPr>
              <w:widowControl w:val="0"/>
              <w:spacing w:after="0" w:line="240" w:lineRule="auto"/>
              <w:jc w:val="center"/>
              <w:rPr>
                <w:rFonts w:ascii="Calibri" w:hAnsi="Calibri" w:cs="Times New Roman"/>
                <w:b/>
                <w:bCs/>
                <w:lang w:val="es-ES"/>
              </w:rPr>
            </w:pPr>
            <w:r>
              <w:rPr>
                <w:rFonts w:ascii="Calibri" w:hAnsi="Calibri" w:cs="Times New Roman"/>
                <w:b/>
                <w:bCs/>
                <w:lang w:val="es-ES"/>
              </w:rPr>
              <w:t>Ausente</w:t>
            </w:r>
          </w:p>
        </w:tc>
      </w:tr>
      <w:tr w:rsidR="00A62215">
        <w:tc>
          <w:tcPr>
            <w:tcW w:w="3823" w:type="dxa"/>
          </w:tcPr>
          <w:p w:rsidR="00A62215" w:rsidRDefault="006C360F">
            <w:pPr>
              <w:widowControl w:val="0"/>
              <w:spacing w:after="0" w:line="240" w:lineRule="auto"/>
              <w:rPr>
                <w:rFonts w:ascii="Calibri" w:hAnsi="Calibri" w:cs="Times New Roman"/>
                <w:color w:val="000000"/>
              </w:rPr>
            </w:pPr>
            <w:r>
              <w:rPr>
                <w:rFonts w:ascii="Calibri" w:hAnsi="Calibri" w:cs="Times New Roman"/>
                <w:color w:val="000000"/>
                <w:shd w:val="clear" w:color="auto" w:fill="FFFFFF"/>
              </w:rPr>
              <w:t xml:space="preserve">Deyanira Martínez </w:t>
            </w:r>
            <w:proofErr w:type="spellStart"/>
            <w:r>
              <w:rPr>
                <w:rFonts w:ascii="Calibri" w:hAnsi="Calibri" w:cs="Times New Roman"/>
                <w:color w:val="000000"/>
                <w:shd w:val="clear" w:color="auto" w:fill="FFFFFF"/>
              </w:rPr>
              <w:t>Bolivar</w:t>
            </w:r>
            <w:proofErr w:type="spellEnd"/>
            <w:r>
              <w:rPr>
                <w:rFonts w:ascii="Calibri" w:hAnsi="Calibri" w:cs="Times New Roman"/>
                <w:color w:val="000000"/>
                <w:shd w:val="clear" w:color="auto" w:fill="FFFFFF"/>
              </w:rPr>
              <w:t>, Magistrada, Coordinadora</w:t>
            </w:r>
          </w:p>
        </w:tc>
        <w:tc>
          <w:tcPr>
            <w:tcW w:w="2977" w:type="dxa"/>
          </w:tcPr>
          <w:p w:rsidR="00A62215" w:rsidRDefault="006C360F">
            <w:pPr>
              <w:widowControl w:val="0"/>
              <w:spacing w:after="0" w:line="240" w:lineRule="auto"/>
              <w:jc w:val="center"/>
              <w:rPr>
                <w:rFonts w:ascii="Calibri" w:hAnsi="Calibri" w:cs="Times New Roman"/>
                <w:color w:val="000000"/>
              </w:rPr>
            </w:pPr>
            <w:r>
              <w:rPr>
                <w:rFonts w:ascii="Calibri" w:hAnsi="Calibri" w:cs="Times New Roman"/>
                <w:color w:val="000000"/>
                <w:shd w:val="clear" w:color="auto" w:fill="FFFFFF"/>
              </w:rPr>
              <w:t>X</w:t>
            </w:r>
          </w:p>
        </w:tc>
        <w:tc>
          <w:tcPr>
            <w:tcW w:w="2720" w:type="dxa"/>
          </w:tcPr>
          <w:p w:rsidR="00A62215" w:rsidRDefault="00B92097">
            <w:pPr>
              <w:widowControl w:val="0"/>
              <w:spacing w:after="0" w:line="240" w:lineRule="auto"/>
              <w:jc w:val="center"/>
              <w:rPr>
                <w:rStyle w:val="EnlacedeInternet"/>
              </w:rPr>
            </w:pPr>
            <w:hyperlink r:id="rId7"/>
          </w:p>
        </w:tc>
      </w:tr>
      <w:tr w:rsidR="00A62215">
        <w:tc>
          <w:tcPr>
            <w:tcW w:w="3823" w:type="dxa"/>
          </w:tcPr>
          <w:p w:rsidR="00A62215" w:rsidRDefault="006C360F">
            <w:pPr>
              <w:widowControl w:val="0"/>
              <w:spacing w:after="0" w:line="240" w:lineRule="auto"/>
              <w:rPr>
                <w:rFonts w:ascii="Calibri" w:hAnsi="Calibri" w:cs="Times New Roman"/>
                <w:bCs/>
              </w:rPr>
            </w:pPr>
            <w:r>
              <w:rPr>
                <w:rFonts w:ascii="Calibri" w:hAnsi="Calibri" w:cs="Times New Roman"/>
                <w:bCs/>
              </w:rPr>
              <w:t>Cindy Campos Coto</w:t>
            </w:r>
          </w:p>
        </w:tc>
        <w:tc>
          <w:tcPr>
            <w:tcW w:w="2977" w:type="dxa"/>
          </w:tcPr>
          <w:p w:rsidR="00A62215" w:rsidRDefault="006C360F">
            <w:pPr>
              <w:widowControl w:val="0"/>
              <w:spacing w:after="0" w:line="240" w:lineRule="auto"/>
              <w:jc w:val="center"/>
              <w:rPr>
                <w:rFonts w:ascii="Calibri" w:hAnsi="Calibri" w:cs="Times New Roman"/>
                <w:color w:val="000000"/>
              </w:rPr>
            </w:pPr>
            <w:r>
              <w:rPr>
                <w:rFonts w:ascii="Calibri" w:hAnsi="Calibri" w:cs="Times New Roman"/>
                <w:color w:val="000000"/>
                <w:shd w:val="clear" w:color="auto" w:fill="FFFFFF"/>
              </w:rPr>
              <w:t>X</w:t>
            </w:r>
          </w:p>
        </w:tc>
        <w:tc>
          <w:tcPr>
            <w:tcW w:w="2720" w:type="dxa"/>
          </w:tcPr>
          <w:p w:rsidR="00A62215" w:rsidRDefault="00A62215">
            <w:pPr>
              <w:widowControl w:val="0"/>
              <w:spacing w:after="0" w:line="240" w:lineRule="auto"/>
              <w:jc w:val="center"/>
              <w:rPr>
                <w:rFonts w:ascii="Calibri" w:hAnsi="Calibri" w:cs="Times New Roman"/>
                <w:color w:val="000000"/>
                <w:shd w:val="clear" w:color="auto" w:fill="FFFFFF"/>
              </w:rPr>
            </w:pPr>
          </w:p>
        </w:tc>
      </w:tr>
      <w:tr w:rsidR="00A62215">
        <w:tc>
          <w:tcPr>
            <w:tcW w:w="3823" w:type="dxa"/>
          </w:tcPr>
          <w:p w:rsidR="00A62215" w:rsidRDefault="006C360F">
            <w:pPr>
              <w:widowControl w:val="0"/>
              <w:spacing w:after="0" w:line="240" w:lineRule="auto"/>
              <w:rPr>
                <w:rFonts w:ascii="Calibri" w:hAnsi="Calibri" w:cs="Times New Roman"/>
              </w:rPr>
            </w:pPr>
            <w:r>
              <w:rPr>
                <w:rFonts w:ascii="Calibri" w:hAnsi="Calibri" w:cs="Times New Roman"/>
                <w:bCs/>
              </w:rPr>
              <w:t>Mayela Pérez Delgado</w:t>
            </w:r>
          </w:p>
        </w:tc>
        <w:tc>
          <w:tcPr>
            <w:tcW w:w="2977" w:type="dxa"/>
          </w:tcPr>
          <w:p w:rsidR="00A62215" w:rsidRDefault="006C360F">
            <w:pPr>
              <w:widowControl w:val="0"/>
              <w:spacing w:after="0" w:line="240" w:lineRule="auto"/>
              <w:jc w:val="center"/>
              <w:rPr>
                <w:rFonts w:ascii="Calibri" w:hAnsi="Calibri" w:cs="Times New Roman"/>
                <w:color w:val="000000"/>
              </w:rPr>
            </w:pPr>
            <w:r>
              <w:rPr>
                <w:rFonts w:ascii="Calibri" w:hAnsi="Calibri" w:cs="Times New Roman"/>
                <w:color w:val="000000"/>
                <w:shd w:val="clear" w:color="auto" w:fill="FFFFFF"/>
              </w:rPr>
              <w:t>X</w:t>
            </w:r>
          </w:p>
        </w:tc>
        <w:tc>
          <w:tcPr>
            <w:tcW w:w="2720" w:type="dxa"/>
          </w:tcPr>
          <w:p w:rsidR="00A62215" w:rsidRDefault="00A62215">
            <w:pPr>
              <w:widowControl w:val="0"/>
              <w:spacing w:after="0" w:line="240" w:lineRule="auto"/>
              <w:jc w:val="center"/>
              <w:rPr>
                <w:rFonts w:ascii="Calibri" w:hAnsi="Calibri" w:cs="Times New Roman"/>
                <w:color w:val="000000"/>
                <w:shd w:val="clear" w:color="auto" w:fill="FFFFFF"/>
              </w:rPr>
            </w:pPr>
          </w:p>
        </w:tc>
      </w:tr>
      <w:tr w:rsidR="00A62215">
        <w:tc>
          <w:tcPr>
            <w:tcW w:w="3823" w:type="dxa"/>
          </w:tcPr>
          <w:p w:rsidR="00A62215" w:rsidRDefault="006C360F">
            <w:pPr>
              <w:widowControl w:val="0"/>
              <w:spacing w:after="0" w:line="240" w:lineRule="auto"/>
              <w:rPr>
                <w:rFonts w:ascii="Calibri" w:hAnsi="Calibri" w:cs="Times New Roman"/>
              </w:rPr>
            </w:pPr>
            <w:r>
              <w:rPr>
                <w:rFonts w:ascii="Calibri" w:hAnsi="Calibri" w:cs="Times New Roman"/>
                <w:bCs/>
              </w:rPr>
              <w:t>Ericka Chavarría Astorga</w:t>
            </w:r>
          </w:p>
        </w:tc>
        <w:tc>
          <w:tcPr>
            <w:tcW w:w="2977" w:type="dxa"/>
          </w:tcPr>
          <w:p w:rsidR="00A62215" w:rsidRDefault="006C360F">
            <w:pPr>
              <w:widowControl w:val="0"/>
              <w:spacing w:after="0" w:line="240" w:lineRule="auto"/>
              <w:jc w:val="center"/>
              <w:rPr>
                <w:rFonts w:ascii="Calibri" w:hAnsi="Calibri" w:cs="Times New Roman"/>
                <w:color w:val="000000"/>
              </w:rPr>
            </w:pPr>
            <w:r>
              <w:rPr>
                <w:rFonts w:ascii="Calibri" w:hAnsi="Calibri" w:cs="Times New Roman"/>
                <w:color w:val="000000"/>
                <w:shd w:val="clear" w:color="auto" w:fill="FFFFFF"/>
              </w:rPr>
              <w:t>X</w:t>
            </w:r>
          </w:p>
        </w:tc>
        <w:tc>
          <w:tcPr>
            <w:tcW w:w="2720" w:type="dxa"/>
          </w:tcPr>
          <w:p w:rsidR="00A62215" w:rsidRDefault="00A62215">
            <w:pPr>
              <w:widowControl w:val="0"/>
              <w:spacing w:after="0" w:line="240" w:lineRule="auto"/>
              <w:jc w:val="center"/>
              <w:rPr>
                <w:rFonts w:ascii="Calibri" w:hAnsi="Calibri" w:cs="Times New Roman"/>
                <w:color w:val="000000"/>
                <w:shd w:val="clear" w:color="auto" w:fill="FFFFFF"/>
              </w:rPr>
            </w:pPr>
          </w:p>
        </w:tc>
      </w:tr>
      <w:tr w:rsidR="00A62215">
        <w:tc>
          <w:tcPr>
            <w:tcW w:w="3823" w:type="dxa"/>
          </w:tcPr>
          <w:p w:rsidR="00A62215" w:rsidRDefault="006C360F">
            <w:pPr>
              <w:widowControl w:val="0"/>
              <w:spacing w:after="0" w:line="240" w:lineRule="auto"/>
              <w:rPr>
                <w:rFonts w:ascii="Calibri" w:hAnsi="Calibri" w:cs="Times New Roman"/>
              </w:rPr>
            </w:pPr>
            <w:r>
              <w:rPr>
                <w:rFonts w:ascii="Calibri" w:hAnsi="Calibri" w:cs="Times New Roman"/>
                <w:bCs/>
              </w:rPr>
              <w:t>Karla Vanessa Sancho</w:t>
            </w:r>
          </w:p>
        </w:tc>
        <w:tc>
          <w:tcPr>
            <w:tcW w:w="2977" w:type="dxa"/>
          </w:tcPr>
          <w:p w:rsidR="00A62215" w:rsidRDefault="006C360F">
            <w:pPr>
              <w:widowControl w:val="0"/>
              <w:spacing w:after="0" w:line="240" w:lineRule="auto"/>
              <w:jc w:val="center"/>
              <w:rPr>
                <w:rFonts w:ascii="Calibri" w:hAnsi="Calibri" w:cs="Times New Roman"/>
                <w:color w:val="000000"/>
              </w:rPr>
            </w:pPr>
            <w:r>
              <w:rPr>
                <w:rFonts w:ascii="Calibri" w:hAnsi="Calibri" w:cs="Times New Roman"/>
                <w:color w:val="000000"/>
                <w:shd w:val="clear" w:color="auto" w:fill="FFFFFF"/>
              </w:rPr>
              <w:t>X</w:t>
            </w:r>
          </w:p>
        </w:tc>
        <w:tc>
          <w:tcPr>
            <w:tcW w:w="2720" w:type="dxa"/>
          </w:tcPr>
          <w:p w:rsidR="00A62215" w:rsidRDefault="00A62215">
            <w:pPr>
              <w:widowControl w:val="0"/>
              <w:spacing w:after="0" w:line="240" w:lineRule="auto"/>
              <w:jc w:val="center"/>
              <w:rPr>
                <w:rFonts w:ascii="Calibri" w:hAnsi="Calibri" w:cs="Times New Roman"/>
                <w:color w:val="000000"/>
                <w:shd w:val="clear" w:color="auto" w:fill="FFFFFF"/>
              </w:rPr>
            </w:pPr>
          </w:p>
        </w:tc>
      </w:tr>
      <w:tr w:rsidR="00A62215">
        <w:tc>
          <w:tcPr>
            <w:tcW w:w="3823" w:type="dxa"/>
          </w:tcPr>
          <w:p w:rsidR="00A62215" w:rsidRDefault="006C360F">
            <w:pPr>
              <w:widowControl w:val="0"/>
              <w:spacing w:after="0" w:line="240" w:lineRule="auto"/>
              <w:rPr>
                <w:rFonts w:ascii="Calibri" w:hAnsi="Calibri" w:cs="Times New Roman"/>
              </w:rPr>
            </w:pPr>
            <w:r>
              <w:rPr>
                <w:rFonts w:ascii="Calibri" w:hAnsi="Calibri" w:cs="Times New Roman"/>
                <w:bCs/>
              </w:rPr>
              <w:t>Gabriel Quirós Calderón</w:t>
            </w:r>
          </w:p>
        </w:tc>
        <w:tc>
          <w:tcPr>
            <w:tcW w:w="2977" w:type="dxa"/>
          </w:tcPr>
          <w:p w:rsidR="00A62215" w:rsidRDefault="006C360F">
            <w:pPr>
              <w:widowControl w:val="0"/>
              <w:spacing w:after="0" w:line="240" w:lineRule="auto"/>
              <w:jc w:val="center"/>
              <w:rPr>
                <w:rFonts w:ascii="Calibri" w:hAnsi="Calibri" w:cs="Times New Roman"/>
                <w:color w:val="000000"/>
              </w:rPr>
            </w:pPr>
            <w:r>
              <w:rPr>
                <w:rFonts w:ascii="Calibri" w:hAnsi="Calibri" w:cs="Times New Roman"/>
                <w:color w:val="000000"/>
                <w:shd w:val="clear" w:color="auto" w:fill="FFFFFF"/>
              </w:rPr>
              <w:t>X</w:t>
            </w:r>
          </w:p>
        </w:tc>
        <w:tc>
          <w:tcPr>
            <w:tcW w:w="2720" w:type="dxa"/>
          </w:tcPr>
          <w:p w:rsidR="00A62215" w:rsidRDefault="00A62215">
            <w:pPr>
              <w:widowControl w:val="0"/>
              <w:spacing w:after="0" w:line="240" w:lineRule="auto"/>
              <w:jc w:val="center"/>
              <w:rPr>
                <w:rFonts w:ascii="Calibri" w:hAnsi="Calibri" w:cs="Times New Roman"/>
                <w:color w:val="000000"/>
                <w:shd w:val="clear" w:color="auto" w:fill="FFFFFF"/>
              </w:rPr>
            </w:pPr>
          </w:p>
        </w:tc>
      </w:tr>
      <w:tr w:rsidR="00A62215">
        <w:tc>
          <w:tcPr>
            <w:tcW w:w="3823" w:type="dxa"/>
          </w:tcPr>
          <w:p w:rsidR="00A62215" w:rsidRDefault="006C360F">
            <w:pPr>
              <w:widowControl w:val="0"/>
              <w:spacing w:after="0" w:line="240" w:lineRule="auto"/>
              <w:rPr>
                <w:rFonts w:ascii="Calibri" w:hAnsi="Calibri" w:cs="Times New Roman"/>
                <w:bCs/>
              </w:rPr>
            </w:pPr>
            <w:r>
              <w:rPr>
                <w:rFonts w:ascii="Calibri" w:hAnsi="Calibri" w:cs="Times New Roman"/>
                <w:bCs/>
              </w:rPr>
              <w:t>Melissa Benavides Víquez</w:t>
            </w:r>
          </w:p>
        </w:tc>
        <w:tc>
          <w:tcPr>
            <w:tcW w:w="2977" w:type="dxa"/>
          </w:tcPr>
          <w:p w:rsidR="00A62215" w:rsidRDefault="00A62215">
            <w:pPr>
              <w:widowControl w:val="0"/>
              <w:spacing w:after="0" w:line="240" w:lineRule="auto"/>
              <w:jc w:val="center"/>
              <w:rPr>
                <w:shd w:val="clear" w:color="auto" w:fill="FFFFFF"/>
              </w:rPr>
            </w:pPr>
          </w:p>
        </w:tc>
        <w:tc>
          <w:tcPr>
            <w:tcW w:w="2720" w:type="dxa"/>
          </w:tcPr>
          <w:p w:rsidR="00A62215" w:rsidRDefault="006C360F">
            <w:pPr>
              <w:widowControl w:val="0"/>
              <w:spacing w:after="0" w:line="240" w:lineRule="auto"/>
              <w:jc w:val="center"/>
            </w:pPr>
            <w:r>
              <w:rPr>
                <w:rFonts w:ascii="Calibri" w:hAnsi="Calibri" w:cs="Times New Roman"/>
                <w:color w:val="000000"/>
                <w:shd w:val="clear" w:color="auto" w:fill="FFFFFF"/>
              </w:rPr>
              <w:t>X</w:t>
            </w:r>
          </w:p>
        </w:tc>
      </w:tr>
      <w:tr w:rsidR="00A62215">
        <w:tc>
          <w:tcPr>
            <w:tcW w:w="3823" w:type="dxa"/>
          </w:tcPr>
          <w:p w:rsidR="00A62215" w:rsidRDefault="006C360F">
            <w:pPr>
              <w:widowControl w:val="0"/>
              <w:spacing w:after="0" w:line="240" w:lineRule="auto"/>
              <w:rPr>
                <w:rFonts w:ascii="Calibri" w:hAnsi="Calibri" w:cs="Times New Roman"/>
              </w:rPr>
            </w:pPr>
            <w:r>
              <w:rPr>
                <w:rFonts w:ascii="Calibri" w:hAnsi="Calibri" w:cs="Times New Roman"/>
                <w:bCs/>
              </w:rPr>
              <w:t xml:space="preserve">Andrea </w:t>
            </w:r>
            <w:proofErr w:type="spellStart"/>
            <w:r>
              <w:rPr>
                <w:rFonts w:ascii="Calibri" w:hAnsi="Calibri" w:cs="Times New Roman"/>
                <w:bCs/>
              </w:rPr>
              <w:t>Dotta</w:t>
            </w:r>
            <w:proofErr w:type="spellEnd"/>
            <w:r>
              <w:rPr>
                <w:rFonts w:ascii="Calibri" w:hAnsi="Calibri" w:cs="Times New Roman"/>
                <w:bCs/>
              </w:rPr>
              <w:t xml:space="preserve"> Brenes</w:t>
            </w:r>
          </w:p>
        </w:tc>
        <w:tc>
          <w:tcPr>
            <w:tcW w:w="2977" w:type="dxa"/>
          </w:tcPr>
          <w:p w:rsidR="00A62215" w:rsidRDefault="006C360F">
            <w:pPr>
              <w:widowControl w:val="0"/>
              <w:spacing w:after="0" w:line="240" w:lineRule="auto"/>
              <w:jc w:val="center"/>
              <w:rPr>
                <w:rFonts w:ascii="Calibri" w:hAnsi="Calibri" w:cs="Times New Roman"/>
                <w:color w:val="000000"/>
              </w:rPr>
            </w:pPr>
            <w:r>
              <w:rPr>
                <w:rFonts w:ascii="Calibri" w:hAnsi="Calibri" w:cs="Times New Roman"/>
                <w:color w:val="000000"/>
                <w:shd w:val="clear" w:color="auto" w:fill="FFFFFF"/>
              </w:rPr>
              <w:t>X</w:t>
            </w:r>
          </w:p>
        </w:tc>
        <w:tc>
          <w:tcPr>
            <w:tcW w:w="2720" w:type="dxa"/>
          </w:tcPr>
          <w:p w:rsidR="00A62215" w:rsidRDefault="00A62215">
            <w:pPr>
              <w:widowControl w:val="0"/>
              <w:spacing w:after="0" w:line="240" w:lineRule="auto"/>
              <w:jc w:val="center"/>
              <w:rPr>
                <w:rFonts w:ascii="Calibri" w:hAnsi="Calibri" w:cs="Times New Roman"/>
                <w:color w:val="000000"/>
              </w:rPr>
            </w:pPr>
          </w:p>
        </w:tc>
      </w:tr>
      <w:tr w:rsidR="00A62215">
        <w:tc>
          <w:tcPr>
            <w:tcW w:w="3823" w:type="dxa"/>
          </w:tcPr>
          <w:p w:rsidR="00A62215" w:rsidRDefault="006C360F">
            <w:pPr>
              <w:widowControl w:val="0"/>
              <w:spacing w:after="0" w:line="240" w:lineRule="auto"/>
              <w:rPr>
                <w:rFonts w:ascii="Calibri" w:hAnsi="Calibri" w:cs="Times New Roman"/>
              </w:rPr>
            </w:pPr>
            <w:r>
              <w:rPr>
                <w:rFonts w:ascii="Calibri" w:hAnsi="Calibri" w:cs="Times New Roman"/>
                <w:bCs/>
              </w:rPr>
              <w:t>Mileidy García Solano</w:t>
            </w:r>
          </w:p>
        </w:tc>
        <w:tc>
          <w:tcPr>
            <w:tcW w:w="2977" w:type="dxa"/>
          </w:tcPr>
          <w:p w:rsidR="00A62215" w:rsidRDefault="006C360F">
            <w:pPr>
              <w:widowControl w:val="0"/>
              <w:spacing w:after="0" w:line="240" w:lineRule="auto"/>
              <w:jc w:val="center"/>
              <w:rPr>
                <w:rFonts w:ascii="Calibri" w:hAnsi="Calibri" w:cs="Times New Roman"/>
                <w:color w:val="000000"/>
              </w:rPr>
            </w:pPr>
            <w:r>
              <w:rPr>
                <w:rFonts w:ascii="Calibri" w:hAnsi="Calibri" w:cs="Times New Roman"/>
                <w:color w:val="000000"/>
                <w:shd w:val="clear" w:color="auto" w:fill="FFFFFF"/>
              </w:rPr>
              <w:t>X</w:t>
            </w:r>
          </w:p>
        </w:tc>
        <w:tc>
          <w:tcPr>
            <w:tcW w:w="2720" w:type="dxa"/>
          </w:tcPr>
          <w:p w:rsidR="00A62215" w:rsidRDefault="00A62215">
            <w:pPr>
              <w:widowControl w:val="0"/>
              <w:spacing w:after="0" w:line="240" w:lineRule="auto"/>
              <w:jc w:val="center"/>
              <w:rPr>
                <w:rFonts w:ascii="Calibri" w:hAnsi="Calibri" w:cs="Times New Roman"/>
                <w:color w:val="000000"/>
                <w:shd w:val="clear" w:color="auto" w:fill="FFFFFF"/>
              </w:rPr>
            </w:pPr>
          </w:p>
        </w:tc>
      </w:tr>
      <w:tr w:rsidR="00A62215">
        <w:tc>
          <w:tcPr>
            <w:tcW w:w="3823" w:type="dxa"/>
          </w:tcPr>
          <w:p w:rsidR="00A62215" w:rsidRDefault="006C360F">
            <w:pPr>
              <w:widowControl w:val="0"/>
              <w:spacing w:after="0" w:line="240" w:lineRule="auto"/>
              <w:rPr>
                <w:rFonts w:ascii="Calibri" w:hAnsi="Calibri" w:cs="Times New Roman"/>
              </w:rPr>
            </w:pPr>
            <w:r>
              <w:rPr>
                <w:rFonts w:ascii="Calibri" w:hAnsi="Calibri" w:cs="Times New Roman"/>
                <w:bCs/>
              </w:rPr>
              <w:t>Rodolfo Brenes Blanco</w:t>
            </w:r>
          </w:p>
        </w:tc>
        <w:tc>
          <w:tcPr>
            <w:tcW w:w="2977" w:type="dxa"/>
          </w:tcPr>
          <w:p w:rsidR="00A62215" w:rsidRDefault="006C360F">
            <w:pPr>
              <w:widowControl w:val="0"/>
              <w:spacing w:after="0" w:line="240" w:lineRule="auto"/>
              <w:jc w:val="center"/>
              <w:rPr>
                <w:rFonts w:ascii="Calibri" w:hAnsi="Calibri" w:cs="Times New Roman"/>
                <w:color w:val="000000"/>
              </w:rPr>
            </w:pPr>
            <w:r>
              <w:rPr>
                <w:rFonts w:ascii="Calibri" w:hAnsi="Calibri" w:cs="Times New Roman"/>
                <w:color w:val="000000"/>
                <w:shd w:val="clear" w:color="auto" w:fill="FFFFFF"/>
              </w:rPr>
              <w:t>X</w:t>
            </w:r>
          </w:p>
        </w:tc>
        <w:tc>
          <w:tcPr>
            <w:tcW w:w="2720" w:type="dxa"/>
          </w:tcPr>
          <w:p w:rsidR="00A62215" w:rsidRDefault="00A62215">
            <w:pPr>
              <w:widowControl w:val="0"/>
              <w:spacing w:after="0" w:line="240" w:lineRule="auto"/>
              <w:jc w:val="center"/>
              <w:rPr>
                <w:rFonts w:ascii="Calibri" w:hAnsi="Calibri" w:cs="Times New Roman"/>
                <w:color w:val="000000"/>
                <w:shd w:val="clear" w:color="auto" w:fill="FFFFFF"/>
              </w:rPr>
            </w:pPr>
          </w:p>
        </w:tc>
      </w:tr>
      <w:tr w:rsidR="00A62215">
        <w:tc>
          <w:tcPr>
            <w:tcW w:w="3823" w:type="dxa"/>
          </w:tcPr>
          <w:p w:rsidR="00A62215" w:rsidRDefault="006C360F">
            <w:pPr>
              <w:widowControl w:val="0"/>
              <w:spacing w:after="0" w:line="240" w:lineRule="auto"/>
              <w:rPr>
                <w:rFonts w:ascii="Calibri" w:hAnsi="Calibri" w:cs="Times New Roman"/>
              </w:rPr>
            </w:pPr>
            <w:r>
              <w:rPr>
                <w:rFonts w:ascii="Calibri" w:hAnsi="Calibri" w:cs="Times New Roman"/>
                <w:bCs/>
              </w:rPr>
              <w:t>Ruth Bermúdez Molina</w:t>
            </w:r>
          </w:p>
        </w:tc>
        <w:tc>
          <w:tcPr>
            <w:tcW w:w="2977" w:type="dxa"/>
          </w:tcPr>
          <w:p w:rsidR="00A62215" w:rsidRDefault="006C360F">
            <w:pPr>
              <w:widowControl w:val="0"/>
              <w:spacing w:after="0" w:line="240" w:lineRule="auto"/>
              <w:jc w:val="center"/>
              <w:rPr>
                <w:rFonts w:ascii="Calibri" w:hAnsi="Calibri" w:cs="Times New Roman"/>
                <w:color w:val="000000"/>
              </w:rPr>
            </w:pPr>
            <w:r>
              <w:rPr>
                <w:rFonts w:ascii="Calibri" w:hAnsi="Calibri" w:cs="Times New Roman"/>
                <w:color w:val="000000"/>
                <w:shd w:val="clear" w:color="auto" w:fill="FFFFFF"/>
              </w:rPr>
              <w:t>X</w:t>
            </w:r>
          </w:p>
        </w:tc>
        <w:tc>
          <w:tcPr>
            <w:tcW w:w="2720" w:type="dxa"/>
          </w:tcPr>
          <w:p w:rsidR="00A62215" w:rsidRDefault="00A62215">
            <w:pPr>
              <w:widowControl w:val="0"/>
              <w:spacing w:after="0" w:line="240" w:lineRule="auto"/>
              <w:jc w:val="center"/>
              <w:rPr>
                <w:rFonts w:ascii="Calibri" w:hAnsi="Calibri" w:cs="Times New Roman"/>
                <w:color w:val="000000"/>
                <w:shd w:val="clear" w:color="auto" w:fill="FFFFFF"/>
              </w:rPr>
            </w:pPr>
          </w:p>
        </w:tc>
      </w:tr>
      <w:tr w:rsidR="00A62215">
        <w:tc>
          <w:tcPr>
            <w:tcW w:w="3823" w:type="dxa"/>
          </w:tcPr>
          <w:p w:rsidR="00A62215" w:rsidRDefault="006C360F">
            <w:pPr>
              <w:widowControl w:val="0"/>
              <w:spacing w:after="0" w:line="240" w:lineRule="auto"/>
              <w:rPr>
                <w:rFonts w:ascii="Calibri" w:hAnsi="Calibri" w:cs="Times New Roman"/>
                <w:bCs/>
              </w:rPr>
            </w:pPr>
            <w:r>
              <w:rPr>
                <w:rFonts w:ascii="Calibri" w:hAnsi="Calibri" w:cs="Times New Roman"/>
                <w:bCs/>
              </w:rPr>
              <w:t>Mauren Arias Gutiérrez</w:t>
            </w:r>
          </w:p>
          <w:p w:rsidR="00A62215" w:rsidRDefault="006C360F">
            <w:pPr>
              <w:widowControl w:val="0"/>
              <w:spacing w:after="0" w:line="240" w:lineRule="auto"/>
              <w:rPr>
                <w:rFonts w:ascii="Calibri" w:hAnsi="Calibri" w:cs="Times New Roman"/>
              </w:rPr>
            </w:pPr>
            <w:r>
              <w:rPr>
                <w:rFonts w:ascii="Calibri" w:hAnsi="Calibri" w:cs="Times New Roman"/>
                <w:bCs/>
              </w:rPr>
              <w:t>Flor Murillo Rodríguez</w:t>
            </w:r>
          </w:p>
        </w:tc>
        <w:tc>
          <w:tcPr>
            <w:tcW w:w="2977" w:type="dxa"/>
          </w:tcPr>
          <w:p w:rsidR="00A62215" w:rsidRDefault="00A62215">
            <w:pPr>
              <w:widowControl w:val="0"/>
              <w:spacing w:after="0" w:line="240" w:lineRule="auto"/>
              <w:jc w:val="center"/>
              <w:rPr>
                <w:shd w:val="clear" w:color="auto" w:fill="FFFFFF"/>
              </w:rPr>
            </w:pPr>
          </w:p>
          <w:p w:rsidR="00A62215" w:rsidRDefault="006C360F">
            <w:pPr>
              <w:widowControl w:val="0"/>
              <w:spacing w:after="0" w:line="240" w:lineRule="auto"/>
              <w:jc w:val="center"/>
              <w:rPr>
                <w:rFonts w:ascii="Calibri" w:hAnsi="Calibri" w:cs="Times New Roman"/>
                <w:color w:val="000000"/>
              </w:rPr>
            </w:pPr>
            <w:r>
              <w:rPr>
                <w:rFonts w:ascii="Calibri" w:hAnsi="Calibri" w:cs="Times New Roman"/>
                <w:color w:val="000000"/>
                <w:shd w:val="clear" w:color="auto" w:fill="FFFFFF"/>
              </w:rPr>
              <w:t>X</w:t>
            </w:r>
          </w:p>
        </w:tc>
        <w:tc>
          <w:tcPr>
            <w:tcW w:w="2720" w:type="dxa"/>
          </w:tcPr>
          <w:p w:rsidR="00A62215" w:rsidRDefault="00A62215">
            <w:pPr>
              <w:widowControl w:val="0"/>
              <w:spacing w:after="0" w:line="240" w:lineRule="auto"/>
              <w:jc w:val="center"/>
              <w:rPr>
                <w:rFonts w:ascii="Calibri" w:hAnsi="Calibri" w:cs="Times New Roman"/>
                <w:color w:val="000000"/>
                <w:shd w:val="clear" w:color="auto" w:fill="FFFFFF"/>
              </w:rPr>
            </w:pPr>
          </w:p>
        </w:tc>
      </w:tr>
      <w:tr w:rsidR="00A62215">
        <w:tc>
          <w:tcPr>
            <w:tcW w:w="3823" w:type="dxa"/>
          </w:tcPr>
          <w:p w:rsidR="00A62215" w:rsidRDefault="006C360F">
            <w:pPr>
              <w:widowControl w:val="0"/>
              <w:spacing w:after="0" w:line="240" w:lineRule="auto"/>
              <w:rPr>
                <w:rFonts w:ascii="Calibri" w:hAnsi="Calibri" w:cs="Times New Roman"/>
                <w:bCs/>
              </w:rPr>
            </w:pPr>
            <w:r>
              <w:rPr>
                <w:rFonts w:ascii="Calibri" w:hAnsi="Calibri" w:cs="Times New Roman"/>
                <w:bCs/>
              </w:rPr>
              <w:t xml:space="preserve">Lupita Chaves Cervantes </w:t>
            </w:r>
          </w:p>
        </w:tc>
        <w:tc>
          <w:tcPr>
            <w:tcW w:w="2977" w:type="dxa"/>
          </w:tcPr>
          <w:p w:rsidR="00A62215" w:rsidRDefault="00A62215">
            <w:pPr>
              <w:widowControl w:val="0"/>
              <w:spacing w:after="0" w:line="240" w:lineRule="auto"/>
              <w:jc w:val="center"/>
              <w:rPr>
                <w:shd w:val="clear" w:color="auto" w:fill="FFFFFF"/>
              </w:rPr>
            </w:pPr>
          </w:p>
        </w:tc>
        <w:tc>
          <w:tcPr>
            <w:tcW w:w="2720" w:type="dxa"/>
          </w:tcPr>
          <w:p w:rsidR="00A62215" w:rsidRDefault="006C360F">
            <w:pPr>
              <w:widowControl w:val="0"/>
              <w:spacing w:after="0" w:line="240" w:lineRule="auto"/>
              <w:jc w:val="center"/>
            </w:pPr>
            <w:r>
              <w:rPr>
                <w:rFonts w:ascii="Calibri" w:hAnsi="Calibri" w:cs="Times New Roman"/>
                <w:color w:val="000000"/>
                <w:shd w:val="clear" w:color="auto" w:fill="FFFFFF"/>
              </w:rPr>
              <w:t>X</w:t>
            </w:r>
          </w:p>
        </w:tc>
      </w:tr>
      <w:tr w:rsidR="00A62215">
        <w:tc>
          <w:tcPr>
            <w:tcW w:w="3823" w:type="dxa"/>
          </w:tcPr>
          <w:p w:rsidR="00A62215" w:rsidRDefault="006C360F">
            <w:pPr>
              <w:widowControl w:val="0"/>
              <w:spacing w:after="0" w:line="240" w:lineRule="auto"/>
              <w:rPr>
                <w:rFonts w:ascii="Calibri" w:hAnsi="Calibri" w:cs="Times New Roman"/>
                <w:bCs/>
              </w:rPr>
            </w:pPr>
            <w:r>
              <w:rPr>
                <w:rFonts w:ascii="Calibri" w:hAnsi="Calibri" w:cs="Times New Roman"/>
                <w:bCs/>
              </w:rPr>
              <w:t>Rebeca Ramírez Corrales</w:t>
            </w:r>
          </w:p>
        </w:tc>
        <w:tc>
          <w:tcPr>
            <w:tcW w:w="2977" w:type="dxa"/>
          </w:tcPr>
          <w:p w:rsidR="00A62215" w:rsidRDefault="006C360F">
            <w:pPr>
              <w:widowControl w:val="0"/>
              <w:spacing w:after="0" w:line="240" w:lineRule="auto"/>
              <w:jc w:val="center"/>
              <w:rPr>
                <w:rFonts w:ascii="Calibri" w:hAnsi="Calibri" w:cs="Times New Roman"/>
                <w:color w:val="000000"/>
              </w:rPr>
            </w:pPr>
            <w:r>
              <w:rPr>
                <w:rFonts w:ascii="Calibri" w:hAnsi="Calibri" w:cs="Times New Roman"/>
                <w:color w:val="000000"/>
                <w:shd w:val="clear" w:color="auto" w:fill="FFFFFF"/>
              </w:rPr>
              <w:t>X</w:t>
            </w:r>
          </w:p>
        </w:tc>
        <w:tc>
          <w:tcPr>
            <w:tcW w:w="2720" w:type="dxa"/>
          </w:tcPr>
          <w:p w:rsidR="00A62215" w:rsidRDefault="00A62215">
            <w:pPr>
              <w:widowControl w:val="0"/>
              <w:spacing w:after="0" w:line="240" w:lineRule="auto"/>
              <w:jc w:val="center"/>
              <w:rPr>
                <w:rFonts w:ascii="Calibri" w:hAnsi="Calibri" w:cs="Times New Roman"/>
                <w:color w:val="000000"/>
                <w:shd w:val="clear" w:color="auto" w:fill="FFFFFF"/>
              </w:rPr>
            </w:pPr>
          </w:p>
        </w:tc>
      </w:tr>
      <w:tr w:rsidR="00A62215">
        <w:tc>
          <w:tcPr>
            <w:tcW w:w="3823" w:type="dxa"/>
          </w:tcPr>
          <w:p w:rsidR="00A62215" w:rsidRDefault="006C360F">
            <w:pPr>
              <w:widowControl w:val="0"/>
              <w:spacing w:after="0" w:line="240" w:lineRule="auto"/>
              <w:rPr>
                <w:rFonts w:ascii="Calibri" w:hAnsi="Calibri" w:cs="Times New Roman"/>
                <w:bCs/>
              </w:rPr>
            </w:pPr>
            <w:r>
              <w:rPr>
                <w:rFonts w:ascii="Calibri" w:hAnsi="Calibri" w:cs="Times New Roman"/>
                <w:bCs/>
              </w:rPr>
              <w:t>Yolanda Mora Artavia</w:t>
            </w:r>
          </w:p>
        </w:tc>
        <w:tc>
          <w:tcPr>
            <w:tcW w:w="2977" w:type="dxa"/>
          </w:tcPr>
          <w:p w:rsidR="00A62215" w:rsidRDefault="00A62215">
            <w:pPr>
              <w:widowControl w:val="0"/>
              <w:spacing w:after="0" w:line="240" w:lineRule="auto"/>
              <w:jc w:val="center"/>
              <w:rPr>
                <w:shd w:val="clear" w:color="auto" w:fill="FFFFFF"/>
              </w:rPr>
            </w:pPr>
          </w:p>
        </w:tc>
        <w:tc>
          <w:tcPr>
            <w:tcW w:w="2720" w:type="dxa"/>
          </w:tcPr>
          <w:p w:rsidR="00A62215" w:rsidRDefault="006C360F">
            <w:pPr>
              <w:widowControl w:val="0"/>
              <w:spacing w:after="0" w:line="240" w:lineRule="auto"/>
              <w:jc w:val="center"/>
            </w:pPr>
            <w:r>
              <w:rPr>
                <w:rFonts w:ascii="Calibri" w:hAnsi="Calibri" w:cs="Times New Roman"/>
                <w:color w:val="000000"/>
              </w:rPr>
              <w:t>X</w:t>
            </w:r>
          </w:p>
        </w:tc>
      </w:tr>
      <w:tr w:rsidR="00A62215">
        <w:tc>
          <w:tcPr>
            <w:tcW w:w="3823" w:type="dxa"/>
          </w:tcPr>
          <w:p w:rsidR="00A62215" w:rsidRDefault="006C360F">
            <w:pPr>
              <w:widowControl w:val="0"/>
              <w:spacing w:after="0" w:line="240" w:lineRule="auto"/>
              <w:rPr>
                <w:rFonts w:ascii="Calibri" w:hAnsi="Calibri" w:cs="Times New Roman"/>
                <w:bCs/>
              </w:rPr>
            </w:pPr>
            <w:proofErr w:type="spellStart"/>
            <w:r>
              <w:rPr>
                <w:rFonts w:ascii="Calibri" w:hAnsi="Calibri" w:cs="Times New Roman"/>
                <w:bCs/>
              </w:rPr>
              <w:t>Leida</w:t>
            </w:r>
            <w:proofErr w:type="spellEnd"/>
            <w:r>
              <w:rPr>
                <w:rFonts w:ascii="Calibri" w:hAnsi="Calibri" w:cs="Times New Roman"/>
                <w:bCs/>
              </w:rPr>
              <w:t xml:space="preserve"> Hernández Gutiérrez</w:t>
            </w:r>
          </w:p>
        </w:tc>
        <w:tc>
          <w:tcPr>
            <w:tcW w:w="2977" w:type="dxa"/>
          </w:tcPr>
          <w:p w:rsidR="00A62215" w:rsidRDefault="00A62215">
            <w:pPr>
              <w:widowControl w:val="0"/>
              <w:spacing w:after="0" w:line="240" w:lineRule="auto"/>
              <w:jc w:val="center"/>
              <w:rPr>
                <w:shd w:val="clear" w:color="auto" w:fill="FFFFFF"/>
              </w:rPr>
            </w:pPr>
          </w:p>
        </w:tc>
        <w:tc>
          <w:tcPr>
            <w:tcW w:w="2720" w:type="dxa"/>
          </w:tcPr>
          <w:p w:rsidR="00A62215" w:rsidRDefault="006C360F">
            <w:pPr>
              <w:widowControl w:val="0"/>
              <w:spacing w:after="0" w:line="240" w:lineRule="auto"/>
              <w:jc w:val="center"/>
            </w:pPr>
            <w:r>
              <w:rPr>
                <w:rFonts w:ascii="Calibri" w:hAnsi="Calibri" w:cs="Times New Roman"/>
                <w:color w:val="000000"/>
                <w:shd w:val="clear" w:color="auto" w:fill="FFFFFF"/>
              </w:rPr>
              <w:t>X</w:t>
            </w:r>
          </w:p>
        </w:tc>
      </w:tr>
    </w:tbl>
    <w:p w:rsidR="00A62215" w:rsidRDefault="00A62215">
      <w:pPr>
        <w:rPr>
          <w:rFonts w:cstheme="minorHAnsi"/>
          <w:b/>
          <w:bCs/>
          <w:sz w:val="24"/>
          <w:szCs w:val="24"/>
          <w:u w:val="single"/>
        </w:rPr>
      </w:pPr>
    </w:p>
    <w:p w:rsidR="00A62215" w:rsidRDefault="00A62215">
      <w:pPr>
        <w:pStyle w:val="Prrafodelista"/>
        <w:rPr>
          <w:rFonts w:cstheme="minorHAnsi"/>
          <w:sz w:val="24"/>
          <w:szCs w:val="24"/>
        </w:rPr>
      </w:pPr>
    </w:p>
    <w:p w:rsidR="00A62215" w:rsidRDefault="006C360F">
      <w:pPr>
        <w:jc w:val="center"/>
        <w:rPr>
          <w:rFonts w:cstheme="minorHAnsi"/>
          <w:b/>
          <w:bCs/>
          <w:sz w:val="24"/>
          <w:szCs w:val="24"/>
        </w:rPr>
      </w:pPr>
      <w:r>
        <w:rPr>
          <w:rFonts w:cstheme="minorHAnsi"/>
          <w:b/>
          <w:bCs/>
          <w:sz w:val="24"/>
          <w:szCs w:val="24"/>
        </w:rPr>
        <w:t>ARTICULO I</w:t>
      </w:r>
    </w:p>
    <w:p w:rsidR="00A62215" w:rsidRDefault="006C360F">
      <w:pPr>
        <w:jc w:val="both"/>
        <w:rPr>
          <w:rFonts w:cstheme="minorHAnsi"/>
          <w:b/>
          <w:bCs/>
          <w:sz w:val="24"/>
          <w:szCs w:val="24"/>
        </w:rPr>
      </w:pPr>
      <w:r>
        <w:rPr>
          <w:rFonts w:cstheme="minorHAnsi"/>
          <w:b/>
          <w:bCs/>
          <w:sz w:val="24"/>
          <w:szCs w:val="24"/>
        </w:rPr>
        <w:t xml:space="preserve">Tema: </w:t>
      </w:r>
      <w:r>
        <w:rPr>
          <w:rFonts w:cstheme="minorHAnsi"/>
          <w:b/>
          <w:bCs/>
          <w:sz w:val="24"/>
          <w:szCs w:val="24"/>
          <w:u w:val="single"/>
        </w:rPr>
        <w:t xml:space="preserve">Incorporación de representante de AGECO a la Subcomisión de la Magister Andrea </w:t>
      </w:r>
      <w:proofErr w:type="spellStart"/>
      <w:r>
        <w:rPr>
          <w:rFonts w:cstheme="minorHAnsi"/>
          <w:b/>
          <w:bCs/>
          <w:sz w:val="24"/>
          <w:szCs w:val="24"/>
          <w:u w:val="single"/>
        </w:rPr>
        <w:t>Dotta</w:t>
      </w:r>
      <w:proofErr w:type="spellEnd"/>
      <w:r>
        <w:rPr>
          <w:rFonts w:cstheme="minorHAnsi"/>
          <w:b/>
          <w:bCs/>
          <w:sz w:val="24"/>
          <w:szCs w:val="24"/>
          <w:u w:val="single"/>
        </w:rPr>
        <w:t xml:space="preserve"> Brenes</w:t>
      </w:r>
      <w:r>
        <w:rPr>
          <w:rFonts w:cstheme="minorHAnsi"/>
          <w:b/>
          <w:bCs/>
          <w:sz w:val="24"/>
          <w:szCs w:val="24"/>
        </w:rPr>
        <w:t xml:space="preserve">. </w:t>
      </w:r>
    </w:p>
    <w:p w:rsidR="00A62215" w:rsidRDefault="006C360F">
      <w:pPr>
        <w:jc w:val="both"/>
        <w:rPr>
          <w:rFonts w:eastAsia="Times New Roman" w:cstheme="minorHAnsi"/>
          <w:color w:val="201F1E"/>
          <w:sz w:val="24"/>
          <w:szCs w:val="24"/>
          <w:lang w:eastAsia="es-CR"/>
        </w:rPr>
      </w:pPr>
      <w:r>
        <w:rPr>
          <w:rFonts w:eastAsia="Times New Roman" w:cstheme="minorHAnsi"/>
          <w:color w:val="201F1E"/>
          <w:sz w:val="24"/>
          <w:szCs w:val="24"/>
          <w:lang w:eastAsia="es-CR"/>
        </w:rPr>
        <w:t>Graduada de Licenciatura en Trabajo Social de la Universidad de Costa Rica, Magíster en Tecnología Educativa de la Universidad Estatal a Distancia, cuenta con una especialidad en Gerontología Educativa de la Universidad Mayor de Chile, actualmente es estudiante de la Maestría en Derechos Humanos y Educación para la Paz del IDELA.</w:t>
      </w:r>
    </w:p>
    <w:p w:rsidR="00A62215" w:rsidRDefault="006C360F">
      <w:pPr>
        <w:shd w:val="clear" w:color="auto" w:fill="FFFFFF"/>
        <w:spacing w:after="0" w:line="240" w:lineRule="auto"/>
        <w:jc w:val="both"/>
        <w:rPr>
          <w:rFonts w:eastAsia="Times New Roman" w:cstheme="minorHAnsi"/>
          <w:color w:val="201F1E"/>
          <w:sz w:val="24"/>
          <w:szCs w:val="24"/>
          <w:lang w:eastAsia="es-CR"/>
        </w:rPr>
      </w:pPr>
      <w:r>
        <w:rPr>
          <w:rFonts w:eastAsia="Times New Roman" w:cstheme="minorHAnsi"/>
          <w:color w:val="201F1E"/>
          <w:sz w:val="24"/>
          <w:szCs w:val="24"/>
          <w:lang w:eastAsia="es-CR"/>
        </w:rPr>
        <w:t xml:space="preserve">Desde hace 12 años trabaja para la Asociación Gerontológica Costarricense AGECO </w:t>
      </w:r>
      <w:proofErr w:type="gramStart"/>
      <w:r>
        <w:rPr>
          <w:rFonts w:eastAsia="Times New Roman" w:cstheme="minorHAnsi"/>
          <w:color w:val="201F1E"/>
          <w:sz w:val="24"/>
          <w:szCs w:val="24"/>
          <w:lang w:eastAsia="es-CR"/>
        </w:rPr>
        <w:t>como  coordinadora</w:t>
      </w:r>
      <w:proofErr w:type="gramEnd"/>
      <w:r>
        <w:rPr>
          <w:rFonts w:eastAsia="Times New Roman" w:cstheme="minorHAnsi"/>
          <w:color w:val="201F1E"/>
          <w:sz w:val="24"/>
          <w:szCs w:val="24"/>
          <w:lang w:eastAsia="es-CR"/>
        </w:rPr>
        <w:t xml:space="preserve"> del Proceso de Derechos Humanos y Proyección Social.</w:t>
      </w:r>
    </w:p>
    <w:p w:rsidR="00A62215" w:rsidRDefault="006C360F">
      <w:pPr>
        <w:shd w:val="clear" w:color="auto" w:fill="FFFFFF"/>
        <w:spacing w:after="0" w:line="240" w:lineRule="auto"/>
        <w:jc w:val="both"/>
        <w:rPr>
          <w:rFonts w:eastAsia="Times New Roman" w:cstheme="minorHAnsi"/>
          <w:color w:val="201F1E"/>
          <w:sz w:val="24"/>
          <w:szCs w:val="24"/>
          <w:lang w:eastAsia="es-CR"/>
        </w:rPr>
      </w:pPr>
      <w:r>
        <w:rPr>
          <w:rFonts w:eastAsia="Times New Roman" w:cstheme="minorHAnsi"/>
          <w:color w:val="201F1E"/>
          <w:sz w:val="24"/>
          <w:szCs w:val="24"/>
          <w:lang w:eastAsia="es-CR"/>
        </w:rPr>
        <w:t xml:space="preserve">Correo: </w:t>
      </w:r>
      <w:hyperlink r:id="rId8" w:tgtFrame="_blank">
        <w:r>
          <w:rPr>
            <w:rFonts w:eastAsia="Times New Roman" w:cstheme="minorHAnsi"/>
            <w:color w:val="0563C1"/>
            <w:sz w:val="24"/>
            <w:szCs w:val="24"/>
            <w:u w:val="single"/>
            <w:lang w:eastAsia="es-CR"/>
          </w:rPr>
          <w:t>adotta@ageco.org</w:t>
        </w:r>
      </w:hyperlink>
    </w:p>
    <w:p w:rsidR="00A62215" w:rsidRDefault="006C360F">
      <w:pPr>
        <w:shd w:val="clear" w:color="auto" w:fill="FFFFFF"/>
        <w:spacing w:after="0" w:line="240" w:lineRule="auto"/>
        <w:jc w:val="both"/>
        <w:rPr>
          <w:rFonts w:eastAsia="Times New Roman" w:cstheme="minorHAnsi"/>
          <w:color w:val="201F1E"/>
          <w:sz w:val="24"/>
          <w:szCs w:val="24"/>
          <w:lang w:eastAsia="es-CR"/>
        </w:rPr>
      </w:pPr>
      <w:r>
        <w:rPr>
          <w:rFonts w:eastAsia="Times New Roman" w:cstheme="minorHAnsi"/>
          <w:color w:val="201F1E"/>
          <w:sz w:val="24"/>
          <w:szCs w:val="24"/>
          <w:lang w:eastAsia="es-CR"/>
        </w:rPr>
        <w:t>Teléfono 88791184</w:t>
      </w:r>
    </w:p>
    <w:p w:rsidR="00A62215" w:rsidRDefault="00A62215">
      <w:pPr>
        <w:shd w:val="clear" w:color="auto" w:fill="FFFFFF"/>
        <w:spacing w:after="0" w:line="240" w:lineRule="auto"/>
        <w:jc w:val="both"/>
        <w:rPr>
          <w:rFonts w:eastAsia="Times New Roman" w:cstheme="minorHAnsi"/>
          <w:color w:val="201F1E"/>
          <w:sz w:val="24"/>
          <w:szCs w:val="24"/>
          <w:lang w:eastAsia="es-CR"/>
        </w:rPr>
      </w:pPr>
    </w:p>
    <w:p w:rsidR="00A62215" w:rsidRDefault="006C360F">
      <w:pPr>
        <w:shd w:val="clear" w:color="auto" w:fill="FFFFFF"/>
        <w:spacing w:after="0" w:line="240" w:lineRule="auto"/>
        <w:jc w:val="both"/>
        <w:rPr>
          <w:rFonts w:eastAsia="Times New Roman" w:cstheme="minorHAnsi"/>
          <w:color w:val="201F1E"/>
          <w:sz w:val="24"/>
          <w:szCs w:val="24"/>
          <w:lang w:eastAsia="es-CR"/>
        </w:rPr>
      </w:pPr>
      <w:r>
        <w:rPr>
          <w:rFonts w:eastAsia="Times New Roman" w:cstheme="minorHAnsi"/>
          <w:color w:val="201F1E"/>
          <w:sz w:val="24"/>
          <w:szCs w:val="24"/>
          <w:lang w:eastAsia="es-CR"/>
        </w:rPr>
        <w:t xml:space="preserve">La coordinadora, Magistrada Deyanira Martínez, realiza una breve introducción de la señora Andrea </w:t>
      </w:r>
      <w:proofErr w:type="spellStart"/>
      <w:r>
        <w:rPr>
          <w:rFonts w:eastAsia="Times New Roman" w:cstheme="minorHAnsi"/>
          <w:color w:val="201F1E"/>
          <w:sz w:val="24"/>
          <w:szCs w:val="24"/>
          <w:lang w:eastAsia="es-CR"/>
        </w:rPr>
        <w:t>Dotta</w:t>
      </w:r>
      <w:proofErr w:type="spellEnd"/>
      <w:r>
        <w:rPr>
          <w:rFonts w:eastAsia="Times New Roman" w:cstheme="minorHAnsi"/>
          <w:color w:val="201F1E"/>
          <w:sz w:val="24"/>
          <w:szCs w:val="24"/>
          <w:lang w:eastAsia="es-CR"/>
        </w:rPr>
        <w:t xml:space="preserve"> Brenes y le da la cordial bienvenida.</w:t>
      </w:r>
    </w:p>
    <w:p w:rsidR="00A62215" w:rsidRDefault="00A62215">
      <w:pPr>
        <w:shd w:val="clear" w:color="auto" w:fill="FFFFFF"/>
        <w:spacing w:after="0" w:line="240" w:lineRule="auto"/>
        <w:jc w:val="both"/>
        <w:rPr>
          <w:rFonts w:eastAsia="Times New Roman" w:cstheme="minorHAnsi"/>
          <w:color w:val="201F1E"/>
          <w:sz w:val="24"/>
          <w:szCs w:val="24"/>
          <w:lang w:eastAsia="es-CR"/>
        </w:rPr>
      </w:pPr>
    </w:p>
    <w:p w:rsidR="00A62215" w:rsidRDefault="00A62215">
      <w:pPr>
        <w:rPr>
          <w:rFonts w:cstheme="minorHAnsi"/>
          <w:b/>
          <w:bCs/>
          <w:sz w:val="24"/>
          <w:szCs w:val="24"/>
          <w:highlight w:val="yellow"/>
        </w:rPr>
      </w:pPr>
    </w:p>
    <w:p w:rsidR="00A62215" w:rsidRDefault="006C360F">
      <w:pPr>
        <w:jc w:val="center"/>
        <w:rPr>
          <w:rFonts w:cstheme="minorHAnsi"/>
          <w:b/>
          <w:bCs/>
          <w:sz w:val="24"/>
          <w:szCs w:val="24"/>
          <w:highlight w:val="yellow"/>
        </w:rPr>
      </w:pPr>
      <w:r>
        <w:rPr>
          <w:rFonts w:cstheme="minorHAnsi"/>
          <w:b/>
          <w:bCs/>
          <w:sz w:val="24"/>
          <w:szCs w:val="24"/>
        </w:rPr>
        <w:t>ARTICULO II</w:t>
      </w:r>
    </w:p>
    <w:p w:rsidR="00A62215" w:rsidRDefault="006C360F">
      <w:pPr>
        <w:jc w:val="both"/>
        <w:rPr>
          <w:rFonts w:cstheme="minorHAnsi"/>
          <w:b/>
          <w:bCs/>
          <w:sz w:val="24"/>
          <w:szCs w:val="24"/>
        </w:rPr>
      </w:pPr>
      <w:r>
        <w:rPr>
          <w:rFonts w:cstheme="minorHAnsi"/>
          <w:b/>
          <w:bCs/>
          <w:sz w:val="24"/>
          <w:szCs w:val="24"/>
        </w:rPr>
        <w:t xml:space="preserve">Tema: </w:t>
      </w:r>
      <w:r>
        <w:rPr>
          <w:rFonts w:cstheme="minorHAnsi"/>
          <w:b/>
          <w:bCs/>
          <w:sz w:val="24"/>
          <w:szCs w:val="24"/>
          <w:u w:val="single"/>
        </w:rPr>
        <w:t>Exposición del Plan Nacional de Envejecimiento, por parte de doña Flor Murillo del Ministerio de Salud, coordinadora de la Comisión Nacional de Envejecimiento Saludable (CONAES) que se coordina desde el Ministerio de Salud</w:t>
      </w:r>
      <w:r>
        <w:rPr>
          <w:rFonts w:cstheme="minorHAnsi"/>
          <w:b/>
          <w:bCs/>
          <w:sz w:val="24"/>
          <w:szCs w:val="24"/>
        </w:rPr>
        <w:t xml:space="preserve">. </w:t>
      </w:r>
    </w:p>
    <w:p w:rsidR="00A62215" w:rsidRDefault="00A62215">
      <w:pPr>
        <w:jc w:val="both"/>
        <w:rPr>
          <w:rFonts w:cstheme="minorHAnsi"/>
          <w:b/>
          <w:bCs/>
          <w:sz w:val="24"/>
          <w:szCs w:val="24"/>
        </w:rPr>
      </w:pPr>
    </w:p>
    <w:p w:rsidR="00A62215" w:rsidRDefault="006C360F">
      <w:pPr>
        <w:jc w:val="both"/>
        <w:rPr>
          <w:rFonts w:cstheme="minorHAnsi"/>
          <w:b/>
          <w:bCs/>
          <w:sz w:val="24"/>
          <w:szCs w:val="24"/>
        </w:rPr>
      </w:pPr>
      <w:r>
        <w:rPr>
          <w:rFonts w:cstheme="minorHAnsi"/>
          <w:sz w:val="24"/>
          <w:szCs w:val="24"/>
        </w:rPr>
        <w:t>La señora Flor Murillo del Ministerio de Salud expone que en dicha instancia trabajan en la década de envejecimiento saludable (2020-2030), debido a la preocupación por los datos estadísticos que expone la población costarricense, pues se plantea que las personas viven más tiempo, pero no necesariamente con buena salud, sino que, al contrario, se ha visto una expansión de la morbilidad y muchas personas inician con problemas de salud desde temprana edad.</w:t>
      </w:r>
    </w:p>
    <w:p w:rsidR="00A62215" w:rsidRDefault="00A62215">
      <w:pPr>
        <w:jc w:val="both"/>
        <w:rPr>
          <w:rFonts w:cstheme="minorHAnsi"/>
          <w:b/>
          <w:bCs/>
          <w:sz w:val="24"/>
          <w:szCs w:val="24"/>
        </w:rPr>
      </w:pPr>
    </w:p>
    <w:p w:rsidR="00A62215" w:rsidRDefault="006C360F">
      <w:pPr>
        <w:jc w:val="both"/>
        <w:rPr>
          <w:rFonts w:cstheme="minorHAnsi"/>
          <w:b/>
          <w:bCs/>
          <w:sz w:val="24"/>
          <w:szCs w:val="24"/>
        </w:rPr>
      </w:pPr>
      <w:r>
        <w:rPr>
          <w:rFonts w:cstheme="minorHAnsi"/>
          <w:b/>
          <w:bCs/>
          <w:sz w:val="24"/>
          <w:szCs w:val="24"/>
        </w:rPr>
        <w:t>SE ACUERDA:</w:t>
      </w:r>
    </w:p>
    <w:p w:rsidR="00A62215" w:rsidRDefault="006C360F">
      <w:pPr>
        <w:jc w:val="both"/>
        <w:rPr>
          <w:rFonts w:cstheme="minorHAnsi"/>
          <w:b/>
          <w:bCs/>
          <w:sz w:val="24"/>
          <w:szCs w:val="24"/>
        </w:rPr>
      </w:pPr>
      <w:r>
        <w:rPr>
          <w:rFonts w:cstheme="minorHAnsi"/>
          <w:sz w:val="24"/>
          <w:szCs w:val="24"/>
        </w:rPr>
        <w:t>1. Se toma nota de lo expuesto por la Licda. Murillo y se agradece su exposición.  2.  Se solicitará desde esta Subcomisión para el Acceso a la Justicia de Personas Adultas Mayores los requisitos para ingresar en el programa de ciudades amigables.</w:t>
      </w:r>
    </w:p>
    <w:p w:rsidR="00A62215" w:rsidRDefault="00A62215">
      <w:pPr>
        <w:jc w:val="center"/>
        <w:rPr>
          <w:rFonts w:cstheme="minorHAnsi"/>
          <w:b/>
          <w:bCs/>
          <w:sz w:val="24"/>
          <w:szCs w:val="24"/>
          <w:highlight w:val="yellow"/>
        </w:rPr>
      </w:pPr>
    </w:p>
    <w:p w:rsidR="00A62215" w:rsidRDefault="006C360F">
      <w:pPr>
        <w:jc w:val="center"/>
        <w:rPr>
          <w:rFonts w:cstheme="minorHAnsi"/>
          <w:b/>
          <w:bCs/>
          <w:sz w:val="24"/>
          <w:szCs w:val="24"/>
        </w:rPr>
      </w:pPr>
      <w:r>
        <w:rPr>
          <w:rFonts w:cstheme="minorHAnsi"/>
          <w:b/>
          <w:bCs/>
          <w:sz w:val="24"/>
          <w:szCs w:val="24"/>
        </w:rPr>
        <w:t>ARTÍCULO III</w:t>
      </w:r>
    </w:p>
    <w:p w:rsidR="00A62215" w:rsidRDefault="006C360F">
      <w:pPr>
        <w:jc w:val="both"/>
        <w:rPr>
          <w:rFonts w:cstheme="minorHAnsi"/>
          <w:b/>
          <w:bCs/>
          <w:sz w:val="24"/>
          <w:szCs w:val="24"/>
        </w:rPr>
      </w:pPr>
      <w:r>
        <w:rPr>
          <w:rFonts w:cstheme="minorHAnsi"/>
          <w:b/>
          <w:bCs/>
          <w:sz w:val="24"/>
          <w:szCs w:val="24"/>
        </w:rPr>
        <w:t xml:space="preserve">Tema: </w:t>
      </w:r>
      <w:r>
        <w:rPr>
          <w:rFonts w:cstheme="minorHAnsi"/>
          <w:b/>
          <w:bCs/>
          <w:sz w:val="24"/>
          <w:szCs w:val="24"/>
          <w:u w:val="single"/>
        </w:rPr>
        <w:t>Seguimiento y Ejecución del Informe de Auditoría No. 1515-115-IAC-SAEE-2020. Evaluación de la Política Institucional de Acceso a la Justicia de Personas Adultas Mayores</w:t>
      </w:r>
      <w:r>
        <w:rPr>
          <w:rFonts w:cstheme="minorHAnsi"/>
          <w:b/>
          <w:bCs/>
          <w:sz w:val="24"/>
          <w:szCs w:val="24"/>
        </w:rPr>
        <w:t xml:space="preserve">. </w:t>
      </w:r>
      <w:r>
        <w:fldChar w:fldCharType="begin"/>
      </w:r>
      <w:r>
        <w:rPr>
          <w:rFonts w:cs="Calibri"/>
          <w:b/>
          <w:bCs/>
          <w:sz w:val="24"/>
          <w:szCs w:val="24"/>
        </w:rPr>
        <w:instrText>&lt;xsl:value-of select="TmData/PROJECT/PROFILE/STAFFTYPE"/&gt;</w:instrText>
      </w:r>
      <w:r>
        <w:rPr>
          <w:rFonts w:cs="Calibri"/>
          <w:b/>
          <w:bCs/>
          <w:sz w:val="24"/>
          <w:szCs w:val="24"/>
        </w:rPr>
        <w:fldChar w:fldCharType="separate"/>
      </w:r>
      <w:r>
        <w:rPr>
          <w:rFonts w:cstheme="minorHAnsi"/>
          <w:b/>
          <w:bCs/>
          <w:sz w:val="24"/>
          <w:szCs w:val="24"/>
        </w:rPr>
        <w:t>«Staff_type»</w:t>
      </w:r>
      <w:r>
        <w:rPr>
          <w:rFonts w:cs="Calibri"/>
          <w:b/>
          <w:bCs/>
          <w:sz w:val="24"/>
          <w:szCs w:val="24"/>
        </w:rPr>
        <w:fldChar w:fldCharType="end"/>
      </w:r>
    </w:p>
    <w:p w:rsidR="00A62215" w:rsidRDefault="006C360F">
      <w:pPr>
        <w:rPr>
          <w:rFonts w:cstheme="minorHAnsi"/>
          <w:sz w:val="24"/>
          <w:szCs w:val="24"/>
        </w:rPr>
      </w:pPr>
      <w:r>
        <w:object w:dxaOrig="1376" w:dyaOrig="893" w14:anchorId="4B0B4F79">
          <v:shape id="ole_rId5" o:spid="_x0000_i1025" style="width:75.75pt;height:48.75pt" coordsize="" o:spt="100" adj="0,,0" path="" stroked="f">
            <v:stroke joinstyle="miter"/>
            <v:imagedata r:id="rId9" o:title=""/>
            <v:formulas/>
            <v:path o:connecttype="segments"/>
          </v:shape>
          <o:OLEObject Type="Embed" ProgID="Word.Document.12" ShapeID="ole_rId5" DrawAspect="Icon" ObjectID="_1693985289" r:id="rId10"/>
        </w:object>
      </w:r>
    </w:p>
    <w:p w:rsidR="00A62215" w:rsidRDefault="006C360F">
      <w:pPr>
        <w:rPr>
          <w:rFonts w:cstheme="minorHAnsi"/>
          <w:sz w:val="24"/>
          <w:szCs w:val="24"/>
        </w:rPr>
      </w:pPr>
      <w:r>
        <w:rPr>
          <w:rFonts w:cstheme="minorHAnsi"/>
          <w:sz w:val="24"/>
          <w:szCs w:val="24"/>
        </w:rPr>
        <w:t xml:space="preserve">A) Redacción propuesta de Circular que abarquen los puntos del informe en el apartado de recomendaciones. Para ejecutar en el Primer Trimestre. </w:t>
      </w:r>
    </w:p>
    <w:p w:rsidR="00A62215" w:rsidRDefault="006C360F">
      <w:pPr>
        <w:rPr>
          <w:rFonts w:cstheme="minorHAnsi"/>
          <w:sz w:val="24"/>
          <w:szCs w:val="24"/>
        </w:rPr>
      </w:pPr>
      <w:r>
        <w:rPr>
          <w:rFonts w:cstheme="minorHAnsi"/>
          <w:sz w:val="24"/>
          <w:szCs w:val="24"/>
        </w:rPr>
        <w:t xml:space="preserve">B) Revisión comparativa del carnet de personas adultas mayores, contra carnet de Sala Segunda y Sala Constitucional. </w:t>
      </w:r>
    </w:p>
    <w:p w:rsidR="00A62215" w:rsidRDefault="00A62215">
      <w:pPr>
        <w:rPr>
          <w:rFonts w:cstheme="minorHAnsi"/>
          <w:sz w:val="24"/>
          <w:szCs w:val="24"/>
        </w:rPr>
      </w:pPr>
    </w:p>
    <w:p w:rsidR="00A62215" w:rsidRDefault="006C360F">
      <w:pPr>
        <w:tabs>
          <w:tab w:val="left" w:pos="709"/>
        </w:tabs>
        <w:jc w:val="both"/>
        <w:rPr>
          <w:rFonts w:cstheme="minorHAnsi"/>
          <w:b/>
          <w:bCs/>
          <w:sz w:val="24"/>
          <w:szCs w:val="24"/>
          <w:u w:val="single"/>
        </w:rPr>
      </w:pPr>
      <w:r>
        <w:object w:dxaOrig="1376" w:dyaOrig="893" w14:anchorId="0BF4A210">
          <v:shape id="ole_rId7" o:spid="_x0000_i1026" style="width:75.75pt;height:48.75pt" coordsize="" o:spt="100" adj="0,,0" path="" stroked="f">
            <v:stroke joinstyle="miter"/>
            <v:imagedata r:id="rId11" o:title=""/>
            <v:formulas/>
            <v:path o:connecttype="segments"/>
          </v:shape>
          <o:OLEObject Type="Embed" ProgID="AcroExch.Document.DC" ShapeID="ole_rId7" DrawAspect="Icon" ObjectID="_1693985290" r:id="rId12"/>
        </w:object>
      </w:r>
      <w:r>
        <w:object w:dxaOrig="1376" w:dyaOrig="893" w14:anchorId="42F9EFC4">
          <v:shape id="ole_rId9" o:spid="_x0000_i1027" style="width:75.75pt;height:48.75pt" coordsize="" o:spt="100" adj="0,,0" path="" stroked="f">
            <v:stroke joinstyle="miter"/>
            <v:imagedata r:id="rId13" o:title=""/>
            <v:formulas/>
            <v:path o:connecttype="segments"/>
          </v:shape>
          <o:OLEObject Type="Embed" ProgID="AcroExch.Document.DC" ShapeID="ole_rId9" DrawAspect="Icon" ObjectID="_1693985291" r:id="rId14"/>
        </w:object>
      </w:r>
    </w:p>
    <w:p w:rsidR="00A62215" w:rsidRDefault="00A62215">
      <w:pPr>
        <w:tabs>
          <w:tab w:val="left" w:pos="709"/>
        </w:tabs>
        <w:jc w:val="both"/>
        <w:rPr>
          <w:rFonts w:cstheme="minorHAnsi"/>
          <w:b/>
          <w:bCs/>
          <w:sz w:val="24"/>
          <w:szCs w:val="24"/>
        </w:rPr>
      </w:pPr>
    </w:p>
    <w:p w:rsidR="00A62215" w:rsidRDefault="006C360F">
      <w:pPr>
        <w:tabs>
          <w:tab w:val="left" w:pos="709"/>
        </w:tabs>
        <w:jc w:val="both"/>
        <w:rPr>
          <w:rFonts w:cstheme="minorHAnsi"/>
          <w:b/>
          <w:bCs/>
          <w:sz w:val="24"/>
          <w:szCs w:val="24"/>
        </w:rPr>
      </w:pPr>
      <w:r>
        <w:rPr>
          <w:rFonts w:cstheme="minorHAnsi"/>
          <w:sz w:val="24"/>
          <w:szCs w:val="24"/>
        </w:rPr>
        <w:t>Expone la Coordindora lo correspondiente al punto B, acerca del carnet para persona mayor. Considera que coincide con la indicación de la Auditoría, en relación con uniformar lo referente a la identificación de la persona mayor usuaria. Plantea el hallazgo de la creación de separadores en la Sala Segunda y en la Sala Constitucional.</w:t>
      </w:r>
    </w:p>
    <w:p w:rsidR="00A62215" w:rsidRDefault="00A62215">
      <w:pPr>
        <w:tabs>
          <w:tab w:val="left" w:pos="709"/>
        </w:tabs>
        <w:jc w:val="both"/>
        <w:rPr>
          <w:rFonts w:cstheme="minorHAnsi"/>
          <w:b/>
          <w:bCs/>
          <w:sz w:val="24"/>
          <w:szCs w:val="24"/>
        </w:rPr>
      </w:pPr>
    </w:p>
    <w:p w:rsidR="00A62215" w:rsidRDefault="006C360F">
      <w:pPr>
        <w:tabs>
          <w:tab w:val="left" w:pos="709"/>
        </w:tabs>
        <w:jc w:val="both"/>
        <w:rPr>
          <w:rFonts w:cstheme="minorHAnsi"/>
          <w:b/>
          <w:bCs/>
          <w:sz w:val="24"/>
          <w:szCs w:val="24"/>
        </w:rPr>
      </w:pPr>
      <w:r>
        <w:rPr>
          <w:rFonts w:cstheme="minorHAnsi"/>
          <w:b/>
          <w:bCs/>
          <w:sz w:val="24"/>
          <w:szCs w:val="24"/>
        </w:rPr>
        <w:t xml:space="preserve">SE ACUERDA: </w:t>
      </w:r>
    </w:p>
    <w:p w:rsidR="00A62215" w:rsidRDefault="006C360F">
      <w:pPr>
        <w:tabs>
          <w:tab w:val="left" w:pos="709"/>
        </w:tabs>
        <w:jc w:val="both"/>
        <w:rPr>
          <w:rFonts w:cstheme="minorHAnsi"/>
          <w:sz w:val="24"/>
          <w:szCs w:val="24"/>
        </w:rPr>
      </w:pPr>
      <w:r>
        <w:rPr>
          <w:rFonts w:cstheme="minorHAnsi"/>
          <w:sz w:val="24"/>
          <w:szCs w:val="24"/>
        </w:rPr>
        <w:t>1. Se define que el carnet es el adecuado y responde a las Políticas Institucionales definidas. 2. Solicitar al Consejo Superior recordar a la población judicial la obligatoriedad de cumplir con los lineamientos establecidos dentro de las Políticas Institucionales. 3. Poner en conocimiento de la Auditoría Judicial acerca de este acuerdo para lo que corresponda y copia de lo solicitado al Consejo Superior.  4. La Unidad de Acceso a la Justicia remitirá las circulares emitidas al respecto de este tema. 5. La Unidad de Acceso a la Justicia coordinará con Prensa y Comunicación para reiterar cápsulas informativas en relación con este asunto.</w:t>
      </w:r>
    </w:p>
    <w:p w:rsidR="00A62215" w:rsidRDefault="00A62215">
      <w:pPr>
        <w:tabs>
          <w:tab w:val="left" w:pos="709"/>
        </w:tabs>
        <w:jc w:val="both"/>
        <w:rPr>
          <w:rFonts w:cstheme="minorHAnsi"/>
          <w:sz w:val="24"/>
          <w:szCs w:val="24"/>
        </w:rPr>
      </w:pPr>
    </w:p>
    <w:p w:rsidR="00A62215" w:rsidRDefault="00A62215">
      <w:pPr>
        <w:tabs>
          <w:tab w:val="left" w:pos="709"/>
        </w:tabs>
        <w:jc w:val="both"/>
        <w:rPr>
          <w:rFonts w:cstheme="minorHAnsi"/>
          <w:sz w:val="24"/>
          <w:szCs w:val="24"/>
        </w:rPr>
      </w:pPr>
    </w:p>
    <w:p w:rsidR="00A62215" w:rsidRDefault="006C360F">
      <w:pPr>
        <w:jc w:val="center"/>
        <w:rPr>
          <w:rFonts w:cstheme="minorHAnsi"/>
          <w:b/>
          <w:bCs/>
          <w:sz w:val="24"/>
          <w:szCs w:val="24"/>
          <w:u w:val="single"/>
        </w:rPr>
      </w:pPr>
      <w:r>
        <w:rPr>
          <w:rFonts w:cstheme="minorHAnsi"/>
          <w:b/>
          <w:bCs/>
          <w:sz w:val="24"/>
          <w:szCs w:val="24"/>
          <w:u w:val="single"/>
        </w:rPr>
        <w:t>ARTÍCULO IV</w:t>
      </w:r>
    </w:p>
    <w:p w:rsidR="00A62215" w:rsidRDefault="006C360F">
      <w:pPr>
        <w:jc w:val="both"/>
        <w:rPr>
          <w:rFonts w:cstheme="minorHAnsi"/>
          <w:sz w:val="24"/>
          <w:szCs w:val="24"/>
        </w:rPr>
      </w:pPr>
      <w:r>
        <w:rPr>
          <w:rFonts w:cstheme="minorHAnsi"/>
          <w:b/>
          <w:bCs/>
          <w:sz w:val="24"/>
          <w:szCs w:val="24"/>
        </w:rPr>
        <w:t>Tema:</w:t>
      </w:r>
      <w:r>
        <w:rPr>
          <w:rFonts w:cstheme="minorHAnsi"/>
          <w:sz w:val="24"/>
          <w:szCs w:val="24"/>
        </w:rPr>
        <w:t xml:space="preserve"> </w:t>
      </w:r>
      <w:r>
        <w:rPr>
          <w:rFonts w:cstheme="minorHAnsi"/>
          <w:b/>
          <w:bCs/>
          <w:sz w:val="24"/>
          <w:szCs w:val="24"/>
          <w:u w:val="single"/>
        </w:rPr>
        <w:t>Avances en la propuesta de Protocolo para el Acceso a la Justicia de Personas Adultas Mayores</w:t>
      </w:r>
      <w:r>
        <w:rPr>
          <w:rFonts w:cstheme="minorHAnsi"/>
          <w:sz w:val="24"/>
          <w:szCs w:val="24"/>
        </w:rPr>
        <w:t xml:space="preserve">. </w:t>
      </w:r>
    </w:p>
    <w:p w:rsidR="00A62215" w:rsidRDefault="00A62215">
      <w:pPr>
        <w:jc w:val="both"/>
        <w:rPr>
          <w:rFonts w:cstheme="minorHAnsi"/>
          <w:sz w:val="24"/>
          <w:szCs w:val="24"/>
        </w:rPr>
      </w:pPr>
    </w:p>
    <w:p w:rsidR="00A62215" w:rsidRDefault="006C360F">
      <w:pPr>
        <w:jc w:val="both"/>
        <w:rPr>
          <w:rFonts w:cstheme="minorHAnsi"/>
          <w:sz w:val="24"/>
          <w:szCs w:val="24"/>
        </w:rPr>
      </w:pPr>
      <w:r>
        <w:rPr>
          <w:rFonts w:cstheme="minorHAnsi"/>
          <w:sz w:val="24"/>
          <w:szCs w:val="24"/>
        </w:rPr>
        <w:t>La señora Mayela Pérez y el señor Rodolfo Brenes presentan de manera general el documento trabajado.  Consideran que es necesario completar el marco jurídico internacional.</w:t>
      </w:r>
    </w:p>
    <w:p w:rsidR="00A62215" w:rsidRDefault="00A62215">
      <w:pPr>
        <w:jc w:val="both"/>
        <w:rPr>
          <w:rFonts w:cstheme="minorHAnsi"/>
          <w:b/>
          <w:bCs/>
          <w:sz w:val="24"/>
          <w:szCs w:val="24"/>
        </w:rPr>
      </w:pPr>
    </w:p>
    <w:p w:rsidR="00A62215" w:rsidRDefault="006C360F">
      <w:pPr>
        <w:jc w:val="both"/>
        <w:rPr>
          <w:rFonts w:cstheme="minorHAnsi"/>
          <w:b/>
          <w:bCs/>
          <w:sz w:val="24"/>
          <w:szCs w:val="24"/>
        </w:rPr>
      </w:pPr>
      <w:r>
        <w:rPr>
          <w:rFonts w:cstheme="minorHAnsi"/>
          <w:b/>
          <w:bCs/>
          <w:sz w:val="24"/>
          <w:szCs w:val="24"/>
        </w:rPr>
        <w:t>SE ACUERDA:</w:t>
      </w:r>
    </w:p>
    <w:p w:rsidR="00A62215" w:rsidRDefault="006C360F">
      <w:pPr>
        <w:jc w:val="both"/>
        <w:rPr>
          <w:rFonts w:cstheme="minorHAnsi"/>
          <w:b/>
          <w:bCs/>
          <w:sz w:val="24"/>
          <w:szCs w:val="24"/>
          <w:u w:val="single"/>
        </w:rPr>
      </w:pPr>
      <w:r>
        <w:rPr>
          <w:rFonts w:cstheme="minorHAnsi"/>
          <w:sz w:val="24"/>
          <w:szCs w:val="24"/>
        </w:rPr>
        <w:t>1. La señora Mayela Pérez Delgado y el señor Rodolfo Brenes Blanco remitirán la propuesta de protocolo en un mes (18 de marzo de 2021), con el fin de que sea realimentado por las personas integrantes e incluya contenidos interdisciplinarios. La Unidad de Acceso a la Justicia se encargará de hacerlo llegar a las personas integrantes de esta subcomisión, para que en un plazo de cuatro meses se realicen las aportaciones que se consideren convenientes y retomar el tema en la sesión de junio.</w:t>
      </w:r>
    </w:p>
    <w:p w:rsidR="00A62215" w:rsidRDefault="00A62215">
      <w:pPr>
        <w:jc w:val="both"/>
        <w:rPr>
          <w:rFonts w:cstheme="minorHAnsi"/>
          <w:b/>
          <w:bCs/>
          <w:sz w:val="24"/>
          <w:szCs w:val="24"/>
          <w:u w:val="single"/>
        </w:rPr>
      </w:pPr>
    </w:p>
    <w:p w:rsidR="00A62215" w:rsidRDefault="006C360F">
      <w:pPr>
        <w:jc w:val="center"/>
        <w:rPr>
          <w:rFonts w:cstheme="minorHAnsi"/>
          <w:b/>
          <w:bCs/>
          <w:sz w:val="24"/>
          <w:szCs w:val="24"/>
          <w:u w:val="single"/>
        </w:rPr>
      </w:pPr>
      <w:r>
        <w:rPr>
          <w:rFonts w:cstheme="minorHAnsi"/>
          <w:b/>
          <w:bCs/>
          <w:sz w:val="24"/>
          <w:szCs w:val="24"/>
          <w:u w:val="single"/>
        </w:rPr>
        <w:t>ARTICULO V</w:t>
      </w:r>
    </w:p>
    <w:p w:rsidR="00A62215" w:rsidRDefault="006C360F">
      <w:pPr>
        <w:jc w:val="both"/>
        <w:rPr>
          <w:rFonts w:cstheme="minorHAnsi"/>
          <w:sz w:val="24"/>
          <w:szCs w:val="24"/>
        </w:rPr>
      </w:pPr>
      <w:r>
        <w:rPr>
          <w:rFonts w:cstheme="minorHAnsi"/>
          <w:b/>
          <w:bCs/>
          <w:sz w:val="24"/>
          <w:szCs w:val="24"/>
        </w:rPr>
        <w:t>Tema:</w:t>
      </w:r>
      <w:r>
        <w:rPr>
          <w:rFonts w:cstheme="minorHAnsi"/>
          <w:sz w:val="24"/>
          <w:szCs w:val="24"/>
        </w:rPr>
        <w:t xml:space="preserve"> </w:t>
      </w:r>
      <w:r>
        <w:rPr>
          <w:rFonts w:cstheme="minorHAnsi"/>
          <w:b/>
          <w:bCs/>
          <w:sz w:val="24"/>
          <w:szCs w:val="24"/>
          <w:u w:val="single"/>
        </w:rPr>
        <w:t>Oficio No. Solicitud de Informe Subcomisiones Gestiones para revisar y actualizar las Políticas Institucionales de Acceso, conforme la Metodología de MIDEPLAN aprobada por Corte Plena</w:t>
      </w:r>
      <w:r>
        <w:rPr>
          <w:rFonts w:cstheme="minorHAnsi"/>
          <w:sz w:val="24"/>
          <w:szCs w:val="24"/>
        </w:rPr>
        <w:t>.</w:t>
      </w:r>
      <w:bookmarkStart w:id="0" w:name="_MON_1673347925"/>
      <w:bookmarkEnd w:id="0"/>
    </w:p>
    <w:p w:rsidR="00A62215" w:rsidRDefault="006C360F">
      <w:pPr>
        <w:jc w:val="both"/>
        <w:rPr>
          <w:rFonts w:cstheme="minorHAnsi"/>
          <w:sz w:val="24"/>
          <w:szCs w:val="24"/>
        </w:rPr>
      </w:pPr>
      <w:r>
        <w:object w:dxaOrig="1376" w:dyaOrig="893" w14:anchorId="097015A3">
          <v:shape id="ole_rId11" o:spid="_x0000_i1028" style="width:75.75pt;height:48.75pt" coordsize="" o:spt="100" adj="0,,0" path="" stroked="f">
            <v:stroke joinstyle="miter"/>
            <v:imagedata r:id="rId15" o:title=""/>
            <v:formulas/>
            <v:path o:connecttype="segments"/>
          </v:shape>
          <o:OLEObject Type="Embed" ProgID="Word.Document.12" ShapeID="ole_rId11" DrawAspect="Icon" ObjectID="_1693985292" r:id="rId16"/>
        </w:object>
      </w:r>
    </w:p>
    <w:p w:rsidR="00A62215" w:rsidRDefault="00A62215">
      <w:pPr>
        <w:jc w:val="both"/>
        <w:rPr>
          <w:rFonts w:cstheme="minorHAnsi"/>
          <w:sz w:val="24"/>
          <w:szCs w:val="24"/>
        </w:rPr>
      </w:pPr>
    </w:p>
    <w:p w:rsidR="00A62215" w:rsidRDefault="006C360F">
      <w:pPr>
        <w:jc w:val="both"/>
        <w:rPr>
          <w:rFonts w:cstheme="minorHAnsi"/>
          <w:b/>
          <w:bCs/>
          <w:sz w:val="24"/>
          <w:szCs w:val="24"/>
        </w:rPr>
      </w:pPr>
      <w:r>
        <w:rPr>
          <w:rFonts w:cstheme="minorHAnsi"/>
          <w:b/>
          <w:bCs/>
          <w:sz w:val="24"/>
          <w:szCs w:val="24"/>
        </w:rPr>
        <w:t>SE ACUERDA:</w:t>
      </w:r>
    </w:p>
    <w:p w:rsidR="00A62215" w:rsidRDefault="006C360F">
      <w:pPr>
        <w:jc w:val="both"/>
        <w:rPr>
          <w:rFonts w:cstheme="minorHAnsi"/>
          <w:b/>
          <w:bCs/>
          <w:sz w:val="24"/>
          <w:szCs w:val="24"/>
          <w:u w:val="single"/>
        </w:rPr>
      </w:pPr>
      <w:r>
        <w:rPr>
          <w:rFonts w:cstheme="minorHAnsi"/>
          <w:sz w:val="24"/>
          <w:szCs w:val="24"/>
        </w:rPr>
        <w:t>1.  Se responderá a la Unidad de Acceso a la Justicia en términos de que esta Subcomisión para el Acceso a la Justicia de Personas Mayores no conocía acerca de estas disposiciones y no se han emprendido acciones dirigidas a revisar, construir o actualizar las políticas de acceso a la justicia vigentes, por lo que se procederá a coordinará con la señora Flor Murillo del Ministerio de Salud, quien se propone para favorecer un proceso de capacitación que se espera pueda llevarse a cabo en la sesión de abril, con la persona de MIDEPLAN encargada de desarrollar lo referente al tema de envejecimiento.</w:t>
      </w:r>
    </w:p>
    <w:p w:rsidR="00A62215" w:rsidRDefault="006C360F">
      <w:pPr>
        <w:jc w:val="center"/>
        <w:rPr>
          <w:rFonts w:cstheme="minorHAnsi"/>
          <w:b/>
          <w:bCs/>
          <w:sz w:val="24"/>
          <w:szCs w:val="24"/>
        </w:rPr>
      </w:pPr>
      <w:r>
        <w:rPr>
          <w:rFonts w:cstheme="minorHAnsi"/>
          <w:b/>
          <w:bCs/>
          <w:sz w:val="24"/>
          <w:szCs w:val="24"/>
        </w:rPr>
        <w:t>Artículo VI</w:t>
      </w:r>
    </w:p>
    <w:p w:rsidR="00A62215" w:rsidRDefault="006C360F">
      <w:pPr>
        <w:jc w:val="both"/>
        <w:rPr>
          <w:rFonts w:cstheme="minorHAnsi"/>
          <w:sz w:val="24"/>
          <w:szCs w:val="24"/>
        </w:rPr>
      </w:pPr>
      <w:r>
        <w:rPr>
          <w:rFonts w:cstheme="minorHAnsi"/>
          <w:b/>
          <w:bCs/>
          <w:sz w:val="24"/>
          <w:szCs w:val="24"/>
        </w:rPr>
        <w:t xml:space="preserve">Tema: </w:t>
      </w:r>
      <w:r>
        <w:rPr>
          <w:rFonts w:cstheme="minorHAnsi"/>
          <w:b/>
          <w:bCs/>
          <w:sz w:val="24"/>
          <w:szCs w:val="24"/>
          <w:u w:val="single"/>
        </w:rPr>
        <w:t>Implementación del SEVRI Comisión y Subcomisiones de Acceso a la Justicia</w:t>
      </w:r>
      <w:r>
        <w:rPr>
          <w:rFonts w:cstheme="minorHAnsi"/>
          <w:b/>
          <w:bCs/>
          <w:sz w:val="24"/>
          <w:szCs w:val="24"/>
        </w:rPr>
        <w:t>.</w:t>
      </w:r>
      <w:bookmarkStart w:id="1" w:name="_MON_1673348076"/>
      <w:bookmarkEnd w:id="1"/>
    </w:p>
    <w:p w:rsidR="00A62215" w:rsidRDefault="006C360F">
      <w:pPr>
        <w:jc w:val="both"/>
        <w:rPr>
          <w:rFonts w:cstheme="minorHAnsi"/>
          <w:b/>
          <w:bCs/>
          <w:sz w:val="24"/>
          <w:szCs w:val="24"/>
          <w:u w:val="single"/>
        </w:rPr>
      </w:pPr>
      <w:r>
        <w:object w:dxaOrig="1376" w:dyaOrig="893" w14:anchorId="2BFAC31E">
          <v:shape id="ole_rId13" o:spid="_x0000_i1029" style="width:75.75pt;height:48.75pt" coordsize="" o:spt="100" adj="0,,0" path="" stroked="f">
            <v:stroke joinstyle="miter"/>
            <v:imagedata r:id="rId17" o:title=""/>
            <v:formulas/>
            <v:path o:connecttype="segments"/>
          </v:shape>
          <o:OLEObject Type="Embed" ProgID="Word.Document.12" ShapeID="ole_rId13" DrawAspect="Icon" ObjectID="_1693985293" r:id="rId18"/>
        </w:object>
      </w:r>
    </w:p>
    <w:p w:rsidR="00A62215" w:rsidRDefault="00A62215">
      <w:pPr>
        <w:jc w:val="both"/>
        <w:rPr>
          <w:rFonts w:cstheme="minorHAnsi"/>
          <w:b/>
          <w:bCs/>
          <w:sz w:val="24"/>
          <w:szCs w:val="24"/>
          <w:u w:val="single"/>
        </w:rPr>
      </w:pPr>
    </w:p>
    <w:p w:rsidR="00A62215" w:rsidRDefault="006C360F">
      <w:pPr>
        <w:jc w:val="both"/>
        <w:rPr>
          <w:rFonts w:cstheme="minorHAnsi"/>
          <w:b/>
          <w:bCs/>
          <w:sz w:val="24"/>
          <w:szCs w:val="24"/>
        </w:rPr>
      </w:pPr>
      <w:r>
        <w:rPr>
          <w:rFonts w:cstheme="minorHAnsi"/>
          <w:b/>
          <w:bCs/>
          <w:sz w:val="24"/>
          <w:szCs w:val="24"/>
        </w:rPr>
        <w:t xml:space="preserve">SE ACUERDA: </w:t>
      </w:r>
    </w:p>
    <w:p w:rsidR="00A62215" w:rsidRDefault="006C360F">
      <w:pPr>
        <w:jc w:val="both"/>
        <w:rPr>
          <w:rFonts w:cstheme="minorHAnsi"/>
          <w:b/>
          <w:bCs/>
          <w:sz w:val="24"/>
          <w:szCs w:val="24"/>
          <w:u w:val="single"/>
        </w:rPr>
      </w:pPr>
      <w:r>
        <w:rPr>
          <w:rFonts w:cstheme="minorHAnsi"/>
          <w:sz w:val="24"/>
          <w:szCs w:val="24"/>
        </w:rPr>
        <w:t>1. Se toma nota del oficio CACC-084-2021. 2. Se solicitará una capacitación a la Unidad de Control Interno para recibir la capacitación respectiva.</w:t>
      </w:r>
    </w:p>
    <w:p w:rsidR="00A62215" w:rsidRDefault="00A62215">
      <w:pPr>
        <w:jc w:val="both"/>
        <w:rPr>
          <w:rFonts w:cstheme="minorHAnsi"/>
          <w:b/>
          <w:bCs/>
          <w:sz w:val="24"/>
          <w:szCs w:val="24"/>
          <w:u w:val="single"/>
        </w:rPr>
      </w:pPr>
    </w:p>
    <w:p w:rsidR="00A62215" w:rsidRDefault="006C360F">
      <w:pPr>
        <w:jc w:val="center"/>
        <w:rPr>
          <w:rFonts w:cstheme="minorHAnsi"/>
          <w:b/>
          <w:bCs/>
          <w:sz w:val="24"/>
          <w:szCs w:val="24"/>
        </w:rPr>
      </w:pPr>
      <w:r>
        <w:rPr>
          <w:rFonts w:cstheme="minorHAnsi"/>
          <w:b/>
          <w:bCs/>
          <w:sz w:val="24"/>
          <w:szCs w:val="24"/>
        </w:rPr>
        <w:t>ARTÍCULO VII</w:t>
      </w:r>
    </w:p>
    <w:p w:rsidR="00A62215" w:rsidRDefault="006C360F">
      <w:pPr>
        <w:rPr>
          <w:rFonts w:cstheme="minorHAnsi"/>
          <w:sz w:val="24"/>
          <w:szCs w:val="24"/>
        </w:rPr>
      </w:pPr>
      <w:r>
        <w:rPr>
          <w:rFonts w:cstheme="minorHAnsi"/>
          <w:b/>
          <w:bCs/>
          <w:sz w:val="24"/>
          <w:szCs w:val="24"/>
        </w:rPr>
        <w:t xml:space="preserve">Tema: </w:t>
      </w:r>
      <w:r>
        <w:rPr>
          <w:rFonts w:cstheme="minorHAnsi"/>
          <w:b/>
          <w:bCs/>
          <w:sz w:val="24"/>
          <w:szCs w:val="24"/>
          <w:u w:val="single"/>
        </w:rPr>
        <w:t>Despersonalización de Actas. Datos Sensibles</w:t>
      </w:r>
      <w:r>
        <w:rPr>
          <w:rFonts w:cstheme="minorHAnsi"/>
          <w:b/>
          <w:bCs/>
          <w:sz w:val="24"/>
          <w:szCs w:val="24"/>
        </w:rPr>
        <w:t>.</w:t>
      </w:r>
      <w:bookmarkStart w:id="2" w:name="_MON_1673348170"/>
      <w:bookmarkEnd w:id="2"/>
    </w:p>
    <w:p w:rsidR="00A62215" w:rsidRDefault="006C360F">
      <w:pPr>
        <w:rPr>
          <w:b/>
          <w:bCs/>
          <w:u w:val="single"/>
        </w:rPr>
      </w:pPr>
      <w:r>
        <w:object w:dxaOrig="1376" w:dyaOrig="893" w14:anchorId="4E1C1284">
          <v:shape id="ole_rId15" o:spid="_x0000_i1030" style="width:75.75pt;height:48.75pt" coordsize="" o:spt="100" adj="0,,0" path="" stroked="f">
            <v:stroke joinstyle="miter"/>
            <v:imagedata r:id="rId15" o:title=""/>
            <v:formulas/>
            <v:path o:connecttype="segments"/>
          </v:shape>
          <o:OLEObject Type="Embed" ProgID="Word.Document.12" ShapeID="ole_rId15" DrawAspect="Icon" ObjectID="_1693985294" r:id="rId19"/>
        </w:object>
      </w:r>
    </w:p>
    <w:p w:rsidR="00A62215" w:rsidRDefault="00A62215">
      <w:pPr>
        <w:jc w:val="both"/>
        <w:rPr>
          <w:b/>
          <w:bCs/>
          <w:sz w:val="24"/>
          <w:szCs w:val="24"/>
        </w:rPr>
      </w:pPr>
    </w:p>
    <w:p w:rsidR="00A62215" w:rsidRDefault="006C360F">
      <w:pPr>
        <w:jc w:val="both"/>
        <w:rPr>
          <w:b/>
          <w:bCs/>
          <w:sz w:val="24"/>
          <w:szCs w:val="24"/>
        </w:rPr>
      </w:pPr>
      <w:r>
        <w:rPr>
          <w:b/>
          <w:bCs/>
          <w:sz w:val="24"/>
          <w:szCs w:val="24"/>
        </w:rPr>
        <w:t>SE ACUERDA:</w:t>
      </w:r>
    </w:p>
    <w:p w:rsidR="00A62215" w:rsidRDefault="006C360F">
      <w:pPr>
        <w:jc w:val="both"/>
        <w:rPr>
          <w:b/>
          <w:bCs/>
          <w:sz w:val="24"/>
          <w:szCs w:val="24"/>
        </w:rPr>
      </w:pPr>
      <w:r>
        <w:rPr>
          <w:sz w:val="24"/>
          <w:szCs w:val="24"/>
        </w:rPr>
        <w:t>Se toma nota de lo planteado por la Unidad de Acceso a la Justicia y se determina que a partir de este momento se efectuará un proceso de despersonalización de las actas de la Subcomisión para el Acceso a la Justicia de Personas Adultas Mayores antes de publicarlas en el sitio web de la Comisión de Acceso a la Justicia.</w:t>
      </w:r>
    </w:p>
    <w:p w:rsidR="00A62215" w:rsidRDefault="00A62215">
      <w:pPr>
        <w:jc w:val="both"/>
        <w:rPr>
          <w:b/>
          <w:bCs/>
          <w:sz w:val="24"/>
          <w:szCs w:val="24"/>
        </w:rPr>
      </w:pPr>
    </w:p>
    <w:p w:rsidR="00A62215" w:rsidRDefault="006C360F">
      <w:pPr>
        <w:jc w:val="center"/>
        <w:rPr>
          <w:b/>
          <w:bCs/>
          <w:sz w:val="24"/>
          <w:szCs w:val="24"/>
        </w:rPr>
      </w:pPr>
      <w:r>
        <w:rPr>
          <w:b/>
          <w:bCs/>
          <w:sz w:val="24"/>
          <w:szCs w:val="24"/>
        </w:rPr>
        <w:t>ARTÍCULO VIII</w:t>
      </w:r>
    </w:p>
    <w:p w:rsidR="00A62215" w:rsidRDefault="006C360F">
      <w:pPr>
        <w:rPr>
          <w:rFonts w:eastAsia="Times New Roman"/>
          <w:b/>
          <w:bCs/>
          <w:color w:val="000000"/>
          <w:sz w:val="24"/>
          <w:szCs w:val="24"/>
          <w:lang w:eastAsia="es-CR"/>
        </w:rPr>
      </w:pPr>
      <w:r>
        <w:rPr>
          <w:rFonts w:eastAsia="Times New Roman"/>
          <w:b/>
          <w:bCs/>
          <w:color w:val="000000"/>
          <w:sz w:val="24"/>
          <w:szCs w:val="24"/>
          <w:lang w:eastAsia="es-CR"/>
        </w:rPr>
        <w:t xml:space="preserve">Tema: </w:t>
      </w:r>
      <w:r>
        <w:rPr>
          <w:rFonts w:eastAsia="Times New Roman"/>
          <w:b/>
          <w:bCs/>
          <w:color w:val="000000"/>
          <w:sz w:val="24"/>
          <w:szCs w:val="24"/>
          <w:u w:val="single"/>
          <w:lang w:eastAsia="es-CR"/>
        </w:rPr>
        <w:t>Construcción de la Política de Persecución Penal con especial énfasis en personas con discapacidad y personas adultas mayores</w:t>
      </w:r>
      <w:r>
        <w:rPr>
          <w:rFonts w:eastAsia="Times New Roman"/>
          <w:b/>
          <w:bCs/>
          <w:color w:val="000000"/>
          <w:sz w:val="24"/>
          <w:szCs w:val="24"/>
          <w:lang w:eastAsia="es-CR"/>
        </w:rPr>
        <w:t>.</w:t>
      </w:r>
    </w:p>
    <w:p w:rsidR="00A62215" w:rsidRDefault="00A62215">
      <w:pPr>
        <w:rPr>
          <w:rFonts w:eastAsia="Times New Roman"/>
          <w:b/>
          <w:bCs/>
          <w:color w:val="000000"/>
          <w:sz w:val="24"/>
          <w:szCs w:val="24"/>
          <w:lang w:eastAsia="es-CR"/>
        </w:rPr>
      </w:pPr>
    </w:p>
    <w:p w:rsidR="00A62215" w:rsidRDefault="006C360F">
      <w:pPr>
        <w:jc w:val="both"/>
        <w:rPr>
          <w:b/>
          <w:bCs/>
        </w:rPr>
      </w:pPr>
      <w:r>
        <w:rPr>
          <w:rFonts w:eastAsia="Times New Roman"/>
          <w:color w:val="000000"/>
          <w:sz w:val="24"/>
          <w:szCs w:val="24"/>
          <w:lang w:eastAsia="es-CR"/>
        </w:rPr>
        <w:t>La señora Pérez Delgado informa que el Ministerio Público está desarrollando el proyecto de construcción de la Política de Persecución Penal con especial énfasis en Personas con Discapacidad y Adultas Mayores.</w:t>
      </w:r>
    </w:p>
    <w:p w:rsidR="00A62215" w:rsidRDefault="006C360F">
      <w:pPr>
        <w:rPr>
          <w:b/>
          <w:bCs/>
        </w:rPr>
      </w:pPr>
      <w:r>
        <w:rPr>
          <w:rFonts w:eastAsia="Times New Roman"/>
          <w:b/>
          <w:bCs/>
          <w:color w:val="000000"/>
          <w:sz w:val="24"/>
          <w:szCs w:val="24"/>
          <w:lang w:eastAsia="es-CR"/>
        </w:rPr>
        <w:t>SE ACUERDA:</w:t>
      </w:r>
    </w:p>
    <w:p w:rsidR="00A62215" w:rsidRDefault="006C360F">
      <w:pPr>
        <w:jc w:val="both"/>
      </w:pPr>
      <w:r>
        <w:rPr>
          <w:rFonts w:eastAsia="Times New Roman"/>
          <w:color w:val="000000"/>
          <w:sz w:val="24"/>
          <w:szCs w:val="24"/>
          <w:lang w:eastAsia="es-CR"/>
        </w:rPr>
        <w:t>Se toma nota de lo expuesto por la señora Mayela Pérez Delgado acerca del trabajo del Ministerio Público en la construcción de una Política de Persecución Penal con especial énfasis en Personas con Discapacidad y Personas Adultas Mayores.</w:t>
      </w:r>
    </w:p>
    <w:p w:rsidR="00A62215" w:rsidRDefault="00A62215">
      <w:pPr>
        <w:rPr>
          <w:b/>
          <w:bCs/>
        </w:rPr>
      </w:pPr>
    </w:p>
    <w:p w:rsidR="00A62215" w:rsidRDefault="006C360F">
      <w:pPr>
        <w:jc w:val="both"/>
        <w:rPr>
          <w:b/>
          <w:bCs/>
        </w:rPr>
      </w:pPr>
      <w:r>
        <w:rPr>
          <w:rFonts w:eastAsia="Times New Roman"/>
          <w:b/>
          <w:bCs/>
          <w:color w:val="000000"/>
          <w:sz w:val="24"/>
          <w:szCs w:val="24"/>
          <w:lang w:eastAsia="es-CR"/>
        </w:rPr>
        <w:t>Al ser las dieciséis horas con cuarenta y cinco minutos finaliza la sesión.</w:t>
      </w:r>
    </w:p>
    <w:sectPr w:rsidR="00A62215">
      <w:footerReference w:type="default" r:id="rId20"/>
      <w:pgSz w:w="12240" w:h="15840"/>
      <w:pgMar w:top="1417" w:right="1701" w:bottom="1417" w:left="1701" w:header="0"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92097" w:rsidRDefault="00B92097">
      <w:pPr>
        <w:spacing w:after="0" w:line="240" w:lineRule="auto"/>
      </w:pPr>
      <w:r>
        <w:separator/>
      </w:r>
    </w:p>
  </w:endnote>
  <w:endnote w:type="continuationSeparator" w:id="0">
    <w:p w:rsidR="00B92097" w:rsidRDefault="00B920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6667377"/>
      <w:docPartObj>
        <w:docPartGallery w:val="Page Numbers (Bottom of Page)"/>
        <w:docPartUnique/>
      </w:docPartObj>
    </w:sdtPr>
    <w:sdtEndPr/>
    <w:sdtContent>
      <w:p w:rsidR="00A62215" w:rsidRDefault="006C360F">
        <w:pPr>
          <w:pStyle w:val="Piedepgina"/>
          <w:jc w:val="right"/>
        </w:pPr>
        <w:r>
          <w:fldChar w:fldCharType="begin"/>
        </w:r>
        <w:r>
          <w:instrText>PAGE</w:instrText>
        </w:r>
        <w:r>
          <w:fldChar w:fldCharType="separate"/>
        </w:r>
        <w:r>
          <w:t>6</w:t>
        </w:r>
        <w:r>
          <w:fldChar w:fldCharType="end"/>
        </w:r>
      </w:p>
      <w:p w:rsidR="00A62215" w:rsidRDefault="006C360F">
        <w:pPr>
          <w:jc w:val="center"/>
        </w:pPr>
        <w:r>
          <w:rPr>
            <w:noProof/>
          </w:rPr>
          <w:drawing>
            <wp:inline distT="0" distB="0" distL="0" distR="0" wp14:anchorId="325E2130" wp14:editId="602C0FB1">
              <wp:extent cx="522605" cy="517525"/>
              <wp:effectExtent l="0" t="0" r="0" b="0"/>
              <wp:docPr id="2" name="Imagen 6" descr="Identidad-grafica-Variante-Acceso-a-la-Justicia-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6" descr="Identidad-grafica-Variante-Acceso-a-la-Justicia-RGB"/>
                      <pic:cNvPicPr>
                        <a:picLocks noChangeAspect="1" noChangeArrowheads="1"/>
                      </pic:cNvPicPr>
                    </pic:nvPicPr>
                    <pic:blipFill>
                      <a:blip r:embed="rId1"/>
                      <a:stretch>
                        <a:fillRect/>
                      </a:stretch>
                    </pic:blipFill>
                    <pic:spPr bwMode="auto">
                      <a:xfrm>
                        <a:off x="0" y="0"/>
                        <a:ext cx="522605" cy="517525"/>
                      </a:xfrm>
                      <a:prstGeom prst="rect">
                        <a:avLst/>
                      </a:prstGeom>
                    </pic:spPr>
                  </pic:pic>
                </a:graphicData>
              </a:graphic>
            </wp:inline>
          </w:drawing>
        </w:r>
      </w:p>
    </w:sdtContent>
  </w:sdt>
  <w:p w:rsidR="00A62215" w:rsidRDefault="006C360F">
    <w:pPr>
      <w:pStyle w:val="Piedepgina"/>
      <w:jc w:val="center"/>
    </w:pPr>
    <w:r>
      <w:rPr>
        <w:b/>
        <w:bCs/>
        <w:i/>
        <w:iCs/>
        <w:color w:val="000000"/>
        <w:sz w:val="16"/>
        <w:szCs w:val="16"/>
        <w:shd w:val="clear" w:color="auto" w:fill="FFFFFF"/>
        <w:lang w:val="es-ES"/>
      </w:rPr>
      <w:t>“Unidad de Acceso a la Justicia, por el respeto de los derechos de las poblaciones en condición de vulnerabilidad”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92097" w:rsidRDefault="00B92097">
      <w:pPr>
        <w:spacing w:after="0" w:line="240" w:lineRule="auto"/>
      </w:pPr>
      <w:r>
        <w:separator/>
      </w:r>
    </w:p>
  </w:footnote>
  <w:footnote w:type="continuationSeparator" w:id="0">
    <w:p w:rsidR="00B92097" w:rsidRDefault="00B9209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215"/>
    <w:rsid w:val="0001026A"/>
    <w:rsid w:val="000D1CD0"/>
    <w:rsid w:val="004B5445"/>
    <w:rsid w:val="006C360F"/>
    <w:rsid w:val="00A62215"/>
    <w:rsid w:val="00B92097"/>
    <w:rsid w:val="00FA6067"/>
  </w:rsids>
  <m:mathPr>
    <m:mathFont m:val="Cambria Math"/>
    <m:brkBin m:val="before"/>
    <m:brkBinSub m:val="--"/>
    <m:smallFrac m:val="0"/>
    <m:dispDef/>
    <m:lMargin m:val="0"/>
    <m:rMargin m:val="0"/>
    <m:defJc m:val="centerGroup"/>
    <m:wrapIndent m:val="1440"/>
    <m:intLim m:val="subSup"/>
    <m:naryLim m:val="undOvr"/>
  </m:mathPr>
  <w:themeFontLang w:val="es-C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76ACD"/>
  <w15:docId w15:val="{5CA973A5-BF20-4407-8DF0-6319575C3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s-C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F70412"/>
  </w:style>
  <w:style w:type="character" w:customStyle="1" w:styleId="PiedepginaCar">
    <w:name w:val="Pie de página Car"/>
    <w:basedOn w:val="Fuentedeprrafopredeter"/>
    <w:link w:val="Piedepgina"/>
    <w:uiPriority w:val="99"/>
    <w:qFormat/>
    <w:rsid w:val="00F70412"/>
  </w:style>
  <w:style w:type="character" w:customStyle="1" w:styleId="TextodegloboCar">
    <w:name w:val="Texto de globo Car"/>
    <w:basedOn w:val="Fuentedeprrafopredeter"/>
    <w:link w:val="Textodeglobo"/>
    <w:uiPriority w:val="99"/>
    <w:semiHidden/>
    <w:qFormat/>
    <w:rsid w:val="00ED7CBB"/>
    <w:rPr>
      <w:rFonts w:ascii="Segoe UI" w:hAnsi="Segoe UI" w:cs="Segoe UI"/>
      <w:sz w:val="18"/>
      <w:szCs w:val="18"/>
    </w:rPr>
  </w:style>
  <w:style w:type="character" w:customStyle="1" w:styleId="xxapp-page-detaildocumentanycharacter">
    <w:name w:val="x_x_app-page-detaildocumentanycharacter"/>
    <w:basedOn w:val="Fuentedeprrafopredeter"/>
    <w:qFormat/>
    <w:rsid w:val="006E2BDE"/>
  </w:style>
  <w:style w:type="character" w:customStyle="1" w:styleId="EnlacedeInternet">
    <w:name w:val="Enlace de Internet"/>
    <w:basedOn w:val="Fuentedeprrafopredeter"/>
    <w:uiPriority w:val="99"/>
    <w:semiHidden/>
    <w:unhideWhenUsed/>
    <w:rsid w:val="00725877"/>
    <w:rPr>
      <w:color w:val="0000FF"/>
      <w:u w:val="single"/>
    </w:rPr>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Prrafodelista">
    <w:name w:val="List Paragraph"/>
    <w:basedOn w:val="Normal"/>
    <w:uiPriority w:val="34"/>
    <w:qFormat/>
    <w:rsid w:val="007F062D"/>
    <w:pPr>
      <w:ind w:left="720"/>
      <w:contextualSpacing/>
    </w:pPr>
  </w:style>
  <w:style w:type="paragraph" w:customStyle="1" w:styleId="Cabeceraypie">
    <w:name w:val="Cabecera y pie"/>
    <w:basedOn w:val="Normal"/>
    <w:qFormat/>
  </w:style>
  <w:style w:type="paragraph" w:styleId="Encabezado">
    <w:name w:val="header"/>
    <w:basedOn w:val="Normal"/>
    <w:link w:val="EncabezadoCar"/>
    <w:uiPriority w:val="99"/>
    <w:unhideWhenUsed/>
    <w:rsid w:val="00F70412"/>
    <w:pPr>
      <w:tabs>
        <w:tab w:val="center" w:pos="4419"/>
        <w:tab w:val="right" w:pos="8838"/>
      </w:tabs>
      <w:spacing w:after="0" w:line="240" w:lineRule="auto"/>
    </w:pPr>
  </w:style>
  <w:style w:type="paragraph" w:styleId="Piedepgina">
    <w:name w:val="footer"/>
    <w:basedOn w:val="Normal"/>
    <w:link w:val="PiedepginaCar"/>
    <w:uiPriority w:val="99"/>
    <w:unhideWhenUsed/>
    <w:rsid w:val="00F70412"/>
    <w:pPr>
      <w:tabs>
        <w:tab w:val="center" w:pos="4419"/>
        <w:tab w:val="right" w:pos="8838"/>
      </w:tabs>
      <w:spacing w:after="0" w:line="240" w:lineRule="auto"/>
    </w:pPr>
  </w:style>
  <w:style w:type="paragraph" w:styleId="Textodeglobo">
    <w:name w:val="Balloon Text"/>
    <w:basedOn w:val="Normal"/>
    <w:link w:val="TextodegloboCar"/>
    <w:uiPriority w:val="99"/>
    <w:semiHidden/>
    <w:unhideWhenUsed/>
    <w:qFormat/>
    <w:rsid w:val="00ED7CBB"/>
    <w:pPr>
      <w:spacing w:after="0" w:line="240" w:lineRule="auto"/>
    </w:pPr>
    <w:rPr>
      <w:rFonts w:ascii="Segoe UI" w:hAnsi="Segoe UI" w:cs="Segoe UI"/>
      <w:sz w:val="18"/>
      <w:szCs w:val="18"/>
    </w:rPr>
  </w:style>
  <w:style w:type="paragraph" w:customStyle="1" w:styleId="Standard">
    <w:name w:val="Standard"/>
    <w:qFormat/>
    <w:rsid w:val="00ED7CBB"/>
    <w:pPr>
      <w:textAlignment w:val="baseline"/>
    </w:pPr>
    <w:rPr>
      <w:rFonts w:ascii="Liberation Serif" w:eastAsia="NSimSun" w:hAnsi="Liberation Serif" w:cs="Arial"/>
      <w:kern w:val="2"/>
      <w:sz w:val="24"/>
      <w:szCs w:val="24"/>
      <w:lang w:eastAsia="zh-CN" w:bidi="hi-IN"/>
    </w:rPr>
  </w:style>
  <w:style w:type="paragraph" w:customStyle="1" w:styleId="xxmsonormal">
    <w:name w:val="x_x_msonormal"/>
    <w:basedOn w:val="Normal"/>
    <w:qFormat/>
    <w:rsid w:val="006E2BDE"/>
    <w:pPr>
      <w:spacing w:beforeAutospacing="1" w:afterAutospacing="1" w:line="240" w:lineRule="auto"/>
    </w:pPr>
    <w:rPr>
      <w:rFonts w:ascii="Times New Roman" w:eastAsia="Times New Roman" w:hAnsi="Times New Roman" w:cs="Times New Roman"/>
      <w:sz w:val="24"/>
      <w:szCs w:val="24"/>
      <w:lang w:eastAsia="es-CR"/>
    </w:rPr>
  </w:style>
  <w:style w:type="paragraph" w:customStyle="1" w:styleId="xxmsolistparagraph">
    <w:name w:val="x_x_msolistparagraph"/>
    <w:basedOn w:val="Normal"/>
    <w:qFormat/>
    <w:rsid w:val="006E2BDE"/>
    <w:pPr>
      <w:spacing w:beforeAutospacing="1" w:afterAutospacing="1" w:line="240" w:lineRule="auto"/>
    </w:pPr>
    <w:rPr>
      <w:rFonts w:ascii="Times New Roman" w:eastAsia="Times New Roman" w:hAnsi="Times New Roman" w:cs="Times New Roman"/>
      <w:sz w:val="24"/>
      <w:szCs w:val="24"/>
      <w:lang w:eastAsia="es-CR"/>
    </w:rPr>
  </w:style>
  <w:style w:type="paragraph" w:styleId="NormalWeb">
    <w:name w:val="Normal (Web)"/>
    <w:basedOn w:val="Normal"/>
    <w:uiPriority w:val="99"/>
    <w:semiHidden/>
    <w:unhideWhenUsed/>
    <w:qFormat/>
    <w:rsid w:val="006E2BDE"/>
    <w:pPr>
      <w:spacing w:beforeAutospacing="1" w:afterAutospacing="1" w:line="240" w:lineRule="auto"/>
    </w:pPr>
    <w:rPr>
      <w:rFonts w:ascii="Times New Roman" w:eastAsia="Times New Roman" w:hAnsi="Times New Roman" w:cs="Times New Roman"/>
      <w:sz w:val="24"/>
      <w:szCs w:val="24"/>
      <w:lang w:eastAsia="es-CR"/>
    </w:rPr>
  </w:style>
  <w:style w:type="paragraph" w:customStyle="1" w:styleId="xxxmsonormal">
    <w:name w:val="x_x_xmsonormal"/>
    <w:basedOn w:val="Normal"/>
    <w:qFormat/>
    <w:rsid w:val="00725877"/>
    <w:pPr>
      <w:spacing w:beforeAutospacing="1" w:afterAutospacing="1" w:line="240" w:lineRule="auto"/>
    </w:pPr>
    <w:rPr>
      <w:rFonts w:ascii="Times New Roman" w:eastAsia="Times New Roman" w:hAnsi="Times New Roman" w:cs="Times New Roman"/>
      <w:sz w:val="24"/>
      <w:szCs w:val="24"/>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dotta@ageco.org" TargetMode="External"/><Relationship Id="rId13" Type="http://schemas.openxmlformats.org/officeDocument/2006/relationships/image" Target="media/image4.emf"/><Relationship Id="rId18" Type="http://schemas.openxmlformats.org/officeDocument/2006/relationships/package" Target="embeddings/Microsoft_Word_Document2.docx"/><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mailto:deyaniradmartinez@gmail.com" TargetMode="External"/><Relationship Id="rId12" Type="http://schemas.openxmlformats.org/officeDocument/2006/relationships/oleObject" Target="embeddings/oleObject1.bin"/><Relationship Id="rId17" Type="http://schemas.openxmlformats.org/officeDocument/2006/relationships/image" Target="media/image6.emf"/><Relationship Id="rId2" Type="http://schemas.openxmlformats.org/officeDocument/2006/relationships/settings" Target="settings.xml"/><Relationship Id="rId16" Type="http://schemas.openxmlformats.org/officeDocument/2006/relationships/package" Target="embeddings/Microsoft_Word_Document1.docx"/><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emf"/><Relationship Id="rId5" Type="http://schemas.openxmlformats.org/officeDocument/2006/relationships/endnotes" Target="endnotes.xml"/><Relationship Id="rId15" Type="http://schemas.openxmlformats.org/officeDocument/2006/relationships/image" Target="media/image5.emf"/><Relationship Id="rId10" Type="http://schemas.openxmlformats.org/officeDocument/2006/relationships/package" Target="embeddings/Microsoft_Word_Document.docx"/><Relationship Id="rId19" Type="http://schemas.openxmlformats.org/officeDocument/2006/relationships/package" Target="embeddings/Microsoft_Word_Document3.docx"/><Relationship Id="rId4" Type="http://schemas.openxmlformats.org/officeDocument/2006/relationships/footnotes" Target="footnotes.xml"/><Relationship Id="rId9" Type="http://schemas.openxmlformats.org/officeDocument/2006/relationships/image" Target="media/image2.emf"/><Relationship Id="rId14" Type="http://schemas.openxmlformats.org/officeDocument/2006/relationships/oleObject" Target="embeddings/oleObject2.bin"/><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1160</Words>
  <Characters>6383</Characters>
  <Application>Microsoft Office Word</Application>
  <DocSecurity>0</DocSecurity>
  <Lines>53</Lines>
  <Paragraphs>15</Paragraphs>
  <ScaleCrop>false</ScaleCrop>
  <Company/>
  <LinksUpToDate>false</LinksUpToDate>
  <CharactersWithSpaces>7528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Calderón Chaves</dc:creator>
  <dc:description/>
  <cp:lastModifiedBy>Jorge Brenes Arguedas</cp:lastModifiedBy>
  <cp:revision>1</cp:revision>
  <dcterms:created xsi:type="dcterms:W3CDTF">2021-09-24T16:41:00Z</dcterms:created>
  <dcterms:modified xsi:type="dcterms:W3CDTF">2021-09-24T16:41:00Z</dcterms:modified>
  <dc:language>es-CR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