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AFC59" w14:textId="7F74BB35" w:rsidR="00D72049" w:rsidRPr="0008454C" w:rsidRDefault="00D72049" w:rsidP="0070655C">
      <w:pPr>
        <w:pStyle w:val="NormalWeb"/>
        <w:spacing w:before="0" w:beforeAutospacing="0" w:after="0" w:afterAutospacing="0"/>
        <w:jc w:val="center"/>
        <w:rPr>
          <w:b/>
          <w:bCs/>
          <w:sz w:val="22"/>
          <w:szCs w:val="22"/>
        </w:rPr>
      </w:pPr>
      <w:r w:rsidRPr="0008454C">
        <w:rPr>
          <w:b/>
          <w:bCs/>
          <w:sz w:val="22"/>
          <w:szCs w:val="22"/>
        </w:rPr>
        <w:t>CIRCULAR No. 10</w:t>
      </w:r>
      <w:r w:rsidR="004932CE" w:rsidRPr="0008454C">
        <w:rPr>
          <w:b/>
          <w:bCs/>
          <w:sz w:val="22"/>
          <w:szCs w:val="22"/>
        </w:rPr>
        <w:t>8</w:t>
      </w:r>
      <w:r w:rsidRPr="0008454C">
        <w:rPr>
          <w:b/>
          <w:bCs/>
          <w:sz w:val="22"/>
          <w:szCs w:val="22"/>
        </w:rPr>
        <w:t>-</w:t>
      </w:r>
      <w:r w:rsidR="004932CE" w:rsidRPr="0008454C">
        <w:rPr>
          <w:b/>
          <w:bCs/>
          <w:sz w:val="22"/>
          <w:szCs w:val="22"/>
        </w:rPr>
        <w:t>2021</w:t>
      </w:r>
      <w:bookmarkStart w:id="0" w:name="_GoBack"/>
      <w:bookmarkEnd w:id="0"/>
    </w:p>
    <w:p w14:paraId="34C15138" w14:textId="77777777" w:rsidR="00D72049" w:rsidRPr="0008454C" w:rsidRDefault="00D72049" w:rsidP="004932CE">
      <w:pPr>
        <w:pStyle w:val="NormalWeb"/>
        <w:spacing w:before="0" w:beforeAutospacing="0" w:after="0" w:afterAutospacing="0"/>
        <w:jc w:val="both"/>
        <w:rPr>
          <w:b/>
          <w:bCs/>
          <w:sz w:val="22"/>
          <w:szCs w:val="22"/>
          <w:u w:val="single"/>
        </w:rPr>
      </w:pPr>
    </w:p>
    <w:p w14:paraId="4FEFCBC1" w14:textId="42AB151E" w:rsidR="00D72049" w:rsidRPr="0008454C" w:rsidRDefault="00D72049" w:rsidP="004932CE">
      <w:pPr>
        <w:pStyle w:val="Textoindependiente"/>
        <w:spacing w:after="0"/>
        <w:jc w:val="both"/>
        <w:rPr>
          <w:bCs/>
          <w:sz w:val="22"/>
          <w:szCs w:val="22"/>
        </w:rPr>
      </w:pPr>
      <w:r w:rsidRPr="0008454C">
        <w:rPr>
          <w:b/>
          <w:bCs/>
          <w:sz w:val="22"/>
          <w:szCs w:val="22"/>
        </w:rPr>
        <w:t>ASUNTO</w:t>
      </w:r>
      <w:r w:rsidRPr="0008454C">
        <w:rPr>
          <w:bCs/>
          <w:sz w:val="22"/>
          <w:szCs w:val="22"/>
        </w:rPr>
        <w:t xml:space="preserve">: </w:t>
      </w:r>
      <w:r w:rsidR="004932CE" w:rsidRPr="0008454C">
        <w:rPr>
          <w:bCs/>
          <w:sz w:val="22"/>
          <w:szCs w:val="22"/>
        </w:rPr>
        <w:t>Reiteración</w:t>
      </w:r>
      <w:r w:rsidR="001F298B" w:rsidRPr="0008454C">
        <w:rPr>
          <w:bCs/>
          <w:sz w:val="22"/>
          <w:szCs w:val="22"/>
        </w:rPr>
        <w:t xml:space="preserve"> </w:t>
      </w:r>
      <w:r w:rsidR="00CB27F8" w:rsidRPr="0008454C">
        <w:rPr>
          <w:bCs/>
          <w:sz w:val="22"/>
          <w:szCs w:val="22"/>
        </w:rPr>
        <w:t xml:space="preserve">de la circular N°10-09, sobre las </w:t>
      </w:r>
      <w:r w:rsidRPr="0008454C">
        <w:rPr>
          <w:bCs/>
          <w:sz w:val="22"/>
          <w:szCs w:val="22"/>
        </w:rPr>
        <w:t xml:space="preserve">Reglas Prácticas para facilitar el acceso a la justicia de las Poblaciones Indígenas. </w:t>
      </w:r>
    </w:p>
    <w:p w14:paraId="3D689AD5" w14:textId="77777777" w:rsidR="00D72049" w:rsidRPr="0008454C" w:rsidRDefault="00D72049" w:rsidP="004932CE">
      <w:pPr>
        <w:pStyle w:val="Textoindependiente"/>
        <w:spacing w:after="0"/>
        <w:jc w:val="both"/>
        <w:rPr>
          <w:sz w:val="22"/>
          <w:szCs w:val="22"/>
        </w:rPr>
      </w:pPr>
    </w:p>
    <w:p w14:paraId="7108B08C" w14:textId="7E5A3D03" w:rsidR="00D72049" w:rsidRPr="0008454C" w:rsidRDefault="00D72049" w:rsidP="004932CE">
      <w:pPr>
        <w:pStyle w:val="Textoindependiente"/>
        <w:spacing w:after="0"/>
        <w:jc w:val="center"/>
        <w:rPr>
          <w:b/>
          <w:bCs/>
          <w:caps/>
          <w:sz w:val="22"/>
          <w:szCs w:val="22"/>
          <w:u w:val="single"/>
        </w:rPr>
      </w:pPr>
      <w:r w:rsidRPr="0008454C">
        <w:rPr>
          <w:b/>
          <w:bCs/>
          <w:caps/>
          <w:sz w:val="22"/>
          <w:szCs w:val="22"/>
          <w:u w:val="single"/>
        </w:rPr>
        <w:t xml:space="preserve">A </w:t>
      </w:r>
      <w:r w:rsidR="004932CE" w:rsidRPr="0008454C">
        <w:rPr>
          <w:b/>
          <w:bCs/>
          <w:caps/>
          <w:sz w:val="22"/>
          <w:szCs w:val="22"/>
          <w:u w:val="single"/>
        </w:rPr>
        <w:t xml:space="preserve">todos </w:t>
      </w:r>
      <w:r w:rsidRPr="0008454C">
        <w:rPr>
          <w:b/>
          <w:bCs/>
          <w:caps/>
          <w:sz w:val="22"/>
          <w:szCs w:val="22"/>
          <w:u w:val="single"/>
        </w:rPr>
        <w:t>LOS despachos judiciales</w:t>
      </w:r>
    </w:p>
    <w:p w14:paraId="6DE76F97" w14:textId="77777777" w:rsidR="00D72049" w:rsidRPr="0008454C" w:rsidRDefault="00D72049" w:rsidP="004932CE">
      <w:pPr>
        <w:pStyle w:val="Textoindependiente"/>
        <w:spacing w:after="0"/>
        <w:jc w:val="center"/>
        <w:rPr>
          <w:b/>
          <w:bCs/>
          <w:caps/>
          <w:sz w:val="22"/>
          <w:szCs w:val="22"/>
        </w:rPr>
      </w:pPr>
    </w:p>
    <w:p w14:paraId="7569DC86" w14:textId="7AA6E399" w:rsidR="00D72049" w:rsidRPr="0008454C" w:rsidRDefault="00D72049" w:rsidP="004932CE">
      <w:pPr>
        <w:pStyle w:val="Textoindependiente"/>
        <w:spacing w:after="0"/>
        <w:jc w:val="center"/>
        <w:rPr>
          <w:b/>
          <w:bCs/>
          <w:caps/>
          <w:sz w:val="22"/>
          <w:szCs w:val="22"/>
        </w:rPr>
      </w:pPr>
      <w:r w:rsidRPr="0008454C">
        <w:rPr>
          <w:b/>
          <w:bCs/>
          <w:caps/>
          <w:sz w:val="22"/>
          <w:szCs w:val="22"/>
          <w:u w:val="single"/>
        </w:rPr>
        <w:t>Se les hace saber que</w:t>
      </w:r>
      <w:r w:rsidRPr="0008454C">
        <w:rPr>
          <w:b/>
          <w:bCs/>
          <w:caps/>
          <w:sz w:val="22"/>
          <w:szCs w:val="22"/>
        </w:rPr>
        <w:t>:</w:t>
      </w:r>
    </w:p>
    <w:p w14:paraId="793DEFA5" w14:textId="77777777" w:rsidR="00D72049" w:rsidRPr="0008454C" w:rsidRDefault="00D72049" w:rsidP="004932CE">
      <w:pPr>
        <w:pStyle w:val="Textoindependiente"/>
        <w:spacing w:after="0"/>
        <w:jc w:val="both"/>
        <w:rPr>
          <w:sz w:val="22"/>
          <w:szCs w:val="22"/>
        </w:rPr>
      </w:pPr>
    </w:p>
    <w:p w14:paraId="581F8D98" w14:textId="35E53647" w:rsidR="00D72049" w:rsidRPr="0008454C" w:rsidRDefault="00D72049" w:rsidP="004932CE">
      <w:pPr>
        <w:pStyle w:val="Textoindependiente"/>
        <w:spacing w:after="0"/>
        <w:jc w:val="both"/>
        <w:rPr>
          <w:b/>
          <w:bCs/>
          <w:i/>
          <w:sz w:val="22"/>
          <w:szCs w:val="22"/>
        </w:rPr>
      </w:pPr>
      <w:r w:rsidRPr="0008454C">
        <w:rPr>
          <w:sz w:val="22"/>
          <w:szCs w:val="22"/>
        </w:rPr>
        <w:t xml:space="preserve">El Consejo Superior en sesión </w:t>
      </w:r>
      <w:r w:rsidR="001F298B" w:rsidRPr="0008454C">
        <w:rPr>
          <w:sz w:val="22"/>
          <w:szCs w:val="22"/>
        </w:rPr>
        <w:t>29</w:t>
      </w:r>
      <w:r w:rsidRPr="0008454C">
        <w:rPr>
          <w:sz w:val="22"/>
          <w:szCs w:val="22"/>
        </w:rPr>
        <w:t>-</w:t>
      </w:r>
      <w:r w:rsidR="001F298B" w:rsidRPr="0008454C">
        <w:rPr>
          <w:sz w:val="22"/>
          <w:szCs w:val="22"/>
        </w:rPr>
        <w:t>21</w:t>
      </w:r>
      <w:r w:rsidRPr="0008454C">
        <w:rPr>
          <w:sz w:val="22"/>
          <w:szCs w:val="22"/>
        </w:rPr>
        <w:t>, celebrada el 1</w:t>
      </w:r>
      <w:r w:rsidR="00CB27F8" w:rsidRPr="0008454C">
        <w:rPr>
          <w:sz w:val="22"/>
          <w:szCs w:val="22"/>
        </w:rPr>
        <w:t>5</w:t>
      </w:r>
      <w:r w:rsidRPr="0008454C">
        <w:rPr>
          <w:sz w:val="22"/>
          <w:szCs w:val="22"/>
        </w:rPr>
        <w:t xml:space="preserve"> de </w:t>
      </w:r>
      <w:r w:rsidR="00CB27F8" w:rsidRPr="0008454C">
        <w:rPr>
          <w:sz w:val="22"/>
          <w:szCs w:val="22"/>
        </w:rPr>
        <w:t>abril</w:t>
      </w:r>
      <w:r w:rsidRPr="0008454C">
        <w:rPr>
          <w:sz w:val="22"/>
          <w:szCs w:val="22"/>
        </w:rPr>
        <w:t xml:space="preserve"> de 2</w:t>
      </w:r>
      <w:r w:rsidR="00CB27F8" w:rsidRPr="0008454C">
        <w:rPr>
          <w:sz w:val="22"/>
          <w:szCs w:val="22"/>
        </w:rPr>
        <w:t>021</w:t>
      </w:r>
      <w:r w:rsidRPr="0008454C">
        <w:rPr>
          <w:sz w:val="22"/>
          <w:szCs w:val="22"/>
        </w:rPr>
        <w:t>, artículo</w:t>
      </w:r>
      <w:r w:rsidR="00264943" w:rsidRPr="0008454C">
        <w:rPr>
          <w:sz w:val="22"/>
          <w:szCs w:val="22"/>
        </w:rPr>
        <w:t xml:space="preserve"> LXXIX</w:t>
      </w:r>
      <w:r w:rsidRPr="0008454C">
        <w:rPr>
          <w:sz w:val="22"/>
          <w:szCs w:val="22"/>
        </w:rPr>
        <w:t>,</w:t>
      </w:r>
      <w:r w:rsidR="00264943" w:rsidRPr="0008454C">
        <w:rPr>
          <w:sz w:val="22"/>
          <w:szCs w:val="22"/>
        </w:rPr>
        <w:t xml:space="preserve"> acordó realizar reiteración de la circular 10-09 relacionada a</w:t>
      </w:r>
      <w:r w:rsidRPr="0008454C">
        <w:rPr>
          <w:sz w:val="22"/>
          <w:szCs w:val="22"/>
        </w:rPr>
        <w:t xml:space="preserve"> </w:t>
      </w:r>
      <w:r w:rsidR="00264943" w:rsidRPr="0008454C">
        <w:rPr>
          <w:sz w:val="22"/>
          <w:szCs w:val="22"/>
        </w:rPr>
        <w:t xml:space="preserve">las </w:t>
      </w:r>
      <w:r w:rsidRPr="0008454C">
        <w:rPr>
          <w:b/>
          <w:i/>
          <w:sz w:val="22"/>
          <w:szCs w:val="22"/>
        </w:rPr>
        <w:t>“</w:t>
      </w:r>
      <w:r w:rsidRPr="0008454C">
        <w:rPr>
          <w:b/>
          <w:bCs/>
          <w:i/>
          <w:sz w:val="22"/>
          <w:szCs w:val="22"/>
        </w:rPr>
        <w:t xml:space="preserve">Reglas Prácticas </w:t>
      </w:r>
      <w:proofErr w:type="gramStart"/>
      <w:r w:rsidRPr="0008454C">
        <w:rPr>
          <w:b/>
          <w:bCs/>
          <w:i/>
          <w:sz w:val="22"/>
          <w:szCs w:val="22"/>
        </w:rPr>
        <w:t>para  facilitar</w:t>
      </w:r>
      <w:proofErr w:type="gramEnd"/>
      <w:r w:rsidRPr="0008454C">
        <w:rPr>
          <w:b/>
          <w:bCs/>
          <w:i/>
          <w:sz w:val="22"/>
          <w:szCs w:val="22"/>
        </w:rPr>
        <w:t xml:space="preserve"> el acceso a la justicia de las  Poblaciones  Indígenas”: </w:t>
      </w:r>
    </w:p>
    <w:p w14:paraId="380A352D" w14:textId="77777777" w:rsidR="00D72049" w:rsidRPr="0008454C" w:rsidRDefault="00D72049" w:rsidP="004932CE">
      <w:pPr>
        <w:pStyle w:val="Textoindependiente"/>
        <w:spacing w:after="0"/>
        <w:jc w:val="both"/>
        <w:rPr>
          <w:b/>
          <w:i/>
          <w:sz w:val="22"/>
          <w:szCs w:val="22"/>
        </w:rPr>
      </w:pPr>
    </w:p>
    <w:p w14:paraId="4D87D569" w14:textId="77777777" w:rsidR="00D72049" w:rsidRPr="0008454C" w:rsidRDefault="00D72049" w:rsidP="004932CE">
      <w:pPr>
        <w:pStyle w:val="Textoindependiente"/>
        <w:widowControl w:val="0"/>
        <w:numPr>
          <w:ilvl w:val="0"/>
          <w:numId w:val="1"/>
        </w:numPr>
        <w:spacing w:after="0"/>
        <w:ind w:left="0" w:firstLine="0"/>
        <w:jc w:val="both"/>
        <w:rPr>
          <w:color w:val="333333"/>
          <w:sz w:val="22"/>
          <w:szCs w:val="22"/>
        </w:rPr>
      </w:pPr>
      <w:r w:rsidRPr="0008454C">
        <w:rPr>
          <w:color w:val="333333"/>
          <w:sz w:val="22"/>
          <w:szCs w:val="22"/>
          <w:lang w:val="es-CR"/>
        </w:rPr>
        <w:t xml:space="preserve">Las Autoridades Judiciales </w:t>
      </w:r>
      <w:r w:rsidRPr="0008454C">
        <w:rPr>
          <w:sz w:val="22"/>
          <w:szCs w:val="22"/>
          <w:lang w:val="es-CR"/>
        </w:rPr>
        <w:t>promoverán</w:t>
      </w:r>
      <w:r w:rsidRPr="0008454C">
        <w:rPr>
          <w:color w:val="333333"/>
          <w:sz w:val="22"/>
          <w:szCs w:val="22"/>
          <w:lang w:val="es-CR"/>
        </w:rPr>
        <w:t xml:space="preserve"> la realización de diligencia </w:t>
      </w:r>
      <w:r w:rsidRPr="0008454C">
        <w:rPr>
          <w:i/>
          <w:color w:val="333333"/>
          <w:sz w:val="22"/>
          <w:szCs w:val="22"/>
          <w:lang w:val="es-CR"/>
        </w:rPr>
        <w:t>“in situ”,</w:t>
      </w:r>
      <w:r w:rsidRPr="0008454C">
        <w:rPr>
          <w:color w:val="333333"/>
          <w:sz w:val="22"/>
          <w:szCs w:val="22"/>
          <w:lang w:val="es-CR"/>
        </w:rPr>
        <w:t xml:space="preserve"> en aquellos lugares donde existan territorios indígenas. </w:t>
      </w:r>
    </w:p>
    <w:p w14:paraId="6F130B23" w14:textId="77777777" w:rsidR="00D72049" w:rsidRPr="0008454C" w:rsidRDefault="00D72049" w:rsidP="004932CE">
      <w:pPr>
        <w:pStyle w:val="Textoindependiente"/>
        <w:widowControl w:val="0"/>
        <w:numPr>
          <w:ilvl w:val="0"/>
          <w:numId w:val="1"/>
        </w:numPr>
        <w:spacing w:after="0"/>
        <w:ind w:left="0" w:firstLine="0"/>
        <w:jc w:val="both"/>
        <w:rPr>
          <w:color w:val="333333"/>
          <w:sz w:val="22"/>
          <w:szCs w:val="22"/>
        </w:rPr>
      </w:pPr>
      <w:r w:rsidRPr="0008454C">
        <w:rPr>
          <w:color w:val="333333"/>
          <w:sz w:val="22"/>
          <w:szCs w:val="22"/>
          <w:lang w:val="es-CR"/>
        </w:rPr>
        <w:t xml:space="preserve">Dentro de cada presupuesto de los distintos programas presupuestarios, se </w:t>
      </w:r>
      <w:r w:rsidRPr="0008454C">
        <w:rPr>
          <w:sz w:val="22"/>
          <w:szCs w:val="22"/>
          <w:lang w:val="es-CR"/>
        </w:rPr>
        <w:t>contemplará</w:t>
      </w:r>
      <w:r w:rsidRPr="0008454C">
        <w:rPr>
          <w:color w:val="333333"/>
          <w:sz w:val="22"/>
          <w:szCs w:val="22"/>
          <w:lang w:val="es-CR"/>
        </w:rPr>
        <w:t xml:space="preserve"> el rubro de viáticos tanto para los y las indígenas como para las y los funcionarios, quienes desarrollan sus diligencias </w:t>
      </w:r>
      <w:r w:rsidRPr="0008454C">
        <w:rPr>
          <w:i/>
          <w:color w:val="333333"/>
          <w:sz w:val="22"/>
          <w:szCs w:val="22"/>
          <w:lang w:val="es-CR"/>
        </w:rPr>
        <w:t>“in situ”.</w:t>
      </w:r>
    </w:p>
    <w:p w14:paraId="489F306E" w14:textId="77777777" w:rsidR="00D72049" w:rsidRPr="0008454C" w:rsidRDefault="00D72049" w:rsidP="004932CE">
      <w:pPr>
        <w:pStyle w:val="Textoindependiente"/>
        <w:widowControl w:val="0"/>
        <w:numPr>
          <w:ilvl w:val="0"/>
          <w:numId w:val="1"/>
        </w:numPr>
        <w:spacing w:after="0"/>
        <w:ind w:left="0" w:firstLine="0"/>
        <w:jc w:val="both"/>
        <w:rPr>
          <w:color w:val="333333"/>
          <w:sz w:val="22"/>
          <w:szCs w:val="22"/>
          <w:lang w:val="es-CR"/>
        </w:rPr>
      </w:pPr>
      <w:r w:rsidRPr="0008454C">
        <w:rPr>
          <w:color w:val="333333"/>
          <w:sz w:val="22"/>
          <w:szCs w:val="22"/>
          <w:lang w:val="es-CR"/>
        </w:rPr>
        <w:t xml:space="preserve">Los y las jueces, así como cualquier autoridad judicial </w:t>
      </w:r>
      <w:r w:rsidRPr="0008454C">
        <w:rPr>
          <w:sz w:val="22"/>
          <w:szCs w:val="22"/>
          <w:lang w:val="es-CR"/>
        </w:rPr>
        <w:t>establecerán</w:t>
      </w:r>
      <w:r w:rsidRPr="0008454C">
        <w:rPr>
          <w:color w:val="333333"/>
          <w:sz w:val="22"/>
          <w:szCs w:val="22"/>
          <w:lang w:val="es-CR"/>
        </w:rPr>
        <w:t xml:space="preserve"> como práctica la atención de las y los usuarios indígenas.</w:t>
      </w:r>
    </w:p>
    <w:p w14:paraId="1E11C966" w14:textId="68C933D8" w:rsidR="00D72049" w:rsidRPr="0008454C" w:rsidRDefault="00D72049" w:rsidP="004932CE">
      <w:pPr>
        <w:pStyle w:val="Textoindependiente"/>
        <w:widowControl w:val="0"/>
        <w:numPr>
          <w:ilvl w:val="0"/>
          <w:numId w:val="1"/>
        </w:numPr>
        <w:spacing w:after="0"/>
        <w:ind w:left="0" w:firstLine="0"/>
        <w:jc w:val="both"/>
        <w:rPr>
          <w:color w:val="333333"/>
          <w:sz w:val="22"/>
          <w:szCs w:val="22"/>
          <w:lang w:val="es-CR"/>
        </w:rPr>
      </w:pPr>
      <w:r w:rsidRPr="0008454C">
        <w:rPr>
          <w:color w:val="333333"/>
          <w:sz w:val="22"/>
          <w:szCs w:val="22"/>
          <w:lang w:val="es-CR"/>
        </w:rPr>
        <w:t xml:space="preserve">Los y las jueces, así como los y las funcionarios (as) </w:t>
      </w:r>
      <w:r w:rsidR="00264943" w:rsidRPr="0008454C">
        <w:rPr>
          <w:color w:val="333333"/>
          <w:sz w:val="22"/>
          <w:szCs w:val="22"/>
          <w:lang w:val="es-CR"/>
        </w:rPr>
        <w:t>judiciales darán</w:t>
      </w:r>
      <w:r w:rsidRPr="0008454C">
        <w:rPr>
          <w:sz w:val="22"/>
          <w:szCs w:val="22"/>
          <w:lang w:val="es-CR"/>
        </w:rPr>
        <w:t xml:space="preserve"> prioridad</w:t>
      </w:r>
      <w:r w:rsidRPr="0008454C">
        <w:rPr>
          <w:color w:val="333333"/>
          <w:sz w:val="22"/>
          <w:szCs w:val="22"/>
          <w:lang w:val="es-CR"/>
        </w:rPr>
        <w:t xml:space="preserve"> de trato a las personas indígenas que se apersonen a los despachos judiciales.</w:t>
      </w:r>
    </w:p>
    <w:p w14:paraId="2B6814F0" w14:textId="40EEC018" w:rsidR="00D72049" w:rsidRPr="0008454C" w:rsidRDefault="00D72049" w:rsidP="004932CE">
      <w:pPr>
        <w:pStyle w:val="Textoindependiente"/>
        <w:widowControl w:val="0"/>
        <w:numPr>
          <w:ilvl w:val="0"/>
          <w:numId w:val="1"/>
        </w:numPr>
        <w:spacing w:after="0"/>
        <w:ind w:left="0" w:firstLine="0"/>
        <w:jc w:val="both"/>
        <w:rPr>
          <w:sz w:val="22"/>
          <w:szCs w:val="22"/>
          <w:lang w:val="es-CR"/>
        </w:rPr>
      </w:pPr>
      <w:r w:rsidRPr="0008454C">
        <w:rPr>
          <w:color w:val="333333"/>
          <w:sz w:val="22"/>
          <w:szCs w:val="22"/>
          <w:lang w:val="es-CR"/>
        </w:rPr>
        <w:t xml:space="preserve">Deberán los y las jueces, </w:t>
      </w:r>
      <w:r w:rsidRPr="0008454C">
        <w:rPr>
          <w:sz w:val="22"/>
          <w:szCs w:val="22"/>
          <w:lang w:val="es-CR"/>
        </w:rPr>
        <w:t xml:space="preserve">fijar </w:t>
      </w:r>
      <w:r w:rsidRPr="0008454C">
        <w:rPr>
          <w:color w:val="333333"/>
          <w:sz w:val="22"/>
          <w:szCs w:val="22"/>
          <w:lang w:val="es-CR"/>
        </w:rPr>
        <w:t xml:space="preserve">los señalamientos de las audiencias y </w:t>
      </w:r>
      <w:r w:rsidR="00264943" w:rsidRPr="0008454C">
        <w:rPr>
          <w:color w:val="333333"/>
          <w:sz w:val="22"/>
          <w:szCs w:val="22"/>
          <w:lang w:val="es-CR"/>
        </w:rPr>
        <w:t>juicios dentro</w:t>
      </w:r>
      <w:r w:rsidRPr="0008454C">
        <w:rPr>
          <w:color w:val="333333"/>
          <w:sz w:val="22"/>
          <w:szCs w:val="22"/>
          <w:lang w:val="es-CR"/>
        </w:rPr>
        <w:t xml:space="preserve"> de un horario accesible, contemplando las particularidades de cada zona.</w:t>
      </w:r>
    </w:p>
    <w:p w14:paraId="52F80E95" w14:textId="77777777" w:rsidR="00D72049" w:rsidRPr="0008454C" w:rsidRDefault="00D72049" w:rsidP="004932CE">
      <w:pPr>
        <w:pStyle w:val="Textoindependiente"/>
        <w:widowControl w:val="0"/>
        <w:numPr>
          <w:ilvl w:val="0"/>
          <w:numId w:val="1"/>
        </w:numPr>
        <w:spacing w:after="0"/>
        <w:ind w:left="0" w:firstLine="0"/>
        <w:jc w:val="both"/>
        <w:rPr>
          <w:color w:val="333333"/>
          <w:sz w:val="22"/>
          <w:szCs w:val="22"/>
          <w:lang w:val="es-CR"/>
        </w:rPr>
      </w:pPr>
      <w:r w:rsidRPr="0008454C">
        <w:rPr>
          <w:sz w:val="22"/>
          <w:szCs w:val="22"/>
          <w:lang w:val="es-CR"/>
        </w:rPr>
        <w:t xml:space="preserve">Los y las juezas, así como las autoridades judiciales, que requieran documentos de otras entidades en este tipo de asuntos; establecerán los canales de comunicación y coordinación necesarios para hacerlos llegar al caso concreto a la brevedad posible; y comunicarán a </w:t>
      </w:r>
      <w:smartTag w:uri="urn:schemas-microsoft-com:office:smarttags" w:element="PersonName">
        <w:smartTagPr>
          <w:attr w:name="ProductID" w:val="la Comisi￳n"/>
        </w:smartTagPr>
        <w:r w:rsidRPr="0008454C">
          <w:rPr>
            <w:sz w:val="22"/>
            <w:szCs w:val="22"/>
            <w:lang w:val="es-CR"/>
          </w:rPr>
          <w:t>la Comisión</w:t>
        </w:r>
      </w:smartTag>
      <w:r w:rsidRPr="0008454C">
        <w:rPr>
          <w:sz w:val="22"/>
          <w:szCs w:val="22"/>
          <w:lang w:val="es-CR"/>
        </w:rPr>
        <w:t xml:space="preserve"> de Accesibilidad los obstáculos que se les presenten para el cumplimiento efectivo de las recomendaciones.</w:t>
      </w:r>
    </w:p>
    <w:p w14:paraId="11544A57" w14:textId="77777777" w:rsidR="00D72049" w:rsidRPr="0008454C" w:rsidRDefault="00D72049" w:rsidP="004932CE">
      <w:pPr>
        <w:pStyle w:val="Textoindependiente"/>
        <w:widowControl w:val="0"/>
        <w:numPr>
          <w:ilvl w:val="0"/>
          <w:numId w:val="1"/>
        </w:numPr>
        <w:spacing w:after="0"/>
        <w:ind w:left="0" w:firstLine="0"/>
        <w:jc w:val="both"/>
        <w:rPr>
          <w:color w:val="333333"/>
          <w:sz w:val="22"/>
          <w:szCs w:val="22"/>
          <w:lang w:val="es-CR"/>
        </w:rPr>
      </w:pPr>
      <w:r w:rsidRPr="0008454C">
        <w:rPr>
          <w:color w:val="333333"/>
          <w:sz w:val="22"/>
          <w:szCs w:val="22"/>
          <w:lang w:val="es-CR"/>
        </w:rPr>
        <w:t>Deberán aplicarse las directrices de no revictimización en los casos en que sean parte personas indígenas y especialmente mujeres, niñas, niños y adolescentes</w:t>
      </w:r>
      <w:r w:rsidRPr="0008454C">
        <w:rPr>
          <w:b/>
          <w:color w:val="333333"/>
          <w:sz w:val="22"/>
          <w:szCs w:val="22"/>
          <w:lang w:val="es-CR"/>
        </w:rPr>
        <w:t>.</w:t>
      </w:r>
      <w:r w:rsidRPr="0008454C">
        <w:rPr>
          <w:color w:val="333333"/>
          <w:sz w:val="22"/>
          <w:szCs w:val="22"/>
          <w:lang w:val="es-CR"/>
        </w:rPr>
        <w:t xml:space="preserve"> </w:t>
      </w:r>
    </w:p>
    <w:p w14:paraId="69B4A7C5" w14:textId="77777777" w:rsidR="00D72049" w:rsidRPr="0008454C" w:rsidRDefault="00D72049" w:rsidP="004932CE">
      <w:pPr>
        <w:pStyle w:val="Textoindependiente"/>
        <w:widowControl w:val="0"/>
        <w:numPr>
          <w:ilvl w:val="0"/>
          <w:numId w:val="1"/>
        </w:numPr>
        <w:spacing w:after="0"/>
        <w:ind w:left="0" w:firstLine="0"/>
        <w:jc w:val="both"/>
        <w:rPr>
          <w:color w:val="333333"/>
          <w:sz w:val="22"/>
          <w:szCs w:val="22"/>
          <w:lang w:val="es-CR"/>
        </w:rPr>
      </w:pPr>
      <w:smartTag w:uri="urn:schemas-microsoft-com:office:smarttags" w:element="PersonName">
        <w:smartTagPr>
          <w:attr w:name="ProductID" w:val="La Contralor￭a"/>
        </w:smartTagPr>
        <w:r w:rsidRPr="0008454C">
          <w:rPr>
            <w:color w:val="333333"/>
            <w:sz w:val="22"/>
            <w:szCs w:val="22"/>
            <w:lang w:val="es-CR"/>
          </w:rPr>
          <w:t>La Contraloría</w:t>
        </w:r>
      </w:smartTag>
      <w:r w:rsidRPr="0008454C">
        <w:rPr>
          <w:color w:val="333333"/>
          <w:sz w:val="22"/>
          <w:szCs w:val="22"/>
          <w:lang w:val="es-CR"/>
        </w:rPr>
        <w:t xml:space="preserve"> de Servicios será la encargada de velar porque se cumplan las recomendaciones propuestas. </w:t>
      </w:r>
    </w:p>
    <w:p w14:paraId="52952B4C" w14:textId="77777777" w:rsidR="00D72049" w:rsidRPr="0008454C" w:rsidRDefault="00D72049" w:rsidP="004932CE">
      <w:pPr>
        <w:pStyle w:val="Textoindependiente"/>
        <w:widowControl w:val="0"/>
        <w:numPr>
          <w:ilvl w:val="0"/>
          <w:numId w:val="1"/>
        </w:numPr>
        <w:spacing w:after="0"/>
        <w:ind w:left="0" w:firstLine="0"/>
        <w:jc w:val="both"/>
        <w:rPr>
          <w:color w:val="333333"/>
          <w:sz w:val="22"/>
          <w:szCs w:val="22"/>
          <w:lang w:val="es-CR"/>
        </w:rPr>
      </w:pPr>
      <w:r w:rsidRPr="0008454C">
        <w:rPr>
          <w:color w:val="333333"/>
          <w:sz w:val="22"/>
          <w:szCs w:val="22"/>
          <w:lang w:val="es-CR"/>
        </w:rPr>
        <w:t xml:space="preserve">Colocar distintivos en los expedientes en el caso de que una de las partes sea una persona indígena. </w:t>
      </w:r>
    </w:p>
    <w:p w14:paraId="3FAAF0AE" w14:textId="77777777" w:rsidR="00D72049" w:rsidRPr="0008454C" w:rsidRDefault="00D72049" w:rsidP="004932CE">
      <w:pPr>
        <w:pStyle w:val="Textoindependiente"/>
        <w:widowControl w:val="0"/>
        <w:numPr>
          <w:ilvl w:val="0"/>
          <w:numId w:val="1"/>
        </w:numPr>
        <w:spacing w:after="0"/>
        <w:ind w:left="0" w:firstLine="0"/>
        <w:jc w:val="both"/>
        <w:rPr>
          <w:color w:val="333333"/>
          <w:sz w:val="22"/>
          <w:szCs w:val="22"/>
          <w:lang w:val="es-CR"/>
        </w:rPr>
      </w:pPr>
      <w:r w:rsidRPr="0008454C">
        <w:rPr>
          <w:color w:val="333333"/>
          <w:sz w:val="22"/>
          <w:szCs w:val="22"/>
          <w:lang w:val="es-CR"/>
        </w:rPr>
        <w:t>Los servidores judiciales propiciarán y colaborarán, junto con otras instituciones públicas, la incorporación de las personas indígenas a los procesos de enseñanza secundaria y universitaria que faciliten su participación en la solución de sus asuntos a partir de su propia perspectiva</w:t>
      </w:r>
    </w:p>
    <w:p w14:paraId="1BE01689" w14:textId="77777777" w:rsidR="00D72049" w:rsidRPr="0008454C" w:rsidRDefault="00D72049" w:rsidP="00D72049">
      <w:pPr>
        <w:ind w:firstLine="709"/>
        <w:jc w:val="both"/>
        <w:rPr>
          <w:b/>
          <w:i/>
          <w:sz w:val="22"/>
          <w:szCs w:val="22"/>
        </w:rPr>
      </w:pPr>
    </w:p>
    <w:p w14:paraId="196036FD" w14:textId="77777777" w:rsidR="00264943" w:rsidRPr="0008454C" w:rsidRDefault="00264943" w:rsidP="00264943">
      <w:pPr>
        <w:shd w:val="clear" w:color="auto" w:fill="FFFFFF"/>
        <w:jc w:val="both"/>
        <w:rPr>
          <w:b/>
          <w:bCs/>
          <w:sz w:val="22"/>
          <w:szCs w:val="22"/>
          <w:lang w:val="es-CR" w:eastAsia="es-CR"/>
        </w:rPr>
      </w:pPr>
      <w:r w:rsidRPr="0008454C">
        <w:rPr>
          <w:b/>
          <w:bCs/>
          <w:sz w:val="22"/>
          <w:szCs w:val="22"/>
          <w:lang w:val="es-CR" w:eastAsia="es-CR"/>
        </w:rPr>
        <w:t>De conformidad con la circular No. 67-09 emitida por la Secretaría de la Corte el 22 de junio de 2009, se le comunica que en virtud del principio de gratuidad que rige esta materia, la publicación está exenta de todo pago de derechos.</w:t>
      </w:r>
    </w:p>
    <w:p w14:paraId="1B2A4761" w14:textId="77777777" w:rsidR="00264943" w:rsidRPr="0008454C" w:rsidRDefault="00264943" w:rsidP="00264943">
      <w:pPr>
        <w:shd w:val="clear" w:color="auto" w:fill="FFFFFF"/>
        <w:jc w:val="both"/>
        <w:rPr>
          <w:sz w:val="22"/>
          <w:szCs w:val="22"/>
          <w:lang w:val="es-CR" w:eastAsia="es-CR"/>
        </w:rPr>
      </w:pPr>
    </w:p>
    <w:p w14:paraId="400101F2" w14:textId="77777777" w:rsidR="00264943" w:rsidRPr="0008454C" w:rsidRDefault="00264943" w:rsidP="00264943">
      <w:pPr>
        <w:shd w:val="clear" w:color="auto" w:fill="FFFFFF"/>
        <w:jc w:val="both"/>
        <w:rPr>
          <w:b/>
          <w:bCs/>
          <w:sz w:val="22"/>
          <w:szCs w:val="22"/>
          <w:lang w:val="es-CR" w:eastAsia="es-CR"/>
        </w:rPr>
      </w:pPr>
      <w:r w:rsidRPr="0008454C">
        <w:rPr>
          <w:b/>
          <w:bCs/>
          <w:sz w:val="22"/>
          <w:szCs w:val="22"/>
          <w:lang w:val="es-CR" w:eastAsia="es-CR"/>
        </w:rPr>
        <w:t>Publíquese por una única vez en el Boletín Judicial.</w:t>
      </w:r>
    </w:p>
    <w:p w14:paraId="01B4731D" w14:textId="77777777" w:rsidR="00264943" w:rsidRPr="0008454C" w:rsidRDefault="00264943" w:rsidP="00264943">
      <w:pPr>
        <w:shd w:val="clear" w:color="auto" w:fill="FFFFFF"/>
        <w:jc w:val="both"/>
        <w:rPr>
          <w:sz w:val="22"/>
          <w:szCs w:val="22"/>
          <w:lang w:val="es-CR" w:eastAsia="es-CR"/>
        </w:rPr>
      </w:pPr>
    </w:p>
    <w:p w14:paraId="02B0DCFB" w14:textId="3EB9A892" w:rsidR="00264943" w:rsidRDefault="00264943" w:rsidP="00264943">
      <w:pPr>
        <w:shd w:val="clear" w:color="auto" w:fill="FFFFFF"/>
        <w:jc w:val="both"/>
        <w:rPr>
          <w:b/>
          <w:bCs/>
          <w:sz w:val="22"/>
          <w:szCs w:val="22"/>
          <w:lang w:val="es-CR" w:eastAsia="es-CR"/>
        </w:rPr>
      </w:pPr>
      <w:r w:rsidRPr="0008454C">
        <w:rPr>
          <w:b/>
          <w:bCs/>
          <w:sz w:val="22"/>
          <w:szCs w:val="22"/>
          <w:lang w:val="es-CR" w:eastAsia="es-CR"/>
        </w:rPr>
        <w:t>San José, 14 de mayo de 2021</w:t>
      </w:r>
    </w:p>
    <w:p w14:paraId="7384B430" w14:textId="45019CC2" w:rsidR="0008454C" w:rsidRDefault="0008454C" w:rsidP="00264943">
      <w:pPr>
        <w:shd w:val="clear" w:color="auto" w:fill="FFFFFF"/>
        <w:jc w:val="both"/>
        <w:rPr>
          <w:b/>
          <w:bCs/>
          <w:sz w:val="22"/>
          <w:szCs w:val="22"/>
          <w:lang w:val="es-CR" w:eastAsia="es-CR"/>
        </w:rPr>
      </w:pPr>
    </w:p>
    <w:p w14:paraId="69E79A1D" w14:textId="751029FE" w:rsidR="0008454C" w:rsidRDefault="0008454C" w:rsidP="00264943">
      <w:pPr>
        <w:shd w:val="clear" w:color="auto" w:fill="FFFFFF"/>
        <w:jc w:val="both"/>
        <w:rPr>
          <w:b/>
          <w:bCs/>
          <w:sz w:val="22"/>
          <w:szCs w:val="22"/>
          <w:lang w:val="es-CR" w:eastAsia="es-CR"/>
        </w:rPr>
      </w:pPr>
    </w:p>
    <w:p w14:paraId="0827DEDA" w14:textId="77777777" w:rsidR="0008454C" w:rsidRPr="0008454C" w:rsidRDefault="0008454C" w:rsidP="00264943">
      <w:pPr>
        <w:shd w:val="clear" w:color="auto" w:fill="FFFFFF"/>
        <w:jc w:val="both"/>
        <w:rPr>
          <w:b/>
          <w:bCs/>
          <w:sz w:val="22"/>
          <w:szCs w:val="22"/>
          <w:lang w:val="es-CR" w:eastAsia="es-CR"/>
        </w:rPr>
      </w:pPr>
    </w:p>
    <w:p w14:paraId="1ABAD1DE" w14:textId="77777777" w:rsidR="00264943" w:rsidRPr="0008454C" w:rsidRDefault="00264943" w:rsidP="00264943">
      <w:pPr>
        <w:widowControl w:val="0"/>
        <w:tabs>
          <w:tab w:val="left" w:pos="708"/>
        </w:tabs>
        <w:jc w:val="both"/>
        <w:rPr>
          <w:b/>
          <w:bCs/>
          <w:sz w:val="22"/>
          <w:szCs w:val="22"/>
          <w:shd w:val="clear" w:color="auto" w:fill="FFFFFF"/>
          <w:lang w:eastAsia="zh-CN"/>
        </w:rPr>
      </w:pPr>
      <w:r w:rsidRPr="0008454C">
        <w:rPr>
          <w:b/>
          <w:bCs/>
          <w:sz w:val="22"/>
          <w:szCs w:val="22"/>
          <w:shd w:val="clear" w:color="auto" w:fill="FFFFFF"/>
          <w:lang w:eastAsia="zh-CN"/>
        </w:rPr>
        <w:t>Lic. Carlos Toscano Mora Rodríguez</w:t>
      </w:r>
    </w:p>
    <w:p w14:paraId="0C11F038" w14:textId="77777777" w:rsidR="00264943" w:rsidRPr="0008454C" w:rsidRDefault="00264943" w:rsidP="00264943">
      <w:pPr>
        <w:widowControl w:val="0"/>
        <w:tabs>
          <w:tab w:val="left" w:pos="708"/>
        </w:tabs>
        <w:jc w:val="both"/>
        <w:rPr>
          <w:b/>
          <w:bCs/>
          <w:sz w:val="22"/>
          <w:szCs w:val="22"/>
          <w:shd w:val="clear" w:color="auto" w:fill="FFFFFF"/>
          <w:lang w:eastAsia="zh-CN"/>
        </w:rPr>
      </w:pPr>
      <w:r w:rsidRPr="0008454C">
        <w:rPr>
          <w:b/>
          <w:bCs/>
          <w:sz w:val="22"/>
          <w:szCs w:val="22"/>
          <w:shd w:val="clear" w:color="auto" w:fill="FFFFFF"/>
          <w:lang w:eastAsia="zh-CN"/>
        </w:rPr>
        <w:t>Subsecretario General interino</w:t>
      </w:r>
    </w:p>
    <w:p w14:paraId="27393B29" w14:textId="77777777" w:rsidR="00264943" w:rsidRPr="0008454C" w:rsidRDefault="00264943" w:rsidP="00264943">
      <w:pPr>
        <w:jc w:val="both"/>
        <w:rPr>
          <w:b/>
          <w:bCs/>
          <w:sz w:val="22"/>
          <w:szCs w:val="22"/>
          <w:lang w:eastAsia="zh-CN"/>
        </w:rPr>
      </w:pPr>
      <w:r w:rsidRPr="0008454C">
        <w:rPr>
          <w:b/>
          <w:bCs/>
          <w:sz w:val="22"/>
          <w:szCs w:val="22"/>
          <w:lang w:eastAsia="zh-CN"/>
        </w:rPr>
        <w:t>Corte Suprema de Justicia</w:t>
      </w:r>
    </w:p>
    <w:p w14:paraId="599F4AD1" w14:textId="1F71B25E" w:rsidR="00264943" w:rsidRPr="0008454C" w:rsidRDefault="00264943" w:rsidP="00264943">
      <w:pPr>
        <w:jc w:val="both"/>
        <w:rPr>
          <w:sz w:val="22"/>
          <w:szCs w:val="22"/>
          <w:lang w:eastAsia="zh-CN"/>
        </w:rPr>
      </w:pPr>
      <w:proofErr w:type="spellStart"/>
      <w:r w:rsidRPr="0008454C">
        <w:rPr>
          <w:sz w:val="22"/>
          <w:szCs w:val="22"/>
          <w:lang w:eastAsia="zh-CN"/>
        </w:rPr>
        <w:t>Refs</w:t>
      </w:r>
      <w:proofErr w:type="spellEnd"/>
      <w:r w:rsidRPr="0008454C">
        <w:rPr>
          <w:sz w:val="22"/>
          <w:szCs w:val="22"/>
          <w:lang w:eastAsia="zh-CN"/>
        </w:rPr>
        <w:t>: (</w:t>
      </w:r>
      <w:r w:rsidRPr="0008454C">
        <w:rPr>
          <w:b/>
          <w:bCs/>
          <w:sz w:val="22"/>
          <w:szCs w:val="22"/>
          <w:lang w:eastAsia="zh-CN"/>
        </w:rPr>
        <w:t>6811-2011,</w:t>
      </w:r>
      <w:r w:rsidRPr="0008454C">
        <w:rPr>
          <w:sz w:val="22"/>
          <w:szCs w:val="22"/>
          <w:lang w:eastAsia="zh-CN"/>
        </w:rPr>
        <w:t xml:space="preserve"> </w:t>
      </w:r>
      <w:r w:rsidRPr="0008454C">
        <w:rPr>
          <w:b/>
          <w:bCs/>
          <w:sz w:val="22"/>
          <w:szCs w:val="22"/>
          <w:lang w:eastAsia="zh-CN"/>
        </w:rPr>
        <w:t>3337-2021</w:t>
      </w:r>
      <w:r w:rsidRPr="0008454C">
        <w:rPr>
          <w:sz w:val="22"/>
          <w:szCs w:val="22"/>
          <w:lang w:eastAsia="zh-CN"/>
        </w:rPr>
        <w:t xml:space="preserve">) </w:t>
      </w:r>
    </w:p>
    <w:p w14:paraId="5B76B236" w14:textId="0513EB82" w:rsidR="00AC600B" w:rsidRPr="0008454C" w:rsidRDefault="00264943" w:rsidP="00264943">
      <w:pPr>
        <w:jc w:val="both"/>
        <w:rPr>
          <w:bCs/>
          <w:i/>
          <w:iCs/>
          <w:color w:val="BFBFBF" w:themeColor="background1" w:themeShade="BF"/>
          <w:sz w:val="22"/>
          <w:szCs w:val="22"/>
          <w:lang w:eastAsia="zh-CN"/>
        </w:rPr>
      </w:pPr>
      <w:r w:rsidRPr="0008454C">
        <w:rPr>
          <w:bCs/>
          <w:i/>
          <w:iCs/>
          <w:color w:val="BFBFBF" w:themeColor="background1" w:themeShade="BF"/>
          <w:sz w:val="22"/>
          <w:szCs w:val="22"/>
          <w:lang w:eastAsia="zh-CN"/>
        </w:rPr>
        <w:t>Marisela D.</w:t>
      </w:r>
    </w:p>
    <w:sectPr w:rsidR="00AC600B" w:rsidRPr="0008454C" w:rsidSect="0008454C">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052AF"/>
    <w:multiLevelType w:val="hybridMultilevel"/>
    <w:tmpl w:val="AEBE6488"/>
    <w:lvl w:ilvl="0" w:tplc="0F209D62">
      <w:start w:val="1"/>
      <w:numFmt w:val="decimal"/>
      <w:lvlText w:val="%1."/>
      <w:lvlJc w:val="left"/>
      <w:pPr>
        <w:tabs>
          <w:tab w:val="num" w:pos="720"/>
        </w:tabs>
        <w:ind w:left="720" w:hanging="360"/>
      </w:pPr>
      <w:rPr>
        <w:b/>
      </w:rPr>
    </w:lvl>
    <w:lvl w:ilvl="1" w:tplc="54B8B28C">
      <w:start w:val="8"/>
      <w:numFmt w:val="lowerLetter"/>
      <w:lvlText w:val="%2)"/>
      <w:lvlJc w:val="left"/>
      <w:pPr>
        <w:tabs>
          <w:tab w:val="num" w:pos="2190"/>
        </w:tabs>
        <w:ind w:left="2190" w:hanging="111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49"/>
    <w:rsid w:val="0008454C"/>
    <w:rsid w:val="001F298B"/>
    <w:rsid w:val="00264943"/>
    <w:rsid w:val="004932CE"/>
    <w:rsid w:val="0070655C"/>
    <w:rsid w:val="009B1EE4"/>
    <w:rsid w:val="00AC600B"/>
    <w:rsid w:val="00CB27F8"/>
    <w:rsid w:val="00D72049"/>
    <w:rsid w:val="00D75D5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011C4D"/>
  <w15:chartTrackingRefBased/>
  <w15:docId w15:val="{2B409352-EE46-4217-83CF-9163E01C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204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
    <w:name w:val="Car"/>
    <w:basedOn w:val="Normal"/>
    <w:semiHidden/>
    <w:rsid w:val="00D72049"/>
    <w:pPr>
      <w:spacing w:after="160" w:line="240" w:lineRule="exact"/>
    </w:pPr>
    <w:rPr>
      <w:rFonts w:ascii="Verdana" w:hAnsi="Verdana"/>
      <w:sz w:val="20"/>
      <w:szCs w:val="21"/>
      <w:lang w:val="en-AU" w:eastAsia="en-US"/>
    </w:rPr>
  </w:style>
  <w:style w:type="paragraph" w:styleId="Textoindependiente">
    <w:name w:val="Body Text"/>
    <w:basedOn w:val="Normal"/>
    <w:link w:val="TextoindependienteCar"/>
    <w:rsid w:val="00D72049"/>
    <w:pPr>
      <w:spacing w:after="120"/>
    </w:pPr>
  </w:style>
  <w:style w:type="character" w:customStyle="1" w:styleId="TextoindependienteCar">
    <w:name w:val="Texto independiente Car"/>
    <w:basedOn w:val="Fuentedeprrafopredeter"/>
    <w:link w:val="Textoindependiente"/>
    <w:rsid w:val="00D72049"/>
    <w:rPr>
      <w:rFonts w:ascii="Times New Roman" w:eastAsia="Times New Roman" w:hAnsi="Times New Roman" w:cs="Times New Roman"/>
      <w:sz w:val="24"/>
      <w:szCs w:val="24"/>
      <w:lang w:val="es-ES" w:eastAsia="es-ES"/>
    </w:rPr>
  </w:style>
  <w:style w:type="paragraph" w:styleId="NormalWeb">
    <w:name w:val="Normal (Web)"/>
    <w:basedOn w:val="Normal"/>
    <w:rsid w:val="00D720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-Marisela Duran Salazar</dc:creator>
  <cp:keywords/>
  <dc:description/>
  <cp:lastModifiedBy>Angie Calderón Chaves</cp:lastModifiedBy>
  <cp:revision>2</cp:revision>
  <dcterms:created xsi:type="dcterms:W3CDTF">2022-04-13T15:51:00Z</dcterms:created>
  <dcterms:modified xsi:type="dcterms:W3CDTF">2022-04-13T15:51:00Z</dcterms:modified>
</cp:coreProperties>
</file>