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48F97" w14:textId="743569A3" w:rsidR="00A8455A" w:rsidRPr="006F06F8" w:rsidRDefault="00A8455A" w:rsidP="0016557E">
      <w:pPr>
        <w:ind w:firstLine="709"/>
        <w:jc w:val="center"/>
        <w:rPr>
          <w:b/>
          <w:bCs/>
          <w:sz w:val="26"/>
          <w:szCs w:val="26"/>
          <w:u w:val="single"/>
          <w:lang w:val="es-CR"/>
        </w:rPr>
      </w:pPr>
      <w:r w:rsidRPr="006F06F8">
        <w:rPr>
          <w:b/>
          <w:bCs/>
          <w:sz w:val="26"/>
          <w:szCs w:val="26"/>
          <w:u w:val="single"/>
          <w:lang w:val="es-CR"/>
        </w:rPr>
        <w:t xml:space="preserve">CIRCULAR No. </w:t>
      </w:r>
      <w:r w:rsidR="00D91E60">
        <w:rPr>
          <w:b/>
          <w:bCs/>
          <w:sz w:val="26"/>
          <w:szCs w:val="26"/>
          <w:u w:val="single"/>
          <w:lang w:val="es-CR"/>
        </w:rPr>
        <w:t>41</w:t>
      </w:r>
      <w:r w:rsidRPr="006F06F8">
        <w:rPr>
          <w:b/>
          <w:bCs/>
          <w:sz w:val="26"/>
          <w:szCs w:val="26"/>
          <w:u w:val="single"/>
          <w:lang w:val="es-CR"/>
        </w:rPr>
        <w:t>-2021</w:t>
      </w:r>
      <w:bookmarkStart w:id="0" w:name="_GoBack"/>
      <w:bookmarkEnd w:id="0"/>
    </w:p>
    <w:p w14:paraId="4A9576D6" w14:textId="77777777" w:rsidR="00A8455A" w:rsidRPr="006F06F8" w:rsidRDefault="00A8455A" w:rsidP="00A8455A">
      <w:pPr>
        <w:ind w:firstLine="709"/>
        <w:jc w:val="both"/>
        <w:rPr>
          <w:b/>
          <w:bCs/>
          <w:sz w:val="26"/>
          <w:szCs w:val="26"/>
          <w:u w:val="single"/>
          <w:lang w:val="es-CR" w:eastAsia="es-CR"/>
        </w:rPr>
      </w:pPr>
    </w:p>
    <w:p w14:paraId="62FCC78E" w14:textId="77777777" w:rsidR="00A8455A" w:rsidRPr="006F06F8" w:rsidRDefault="00A8455A" w:rsidP="00A8455A">
      <w:pPr>
        <w:ind w:firstLine="709"/>
        <w:jc w:val="both"/>
        <w:rPr>
          <w:sz w:val="26"/>
          <w:szCs w:val="26"/>
          <w:lang w:val="es-CR"/>
        </w:rPr>
      </w:pPr>
      <w:r w:rsidRPr="006F06F8">
        <w:rPr>
          <w:b/>
          <w:bCs/>
          <w:sz w:val="26"/>
          <w:szCs w:val="26"/>
          <w:u w:val="single"/>
          <w:lang w:val="es-CR"/>
        </w:rPr>
        <w:t>Asunto</w:t>
      </w:r>
      <w:r w:rsidRPr="006F06F8">
        <w:rPr>
          <w:bCs/>
          <w:sz w:val="26"/>
          <w:szCs w:val="26"/>
          <w:lang w:val="es-CR"/>
        </w:rPr>
        <w:t>:  Aclaración de la Circular 129-2019 sobre la r</w:t>
      </w:r>
      <w:r w:rsidRPr="006F06F8">
        <w:rPr>
          <w:iCs/>
          <w:sz w:val="26"/>
          <w:szCs w:val="26"/>
          <w:lang w:val="es-CR"/>
        </w:rPr>
        <w:t xml:space="preserve">etención del 2% sobre el pago de honorarios a los </w:t>
      </w:r>
      <w:r w:rsidRPr="006F06F8">
        <w:rPr>
          <w:sz w:val="26"/>
          <w:szCs w:val="26"/>
          <w:lang w:val="es-CR" w:eastAsia="es-CR"/>
        </w:rPr>
        <w:t>Auxiliares de la Administración de Justicia, tales como peritos, ejecutores, intérpretes, curadores concursales y traductores de idiomas y de Lengua de Señas Costarricense (LESCO), y similares</w:t>
      </w:r>
      <w:r w:rsidRPr="006F06F8">
        <w:rPr>
          <w:i/>
          <w:iCs/>
          <w:sz w:val="26"/>
          <w:szCs w:val="26"/>
          <w:lang w:val="es-CR" w:eastAsia="es-CR"/>
        </w:rPr>
        <w:t xml:space="preserve">, </w:t>
      </w:r>
      <w:r w:rsidRPr="006F06F8">
        <w:rPr>
          <w:sz w:val="26"/>
          <w:szCs w:val="26"/>
          <w:lang w:val="es-CR" w:eastAsia="es-CR"/>
        </w:rPr>
        <w:t>así como sobre las sumas por concepto de los honorarios a cargo de alguna o varias de las partes, cuyo giro se ordene a favor de los abogados intervinientes en procesos judiciales.</w:t>
      </w:r>
    </w:p>
    <w:p w14:paraId="16808E4C" w14:textId="77777777" w:rsidR="00A8455A" w:rsidRPr="006F06F8" w:rsidRDefault="00A8455A" w:rsidP="00A8455A">
      <w:pPr>
        <w:ind w:firstLine="709"/>
        <w:jc w:val="both"/>
        <w:rPr>
          <w:bCs/>
          <w:sz w:val="26"/>
          <w:szCs w:val="26"/>
          <w:lang w:val="es-CR"/>
        </w:rPr>
      </w:pPr>
    </w:p>
    <w:p w14:paraId="5CDFA8D0" w14:textId="77777777" w:rsidR="00A8455A" w:rsidRPr="006F06F8" w:rsidRDefault="00A8455A" w:rsidP="00A8455A">
      <w:pPr>
        <w:ind w:firstLine="709"/>
        <w:jc w:val="both"/>
        <w:rPr>
          <w:b/>
          <w:bCs/>
          <w:sz w:val="26"/>
          <w:szCs w:val="26"/>
          <w:u w:val="single"/>
          <w:lang w:val="es-CR"/>
        </w:rPr>
      </w:pPr>
      <w:r w:rsidRPr="006F06F8">
        <w:rPr>
          <w:b/>
          <w:bCs/>
          <w:sz w:val="26"/>
          <w:szCs w:val="26"/>
          <w:u w:val="single"/>
          <w:lang w:val="es-CR"/>
        </w:rPr>
        <w:t xml:space="preserve">A LOS DESPACHOS JUDICIALES DEL PAÍS </w:t>
      </w:r>
    </w:p>
    <w:p w14:paraId="0B5C1E0A" w14:textId="77777777" w:rsidR="00A8455A" w:rsidRPr="006F06F8" w:rsidRDefault="00A8455A" w:rsidP="00A8455A">
      <w:pPr>
        <w:ind w:firstLine="709"/>
        <w:jc w:val="both"/>
        <w:rPr>
          <w:b/>
          <w:bCs/>
          <w:sz w:val="26"/>
          <w:szCs w:val="26"/>
          <w:lang w:val="es-CR"/>
        </w:rPr>
      </w:pPr>
      <w:r w:rsidRPr="006F06F8">
        <w:rPr>
          <w:b/>
          <w:bCs/>
          <w:sz w:val="26"/>
          <w:szCs w:val="26"/>
          <w:u w:val="single"/>
          <w:lang w:val="es-CR"/>
        </w:rPr>
        <w:t>SE LES HACE SABER QUE</w:t>
      </w:r>
      <w:r w:rsidRPr="006F06F8">
        <w:rPr>
          <w:b/>
          <w:bCs/>
          <w:sz w:val="26"/>
          <w:szCs w:val="26"/>
          <w:lang w:val="es-CR"/>
        </w:rPr>
        <w:t>:</w:t>
      </w:r>
    </w:p>
    <w:p w14:paraId="67F91D61" w14:textId="77777777" w:rsidR="00A8455A" w:rsidRPr="006F06F8" w:rsidRDefault="00A8455A" w:rsidP="00A8455A">
      <w:pPr>
        <w:pStyle w:val="Textodebloque2"/>
        <w:ind w:left="0" w:right="0"/>
        <w:rPr>
          <w:sz w:val="26"/>
          <w:szCs w:val="26"/>
          <w:lang w:val="es-CR"/>
        </w:rPr>
      </w:pPr>
    </w:p>
    <w:p w14:paraId="5AE8F179" w14:textId="5CE270E0" w:rsidR="00A8455A" w:rsidRPr="006F06F8" w:rsidRDefault="00A8455A" w:rsidP="00A8455A">
      <w:pPr>
        <w:spacing w:before="120" w:after="120"/>
        <w:ind w:firstLine="708"/>
        <w:jc w:val="both"/>
        <w:rPr>
          <w:rFonts w:eastAsia="Calibri"/>
          <w:sz w:val="26"/>
          <w:szCs w:val="26"/>
          <w:lang w:val="es-CR"/>
        </w:rPr>
      </w:pPr>
      <w:r w:rsidRPr="006F06F8">
        <w:rPr>
          <w:sz w:val="26"/>
          <w:szCs w:val="26"/>
          <w:lang w:val="es-CR"/>
        </w:rPr>
        <w:t xml:space="preserve">El Consejo Superior del Poder Judicial en sesión No. 6-21 celebrada el </w:t>
      </w:r>
      <w:r w:rsidR="00552AE9">
        <w:rPr>
          <w:sz w:val="26"/>
          <w:szCs w:val="26"/>
          <w:lang w:val="es-CR"/>
        </w:rPr>
        <w:t>21</w:t>
      </w:r>
      <w:r w:rsidRPr="006F06F8">
        <w:rPr>
          <w:sz w:val="26"/>
          <w:szCs w:val="26"/>
          <w:lang w:val="es-CR"/>
        </w:rPr>
        <w:t xml:space="preserve"> de enero de 2021, artículo XXIX, dispuso </w:t>
      </w:r>
      <w:r w:rsidRPr="006F06F8">
        <w:rPr>
          <w:rFonts w:eastAsia="Calibri"/>
          <w:sz w:val="26"/>
          <w:szCs w:val="26"/>
          <w:lang w:val="es-CR"/>
        </w:rPr>
        <w:t xml:space="preserve">aclarar el contenido de la Circular 129-2019 del 14 de agosto de 2019, respecto de la retención del 2% el pago de honorarios a los Auxiliares de la Administración de Justicia (Peritos, ejecutores, intérpretes, curadores concursales y traductores de idiomas y LESCO y similares) </w:t>
      </w:r>
      <w:r w:rsidRPr="006F06F8">
        <w:rPr>
          <w:sz w:val="26"/>
          <w:szCs w:val="26"/>
          <w:lang w:val="es-CR" w:eastAsia="es-CR"/>
        </w:rPr>
        <w:t>así como sobre las sumas por concepto de los honorarios a cargo de alguna o varias de las partes, cuyo giro se ordene a favor de los abogados intervinientes en procesos judiciales.</w:t>
      </w:r>
      <w:r w:rsidRPr="006F06F8">
        <w:rPr>
          <w:b/>
          <w:bCs/>
          <w:i/>
          <w:iCs/>
          <w:sz w:val="26"/>
          <w:szCs w:val="26"/>
          <w:lang w:val="es-CR"/>
        </w:rPr>
        <w:t xml:space="preserve"> </w:t>
      </w:r>
      <w:r w:rsidRPr="006F06F8">
        <w:rPr>
          <w:rFonts w:eastAsia="Calibri"/>
          <w:sz w:val="26"/>
          <w:szCs w:val="26"/>
          <w:lang w:val="es-CR"/>
        </w:rPr>
        <w:t>Conforme a lo dispuesto en Resolución DGT-020-2021 de la Dirección General de Tributación Directa, los ejecutores que fungen como auxiliares del sistema de justicia, se excluyen de la citada directriz, si el pago es directo entre las partes; debido a que en esos casos el Poder Judicial no actúa como intermediario en el proceso de pago, por tanto, no ejecuta ningún giro al respecto.</w:t>
      </w:r>
    </w:p>
    <w:p w14:paraId="358483A1" w14:textId="77777777" w:rsidR="00A8455A" w:rsidRPr="006F06F8" w:rsidRDefault="00A8455A" w:rsidP="00A8455A">
      <w:pPr>
        <w:spacing w:before="120" w:after="120"/>
        <w:ind w:firstLine="708"/>
        <w:jc w:val="both"/>
        <w:rPr>
          <w:rFonts w:eastAsia="Calibri"/>
          <w:sz w:val="26"/>
          <w:szCs w:val="26"/>
          <w:lang w:val="es-CR"/>
        </w:rPr>
      </w:pPr>
      <w:r w:rsidRPr="006F06F8">
        <w:rPr>
          <w:rFonts w:eastAsia="Calibri"/>
          <w:sz w:val="26"/>
          <w:szCs w:val="26"/>
          <w:lang w:val="es-CR"/>
        </w:rPr>
        <w:t xml:space="preserve"> </w:t>
      </w:r>
    </w:p>
    <w:p w14:paraId="37BA74B5" w14:textId="77777777" w:rsidR="00A8455A" w:rsidRPr="006F06F8" w:rsidRDefault="00A8455A" w:rsidP="00A8455A">
      <w:pPr>
        <w:suppressAutoHyphens w:val="0"/>
        <w:autoSpaceDE w:val="0"/>
        <w:autoSpaceDN w:val="0"/>
        <w:adjustRightInd w:val="0"/>
        <w:ind w:left="851" w:right="851" w:firstLine="567"/>
        <w:jc w:val="both"/>
        <w:rPr>
          <w:b/>
          <w:lang w:val="es-CR"/>
        </w:rPr>
      </w:pPr>
      <w:r w:rsidRPr="006F06F8">
        <w:rPr>
          <w:b/>
          <w:sz w:val="27"/>
          <w:szCs w:val="27"/>
          <w:lang w:val="es-CR"/>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14:paraId="071C0698" w14:textId="77777777" w:rsidR="00A8455A" w:rsidRPr="006F06F8" w:rsidRDefault="00A8455A" w:rsidP="00A8455A">
      <w:pPr>
        <w:pStyle w:val="Textodebloque2"/>
        <w:ind w:left="0" w:right="0"/>
        <w:rPr>
          <w:bCs/>
          <w:sz w:val="26"/>
          <w:szCs w:val="26"/>
          <w:lang w:val="es-CR"/>
        </w:rPr>
      </w:pPr>
    </w:p>
    <w:p w14:paraId="5935A998" w14:textId="77777777" w:rsidR="00A8455A" w:rsidRPr="006F06F8" w:rsidRDefault="00A8455A" w:rsidP="00A8455A">
      <w:pPr>
        <w:pStyle w:val="Textodebloque2"/>
        <w:rPr>
          <w:bCs/>
          <w:sz w:val="26"/>
          <w:szCs w:val="26"/>
          <w:lang w:val="es-CR"/>
        </w:rPr>
      </w:pPr>
    </w:p>
    <w:p w14:paraId="7AB804C8" w14:textId="0184F7EE" w:rsidR="00A8455A" w:rsidRPr="006F06F8" w:rsidRDefault="00A8455A" w:rsidP="00A8455A">
      <w:pPr>
        <w:suppressAutoHyphens w:val="0"/>
        <w:autoSpaceDE w:val="0"/>
        <w:autoSpaceDN w:val="0"/>
        <w:adjustRightInd w:val="0"/>
        <w:ind w:left="851" w:right="851" w:firstLine="567"/>
        <w:jc w:val="both"/>
        <w:rPr>
          <w:sz w:val="26"/>
          <w:szCs w:val="26"/>
          <w:lang w:val="es-CR" w:eastAsia="es-ES"/>
        </w:rPr>
      </w:pPr>
      <w:r w:rsidRPr="006F06F8">
        <w:rPr>
          <w:b/>
          <w:bCs/>
          <w:sz w:val="26"/>
          <w:szCs w:val="26"/>
          <w:lang w:val="es-CR"/>
        </w:rPr>
        <w:t xml:space="preserve">San José, </w:t>
      </w:r>
      <w:r w:rsidR="00D91E60">
        <w:rPr>
          <w:b/>
          <w:bCs/>
          <w:sz w:val="26"/>
          <w:szCs w:val="26"/>
          <w:lang w:val="es-CR"/>
        </w:rPr>
        <w:t>22</w:t>
      </w:r>
      <w:r w:rsidRPr="006F06F8">
        <w:rPr>
          <w:b/>
          <w:bCs/>
          <w:sz w:val="26"/>
          <w:szCs w:val="26"/>
          <w:lang w:val="es-CR"/>
        </w:rPr>
        <w:t xml:space="preserve"> de febrero de 2021</w:t>
      </w:r>
    </w:p>
    <w:p w14:paraId="009C6153" w14:textId="77777777" w:rsidR="00A8455A" w:rsidRPr="006F06F8" w:rsidRDefault="00A8455A" w:rsidP="00A8455A">
      <w:pPr>
        <w:ind w:left="851" w:right="851" w:firstLine="567"/>
        <w:jc w:val="both"/>
        <w:rPr>
          <w:rFonts w:eastAsia="Arial Unicode MS"/>
          <w:b/>
          <w:bCs/>
          <w:kern w:val="2"/>
          <w:sz w:val="26"/>
          <w:szCs w:val="26"/>
          <w:lang w:val="es-CR" w:eastAsia="es-CR"/>
        </w:rPr>
      </w:pPr>
    </w:p>
    <w:p w14:paraId="0A4E5997" w14:textId="77777777" w:rsidR="00A8455A" w:rsidRPr="006F06F8" w:rsidRDefault="00A8455A" w:rsidP="00A8455A">
      <w:pPr>
        <w:ind w:left="851" w:right="851" w:firstLine="567"/>
        <w:jc w:val="both"/>
        <w:rPr>
          <w:rFonts w:eastAsia="Arial Unicode MS"/>
          <w:b/>
          <w:bCs/>
          <w:kern w:val="2"/>
          <w:sz w:val="26"/>
          <w:szCs w:val="26"/>
          <w:lang w:val="es-CR" w:eastAsia="es-CR"/>
        </w:rPr>
      </w:pPr>
    </w:p>
    <w:p w14:paraId="7ACF9E51" w14:textId="77777777" w:rsidR="00A8455A" w:rsidRPr="006F06F8" w:rsidRDefault="00A8455A" w:rsidP="00A8455A">
      <w:pPr>
        <w:pStyle w:val="Ttulo51"/>
        <w:keepNext w:val="0"/>
        <w:tabs>
          <w:tab w:val="clear" w:pos="0"/>
          <w:tab w:val="left" w:pos="708"/>
        </w:tabs>
        <w:ind w:left="851" w:right="851"/>
        <w:jc w:val="both"/>
        <w:rPr>
          <w:rFonts w:eastAsia="Times New Roman"/>
          <w:i w:val="0"/>
          <w:iCs w:val="0"/>
          <w:u w:val="none"/>
          <w:lang w:val="es-CR"/>
        </w:rPr>
      </w:pPr>
      <w:r w:rsidRPr="006F06F8">
        <w:rPr>
          <w:rFonts w:eastAsia="Times New Roman"/>
          <w:i w:val="0"/>
          <w:iCs w:val="0"/>
          <w:u w:val="none"/>
          <w:lang w:val="es-CR"/>
        </w:rPr>
        <w:t>Lic. Carlos Toscano Mora Rodríguez</w:t>
      </w:r>
    </w:p>
    <w:p w14:paraId="09F97211" w14:textId="77777777" w:rsidR="00A8455A" w:rsidRPr="006F06F8" w:rsidRDefault="00A8455A" w:rsidP="00A8455A">
      <w:pPr>
        <w:pStyle w:val="Ttulo51"/>
        <w:keepNext w:val="0"/>
        <w:tabs>
          <w:tab w:val="clear" w:pos="0"/>
          <w:tab w:val="left" w:pos="708"/>
        </w:tabs>
        <w:ind w:left="851" w:right="851"/>
        <w:jc w:val="both"/>
        <w:rPr>
          <w:rFonts w:eastAsia="Times New Roman"/>
          <w:i w:val="0"/>
          <w:iCs w:val="0"/>
          <w:u w:val="none"/>
          <w:lang w:val="es-CR"/>
        </w:rPr>
      </w:pPr>
      <w:r w:rsidRPr="006F06F8">
        <w:rPr>
          <w:rFonts w:eastAsia="Times New Roman"/>
          <w:i w:val="0"/>
          <w:iCs w:val="0"/>
          <w:u w:val="none"/>
          <w:lang w:val="es-CR"/>
        </w:rPr>
        <w:t>Subsecretario General interino</w:t>
      </w:r>
    </w:p>
    <w:p w14:paraId="4199AFF2" w14:textId="77777777" w:rsidR="00A8455A" w:rsidRPr="006F06F8" w:rsidRDefault="00A8455A" w:rsidP="00A8455A">
      <w:pPr>
        <w:ind w:left="851" w:right="851"/>
        <w:jc w:val="both"/>
        <w:rPr>
          <w:b/>
          <w:bCs/>
          <w:sz w:val="26"/>
          <w:szCs w:val="26"/>
          <w:lang w:val="es-CR"/>
        </w:rPr>
      </w:pPr>
      <w:r w:rsidRPr="006F06F8">
        <w:rPr>
          <w:b/>
          <w:bCs/>
          <w:sz w:val="26"/>
          <w:szCs w:val="26"/>
          <w:lang w:val="es-CR"/>
        </w:rPr>
        <w:t>Corte Suprema de Justicia</w:t>
      </w:r>
    </w:p>
    <w:p w14:paraId="3FFFB27A" w14:textId="77777777" w:rsidR="00A8455A" w:rsidRPr="006F06F8" w:rsidRDefault="00A8455A" w:rsidP="00A8455A">
      <w:pPr>
        <w:jc w:val="both"/>
        <w:rPr>
          <w:sz w:val="26"/>
          <w:szCs w:val="26"/>
          <w:lang w:val="es-CR"/>
        </w:rPr>
      </w:pPr>
    </w:p>
    <w:p w14:paraId="4F6ECACF" w14:textId="77777777" w:rsidR="00A8455A" w:rsidRPr="006F06F8" w:rsidRDefault="00A8455A" w:rsidP="00A8455A">
      <w:pPr>
        <w:jc w:val="both"/>
        <w:rPr>
          <w:sz w:val="26"/>
          <w:szCs w:val="26"/>
          <w:lang w:val="es-CR"/>
        </w:rPr>
      </w:pPr>
    </w:p>
    <w:p w14:paraId="686754E4" w14:textId="3A8832CF" w:rsidR="00A8455A" w:rsidRDefault="00A8455A" w:rsidP="00A8455A">
      <w:pPr>
        <w:jc w:val="both"/>
        <w:rPr>
          <w:b/>
          <w:bCs/>
          <w:sz w:val="26"/>
          <w:szCs w:val="26"/>
          <w:lang w:val="es-CR"/>
        </w:rPr>
      </w:pPr>
      <w:r w:rsidRPr="006F06F8">
        <w:rPr>
          <w:sz w:val="26"/>
          <w:szCs w:val="26"/>
          <w:lang w:val="es-CR"/>
        </w:rPr>
        <w:t xml:space="preserve">Refs.: </w:t>
      </w:r>
      <w:r w:rsidRPr="006F06F8">
        <w:rPr>
          <w:b/>
          <w:bCs/>
          <w:sz w:val="26"/>
          <w:szCs w:val="26"/>
          <w:lang w:val="es-CR"/>
        </w:rPr>
        <w:t>9051-18, 554-21</w:t>
      </w:r>
    </w:p>
    <w:p w14:paraId="301F7C1A" w14:textId="42BFC2CE" w:rsidR="00AA7D11" w:rsidRPr="00AA7D11" w:rsidRDefault="00AA7D11" w:rsidP="00A8455A">
      <w:pPr>
        <w:jc w:val="both"/>
        <w:rPr>
          <w:bCs/>
          <w:lang w:val="es-CR"/>
        </w:rPr>
      </w:pPr>
      <w:r w:rsidRPr="00AA7D11">
        <w:rPr>
          <w:bCs/>
          <w:lang w:val="es-CR"/>
        </w:rPr>
        <w:t xml:space="preserve">Andrea </w:t>
      </w:r>
    </w:p>
    <w:p w14:paraId="12CCEE3B" w14:textId="77777777" w:rsidR="006A4194" w:rsidRPr="006F06F8" w:rsidRDefault="006A4194"/>
    <w:sectPr w:rsidR="006A4194" w:rsidRPr="006F06F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55A"/>
    <w:rsid w:val="0016557E"/>
    <w:rsid w:val="00313661"/>
    <w:rsid w:val="00540000"/>
    <w:rsid w:val="00552AE9"/>
    <w:rsid w:val="006A4194"/>
    <w:rsid w:val="006F06F8"/>
    <w:rsid w:val="00762367"/>
    <w:rsid w:val="00A8455A"/>
    <w:rsid w:val="00AA7D11"/>
    <w:rsid w:val="00D91E60"/>
    <w:rsid w:val="00F61181"/>
    <w:rsid w:val="00F971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C7C1"/>
  <w15:chartTrackingRefBased/>
  <w15:docId w15:val="{881AEE83-A009-4B55-9244-A6035B89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A8455A"/>
    <w:pPr>
      <w:suppressAutoHyphens/>
      <w:spacing w:after="0" w:line="240" w:lineRule="auto"/>
    </w:pPr>
    <w:rPr>
      <w:rFonts w:ascii="Times New Roman" w:eastAsia="Times New Roman" w:hAnsi="Times New Roman" w:cs="Times New Roman"/>
      <w:sz w:val="20"/>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AGES">
    <w:name w:val="AA GES"/>
    <w:basedOn w:val="Normal"/>
    <w:link w:val="AAGESCar"/>
    <w:autoRedefine/>
    <w:qFormat/>
    <w:rsid w:val="00762367"/>
    <w:pPr>
      <w:shd w:val="clear" w:color="auto" w:fill="FFFFFF"/>
      <w:ind w:left="851" w:right="851" w:firstLine="709"/>
      <w:jc w:val="both"/>
    </w:pPr>
    <w:rPr>
      <w:rFonts w:asciiTheme="minorHAnsi" w:eastAsiaTheme="minorHAnsi" w:hAnsiTheme="minorHAnsi" w:cstheme="minorBidi"/>
      <w:color w:val="000099"/>
      <w:sz w:val="26"/>
      <w:szCs w:val="26"/>
    </w:rPr>
  </w:style>
  <w:style w:type="character" w:customStyle="1" w:styleId="AAGESCar">
    <w:name w:val="AA GES Car"/>
    <w:basedOn w:val="Fuentedeprrafopredeter"/>
    <w:link w:val="AAGES"/>
    <w:rsid w:val="00762367"/>
    <w:rPr>
      <w:color w:val="000099"/>
      <w:sz w:val="26"/>
      <w:szCs w:val="26"/>
      <w:shd w:val="clear" w:color="auto" w:fill="FFFFFF"/>
      <w:lang w:val="es-ES_tradnl" w:eastAsia="ar-SA"/>
    </w:rPr>
  </w:style>
  <w:style w:type="paragraph" w:customStyle="1" w:styleId="Textodebloque2">
    <w:name w:val="Texto de bloque2"/>
    <w:basedOn w:val="Normal"/>
    <w:rsid w:val="00A8455A"/>
    <w:pPr>
      <w:widowControl w:val="0"/>
      <w:suppressAutoHyphens w:val="0"/>
      <w:ind w:left="851" w:right="851" w:firstLine="709"/>
      <w:jc w:val="both"/>
    </w:pPr>
    <w:rPr>
      <w:sz w:val="24"/>
      <w:szCs w:val="24"/>
      <w:lang w:val="es-ES" w:eastAsia="zh-CN"/>
    </w:rPr>
  </w:style>
  <w:style w:type="paragraph" w:customStyle="1" w:styleId="Ttulo51">
    <w:name w:val="Título 51"/>
    <w:next w:val="Normal"/>
    <w:rsid w:val="00A8455A"/>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Fernández Salas (Autorizado/ Secretaría General de la Co</dc:creator>
  <cp:keywords/>
  <dc:description/>
  <cp:lastModifiedBy>Angie Calderón Chaves</cp:lastModifiedBy>
  <cp:revision>2</cp:revision>
  <dcterms:created xsi:type="dcterms:W3CDTF">2022-04-13T15:59:00Z</dcterms:created>
  <dcterms:modified xsi:type="dcterms:W3CDTF">2022-04-13T15:59:00Z</dcterms:modified>
</cp:coreProperties>
</file>